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0F90" w14:textId="77777777" w:rsidR="008D7768" w:rsidRPr="009909F4" w:rsidRDefault="008D7768" w:rsidP="008D7768">
      <w:pPr>
        <w:pStyle w:val="Default"/>
        <w:rPr>
          <w:rFonts w:asciiTheme="minorHAnsi" w:hAnsiTheme="minorHAnsi" w:cstheme="minorHAnsi"/>
        </w:rPr>
      </w:pPr>
    </w:p>
    <w:p w14:paraId="31F4CF83" w14:textId="1501EF62" w:rsidR="00D9067F" w:rsidRPr="009909F4" w:rsidRDefault="008D7768" w:rsidP="009909F4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 w:rsidRPr="009909F4">
        <w:rPr>
          <w:rFonts w:asciiTheme="minorHAnsi" w:hAnsiTheme="minorHAnsi" w:cstheme="minorHAnsi"/>
          <w:b/>
          <w:bCs/>
          <w:u w:val="single"/>
        </w:rPr>
        <w:t xml:space="preserve">ZAŁĄCZNIK </w:t>
      </w:r>
    </w:p>
    <w:p w14:paraId="71337251" w14:textId="1A6F113B" w:rsidR="008D7768" w:rsidRPr="009909F4" w:rsidRDefault="008D7768" w:rsidP="009909F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909F4">
        <w:rPr>
          <w:rFonts w:asciiTheme="minorHAnsi" w:hAnsiTheme="minorHAnsi" w:cstheme="minorHAnsi"/>
          <w:b/>
          <w:bCs/>
        </w:rPr>
        <w:t>Wzór plan</w:t>
      </w:r>
      <w:r w:rsidR="00D9067F" w:rsidRPr="009909F4">
        <w:rPr>
          <w:rFonts w:asciiTheme="minorHAnsi" w:hAnsiTheme="minorHAnsi" w:cstheme="minorHAnsi"/>
          <w:b/>
          <w:bCs/>
        </w:rPr>
        <w:t>u</w:t>
      </w:r>
      <w:r w:rsidRPr="009909F4">
        <w:rPr>
          <w:rFonts w:asciiTheme="minorHAnsi" w:hAnsiTheme="minorHAnsi" w:cstheme="minorHAnsi"/>
          <w:b/>
          <w:bCs/>
        </w:rPr>
        <w:t xml:space="preserve"> społeczno-klimatyczn</w:t>
      </w:r>
      <w:r w:rsidR="00D9067F" w:rsidRPr="009909F4">
        <w:rPr>
          <w:rFonts w:asciiTheme="minorHAnsi" w:hAnsiTheme="minorHAnsi" w:cstheme="minorHAnsi"/>
          <w:b/>
          <w:bCs/>
        </w:rPr>
        <w:t>ego</w:t>
      </w:r>
    </w:p>
    <w:p w14:paraId="5DB584EF" w14:textId="77777777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7B9BA3D" w14:textId="77777777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Spis treści</w:t>
      </w:r>
    </w:p>
    <w:p w14:paraId="38C3DA1D" w14:textId="40C0521A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1. ZARYS OGÓLNY I PROCES OPRACOWYWANIA PLANU SPOŁECZNO-KLIMATYCZNEGO</w:t>
      </w:r>
    </w:p>
    <w:p w14:paraId="3944DDF5" w14:textId="2D1A7B33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1.1. Streszczenie</w:t>
      </w:r>
    </w:p>
    <w:p w14:paraId="3C4B52F1" w14:textId="6BF51F81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1.2. Ogólny zarys bieżącej sytuacji w odnośnej dziedzinie</w:t>
      </w:r>
    </w:p>
    <w:p w14:paraId="26DFA4AD" w14:textId="35C678BF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1.3. Proces konsultacji publicznych</w:t>
      </w:r>
    </w:p>
    <w:p w14:paraId="62AB09A6" w14:textId="1A130BFC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2. OPIS ŚRODKÓW I INWESTYCJI, kamieni milowych i wartości docelowych</w:t>
      </w:r>
    </w:p>
    <w:p w14:paraId="4FE1BEB9" w14:textId="67BF78CB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2.1. KOMPONENT [1][2]: [sektor budynków][sektor transportu]</w:t>
      </w:r>
    </w:p>
    <w:p w14:paraId="018B363C" w14:textId="251F3440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a) Opis komponentu</w:t>
      </w:r>
    </w:p>
    <w:p w14:paraId="718A5DEE" w14:textId="20351333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b) Opis środków i inwestycji w ramach komponentu</w:t>
      </w:r>
    </w:p>
    <w:p w14:paraId="687299F9" w14:textId="5957E09C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c) Zasada „nie czyń poważnych szkód”</w:t>
      </w:r>
    </w:p>
    <w:p w14:paraId="5D2B4444" w14:textId="3AFFEDD2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d) Kamienie milowe i wartości docelowe i harmonogram</w:t>
      </w:r>
    </w:p>
    <w:p w14:paraId="3601B58F" w14:textId="63B061B6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e) Finansowanie i koszty</w:t>
      </w:r>
    </w:p>
    <w:p w14:paraId="7D63214D" w14:textId="2B43BED3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f) Uzasadnienie przyznania korzyści podmiotom innym niż gospodarstwa domowe znajdujące się w trudnej sytuacji, mikroprzedsiębiorstwa znajdujące się w trudnej sytuacji i użytkownicy transportu znajdujący się w trudnej sytuacji (w stosownych przypadkach)</w:t>
      </w:r>
    </w:p>
    <w:p w14:paraId="0F0EC501" w14:textId="6C6C91B9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g) Szacunkowe łączne koszty komponentu</w:t>
      </w:r>
    </w:p>
    <w:p w14:paraId="21CD56E7" w14:textId="25DEFF57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h) Scenariusz w przypadku późniejszego uruchomienia systemu handlu uprawnieniami do emisji</w:t>
      </w:r>
    </w:p>
    <w:p w14:paraId="40123C3C" w14:textId="76F67FEC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2.2. KOMPONENT [3]: bezpośrednie wsparcie dochodów</w:t>
      </w:r>
    </w:p>
    <w:p w14:paraId="3320920B" w14:textId="63EB4C61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a) Opis komponentu</w:t>
      </w:r>
    </w:p>
    <w:p w14:paraId="1ED5A6CB" w14:textId="36D9294C" w:rsidR="008D7768" w:rsidRPr="009909F4" w:rsidRDefault="00FC151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b</w:t>
      </w:r>
      <w:r w:rsidR="008D7768" w:rsidRPr="009909F4">
        <w:rPr>
          <w:rFonts w:asciiTheme="minorHAnsi" w:hAnsiTheme="minorHAnsi" w:cstheme="minorHAnsi"/>
          <w:sz w:val="19"/>
          <w:szCs w:val="19"/>
        </w:rPr>
        <w:t>) Opis środków w ramach komponentu</w:t>
      </w:r>
    </w:p>
    <w:p w14:paraId="79E2B50A" w14:textId="09747F18" w:rsidR="008D7768" w:rsidRPr="009909F4" w:rsidRDefault="00FC151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c</w:t>
      </w:r>
      <w:r w:rsidR="008D7768" w:rsidRPr="009909F4">
        <w:rPr>
          <w:rFonts w:asciiTheme="minorHAnsi" w:hAnsiTheme="minorHAnsi" w:cstheme="minorHAnsi"/>
          <w:sz w:val="19"/>
          <w:szCs w:val="19"/>
        </w:rPr>
        <w:t>) Kamienie milowe i wartości docelowe dla środków bezpośredniego wsparcia dochodów</w:t>
      </w:r>
    </w:p>
    <w:p w14:paraId="4C9F1C9C" w14:textId="44CB7A0F" w:rsidR="008D7768" w:rsidRPr="009909F4" w:rsidRDefault="00FC151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d</w:t>
      </w:r>
      <w:r w:rsidR="008D7768" w:rsidRPr="009909F4">
        <w:rPr>
          <w:rFonts w:asciiTheme="minorHAnsi" w:hAnsiTheme="minorHAnsi" w:cstheme="minorHAnsi"/>
          <w:sz w:val="19"/>
          <w:szCs w:val="19"/>
        </w:rPr>
        <w:t>) Uzasadnienie środków</w:t>
      </w:r>
    </w:p>
    <w:p w14:paraId="6E26D5A3" w14:textId="7812CF29" w:rsidR="008D7768" w:rsidRPr="009909F4" w:rsidRDefault="00FC151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e</w:t>
      </w:r>
      <w:r w:rsidR="008D7768" w:rsidRPr="009909F4">
        <w:rPr>
          <w:rFonts w:asciiTheme="minorHAnsi" w:hAnsiTheme="minorHAnsi" w:cstheme="minorHAnsi"/>
          <w:sz w:val="19"/>
          <w:szCs w:val="19"/>
        </w:rPr>
        <w:t>) Koszty środków</w:t>
      </w:r>
    </w:p>
    <w:p w14:paraId="7657E11C" w14:textId="560D374B" w:rsidR="008D7768" w:rsidRPr="009909F4" w:rsidRDefault="00FC151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f</w:t>
      </w:r>
      <w:r w:rsidR="008D7768" w:rsidRPr="009909F4">
        <w:rPr>
          <w:rFonts w:asciiTheme="minorHAnsi" w:hAnsiTheme="minorHAnsi" w:cstheme="minorHAnsi"/>
          <w:sz w:val="19"/>
          <w:szCs w:val="19"/>
        </w:rPr>
        <w:t>) Uzasadnienie przyznania korzyści podmiotom innym niż gospodarstwa domowe znajdujące się w trudnej sytuacji i użytkownicy transportu znajdujący się w trudnej sytuacji (w stosownych przypadkach)</w:t>
      </w:r>
    </w:p>
    <w:p w14:paraId="0B663386" w14:textId="218BDB60" w:rsidR="008D7768" w:rsidRPr="009909F4" w:rsidRDefault="00FC151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g</w:t>
      </w:r>
      <w:r w:rsidR="008D7768" w:rsidRPr="009909F4">
        <w:rPr>
          <w:rFonts w:asciiTheme="minorHAnsi" w:hAnsiTheme="minorHAnsi" w:cstheme="minorHAnsi"/>
          <w:sz w:val="19"/>
          <w:szCs w:val="19"/>
        </w:rPr>
        <w:t>) Szacunkowy koszt planu w odniesieniu do komponentu bezpośredniego wsparcia dochodów.</w:t>
      </w:r>
    </w:p>
    <w:p w14:paraId="1FA0B46F" w14:textId="756EC846" w:rsidR="008D7768" w:rsidRPr="009909F4" w:rsidRDefault="00FC151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h</w:t>
      </w:r>
      <w:r w:rsidR="008D7768" w:rsidRPr="009909F4">
        <w:rPr>
          <w:rFonts w:asciiTheme="minorHAnsi" w:hAnsiTheme="minorHAnsi" w:cstheme="minorHAnsi"/>
          <w:sz w:val="19"/>
          <w:szCs w:val="19"/>
        </w:rPr>
        <w:t xml:space="preserve">) Scenariusz w przypadku późniejszego uruchomienia systemu handlu uprawnieniami do emisji </w:t>
      </w:r>
    </w:p>
    <w:p w14:paraId="0676F788" w14:textId="3DAE3985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2.3. Pomoc techniczna</w:t>
      </w:r>
    </w:p>
    <w:p w14:paraId="55509027" w14:textId="5FE1780F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2.4. Przesunięcia do programów objętych zarządzaniem dzielonym</w:t>
      </w:r>
    </w:p>
    <w:p w14:paraId="5DF3698A" w14:textId="67C7C1FF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2.5. Łączne koszty</w:t>
      </w:r>
    </w:p>
    <w:p w14:paraId="370C6D66" w14:textId="77777777" w:rsidR="00FC151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3. ANALIZA I WPŁYW OGÓLNY</w:t>
      </w:r>
    </w:p>
    <w:p w14:paraId="4458A3D3" w14:textId="72CDB6A5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3.1. Definicje</w:t>
      </w:r>
    </w:p>
    <w:p w14:paraId="32BF88F8" w14:textId="5EAF3054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3.2. Przewidywany wpływ na grupy znajdujące się w trudnej sytuacji</w:t>
      </w:r>
    </w:p>
    <w:p w14:paraId="18D4EE56" w14:textId="01DDE0E2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3.3. Przewidywany wpływ planowanych środków i inwestycji</w:t>
      </w:r>
    </w:p>
    <w:p w14:paraId="33F272CC" w14:textId="3808F3D3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 KOMPLEMENTARNOŚĆ, DODATKOWOŚĆ I REALIZACJA PLANU</w:t>
      </w:r>
    </w:p>
    <w:p w14:paraId="65F629E1" w14:textId="4A7EC88F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4.1. Monitorowanie i realizacja planu</w:t>
      </w:r>
    </w:p>
    <w:p w14:paraId="7F5E8121" w14:textId="7CE0FDCC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4.2. Spójność z innymi inicjatywami</w:t>
      </w:r>
    </w:p>
    <w:p w14:paraId="73D18866" w14:textId="5E7571DF" w:rsidR="008D7768" w:rsidRPr="009909F4" w:rsidRDefault="008D7768" w:rsidP="008D776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4.3. Komplementarność finansowania</w:t>
      </w:r>
    </w:p>
    <w:p w14:paraId="1B299E3F" w14:textId="5A9E4E1A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4.4. Dodatkowość</w:t>
      </w:r>
    </w:p>
    <w:p w14:paraId="4C3F210C" w14:textId="06273056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4.5. Specyfika geograficzna</w:t>
      </w:r>
    </w:p>
    <w:p w14:paraId="56086AA8" w14:textId="28761482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4.6. Zapobieganie korupcji, nadużyciom finansowym i konfliktom interesów</w:t>
      </w:r>
    </w:p>
    <w:p w14:paraId="32532499" w14:textId="54FD7AB8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4.7. Informacja i komunikacja</w:t>
      </w:r>
    </w:p>
    <w:p w14:paraId="7782C1A0" w14:textId="77777777" w:rsidR="008D7768" w:rsidRPr="009909F4" w:rsidRDefault="008D7768" w:rsidP="008D7768">
      <w:pPr>
        <w:pStyle w:val="Default"/>
        <w:pageBreakBefore/>
        <w:rPr>
          <w:rFonts w:asciiTheme="minorHAnsi" w:hAnsiTheme="minorHAnsi" w:cstheme="minorHAnsi"/>
          <w:color w:val="auto"/>
          <w:sz w:val="19"/>
          <w:szCs w:val="19"/>
        </w:rPr>
      </w:pPr>
    </w:p>
    <w:p w14:paraId="6E4B002C" w14:textId="77777777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4FB6D16D" w14:textId="5E3CC280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1.</w:t>
      </w:r>
      <w:r w:rsidR="00FC1518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ZARYS OGÓLNY I PROCES OPRACOWYWANIA PLANU SPOŁECZNO-KLIMATYCZNEGO</w:t>
      </w:r>
    </w:p>
    <w:p w14:paraId="338D353D" w14:textId="77777777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7A397A9E" w14:textId="521F6422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1.1.</w:t>
      </w:r>
      <w:r w:rsidR="00FC1518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Streszczenie</w:t>
      </w:r>
    </w:p>
    <w:p w14:paraId="0A21FCE8" w14:textId="77777777" w:rsidR="008D7768" w:rsidRPr="009909F4" w:rsidRDefault="008D776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Kontekst zielonej transformacji w państwie członkowskim, ze szczególnym naciskiem na główne wyzwania wynikające ze społecznych skutków włączenia emisji gazów cieplarnianych z sektora budynków i sektora transportu drogowego w zakres stosowania dyrektywy 2003/87/WE oraz na to, w jaki sposób plan będzie odpowiadał na te wyzwania.</w:t>
      </w:r>
    </w:p>
    <w:p w14:paraId="6AC71FA4" w14:textId="77777777" w:rsidR="000464B8" w:rsidRPr="009909F4" w:rsidRDefault="000464B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0E31BCFF" w14:textId="5D5396A5" w:rsidR="000464B8" w:rsidRPr="009909F4" w:rsidRDefault="000464B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Tabela ogólna, która podsumowuje główne cele planu, wraz z szacunkowymi łącznymi kosztami planu, w tym wkładem z Funduszu, wkładem krajowym i zasobami z programów objętych zarządzaniem dzielonym, które mają zostać przesunięte do Funduszu, w podziale na trzy obszary interwencji: środki i inwestycje w sektorze budynków, w sektorze transportu drogowego oraz środki dotyczące bezpośredniego wsparcia dochodów, na podstawie poniższego wzoru:</w:t>
      </w:r>
    </w:p>
    <w:p w14:paraId="221B696A" w14:textId="77777777" w:rsidR="002B0CBB" w:rsidRPr="009909F4" w:rsidRDefault="002B0CBB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464B8" w:rsidRPr="009909F4" w14:paraId="4E9230D7" w14:textId="77777777" w:rsidTr="00EC0587">
        <w:tc>
          <w:tcPr>
            <w:tcW w:w="1510" w:type="dxa"/>
            <w:vMerge w:val="restart"/>
          </w:tcPr>
          <w:p w14:paraId="70E7799B" w14:textId="0187841F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7"/>
                <w:szCs w:val="17"/>
              </w:rPr>
              <w:t>Obszar interwencji</w:t>
            </w:r>
          </w:p>
        </w:tc>
        <w:tc>
          <w:tcPr>
            <w:tcW w:w="1510" w:type="dxa"/>
            <w:vMerge w:val="restart"/>
          </w:tcPr>
          <w:p w14:paraId="7B311116" w14:textId="52CEA90A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7"/>
                <w:szCs w:val="17"/>
              </w:rPr>
              <w:t>Łączne koszty (bezwzględne i % łącznego finansowania) według źródła finansowania</w:t>
            </w:r>
          </w:p>
        </w:tc>
        <w:tc>
          <w:tcPr>
            <w:tcW w:w="1510" w:type="dxa"/>
            <w:vMerge w:val="restart"/>
          </w:tcPr>
          <w:p w14:paraId="24697AD8" w14:textId="062508AC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7"/>
                <w:szCs w:val="17"/>
              </w:rPr>
              <w:t>Ogólny zarys głównych planowanych środków i inwestycji</w:t>
            </w:r>
          </w:p>
        </w:tc>
        <w:tc>
          <w:tcPr>
            <w:tcW w:w="1510" w:type="dxa"/>
            <w:vMerge w:val="restart"/>
          </w:tcPr>
          <w:p w14:paraId="7D9A8210" w14:textId="6396D0A9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7"/>
                <w:szCs w:val="17"/>
              </w:rPr>
              <w:t>Cele środków i inwestycji</w:t>
            </w:r>
          </w:p>
        </w:tc>
        <w:tc>
          <w:tcPr>
            <w:tcW w:w="3022" w:type="dxa"/>
            <w:gridSpan w:val="2"/>
          </w:tcPr>
          <w:p w14:paraId="65F6F7ED" w14:textId="1F84DC68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Wpływ środków i inwestycji</w:t>
            </w:r>
          </w:p>
        </w:tc>
      </w:tr>
      <w:tr w:rsidR="000464B8" w:rsidRPr="009909F4" w14:paraId="2EB3977F" w14:textId="77777777" w:rsidTr="000464B8">
        <w:tc>
          <w:tcPr>
            <w:tcW w:w="1510" w:type="dxa"/>
            <w:vMerge/>
          </w:tcPr>
          <w:p w14:paraId="5968779A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  <w:vMerge/>
          </w:tcPr>
          <w:p w14:paraId="17C14470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  <w:vMerge/>
          </w:tcPr>
          <w:p w14:paraId="6C6B28F8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  <w:vMerge/>
          </w:tcPr>
          <w:p w14:paraId="660F9958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7F7AAA7E" w14:textId="7FCD757A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7"/>
                <w:szCs w:val="17"/>
              </w:rPr>
              <w:t>Redukcja liczby gospodarstw domowych znajdujących się w trudnej sytuacji i liczby użytkowników transportu znajdujących się w trudnej sytuacji (jednostka: gospodarstwa domowe)</w:t>
            </w:r>
          </w:p>
        </w:tc>
        <w:tc>
          <w:tcPr>
            <w:tcW w:w="1511" w:type="dxa"/>
          </w:tcPr>
          <w:p w14:paraId="1FEBA8B3" w14:textId="1E5DF1E3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7"/>
                <w:szCs w:val="17"/>
              </w:rPr>
              <w:t xml:space="preserve">Redukcja emisji </w:t>
            </w:r>
            <w:proofErr w:type="spellStart"/>
            <w:r w:rsidRPr="009909F4">
              <w:rPr>
                <w:rFonts w:asciiTheme="minorHAnsi" w:hAnsiTheme="minorHAnsi" w:cstheme="minorHAnsi"/>
                <w:sz w:val="17"/>
                <w:szCs w:val="17"/>
              </w:rPr>
              <w:t>CO2</w:t>
            </w:r>
            <w:proofErr w:type="spellEnd"/>
          </w:p>
        </w:tc>
      </w:tr>
      <w:tr w:rsidR="000464B8" w:rsidRPr="009909F4" w14:paraId="307DBBC4" w14:textId="77777777" w:rsidTr="000464B8">
        <w:tc>
          <w:tcPr>
            <w:tcW w:w="1510" w:type="dxa"/>
          </w:tcPr>
          <w:p w14:paraId="3AC7AD04" w14:textId="292D4F5C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Sektor budynków</w:t>
            </w:r>
          </w:p>
        </w:tc>
        <w:tc>
          <w:tcPr>
            <w:tcW w:w="1510" w:type="dxa"/>
          </w:tcPr>
          <w:p w14:paraId="1945500B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131C6474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4346814B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02DAFB35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25E3D561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</w:tr>
      <w:tr w:rsidR="000464B8" w:rsidRPr="009909F4" w14:paraId="6FD9E3FF" w14:textId="77777777" w:rsidTr="000464B8">
        <w:tc>
          <w:tcPr>
            <w:tcW w:w="1510" w:type="dxa"/>
          </w:tcPr>
          <w:p w14:paraId="62990A4B" w14:textId="6AD20005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Sektor transportu drogowego</w:t>
            </w:r>
          </w:p>
        </w:tc>
        <w:tc>
          <w:tcPr>
            <w:tcW w:w="1510" w:type="dxa"/>
          </w:tcPr>
          <w:p w14:paraId="242CD303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66A7E5EA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522C3B51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05EC6F31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5A725954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</w:tr>
      <w:tr w:rsidR="000464B8" w:rsidRPr="009909F4" w14:paraId="2FA5FB54" w14:textId="77777777" w:rsidTr="000464B8">
        <w:tc>
          <w:tcPr>
            <w:tcW w:w="1510" w:type="dxa"/>
          </w:tcPr>
          <w:p w14:paraId="150CB0D7" w14:textId="19602142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Tymczasowe bezpośrednie wsparcie dochodów</w:t>
            </w:r>
          </w:p>
        </w:tc>
        <w:tc>
          <w:tcPr>
            <w:tcW w:w="1510" w:type="dxa"/>
          </w:tcPr>
          <w:p w14:paraId="22E8DDAE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5A8D312E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75A48ACC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446DB330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3F8014AD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</w:tr>
      <w:tr w:rsidR="000464B8" w:rsidRPr="009909F4" w14:paraId="6F9A34CF" w14:textId="77777777" w:rsidTr="000464B8">
        <w:tc>
          <w:tcPr>
            <w:tcW w:w="1510" w:type="dxa"/>
          </w:tcPr>
          <w:p w14:paraId="2354AD86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Pomoc techniczna (art. 8 ust. 3)</w:t>
            </w:r>
          </w:p>
          <w:p w14:paraId="0DA78E20" w14:textId="55A59581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70041579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67B8B778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346361D1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63AC65FE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67D19DA8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</w:tr>
      <w:tr w:rsidR="000464B8" w:rsidRPr="009909F4" w14:paraId="088F91B3" w14:textId="77777777" w:rsidTr="000464B8">
        <w:tc>
          <w:tcPr>
            <w:tcW w:w="1510" w:type="dxa"/>
          </w:tcPr>
          <w:p w14:paraId="39E009F9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Wkład na rzecz Instrumentu Wsparcia Technicznego (art. 11 ust. 3)</w:t>
            </w:r>
          </w:p>
          <w:p w14:paraId="09E8CFEE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437D9223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435C16CA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3EE32790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2B719389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3F35A88A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</w:tr>
      <w:tr w:rsidR="000464B8" w:rsidRPr="009909F4" w14:paraId="770D5D0F" w14:textId="77777777" w:rsidTr="000464B8">
        <w:tc>
          <w:tcPr>
            <w:tcW w:w="1510" w:type="dxa"/>
          </w:tcPr>
          <w:p w14:paraId="06D53228" w14:textId="4256D2D5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Wkład na rzecz modułu państw członkowskich w ramach </w:t>
            </w:r>
            <w:proofErr w:type="spellStart"/>
            <w:r w:rsidRPr="009909F4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InvestEU</w:t>
            </w:r>
            <w:proofErr w:type="spellEnd"/>
            <w:r w:rsidRPr="009909F4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(art. 11 ust. 3)</w:t>
            </w:r>
          </w:p>
        </w:tc>
        <w:tc>
          <w:tcPr>
            <w:tcW w:w="1510" w:type="dxa"/>
          </w:tcPr>
          <w:p w14:paraId="3BF1EFDD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4B8BC820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0" w:type="dxa"/>
          </w:tcPr>
          <w:p w14:paraId="4C896178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4D6D1D5F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tc>
          <w:tcPr>
            <w:tcW w:w="1511" w:type="dxa"/>
          </w:tcPr>
          <w:p w14:paraId="6E0CAB1D" w14:textId="77777777" w:rsidR="000464B8" w:rsidRPr="009909F4" w:rsidRDefault="000464B8" w:rsidP="000464B8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</w:tr>
    </w:tbl>
    <w:p w14:paraId="015CB0C2" w14:textId="77777777" w:rsidR="000464B8" w:rsidRPr="009909F4" w:rsidRDefault="000464B8" w:rsidP="008D776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27E85DF8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</w:rPr>
      </w:pPr>
    </w:p>
    <w:p w14:paraId="1869B555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</w:rPr>
      </w:pPr>
    </w:p>
    <w:p w14:paraId="7DDF9BF7" w14:textId="34DDE6CE" w:rsidR="008977B2" w:rsidRPr="009909F4" w:rsidRDefault="008977B2" w:rsidP="008977B2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1.2. Ogólny zarys bieżącej sytuacji w odnośnej dziedzinie</w:t>
      </w:r>
    </w:p>
    <w:p w14:paraId="066F4467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Informacje na temat bieżących krajowych polityk w dziedzinie energii i klimatu, sposobu ich stosowania w kontekście krajowym, ze szczególnym uwzględnieniem sektora budynków i sektora transportu oraz w odniesieniu do grup znajdujących w najtrudniejszej sytuacji.</w:t>
      </w:r>
    </w:p>
    <w:p w14:paraId="759FC5A8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6C9334D2" w14:textId="6471D066" w:rsidR="008977B2" w:rsidRPr="009909F4" w:rsidRDefault="008977B2" w:rsidP="008977B2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1.3. Proces konsultacji publicznych</w:t>
      </w:r>
    </w:p>
    <w:p w14:paraId="665E476F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 xml:space="preserve">Podsumowanie procesu konsultacji z władzami lokalnymi i regionalnymi, partnerami społecznymi, organizacjami społeczeństwa obywatelskiego, organizacjami młodzieżowymi i innymi odpowiednimi zainteresowanymi stronami, realizowanego zgodnie z krajowymi ramami prawnymi, w celu przygotowania i, w miarę dostępności, realizacji planu, z uwzględnieniem zakresu, rodzaju i harmonogramu działań konsultacyjnych, a także sposobu odzwierciedlenia w planie opinii zainteresowanych stron. </w:t>
      </w:r>
    </w:p>
    <w:p w14:paraId="72DBAC93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</w:rPr>
        <w:sectPr w:rsidR="008977B2" w:rsidRPr="009909F4">
          <w:pgSz w:w="11905" w:h="17337"/>
          <w:pgMar w:top="1453" w:right="496" w:bottom="905" w:left="751" w:header="708" w:footer="708" w:gutter="0"/>
          <w:cols w:space="708"/>
          <w:noEndnote/>
        </w:sectPr>
      </w:pPr>
    </w:p>
    <w:p w14:paraId="56139475" w14:textId="07E2F634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lastRenderedPageBreak/>
        <w:t>2. OPIS ŚRODKÓW I INWESTYCJI, KAMIENI MILOWYCH I WARTOŚCI DOCELOWYCH</w:t>
      </w:r>
    </w:p>
    <w:p w14:paraId="48332E49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Informacje oddzielnie dla każdego komponentu w odniesieniu do trzech obszarów planu:</w:t>
      </w:r>
    </w:p>
    <w:p w14:paraId="6E8381EE" w14:textId="77777777" w:rsidR="008977B2" w:rsidRPr="009909F4" w:rsidRDefault="008977B2" w:rsidP="008977B2">
      <w:pPr>
        <w:pStyle w:val="Default"/>
        <w:spacing w:after="98"/>
        <w:rPr>
          <w:rFonts w:asciiTheme="minorHAnsi" w:hAnsiTheme="minorHAnsi" w:cstheme="minorHAnsi"/>
          <w:color w:val="auto"/>
          <w:sz w:val="19"/>
          <w:szCs w:val="19"/>
        </w:rPr>
      </w:pPr>
    </w:p>
    <w:p w14:paraId="461C7861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sektor budynków;</w:t>
      </w:r>
    </w:p>
    <w:p w14:paraId="4D42F0E3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1C201187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sektor transportu drogowego;</w:t>
      </w:r>
    </w:p>
    <w:p w14:paraId="154D3273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4D95276A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tymczasowe bezpośrednie wsparcie dochodów.</w:t>
      </w:r>
    </w:p>
    <w:p w14:paraId="6E15EBD7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5A058B3E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Komponent może obejmować kilka </w:t>
      </w:r>
      <w:proofErr w:type="spellStart"/>
      <w:r w:rsidRPr="009909F4">
        <w:rPr>
          <w:rFonts w:asciiTheme="minorHAnsi" w:hAnsiTheme="minorHAnsi" w:cstheme="minorHAnsi"/>
          <w:color w:val="auto"/>
          <w:sz w:val="19"/>
          <w:szCs w:val="19"/>
        </w:rPr>
        <w:t>podkomponentów</w:t>
      </w:r>
      <w:proofErr w:type="spellEnd"/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koncentrujących się na konkretnym wyzwaniu lub potrzebie. Każdy komponent lub </w:t>
      </w:r>
      <w:proofErr w:type="spellStart"/>
      <w:r w:rsidRPr="009909F4">
        <w:rPr>
          <w:rFonts w:asciiTheme="minorHAnsi" w:hAnsiTheme="minorHAnsi" w:cstheme="minorHAnsi"/>
          <w:color w:val="auto"/>
          <w:sz w:val="19"/>
          <w:szCs w:val="19"/>
        </w:rPr>
        <w:t>podkomponent</w:t>
      </w:r>
      <w:proofErr w:type="spellEnd"/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może obejmować jeden lub kilka ściśle ze sobą powiązanych lub wzajemnie zależnych środków lub inwestycji.</w:t>
      </w:r>
    </w:p>
    <w:p w14:paraId="21BBB858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2A2A4B48" w14:textId="621662E0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2.1.</w:t>
      </w:r>
      <w:r w:rsidR="00071864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KOMPONENT [1][2]: [sektor budynków][sektor transportu]</w:t>
      </w:r>
    </w:p>
    <w:p w14:paraId="3396CD31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Informacje na temat komponentu:</w:t>
      </w:r>
    </w:p>
    <w:p w14:paraId="3B4AA7F1" w14:textId="77777777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05E4B794" w14:textId="69EFDFF2" w:rsidR="008977B2" w:rsidRPr="009909F4" w:rsidRDefault="00071864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a</w:t>
      </w:r>
      <w:r w:rsidR="008977B2" w:rsidRPr="009909F4">
        <w:rPr>
          <w:rFonts w:asciiTheme="minorHAnsi" w:hAnsiTheme="minorHAnsi" w:cstheme="minorHAnsi"/>
          <w:color w:val="auto"/>
          <w:sz w:val="19"/>
          <w:szCs w:val="19"/>
        </w:rPr>
        <w:t>)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="008977B2" w:rsidRPr="009909F4">
        <w:rPr>
          <w:rFonts w:asciiTheme="minorHAnsi" w:hAnsiTheme="minorHAnsi" w:cstheme="minorHAnsi"/>
          <w:color w:val="auto"/>
          <w:sz w:val="19"/>
          <w:szCs w:val="19"/>
        </w:rPr>
        <w:t>Opis komponentu</w:t>
      </w:r>
    </w:p>
    <w:p w14:paraId="38622A34" w14:textId="32636981" w:rsidR="008977B2" w:rsidRPr="009909F4" w:rsidRDefault="008977B2" w:rsidP="008977B2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Pole podsumowujące: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071864" w:rsidRPr="009909F4" w14:paraId="13DD7357" w14:textId="77777777" w:rsidTr="00071864">
        <w:tc>
          <w:tcPr>
            <w:tcW w:w="10648" w:type="dxa"/>
          </w:tcPr>
          <w:p w14:paraId="4B567208" w14:textId="77777777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</w:rPr>
            </w:pPr>
          </w:p>
          <w:p w14:paraId="4E61783E" w14:textId="77777777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Pole podsumowujące dla komponentu [1][2] [sektor budynków][sektor transportu]</w:t>
            </w:r>
          </w:p>
          <w:p w14:paraId="0C4ECC7A" w14:textId="77777777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Obszar interwencji: [sektor budynków][sektor transportu]</w:t>
            </w:r>
          </w:p>
          <w:p w14:paraId="460711A7" w14:textId="77777777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Cel:</w:t>
            </w:r>
          </w:p>
          <w:p w14:paraId="183D0964" w14:textId="77777777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Środki i inwestycje:</w:t>
            </w:r>
          </w:p>
          <w:p w14:paraId="789DED02" w14:textId="77777777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Szacunkowe łączne koszty: 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, w tym</w:t>
            </w:r>
          </w:p>
          <w:p w14:paraId="5D9A61F5" w14:textId="77777777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Koszty objęte wnioskiem o pokrycie w ramach Funduszu: 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  <w:p w14:paraId="22BD6249" w14:textId="77777777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Koszty, które mają zostać pokryte z wkładu krajowego: 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  <w:p w14:paraId="0074974F" w14:textId="06ACD424" w:rsidR="00071864" w:rsidRPr="009909F4" w:rsidRDefault="0007186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702434B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62738E58" w14:textId="33A7391B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b) Opis środków i inwestycji w ramach komponentu</w:t>
      </w:r>
    </w:p>
    <w:p w14:paraId="0628BE9B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Szczegółowy opis komponentu oraz jego konkretnych środków i inwestycji, a także ich wzajemnych powiązań i synergii, obejmujący następujące elementy:</w:t>
      </w:r>
    </w:p>
    <w:p w14:paraId="642504B7" w14:textId="3146A091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jasna i oparta na dowodach analiza istniejących wyzwań oraz sposobu, w jaki środki i inwestycje na nie odpowiadają;</w:t>
      </w:r>
    </w:p>
    <w:p w14:paraId="7B32DA76" w14:textId="3F35FDCA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charakter, rodzaj i wielkość środka lub inwestycji, które mogą obejmować dodatkowe środki wsparcia technicznego zgodnie z art. 11 ust. 4 rozporządzenia, ze wskazaniem, czy jest to nowy środek lub nowa inwestycja, czy też są to istniejące środki lub inwestycje, które mają zostać przedłużone przy wsparciu z Funduszu;</w:t>
      </w:r>
    </w:p>
    <w:p w14:paraId="68F3D5FA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szczegółowe informacje na temat celu środka lub inwestycji oraz na temat tego, kto i co jest celem tego środka lub inwestycji; wyjaśnienie, w jaki sposób środek i inwestycja skutecznie przyczyniłyby się do osiągnięcia celów Funduszu w ogólnym kontekście stosownych polityk państwa członkowskiego oraz w jaki sposób zmniejszą zależność od paliw kopalnych;</w:t>
      </w:r>
    </w:p>
    <w:p w14:paraId="6D64D46C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opis sposobu realizacji środka lub inwestycji (środki wdrażania), z odniesieniem do zdolności administracyjnych państwa członkowskiego na poziomie centralnym i, w stosownych przypadkach, regionalnym i lokalnym, z wyjaśnieniem, jak zasoby zostaną wykorzystane w sposób terminowy i jak są one kierowane na szczebel niższy niż krajowy, w stosownych przypadkach;</w:t>
      </w:r>
    </w:p>
    <w:p w14:paraId="5036360F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wyjaśnienie, w jaki sposób środek lub inwestycja będą dążyć do przeciwdziałania nierówności płci, w stosownych przypadkach;</w:t>
      </w:r>
    </w:p>
    <w:p w14:paraId="4AC4BCFC" w14:textId="50331E5E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harmonogram środka lub inwestycji; w przypadku wsparcia dotyczącego pojazdów niskoemisyjnych – harmonogram stopniowego zmniejszania tego wsparcia.</w:t>
      </w:r>
    </w:p>
    <w:p w14:paraId="0A28A350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34B787AB" w14:textId="2055230E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c) Zasada „nie czyń poważnych szkód”</w:t>
      </w:r>
    </w:p>
    <w:p w14:paraId="6F3F3BA4" w14:textId="7D2E807C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Informacje na temat tego, w jaki sposób środki i inwestycje uwzględnione w komponencie są zgodne z zasadą „nie czyń poważnych szkód” w rozumieniu art. 17 rozporządzenia (UE) 2020/852. Komisja zapewni wskazówki techniczne zgodnie z art. 6 ust. 5 rozporządzenia.</w:t>
      </w:r>
    </w:p>
    <w:p w14:paraId="45A4337E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4E1A05CC" w14:textId="4E2237F5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d) Kamienie milowe i wartości docelowe i harmonogram</w:t>
      </w:r>
    </w:p>
    <w:p w14:paraId="575D36A7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Informacje na temat każdego kamienia milowego i każdej wartości docelowej, które będą odzwierciedlać postępy w realizacji środków i inwestycji w ramach tego komponentu, w następujący sposób:</w:t>
      </w:r>
    </w:p>
    <w:p w14:paraId="2E0692D0" w14:textId="77777777" w:rsidR="00071864" w:rsidRPr="009909F4" w:rsidRDefault="00071864" w:rsidP="00071864">
      <w:pPr>
        <w:pStyle w:val="Default"/>
        <w:spacing w:after="121"/>
        <w:rPr>
          <w:rFonts w:asciiTheme="minorHAnsi" w:hAnsiTheme="minorHAnsi" w:cstheme="minorHAnsi"/>
          <w:sz w:val="19"/>
          <w:szCs w:val="19"/>
        </w:rPr>
      </w:pPr>
    </w:p>
    <w:p w14:paraId="4D3B0FDA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dlaczego wybrano konkretny kamień milowy lub konkretną wartość docelową;</w:t>
      </w:r>
    </w:p>
    <w:p w14:paraId="6DDBF350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A122B17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co mierzy dany kamień milowy lub dana wartość docelowa;</w:t>
      </w:r>
    </w:p>
    <w:p w14:paraId="160BE1E8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60E63EDF" w14:textId="2704AB2D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w jaki sposób będzie to mierzone, jaka zostanie zastosowana metodyka i źródło i w jaki sposób zostanie obiektywnie zweryfikowana właściwa realizacja kamienia milowego lub wartości docelowej;</w:t>
      </w:r>
    </w:p>
    <w:p w14:paraId="7C06D6B0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D670A6F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jaki jest poziom bazowy (punkt początkowy) i jaki jest poziom lub konkretny punkt, które należy osiągnąć;</w:t>
      </w:r>
    </w:p>
    <w:p w14:paraId="65081EC3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039101E6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do kiedy zostanie on osiągnięty (w podziale na kwartały i rok);</w:t>
      </w:r>
    </w:p>
    <w:p w14:paraId="6D028CF9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5E7240C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lastRenderedPageBreak/>
        <w:t>— kto i która instytucja będzie odpowiedzialna za realizację, pomiar i sprawozdawczość.</w:t>
      </w:r>
    </w:p>
    <w:p w14:paraId="5F5E8FF0" w14:textId="77777777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2C372E5" w14:textId="49C4D124" w:rsidR="00071864" w:rsidRPr="009909F4" w:rsidRDefault="00071864" w:rsidP="0007186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Tabela zawierająca kamienie milowe, wartości docelowe i harmonogram dla komponentów wraz z następującymi informacjami: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65"/>
        <w:gridCol w:w="1445"/>
        <w:gridCol w:w="888"/>
        <w:gridCol w:w="1557"/>
        <w:gridCol w:w="984"/>
        <w:gridCol w:w="1002"/>
        <w:gridCol w:w="851"/>
        <w:gridCol w:w="695"/>
        <w:gridCol w:w="580"/>
        <w:gridCol w:w="648"/>
        <w:gridCol w:w="933"/>
      </w:tblGrid>
      <w:tr w:rsidR="00A249F4" w:rsidRPr="009909F4" w14:paraId="157E45CA" w14:textId="71A4AB2F" w:rsidTr="00A249F4">
        <w:tc>
          <w:tcPr>
            <w:tcW w:w="1065" w:type="dxa"/>
            <w:vMerge w:val="restart"/>
          </w:tcPr>
          <w:p w14:paraId="4C4E2014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bookmarkStart w:id="0" w:name="_Hlk157765293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Numer porządkowy</w:t>
            </w:r>
          </w:p>
          <w:p w14:paraId="1175A2C1" w14:textId="61E601B0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45" w:type="dxa"/>
            <w:vMerge w:val="restart"/>
          </w:tcPr>
          <w:p w14:paraId="3D0F6741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Nazwa środka/Inwestycji</w:t>
            </w:r>
          </w:p>
          <w:p w14:paraId="68F18367" w14:textId="1627E394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88" w:type="dxa"/>
            <w:vMerge w:val="restart"/>
          </w:tcPr>
          <w:p w14:paraId="389FD8DD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Kamień milowy lub wartość docelowa</w:t>
            </w:r>
          </w:p>
          <w:p w14:paraId="144AF697" w14:textId="7013BCF4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57" w:type="dxa"/>
            <w:vMerge w:val="restart"/>
          </w:tcPr>
          <w:p w14:paraId="5AF02BCE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Nazwa kamienia milowego/wartości docelowej</w:t>
            </w:r>
          </w:p>
          <w:p w14:paraId="1AE2AF1D" w14:textId="061400BF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84" w:type="dxa"/>
            <w:vMerge w:val="restart"/>
          </w:tcPr>
          <w:p w14:paraId="715356B4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Wskaźniki jakościowe</w:t>
            </w:r>
          </w:p>
          <w:p w14:paraId="05649E1E" w14:textId="253231C0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(kamienie milowe)</w:t>
            </w:r>
          </w:p>
        </w:tc>
        <w:tc>
          <w:tcPr>
            <w:tcW w:w="2548" w:type="dxa"/>
            <w:gridSpan w:val="3"/>
          </w:tcPr>
          <w:p w14:paraId="1943EC3B" w14:textId="283F8AC2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Wskaźniki ilościowe (wartości docelowe)</w:t>
            </w:r>
          </w:p>
        </w:tc>
        <w:tc>
          <w:tcPr>
            <w:tcW w:w="1228" w:type="dxa"/>
            <w:gridSpan w:val="2"/>
          </w:tcPr>
          <w:p w14:paraId="3493645E" w14:textId="7623AA2F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Termin realizacji</w:t>
            </w:r>
          </w:p>
        </w:tc>
        <w:tc>
          <w:tcPr>
            <w:tcW w:w="933" w:type="dxa"/>
            <w:vMerge w:val="restart"/>
          </w:tcPr>
          <w:p w14:paraId="55481273" w14:textId="479AF520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Opis każdego kamienia milowego i każdej wartości docelowej</w:t>
            </w:r>
          </w:p>
        </w:tc>
      </w:tr>
      <w:tr w:rsidR="00A249F4" w:rsidRPr="009909F4" w14:paraId="5E363D88" w14:textId="48F8A0AA" w:rsidTr="0019325E">
        <w:trPr>
          <w:trHeight w:val="928"/>
        </w:trPr>
        <w:tc>
          <w:tcPr>
            <w:tcW w:w="1065" w:type="dxa"/>
            <w:vMerge/>
          </w:tcPr>
          <w:p w14:paraId="28480F7B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45" w:type="dxa"/>
            <w:vMerge/>
          </w:tcPr>
          <w:p w14:paraId="6F86A4E4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88" w:type="dxa"/>
            <w:vMerge/>
          </w:tcPr>
          <w:p w14:paraId="1B70BC69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57" w:type="dxa"/>
            <w:vMerge/>
          </w:tcPr>
          <w:p w14:paraId="4EF8CC1B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84" w:type="dxa"/>
            <w:vMerge/>
          </w:tcPr>
          <w:p w14:paraId="39BAF7FC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02" w:type="dxa"/>
          </w:tcPr>
          <w:p w14:paraId="2DED1C09" w14:textId="2D020575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Jednostka miary/inwestycji</w:t>
            </w:r>
          </w:p>
          <w:p w14:paraId="54C83FA9" w14:textId="1797F208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1" w:type="dxa"/>
          </w:tcPr>
          <w:p w14:paraId="49E33BDE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Poziom bazowy</w:t>
            </w:r>
          </w:p>
          <w:p w14:paraId="213F0A51" w14:textId="6DF916F4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95" w:type="dxa"/>
          </w:tcPr>
          <w:p w14:paraId="0A7B89B0" w14:textId="4F078152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Cel</w:t>
            </w:r>
          </w:p>
        </w:tc>
        <w:tc>
          <w:tcPr>
            <w:tcW w:w="580" w:type="dxa"/>
          </w:tcPr>
          <w:p w14:paraId="405DEA9F" w14:textId="0EC712D4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Kwartał</w:t>
            </w:r>
          </w:p>
        </w:tc>
        <w:tc>
          <w:tcPr>
            <w:tcW w:w="648" w:type="dxa"/>
          </w:tcPr>
          <w:p w14:paraId="6DFEACC0" w14:textId="0A83524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Rok</w:t>
            </w:r>
          </w:p>
        </w:tc>
        <w:tc>
          <w:tcPr>
            <w:tcW w:w="933" w:type="dxa"/>
            <w:vMerge/>
          </w:tcPr>
          <w:p w14:paraId="05388043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249F4" w:rsidRPr="009909F4" w14:paraId="642C1714" w14:textId="77777777" w:rsidTr="0019325E">
        <w:trPr>
          <w:trHeight w:val="928"/>
        </w:trPr>
        <w:tc>
          <w:tcPr>
            <w:tcW w:w="1065" w:type="dxa"/>
          </w:tcPr>
          <w:p w14:paraId="125F2975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45" w:type="dxa"/>
          </w:tcPr>
          <w:p w14:paraId="67C6185C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88" w:type="dxa"/>
          </w:tcPr>
          <w:p w14:paraId="35A17DBB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57" w:type="dxa"/>
          </w:tcPr>
          <w:p w14:paraId="0F612F86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84" w:type="dxa"/>
          </w:tcPr>
          <w:p w14:paraId="1E68F130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02" w:type="dxa"/>
          </w:tcPr>
          <w:p w14:paraId="3AF9792F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1" w:type="dxa"/>
          </w:tcPr>
          <w:p w14:paraId="0FAAC323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95" w:type="dxa"/>
          </w:tcPr>
          <w:p w14:paraId="250CDEFF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80" w:type="dxa"/>
          </w:tcPr>
          <w:p w14:paraId="79D3A8D6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8" w:type="dxa"/>
          </w:tcPr>
          <w:p w14:paraId="48010F87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33" w:type="dxa"/>
          </w:tcPr>
          <w:p w14:paraId="6BBD9C8F" w14:textId="77777777" w:rsidR="00A249F4" w:rsidRPr="009909F4" w:rsidRDefault="00A249F4" w:rsidP="0007186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bookmarkEnd w:id="0"/>
    </w:tbl>
    <w:p w14:paraId="14A44D4C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</w:rPr>
      </w:pPr>
    </w:p>
    <w:p w14:paraId="7E360824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</w:rPr>
      </w:pPr>
    </w:p>
    <w:p w14:paraId="1D6993BD" w14:textId="7DEBF85B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e) Finansowanie i koszty</w:t>
      </w:r>
    </w:p>
    <w:p w14:paraId="7655869C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Informacje i wyjaśnienia dotyczące szacunkowych łącznych kosztów komponentu oraz dla każdego środka i inwestycji, poparte odpowiednim uzasadnieniem, w tym:</w:t>
      </w:r>
    </w:p>
    <w:p w14:paraId="4A19FD6A" w14:textId="77777777" w:rsidR="00A249F4" w:rsidRPr="009909F4" w:rsidRDefault="00A249F4" w:rsidP="00A249F4">
      <w:pPr>
        <w:pStyle w:val="Default"/>
        <w:spacing w:after="121"/>
        <w:rPr>
          <w:rFonts w:asciiTheme="minorHAnsi" w:hAnsiTheme="minorHAnsi" w:cstheme="minorHAnsi"/>
          <w:sz w:val="19"/>
          <w:szCs w:val="19"/>
        </w:rPr>
      </w:pPr>
    </w:p>
    <w:p w14:paraId="621BB754" w14:textId="60A3A7C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zastosowana metodyka, przyjęte założenia podstawowe (np. dotyczące kosztów jednostkowych, kosztów nakładów) oraz uzasadnienie tych założeń;</w:t>
      </w:r>
    </w:p>
    <w:p w14:paraId="5C54F9F7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43065A83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orientacyjny kompleksowy harmonogram, w ramach którego oczekuje się poniesienia tych kosztów;</w:t>
      </w:r>
    </w:p>
    <w:p w14:paraId="65CB2F00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3ED703EB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informacje na temat krajowego wkładu w łączne koszty środków i inwestycji;</w:t>
      </w:r>
    </w:p>
    <w:p w14:paraId="59BE1DF2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6D8FA301" w14:textId="01686CB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wszelkie informacje na temat tego, jakie finansowanie z innych instrumentów unijnych jest lub może być przewidziane w odniesieniu do tego samego komponentu;</w:t>
      </w:r>
    </w:p>
    <w:p w14:paraId="3A6D5241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0EF948E1" w14:textId="1E1F5FC8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wszelkie informacje na temat przewidzianego finansowania ze źródeł prywatnych oraz w stosownych przypadkach na temat docelowego poziomu dźwigni;</w:t>
      </w:r>
    </w:p>
    <w:p w14:paraId="0C6D9B3C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63E908D0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uzasadnienie wiarygodności i zasadności szacunkowych kosztów, w razie potrzeby, z uwzględnieniem specyfiki krajowej.</w:t>
      </w:r>
    </w:p>
    <w:p w14:paraId="7E04005B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A8E995E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00C79DC" w14:textId="57904FBC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f) Uzasadnienie przyznania korzyści podmiotom innym niż gospodarstwa domowe znajdujące się w trudnej sytuacji, mikroprzedsiębiorstwa znajdujące się w trudnej sytuacji i użytkownicy transportu znajdujący się w trudnej sytuacji (w stosownych przypadkach)</w:t>
      </w:r>
    </w:p>
    <w:p w14:paraId="4BAF2330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9ABB2E8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Jeżeli wsparcie z Funduszu jest udzielane za pośrednictwem podmiotów publicznych lub prywatnych innych niż gospodarstwa domowe znajdujące się w trudnej sytuacji, mikroprzedsiębiorstwa znajdujące się w trudnej sytuacji lub użytkownicy transportu znajdujący się w trudnej sytuacji – wyjaśnienie, jakie środki lub inwestycje wprowadzą te podmioty i w jaki sposób te środki i inwestycje ostatecznie przyniosą korzyści gospodarstwom domowym znajdującym się w trudnej sytuacji, mikroprzedsiębiorstwom znajdującym się w trudnej sytuacji lub użytkownikom transportu znajdującym się w trudnej sytuacji.</w:t>
      </w:r>
    </w:p>
    <w:p w14:paraId="6BBAB498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Jeżeli wsparcie z Funduszu udzielane jest poprzez pośredników finansowych, opis środków, które państwo członkowskie zamierza przyjąć w celu zapewnienia, aby pośrednicy finansowi przekazywali całość korzyści odbiorcom końcowym.</w:t>
      </w:r>
    </w:p>
    <w:p w14:paraId="7F91BB02" w14:textId="77777777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3A316335" w14:textId="2EB96059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g) Szacunkowe łączne koszty komponentu</w:t>
      </w:r>
    </w:p>
    <w:p w14:paraId="424984BB" w14:textId="13B7BA4E" w:rsidR="00A249F4" w:rsidRPr="009909F4" w:rsidRDefault="00A249F4" w:rsidP="00A249F4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Należy wypełnić tabelę dotyczącą szacunkowego kosztu środków i inwestycji ujętych w komponencie, zgodnie z poniższym wzorem: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9"/>
        <w:gridCol w:w="1089"/>
        <w:gridCol w:w="677"/>
        <w:gridCol w:w="677"/>
        <w:gridCol w:w="1468"/>
        <w:gridCol w:w="961"/>
        <w:gridCol w:w="768"/>
        <w:gridCol w:w="709"/>
        <w:gridCol w:w="709"/>
        <w:gridCol w:w="850"/>
        <w:gridCol w:w="851"/>
        <w:gridCol w:w="730"/>
      </w:tblGrid>
      <w:tr w:rsidR="00A249F4" w:rsidRPr="009909F4" w14:paraId="6AB7B875" w14:textId="77777777" w:rsidTr="00A249F4">
        <w:tc>
          <w:tcPr>
            <w:tcW w:w="1159" w:type="dxa"/>
            <w:vMerge w:val="restart"/>
          </w:tcPr>
          <w:p w14:paraId="2FCE6C50" w14:textId="45F1BF1B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bookmarkStart w:id="1" w:name="_Hlk157765867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Numer porządkowy</w:t>
            </w:r>
          </w:p>
        </w:tc>
        <w:tc>
          <w:tcPr>
            <w:tcW w:w="1089" w:type="dxa"/>
            <w:vMerge w:val="restart"/>
          </w:tcPr>
          <w:p w14:paraId="1D1E0F88" w14:textId="0D4C95CE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Odnośny środek (Środek lub inwestycja)</w:t>
            </w:r>
          </w:p>
        </w:tc>
        <w:tc>
          <w:tcPr>
            <w:tcW w:w="1354" w:type="dxa"/>
            <w:gridSpan w:val="2"/>
            <w:vMerge w:val="restart"/>
          </w:tcPr>
          <w:p w14:paraId="25469F69" w14:textId="3FD4A519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Odnośny okres</w:t>
            </w:r>
          </w:p>
        </w:tc>
        <w:tc>
          <w:tcPr>
            <w:tcW w:w="7046" w:type="dxa"/>
            <w:gridSpan w:val="8"/>
          </w:tcPr>
          <w:p w14:paraId="500BAB4E" w14:textId="0A2A43E9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Szacunkowe koszty, w odniesieniu do których wnioskuje się o finansowanie z Funduszu</w:t>
            </w:r>
          </w:p>
        </w:tc>
      </w:tr>
      <w:tr w:rsidR="00A249F4" w:rsidRPr="009909F4" w14:paraId="0DDA8E6F" w14:textId="77777777" w:rsidTr="00A249F4">
        <w:tc>
          <w:tcPr>
            <w:tcW w:w="1159" w:type="dxa"/>
            <w:vMerge/>
          </w:tcPr>
          <w:p w14:paraId="252C5AA4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89" w:type="dxa"/>
            <w:vMerge/>
          </w:tcPr>
          <w:p w14:paraId="319DFBE7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54" w:type="dxa"/>
            <w:gridSpan w:val="2"/>
            <w:vMerge/>
          </w:tcPr>
          <w:p w14:paraId="14D59AD9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68" w:type="dxa"/>
          </w:tcPr>
          <w:p w14:paraId="61A226B6" w14:textId="70C0FE15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Wartość wnioskowanego wsparcia</w:t>
            </w:r>
          </w:p>
        </w:tc>
        <w:tc>
          <w:tcPr>
            <w:tcW w:w="5578" w:type="dxa"/>
            <w:gridSpan w:val="7"/>
          </w:tcPr>
          <w:p w14:paraId="5DC5F1D0" w14:textId="5B98873A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 stosownym przypadku: w podziale na lata</w:t>
            </w:r>
          </w:p>
        </w:tc>
      </w:tr>
      <w:tr w:rsidR="00A249F4" w:rsidRPr="009909F4" w14:paraId="370A0A15" w14:textId="77777777" w:rsidTr="00A249F4">
        <w:tc>
          <w:tcPr>
            <w:tcW w:w="1159" w:type="dxa"/>
            <w:vMerge/>
          </w:tcPr>
          <w:p w14:paraId="1496F1F2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89" w:type="dxa"/>
            <w:vMerge/>
          </w:tcPr>
          <w:p w14:paraId="7DCC9E89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7" w:type="dxa"/>
          </w:tcPr>
          <w:p w14:paraId="7B0F2579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od (data)</w:t>
            </w:r>
          </w:p>
        </w:tc>
        <w:tc>
          <w:tcPr>
            <w:tcW w:w="677" w:type="dxa"/>
          </w:tcPr>
          <w:p w14:paraId="2DEAF4DE" w14:textId="29C62294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do (data)</w:t>
            </w:r>
          </w:p>
        </w:tc>
        <w:tc>
          <w:tcPr>
            <w:tcW w:w="1468" w:type="dxa"/>
          </w:tcPr>
          <w:p w14:paraId="29C0AF4F" w14:textId="50E28D9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Kwota (w mln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</w:tc>
        <w:tc>
          <w:tcPr>
            <w:tcW w:w="961" w:type="dxa"/>
          </w:tcPr>
          <w:p w14:paraId="60122830" w14:textId="6FDDCEE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2026</w:t>
            </w:r>
          </w:p>
        </w:tc>
        <w:tc>
          <w:tcPr>
            <w:tcW w:w="768" w:type="dxa"/>
          </w:tcPr>
          <w:p w14:paraId="339CA602" w14:textId="1ECABD69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2027</w:t>
            </w:r>
          </w:p>
        </w:tc>
        <w:tc>
          <w:tcPr>
            <w:tcW w:w="709" w:type="dxa"/>
          </w:tcPr>
          <w:p w14:paraId="1B997C23" w14:textId="6F097FB8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2028</w:t>
            </w:r>
          </w:p>
        </w:tc>
        <w:tc>
          <w:tcPr>
            <w:tcW w:w="709" w:type="dxa"/>
          </w:tcPr>
          <w:p w14:paraId="6A3C0349" w14:textId="2B115E29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2029</w:t>
            </w:r>
          </w:p>
        </w:tc>
        <w:tc>
          <w:tcPr>
            <w:tcW w:w="850" w:type="dxa"/>
          </w:tcPr>
          <w:p w14:paraId="1B56E6AE" w14:textId="4A0382FF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2030</w:t>
            </w:r>
          </w:p>
        </w:tc>
        <w:tc>
          <w:tcPr>
            <w:tcW w:w="851" w:type="dxa"/>
          </w:tcPr>
          <w:p w14:paraId="6FDC6EE9" w14:textId="61EE1434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2031</w:t>
            </w:r>
          </w:p>
        </w:tc>
        <w:tc>
          <w:tcPr>
            <w:tcW w:w="730" w:type="dxa"/>
          </w:tcPr>
          <w:p w14:paraId="37EDC0CB" w14:textId="489B7432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2032</w:t>
            </w:r>
          </w:p>
        </w:tc>
      </w:tr>
      <w:tr w:rsidR="00A249F4" w:rsidRPr="009909F4" w14:paraId="3B19C32A" w14:textId="77777777" w:rsidTr="00A249F4">
        <w:tc>
          <w:tcPr>
            <w:tcW w:w="1159" w:type="dxa"/>
          </w:tcPr>
          <w:p w14:paraId="17319568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89" w:type="dxa"/>
          </w:tcPr>
          <w:p w14:paraId="643D7F16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54" w:type="dxa"/>
            <w:gridSpan w:val="2"/>
          </w:tcPr>
          <w:p w14:paraId="264153B3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68" w:type="dxa"/>
          </w:tcPr>
          <w:p w14:paraId="3334B24D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61" w:type="dxa"/>
          </w:tcPr>
          <w:p w14:paraId="07A8F743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68" w:type="dxa"/>
          </w:tcPr>
          <w:p w14:paraId="78227D29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09" w:type="dxa"/>
          </w:tcPr>
          <w:p w14:paraId="5E287418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09" w:type="dxa"/>
          </w:tcPr>
          <w:p w14:paraId="50FAB3A1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0" w:type="dxa"/>
          </w:tcPr>
          <w:p w14:paraId="3CCA0B71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1" w:type="dxa"/>
          </w:tcPr>
          <w:p w14:paraId="2E25D3BB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30" w:type="dxa"/>
          </w:tcPr>
          <w:p w14:paraId="1CA32D9E" w14:textId="77777777" w:rsidR="00A249F4" w:rsidRPr="009909F4" w:rsidRDefault="00A249F4" w:rsidP="00A249F4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bookmarkEnd w:id="1"/>
    </w:tbl>
    <w:p w14:paraId="08561DC1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</w:rPr>
      </w:pPr>
    </w:p>
    <w:p w14:paraId="6AC03493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</w:rPr>
      </w:pPr>
    </w:p>
    <w:p w14:paraId="6AADE5D5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</w:rPr>
        <w:sectPr w:rsidR="00BB3FE8" w:rsidRPr="009909F4">
          <w:pgSz w:w="11905" w:h="17337"/>
          <w:pgMar w:top="1453" w:right="496" w:bottom="905" w:left="751" w:header="708" w:footer="708" w:gutter="0"/>
          <w:cols w:space="708"/>
          <w:noEndnote/>
        </w:sectPr>
      </w:pPr>
    </w:p>
    <w:p w14:paraId="23CB1EFE" w14:textId="21199D1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lastRenderedPageBreak/>
        <w:t>h) Scenariusz w przypadku późniejszego uruchomienia systemu handlu uprawnieniami do emisji</w:t>
      </w:r>
    </w:p>
    <w:p w14:paraId="4270CE04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Opis i kwantyfikacja niezbędnych dostosowań środków, inwestycji, kamieni milowych, wartości docelowych, kwoty wkładu krajowego oraz wszelkich innych stosownych elementów planu wynikających z odroczenia uruchomienia systemu handlu uprawnieniami do emisji ustanowionego na mocy rozdziału </w:t>
      </w:r>
      <w:proofErr w:type="spellStart"/>
      <w:r w:rsidRPr="009909F4">
        <w:rPr>
          <w:rFonts w:asciiTheme="minorHAnsi" w:hAnsiTheme="minorHAnsi" w:cstheme="minorHAnsi"/>
          <w:color w:val="auto"/>
          <w:sz w:val="19"/>
          <w:szCs w:val="19"/>
        </w:rPr>
        <w:t>IVa</w:t>
      </w:r>
      <w:proofErr w:type="spellEnd"/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dyrektywy 2003/87/WE zgodnie z art. </w:t>
      </w:r>
      <w:proofErr w:type="spellStart"/>
      <w:r w:rsidRPr="009909F4">
        <w:rPr>
          <w:rFonts w:asciiTheme="minorHAnsi" w:hAnsiTheme="minorHAnsi" w:cstheme="minorHAnsi"/>
          <w:color w:val="auto"/>
          <w:sz w:val="19"/>
          <w:szCs w:val="19"/>
        </w:rPr>
        <w:t>30k</w:t>
      </w:r>
      <w:proofErr w:type="spellEnd"/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tej dyrektywy.</w:t>
      </w:r>
    </w:p>
    <w:p w14:paraId="7C9C3DD3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Oddzielna wersja pola podsumowującego, tabeli dotyczącej kamieni milowych, wartości docelowych i harmonogramu oraz tabeli dotyczącej szacunkowych kosztów.</w:t>
      </w:r>
    </w:p>
    <w:p w14:paraId="10FCC7B5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52B532E9" w14:textId="5E9612A9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2.2. KOMPONENT [3]: bezpośrednie wsparcie dochodów</w:t>
      </w:r>
    </w:p>
    <w:p w14:paraId="0C6F045E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Informacje na temat komponentu dotyczącego bezpośredniego wsparcia dochodów:</w:t>
      </w:r>
    </w:p>
    <w:p w14:paraId="1A0736F5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61E83F3A" w14:textId="6938C2E1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a) Opis komponentu</w:t>
      </w:r>
    </w:p>
    <w:p w14:paraId="7D3B122B" w14:textId="25CE8DAE" w:rsidR="00A249F4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Pole podsumowujące: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BB3FE8" w:rsidRPr="009909F4" w14:paraId="67E3A377" w14:textId="77777777" w:rsidTr="00BB3FE8">
        <w:tc>
          <w:tcPr>
            <w:tcW w:w="10648" w:type="dxa"/>
          </w:tcPr>
          <w:p w14:paraId="3CB4C663" w14:textId="77777777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</w:rPr>
            </w:pPr>
          </w:p>
          <w:p w14:paraId="7E2B8B85" w14:textId="77777777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Pole podsumowujące dla komponentu 3 – bezpośrednie wsparcie dochodów</w:t>
            </w:r>
          </w:p>
          <w:p w14:paraId="67945910" w14:textId="77777777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Obszar interwencji: bezpośrednie wsparcie dochodów</w:t>
            </w:r>
          </w:p>
          <w:p w14:paraId="41299C72" w14:textId="77777777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Cel:</w:t>
            </w:r>
          </w:p>
          <w:p w14:paraId="74638EE3" w14:textId="77777777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Środki:</w:t>
            </w:r>
          </w:p>
          <w:p w14:paraId="2A6D93A0" w14:textId="77777777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Szacunkowe łączne koszty: 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, w tym</w:t>
            </w:r>
          </w:p>
          <w:p w14:paraId="48C53006" w14:textId="77777777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Koszty objęte wnioskiem o pokrycie w ramach Funduszu: 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  <w:p w14:paraId="24279CD3" w14:textId="77777777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Koszty, które mają zostać pokryte z wkładu krajowego: 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  <w:p w14:paraId="0DC55F3F" w14:textId="4FD03A49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20DA7F0D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</w:rPr>
      </w:pPr>
    </w:p>
    <w:p w14:paraId="7948D6FB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</w:rPr>
      </w:pPr>
    </w:p>
    <w:p w14:paraId="2B2E48F3" w14:textId="59AE4E5D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b) Opis środków w ramach komponentu</w:t>
      </w:r>
    </w:p>
    <w:p w14:paraId="29B166B9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Szczegółowy opis komponentu oraz jego konkretnych środków, a także ich wzajemnych powiązań i synergii, w tym:</w:t>
      </w:r>
    </w:p>
    <w:p w14:paraId="15BE95E2" w14:textId="77777777" w:rsidR="00BB3FE8" w:rsidRPr="009909F4" w:rsidRDefault="00BB3FE8" w:rsidP="00BB3FE8">
      <w:pPr>
        <w:pStyle w:val="Default"/>
        <w:spacing w:after="64"/>
        <w:rPr>
          <w:rFonts w:asciiTheme="minorHAnsi" w:hAnsiTheme="minorHAnsi" w:cstheme="minorHAnsi"/>
          <w:sz w:val="19"/>
          <w:szCs w:val="19"/>
        </w:rPr>
      </w:pPr>
    </w:p>
    <w:p w14:paraId="4B88CE4D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jasna i oparta na dowodach analiza istniejących wyzwań oraz sposobu, w jaki są one uwzględnione, i celów wsparcia;</w:t>
      </w:r>
    </w:p>
    <w:p w14:paraId="5A5F3996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23112A0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charakter, rodzaj i wielkość wsparcia;</w:t>
      </w:r>
    </w:p>
    <w:p w14:paraId="7FA44383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BBEEC0E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szczegółowe informacje na temat odbiorców końcowych wsparcia oraz kryteria stosowane do ich identyfikacji;</w:t>
      </w:r>
    </w:p>
    <w:p w14:paraId="4672AB7A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382951B8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harmonogram zmniejszania bezpośredniego wsparcia dochodów zgodnie z harmonogramem Funduszu, w tym konkretny termin zakończenia wsparcia;</w:t>
      </w:r>
    </w:p>
    <w:p w14:paraId="2430D6FD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00B464E8" w14:textId="0F012C4A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wyjaśnienie, w jaki sposób wsparcie będzie miało na celu przeciwdziałanie nierówności płci, w stosownych przypadkach;</w:t>
      </w:r>
    </w:p>
    <w:p w14:paraId="238FC637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DB3ECB8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opis sposobu wdrażania wsparcia;</w:t>
      </w:r>
    </w:p>
    <w:p w14:paraId="5A8D31C9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5BBD391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 xml:space="preserve">— informacje na temat krajowego wkładu w koszty środków. </w:t>
      </w:r>
    </w:p>
    <w:p w14:paraId="79EC4C6A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</w:rPr>
      </w:pPr>
    </w:p>
    <w:p w14:paraId="793C8587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</w:rPr>
      </w:pPr>
    </w:p>
    <w:p w14:paraId="7AB7CBA3" w14:textId="28A4F59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c) Kamienie milowe i wartości docelowe dla środków bezpośredniego wsparcia dochodów</w:t>
      </w:r>
    </w:p>
    <w:p w14:paraId="780C1B41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Informacje na temat każdego kamienia milowego i każdej wartości docelowej, które będą odzwierciedlać postępy w realizacji tego komponentu, w następujący sposób:</w:t>
      </w:r>
    </w:p>
    <w:p w14:paraId="037E9450" w14:textId="77777777" w:rsidR="00BB3FE8" w:rsidRPr="009909F4" w:rsidRDefault="00BB3FE8" w:rsidP="00BB3FE8">
      <w:pPr>
        <w:pStyle w:val="Default"/>
        <w:spacing w:after="57"/>
        <w:rPr>
          <w:rFonts w:asciiTheme="minorHAnsi" w:hAnsiTheme="minorHAnsi" w:cstheme="minorHAnsi"/>
          <w:sz w:val="19"/>
          <w:szCs w:val="19"/>
        </w:rPr>
      </w:pPr>
    </w:p>
    <w:p w14:paraId="2A0C72BE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dlaczego wybrano konkretny kamień milowy lub konkretną wartość docelową;</w:t>
      </w:r>
    </w:p>
    <w:p w14:paraId="3A9AA6E9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A0201D9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co mierzy dany kamień milowy lub dana wartość docelowa;</w:t>
      </w:r>
    </w:p>
    <w:p w14:paraId="1A0DCD6F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E8EC882" w14:textId="5B6E587A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w jaki sposób będzie to mierzone, jaka zostanie zastosowana metodyka i źródło i w jaki sposób zostanie obiektywnie zweryfikowana właściwa realizacja kamienia milowego lub wartości docelowej;</w:t>
      </w:r>
    </w:p>
    <w:p w14:paraId="66AEEB01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F7A8603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jaki jest poziom bazowy (punkt początkowy) i jaki jest poziom lub konkretny punkt, które należy osiągnąć;</w:t>
      </w:r>
    </w:p>
    <w:p w14:paraId="7A741C92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378F411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do kiedy zostanie on osiągnięty;</w:t>
      </w:r>
    </w:p>
    <w:p w14:paraId="623800B9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19809D2A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— kto i która instytucja będzie odpowiedzialna za realizację, pomiar i sprawozdawczość.</w:t>
      </w:r>
    </w:p>
    <w:p w14:paraId="761A1392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6EB6905" w14:textId="616DB489" w:rsidR="00BB3FE8" w:rsidRPr="009909F4" w:rsidRDefault="00BB3FE8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Tabela zawierająca kamienie milowe, wartości docelowe i harmonogram dla środków tymczasowego bezpośredniego wsparcia dochodów, zgodnie z poniższym wzorem:</w:t>
      </w:r>
    </w:p>
    <w:p w14:paraId="2D473B7F" w14:textId="77777777" w:rsidR="00B0426B" w:rsidRPr="009909F4" w:rsidRDefault="00B0426B" w:rsidP="00BB3FE8">
      <w:pPr>
        <w:pStyle w:val="Default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65"/>
        <w:gridCol w:w="1445"/>
        <w:gridCol w:w="888"/>
        <w:gridCol w:w="1557"/>
        <w:gridCol w:w="984"/>
        <w:gridCol w:w="1002"/>
        <w:gridCol w:w="851"/>
        <w:gridCol w:w="695"/>
        <w:gridCol w:w="580"/>
        <w:gridCol w:w="648"/>
        <w:gridCol w:w="933"/>
      </w:tblGrid>
      <w:tr w:rsidR="00BB3FE8" w:rsidRPr="009909F4" w14:paraId="78592EC2" w14:textId="77777777" w:rsidTr="00CF57B1">
        <w:tc>
          <w:tcPr>
            <w:tcW w:w="1065" w:type="dxa"/>
            <w:vMerge w:val="restart"/>
          </w:tcPr>
          <w:p w14:paraId="02476615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Numer porządkowy</w:t>
            </w:r>
          </w:p>
          <w:p w14:paraId="0823DCB1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45" w:type="dxa"/>
            <w:vMerge w:val="restart"/>
          </w:tcPr>
          <w:p w14:paraId="4F8D8844" w14:textId="3C821E1A" w:rsidR="00BB3FE8" w:rsidRPr="009909F4" w:rsidRDefault="00BB3FE8" w:rsidP="00BB3FE8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Środek</w:t>
            </w:r>
          </w:p>
        </w:tc>
        <w:tc>
          <w:tcPr>
            <w:tcW w:w="888" w:type="dxa"/>
            <w:vMerge w:val="restart"/>
          </w:tcPr>
          <w:p w14:paraId="03B1673B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Kamień milowy lub wartość docelowa</w:t>
            </w:r>
          </w:p>
          <w:p w14:paraId="47D203B2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57" w:type="dxa"/>
            <w:vMerge w:val="restart"/>
          </w:tcPr>
          <w:p w14:paraId="5EE4A585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Nazwa kamienia milowego/wartości docelowej</w:t>
            </w:r>
          </w:p>
          <w:p w14:paraId="04AEC1B4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84" w:type="dxa"/>
            <w:vMerge w:val="restart"/>
          </w:tcPr>
          <w:p w14:paraId="3F49B676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Wskaźniki jakościowe</w:t>
            </w:r>
          </w:p>
          <w:p w14:paraId="09E99CD2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(kamienie milowe)</w:t>
            </w:r>
          </w:p>
        </w:tc>
        <w:tc>
          <w:tcPr>
            <w:tcW w:w="2548" w:type="dxa"/>
            <w:gridSpan w:val="3"/>
          </w:tcPr>
          <w:p w14:paraId="6231D07F" w14:textId="00C75844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Wskaźniki ilościowe (wartość docelowa)</w:t>
            </w:r>
          </w:p>
        </w:tc>
        <w:tc>
          <w:tcPr>
            <w:tcW w:w="1228" w:type="dxa"/>
            <w:gridSpan w:val="2"/>
          </w:tcPr>
          <w:p w14:paraId="2C18786C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Termin realizacji</w:t>
            </w:r>
          </w:p>
        </w:tc>
        <w:tc>
          <w:tcPr>
            <w:tcW w:w="933" w:type="dxa"/>
            <w:vMerge w:val="restart"/>
          </w:tcPr>
          <w:p w14:paraId="41D08A5F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Opis każdego kamienia milowego i każdej wartości docelowej</w:t>
            </w:r>
          </w:p>
        </w:tc>
      </w:tr>
      <w:tr w:rsidR="00BB3FE8" w:rsidRPr="009909F4" w14:paraId="4EF86B34" w14:textId="77777777" w:rsidTr="00CF57B1">
        <w:trPr>
          <w:trHeight w:val="928"/>
        </w:trPr>
        <w:tc>
          <w:tcPr>
            <w:tcW w:w="1065" w:type="dxa"/>
            <w:vMerge/>
          </w:tcPr>
          <w:p w14:paraId="1063B6ED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45" w:type="dxa"/>
            <w:vMerge/>
          </w:tcPr>
          <w:p w14:paraId="5C6D4BAE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88" w:type="dxa"/>
            <w:vMerge/>
          </w:tcPr>
          <w:p w14:paraId="67FD4B25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57" w:type="dxa"/>
            <w:vMerge/>
          </w:tcPr>
          <w:p w14:paraId="7B38AAB9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84" w:type="dxa"/>
            <w:vMerge/>
          </w:tcPr>
          <w:p w14:paraId="47FA64B5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02" w:type="dxa"/>
          </w:tcPr>
          <w:p w14:paraId="6BF64400" w14:textId="46F556B0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Jednostka miary</w:t>
            </w:r>
          </w:p>
          <w:p w14:paraId="619BA271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1" w:type="dxa"/>
          </w:tcPr>
          <w:p w14:paraId="2AB3BF5D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Poziom bazowy</w:t>
            </w:r>
          </w:p>
          <w:p w14:paraId="4CC1255B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95" w:type="dxa"/>
          </w:tcPr>
          <w:p w14:paraId="28C2F458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Cel</w:t>
            </w:r>
          </w:p>
        </w:tc>
        <w:tc>
          <w:tcPr>
            <w:tcW w:w="580" w:type="dxa"/>
          </w:tcPr>
          <w:p w14:paraId="5A24971A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Kwartał</w:t>
            </w:r>
          </w:p>
        </w:tc>
        <w:tc>
          <w:tcPr>
            <w:tcW w:w="648" w:type="dxa"/>
          </w:tcPr>
          <w:p w14:paraId="48C5B70E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Rok</w:t>
            </w:r>
          </w:p>
        </w:tc>
        <w:tc>
          <w:tcPr>
            <w:tcW w:w="933" w:type="dxa"/>
            <w:vMerge/>
          </w:tcPr>
          <w:p w14:paraId="640C8287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BB3FE8" w:rsidRPr="009909F4" w14:paraId="1B8ECAB8" w14:textId="77777777" w:rsidTr="00CF57B1">
        <w:trPr>
          <w:trHeight w:val="928"/>
        </w:trPr>
        <w:tc>
          <w:tcPr>
            <w:tcW w:w="1065" w:type="dxa"/>
          </w:tcPr>
          <w:p w14:paraId="2B3594E4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45" w:type="dxa"/>
          </w:tcPr>
          <w:p w14:paraId="419DB0FD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88" w:type="dxa"/>
          </w:tcPr>
          <w:p w14:paraId="599BC2A9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57" w:type="dxa"/>
          </w:tcPr>
          <w:p w14:paraId="4787A4B0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84" w:type="dxa"/>
          </w:tcPr>
          <w:p w14:paraId="39C5BEDE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02" w:type="dxa"/>
          </w:tcPr>
          <w:p w14:paraId="723816B3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1" w:type="dxa"/>
          </w:tcPr>
          <w:p w14:paraId="6CCBB8E0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95" w:type="dxa"/>
          </w:tcPr>
          <w:p w14:paraId="5E806049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80" w:type="dxa"/>
          </w:tcPr>
          <w:p w14:paraId="7DFAB48C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8" w:type="dxa"/>
          </w:tcPr>
          <w:p w14:paraId="15ED4B82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33" w:type="dxa"/>
          </w:tcPr>
          <w:p w14:paraId="4B767C63" w14:textId="77777777" w:rsidR="00BB3FE8" w:rsidRPr="009909F4" w:rsidRDefault="00BB3FE8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593B3A7" w14:textId="77777777" w:rsidR="00B0426B" w:rsidRPr="009909F4" w:rsidRDefault="00B0426B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0D2735A9" w14:textId="2DFC5D4A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d)</w:t>
      </w:r>
      <w:r w:rsidR="00354B6E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Uzasadnienie środków</w:t>
      </w:r>
    </w:p>
    <w:p w14:paraId="34423B6F" w14:textId="68804B1D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Uzasadnienie potrzeby tymczasowego bezpośredniego wsparcia dochodów w oparciu o kryteria określone w art. 6 ust. 1 i art. 8 ust. 2</w:t>
      </w:r>
      <w:r w:rsidR="00354B6E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rozporządzenia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:</w:t>
      </w:r>
    </w:p>
    <w:p w14:paraId="6BEEDD26" w14:textId="77777777" w:rsidR="00BB3FE8" w:rsidRPr="009909F4" w:rsidRDefault="00BB3FE8" w:rsidP="00BB3FE8">
      <w:pPr>
        <w:pStyle w:val="Default"/>
        <w:spacing w:after="57"/>
        <w:rPr>
          <w:rFonts w:asciiTheme="minorHAnsi" w:hAnsiTheme="minorHAnsi" w:cstheme="minorHAnsi"/>
          <w:color w:val="auto"/>
          <w:sz w:val="19"/>
          <w:szCs w:val="19"/>
        </w:rPr>
      </w:pPr>
    </w:p>
    <w:p w14:paraId="45A6F41D" w14:textId="596FC75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</w:t>
      </w:r>
      <w:r w:rsidR="00354B6E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szacowanie ilościowe i jakościowe wyjaśnienie, w jaki sposób środki przewidziane w planie mają zmniejszyć ubóstwo energetyczne i ubóstwo transportowe oraz podatność gospodarstw domowych i użytkowników transportu na wzrost cen transportu drogowego i paliw do ogrzewania;</w:t>
      </w:r>
    </w:p>
    <w:p w14:paraId="30EFD95F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7C72ED5F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uzasadnienie proponowanego harmonogramu zmniejszania tymczasowego bezpośredniego wsparcia dochodów oraz warunków, w których nie ma ono już zastosowania;</w:t>
      </w:r>
    </w:p>
    <w:p w14:paraId="600949E0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5F63F3A9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opis sposobu, w jaki grupy odbiorców tymczasowego bezpośredniego wsparcia dochodów są również adresatami środków strukturalnych i inwestycji mających na celu skuteczne wydźwignięcie ich z ubóstwa energetycznego i ubóstwa transportowego, a także opis komplementarności tymczasowego bezpośredniego wsparcia dochodów ze środkami strukturalnymi i inwestycjami mającymi na celu wsparcie gospodarstw domowych znajdujących się w trudnej sytuacji i użytkowników transportu znajdujących się w trudnej sytuacji.</w:t>
      </w:r>
    </w:p>
    <w:p w14:paraId="188779B5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2054CA08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31D83F93" w14:textId="3AE64EB3" w:rsidR="00BB3FE8" w:rsidRPr="009909F4" w:rsidRDefault="00354B6E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e</w:t>
      </w:r>
      <w:r w:rsidR="00BB3FE8" w:rsidRPr="009909F4">
        <w:rPr>
          <w:rFonts w:asciiTheme="minorHAnsi" w:hAnsiTheme="minorHAnsi" w:cstheme="minorHAnsi"/>
          <w:color w:val="auto"/>
          <w:sz w:val="19"/>
          <w:szCs w:val="19"/>
        </w:rPr>
        <w:t>)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="00BB3FE8" w:rsidRPr="009909F4">
        <w:rPr>
          <w:rFonts w:asciiTheme="minorHAnsi" w:hAnsiTheme="minorHAnsi" w:cstheme="minorHAnsi"/>
          <w:color w:val="auto"/>
          <w:sz w:val="19"/>
          <w:szCs w:val="19"/>
        </w:rPr>
        <w:t>Koszty środków</w:t>
      </w:r>
    </w:p>
    <w:p w14:paraId="500BC1B1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Informacje dotyczące szacunkowych łącznych kosztów komponentu, poparte odpowiednim uzasadnieniem, w tym:</w:t>
      </w:r>
    </w:p>
    <w:p w14:paraId="6E129497" w14:textId="77777777" w:rsidR="00BB3FE8" w:rsidRPr="009909F4" w:rsidRDefault="00BB3FE8" w:rsidP="00BB3FE8">
      <w:pPr>
        <w:pStyle w:val="Default"/>
        <w:spacing w:after="57"/>
        <w:rPr>
          <w:rFonts w:asciiTheme="minorHAnsi" w:hAnsiTheme="minorHAnsi" w:cstheme="minorHAnsi"/>
          <w:color w:val="auto"/>
          <w:sz w:val="19"/>
          <w:szCs w:val="19"/>
        </w:rPr>
      </w:pPr>
    </w:p>
    <w:p w14:paraId="59DB5745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zastosowana metodyka, przyjęte założenia podstawowe oraz uzasadnienie tych założeń;</w:t>
      </w:r>
    </w:p>
    <w:p w14:paraId="4EAFD9FE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4B4ABCA4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dane porównawcze dotyczące kosztów rzeczywistych, jeżeli w przeszłości realizowano podobne środki wsparcia;</w:t>
      </w:r>
    </w:p>
    <w:p w14:paraId="0D33B17A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132C5D41" w14:textId="3065EFC3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</w:t>
      </w:r>
      <w:r w:rsidR="00354B6E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wszelkie informacje na temat tego, jakie finansowanie z innych instrumentów unijnych jest lub może być przewidziane w odniesieniu do tego samego wsparcia;</w:t>
      </w:r>
    </w:p>
    <w:p w14:paraId="2802487A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7AA33D32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odpowiednie szczegółowe uzasadnienie wiarygodności i zasadności szacunkowych kosztów, w tym wszelkie wykorzystane dane lub dowody załączone do planu.</w:t>
      </w:r>
    </w:p>
    <w:p w14:paraId="636F8EF0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49CB7D0E" w14:textId="77777777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17AF383A" w14:textId="13C8488B" w:rsidR="00BB3FE8" w:rsidRPr="009909F4" w:rsidRDefault="00354B6E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f</w:t>
      </w:r>
      <w:r w:rsidR="00BB3FE8" w:rsidRPr="009909F4">
        <w:rPr>
          <w:rFonts w:asciiTheme="minorHAnsi" w:hAnsiTheme="minorHAnsi" w:cstheme="minorHAnsi"/>
          <w:color w:val="auto"/>
          <w:sz w:val="19"/>
          <w:szCs w:val="19"/>
        </w:rPr>
        <w:t>)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="00BB3FE8" w:rsidRPr="009909F4">
        <w:rPr>
          <w:rFonts w:asciiTheme="minorHAnsi" w:hAnsiTheme="minorHAnsi" w:cstheme="minorHAnsi"/>
          <w:color w:val="auto"/>
          <w:sz w:val="19"/>
          <w:szCs w:val="19"/>
        </w:rPr>
        <w:t>Uzasadnienie przyznania korzyści podmiotom innym niż gospodarstwa domowe znajdujące się w trudnej sytuacji i użytkownicy transportu znajdujący się w trudnej sytuacji (w stosownych przypadkach)</w:t>
      </w:r>
    </w:p>
    <w:p w14:paraId="0D42FB99" w14:textId="77777777" w:rsidR="00354B6E" w:rsidRPr="009909F4" w:rsidRDefault="00354B6E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28C99E0B" w14:textId="380CD25A" w:rsidR="00BB3FE8" w:rsidRPr="009909F4" w:rsidRDefault="00BB3FE8" w:rsidP="00BB3FE8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Jeżeli wsparcie z Funduszu jest udzielane za pośrednictwem podmiotów publicznych lub prywatnych innych niż gospodarstwa domowe znajdujące się w trudnej sytuacji lub użytkownicy transportu znajdujący się w trudnej sytuacji – wyjaśnienie, jakiego rodzaju środki wprowadzą te podmioty i w jaki sposób te środki ostatecznie przyniosą korzyści gospodarstwom domowym znajdującym się w trudnej sytuacji lub użytkownikom transportu znajdującym się w trudnej sytuacji.</w:t>
      </w:r>
    </w:p>
    <w:p w14:paraId="32955600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09BAC2D1" w14:textId="6CB338C2" w:rsidR="00354B6E" w:rsidRPr="009909F4" w:rsidRDefault="00354B6E" w:rsidP="00354B6E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Jeżeli wsparcie z Funduszu udzielane jest poprzez pośredników finansowych, opis środków, które państwo członkowskie zamierza przyjąć w celu zapewnienia, aby pośrednicy finansowi przekazywali całość korzyści odbiorcom końcowym.</w:t>
      </w:r>
    </w:p>
    <w:p w14:paraId="76D27B89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47ED8A7C" w14:textId="262F7121" w:rsidR="00354B6E" w:rsidRPr="009909F4" w:rsidRDefault="00354B6E" w:rsidP="00354B6E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g) Szacunkowy koszt planu w odniesieniu do komponentu tymczasowego bezpośredniego wsparcia dochodów.</w:t>
      </w:r>
    </w:p>
    <w:p w14:paraId="63B1A2DC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64DD8953" w14:textId="0513CD24" w:rsidR="00354B6E" w:rsidRPr="009909F4" w:rsidRDefault="00354B6E" w:rsidP="00354B6E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Należy wypełnić tabelę dotyczącą szacunkowego kosztu wsparcia ujętego w komponencie, zgodnie z poniższym wzorem: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9"/>
        <w:gridCol w:w="1089"/>
        <w:gridCol w:w="677"/>
        <w:gridCol w:w="677"/>
        <w:gridCol w:w="1468"/>
        <w:gridCol w:w="961"/>
        <w:gridCol w:w="768"/>
        <w:gridCol w:w="709"/>
        <w:gridCol w:w="709"/>
        <w:gridCol w:w="850"/>
        <w:gridCol w:w="851"/>
        <w:gridCol w:w="730"/>
      </w:tblGrid>
      <w:tr w:rsidR="00354B6E" w:rsidRPr="009909F4" w14:paraId="584F9821" w14:textId="77777777" w:rsidTr="00CF57B1">
        <w:tc>
          <w:tcPr>
            <w:tcW w:w="1159" w:type="dxa"/>
            <w:vMerge w:val="restart"/>
          </w:tcPr>
          <w:p w14:paraId="2FC5A159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Numer porządkowy</w:t>
            </w:r>
          </w:p>
        </w:tc>
        <w:tc>
          <w:tcPr>
            <w:tcW w:w="1089" w:type="dxa"/>
            <w:vMerge w:val="restart"/>
          </w:tcPr>
          <w:p w14:paraId="4BCB9977" w14:textId="15AAD6A8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Rodzaj wsparcia</w:t>
            </w:r>
          </w:p>
        </w:tc>
        <w:tc>
          <w:tcPr>
            <w:tcW w:w="1354" w:type="dxa"/>
            <w:gridSpan w:val="2"/>
            <w:vMerge w:val="restart"/>
          </w:tcPr>
          <w:p w14:paraId="5CCB44AB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Odnośny okres</w:t>
            </w:r>
          </w:p>
        </w:tc>
        <w:tc>
          <w:tcPr>
            <w:tcW w:w="7046" w:type="dxa"/>
            <w:gridSpan w:val="8"/>
          </w:tcPr>
          <w:p w14:paraId="7D16372C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Szacunkowe koszty, w odniesieniu do których wnioskuje się o finansowanie z Funduszu</w:t>
            </w:r>
          </w:p>
        </w:tc>
      </w:tr>
      <w:tr w:rsidR="00354B6E" w:rsidRPr="009909F4" w14:paraId="4E17B35D" w14:textId="77777777" w:rsidTr="00CF57B1">
        <w:tc>
          <w:tcPr>
            <w:tcW w:w="1159" w:type="dxa"/>
            <w:vMerge/>
          </w:tcPr>
          <w:p w14:paraId="008C21A7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89" w:type="dxa"/>
            <w:vMerge/>
          </w:tcPr>
          <w:p w14:paraId="1AF3BA38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54" w:type="dxa"/>
            <w:gridSpan w:val="2"/>
            <w:vMerge/>
          </w:tcPr>
          <w:p w14:paraId="133BB2D1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68" w:type="dxa"/>
          </w:tcPr>
          <w:p w14:paraId="7447AAF1" w14:textId="44CC41B3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Wartość wnioskowanego </w:t>
            </w:r>
            <w:r w:rsidRPr="009909F4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wsparcia łącznie</w:t>
            </w:r>
          </w:p>
        </w:tc>
        <w:tc>
          <w:tcPr>
            <w:tcW w:w="5578" w:type="dxa"/>
            <w:gridSpan w:val="7"/>
          </w:tcPr>
          <w:p w14:paraId="7C75CBC8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W stosownym przypadku: w podziale na lata</w:t>
            </w:r>
          </w:p>
        </w:tc>
      </w:tr>
      <w:tr w:rsidR="00354B6E" w:rsidRPr="009909F4" w14:paraId="2373387D" w14:textId="77777777" w:rsidTr="00CF57B1">
        <w:tc>
          <w:tcPr>
            <w:tcW w:w="1159" w:type="dxa"/>
            <w:vMerge/>
          </w:tcPr>
          <w:p w14:paraId="7E48CC6D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89" w:type="dxa"/>
            <w:vMerge/>
          </w:tcPr>
          <w:p w14:paraId="49D7630A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7" w:type="dxa"/>
          </w:tcPr>
          <w:p w14:paraId="66FF50C5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od (data)</w:t>
            </w:r>
          </w:p>
        </w:tc>
        <w:tc>
          <w:tcPr>
            <w:tcW w:w="677" w:type="dxa"/>
          </w:tcPr>
          <w:p w14:paraId="6BCA831C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do (data)</w:t>
            </w:r>
          </w:p>
        </w:tc>
        <w:tc>
          <w:tcPr>
            <w:tcW w:w="1468" w:type="dxa"/>
          </w:tcPr>
          <w:p w14:paraId="5314B871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Kwota (w mln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)</w:t>
            </w:r>
          </w:p>
        </w:tc>
        <w:tc>
          <w:tcPr>
            <w:tcW w:w="961" w:type="dxa"/>
          </w:tcPr>
          <w:p w14:paraId="5CF496D9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2026</w:t>
            </w:r>
          </w:p>
        </w:tc>
        <w:tc>
          <w:tcPr>
            <w:tcW w:w="768" w:type="dxa"/>
          </w:tcPr>
          <w:p w14:paraId="2E4BEDD5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2027</w:t>
            </w:r>
          </w:p>
        </w:tc>
        <w:tc>
          <w:tcPr>
            <w:tcW w:w="709" w:type="dxa"/>
          </w:tcPr>
          <w:p w14:paraId="31EFC68B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2028</w:t>
            </w:r>
          </w:p>
        </w:tc>
        <w:tc>
          <w:tcPr>
            <w:tcW w:w="709" w:type="dxa"/>
          </w:tcPr>
          <w:p w14:paraId="56A084E2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2029</w:t>
            </w:r>
          </w:p>
        </w:tc>
        <w:tc>
          <w:tcPr>
            <w:tcW w:w="850" w:type="dxa"/>
          </w:tcPr>
          <w:p w14:paraId="6716A964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2030</w:t>
            </w:r>
          </w:p>
        </w:tc>
        <w:tc>
          <w:tcPr>
            <w:tcW w:w="851" w:type="dxa"/>
          </w:tcPr>
          <w:p w14:paraId="6B6D529E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2031</w:t>
            </w:r>
          </w:p>
        </w:tc>
        <w:tc>
          <w:tcPr>
            <w:tcW w:w="730" w:type="dxa"/>
          </w:tcPr>
          <w:p w14:paraId="5C0769D0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2032</w:t>
            </w:r>
          </w:p>
        </w:tc>
      </w:tr>
      <w:tr w:rsidR="00354B6E" w:rsidRPr="009909F4" w14:paraId="0D30A271" w14:textId="77777777" w:rsidTr="00CF57B1">
        <w:tc>
          <w:tcPr>
            <w:tcW w:w="1159" w:type="dxa"/>
          </w:tcPr>
          <w:p w14:paraId="164AEAC8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089" w:type="dxa"/>
          </w:tcPr>
          <w:p w14:paraId="531DA630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54" w:type="dxa"/>
            <w:gridSpan w:val="2"/>
          </w:tcPr>
          <w:p w14:paraId="337D6DBC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68" w:type="dxa"/>
          </w:tcPr>
          <w:p w14:paraId="6DE78728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61" w:type="dxa"/>
          </w:tcPr>
          <w:p w14:paraId="6638FCC5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68" w:type="dxa"/>
          </w:tcPr>
          <w:p w14:paraId="3345F97E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09" w:type="dxa"/>
          </w:tcPr>
          <w:p w14:paraId="1E812E24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09" w:type="dxa"/>
          </w:tcPr>
          <w:p w14:paraId="5CD3ECF9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0" w:type="dxa"/>
          </w:tcPr>
          <w:p w14:paraId="4936FAC0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51" w:type="dxa"/>
          </w:tcPr>
          <w:p w14:paraId="5D3E7FF9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730" w:type="dxa"/>
          </w:tcPr>
          <w:p w14:paraId="41C066B2" w14:textId="77777777" w:rsidR="00354B6E" w:rsidRPr="009909F4" w:rsidRDefault="00354B6E" w:rsidP="00CF57B1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79F0CB74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</w:rPr>
      </w:pPr>
    </w:p>
    <w:p w14:paraId="25BA2A30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</w:rPr>
      </w:pPr>
    </w:p>
    <w:p w14:paraId="0BD80424" w14:textId="10C1971E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h) Scenariusz w przypadku późniejszego uruchomienia systemu handlu uprawnieniami do emisji</w:t>
      </w:r>
    </w:p>
    <w:p w14:paraId="79238548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Opis i kwantyfikacja niezbędnych dostosowań środków, inwestycji, kamieni milowych, wartości docelowych, kwoty wkładu krajowego oraz wszelkich innych stosownych elementów planu wynikających z odroczenia uruchomienia systemu handlu uprawnieniami do emisji ustanowionego na mocy rozdziału </w:t>
      </w:r>
      <w:proofErr w:type="spellStart"/>
      <w:r w:rsidRPr="009909F4">
        <w:rPr>
          <w:rFonts w:asciiTheme="minorHAnsi" w:hAnsiTheme="minorHAnsi" w:cstheme="minorHAnsi"/>
          <w:color w:val="auto"/>
          <w:sz w:val="19"/>
          <w:szCs w:val="19"/>
        </w:rPr>
        <w:t>IVa</w:t>
      </w:r>
      <w:proofErr w:type="spellEnd"/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dyrektywy 2003/87/WE zgodnie z art. </w:t>
      </w:r>
      <w:proofErr w:type="spellStart"/>
      <w:r w:rsidRPr="009909F4">
        <w:rPr>
          <w:rFonts w:asciiTheme="minorHAnsi" w:hAnsiTheme="minorHAnsi" w:cstheme="minorHAnsi"/>
          <w:color w:val="auto"/>
          <w:sz w:val="19"/>
          <w:szCs w:val="19"/>
        </w:rPr>
        <w:t>30k</w:t>
      </w:r>
      <w:proofErr w:type="spellEnd"/>
      <w:r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tej dyrektywy.</w:t>
      </w:r>
    </w:p>
    <w:p w14:paraId="62BD21CD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Oddzielna wersja pola podsumowującego, tabeli dotyczącej kamieni milowych, wartości docelowych i harmonogramu oraz tabeli dotyczącej szacunkowych kosztów.</w:t>
      </w:r>
    </w:p>
    <w:p w14:paraId="0CC69F0D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67FBFFB9" w14:textId="1AE5765B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2.3.</w:t>
      </w:r>
      <w:r w:rsidR="00925001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Pomoc techniczna</w:t>
      </w:r>
    </w:p>
    <w:p w14:paraId="498E52BE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Opis działań w zakresie pomocy technicznej, które zostaną uwzględnione na potrzeby skutecznego zarządzania środkami i inwestycjami określonymi w planie oraz na potrzeby ich skutecznej realizacji, zgodnie z art. 8 ust. 3, w tym:</w:t>
      </w:r>
    </w:p>
    <w:p w14:paraId="74092A7F" w14:textId="77777777" w:rsidR="00354B6E" w:rsidRPr="009909F4" w:rsidRDefault="00354B6E" w:rsidP="00354B6E">
      <w:pPr>
        <w:pStyle w:val="Default"/>
        <w:spacing w:after="101"/>
        <w:rPr>
          <w:rFonts w:asciiTheme="minorHAnsi" w:hAnsiTheme="minorHAnsi" w:cstheme="minorHAnsi"/>
          <w:color w:val="auto"/>
          <w:sz w:val="19"/>
          <w:szCs w:val="19"/>
        </w:rPr>
      </w:pPr>
    </w:p>
    <w:p w14:paraId="1EB0446C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charakter, rodzaj i wielkość działań w zakresie pomocy technicznej;</w:t>
      </w:r>
    </w:p>
    <w:p w14:paraId="6B3DA77E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374F78D2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— szacunkowy koszt działań w zakresie pomocy technicznej.</w:t>
      </w:r>
    </w:p>
    <w:p w14:paraId="7EDAE76D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2EED4A51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65DB0EAF" w14:textId="6CD53C68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2.4.</w:t>
      </w:r>
      <w:r w:rsidR="00925001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Przesunięcia do programów objętych zarządzaniem dzielonym</w:t>
      </w:r>
    </w:p>
    <w:p w14:paraId="1FCF4524" w14:textId="1457410C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Jeżeli zasoby mają zostać przesunięte z Funduszu do funduszy objętych zarządzaniem dzielonym zgodnie z art. 11 ust. 2</w:t>
      </w:r>
      <w:r w:rsidR="00C329C9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rozporządzenia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, wskazanie programów, do których te zasoby zostaną przesunięte i w ramach jakiego harmonogramu, oraz wskazanie, w jaki sposób środki i inwestycje, które mają być realizowane w ramach tych programów, byłyby zgodne z celami, o których mowa w art. 3</w:t>
      </w:r>
      <w:r w:rsidR="00C329C9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rozporządzenia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, w tym czy wchodzą w zakres środków i inwestycji określonych w art. 8</w:t>
      </w:r>
      <w:r w:rsidR="00C329C9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rozporządzenia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.</w:t>
      </w:r>
    </w:p>
    <w:p w14:paraId="6D9C2954" w14:textId="7777777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</w:p>
    <w:p w14:paraId="2C3DC5C5" w14:textId="526E8BB7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2.5.</w:t>
      </w:r>
      <w:r w:rsidR="00925001" w:rsidRPr="009909F4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Pr="009909F4">
        <w:rPr>
          <w:rFonts w:asciiTheme="minorHAnsi" w:hAnsiTheme="minorHAnsi" w:cstheme="minorHAnsi"/>
          <w:color w:val="auto"/>
          <w:sz w:val="19"/>
          <w:szCs w:val="19"/>
        </w:rPr>
        <w:t>Szacowane łączne koszty planu</w:t>
      </w:r>
    </w:p>
    <w:p w14:paraId="58D8EAA2" w14:textId="726723F3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Szacunkowy łączne koszty planu, w tym wszelkie kwoty udostępnione na dodatkowe wsparcie techniczne na podstawie art. 11 ust. 4 rozporządzenia, kwota wkładu pieniężnego na potrzeby modułu państw członkowskich zgodnie z odpowiednimi przepisami rozporządzenia (UE) 2021/523 oraz ewentualna kwota udostępniona na dodatkową pomoc techniczną na podstawie art. 8 ust. 3 rozporządzenia.</w:t>
      </w:r>
    </w:p>
    <w:p w14:paraId="14AE416A" w14:textId="66DF7A95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Wskazanie wkładu krajowego w łączne koszty planu, w tym wskazanie wszelkich zasobów, które mają zostać przesunięte do Funduszu z programów objętych zarządzaniem dzielonym zgodnie z art. 11 ust. 1 rozporządzenia, oraz wszelkich zasobów, które mają zostać przesunięte z Funduszu do programów objętych zarządzaniem dzielonym zgodnie z art. 11 ust. 2 rozporządzenia.</w:t>
      </w:r>
    </w:p>
    <w:p w14:paraId="69478628" w14:textId="7C103CF2" w:rsidR="00354B6E" w:rsidRPr="009909F4" w:rsidRDefault="00354B6E" w:rsidP="00354B6E">
      <w:pPr>
        <w:pStyle w:val="Default"/>
        <w:rPr>
          <w:rFonts w:asciiTheme="minorHAnsi" w:hAnsiTheme="minorHAnsi" w:cstheme="minorHAnsi"/>
          <w:color w:val="auto"/>
          <w:sz w:val="19"/>
          <w:szCs w:val="19"/>
        </w:rPr>
      </w:pPr>
      <w:r w:rsidRPr="009909F4">
        <w:rPr>
          <w:rFonts w:asciiTheme="minorHAnsi" w:hAnsiTheme="minorHAnsi" w:cstheme="minorHAnsi"/>
          <w:color w:val="auto"/>
          <w:sz w:val="19"/>
          <w:szCs w:val="19"/>
        </w:rPr>
        <w:t>Opis, w jaki sposób koszty są zgodne z zasadą oszczędności kosztowej i proporcjonalne do spodziewanego wpływu planu.</w:t>
      </w:r>
    </w:p>
    <w:p w14:paraId="095C629B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</w:rPr>
      </w:pPr>
    </w:p>
    <w:p w14:paraId="7CD62939" w14:textId="383F7DBF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Należy wypełnić tabelę podsumowującą koszt Funduszu w podziale na źródła finansowania, zgodnie z poniższym wzorem: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9"/>
        <w:gridCol w:w="3549"/>
        <w:gridCol w:w="3550"/>
      </w:tblGrid>
      <w:tr w:rsidR="00C329C9" w:rsidRPr="009909F4" w14:paraId="50D59A66" w14:textId="77777777" w:rsidTr="00C329C9">
        <w:tc>
          <w:tcPr>
            <w:tcW w:w="3549" w:type="dxa"/>
          </w:tcPr>
          <w:p w14:paraId="632BEB1E" w14:textId="54925BA2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Łączne koszty planu społeczno-klimatycznego</w:t>
            </w:r>
          </w:p>
        </w:tc>
        <w:tc>
          <w:tcPr>
            <w:tcW w:w="3549" w:type="dxa"/>
          </w:tcPr>
          <w:p w14:paraId="26E7C1EE" w14:textId="2C37DAA2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Scenariusz podstawowy</w:t>
            </w:r>
          </w:p>
        </w:tc>
        <w:tc>
          <w:tcPr>
            <w:tcW w:w="3550" w:type="dxa"/>
          </w:tcPr>
          <w:p w14:paraId="24078DBF" w14:textId="49A29B45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W przypadku art.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30k</w:t>
            </w:r>
            <w:proofErr w:type="spellEnd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 dyrektywy 2003/87/WE</w:t>
            </w:r>
          </w:p>
        </w:tc>
      </w:tr>
      <w:tr w:rsidR="00C329C9" w:rsidRPr="009909F4" w14:paraId="31F49EB6" w14:textId="77777777" w:rsidTr="00C329C9">
        <w:tc>
          <w:tcPr>
            <w:tcW w:w="3549" w:type="dxa"/>
          </w:tcPr>
          <w:p w14:paraId="04AF51B9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SZACUNKOWE ŁĄCZNE KOSZTY PLANU,</w:t>
            </w:r>
          </w:p>
          <w:p w14:paraId="2D9115DF" w14:textId="54DEDCC1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 tym</w:t>
            </w:r>
          </w:p>
        </w:tc>
        <w:tc>
          <w:tcPr>
            <w:tcW w:w="3549" w:type="dxa"/>
          </w:tcPr>
          <w:p w14:paraId="3200C52F" w14:textId="14CA4EF0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  <w:tc>
          <w:tcPr>
            <w:tcW w:w="3550" w:type="dxa"/>
          </w:tcPr>
          <w:p w14:paraId="62996640" w14:textId="1FF077DF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</w:tr>
      <w:tr w:rsidR="00C329C9" w:rsidRPr="009909F4" w14:paraId="4B955731" w14:textId="77777777" w:rsidTr="00C329C9">
        <w:tc>
          <w:tcPr>
            <w:tcW w:w="3549" w:type="dxa"/>
          </w:tcPr>
          <w:p w14:paraId="10797074" w14:textId="587D55A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Objęte Funduszem</w:t>
            </w:r>
          </w:p>
        </w:tc>
        <w:tc>
          <w:tcPr>
            <w:tcW w:w="3549" w:type="dxa"/>
          </w:tcPr>
          <w:p w14:paraId="1DDBDECB" w14:textId="73751CD8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  <w:tc>
          <w:tcPr>
            <w:tcW w:w="3550" w:type="dxa"/>
          </w:tcPr>
          <w:p w14:paraId="16FEE49F" w14:textId="39D3B2B6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</w:tr>
      <w:tr w:rsidR="00C329C9" w:rsidRPr="009909F4" w14:paraId="452BE8B9" w14:textId="77777777" w:rsidTr="00C329C9">
        <w:tc>
          <w:tcPr>
            <w:tcW w:w="3549" w:type="dxa"/>
          </w:tcPr>
          <w:p w14:paraId="3B3ECBD1" w14:textId="6CEC1505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Wkład krajowy</w:t>
            </w:r>
          </w:p>
        </w:tc>
        <w:tc>
          <w:tcPr>
            <w:tcW w:w="3549" w:type="dxa"/>
          </w:tcPr>
          <w:p w14:paraId="731DE2AB" w14:textId="193F725B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  <w:tc>
          <w:tcPr>
            <w:tcW w:w="3550" w:type="dxa"/>
          </w:tcPr>
          <w:p w14:paraId="5C8DC0D7" w14:textId="60920731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</w:tr>
      <w:tr w:rsidR="00C329C9" w:rsidRPr="009909F4" w14:paraId="00D2D372" w14:textId="77777777" w:rsidTr="00C329C9">
        <w:tc>
          <w:tcPr>
            <w:tcW w:w="3549" w:type="dxa"/>
          </w:tcPr>
          <w:p w14:paraId="408BDB45" w14:textId="7FBE4AF1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Przesunięcia z programów objętych zarządzaniem dzielonym</w:t>
            </w:r>
          </w:p>
        </w:tc>
        <w:tc>
          <w:tcPr>
            <w:tcW w:w="3549" w:type="dxa"/>
          </w:tcPr>
          <w:p w14:paraId="5067CCA4" w14:textId="3CF3B235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  <w:tc>
          <w:tcPr>
            <w:tcW w:w="3550" w:type="dxa"/>
          </w:tcPr>
          <w:p w14:paraId="3922A2F8" w14:textId="76B9B495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</w:tr>
      <w:tr w:rsidR="00C329C9" w:rsidRPr="009909F4" w14:paraId="22EA1C4F" w14:textId="77777777" w:rsidTr="00C329C9">
        <w:tc>
          <w:tcPr>
            <w:tcW w:w="3549" w:type="dxa"/>
          </w:tcPr>
          <w:p w14:paraId="33067D9A" w14:textId="0C93056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(Przesunięcia do programów objętych zarządzaniem dzielonym)</w:t>
            </w:r>
          </w:p>
        </w:tc>
        <w:tc>
          <w:tcPr>
            <w:tcW w:w="3549" w:type="dxa"/>
          </w:tcPr>
          <w:p w14:paraId="1B0D57D6" w14:textId="6B131EAF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- 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  <w:tc>
          <w:tcPr>
            <w:tcW w:w="3550" w:type="dxa"/>
          </w:tcPr>
          <w:p w14:paraId="69EF7861" w14:textId="36E876D4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- XXX </w:t>
            </w: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EUR</w:t>
            </w:r>
            <w:proofErr w:type="spellEnd"/>
          </w:p>
        </w:tc>
      </w:tr>
    </w:tbl>
    <w:p w14:paraId="59462D38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6E1437D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</w:rPr>
      </w:pPr>
    </w:p>
    <w:p w14:paraId="3AE6F9BD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</w:rPr>
      </w:pPr>
    </w:p>
    <w:p w14:paraId="1ED49F51" w14:textId="254985FE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3. ANALIZA I WPŁYW OGÓLNY</w:t>
      </w:r>
    </w:p>
    <w:p w14:paraId="5DF0A73D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3CAB8EC9" w14:textId="53E61CD4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3.1. Definicje</w:t>
      </w:r>
    </w:p>
    <w:p w14:paraId="1C917948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Wyjaśnienie, w jaki sposób definicje ubóstwa energetycznego i ubóstwa transportowego mają być stosowane na poziomie krajowym.</w:t>
      </w:r>
    </w:p>
    <w:p w14:paraId="13E684D8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61AAB7F" w14:textId="4029457D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3.2. Przewidywany wpływ na grupy znajdujące się w trudnej sytuacji</w:t>
      </w:r>
    </w:p>
    <w:p w14:paraId="78322A09" w14:textId="0A5BAE0C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 xml:space="preserve">Oszacowanie prawdopodobnych skutków wzrostu cen będącego wynikiem systemu handlu uprawnieniami do emisji ustanowionego na mocy rozdziału </w:t>
      </w:r>
      <w:proofErr w:type="spellStart"/>
      <w:r w:rsidRPr="009909F4">
        <w:rPr>
          <w:rFonts w:asciiTheme="minorHAnsi" w:hAnsiTheme="minorHAnsi" w:cstheme="minorHAnsi"/>
          <w:sz w:val="19"/>
          <w:szCs w:val="19"/>
        </w:rPr>
        <w:t>IVa</w:t>
      </w:r>
      <w:proofErr w:type="spellEnd"/>
      <w:r w:rsidRPr="009909F4">
        <w:rPr>
          <w:rFonts w:asciiTheme="minorHAnsi" w:hAnsiTheme="minorHAnsi" w:cstheme="minorHAnsi"/>
          <w:sz w:val="19"/>
          <w:szCs w:val="19"/>
        </w:rPr>
        <w:t xml:space="preserve"> dyrektywy 2003/87/WE dla gospodarstw domowych, w szczególności dla występowania ubóstwa energetycznego i ubóstwa transportowego, oraz dla mikroprzedsiębiorstw, zawierające w szczególności oszacowanie liczby i identyfikację gospodarstw </w:t>
      </w:r>
      <w:r w:rsidRPr="009909F4">
        <w:rPr>
          <w:rFonts w:asciiTheme="minorHAnsi" w:hAnsiTheme="minorHAnsi" w:cstheme="minorHAnsi"/>
          <w:sz w:val="19"/>
          <w:szCs w:val="19"/>
        </w:rPr>
        <w:lastRenderedPageBreak/>
        <w:t>domowych znajdujących się w trudnej sytuacji, mikroprzedsiębiorstw znajdujących się w trudnej sytuacji oraz użytkowników transportu znajdujących się w trudnej sytuacji. Skutki te należy analizować na odpowiednim poziomie podziału terytorialnego określonym przez państwo członkowskie, uwzględniając specyfikę krajową i takie elementy, jak dostęp do transportu publicznego i podstawowych usług, oraz wskazując obszary, w których skutki te mogą być najbardziej odczuwalne.</w:t>
      </w:r>
    </w:p>
    <w:p w14:paraId="378381B3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 xml:space="preserve">Opis metodyki zastosowanej w oszacowaniach, przy jednoczesnym upewnieniu się, że oszacowania te są dokonywane przy zachowaniu odpowiedniego poziomu </w:t>
      </w:r>
      <w:proofErr w:type="spellStart"/>
      <w:r w:rsidRPr="009909F4">
        <w:rPr>
          <w:rFonts w:asciiTheme="minorHAnsi" w:hAnsiTheme="minorHAnsi" w:cstheme="minorHAnsi"/>
          <w:sz w:val="19"/>
          <w:szCs w:val="19"/>
        </w:rPr>
        <w:t>dezagregacji</w:t>
      </w:r>
      <w:proofErr w:type="spellEnd"/>
      <w:r w:rsidRPr="009909F4">
        <w:rPr>
          <w:rFonts w:asciiTheme="minorHAnsi" w:hAnsiTheme="minorHAnsi" w:cstheme="minorHAnsi"/>
          <w:sz w:val="19"/>
          <w:szCs w:val="19"/>
        </w:rPr>
        <w:t xml:space="preserve"> na poziomie regionalnym.</w:t>
      </w:r>
    </w:p>
    <w:p w14:paraId="4B136F31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0DAB711B" w14:textId="37E259C1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3.3. Przewidywany wpływ planowanych środków i inwestycji</w:t>
      </w:r>
    </w:p>
    <w:p w14:paraId="051ED4C1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Oszacowanie przewidywanego wpływu środków i inwestycji planowanych w sekcji 2 na emisje gazów cieplarnianych, ubóstwo energetyczne i ubóstwo transportowe, z porównaniem do opisanego powyżej poziomu bazowego.</w:t>
      </w:r>
    </w:p>
    <w:p w14:paraId="0AD4AF95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Opis metodyki zastosowanej w oszacowaniach.</w:t>
      </w:r>
    </w:p>
    <w:p w14:paraId="6A112157" w14:textId="1C6094D6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Tabele jakościowe i ilościowe dotyczące wpływu planu, zgodnie z poniższym wzorem:</w:t>
      </w:r>
    </w:p>
    <w:p w14:paraId="1129DFC7" w14:textId="77777777" w:rsidR="002B0CBB" w:rsidRPr="009909F4" w:rsidRDefault="002B0CBB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4"/>
        <w:gridCol w:w="1774"/>
        <w:gridCol w:w="1775"/>
        <w:gridCol w:w="1775"/>
        <w:gridCol w:w="1775"/>
        <w:gridCol w:w="1775"/>
      </w:tblGrid>
      <w:tr w:rsidR="00EA40D2" w:rsidRPr="009909F4" w14:paraId="798834FD" w14:textId="77777777" w:rsidTr="00DB5381">
        <w:tc>
          <w:tcPr>
            <w:tcW w:w="1774" w:type="dxa"/>
            <w:vMerge w:val="restart"/>
          </w:tcPr>
          <w:p w14:paraId="1646BBFF" w14:textId="17C25AEA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Komponent</w:t>
            </w:r>
          </w:p>
        </w:tc>
        <w:tc>
          <w:tcPr>
            <w:tcW w:w="8874" w:type="dxa"/>
            <w:gridSpan w:val="5"/>
          </w:tcPr>
          <w:p w14:paraId="4A78FA23" w14:textId="77777777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Opis spodziewanego wpływu komponentu na:</w:t>
            </w:r>
          </w:p>
          <w:p w14:paraId="32CCE55F" w14:textId="1E20DD85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(z uwzględnieniem stosownych wskaźników ilościowych)</w:t>
            </w:r>
          </w:p>
        </w:tc>
      </w:tr>
      <w:tr w:rsidR="00EA40D2" w:rsidRPr="009909F4" w14:paraId="70296A0D" w14:textId="77777777" w:rsidTr="00C329C9">
        <w:tc>
          <w:tcPr>
            <w:tcW w:w="1774" w:type="dxa"/>
            <w:vMerge/>
          </w:tcPr>
          <w:p w14:paraId="7965D90C" w14:textId="77777777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4" w:type="dxa"/>
          </w:tcPr>
          <w:p w14:paraId="5344AD66" w14:textId="5DE1417B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Efektywność energetyczna</w:t>
            </w:r>
          </w:p>
        </w:tc>
        <w:tc>
          <w:tcPr>
            <w:tcW w:w="1775" w:type="dxa"/>
          </w:tcPr>
          <w:p w14:paraId="0CBD0EA1" w14:textId="4D838322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Renowacja budynków</w:t>
            </w:r>
          </w:p>
        </w:tc>
        <w:tc>
          <w:tcPr>
            <w:tcW w:w="1775" w:type="dxa"/>
          </w:tcPr>
          <w:p w14:paraId="4BE6F188" w14:textId="4F47C5D7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Bezemisyjne</w:t>
            </w:r>
            <w:proofErr w:type="spellEnd"/>
            <w:r w:rsidRPr="009909F4">
              <w:rPr>
                <w:rFonts w:asciiTheme="minorHAnsi" w:hAnsiTheme="minorHAnsi" w:cstheme="minorHAnsi"/>
                <w:sz w:val="19"/>
                <w:szCs w:val="19"/>
              </w:rPr>
              <w:t xml:space="preserve"> i niskoemisyjne mobilność i transport</w:t>
            </w:r>
          </w:p>
        </w:tc>
        <w:tc>
          <w:tcPr>
            <w:tcW w:w="1775" w:type="dxa"/>
          </w:tcPr>
          <w:p w14:paraId="75CCCD56" w14:textId="5D4FD5F5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Redukcje emisji gazów cieplarnianych</w:t>
            </w:r>
          </w:p>
        </w:tc>
        <w:tc>
          <w:tcPr>
            <w:tcW w:w="1775" w:type="dxa"/>
          </w:tcPr>
          <w:p w14:paraId="4CEE61C4" w14:textId="2CF4A07D" w:rsidR="00EA40D2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Redukcja liczby gospodarstw domowych znajdujących się w trudnej sytuacji i użytkowników transportu znajdujących się w trudnej sytuacji (jednostka: gospodarstwa domowe)</w:t>
            </w:r>
          </w:p>
        </w:tc>
      </w:tr>
      <w:tr w:rsidR="00C329C9" w:rsidRPr="009909F4" w14:paraId="4EE58ACB" w14:textId="77777777" w:rsidTr="00C329C9">
        <w:tc>
          <w:tcPr>
            <w:tcW w:w="1774" w:type="dxa"/>
          </w:tcPr>
          <w:p w14:paraId="7FD66A5B" w14:textId="1EFEA572" w:rsidR="00C329C9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Plan ogółem</w:t>
            </w:r>
          </w:p>
        </w:tc>
        <w:tc>
          <w:tcPr>
            <w:tcW w:w="1774" w:type="dxa"/>
          </w:tcPr>
          <w:p w14:paraId="5FBB2C27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2A99C131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6795334A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61DD8A74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0B15658D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C329C9" w:rsidRPr="009909F4" w14:paraId="1BB6109B" w14:textId="77777777" w:rsidTr="00C329C9">
        <w:tc>
          <w:tcPr>
            <w:tcW w:w="1774" w:type="dxa"/>
          </w:tcPr>
          <w:p w14:paraId="570A6CE7" w14:textId="3874A06D" w:rsidR="00C329C9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Sektor budynków</w:t>
            </w:r>
          </w:p>
        </w:tc>
        <w:tc>
          <w:tcPr>
            <w:tcW w:w="1774" w:type="dxa"/>
          </w:tcPr>
          <w:p w14:paraId="4600CDFB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27EAFDE3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7D1AAFEC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03DBF55D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28609161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C329C9" w:rsidRPr="009909F4" w14:paraId="1A436583" w14:textId="77777777" w:rsidTr="00C329C9">
        <w:tc>
          <w:tcPr>
            <w:tcW w:w="1774" w:type="dxa"/>
          </w:tcPr>
          <w:p w14:paraId="32A7C009" w14:textId="6E220E52" w:rsidR="00C329C9" w:rsidRPr="009909F4" w:rsidRDefault="00EA40D2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Sektor transportu drogowego</w:t>
            </w:r>
          </w:p>
        </w:tc>
        <w:tc>
          <w:tcPr>
            <w:tcW w:w="1774" w:type="dxa"/>
          </w:tcPr>
          <w:p w14:paraId="687ED5CF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64DD5D69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1B555E9D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351B5BDE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775" w:type="dxa"/>
          </w:tcPr>
          <w:p w14:paraId="75A01B47" w14:textId="77777777" w:rsidR="00C329C9" w:rsidRPr="009909F4" w:rsidRDefault="00C329C9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E652733" w14:textId="77777777" w:rsidR="00C329C9" w:rsidRPr="009909F4" w:rsidRDefault="00C329C9" w:rsidP="00C329C9">
      <w:pPr>
        <w:pStyle w:val="Default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64"/>
        <w:gridCol w:w="1482"/>
        <w:gridCol w:w="1480"/>
        <w:gridCol w:w="1664"/>
        <w:gridCol w:w="1474"/>
        <w:gridCol w:w="1475"/>
      </w:tblGrid>
      <w:tr w:rsidR="00DD7355" w:rsidRPr="009909F4" w14:paraId="0D5DB2AE" w14:textId="77777777" w:rsidTr="00DD7355">
        <w:tc>
          <w:tcPr>
            <w:tcW w:w="1509" w:type="dxa"/>
            <w:vMerge w:val="restart"/>
          </w:tcPr>
          <w:p w14:paraId="5B48A931" w14:textId="0EF01E30" w:rsidR="00DD7355" w:rsidRPr="009909F4" w:rsidRDefault="00DD7355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Komponent</w:t>
            </w:r>
          </w:p>
        </w:tc>
        <w:tc>
          <w:tcPr>
            <w:tcW w:w="9139" w:type="dxa"/>
            <w:gridSpan w:val="6"/>
          </w:tcPr>
          <w:p w14:paraId="726D91EA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Kwantyfikacja wpływu (jeżeli jest dostępna)</w:t>
            </w:r>
          </w:p>
          <w:p w14:paraId="2F6D40DA" w14:textId="7083A33C" w:rsidR="00DD7355" w:rsidRPr="009909F4" w:rsidRDefault="00DD7355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tj. różnica w % w stosunku do neutralnego pod względem politycznym poziomu bazowego</w:t>
            </w:r>
          </w:p>
        </w:tc>
      </w:tr>
      <w:tr w:rsidR="00DD7355" w:rsidRPr="009909F4" w14:paraId="3A7C5A9E" w14:textId="77777777" w:rsidTr="00DD7355">
        <w:tc>
          <w:tcPr>
            <w:tcW w:w="1509" w:type="dxa"/>
            <w:vMerge/>
          </w:tcPr>
          <w:p w14:paraId="5E9C7BA0" w14:textId="77777777" w:rsidR="00DD7355" w:rsidRPr="009909F4" w:rsidRDefault="00DD7355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526" w:type="dxa"/>
            <w:gridSpan w:val="3"/>
          </w:tcPr>
          <w:p w14:paraId="69DAACA4" w14:textId="4B5FC0AF" w:rsidR="00DD7355" w:rsidRPr="009909F4" w:rsidRDefault="00DD7355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Krótkoterminowo (w ciągu 3 najbliższych lat)</w:t>
            </w:r>
          </w:p>
        </w:tc>
        <w:tc>
          <w:tcPr>
            <w:tcW w:w="4613" w:type="dxa"/>
            <w:gridSpan w:val="3"/>
          </w:tcPr>
          <w:p w14:paraId="01EE9FFD" w14:textId="5180602E" w:rsidR="00DD7355" w:rsidRPr="009909F4" w:rsidRDefault="00DD7355" w:rsidP="00C329C9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Średnioterminowo (koniec planu)</w:t>
            </w:r>
          </w:p>
        </w:tc>
      </w:tr>
      <w:tr w:rsidR="00DD7355" w:rsidRPr="009909F4" w14:paraId="6CF33BAB" w14:textId="77777777" w:rsidTr="00DD7355">
        <w:tc>
          <w:tcPr>
            <w:tcW w:w="1509" w:type="dxa"/>
            <w:vMerge/>
          </w:tcPr>
          <w:p w14:paraId="4FAD3199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64" w:type="dxa"/>
          </w:tcPr>
          <w:p w14:paraId="42548F07" w14:textId="3DE6D55C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Emisje gazów cieplarnianych</w:t>
            </w:r>
          </w:p>
        </w:tc>
        <w:tc>
          <w:tcPr>
            <w:tcW w:w="1482" w:type="dxa"/>
          </w:tcPr>
          <w:p w14:paraId="40FFCE38" w14:textId="158372B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Gospodarstwa domowe dotknięte ubóstwem energetycznym</w:t>
            </w:r>
          </w:p>
        </w:tc>
        <w:tc>
          <w:tcPr>
            <w:tcW w:w="1480" w:type="dxa"/>
          </w:tcPr>
          <w:p w14:paraId="3097098B" w14:textId="14BFB064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Gospodarstwa domowe dotknięte ubóstwem transportowym</w:t>
            </w:r>
          </w:p>
        </w:tc>
        <w:tc>
          <w:tcPr>
            <w:tcW w:w="1664" w:type="dxa"/>
          </w:tcPr>
          <w:p w14:paraId="2D55F31D" w14:textId="5708D1E1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Emisje gazów cieplarnianych</w:t>
            </w:r>
          </w:p>
        </w:tc>
        <w:tc>
          <w:tcPr>
            <w:tcW w:w="1474" w:type="dxa"/>
          </w:tcPr>
          <w:p w14:paraId="555C5C4D" w14:textId="08688028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Gospodarstwa domowe dotknięte ubóstwem energetycznym</w:t>
            </w:r>
          </w:p>
        </w:tc>
        <w:tc>
          <w:tcPr>
            <w:tcW w:w="1475" w:type="dxa"/>
          </w:tcPr>
          <w:p w14:paraId="534DDBB9" w14:textId="2C0922B9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Gospodarstwa domowe dotknięte ubóstwem transportowym</w:t>
            </w:r>
          </w:p>
        </w:tc>
      </w:tr>
      <w:tr w:rsidR="00DD7355" w:rsidRPr="009909F4" w14:paraId="71409D07" w14:textId="77777777" w:rsidTr="00DD7355">
        <w:tc>
          <w:tcPr>
            <w:tcW w:w="1509" w:type="dxa"/>
          </w:tcPr>
          <w:p w14:paraId="4A450BCD" w14:textId="182736CF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Plan ogółem</w:t>
            </w:r>
          </w:p>
        </w:tc>
        <w:tc>
          <w:tcPr>
            <w:tcW w:w="1564" w:type="dxa"/>
          </w:tcPr>
          <w:p w14:paraId="55E29AE7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82" w:type="dxa"/>
          </w:tcPr>
          <w:p w14:paraId="715D6B2E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80" w:type="dxa"/>
          </w:tcPr>
          <w:p w14:paraId="27E5A6B1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664" w:type="dxa"/>
          </w:tcPr>
          <w:p w14:paraId="3038AC31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74" w:type="dxa"/>
          </w:tcPr>
          <w:p w14:paraId="0932B01E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75" w:type="dxa"/>
          </w:tcPr>
          <w:p w14:paraId="789B19FB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D7355" w:rsidRPr="009909F4" w14:paraId="23047C67" w14:textId="77777777" w:rsidTr="00DD7355">
        <w:tc>
          <w:tcPr>
            <w:tcW w:w="1509" w:type="dxa"/>
          </w:tcPr>
          <w:p w14:paraId="56D516A5" w14:textId="1B757CB2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Sektor budynków</w:t>
            </w:r>
          </w:p>
        </w:tc>
        <w:tc>
          <w:tcPr>
            <w:tcW w:w="1564" w:type="dxa"/>
          </w:tcPr>
          <w:p w14:paraId="47D29095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82" w:type="dxa"/>
          </w:tcPr>
          <w:p w14:paraId="74017965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80" w:type="dxa"/>
          </w:tcPr>
          <w:p w14:paraId="779B0CA7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664" w:type="dxa"/>
          </w:tcPr>
          <w:p w14:paraId="12415157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74" w:type="dxa"/>
          </w:tcPr>
          <w:p w14:paraId="6EDA3505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75" w:type="dxa"/>
          </w:tcPr>
          <w:p w14:paraId="4430E66B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D7355" w:rsidRPr="009909F4" w14:paraId="1724A9D4" w14:textId="77777777" w:rsidTr="00DD7355">
        <w:tc>
          <w:tcPr>
            <w:tcW w:w="1509" w:type="dxa"/>
          </w:tcPr>
          <w:p w14:paraId="7E25339C" w14:textId="053D6E64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Sektor transportu drogowego</w:t>
            </w:r>
          </w:p>
        </w:tc>
        <w:tc>
          <w:tcPr>
            <w:tcW w:w="1564" w:type="dxa"/>
          </w:tcPr>
          <w:p w14:paraId="7439F0B6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82" w:type="dxa"/>
          </w:tcPr>
          <w:p w14:paraId="6DD47EDC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80" w:type="dxa"/>
          </w:tcPr>
          <w:p w14:paraId="0C13AACC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664" w:type="dxa"/>
          </w:tcPr>
          <w:p w14:paraId="698C04BC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74" w:type="dxa"/>
          </w:tcPr>
          <w:p w14:paraId="3B9E9C14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75" w:type="dxa"/>
          </w:tcPr>
          <w:p w14:paraId="4ED687CD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53C0925A" w14:textId="77777777" w:rsidR="00DD7355" w:rsidRPr="009909F4" w:rsidRDefault="00DD7355" w:rsidP="00DD7355">
      <w:pPr>
        <w:pStyle w:val="Default"/>
        <w:rPr>
          <w:rFonts w:asciiTheme="minorHAnsi" w:hAnsiTheme="minorHAnsi" w:cstheme="minorHAnsi"/>
        </w:rPr>
      </w:pPr>
    </w:p>
    <w:p w14:paraId="433745DA" w14:textId="1DBB6508" w:rsidR="00EA40D2" w:rsidRPr="009909F4" w:rsidRDefault="00DD7355" w:rsidP="00DD735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Tabela jakościowa i ilościowa dotycząca spodziewanego wpływu środków tymczasowego bezpośredniego wsparcia dochodów na redukcję liczby gospodarstw domowych znajdujących się w trudnej sytuacji i użytkowników transportu znajdujących się w trudnej sytuacji, a także gospodarstw domowych dotkniętych ubóstwem energetycznym i ubóstwem transportowym, zgodnie z poniższym wzorem:</w:t>
      </w:r>
    </w:p>
    <w:p w14:paraId="2A3C943A" w14:textId="77777777" w:rsidR="00DD7355" w:rsidRPr="009909F4" w:rsidRDefault="00DD7355" w:rsidP="00DD7355">
      <w:pPr>
        <w:pStyle w:val="Default"/>
        <w:rPr>
          <w:rFonts w:asciiTheme="minorHAnsi" w:hAnsiTheme="minorHAnsi" w:cstheme="minorHAnsi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4"/>
        <w:gridCol w:w="5324"/>
      </w:tblGrid>
      <w:tr w:rsidR="00DD7355" w:rsidRPr="009909F4" w14:paraId="028B8498" w14:textId="77777777" w:rsidTr="00224B2E">
        <w:tc>
          <w:tcPr>
            <w:tcW w:w="10648" w:type="dxa"/>
            <w:gridSpan w:val="2"/>
          </w:tcPr>
          <w:p w14:paraId="5BA275BC" w14:textId="5A00BF07" w:rsidR="00DD7355" w:rsidRPr="009909F4" w:rsidRDefault="00DD7355" w:rsidP="00DD7355">
            <w:pPr>
              <w:pStyle w:val="Default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Komponent: bezpośrednie wsparcie dochodów</w:t>
            </w:r>
          </w:p>
        </w:tc>
      </w:tr>
      <w:tr w:rsidR="00DD7355" w:rsidRPr="009909F4" w14:paraId="7A30A764" w14:textId="77777777" w:rsidTr="00DD7355">
        <w:tc>
          <w:tcPr>
            <w:tcW w:w="5324" w:type="dxa"/>
            <w:vMerge w:val="restart"/>
          </w:tcPr>
          <w:p w14:paraId="3D6A5FC9" w14:textId="7EDA3755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Redukcja liczby gospodarstw domowych znajdujących się w trudnej sytuacji i użytkowników transportu znajdujących się w trudnej sytuacji</w:t>
            </w:r>
          </w:p>
        </w:tc>
        <w:tc>
          <w:tcPr>
            <w:tcW w:w="5324" w:type="dxa"/>
          </w:tcPr>
          <w:p w14:paraId="34E96E13" w14:textId="029F3C80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Opis spodziewanego wpływu</w:t>
            </w:r>
          </w:p>
        </w:tc>
      </w:tr>
      <w:tr w:rsidR="00DD7355" w:rsidRPr="009909F4" w14:paraId="7E3153A8" w14:textId="77777777" w:rsidTr="00DD7355">
        <w:tc>
          <w:tcPr>
            <w:tcW w:w="5324" w:type="dxa"/>
            <w:vMerge/>
          </w:tcPr>
          <w:p w14:paraId="37929506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324" w:type="dxa"/>
          </w:tcPr>
          <w:p w14:paraId="0D6BDE06" w14:textId="66A16EB0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Oszacowanie spodziewanego wpływu; jednostka: gospodarstwa domowe</w:t>
            </w:r>
          </w:p>
        </w:tc>
      </w:tr>
      <w:tr w:rsidR="00DD7355" w:rsidRPr="009909F4" w14:paraId="0EF13FE5" w14:textId="77777777" w:rsidTr="00DD7355">
        <w:tc>
          <w:tcPr>
            <w:tcW w:w="5324" w:type="dxa"/>
            <w:vMerge w:val="restart"/>
          </w:tcPr>
          <w:p w14:paraId="2E814DA5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Redukcja liczby gospodarstw domowych dotkniętych ubóstwem energetycznym i ubóstwem transportowym</w:t>
            </w:r>
          </w:p>
          <w:p w14:paraId="45635F2C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324" w:type="dxa"/>
          </w:tcPr>
          <w:p w14:paraId="104700AA" w14:textId="4AA6ECEB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Opis spodziewanego wpływu</w:t>
            </w:r>
          </w:p>
        </w:tc>
      </w:tr>
      <w:tr w:rsidR="00DD7355" w:rsidRPr="009909F4" w14:paraId="59E80042" w14:textId="77777777" w:rsidTr="00DD7355">
        <w:tc>
          <w:tcPr>
            <w:tcW w:w="5324" w:type="dxa"/>
            <w:vMerge/>
          </w:tcPr>
          <w:p w14:paraId="582CE844" w14:textId="77777777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324" w:type="dxa"/>
          </w:tcPr>
          <w:p w14:paraId="4DD75BC2" w14:textId="61CFA1E3" w:rsidR="00DD7355" w:rsidRPr="009909F4" w:rsidRDefault="00DD7355" w:rsidP="00DD7355">
            <w:pPr>
              <w:pStyle w:val="Default"/>
              <w:rPr>
                <w:rFonts w:asciiTheme="minorHAnsi" w:hAnsiTheme="minorHAnsi" w:cstheme="minorHAnsi"/>
                <w:sz w:val="19"/>
                <w:szCs w:val="19"/>
              </w:rPr>
            </w:pPr>
            <w:r w:rsidRPr="009909F4">
              <w:rPr>
                <w:rFonts w:asciiTheme="minorHAnsi" w:hAnsiTheme="minorHAnsi" w:cstheme="minorHAnsi"/>
                <w:sz w:val="19"/>
                <w:szCs w:val="19"/>
              </w:rPr>
              <w:t>Oszacowanie spodziewanego wpływu; jednostka: gospodarstwa domowe</w:t>
            </w:r>
          </w:p>
        </w:tc>
      </w:tr>
    </w:tbl>
    <w:p w14:paraId="15DC7963" w14:textId="77777777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63B85425" w14:textId="44C719FA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 KOMPLEMENTARNOŚĆ, DODATKOWOŚĆ I REALIZACJA PLANU</w:t>
      </w:r>
    </w:p>
    <w:p w14:paraId="3180F3C6" w14:textId="77777777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Ta część dotyczy całego planu. Różne kryteria określone poniżej muszą być uzasadnione w odniesieniu do planu jako całości.</w:t>
      </w:r>
    </w:p>
    <w:p w14:paraId="180C61F8" w14:textId="77777777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37FC71A" w14:textId="46A56D3F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4.1. Monitorowanie i realizacja planu</w:t>
      </w:r>
    </w:p>
    <w:p w14:paraId="7805E664" w14:textId="33745692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lastRenderedPageBreak/>
        <w:t>Wyjaśnienie, w jaki sposób Polska zamierza wdrożyć proponowane środki i inwestycje, ze szczególnym uwzględnieniem ustaleń i harmonogramu monitorowania i realizacji, w tym, w stosownych przypadkach, środków niezbędnych do zapewnienia zgodności z art. 21 rozporządzenia.</w:t>
      </w:r>
    </w:p>
    <w:p w14:paraId="601B79AF" w14:textId="77777777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4BE163A3" w14:textId="4D5A75E6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4.2 Spójność z innymi inicjatywami</w:t>
      </w:r>
    </w:p>
    <w:p w14:paraId="20B845C6" w14:textId="56BEA2C3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 xml:space="preserve">Wyjaśnienie, w jaki sposób plan jest spójny z informacjami zawartymi i zobowiązaniami podjętymi przez państwo członkowskie w ramach innych odpowiednich planów i funduszy, a także wzajemnych zależności między poszczególnymi planami w przyszłości, jak określono w art. 6 ust. 3 i art. 16 ust. 3 lit. b) </w:t>
      </w:r>
      <w:proofErr w:type="spellStart"/>
      <w:r w:rsidRPr="009909F4">
        <w:rPr>
          <w:rFonts w:asciiTheme="minorHAnsi" w:hAnsiTheme="minorHAnsi" w:cstheme="minorHAnsi"/>
          <w:sz w:val="19"/>
          <w:szCs w:val="19"/>
        </w:rPr>
        <w:t>ppkt</w:t>
      </w:r>
      <w:proofErr w:type="spellEnd"/>
      <w:r w:rsidRPr="009909F4">
        <w:rPr>
          <w:rFonts w:asciiTheme="minorHAnsi" w:hAnsiTheme="minorHAnsi" w:cstheme="minorHAnsi"/>
          <w:sz w:val="19"/>
          <w:szCs w:val="19"/>
        </w:rPr>
        <w:t xml:space="preserve"> (iii) rozporządzenia.</w:t>
      </w:r>
    </w:p>
    <w:p w14:paraId="0F28505E" w14:textId="77777777" w:rsidR="002B0CBB" w:rsidRPr="009909F4" w:rsidRDefault="002B0CBB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7D14369A" w14:textId="19285ABF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4.3. Komplementarność finansowania</w:t>
      </w:r>
    </w:p>
    <w:p w14:paraId="0B7FA6C3" w14:textId="3E3CAFBC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Informacje na temat istniejącego lub planowanego finansowania środków i inwestycji z innych źródeł unijnych, międzynarodowych, publicznych lub, w stosownych przypadkach, prywatnych, które przyczynia się do realizacji środków i inwestycji określonych w planie, w tym na temat tymczasowego bezpośredniego wsparcia dochodów zgodnie z art. 6 ust. 1 lit. c)</w:t>
      </w:r>
      <w:r w:rsidR="00E649B8" w:rsidRPr="009909F4">
        <w:rPr>
          <w:rFonts w:asciiTheme="minorHAnsi" w:hAnsiTheme="minorHAnsi" w:cstheme="minorHAnsi"/>
          <w:sz w:val="19"/>
          <w:szCs w:val="19"/>
        </w:rPr>
        <w:t xml:space="preserve"> rozporządzenia</w:t>
      </w:r>
      <w:r w:rsidRPr="009909F4">
        <w:rPr>
          <w:rFonts w:asciiTheme="minorHAnsi" w:hAnsiTheme="minorHAnsi" w:cstheme="minorHAnsi"/>
          <w:sz w:val="19"/>
          <w:szCs w:val="19"/>
        </w:rPr>
        <w:t>.</w:t>
      </w:r>
    </w:p>
    <w:p w14:paraId="4BDF4B12" w14:textId="77777777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522B7B33" w14:textId="1FA1C0C4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4.4. Dodatkowość</w:t>
      </w:r>
    </w:p>
    <w:p w14:paraId="69223169" w14:textId="751F35EA" w:rsidR="00EA2075" w:rsidRPr="009909F4" w:rsidRDefault="00EA2075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Wyjaśnienie i uzasadnienie, w jaki sposób nowe lub istniejące środki lub inwestycje mają charakter dodatkowy i nie zastępują powtarzających się krajowych wydatków budżetowych zgodnie z art. 13 ust. 2 rozporządzenia, w tym takie wyjaśnienie i uzasadnienie w odniesieniu do środków i inwestycji ujętych w planie zgodnie z art. 4 ust. 5</w:t>
      </w:r>
      <w:r w:rsidR="00E649B8" w:rsidRPr="009909F4">
        <w:rPr>
          <w:rFonts w:asciiTheme="minorHAnsi" w:hAnsiTheme="minorHAnsi" w:cstheme="minorHAnsi"/>
          <w:sz w:val="19"/>
          <w:szCs w:val="19"/>
        </w:rPr>
        <w:t xml:space="preserve"> rozporządzenia</w:t>
      </w:r>
      <w:r w:rsidRPr="009909F4">
        <w:rPr>
          <w:rFonts w:asciiTheme="minorHAnsi" w:hAnsiTheme="minorHAnsi" w:cstheme="minorHAnsi"/>
          <w:sz w:val="19"/>
          <w:szCs w:val="19"/>
        </w:rPr>
        <w:t>.</w:t>
      </w:r>
    </w:p>
    <w:p w14:paraId="1D292843" w14:textId="77777777" w:rsidR="00D9067F" w:rsidRPr="009909F4" w:rsidRDefault="00D9067F" w:rsidP="00EA2075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CC857AD" w14:textId="2F6CE6A3" w:rsidR="00D9067F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4.5. Specyfika geograficzna</w:t>
      </w:r>
    </w:p>
    <w:p w14:paraId="1CD856C0" w14:textId="77777777" w:rsidR="00D9067F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Wyjaśnienie, w jaki sposób w planie uwzględniono specyfikę geograficzną, taką jak wyspy, regiony i terytoria najbardziej oddalone, obszary wiejskie lub oddalone, mniej dostępne peryferia, obszary górskie lub obszary słabiej rozwinięte.</w:t>
      </w:r>
    </w:p>
    <w:p w14:paraId="3CCB67C0" w14:textId="77777777" w:rsidR="00D9067F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29FFCC07" w14:textId="64A6EB07" w:rsidR="00D9067F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4.6. Zapobieganie korupcji, nadużyciom finansowym i konfliktom interesów</w:t>
      </w:r>
    </w:p>
    <w:p w14:paraId="5542E66F" w14:textId="00D960C7" w:rsidR="00D9067F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System zapobiegania korupcji, nadużyciom finansowym i konfliktom interesów oraz wykrywania i korygowania tych zjawisk podczas korzystania ze środków finansowych udostępnionych w ramach Funduszu, a także rozwiązania mające na celu unikanie podwójnego finansowania z Funduszu i innych programów unijnych zgodnie z art. 21 i załącznikiem III, łącznie ze środkami finansowymi przekazywanymi za pośrednictwem podmiotów publicznych lub prywatnych innych niż gospodarstwa domowe znajdujące się w trudnej sytuacji, mikroprzedsiębiorstwa znajdujące się w trudnej sytuacji i użytkownicy transportu znajdujący się w trudnej sytuacji zgodnie z art. 9 rozporządzenia.</w:t>
      </w:r>
    </w:p>
    <w:p w14:paraId="1AC1E545" w14:textId="77777777" w:rsidR="00D9067F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</w:p>
    <w:p w14:paraId="44B97C9A" w14:textId="0E63075B" w:rsidR="00D9067F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4.7. Informacja, komunikacja i widoczność</w:t>
      </w:r>
    </w:p>
    <w:p w14:paraId="1AEDFBE3" w14:textId="65CCA750" w:rsidR="00D9067F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>Zgodność z przepisami określonymi w art. 23 rozporządzenia dotyczącymi publicznego dostępu do danych, ze wskazaniem strony internetowej, na której dane będą publikowane, a także działania w zakresie informacji, komunikacji i widoczności.</w:t>
      </w:r>
    </w:p>
    <w:p w14:paraId="0FF04EE2" w14:textId="3D0DF4C5" w:rsidR="00DD7355" w:rsidRPr="009909F4" w:rsidRDefault="00D9067F" w:rsidP="00D9067F">
      <w:pPr>
        <w:pStyle w:val="Default"/>
        <w:rPr>
          <w:rFonts w:asciiTheme="minorHAnsi" w:hAnsiTheme="minorHAnsi" w:cstheme="minorHAnsi"/>
          <w:sz w:val="19"/>
          <w:szCs w:val="19"/>
        </w:rPr>
      </w:pPr>
      <w:r w:rsidRPr="009909F4">
        <w:rPr>
          <w:rFonts w:asciiTheme="minorHAnsi" w:hAnsiTheme="minorHAnsi" w:cstheme="minorHAnsi"/>
          <w:sz w:val="19"/>
          <w:szCs w:val="19"/>
        </w:rPr>
        <w:t xml:space="preserve">Zarys planowanej krajowej strategii komunikacyjnej mającej zapewnić świadomość społeczną na temat finansowania unijnego. </w:t>
      </w:r>
    </w:p>
    <w:sectPr w:rsidR="00DD7355" w:rsidRPr="009909F4" w:rsidSect="008977B2">
      <w:pgSz w:w="11905" w:h="17337"/>
      <w:pgMar w:top="1453" w:right="496" w:bottom="905" w:left="7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8"/>
    <w:rsid w:val="000464B8"/>
    <w:rsid w:val="00071864"/>
    <w:rsid w:val="002B0CBB"/>
    <w:rsid w:val="00354B6E"/>
    <w:rsid w:val="008977B2"/>
    <w:rsid w:val="008D7768"/>
    <w:rsid w:val="00925001"/>
    <w:rsid w:val="009909F4"/>
    <w:rsid w:val="00A249F4"/>
    <w:rsid w:val="00B0426B"/>
    <w:rsid w:val="00BB3FE8"/>
    <w:rsid w:val="00C329C9"/>
    <w:rsid w:val="00C54212"/>
    <w:rsid w:val="00CF0A99"/>
    <w:rsid w:val="00D9067F"/>
    <w:rsid w:val="00DD7355"/>
    <w:rsid w:val="00E649B8"/>
    <w:rsid w:val="00EA2075"/>
    <w:rsid w:val="00EA40D2"/>
    <w:rsid w:val="00F17BC5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AA6F"/>
  <w15:chartTrackingRefBased/>
  <w15:docId w15:val="{9DAF2A80-53E1-4DC9-A0A7-1B5968B5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76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15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15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5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51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4D5F-7F7A-446D-8F08-AA1CFEA4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3854</Words>
  <Characters>23126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Wąsowska Barbara</dc:creator>
  <cp:keywords/>
  <dc:description/>
  <cp:lastModifiedBy>Wąsowska Barbara</cp:lastModifiedBy>
  <cp:revision>4</cp:revision>
  <dcterms:created xsi:type="dcterms:W3CDTF">2024-02-02T09:19:00Z</dcterms:created>
  <dcterms:modified xsi:type="dcterms:W3CDTF">2024-02-02T13:40:00Z</dcterms:modified>
</cp:coreProperties>
</file>