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638700" w14:textId="77777777" w:rsidR="00A77B3E" w:rsidRDefault="00000000">
      <w:pPr>
        <w:jc w:val="center"/>
        <w:rPr>
          <w:b/>
          <w:caps/>
        </w:rPr>
      </w:pPr>
      <w:r>
        <w:rPr>
          <w:b/>
          <w:caps/>
        </w:rPr>
        <w:t>Zarządzenie</w:t>
      </w:r>
      <w:r>
        <w:rPr>
          <w:b/>
          <w:caps/>
        </w:rPr>
        <w:br/>
        <w:t>Regionalnego Dyrektora Ochrony Środowiska w Bydgoszczy</w:t>
      </w:r>
    </w:p>
    <w:p w14:paraId="723EE78D" w14:textId="77777777" w:rsidR="00A77B3E" w:rsidRDefault="00000000">
      <w:pPr>
        <w:spacing w:before="280" w:after="280"/>
        <w:jc w:val="center"/>
        <w:rPr>
          <w:b/>
          <w:caps/>
        </w:rPr>
      </w:pPr>
      <w:r>
        <w:t>z dnia 4 grudnia 2024 r.</w:t>
      </w:r>
    </w:p>
    <w:p w14:paraId="72461111" w14:textId="77777777" w:rsidR="00A77B3E" w:rsidRDefault="00A77B3E">
      <w:pPr>
        <w:spacing w:before="280" w:after="280"/>
        <w:jc w:val="center"/>
        <w:rPr>
          <w:sz w:val="22"/>
        </w:rPr>
      </w:pPr>
    </w:p>
    <w:p w14:paraId="0509BB55" w14:textId="77777777" w:rsidR="00A77B3E" w:rsidRDefault="00000000">
      <w:pPr>
        <w:keepNext/>
        <w:spacing w:after="480"/>
        <w:jc w:val="center"/>
      </w:pPr>
      <w:r>
        <w:rPr>
          <w:b/>
        </w:rPr>
        <w:t>w sprawie uznania za rezerwat przyrody „Uroczysko Kiełpinek”</w:t>
      </w:r>
    </w:p>
    <w:p w14:paraId="61644C9F" w14:textId="77777777" w:rsidR="00A77B3E" w:rsidRDefault="00000000">
      <w:pPr>
        <w:keepLines/>
        <w:spacing w:before="120" w:after="120"/>
        <w:ind w:firstLine="227"/>
      </w:pPr>
      <w:r>
        <w:t>Na podstawie art. 13 ust. 3 ustawy z dnia 16 kwietnia 2004 roku o ochronie przyrody (</w:t>
      </w:r>
      <w:proofErr w:type="spellStart"/>
      <w:r>
        <w:t>t.j</w:t>
      </w:r>
      <w:proofErr w:type="spellEnd"/>
      <w:r>
        <w:t>. Dz. U. z 2024 r. poz. 1478) zarządza się, co następuje:</w:t>
      </w:r>
    </w:p>
    <w:p w14:paraId="5FDC580F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>1. Uznaje się za rezerwat przyrody pod nazwą „Uroczysko Kiełpinek”, zwany dalej „rezerwatem”, obszar o powierzchni 43,80 ha, położony na terenie gminy Gostycyn, w powiecie tucholskim, w województwie kujawsko-pomorskim.</w:t>
      </w:r>
    </w:p>
    <w:p w14:paraId="232B31A9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Na obszarach graniczących z rezerwatem wyznacza się otulinę o powierzchni 36,17 ha, położoną na terenie gminy Gostycyn, w powiecie tucholskim, w województwie kujawsko-pomorskim.</w:t>
      </w:r>
    </w:p>
    <w:p w14:paraId="4B1CDDAF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Położenie i przebieg granicy rezerwatu oraz jego otuliny w postaci mapy są określone w załączniku nr 1 do zarządzenia.</w:t>
      </w:r>
    </w:p>
    <w:p w14:paraId="2D7172BE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Położenie i przebieg granicy rezerwatu w postaci wykazu współrzędnych punktów załamania granicy są określone w załączniku nr 2 do zarządzenia.</w:t>
      </w:r>
    </w:p>
    <w:p w14:paraId="744BB9A3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Położenie i przebieg granicy otuliny rezerwatu w postaci wykazu współrzędnych punktów załamania granicy są określone w załączniku nr 3 do zarządzenia</w:t>
      </w:r>
    </w:p>
    <w:p w14:paraId="181DA185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Celem ochrony rezerwatu jest zachowanie kompleksu ekosystemów wodnych oraz związanych z wodą - łąk, szuwarów, torfowisk, stanowiących siedlisko rzadkich gatunków roślin oraz ostoję zwierząt, wraz z otaczającymi je zbiorowiskami leśnymi.</w:t>
      </w:r>
    </w:p>
    <w:p w14:paraId="43CA362B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t>1. </w:t>
      </w:r>
      <w:r>
        <w:rPr>
          <w:color w:val="000000"/>
          <w:u w:color="000000"/>
        </w:rPr>
        <w:t>Dla rezerwatu określa się rodzaj - Wodny (W).</w:t>
      </w:r>
    </w:p>
    <w:p w14:paraId="3F8CFB12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Dla rezerwatu określa się typ i podtyp:</w:t>
      </w:r>
    </w:p>
    <w:p w14:paraId="1E88A726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ze względu na dominujący przedmiot ochrony: typ – Biocenotyczny i </w:t>
      </w:r>
      <w:proofErr w:type="spellStart"/>
      <w:r>
        <w:rPr>
          <w:color w:val="000000"/>
          <w:u w:color="000000"/>
        </w:rPr>
        <w:t>fizjocenotyczny</w:t>
      </w:r>
      <w:proofErr w:type="spellEnd"/>
      <w:r>
        <w:rPr>
          <w:color w:val="000000"/>
          <w:u w:color="000000"/>
        </w:rPr>
        <w:t xml:space="preserve"> (</w:t>
      </w:r>
      <w:proofErr w:type="spellStart"/>
      <w:r>
        <w:rPr>
          <w:color w:val="000000"/>
          <w:u w:color="000000"/>
        </w:rPr>
        <w:t>PBf</w:t>
      </w:r>
      <w:proofErr w:type="spellEnd"/>
      <w:r>
        <w:rPr>
          <w:color w:val="000000"/>
          <w:u w:color="000000"/>
        </w:rPr>
        <w:t>), podtyp - biocenoz naturalnych i półnaturalnych (bp);</w:t>
      </w:r>
    </w:p>
    <w:p w14:paraId="7B812CD3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ze względu na główny typ ekosystemu: typ – Różnych ekosystemów (EE), podtyp - mozaiki różnych ekosystemów (me).</w:t>
      </w:r>
    </w:p>
    <w:p w14:paraId="25A19A8F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Nadzór nad rezerwatem sprawuje Regionalny Dyrektor Ochrony Środowiska w Bydgoszczy.</w:t>
      </w:r>
    </w:p>
    <w:p w14:paraId="43B315D3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Zarządzenie wchodzi w życie po upływie 14 dni od dnia ogłoszenia.</w:t>
      </w:r>
    </w:p>
    <w:p w14:paraId="48590A22" w14:textId="77777777" w:rsidR="00A77B3E" w:rsidRDefault="00000000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noProof/>
          <w:color w:val="000000"/>
          <w:u w:color="000000"/>
        </w:rPr>
        <w:drawing>
          <wp:inline distT="0" distB="0" distL="0" distR="0" wp14:anchorId="46DCE53C" wp14:editId="2352FEBF">
            <wp:extent cx="2639568" cy="1042416"/>
            <wp:effectExtent l="0" t="0" r="0" b="0"/>
            <wp:docPr id="100001" name="Obraz 100001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6" r:link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682F6" w14:textId="77777777" w:rsidR="00A77B3E" w:rsidRDefault="00A77B3E">
      <w:pPr>
        <w:spacing w:before="120" w:after="120"/>
        <w:ind w:left="283" w:firstLine="227"/>
        <w:jc w:val="right"/>
        <w:rPr>
          <w:color w:val="000000"/>
          <w:u w:color="000000"/>
        </w:rPr>
        <w:sectPr w:rsidR="00A77B3E">
          <w:footerReference w:type="default" r:id="rId8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183ACB38" w14:textId="77777777" w:rsidR="00A77B3E" w:rsidRDefault="00000000">
      <w:pPr>
        <w:keepNext/>
        <w:spacing w:before="120" w:after="120" w:line="360" w:lineRule="auto"/>
        <w:ind w:left="3634"/>
        <w:jc w:val="left"/>
        <w:rPr>
          <w:color w:val="000000"/>
          <w:sz w:val="22"/>
          <w:u w:color="000000"/>
        </w:rPr>
      </w:pPr>
      <w:r>
        <w:rPr>
          <w:color w:val="000000"/>
          <w:sz w:val="22"/>
          <w:u w:color="000000"/>
        </w:rPr>
        <w:lastRenderedPageBreak/>
        <w:t>Załącznik Nr 1 do zarządzenia</w:t>
      </w:r>
      <w:r>
        <w:rPr>
          <w:color w:val="000000"/>
          <w:sz w:val="22"/>
          <w:u w:color="000000"/>
        </w:rPr>
        <w:br/>
        <w:t>Regionalnego Dyrektora Ochrony Środowiska w Bydgoszczy</w:t>
      </w:r>
      <w:r>
        <w:rPr>
          <w:color w:val="000000"/>
          <w:sz w:val="22"/>
          <w:u w:color="000000"/>
        </w:rPr>
        <w:br/>
        <w:t>z dnia 4 grudnia 2024 r.</w:t>
      </w:r>
    </w:p>
    <w:p w14:paraId="2292F17F" w14:textId="77777777" w:rsidR="00A77B3E" w:rsidRDefault="00000000">
      <w:pPr>
        <w:keepNext/>
        <w:spacing w:after="480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Położenie i przebieg granicy rezerwatu i jego otuliny w postaci mapy</w:t>
      </w:r>
    </w:p>
    <w:p w14:paraId="7A4759EB" w14:textId="77777777" w:rsidR="00A77B3E" w:rsidRDefault="00000000">
      <w:pPr>
        <w:spacing w:before="120" w:after="120"/>
        <w:ind w:left="283" w:firstLine="227"/>
        <w:jc w:val="center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4203B7F5" wp14:editId="23B5124A">
            <wp:extent cx="6265282" cy="7933414"/>
            <wp:effectExtent l="0" t="0" r="0" b="0"/>
            <wp:docPr id="100003" name="Obraz 100003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" r:link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5282" cy="7933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182D6" w14:textId="77777777" w:rsidR="00A77B3E" w:rsidRDefault="00000000">
      <w:pPr>
        <w:keepNext/>
        <w:spacing w:before="120" w:after="120"/>
        <w:ind w:left="283" w:firstLine="227"/>
        <w:jc w:val="right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lastRenderedPageBreak/>
        <w:drawing>
          <wp:inline distT="0" distB="0" distL="0" distR="0" wp14:anchorId="748B6404" wp14:editId="2288E411">
            <wp:extent cx="2639568" cy="1042416"/>
            <wp:effectExtent l="0" t="0" r="0" b="0"/>
            <wp:docPr id="100005" name="Obraz 100005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" r:link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1"/>
        <w:gridCol w:w="5041"/>
      </w:tblGrid>
      <w:tr w:rsidR="00C5243C" w14:paraId="26468201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81505F6" w14:textId="77777777" w:rsidR="00A77B3E" w:rsidRDefault="00A77B3E">
            <w:pPr>
              <w:jc w:val="right"/>
              <w:rPr>
                <w:color w:val="000000"/>
                <w:sz w:val="22"/>
                <w:u w:color="000000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9928D61" w14:textId="77777777" w:rsidR="00A77B3E" w:rsidRDefault="00A77B3E">
            <w:pPr>
              <w:jc w:val="center"/>
              <w:rPr>
                <w:color w:val="000000"/>
                <w:sz w:val="22"/>
                <w:u w:color="000000"/>
              </w:rPr>
            </w:pPr>
          </w:p>
        </w:tc>
      </w:tr>
    </w:tbl>
    <w:p w14:paraId="79F629F1" w14:textId="77777777" w:rsidR="00A77B3E" w:rsidRDefault="00A77B3E">
      <w:pPr>
        <w:keepLines/>
        <w:rPr>
          <w:color w:val="000000"/>
          <w:sz w:val="22"/>
          <w:u w:color="000000"/>
        </w:rPr>
      </w:pPr>
    </w:p>
    <w:p w14:paraId="73B3EAA0" w14:textId="77777777" w:rsidR="00A77B3E" w:rsidRDefault="00A77B3E">
      <w:pPr>
        <w:keepLines/>
        <w:rPr>
          <w:color w:val="000000"/>
          <w:sz w:val="22"/>
          <w:u w:color="000000"/>
        </w:rPr>
      </w:pPr>
    </w:p>
    <w:p w14:paraId="583CE180" w14:textId="77777777" w:rsidR="00A77B3E" w:rsidRDefault="00000000">
      <w:pPr>
        <w:keepNext/>
        <w:rPr>
          <w:color w:val="000000"/>
          <w:sz w:val="22"/>
          <w:u w:color="000000"/>
        </w:rPr>
      </w:pPr>
      <w:r>
        <w:rPr>
          <w:color w:val="000000"/>
        </w:rPr>
        <w:t> </w:t>
      </w:r>
    </w:p>
    <w:p w14:paraId="32A3E290" w14:textId="77777777" w:rsidR="00A77B3E" w:rsidRDefault="00A77B3E">
      <w:pPr>
        <w:keepNext/>
        <w:rPr>
          <w:color w:val="000000"/>
          <w:sz w:val="22"/>
          <w:u w:color="000000"/>
        </w:rPr>
        <w:sectPr w:rsidR="00A77B3E">
          <w:footerReference w:type="default" r:id="rId12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543779D7" w14:textId="77777777" w:rsidR="00A77B3E" w:rsidRDefault="00000000">
      <w:pPr>
        <w:keepNext/>
        <w:spacing w:before="120" w:after="120" w:line="360" w:lineRule="auto"/>
        <w:ind w:left="3634"/>
        <w:jc w:val="left"/>
        <w:rPr>
          <w:color w:val="000000"/>
          <w:sz w:val="22"/>
          <w:u w:color="000000"/>
        </w:rPr>
      </w:pPr>
      <w:r>
        <w:rPr>
          <w:color w:val="000000"/>
          <w:sz w:val="22"/>
          <w:u w:color="000000"/>
        </w:rPr>
        <w:lastRenderedPageBreak/>
        <w:t>Załącznik Nr 2 do zarządzenia</w:t>
      </w:r>
      <w:r>
        <w:rPr>
          <w:color w:val="000000"/>
          <w:sz w:val="22"/>
          <w:u w:color="000000"/>
        </w:rPr>
        <w:br/>
        <w:t>Regionalnego Dyrektora Ochrony Środowiska w Bydgoszczy</w:t>
      </w:r>
      <w:r>
        <w:rPr>
          <w:color w:val="000000"/>
          <w:sz w:val="22"/>
          <w:u w:color="000000"/>
        </w:rPr>
        <w:br/>
        <w:t>z dnia 4 grudnia 2024 r.</w:t>
      </w:r>
    </w:p>
    <w:p w14:paraId="6F4A0A8A" w14:textId="77777777" w:rsidR="00A77B3E" w:rsidRDefault="00000000">
      <w:pPr>
        <w:keepNext/>
        <w:spacing w:after="480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Położenie i przebieg granicy rezerwatu w postaci wykazu współrzędnych punktów załamania granicy w układzie współrzędnych płaskich prostokątnych</w:t>
      </w:r>
      <w:r>
        <w:rPr>
          <w:b/>
          <w:color w:val="000000"/>
          <w:sz w:val="22"/>
          <w:u w:color="000000"/>
        </w:rPr>
        <w:br/>
        <w:t>PL-1992</w:t>
      </w:r>
      <w:r>
        <w:rPr>
          <w:rStyle w:val="Odwoanieprzypisudolnego"/>
          <w:b/>
          <w:color w:val="000000"/>
          <w:sz w:val="20"/>
          <w:u w:color="000000"/>
        </w:rPr>
        <w:footnoteReference w:customMarkFollows="1" w:id="1"/>
        <w:t>1)</w:t>
      </w:r>
      <w:r>
        <w:rPr>
          <w:color w:val="000000"/>
          <w:sz w:val="22"/>
          <w:u w:color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18"/>
        <w:gridCol w:w="3382"/>
        <w:gridCol w:w="3382"/>
      </w:tblGrid>
      <w:tr w:rsidR="00C5243C" w14:paraId="66848DE9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833D6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</w:rPr>
              <w:t>Nr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D685C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D737C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</w:rPr>
              <w:t>Y</w:t>
            </w:r>
          </w:p>
        </w:tc>
      </w:tr>
      <w:tr w:rsidR="00C5243C" w14:paraId="2E6D97F7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4506B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1EDFD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622819,62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7CFFC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424078,78</w:t>
            </w:r>
          </w:p>
        </w:tc>
      </w:tr>
      <w:tr w:rsidR="00C5243C" w14:paraId="525A521E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6B9F5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CBD64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622804,82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E8DC5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424080,19</w:t>
            </w:r>
          </w:p>
        </w:tc>
      </w:tr>
      <w:tr w:rsidR="00C5243C" w14:paraId="006ACC3F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0D389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41D89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622794,95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1E247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424074,55</w:t>
            </w:r>
          </w:p>
        </w:tc>
      </w:tr>
      <w:tr w:rsidR="00C5243C" w14:paraId="42A3596B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2A318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BADB1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622781,56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72E40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424052,70</w:t>
            </w:r>
          </w:p>
        </w:tc>
      </w:tr>
      <w:tr w:rsidR="00C5243C" w14:paraId="5918BC58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AA30C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1E2EC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622754,57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F5D5D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424034,11</w:t>
            </w:r>
          </w:p>
        </w:tc>
      </w:tr>
      <w:tr w:rsidR="00C5243C" w14:paraId="09784E08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FE5AC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EC6F5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622724,82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780C3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424011,63</w:t>
            </w:r>
          </w:p>
        </w:tc>
      </w:tr>
      <w:tr w:rsidR="00C5243C" w14:paraId="47D2AD63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562C0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7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E4A97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622713,91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4623A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423989,98</w:t>
            </w:r>
          </w:p>
        </w:tc>
      </w:tr>
      <w:tr w:rsidR="00C5243C" w14:paraId="6EEFD572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52822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8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57440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622699,11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D93C6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423980,81</w:t>
            </w:r>
          </w:p>
        </w:tc>
      </w:tr>
      <w:tr w:rsidR="00C5243C" w14:paraId="34269E06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DC6AE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9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FEF15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622659,64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7CADD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423982,22</w:t>
            </w:r>
          </w:p>
        </w:tc>
      </w:tr>
      <w:tr w:rsidR="00C5243C" w14:paraId="60F7785E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89229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00257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622639,05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A910D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423984,59</w:t>
            </w:r>
          </w:p>
        </w:tc>
      </w:tr>
      <w:tr w:rsidR="00C5243C" w14:paraId="729AC45A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D1A8C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45CDF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622594,58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FA47A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423989,71</w:t>
            </w:r>
          </w:p>
        </w:tc>
      </w:tr>
      <w:tr w:rsidR="00C5243C" w14:paraId="42AFAE5F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6B9AD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211F5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622579,98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BB837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423990,79</w:t>
            </w:r>
          </w:p>
        </w:tc>
      </w:tr>
      <w:tr w:rsidR="00C5243C" w14:paraId="1C70D30A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C13E3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7BA2C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622550,21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21C43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423998,18</w:t>
            </w:r>
          </w:p>
        </w:tc>
      </w:tr>
      <w:tr w:rsidR="00C5243C" w14:paraId="44C88C52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5CD96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0E570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622496,89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2CBFD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423982,31</w:t>
            </w:r>
          </w:p>
        </w:tc>
      </w:tr>
      <w:tr w:rsidR="00C5243C" w14:paraId="4D9BF199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BC114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F0F6A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622452,88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32BD7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423893,73</w:t>
            </w:r>
          </w:p>
        </w:tc>
      </w:tr>
      <w:tr w:rsidR="00C5243C" w14:paraId="4537FE35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90533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16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D586F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622452,20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A7F39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423861,42</w:t>
            </w:r>
          </w:p>
        </w:tc>
      </w:tr>
      <w:tr w:rsidR="00C5243C" w14:paraId="2BA6254F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200CC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17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95DEE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622451,56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94B30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423859,52</w:t>
            </w:r>
          </w:p>
        </w:tc>
      </w:tr>
      <w:tr w:rsidR="00C5243C" w14:paraId="744ACED5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F21FE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18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BE3FA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622449,87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9CAAA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423854,45</w:t>
            </w:r>
          </w:p>
        </w:tc>
      </w:tr>
      <w:tr w:rsidR="00C5243C" w14:paraId="11AF9197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EDB46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19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2E59A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622446,32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319F0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423849,51</w:t>
            </w:r>
          </w:p>
        </w:tc>
      </w:tr>
      <w:tr w:rsidR="00C5243C" w14:paraId="20622A3A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70F57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86BFF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622395,77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7FFEE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423833,15</w:t>
            </w:r>
          </w:p>
        </w:tc>
      </w:tr>
      <w:tr w:rsidR="00C5243C" w14:paraId="1971CA88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FAABC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9D517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622395,72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4BA12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423820,09</w:t>
            </w:r>
          </w:p>
        </w:tc>
      </w:tr>
      <w:tr w:rsidR="00C5243C" w14:paraId="302E5382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737ED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D5401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622434,14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0796B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423752,66</w:t>
            </w:r>
          </w:p>
        </w:tc>
      </w:tr>
      <w:tr w:rsidR="00C5243C" w14:paraId="3D9645CB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46785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82B05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622434,87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B2D4B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423726,55</w:t>
            </w:r>
          </w:p>
        </w:tc>
      </w:tr>
      <w:tr w:rsidR="00C5243C" w14:paraId="6471D3A5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005F2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4E3B6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622395,26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4A6E3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423645,38</w:t>
            </w:r>
          </w:p>
        </w:tc>
      </w:tr>
      <w:tr w:rsidR="00C5243C" w14:paraId="2FAA92F2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D1413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C0113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622395,20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60EE8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423645,27</w:t>
            </w:r>
          </w:p>
        </w:tc>
      </w:tr>
      <w:tr w:rsidR="00C5243C" w14:paraId="6081CF33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D41DB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26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84BA1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622387,44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E4D31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423627,28</w:t>
            </w:r>
          </w:p>
        </w:tc>
      </w:tr>
      <w:tr w:rsidR="00C5243C" w14:paraId="63E77B8A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F6AED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27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9D793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622381,01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40256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423612,26</w:t>
            </w:r>
          </w:p>
        </w:tc>
      </w:tr>
      <w:tr w:rsidR="00C5243C" w14:paraId="59D3C4BB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7B53E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28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4E4E3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622374,17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1B352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423603,44</w:t>
            </w:r>
          </w:p>
        </w:tc>
      </w:tr>
      <w:tr w:rsidR="00C5243C" w14:paraId="5F254326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2F1B6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29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3B976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622348,44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2C722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423598,72</w:t>
            </w:r>
          </w:p>
        </w:tc>
      </w:tr>
      <w:tr w:rsidR="00C5243C" w14:paraId="0225CCCF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8DECF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C953C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622348,79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9F665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423597,70</w:t>
            </w:r>
          </w:p>
        </w:tc>
      </w:tr>
      <w:tr w:rsidR="00C5243C" w14:paraId="16ED3F80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2ED35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6E04D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622371,24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BCE6C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423531,79</w:t>
            </w:r>
          </w:p>
        </w:tc>
      </w:tr>
      <w:tr w:rsidR="00C5243C" w14:paraId="1BD7592B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A9CC9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1BAF4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622406,20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20F80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423477,65</w:t>
            </w:r>
          </w:p>
        </w:tc>
      </w:tr>
      <w:tr w:rsidR="00C5243C" w14:paraId="58E56212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84847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D990E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622406,90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98F46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423475,41</w:t>
            </w:r>
          </w:p>
        </w:tc>
      </w:tr>
      <w:tr w:rsidR="00C5243C" w14:paraId="2C0D7FFF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F0252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CF2AF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622433,37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B0ADF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423389,54</w:t>
            </w:r>
          </w:p>
        </w:tc>
      </w:tr>
      <w:tr w:rsidR="00C5243C" w14:paraId="2EB06AE8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F41FC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73470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622444,69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78CF2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423378,32</w:t>
            </w:r>
          </w:p>
        </w:tc>
      </w:tr>
      <w:tr w:rsidR="00C5243C" w14:paraId="191173BB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02084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36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05001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622444,78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E01EF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423369,62</w:t>
            </w:r>
          </w:p>
        </w:tc>
      </w:tr>
      <w:tr w:rsidR="00C5243C" w14:paraId="200D9367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9179A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37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F5597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622501,52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75AA2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423355,03</w:t>
            </w:r>
          </w:p>
        </w:tc>
      </w:tr>
      <w:tr w:rsidR="00C5243C" w14:paraId="3F7D51F1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DCAC3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38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C76CA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622560,24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9F549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423323,01</w:t>
            </w:r>
          </w:p>
        </w:tc>
      </w:tr>
      <w:tr w:rsidR="00C5243C" w14:paraId="632086F8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BD54A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lastRenderedPageBreak/>
              <w:t>39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657D2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622622,22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7F565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423289,20</w:t>
            </w:r>
          </w:p>
        </w:tc>
      </w:tr>
      <w:tr w:rsidR="00C5243C" w14:paraId="27986BC2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E6D4D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80733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622732,10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D1759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423238,22</w:t>
            </w:r>
          </w:p>
        </w:tc>
      </w:tr>
      <w:tr w:rsidR="00C5243C" w14:paraId="43CE4D2D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6AC5C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31FDA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622839,39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DD609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423207,41</w:t>
            </w:r>
          </w:p>
        </w:tc>
      </w:tr>
      <w:tr w:rsidR="00C5243C" w14:paraId="2768DDBE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73A18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0853E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622886,38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8827B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423218,88</w:t>
            </w:r>
          </w:p>
        </w:tc>
      </w:tr>
      <w:tr w:rsidR="00C5243C" w14:paraId="4C922794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0F8D5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AD980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622928,89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AED79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423242,41</w:t>
            </w:r>
          </w:p>
        </w:tc>
      </w:tr>
      <w:tr w:rsidR="00C5243C" w14:paraId="5EF01E73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05438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FCD8C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622944,20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1432D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423250,97</w:t>
            </w:r>
          </w:p>
        </w:tc>
      </w:tr>
      <w:tr w:rsidR="00C5243C" w14:paraId="4F51D1BE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CD1DA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F6B35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622980,27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4B8C4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423255,55</w:t>
            </w:r>
          </w:p>
        </w:tc>
      </w:tr>
      <w:tr w:rsidR="00C5243C" w14:paraId="53333E74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E83E3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46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A795C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622982,38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2AC0C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423255,81</w:t>
            </w:r>
          </w:p>
        </w:tc>
      </w:tr>
      <w:tr w:rsidR="00C5243C" w14:paraId="48D9C13A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EFDB0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47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B1A0A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622983,03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6D516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423258,73</w:t>
            </w:r>
          </w:p>
        </w:tc>
      </w:tr>
      <w:tr w:rsidR="00C5243C" w14:paraId="246B2850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D6A6D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48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CC292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622999,50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529D5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423332,84</w:t>
            </w:r>
          </w:p>
        </w:tc>
      </w:tr>
      <w:tr w:rsidR="00C5243C" w14:paraId="08016599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F65BC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49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2ADB0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622999,93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213BD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423334,79</w:t>
            </w:r>
          </w:p>
        </w:tc>
      </w:tr>
      <w:tr w:rsidR="00C5243C" w14:paraId="185CE0AA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A364C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50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5E7AC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622998,00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99765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423335,32</w:t>
            </w:r>
          </w:p>
        </w:tc>
      </w:tr>
      <w:tr w:rsidR="00C5243C" w14:paraId="28183FC8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23881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51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27B16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622973,14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CD328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423342,17</w:t>
            </w:r>
          </w:p>
        </w:tc>
      </w:tr>
      <w:tr w:rsidR="00C5243C" w14:paraId="6A36ABA2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53B43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52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35BD0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622966,30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A0C87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423410,67</w:t>
            </w:r>
          </w:p>
        </w:tc>
      </w:tr>
      <w:tr w:rsidR="00C5243C" w14:paraId="7945C621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63471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53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ABCE2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622966,04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112F0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423410,72</w:t>
            </w:r>
          </w:p>
        </w:tc>
      </w:tr>
      <w:tr w:rsidR="00C5243C" w14:paraId="7DD8B917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CECEB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54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DDC7C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622968,33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451F9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423415,59</w:t>
            </w:r>
          </w:p>
        </w:tc>
      </w:tr>
      <w:tr w:rsidR="00C5243C" w14:paraId="2C7FAD86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41A92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55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0247E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622959,87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8D5EE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423514,96</w:t>
            </w:r>
          </w:p>
        </w:tc>
      </w:tr>
      <w:tr w:rsidR="00C5243C" w14:paraId="17377F6E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30B81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56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12E5A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622993,85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002FD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423537,61</w:t>
            </w:r>
          </w:p>
        </w:tc>
      </w:tr>
      <w:tr w:rsidR="00C5243C" w14:paraId="47FE1090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20676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57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2C402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623021,67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A5C83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423533,53</w:t>
            </w:r>
          </w:p>
        </w:tc>
      </w:tr>
      <w:tr w:rsidR="00C5243C" w14:paraId="6A3262CD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CE3B7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58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CBB48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623045,41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D8409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423552,48</w:t>
            </w:r>
          </w:p>
        </w:tc>
      </w:tr>
      <w:tr w:rsidR="00C5243C" w14:paraId="3D218430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05480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59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A95AE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623047,36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10733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423554,03</w:t>
            </w:r>
          </w:p>
        </w:tc>
      </w:tr>
      <w:tr w:rsidR="00C5243C" w14:paraId="59B16D84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D8F28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DD6E7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623047,49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E3153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423550,13</w:t>
            </w:r>
          </w:p>
        </w:tc>
      </w:tr>
      <w:tr w:rsidR="00C5243C" w14:paraId="099B324E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C343F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11FFA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623090,47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890BE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423580,49</w:t>
            </w:r>
          </w:p>
        </w:tc>
      </w:tr>
      <w:tr w:rsidR="00C5243C" w14:paraId="55110DAD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E59E7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FC598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623105,05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0348E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423644,16</w:t>
            </w:r>
          </w:p>
        </w:tc>
      </w:tr>
      <w:tr w:rsidR="00C5243C" w14:paraId="440833A0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4694F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CDAFE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623079,29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E1370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423702,20</w:t>
            </w:r>
          </w:p>
        </w:tc>
      </w:tr>
      <w:tr w:rsidR="00C5243C" w14:paraId="4083CD14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B14A2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77A45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623077,23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E9AC4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423705,85</w:t>
            </w:r>
          </w:p>
        </w:tc>
      </w:tr>
      <w:tr w:rsidR="00C5243C" w14:paraId="43F86543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5F609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086E8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623071,96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84C7F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423715,20</w:t>
            </w:r>
          </w:p>
        </w:tc>
      </w:tr>
      <w:tr w:rsidR="00C5243C" w14:paraId="7A699CED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5191F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66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593CF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623027,50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83DAB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423767,06</w:t>
            </w:r>
          </w:p>
        </w:tc>
      </w:tr>
      <w:tr w:rsidR="00C5243C" w14:paraId="57D71301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B62E2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67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146F8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623002,86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08133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423809,56</w:t>
            </w:r>
          </w:p>
        </w:tc>
      </w:tr>
      <w:tr w:rsidR="00C5243C" w14:paraId="52AFB022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00F34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68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8152B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622970,44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50112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423861,00</w:t>
            </w:r>
          </w:p>
        </w:tc>
      </w:tr>
      <w:tr w:rsidR="00C5243C" w14:paraId="519E3432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04D87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69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F0944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622958,46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758C8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423900,47</w:t>
            </w:r>
          </w:p>
        </w:tc>
      </w:tr>
      <w:tr w:rsidR="00C5243C" w14:paraId="6346AAD3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4551E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70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631E4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622950,41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8D2EB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424021,29</w:t>
            </w:r>
          </w:p>
        </w:tc>
      </w:tr>
      <w:tr w:rsidR="00C5243C" w14:paraId="0583A60A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145A4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71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D78E9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622973,99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86E17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424044,35</w:t>
            </w:r>
          </w:p>
        </w:tc>
      </w:tr>
      <w:tr w:rsidR="00C5243C" w14:paraId="359C4323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85760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72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0D73F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622935,49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27600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424077,99</w:t>
            </w:r>
          </w:p>
        </w:tc>
      </w:tr>
      <w:tr w:rsidR="00C5243C" w14:paraId="5AAB7015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C877F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73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AE5DC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622890,45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504D1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424103,23</w:t>
            </w:r>
          </w:p>
        </w:tc>
      </w:tr>
      <w:tr w:rsidR="00C5243C" w14:paraId="5EAF8D2F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F7BCF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74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18C8F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622888,14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E35E8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424097,57</w:t>
            </w:r>
          </w:p>
        </w:tc>
      </w:tr>
      <w:tr w:rsidR="00C5243C" w14:paraId="6A39B638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C819D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75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9532A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622907,48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C5758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424081,31</w:t>
            </w:r>
          </w:p>
        </w:tc>
      </w:tr>
      <w:tr w:rsidR="00C5243C" w14:paraId="00475DC2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1072D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76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1161B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622906,23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DD8BC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424068,76</w:t>
            </w:r>
          </w:p>
        </w:tc>
      </w:tr>
      <w:tr w:rsidR="00C5243C" w14:paraId="13E02449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E48B8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77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C8BE4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622873,89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37F5D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424073,84</w:t>
            </w:r>
          </w:p>
        </w:tc>
      </w:tr>
      <w:tr w:rsidR="00C5243C" w14:paraId="154F265E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DCC7C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78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EA080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622839,35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428E0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424071,73</w:t>
            </w:r>
          </w:p>
        </w:tc>
      </w:tr>
      <w:tr w:rsidR="00C5243C" w14:paraId="388ACD61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7FA1D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79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6F953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622819,62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BBFAA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424078,78</w:t>
            </w:r>
          </w:p>
        </w:tc>
      </w:tr>
    </w:tbl>
    <w:p w14:paraId="3FF5C261" w14:textId="77777777" w:rsidR="00A77B3E" w:rsidRDefault="00000000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78A22854" wp14:editId="7FF21BA4">
            <wp:extent cx="2639568" cy="1042416"/>
            <wp:effectExtent l="0" t="0" r="0" b="0"/>
            <wp:docPr id="100007" name="Obraz 100007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" r:link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EC94C" w14:textId="77777777" w:rsidR="00A77B3E" w:rsidRDefault="00A77B3E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  <w:sectPr w:rsidR="00A77B3E">
          <w:footerReference w:type="default" r:id="rId14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67ED3C14" w14:textId="77777777" w:rsidR="00A77B3E" w:rsidRDefault="00000000">
      <w:pPr>
        <w:keepNext/>
        <w:spacing w:before="120" w:after="120" w:line="360" w:lineRule="auto"/>
        <w:ind w:left="3634"/>
        <w:jc w:val="left"/>
        <w:rPr>
          <w:color w:val="000000"/>
          <w:sz w:val="22"/>
          <w:u w:color="000000"/>
        </w:rPr>
      </w:pPr>
      <w:r>
        <w:rPr>
          <w:color w:val="000000"/>
          <w:sz w:val="22"/>
          <w:u w:color="000000"/>
        </w:rPr>
        <w:lastRenderedPageBreak/>
        <w:t>Załącznik Nr 3 do zarządzenia</w:t>
      </w:r>
      <w:r>
        <w:rPr>
          <w:color w:val="000000"/>
          <w:sz w:val="22"/>
          <w:u w:color="000000"/>
        </w:rPr>
        <w:br/>
        <w:t>Regionalnego Dyrektora Ochrony Środowiska w Bydgoszczy</w:t>
      </w:r>
      <w:r>
        <w:rPr>
          <w:color w:val="000000"/>
          <w:sz w:val="22"/>
          <w:u w:color="000000"/>
        </w:rPr>
        <w:br/>
        <w:t>z dnia 4 grudnia 2024 r.</w:t>
      </w:r>
    </w:p>
    <w:p w14:paraId="1326B272" w14:textId="77777777" w:rsidR="00A77B3E" w:rsidRDefault="00000000">
      <w:pPr>
        <w:keepNext/>
        <w:spacing w:after="480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Położenie i przebieg granicy otuliny rezerwatu w postaci wykazu współrzędnych punktów załamania granicy w układzie współrzędnych płaskich prostokątnych</w:t>
      </w:r>
      <w:r>
        <w:rPr>
          <w:b/>
          <w:color w:val="000000"/>
          <w:sz w:val="22"/>
          <w:u w:color="000000"/>
        </w:rPr>
        <w:br/>
        <w:t>PL-1992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"/>
        <w:gridCol w:w="2996"/>
        <w:gridCol w:w="2996"/>
        <w:gridCol w:w="2996"/>
      </w:tblGrid>
      <w:tr w:rsidR="00C5243C" w14:paraId="63D72858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98777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</w:rPr>
              <w:t>Nr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2BBE9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</w:rPr>
              <w:t>X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3C513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</w:rPr>
              <w:t>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4B66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</w:rPr>
              <w:t>Komentarz</w:t>
            </w:r>
          </w:p>
        </w:tc>
      </w:tr>
      <w:tr w:rsidR="00C5243C" w14:paraId="7CF18700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33B36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7549E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622347,55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A22A6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423884,47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2277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7342F286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D50BB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2FBAD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622308,97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1E61A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423724,45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618D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7EC28E3A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5EEE6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EC924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622283,88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B5663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423620,39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0434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3FD27670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D73C3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2CAD5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622279,94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01D8E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423604,06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A5BD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3F7B18C0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168D7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3ED65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622258,65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B1B0F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423515,72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E695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0F8E40A0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714CC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9C202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622258,16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8A3D5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423513,78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F8C1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6651EE29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51EDC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1ABE5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622221,74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05A09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423369,14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DD00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474ECBB7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2A8A6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0BDC9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622203,67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1A8AF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423297,40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1CDB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5ED0DCFB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E9FAD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487E9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622179,11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2C5B9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423199,86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189D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555DCB28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BA830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4117A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622255,95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3459E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423192,66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9A14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384F2D7A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47A29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3615C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622346,32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EE951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423177,45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966F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62273587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9079C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9DE7E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622406,16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D6130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423169,03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507B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197D2661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3D61B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DABC5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622411,13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78300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423185,98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7F92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0102674E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36245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1CF3E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622483,09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C6882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423175,49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28E8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0C9BB1EC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41BD6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0CF13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622539,36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8F930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423167,29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7E2F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49A049AF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05579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FDAAB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622631,40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8BC7E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423162,70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118C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2C7B5E82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378BA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F6422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622737,72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5528B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423172,26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6C33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02DAE79E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E5790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61705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622740,02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1F8F2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423172,47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4757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7BFAEF92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F4514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DE98B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622792,05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965EE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423129,30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2BDD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73FE92DF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C5B2E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6CC29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622825,94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72456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423105,99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CF70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244CAB22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557D9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C0823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622929,63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5163A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423034,73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9FE4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77949392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4DF9D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757ED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622931,40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8F2B7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423033,50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31A4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08043DAF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EE509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9555F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622975,52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10B52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423225,88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2AF1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268DDF51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BF0FC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CC4D4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622982,38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BCB74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423255,81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F80D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2EB3B917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BCF6E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58B28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622980,27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C641E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423255,55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C339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1928FE75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D078A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B17B9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622944,20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DEBF9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423250,97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91A7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406DCBA2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B67CF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E4B48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622928,89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EE334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423242,41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1E01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7114D0B0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29EF6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D2FFD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622886,38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ACB8E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423218,88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DACA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70F78995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96EA4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A730E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622839,39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0C498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423207,41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E066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2F567248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660AD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BBDCA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622732,10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0D1C7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423238,22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97EE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016EDA87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6B127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B1398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622622,22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F99E8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423289,20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385B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6047F6B0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C218A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388D9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622560,24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9BE34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423323,01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B1D1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44F7DF79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CF970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E1C04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622501,52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99803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423355,03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8887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3E1705FB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44FF2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FE092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622444,78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B1489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423369,62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A067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613C4966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4D469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9A424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622444,69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EEABA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423378,32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C600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7726B3E8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D8C6F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56CF3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622433,37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57919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423389,54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96BB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12486515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D0B65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F08A4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622406,90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F517F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423475,41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425B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20465A59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5A8AB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87FE7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622406,20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393A5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423477,65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0479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58CF49D0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04C58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1B750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622371,24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669B2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423531,79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C590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78804C5D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4F913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82F75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622348,79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56E6C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423597,70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0EA1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05865A33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FE82D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EE8A6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622348,44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41A8C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423598,72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5B0A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27E7C817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3F091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lastRenderedPageBreak/>
              <w:t>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4D1B9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622374,17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282DF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423603,44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8733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48088F60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F3D10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A7DBF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622381,01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AF6F9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423612,26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7B6B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363348E4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711F0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BF4DF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622387,44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1FE0F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423627,28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544F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19C36DED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801D2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EB689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622395,20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173EC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423645,27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FD8F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3043E5CE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5CE0A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246D4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622395,26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80C5D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423645,38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3620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0F959BBF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D3EC1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145F6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622434,87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9BFB3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423726,55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0FA7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7E47FF1F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84B32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DA6F1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622434,14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E4593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423752,66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F4BB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7801D4AF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13341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C1F22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622395,72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73AAE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423820,09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0D0A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0F52BD5D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492FF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C2E4D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622395,77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D1BD2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423833,15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38CF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3B14AC21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375B0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ABBE8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622446,32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B9610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423849,51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BA8B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1A87E5C9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1C4F8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24745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622449,87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91111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423854,45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887A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341E8C29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870FA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6F9BD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622451,56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BB10E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423859,52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345E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19EAD6B5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3CC6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F628A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622452,20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83155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423861,42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78A8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472633AB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3B99E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8CC71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622452,88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BF1E8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423893,73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2814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12D0EDA3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990DC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B238E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622496,89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3EA75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423982,31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6031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71497216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3931B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365AA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622550,21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41AD7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423998,18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76E9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37A8EDB5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AAA5C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A6EA2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622579,98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71EE1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423990,79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73E2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51450EF9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B41CC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C1114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622594,58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C19F5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423989,71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AF42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6262498C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5C56F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826E1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622639,05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C6796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423984,59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CCA8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57C1DDFC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AC7C0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1E7E7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622659,64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E6935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423982,22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F50F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3E81C0A1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6DE69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34D53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622699,11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E5C54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423980,81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E042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02A70072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C7BB6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6C386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622713,91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BBA74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423989,98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DE21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1FF93227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C8CD8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81DC7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622724,82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F4581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424011,63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52CE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7A43B0DE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05C28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04B65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622754,57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D5219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424034,11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792B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57DF006B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E53EA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A1F01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622781,56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83ED7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424052,70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9723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7F7C00FE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1FE64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D32B9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622794,95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3BC68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424074,55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BE2E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556D0ED8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3F0B0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96139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622804,82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7A1C6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424080,19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FD2F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46836790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DF487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EBC87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622819,62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76186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424078,78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40B5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0C1FB1FC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28D52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8725B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622839,35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BDEB4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424071,73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8569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44312BC7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FBC81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373BD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622873,89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0055F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424073,84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EC61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78EF53F2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69549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DE58B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622906,23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FEC2C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424068,76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3BCD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2B48D82E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7469B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07920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622907,48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79F18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424081,31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2CF5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4C0A454B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9A308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459B3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622888,14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61635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424097,57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C642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0FEDC97E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11190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F9DFA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622890,45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06201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424103,23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B3B4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386C1A99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57B15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3AB31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622935,49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F54F7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424077,99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5BD4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01ACA85B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45417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EC481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622973,99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95A0F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424044,35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D406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5538A073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C3652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0B740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622950,41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7068D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424021,29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2266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57A27ECC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7043D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E7E78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622958,46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A8E32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423900,47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F3E3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6C2A1526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E7488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D5420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622970,44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52ACC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423861,00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A5A6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1B16BBA2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7A51C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A1478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623002,86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42751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423809,56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1D14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3B582AD8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28EEB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5B03E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623027,50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B08BF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423767,06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5F8D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660FA4FE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70790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E01C9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623071,96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B4DFC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423715,20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903B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69D4E039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39A29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1FD13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623077,23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AA6B6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423705,85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6F86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60D3F3FF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AAC77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B31B7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623079,29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325C8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423702,20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4AA3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479E1613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4477E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B95CF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623081,69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31685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423710,38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BE8C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57F05519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C1B37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0DB60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623082,25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0D7C1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423712,30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F669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4B353290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FD858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F8B05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623122,25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92A03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423886,45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98CA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6F7FCA99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E1A6F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D0083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623167,70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D8B4D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424084,38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EB48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3477156C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8C34A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CD129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623168,15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4EBA2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424086,33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7D30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6EF16384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7DA95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D5ADD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623165,24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7BF9E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424087,05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E43F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34F0C234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83BF8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57929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623035,02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9E3CB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424119,19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CC86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7A387D3A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5713F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lastRenderedPageBreak/>
              <w:t>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A4D03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622885,19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D52C7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424156,18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6D00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3625F9EF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29199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C7E26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622626,46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45E28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424220,05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170E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574B542C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F2046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9F3D8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622625,49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075B2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424220,29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0A01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0899A8CA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E8FB8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05E77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622438,18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8EC66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424266,53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D6FD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1984B2AF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ECFAA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58345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622437,61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DC50A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424264,10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01F1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498B14A3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C79F7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3C90E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622348,02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9012D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423886,41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F6D9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2601AD29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A39D8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E069D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622347,55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483BE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423884,47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024D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1</w:t>
            </w:r>
          </w:p>
        </w:tc>
      </w:tr>
      <w:tr w:rsidR="00C5243C" w14:paraId="79C580DC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5CD71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B33A2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622993,85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CA027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423537,61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D807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2</w:t>
            </w:r>
          </w:p>
        </w:tc>
      </w:tr>
      <w:tr w:rsidR="00C5243C" w14:paraId="2F316B66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ED63E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1E184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622959,87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96AF6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423514,96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3675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2</w:t>
            </w:r>
          </w:p>
        </w:tc>
      </w:tr>
      <w:tr w:rsidR="00C5243C" w14:paraId="515319AF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F1F14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C15C9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622968,33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0946F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423415,59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3A02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2</w:t>
            </w:r>
          </w:p>
        </w:tc>
      </w:tr>
      <w:tr w:rsidR="00C5243C" w14:paraId="2D2654E7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0D268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8C5F6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622966,04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3532E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423410,72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EE07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2</w:t>
            </w:r>
          </w:p>
        </w:tc>
      </w:tr>
      <w:tr w:rsidR="00C5243C" w14:paraId="07D46CB7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93FEC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A10DF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622966,30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A1FDD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423410,67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33E9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2</w:t>
            </w:r>
          </w:p>
        </w:tc>
      </w:tr>
      <w:tr w:rsidR="00C5243C" w14:paraId="04ADD93B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5B5DC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28949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622973,14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D88EC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423342,17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9B41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2</w:t>
            </w:r>
          </w:p>
        </w:tc>
      </w:tr>
      <w:tr w:rsidR="00C5243C" w14:paraId="0E69F8B9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7352E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3F15D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622998,00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34E6D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423335,32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89FD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2</w:t>
            </w:r>
          </w:p>
        </w:tc>
      </w:tr>
      <w:tr w:rsidR="00C5243C" w14:paraId="15A6CD02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7778F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69936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622999,93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49665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423334,79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7AB6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2</w:t>
            </w:r>
          </w:p>
        </w:tc>
      </w:tr>
      <w:tr w:rsidR="00C5243C" w14:paraId="7D166BF5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13899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93153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623047,49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A2B0C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423550,13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3D60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2</w:t>
            </w:r>
          </w:p>
        </w:tc>
      </w:tr>
      <w:tr w:rsidR="00C5243C" w14:paraId="77279F62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3896A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F8803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623047,36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5BF8B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423554,03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0DDB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2</w:t>
            </w:r>
          </w:p>
        </w:tc>
      </w:tr>
      <w:tr w:rsidR="00C5243C" w14:paraId="1EC62569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1A58E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D0875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623045,41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E4885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423552,48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E6D5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2</w:t>
            </w:r>
          </w:p>
        </w:tc>
      </w:tr>
      <w:tr w:rsidR="00C5243C" w14:paraId="25D73C92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95EF7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102BD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623021,67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6E331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423533,53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9DED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2</w:t>
            </w:r>
          </w:p>
        </w:tc>
      </w:tr>
      <w:tr w:rsidR="00C5243C" w14:paraId="1FC65030" w14:textId="77777777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3B6BA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112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9EC65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622993,85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2C6A3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423537,61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3EC8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t>Część 2</w:t>
            </w:r>
          </w:p>
        </w:tc>
      </w:tr>
    </w:tbl>
    <w:p w14:paraId="15FF040D" w14:textId="77777777" w:rsidR="00A77B3E" w:rsidRDefault="00000000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061B6FF9" wp14:editId="65A34DA4">
            <wp:extent cx="2639568" cy="1042416"/>
            <wp:effectExtent l="0" t="0" r="0" b="0"/>
            <wp:docPr id="100009" name="Obraz 100009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6" r:link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B2C8E" w14:textId="77777777" w:rsidR="00A77B3E" w:rsidRDefault="00A77B3E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  <w:sectPr w:rsidR="00A77B3E">
          <w:footerReference w:type="default" r:id="rId16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25F92884" w14:textId="77777777" w:rsidR="00C5243C" w:rsidRDefault="00C5243C">
      <w:pPr>
        <w:jc w:val="left"/>
        <w:rPr>
          <w:color w:val="000000"/>
          <w:sz w:val="22"/>
          <w:szCs w:val="20"/>
          <w:shd w:val="clear" w:color="auto" w:fill="FFFFFF"/>
          <w:lang w:val="x-none" w:eastAsia="en-US" w:bidi="ar-SA"/>
        </w:rPr>
      </w:pPr>
    </w:p>
    <w:p w14:paraId="62941D34" w14:textId="77777777" w:rsidR="00C5243C" w:rsidRDefault="00000000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</w:t>
      </w:r>
      <w:r>
        <w:rPr>
          <w:b/>
          <w:caps/>
          <w:color w:val="000000"/>
          <w:szCs w:val="20"/>
          <w:shd w:val="clear" w:color="auto" w:fill="FFFFFF"/>
        </w:rPr>
        <w:t>ZASADNIENIE</w:t>
      </w:r>
    </w:p>
    <w:p w14:paraId="67313825" w14:textId="77777777" w:rsidR="00C5243C" w:rsidRDefault="00C5243C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 w14:paraId="6643BEA1" w14:textId="77777777" w:rsidR="00C5243C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Na podstawie art. 13 </w:t>
      </w:r>
      <w:r>
        <w:rPr>
          <w:color w:val="000000"/>
          <w:szCs w:val="20"/>
          <w:shd w:val="clear" w:color="auto" w:fill="FFFFFF"/>
          <w:lang w:val="x-none" w:eastAsia="en-US" w:bidi="ar-SA"/>
        </w:rPr>
        <w:t>ust. </w:t>
      </w:r>
      <w:r>
        <w:rPr>
          <w:color w:val="000000"/>
          <w:szCs w:val="20"/>
          <w:shd w:val="clear" w:color="auto" w:fill="FFFFFF"/>
        </w:rPr>
        <w:t>3</w:t>
      </w:r>
      <w:r>
        <w:rPr>
          <w:color w:val="000000"/>
          <w:szCs w:val="20"/>
          <w:shd w:val="clear" w:color="auto" w:fill="FFFFFF"/>
          <w:lang w:val="x-none" w:eastAsia="en-US" w:bidi="ar-SA"/>
        </w:rPr>
        <w:t> ustawy z dnia 16 kwietnia 2004 roku o ochronie przyrody (</w:t>
      </w:r>
      <w:proofErr w:type="spellStart"/>
      <w:r>
        <w:rPr>
          <w:color w:val="000000"/>
          <w:szCs w:val="20"/>
          <w:shd w:val="clear" w:color="auto" w:fill="FFFFFF"/>
        </w:rPr>
        <w:t>t.j</w:t>
      </w:r>
      <w:proofErr w:type="spellEnd"/>
      <w:r>
        <w:rPr>
          <w:color w:val="000000"/>
          <w:szCs w:val="20"/>
          <w:shd w:val="clear" w:color="auto" w:fill="FFFFFF"/>
        </w:rPr>
        <w:t xml:space="preserve">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Dz. U. z 202</w:t>
      </w:r>
      <w:r>
        <w:rPr>
          <w:color w:val="000000"/>
          <w:szCs w:val="20"/>
          <w:shd w:val="clear" w:color="auto" w:fill="FFFFFF"/>
        </w:rPr>
        <w:t>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 poz. </w:t>
      </w:r>
      <w:r>
        <w:rPr>
          <w:color w:val="000000"/>
          <w:szCs w:val="20"/>
          <w:shd w:val="clear" w:color="auto" w:fill="FFFFFF"/>
        </w:rPr>
        <w:t>1478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u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znanie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za rezerwat przyrody następuje w drodze aktu prawa miejscowego w formie zarządzenia regionalnego dyrektora ochrony środowiska, które określa jego nazwę, położenie lub przebieg granicy i otulinę, jeżeli została wyznaczona, cele ochrony oraz rodzaj, typ i podtyp rezerwatu przyrody, a także sprawującego nadzór nad rezerwatem. </w:t>
      </w:r>
    </w:p>
    <w:p w14:paraId="4FF50280" w14:textId="77777777" w:rsidR="00C5243C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Rezerwat przyrody „</w:t>
      </w:r>
      <w:r>
        <w:rPr>
          <w:color w:val="000000"/>
          <w:szCs w:val="20"/>
          <w:shd w:val="clear" w:color="auto" w:fill="FFFFFF"/>
        </w:rPr>
        <w:t>Uroczysko Kiełpinek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o powierzchni </w:t>
      </w:r>
      <w:r>
        <w:rPr>
          <w:color w:val="000000"/>
          <w:szCs w:val="20"/>
          <w:shd w:val="clear" w:color="auto" w:fill="FFFFFF"/>
        </w:rPr>
        <w:t>43,80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ha zlokalizowany jest </w:t>
      </w:r>
      <w:r>
        <w:rPr>
          <w:color w:val="000000"/>
          <w:szCs w:val="20"/>
          <w:shd w:val="clear" w:color="auto" w:fill="FFFFFF"/>
        </w:rPr>
        <w:t xml:space="preserve">na terenie gminy Gostycyn, w powiecie tucholskim, w województwie kujawsko-pomorskim. W dniu 11 kwietnia 2024 r. do Regionalnej Dyrekcji Ochrony Środowiska w Bydgoszczy, wpłynął wniosek Nadleśnictwa </w:t>
      </w:r>
      <w:proofErr w:type="spellStart"/>
      <w:r>
        <w:rPr>
          <w:color w:val="000000"/>
          <w:szCs w:val="20"/>
          <w:shd w:val="clear" w:color="auto" w:fill="FFFFFF"/>
        </w:rPr>
        <w:t>Zamrzenica</w:t>
      </w:r>
      <w:proofErr w:type="spellEnd"/>
      <w:r>
        <w:rPr>
          <w:color w:val="000000"/>
          <w:szCs w:val="20"/>
          <w:shd w:val="clear" w:color="auto" w:fill="FFFFFF"/>
        </w:rPr>
        <w:t>, o utworzenie powyższego rezerwatu przyrody. Zgodnie z otrzymanym wnioskiem p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roponowany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do objęcia ochroną rezerwatową </w:t>
      </w:r>
      <w:r>
        <w:rPr>
          <w:color w:val="000000"/>
          <w:szCs w:val="20"/>
          <w:shd w:val="clear" w:color="auto" w:fill="FFFFFF"/>
        </w:rPr>
        <w:t>obszar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stanowi teren podmokły, którego wody gruntowe i powierzchniowe zasilane są głównie przez opady atmosferyczne. Obecne są tutaj liczne wyrobiska potorfowe i niewielkie oczka wodne. </w:t>
      </w:r>
      <w:r>
        <w:rPr>
          <w:color w:val="000000"/>
          <w:szCs w:val="20"/>
          <w:shd w:val="clear" w:color="auto" w:fill="FFFFFF"/>
        </w:rPr>
        <w:t>Na obszarach graniczących z rezerwatem wyznacza się otulinę o powierzchni 36,17 ha.</w:t>
      </w:r>
    </w:p>
    <w:p w14:paraId="056DC471" w14:textId="77777777" w:rsidR="00C5243C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Dane o proponowanym rezerwacie pochodzą, między innymi, z dokumentacji związanej z Planem Urządzenia Lasu, opracowanego dla Nadleśnictwa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Zamrzenica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na lata 2016-2025, lustracji terenowej oraz opracowania pn. „Zróżnicowanie i waloryzacja szaty roślinnej „Uroczyska Kiełpinek” w Borach Tucholskich” (Czarnecki P. Ratyńska H. Załuski T., 2001). </w:t>
      </w:r>
    </w:p>
    <w:p w14:paraId="5F15D1A8" w14:textId="77777777" w:rsidR="00C5243C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Ze względu na niesprzyjające warunki wodne i glebowe teren ten nigdy nie był intensywnie użytkowany, w związku z tym posiada on ciekawą strukturę fitocenotyczną, stanowiąc również siedlisko dla wielu gatunków zwierząt. W otoczeniu uroczyska znajdują się lasy gospodarcze, natomiast bardziej sucha część torfowiska była niegdyś użytkowana jako łąka i pastwisko. Potencjalną roślinność naturalną uroczyska, poza najwilgotniejszymi biotopami wodnymi i szuwarowymi, stanowi łęg olszowo-jesionowy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Fraxino-Alnetum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 żyzny ols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Ribo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nigri-Alnetum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W otoczeniu dominują siedliska potencjalnego boru mieszanego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Querco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roboris-Pinetum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>,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boru suchego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Cladonio-Pinetum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boru wilgotnego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Molinio</w:t>
      </w:r>
      <w:proofErr w:type="spellEnd"/>
      <w:r>
        <w:rPr>
          <w:i/>
          <w:color w:val="000000"/>
          <w:szCs w:val="20"/>
          <w:shd w:val="clear" w:color="auto" w:fill="FFFFFF"/>
        </w:rPr>
        <w:t>-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Pinetum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Od części zachodniej przylegają siedliska grądów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Galio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sylvatici</w:t>
      </w:r>
      <w:proofErr w:type="spellEnd"/>
      <w:r>
        <w:rPr>
          <w:i/>
          <w:color w:val="000000"/>
          <w:szCs w:val="20"/>
          <w:shd w:val="clear" w:color="auto" w:fill="FFFFFF"/>
        </w:rPr>
        <w:t>-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Carpinetum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serii ubogiej i żyznej. Na terenie „Uroczyska Kiełpinek” stwierdzono obecność 271 gatunków roślin naczyniowych. Niemal wszystkie występujące rośliny to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spontaneofity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a skład roślinności wskazuje na znikomy stopień antropogenicznych przekształceń flory, co wiąże się z izolacją obiektu i małą intensywnością użytkowania. W 2001 r. odnotowano na tym terenie występowanie następujących rzadkich i/lub chronionych gatunków roślin: żabieniec lancetowaty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Alisma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lanceolatum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turzyca obła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Carex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lastRenderedPageBreak/>
        <w:t>diandra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turzyca dwustronna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Carex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distich</w:t>
      </w:r>
      <w:r>
        <w:rPr>
          <w:color w:val="000000"/>
          <w:szCs w:val="20"/>
          <w:shd w:val="clear" w:color="auto" w:fill="FFFFFF"/>
          <w:lang w:val="x-none" w:eastAsia="en-US" w:bidi="ar-SA"/>
        </w:rPr>
        <w:t>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kukułka szerokolistna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Dactylorhiza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majalis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rosiczka okrągłolistna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Drosera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rotundifolia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wełnianka szerokolistna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Eriophorum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latifolium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prosienicznik gładki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Hypochoeris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glabra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widłak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jałowcowaty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Lycopodium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annotinum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nasięźrzał pospolity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Ophioglossum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vulgatum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wierzba czarniawa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Salix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nigricans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jeżogłówka najmniejsza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Sparganium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minimum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pływacz średni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Urticularia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intermedia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kozłek dwupienny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Valeriana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dioica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Na badanym terenie odnotowano 66 podstawowych jednostek roślinności, w tym 55 w randze zespołu. Należą one do 15 klas fitosocjologicznych. Najliczniejszymi są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Phragmitetea</w:t>
      </w:r>
      <w:proofErr w:type="spellEnd"/>
      <w:r>
        <w:rPr>
          <w:color w:val="000000"/>
          <w:szCs w:val="20"/>
          <w:shd w:val="clear" w:color="auto" w:fill="FFFFFF"/>
        </w:rPr>
        <w:t xml:space="preserve"> (szuwary)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Artemisietea</w:t>
      </w:r>
      <w:proofErr w:type="spellEnd"/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(zbiorowiska roślin wieloletnich na terenach ruderalnych)  i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Molinio-Arrhenatheretea</w:t>
      </w:r>
      <w:proofErr w:type="spellEnd"/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(łąki i pastwiska, mokre, wilgotne i świeże), które skupiają blisko 61 % wszystkich asocjacji. Dominują tutaj naturalne zbiorowiska roślinne. Podczas badań wyróżniono 10 kompleksów zbiorowisk roślinnych: zbiorowisk wodnych i szuwarowych, zbiorowisk szuwarów właściwych, szuwarów turzycowych, torfowiska przejściowego, szuwarowo-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łozowiskowe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użytków zielonych, nitrofilnych ziołorośli, zbiorowisk olsowych i łęgowych, zbiorowisk zaroślowych i nasadzeń sosnowych, roślinności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ziołoroślowej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 ruderalnej. </w:t>
      </w:r>
    </w:p>
    <w:p w14:paraId="6318F31F" w14:textId="77777777" w:rsidR="00C5243C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Teren proponowanego rezerwatu stanowi obecnie w większości użytek ekologiczny. Dodatkowo, w wydzieleniu 175 b znajduje się aktywne gniazdo bielika, w związku z czym ustanowiono tutaj strefę ochrony. Druga strefa ochrony dla bielika znajduje się w pobliżu – w oddz. 183,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184 oraz 185. </w:t>
      </w:r>
      <w:r>
        <w:rPr>
          <w:color w:val="000000"/>
          <w:szCs w:val="20"/>
          <w:shd w:val="clear" w:color="auto" w:fill="FFFFFF"/>
        </w:rPr>
        <w:t xml:space="preserve">Zgodnie z wnioskiem w trakcie obserwacji w </w:t>
      </w:r>
      <w:r>
        <w:rPr>
          <w:color w:val="000000"/>
          <w:szCs w:val="20"/>
          <w:shd w:val="clear" w:color="auto" w:fill="FFFFFF"/>
          <w:lang w:val="x-none" w:eastAsia="en-US" w:bidi="ar-SA"/>
        </w:rPr>
        <w:t>2024 r. odnotowano także występowanie żurawi, łabędzi białych oraz nurogęsi, a także ślady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żerowania bobrów.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Ze względu na izolację i specyfikę wyrobisk potorfowych znaczną wartością może odznaczać się tutejsza ichtiofauna, stanowiąc potencjalne siedlisko występowania np. strzebli błotnej. </w:t>
      </w:r>
    </w:p>
    <w:p w14:paraId="4F33C4FA" w14:textId="77777777" w:rsidR="00C5243C" w:rsidRDefault="00000000">
      <w:pPr>
        <w:spacing w:line="360" w:lineRule="auto"/>
        <w:ind w:firstLine="708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Ze względu na powyższe walory przyrodnicze, celem ochrony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rezerwatu jest zachowanie kompleksu ekosystemów wodnych</w:t>
      </w:r>
      <w:r>
        <w:rPr>
          <w:color w:val="000000"/>
          <w:szCs w:val="20"/>
          <w:shd w:val="clear" w:color="auto" w:fill="FFFFFF"/>
        </w:rPr>
        <w:t xml:space="preserve"> oraz związanych z wodą -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łąk, szuwarów, torfowisk</w:t>
      </w:r>
      <w:r>
        <w:rPr>
          <w:color w:val="000000"/>
          <w:szCs w:val="20"/>
          <w:shd w:val="clear" w:color="auto" w:fill="FFFFFF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>stanowiących siedlisko rzadkich gatunków roślin oraz ostoję zwierząt</w:t>
      </w:r>
      <w:r>
        <w:rPr>
          <w:color w:val="000000"/>
          <w:szCs w:val="20"/>
          <w:shd w:val="clear" w:color="auto" w:fill="FFFFFF"/>
        </w:rPr>
        <w:t>, wraz z otaczającymi je zbiorowiskami leśnymi</w:t>
      </w:r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</w:p>
    <w:p w14:paraId="1018870F" w14:textId="77777777" w:rsidR="00C5243C" w:rsidRDefault="00000000">
      <w:pPr>
        <w:spacing w:line="360" w:lineRule="auto"/>
        <w:ind w:firstLine="708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Zgodnie z rozporządzeniem Ministra Środowiska z dnia 30 marca 20</w:t>
      </w:r>
      <w:r>
        <w:rPr>
          <w:color w:val="000000"/>
          <w:szCs w:val="20"/>
          <w:shd w:val="clear" w:color="auto" w:fill="FFFFFF"/>
        </w:rPr>
        <w:t>0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5 r. </w:t>
      </w:r>
      <w:r>
        <w:rPr>
          <w:color w:val="000000"/>
          <w:szCs w:val="20"/>
          <w:shd w:val="clear" w:color="auto" w:fill="FFFFFF"/>
        </w:rPr>
        <w:t xml:space="preserve">w sprawie rodzajów, typów i podtypów rezerwatów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(Dz. U. z 2005 r., Nr 60, poz. 533) </w:t>
      </w:r>
      <w:r>
        <w:rPr>
          <w:color w:val="000000"/>
          <w:szCs w:val="20"/>
          <w:shd w:val="clear" w:color="auto" w:fill="FFFFFF"/>
        </w:rPr>
        <w:t xml:space="preserve">dla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rezerwat</w:t>
      </w:r>
      <w:r>
        <w:rPr>
          <w:color w:val="000000"/>
          <w:szCs w:val="20"/>
          <w:shd w:val="clear" w:color="auto" w:fill="FFFFFF"/>
        </w:rPr>
        <w:t>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przyrody </w:t>
      </w:r>
      <w:r>
        <w:rPr>
          <w:color w:val="000000"/>
          <w:szCs w:val="20"/>
          <w:shd w:val="clear" w:color="auto" w:fill="FFFFFF"/>
        </w:rPr>
        <w:t>„Uroczysko Kiełpinek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</w:t>
      </w:r>
      <w:r>
        <w:rPr>
          <w:color w:val="000000"/>
          <w:szCs w:val="20"/>
          <w:shd w:val="clear" w:color="auto" w:fill="FFFFFF"/>
        </w:rPr>
        <w:t>określono rodzaj rezerwatu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Wodny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W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oraz </w:t>
      </w:r>
      <w:r>
        <w:rPr>
          <w:color w:val="000000"/>
          <w:szCs w:val="20"/>
          <w:shd w:val="clear" w:color="auto" w:fill="FFFFFF"/>
          <w:lang w:val="x-none" w:eastAsia="en-US" w:bidi="ar-SA"/>
        </w:rPr>
        <w:t>określ</w:t>
      </w:r>
      <w:r>
        <w:rPr>
          <w:color w:val="000000"/>
          <w:szCs w:val="20"/>
          <w:shd w:val="clear" w:color="auto" w:fill="FFFFFF"/>
        </w:rPr>
        <w:t>ono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typ i podtyp:</w:t>
      </w:r>
    </w:p>
    <w:p w14:paraId="180214EE" w14:textId="77777777" w:rsidR="00C5243C" w:rsidRDefault="00000000">
      <w:p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1) ze względu na dominujący przedmiot ochrony: typ – Biocenotyczny i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fizjocenotyczny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(P</w:t>
      </w:r>
      <w:r>
        <w:rPr>
          <w:color w:val="000000"/>
          <w:szCs w:val="20"/>
          <w:shd w:val="clear" w:color="auto" w:fill="FFFFFF"/>
        </w:rPr>
        <w:t>B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f), podtyp </w:t>
      </w:r>
      <w:r>
        <w:rPr>
          <w:color w:val="000000"/>
          <w:szCs w:val="20"/>
          <w:shd w:val="clear" w:color="auto" w:fill="FFFFFF"/>
        </w:rPr>
        <w:t>- b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iocenoz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naturalnych i półnaturalnych (bp);</w:t>
      </w:r>
    </w:p>
    <w:p w14:paraId="22E9B712" w14:textId="77777777" w:rsidR="00C5243C" w:rsidRDefault="00000000">
      <w:p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2) ze względu na główny typ ekosystemu: typ – Różnych ekosystemów (EE), </w:t>
      </w:r>
      <w:r>
        <w:rPr>
          <w:color w:val="000000"/>
          <w:szCs w:val="20"/>
          <w:shd w:val="clear" w:color="auto" w:fill="FFFFFF"/>
        </w:rPr>
        <w:t>podtyp - mozaiki różnych ekosystemów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me</w:t>
      </w:r>
      <w:r>
        <w:rPr>
          <w:color w:val="000000"/>
          <w:szCs w:val="20"/>
          <w:shd w:val="clear" w:color="auto" w:fill="FFFFFF"/>
          <w:lang w:val="x-none" w:eastAsia="en-US" w:bidi="ar-SA"/>
        </w:rPr>
        <w:t>).</w:t>
      </w:r>
    </w:p>
    <w:p w14:paraId="7B20E163" w14:textId="77777777" w:rsidR="00C5243C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>W niniejszym akcie prawnym, wykorzystując dane systemu informacji przestrzennej, wprowadzono załączniki w postaci mapy obszaru rezerwatu oraz wykaz współrzędnych punktów załamania granic</w:t>
      </w:r>
      <w:r>
        <w:rPr>
          <w:color w:val="000000"/>
          <w:szCs w:val="20"/>
          <w:shd w:val="clear" w:color="auto" w:fill="FFFFFF"/>
        </w:rPr>
        <w:t xml:space="preserve"> rezerwatu</w:t>
      </w:r>
      <w:r>
        <w:rPr>
          <w:color w:val="000000"/>
          <w:szCs w:val="20"/>
          <w:shd w:val="clear" w:color="auto" w:fill="FFFFFF"/>
          <w:lang w:val="x-none" w:eastAsia="en-US" w:bidi="ar-SA"/>
        </w:rPr>
        <w:t>, sporządzonych w układzie współrzędnych płaskich prostokątnych PL-1992, o których mowa w rozporządzeniu Rady Ministrów z dnia 15 października 2012 r. w sprawie państwowego systemu odniesień przestrzennych (Dz.U z 20</w:t>
      </w:r>
      <w:r>
        <w:rPr>
          <w:color w:val="000000"/>
          <w:szCs w:val="20"/>
          <w:shd w:val="clear" w:color="auto" w:fill="FFFFFF"/>
        </w:rPr>
        <w:t>24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r., poz. </w:t>
      </w:r>
      <w:r>
        <w:rPr>
          <w:color w:val="000000"/>
          <w:szCs w:val="20"/>
          <w:shd w:val="clear" w:color="auto" w:fill="FFFFFF"/>
        </w:rPr>
        <w:t>342</w:t>
      </w:r>
      <w:r>
        <w:rPr>
          <w:color w:val="000000"/>
          <w:szCs w:val="20"/>
          <w:shd w:val="clear" w:color="auto" w:fill="FFFFFF"/>
          <w:lang w:val="x-none" w:eastAsia="en-US" w:bidi="ar-SA"/>
        </w:rPr>
        <w:t>).</w:t>
      </w:r>
    </w:p>
    <w:p w14:paraId="3773877B" w14:textId="77777777" w:rsidR="00C5243C" w:rsidRDefault="00000000">
      <w:pPr>
        <w:spacing w:line="360" w:lineRule="auto"/>
        <w:ind w:firstLine="720"/>
        <w:rPr>
          <w:color w:val="000000"/>
          <w:szCs w:val="20"/>
          <w:u w:color="00000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R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ezerwat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przyrody </w:t>
      </w:r>
      <w:r>
        <w:rPr>
          <w:color w:val="000000"/>
          <w:szCs w:val="20"/>
          <w:shd w:val="clear" w:color="auto" w:fill="FFFFFF"/>
        </w:rPr>
        <w:t>„Uroczysko Kiełpinek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położ</w:t>
      </w:r>
      <w:r>
        <w:rPr>
          <w:color w:val="000000"/>
          <w:szCs w:val="20"/>
          <w:u w:color="000000"/>
          <w:shd w:val="clear" w:color="auto" w:fill="FFFFFF"/>
        </w:rPr>
        <w:t>ony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u w:color="000000"/>
          <w:shd w:val="clear" w:color="auto" w:fill="FFFFFF"/>
        </w:rPr>
        <w:t>jest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na gruntach należących do Skarbu Państwa, zarządzanych </w:t>
      </w:r>
      <w:r>
        <w:rPr>
          <w:color w:val="000000"/>
          <w:szCs w:val="20"/>
          <w:u w:color="000000"/>
          <w:shd w:val="clear" w:color="auto" w:fill="FFFFFF"/>
        </w:rPr>
        <w:t xml:space="preserve">przez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Państwowe Gospodarstwo Leśne Lasy Państwowe Nadleśnictwo </w:t>
      </w:r>
      <w:proofErr w:type="spellStart"/>
      <w:r>
        <w:rPr>
          <w:color w:val="000000"/>
          <w:szCs w:val="20"/>
          <w:u w:color="000000"/>
          <w:shd w:val="clear" w:color="auto" w:fill="FFFFFF"/>
        </w:rPr>
        <w:t>Zamrzenica</w:t>
      </w:r>
      <w:proofErr w:type="spellEnd"/>
      <w:r>
        <w:rPr>
          <w:color w:val="000000"/>
          <w:szCs w:val="20"/>
          <w:u w:color="000000"/>
          <w:shd w:val="clear" w:color="auto" w:fill="FFFFFF"/>
        </w:rPr>
        <w:t xml:space="preserve">. </w:t>
      </w:r>
    </w:p>
    <w:p w14:paraId="66213E8A" w14:textId="77777777" w:rsidR="00C5243C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Państwowe Gospodarstwo Leśne Lasy Państwowe Nadleśnictwo </w:t>
      </w:r>
      <w:proofErr w:type="spellStart"/>
      <w:r>
        <w:rPr>
          <w:color w:val="000000"/>
          <w:szCs w:val="20"/>
          <w:u w:color="000000"/>
          <w:shd w:val="clear" w:color="auto" w:fill="FFFFFF"/>
        </w:rPr>
        <w:t>Zamrzenica</w:t>
      </w:r>
      <w:proofErr w:type="spellEnd"/>
      <w:r>
        <w:rPr>
          <w:color w:val="000000"/>
          <w:szCs w:val="20"/>
          <w:u w:color="000000"/>
          <w:shd w:val="clear" w:color="auto" w:fill="FFFFFF"/>
        </w:rPr>
        <w:t xml:space="preserve">, wyraziło zgodę na utworzenie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Uroczysko Kiełpinek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i zaopiniowało projekt rezerwatu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 dnia 29 kwietnia 2024 r., znak ZG.7212.7.2024.</w:t>
      </w:r>
    </w:p>
    <w:p w14:paraId="24693191" w14:textId="77777777" w:rsidR="00C5243C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</w:rPr>
        <w:t xml:space="preserve">Regionalna Dyrekcja Lasów Państwowych wyraziła zgodę na utworzenie rezerwatu przyrody </w:t>
      </w:r>
      <w:r>
        <w:rPr>
          <w:color w:val="000000"/>
          <w:szCs w:val="20"/>
          <w:shd w:val="clear" w:color="auto" w:fill="FFFFFF"/>
        </w:rPr>
        <w:t>„Uroczysko Kiełpinek” i zaopiniowała projekt rezerwatu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 dnia 25 kwietnia 2024 r., znak ZO.7212.25.2024.</w:t>
      </w:r>
    </w:p>
    <w:p w14:paraId="729F3DB2" w14:textId="77777777" w:rsidR="00C5243C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Nadzór nad rezerwatem powierzony został Regionaln</w:t>
      </w:r>
      <w:r>
        <w:rPr>
          <w:color w:val="000000"/>
          <w:szCs w:val="20"/>
          <w:shd w:val="clear" w:color="auto" w:fill="FFFFFF"/>
        </w:rPr>
        <w:t>emu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Dyrektor</w:t>
      </w:r>
      <w:r>
        <w:rPr>
          <w:color w:val="000000"/>
          <w:szCs w:val="20"/>
          <w:shd w:val="clear" w:color="auto" w:fill="FFFFFF"/>
        </w:rPr>
        <w:t>owi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Ochrony Środowiska w Bydgoszczy.</w:t>
      </w:r>
    </w:p>
    <w:p w14:paraId="620ED471" w14:textId="77777777" w:rsidR="00C5243C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Projekt zarządzenia został zaopiniowany pozytywnie przez Regionalną Radę Ochrony Przyrody w Bydgoszczy  uchwałą nr 25/2024, z dnia 22 października 2024 r. </w:t>
      </w:r>
    </w:p>
    <w:p w14:paraId="6DF8D9C6" w14:textId="77777777" w:rsidR="00C5243C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Na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podstawie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art. 59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ust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. 2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ustawy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z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dnia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23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stycznia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2009 r. o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wojewodzie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i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administracji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rządowej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w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województwie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r>
        <w:rPr>
          <w:color w:val="000000"/>
          <w:szCs w:val="20"/>
          <w:shd w:val="clear" w:color="auto" w:fill="FFFFFF"/>
        </w:rPr>
        <w:t>(Dz. U. z 2023 r. poz. 190)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, </w:t>
      </w:r>
      <w:r>
        <w:rPr>
          <w:color w:val="000000"/>
          <w:szCs w:val="20"/>
          <w:shd w:val="clear" w:color="auto" w:fill="FFFFFF"/>
        </w:rPr>
        <w:t xml:space="preserve">projekt zarządzenia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został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uzgodniony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przez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Wojewodę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en-US" w:eastAsia="en-US" w:bidi="en-US"/>
        </w:rPr>
        <w:t>Kujawsko-Pomorskiego</w:t>
      </w:r>
      <w:proofErr w:type="spellEnd"/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r>
        <w:rPr>
          <w:color w:val="000000"/>
          <w:szCs w:val="20"/>
          <w:shd w:val="clear" w:color="auto" w:fill="FFFFFF"/>
        </w:rPr>
        <w:t>pismem znak: WRS.II.710.4.1.2024, z dnia 28 października 2024 r.</w:t>
      </w:r>
    </w:p>
    <w:p w14:paraId="7EC78241" w14:textId="77777777" w:rsidR="00C5243C" w:rsidRDefault="00000000">
      <w:pPr>
        <w:spacing w:line="360" w:lineRule="auto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noProof/>
        </w:rPr>
        <w:drawing>
          <wp:inline distT="0" distB="0" distL="0" distR="0" wp14:anchorId="44E67088" wp14:editId="5777F715">
            <wp:extent cx="2639060" cy="104203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1042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5243C">
      <w:footerReference w:type="default" r:id="rId18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464954" w14:textId="77777777" w:rsidR="004C1660" w:rsidRDefault="004C1660">
      <w:r>
        <w:separator/>
      </w:r>
    </w:p>
  </w:endnote>
  <w:endnote w:type="continuationSeparator" w:id="0">
    <w:p w14:paraId="0FA8B3D0" w14:textId="77777777" w:rsidR="004C1660" w:rsidRDefault="004C1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C5243C" w14:paraId="7A63C9AC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7C84D3D9" w14:textId="77777777" w:rsidR="00C5243C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AF17FA1B-9D2B-4752-BE90-BECC5DCE8F25.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0EC017F5" w14:textId="77777777" w:rsidR="00C5243C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864AF2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613CCA1D" w14:textId="77777777" w:rsidR="00C5243C" w:rsidRDefault="00C5243C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C5243C" w14:paraId="42571EDC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6D807A19" w14:textId="77777777" w:rsidR="00C5243C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AF17FA1B-9D2B-4752-BE90-BECC5DCE8F25.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74D8F5B5" w14:textId="77777777" w:rsidR="00C5243C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864AF2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2347AC60" w14:textId="77777777" w:rsidR="00C5243C" w:rsidRDefault="00C5243C">
    <w:pPr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C5243C" w14:paraId="7B30E9CE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6B7CEC99" w14:textId="77777777" w:rsidR="00C5243C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AF17FA1B-9D2B-4752-BE90-BECC5DCE8F25.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328D8B97" w14:textId="4B813581" w:rsidR="00C5243C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864AF2">
            <w:rPr>
              <w:noProof/>
              <w:sz w:val="18"/>
            </w:rPr>
            <w:t>4</w:t>
          </w:r>
          <w:r>
            <w:rPr>
              <w:sz w:val="18"/>
            </w:rPr>
            <w:fldChar w:fldCharType="end"/>
          </w:r>
        </w:p>
      </w:tc>
    </w:tr>
  </w:tbl>
  <w:p w14:paraId="1E868EC1" w14:textId="77777777" w:rsidR="00C5243C" w:rsidRDefault="00C5243C">
    <w:pPr>
      <w:rPr>
        <w:sz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C5243C" w14:paraId="5BF70F1B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6BBE80D4" w14:textId="77777777" w:rsidR="00C5243C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AF17FA1B-9D2B-4752-BE90-BECC5DCE8F25.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06614094" w14:textId="36EE7001" w:rsidR="00C5243C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864AF2">
            <w:rPr>
              <w:noProof/>
              <w:sz w:val="18"/>
            </w:rPr>
            <w:t>6</w:t>
          </w:r>
          <w:r>
            <w:rPr>
              <w:sz w:val="18"/>
            </w:rPr>
            <w:fldChar w:fldCharType="end"/>
          </w:r>
        </w:p>
      </w:tc>
    </w:tr>
  </w:tbl>
  <w:p w14:paraId="300B787E" w14:textId="77777777" w:rsidR="00C5243C" w:rsidRDefault="00C5243C">
    <w:pPr>
      <w:rPr>
        <w:sz w:val="1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47"/>
      <w:gridCol w:w="3274"/>
    </w:tblGrid>
    <w:tr w:rsidR="00C5243C" w14:paraId="6308040B" w14:textId="77777777">
      <w:tc>
        <w:tcPr>
          <w:tcW w:w="640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63EF80BD" w14:textId="77777777" w:rsidR="00C5243C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AF17FA1B-9D2B-4752-BE90-BECC5DCE8F25. Uchwalony</w:t>
          </w:r>
        </w:p>
      </w:tc>
      <w:tc>
        <w:tcPr>
          <w:tcW w:w="32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762ACD04" w14:textId="744B9D8B" w:rsidR="00C5243C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864AF2">
            <w:rPr>
              <w:noProof/>
              <w:sz w:val="18"/>
            </w:rPr>
            <w:t>9</w:t>
          </w:r>
          <w:r>
            <w:rPr>
              <w:sz w:val="18"/>
            </w:rPr>
            <w:fldChar w:fldCharType="end"/>
          </w:r>
        </w:p>
      </w:tc>
    </w:tr>
  </w:tbl>
  <w:p w14:paraId="459001EC" w14:textId="77777777" w:rsidR="00C5243C" w:rsidRDefault="00C5243C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6B808A" w14:textId="77777777" w:rsidR="004C1660" w:rsidRDefault="004C1660">
      <w:r>
        <w:separator/>
      </w:r>
    </w:p>
  </w:footnote>
  <w:footnote w:type="continuationSeparator" w:id="0">
    <w:p w14:paraId="3BE26BB9" w14:textId="77777777" w:rsidR="004C1660" w:rsidRDefault="004C1660">
      <w:r>
        <w:continuationSeparator/>
      </w:r>
    </w:p>
  </w:footnote>
  <w:footnote w:id="1">
    <w:p w14:paraId="15E914E7" w14:textId="77777777" w:rsidR="00C5243C" w:rsidRDefault="00000000">
      <w:pPr>
        <w:pStyle w:val="Tekstprzypisudolnego"/>
        <w:keepLines/>
        <w:ind w:left="170" w:hanging="170"/>
      </w:pPr>
      <w:r>
        <w:rPr>
          <w:rStyle w:val="Odwoanieprzypisudolnego"/>
        </w:rPr>
        <w:t>1) </w:t>
      </w:r>
      <w:r>
        <w:t>Układ współrzędnych płaskich prostokątnych PL-1992 jest jednym z układów tworzących państwowy system odniesień przestrzennych, o którym mowa w przepisach wydanych na podstawie art. 3 ust. 5 ustawy z dnia 17 maja 1989 r. – Prawo geodezyjne i kartograficzne (Dz. U. z 2024 r. poz. 1151 ze zm.).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4C1660"/>
    <w:rsid w:val="00864AF2"/>
    <w:rsid w:val="00A77B3E"/>
    <w:rsid w:val="00B647FC"/>
    <w:rsid w:val="00C5243C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6AD5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805BCE"/>
    <w:rPr>
      <w:vertAlign w:val="superscript"/>
    </w:rPr>
  </w:style>
  <w:style w:type="paragraph" w:styleId="Tekstprzypisudolnego">
    <w:name w:val="footnote text"/>
    <w:basedOn w:val="Normalny"/>
    <w:rsid w:val="00805BCE"/>
    <w:rPr>
      <w:sz w:val="20"/>
      <w:szCs w:val="20"/>
    </w:rPr>
  </w:style>
  <w:style w:type="paragraph" w:styleId="Nagwek">
    <w:name w:val="header"/>
    <w:basedOn w:val="Normalny"/>
    <w:link w:val="NagwekZnak"/>
    <w:rsid w:val="00864A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AF2"/>
    <w:rPr>
      <w:sz w:val="24"/>
      <w:szCs w:val="24"/>
    </w:rPr>
  </w:style>
  <w:style w:type="paragraph" w:styleId="Stopka">
    <w:name w:val="footer"/>
    <w:basedOn w:val="Normalny"/>
    <w:link w:val="StopkaZnak"/>
    <w:rsid w:val="00864A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64AF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Zalacznik612FA540-336E-4FD7-8B4B-71BC838CD3CD.jpg" TargetMode="External"/><Relationship Id="rId18" Type="http://schemas.openxmlformats.org/officeDocument/2006/relationships/footer" Target="footer5.xml"/><Relationship Id="rId3" Type="http://schemas.openxmlformats.org/officeDocument/2006/relationships/webSettings" Target="webSettings.xml"/><Relationship Id="rId7" Type="http://schemas.openxmlformats.org/officeDocument/2006/relationships/image" Target="Zalacznik79F6813D-EB96-4E2C-9B9A-64DF25B0F738.jpg" TargetMode="External"/><Relationship Id="rId12" Type="http://schemas.openxmlformats.org/officeDocument/2006/relationships/footer" Target="footer2.xml"/><Relationship Id="rId17" Type="http://schemas.openxmlformats.org/officeDocument/2006/relationships/image" Target="media/image3.jpeg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ZalacznikC7B33E58-3065-4540-AFBE-56535DBB4CA5.jpg" TargetMode="External"/><Relationship Id="rId5" Type="http://schemas.openxmlformats.org/officeDocument/2006/relationships/endnotes" Target="endnotes.xml"/><Relationship Id="rId15" Type="http://schemas.openxmlformats.org/officeDocument/2006/relationships/image" Target="Zalacznik80E53DF9-7E62-4439-B337-B982AE840C23.jpg" TargetMode="External"/><Relationship Id="rId10" Type="http://schemas.openxmlformats.org/officeDocument/2006/relationships/image" Target="Zalacznik4E7F9CF4-2FD0-4A93-9AB2-4993FA8BEAAD.jpg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2163</Words>
  <Characters>12980</Characters>
  <Application>Microsoft Office Word</Application>
  <DocSecurity>0</DocSecurity>
  <Lines>108</Lines>
  <Paragraphs>30</Paragraphs>
  <ScaleCrop>false</ScaleCrop>
  <Company/>
  <LinksUpToDate>false</LinksUpToDate>
  <CharactersWithSpaces>15113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 sprawie uznania za rezerwat przyrody „Uroczysko Kiełpinek”</dc:title>
  <dc:subject/>
  <dc:creator/>
  <cp:lastModifiedBy/>
  <cp:revision>1</cp:revision>
  <dcterms:created xsi:type="dcterms:W3CDTF">2024-12-11T08:17:00Z</dcterms:created>
  <dcterms:modified xsi:type="dcterms:W3CDTF">2024-12-11T08:17:00Z</dcterms:modified>
  <cp:category/>
</cp:coreProperties>
</file>