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4D89" w14:textId="77777777" w:rsidR="00C64B1B" w:rsidRDefault="00C64B1B" w:rsidP="00C64B1B">
      <w:pPr>
        <w:jc w:val="center"/>
      </w:pPr>
      <w:bookmarkStart w:id="0" w:name="_GoBack"/>
      <w:bookmarkEnd w:id="0"/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203"/>
        <w:gridCol w:w="1436"/>
        <w:gridCol w:w="4403"/>
        <w:gridCol w:w="2409"/>
        <w:gridCol w:w="3969"/>
      </w:tblGrid>
      <w:tr w:rsidR="00807385" w14:paraId="43B32ACF" w14:textId="77777777" w:rsidTr="002C7F83">
        <w:trPr>
          <w:jc w:val="center"/>
        </w:trPr>
        <w:tc>
          <w:tcPr>
            <w:tcW w:w="14170" w:type="dxa"/>
            <w:gridSpan w:val="6"/>
            <w:shd w:val="clear" w:color="auto" w:fill="auto"/>
            <w:vAlign w:val="center"/>
          </w:tcPr>
          <w:p w14:paraId="4C0A56DD" w14:textId="77777777" w:rsidR="00807385" w:rsidRPr="004D086F" w:rsidRDefault="00807385" w:rsidP="00651688">
            <w:pPr>
              <w:spacing w:before="120" w:after="120"/>
              <w:ind w:left="2948" w:hanging="2948"/>
              <w:rPr>
                <w:b/>
                <w:i/>
              </w:rPr>
            </w:pPr>
            <w:r w:rsidRPr="004D086F">
              <w:rPr>
                <w:b/>
                <w:i/>
              </w:rPr>
              <w:t>Nazwa projektu dokumentu</w:t>
            </w:r>
            <w:r w:rsidR="002E0D6A" w:rsidRPr="004D086F">
              <w:rPr>
                <w:b/>
                <w:i/>
              </w:rPr>
              <w:t>:</w:t>
            </w:r>
            <w:r w:rsidR="00564F2F">
              <w:rPr>
                <w:b/>
                <w:i/>
              </w:rPr>
              <w:t xml:space="preserve"> </w:t>
            </w:r>
            <w:r w:rsidR="001006EE" w:rsidRPr="001006EE">
              <w:rPr>
                <w:i/>
              </w:rPr>
              <w:t>rozporządzenie Rady Ministrów w sprawie centralnego repozytorium informacji publicznej</w:t>
            </w:r>
          </w:p>
        </w:tc>
      </w:tr>
      <w:tr w:rsidR="002C7F83" w14:paraId="1F1B5E84" w14:textId="77777777" w:rsidTr="00197421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4B7E2ED3" w14:textId="77777777" w:rsidR="002C7F83" w:rsidRPr="004D086F" w:rsidRDefault="002C7F83" w:rsidP="00B67B92">
            <w:pPr>
              <w:jc w:val="center"/>
              <w:rPr>
                <w:b/>
              </w:rPr>
            </w:pPr>
            <w:r w:rsidRPr="004D086F">
              <w:rPr>
                <w:b/>
              </w:rPr>
              <w:t>L.p.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2D73682" w14:textId="77777777" w:rsidR="002C7F83" w:rsidRPr="004D086F" w:rsidRDefault="002C7F83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Organ wnoszący uwagi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552FB9B" w14:textId="77777777" w:rsidR="002C7F83" w:rsidRPr="004D086F" w:rsidRDefault="002C7F83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Jednostka redakcyjna, do której wnoszone są uwagi</w:t>
            </w:r>
          </w:p>
        </w:tc>
        <w:tc>
          <w:tcPr>
            <w:tcW w:w="4403" w:type="dxa"/>
            <w:shd w:val="clear" w:color="auto" w:fill="auto"/>
            <w:vAlign w:val="center"/>
          </w:tcPr>
          <w:p w14:paraId="6B8B561A" w14:textId="77777777" w:rsidR="002C7F83" w:rsidRPr="004D086F" w:rsidRDefault="002C7F83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Treść uwagi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7319C1" w14:textId="77777777" w:rsidR="002C7F83" w:rsidRPr="004D086F" w:rsidRDefault="002C7F83" w:rsidP="004D086F">
            <w:pPr>
              <w:jc w:val="center"/>
              <w:rPr>
                <w:b/>
              </w:rPr>
            </w:pPr>
            <w:r w:rsidRPr="004D086F">
              <w:rPr>
                <w:b/>
              </w:rPr>
              <w:t>Propozycja zmian zapisu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AFFA1F" w14:textId="77777777" w:rsidR="002C7F83" w:rsidRPr="004D086F" w:rsidRDefault="002C7F83" w:rsidP="004D086F">
            <w:pPr>
              <w:jc w:val="center"/>
              <w:rPr>
                <w:b/>
              </w:rPr>
            </w:pPr>
            <w:r>
              <w:rPr>
                <w:b/>
              </w:rPr>
              <w:t>Odniesienie DODiRK/MC</w:t>
            </w:r>
          </w:p>
        </w:tc>
      </w:tr>
      <w:tr w:rsidR="002C7F83" w14:paraId="6A34145A" w14:textId="77777777" w:rsidTr="00197421">
        <w:trPr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7805ACF7" w14:textId="77777777" w:rsidR="002C7F83" w:rsidRPr="004D086F" w:rsidRDefault="002C7F83" w:rsidP="006A7837">
            <w:pPr>
              <w:numPr>
                <w:ilvl w:val="0"/>
                <w:numId w:val="3"/>
              </w:numPr>
              <w:spacing w:before="60" w:after="60"/>
              <w:jc w:val="center"/>
              <w:rPr>
                <w:b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0CC976B8" w14:textId="77777777" w:rsidR="002C7F83" w:rsidRPr="004D086F" w:rsidRDefault="002C7F83" w:rsidP="006A783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Rządowe Centrum Legislacji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7DC3568" w14:textId="77777777" w:rsidR="002C7F83" w:rsidRDefault="002C7F83" w:rsidP="002E0D6A">
            <w:pPr>
              <w:jc w:val="center"/>
            </w:pPr>
            <w:r>
              <w:t>§ 1 pkt 4 lit. b</w:t>
            </w:r>
          </w:p>
        </w:tc>
        <w:tc>
          <w:tcPr>
            <w:tcW w:w="4403" w:type="dxa"/>
            <w:shd w:val="clear" w:color="auto" w:fill="auto"/>
          </w:tcPr>
          <w:p w14:paraId="45F991F9" w14:textId="77777777" w:rsidR="002C7F83" w:rsidRDefault="002C7F83" w:rsidP="00F95FB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Projektowana nowelizacja dodaje, w § 7 w ust. 3 rozporządzenia Rady Ministrów z dnia 12 marca 2014 r., w katalogu metadanych dodawanych automatycznie do każdego zestawu wprowadzanego przez dostawcę, nową metadaną – „typ”. Mając na uwadze, że wskazana metadana jest obecnie zdefiniowana w § 7 ust. 1 pkt 1 rozporządzenia, a przedmiotowa nowelizacja uchyla tę jednostkę redakcyjną, w opinii Rządowego Centrum Legislacji </w:t>
            </w:r>
            <w:r w:rsidRPr="002C7F83">
              <w:rPr>
                <w:rFonts w:ascii="Times New Roman" w:hAnsi="Times New Roman"/>
                <w:sz w:val="24"/>
                <w:szCs w:val="24"/>
                <w:u w:val="single"/>
              </w:rPr>
              <w:t>należy rozbudować projektowany § 7 ust. 3 pkt 5 o dookreślenie metadanej „typ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</w:p>
          <w:p w14:paraId="1261EA55" w14:textId="77777777" w:rsidR="002C7F83" w:rsidRPr="00371A2B" w:rsidRDefault="002C7F83" w:rsidP="00F95FB2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Ponadto wyjaśnienia wymaga, mając na uwadze dotychczasowy przepis § 7 ust. 1 pkt 1 wskazujący jako dookreślenie metadanej „typ” - np. raport, sprawozdanie, notatkę, czy metadana „typ” </w:t>
            </w:r>
            <w:r w:rsidRPr="002C7F83">
              <w:rPr>
                <w:rFonts w:ascii="Times New Roman" w:hAnsi="Times New Roman"/>
                <w:sz w:val="24"/>
                <w:szCs w:val="24"/>
                <w:u w:val="single"/>
              </w:rPr>
              <w:t>dodawana automatycznie do każdego zestawu danych będzie możliwa do identyfikacji w taki sam sposób przez oprogramowanie centralnego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repozytorium (obecnie typ informacji jest metadaną wprowadzaną przez dostawcę). </w:t>
            </w:r>
          </w:p>
        </w:tc>
        <w:tc>
          <w:tcPr>
            <w:tcW w:w="2409" w:type="dxa"/>
            <w:shd w:val="clear" w:color="auto" w:fill="auto"/>
          </w:tcPr>
          <w:p w14:paraId="51676F6F" w14:textId="77777777" w:rsidR="002C7F83" w:rsidRDefault="002C7F83" w:rsidP="00651688">
            <w:pPr>
              <w:spacing w:line="276" w:lineRule="auto"/>
              <w:jc w:val="both"/>
            </w:pPr>
            <w:r>
              <w:lastRenderedPageBreak/>
              <w:t>Doprecyzowanie pojęcia dodawanego w § 7 ust. 3 pkt 5 rozporządzenia.</w:t>
            </w:r>
          </w:p>
        </w:tc>
        <w:tc>
          <w:tcPr>
            <w:tcW w:w="3969" w:type="dxa"/>
            <w:shd w:val="clear" w:color="auto" w:fill="auto"/>
          </w:tcPr>
          <w:p w14:paraId="082AC3C7" w14:textId="77777777" w:rsidR="00F720E1" w:rsidRPr="00F720E1" w:rsidRDefault="00CA0FBC" w:rsidP="00012BBA">
            <w:pPr>
              <w:spacing w:line="276" w:lineRule="auto"/>
            </w:pPr>
            <w:r w:rsidRPr="00F720E1">
              <w:t>W związku z rozwojem technicznym systemu teleinformatycznego Centralnego Repozytorium Informacji Publicznej projekt rozporządzenia zakłada automatyzację dodawania metadanej określające</w:t>
            </w:r>
            <w:r w:rsidR="00F720E1" w:rsidRPr="00F720E1">
              <w:t>j</w:t>
            </w:r>
            <w:r w:rsidRPr="00F720E1">
              <w:t xml:space="preserve"> typ jednostki informacji publicznej. </w:t>
            </w:r>
            <w:r w:rsidR="00575BCF" w:rsidRPr="00F720E1">
              <w:t xml:space="preserve">Obecnie </w:t>
            </w:r>
            <w:r w:rsidRPr="00F720E1">
              <w:t xml:space="preserve">obowiązek wprowadzania </w:t>
            </w:r>
            <w:r w:rsidR="00575BCF" w:rsidRPr="00F720E1">
              <w:t xml:space="preserve">przedmiotowej metadanej leży po stronie </w:t>
            </w:r>
            <w:r w:rsidRPr="00F720E1">
              <w:t>dostawców.</w:t>
            </w:r>
          </w:p>
          <w:p w14:paraId="6BA56396" w14:textId="77777777" w:rsidR="00F720E1" w:rsidRPr="00F720E1" w:rsidRDefault="00F720E1" w:rsidP="00012BBA">
            <w:pPr>
              <w:spacing w:line="276" w:lineRule="auto"/>
            </w:pPr>
          </w:p>
          <w:p w14:paraId="42EA5778" w14:textId="23E6EB07" w:rsidR="00B407A2" w:rsidRPr="00F720E1" w:rsidRDefault="00575BCF" w:rsidP="00012BBA">
            <w:pPr>
              <w:spacing w:line="276" w:lineRule="auto"/>
            </w:pPr>
            <w:r w:rsidRPr="00F720E1">
              <w:t>Mają</w:t>
            </w:r>
            <w:r w:rsidR="00137D24">
              <w:t>c</w:t>
            </w:r>
            <w:r w:rsidRPr="00F720E1">
              <w:t xml:space="preserve"> na względzie </w:t>
            </w:r>
            <w:r w:rsidR="00BC2956" w:rsidRPr="00F720E1">
              <w:t>obecny układ</w:t>
            </w:r>
            <w:r w:rsidR="00137D24">
              <w:t xml:space="preserve"> przepisów</w:t>
            </w:r>
            <w:r w:rsidR="00BC2956" w:rsidRPr="00F720E1">
              <w:t xml:space="preserve"> rozporządzenia</w:t>
            </w:r>
            <w:r w:rsidRPr="00F720E1">
              <w:t>, u</w:t>
            </w:r>
            <w:r w:rsidR="004E12A4" w:rsidRPr="00F720E1">
              <w:t xml:space="preserve">mieszczenie dookreślenia </w:t>
            </w:r>
            <w:r w:rsidR="00F720E1" w:rsidRPr="00F720E1">
              <w:t xml:space="preserve">metadanej </w:t>
            </w:r>
            <w:r w:rsidR="004E12A4" w:rsidRPr="00F720E1">
              <w:t xml:space="preserve">w </w:t>
            </w:r>
            <w:r w:rsidRPr="00F720E1">
              <w:t xml:space="preserve"> projektowanym </w:t>
            </w:r>
            <w:r w:rsidR="008C39D3" w:rsidRPr="00F720E1">
              <w:t>§ 7 ust. 3 pkt 5 zaburzyło</w:t>
            </w:r>
            <w:r w:rsidR="004E12A4" w:rsidRPr="00F720E1">
              <w:t>by obecn</w:t>
            </w:r>
            <w:r w:rsidR="00012BBA" w:rsidRPr="00F720E1">
              <w:t xml:space="preserve">ą strukturę rozporządzenia CRIP. </w:t>
            </w:r>
            <w:r w:rsidR="004E12A4" w:rsidRPr="00F720E1">
              <w:t xml:space="preserve"> </w:t>
            </w:r>
          </w:p>
          <w:p w14:paraId="332A78AD" w14:textId="77777777" w:rsidR="008C39D3" w:rsidRPr="00F720E1" w:rsidRDefault="004E12A4" w:rsidP="00012BBA">
            <w:r w:rsidRPr="00F720E1">
              <w:t>W</w:t>
            </w:r>
            <w:r w:rsidR="0060352E" w:rsidRPr="00F720E1">
              <w:t xml:space="preserve"> </w:t>
            </w:r>
            <w:r w:rsidR="00B407A2" w:rsidRPr="00F720E1">
              <w:t xml:space="preserve">przepisach merytorycznych (w § 6 ust. 3  oraz § 7 ust. 3) </w:t>
            </w:r>
            <w:r w:rsidR="0060352E" w:rsidRPr="00F720E1">
              <w:t xml:space="preserve">dot. automatycznego oprogramowania </w:t>
            </w:r>
            <w:r w:rsidR="008C39D3" w:rsidRPr="00F720E1">
              <w:t xml:space="preserve">żadna metadana nie zawiera wyjaśnienia/doprecyzowania. </w:t>
            </w:r>
          </w:p>
          <w:p w14:paraId="7F6455C4" w14:textId="77777777" w:rsidR="00012BBA" w:rsidRPr="00C55A2B" w:rsidRDefault="00853BB7" w:rsidP="006A75E4">
            <w:pPr>
              <w:rPr>
                <w:sz w:val="22"/>
                <w:szCs w:val="22"/>
              </w:rPr>
            </w:pPr>
            <w:r w:rsidRPr="00F720E1">
              <w:lastRenderedPageBreak/>
              <w:t>Ponadto, s</w:t>
            </w:r>
            <w:r w:rsidR="008C39D3" w:rsidRPr="00F720E1">
              <w:t>koro oprogramowanie CRIP automatycznie doda metadaną "typ" do zbioru</w:t>
            </w:r>
            <w:r w:rsidR="00137D24">
              <w:t>,</w:t>
            </w:r>
            <w:r w:rsidR="008C39D3" w:rsidRPr="00F720E1">
              <w:t xml:space="preserve"> to nie ma potrzeby jej </w:t>
            </w:r>
            <w:r w:rsidR="00137D24">
              <w:t>definiowania dla dostawców i użytkowników</w:t>
            </w:r>
            <w:r w:rsidR="008C39D3" w:rsidRPr="00F720E1">
              <w:t xml:space="preserve"> (analogicznie jak w przypadku pozostałych metadanych z § 7 ust. 3). </w:t>
            </w:r>
            <w:r w:rsidR="00012BBA" w:rsidRPr="00F720E1">
              <w:t>Jednakże</w:t>
            </w:r>
            <w:r w:rsidR="006A75E4" w:rsidRPr="00F720E1">
              <w:t xml:space="preserve"> mając na uwadze wątpliwości </w:t>
            </w:r>
            <w:r w:rsidR="00197421" w:rsidRPr="00F720E1">
              <w:t xml:space="preserve">RCL </w:t>
            </w:r>
            <w:r w:rsidR="006A75E4" w:rsidRPr="00F720E1">
              <w:t xml:space="preserve">oraz </w:t>
            </w:r>
            <w:r w:rsidR="00197421" w:rsidRPr="00F720E1">
              <w:t>mechanizmy</w:t>
            </w:r>
            <w:r w:rsidR="006A75E4" w:rsidRPr="00F720E1">
              <w:t xml:space="preserve"> funkcjonowania CRIP, p</w:t>
            </w:r>
            <w:r w:rsidR="00AD0D8B" w:rsidRPr="00F720E1">
              <w:t xml:space="preserve">roponujemy </w:t>
            </w:r>
            <w:r w:rsidR="006A75E4" w:rsidRPr="00F720E1">
              <w:t>doprecyzowanie</w:t>
            </w:r>
            <w:r w:rsidR="008C39D3" w:rsidRPr="00F720E1">
              <w:t xml:space="preserve"> metadanej „typ” w tekście uzasadnienia do projektu</w:t>
            </w:r>
            <w:r w:rsidR="008C39D3" w:rsidRPr="00C55A2B">
              <w:rPr>
                <w:sz w:val="22"/>
                <w:szCs w:val="22"/>
              </w:rPr>
              <w:t xml:space="preserve">. </w:t>
            </w:r>
          </w:p>
          <w:p w14:paraId="473B4700" w14:textId="77777777" w:rsidR="00012BBA" w:rsidRPr="00F720E1" w:rsidRDefault="00012BBA" w:rsidP="00012BBA"/>
          <w:p w14:paraId="481F9C26" w14:textId="5E6592B9" w:rsidR="00C55A2B" w:rsidRPr="00F720E1" w:rsidRDefault="00C55A2B" w:rsidP="00C55A2B">
            <w:pPr>
              <w:spacing w:line="276" w:lineRule="auto"/>
            </w:pPr>
            <w:r w:rsidRPr="00F720E1">
              <w:t>Natomiast odnosząc się do zapytania RCL w sprawie identyfikacji metadanej przez CRIP, wyjaśniam, że oprogramowanie CRIP bę</w:t>
            </w:r>
            <w:r w:rsidR="00F720E1">
              <w:t>dzie automatycznie identyfikować</w:t>
            </w:r>
            <w:r w:rsidRPr="00F720E1">
              <w:t xml:space="preserve"> zasoby danych przypisując im następujące metadane typu – API, plik, </w:t>
            </w:r>
            <w:r w:rsidR="00EA1BF9">
              <w:t>strona internetowa</w:t>
            </w:r>
            <w:r w:rsidRPr="00F720E1">
              <w:t xml:space="preserve">.  Rozwój europejskich portali otwartych danych jak i obecne zapotrzebowania użytkowników przyczyniły się do zmiany </w:t>
            </w:r>
            <w:r w:rsidR="00137D24">
              <w:t>charakterystyk</w:t>
            </w:r>
            <w:r w:rsidR="00137D24" w:rsidRPr="00F720E1">
              <w:t xml:space="preserve"> </w:t>
            </w:r>
            <w:r w:rsidRPr="00F720E1">
              <w:t xml:space="preserve">metadanej „typ”. </w:t>
            </w:r>
          </w:p>
          <w:p w14:paraId="7FB62CC7" w14:textId="77777777" w:rsidR="00C55A2B" w:rsidRPr="00F57045" w:rsidRDefault="00C55A2B" w:rsidP="00C55A2B">
            <w:pPr>
              <w:spacing w:line="276" w:lineRule="auto"/>
            </w:pPr>
          </w:p>
          <w:p w14:paraId="0AE0B95E" w14:textId="39E0B51C" w:rsidR="000E7D85" w:rsidRPr="00F57045" w:rsidRDefault="00C061F9" w:rsidP="005C4A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Au</w:t>
            </w:r>
            <w:r w:rsidR="00C57536">
              <w:t xml:space="preserve">tomatyzacja </w:t>
            </w:r>
            <w:r w:rsidR="005C4A5B">
              <w:t>systemu</w:t>
            </w:r>
            <w:r w:rsidR="00C57536">
              <w:t xml:space="preserve"> CRIP, wraz z odpowiednio scharakteryzowaną metadaną ”typ”, ma na celu </w:t>
            </w:r>
            <w:r>
              <w:t>skrócenie czasu wykonywania przez dostawców zadań</w:t>
            </w:r>
            <w:r w:rsidR="00C57536">
              <w:t xml:space="preserve"> oraz </w:t>
            </w:r>
            <w:r w:rsidR="00D808D7">
              <w:t>usprawni</w:t>
            </w:r>
            <w:r w:rsidR="005C4A5B">
              <w:t xml:space="preserve">enie </w:t>
            </w:r>
            <w:r w:rsidR="00D808D7">
              <w:t>proces</w:t>
            </w:r>
            <w:r w:rsidR="005C4A5B">
              <w:t>u</w:t>
            </w:r>
            <w:r w:rsidR="00C55A2B" w:rsidRPr="00F57045">
              <w:t xml:space="preserve"> </w:t>
            </w:r>
            <w:r w:rsidR="00F57045">
              <w:lastRenderedPageBreak/>
              <w:t>klasyfikacji</w:t>
            </w:r>
            <w:r w:rsidR="00C55A2B" w:rsidRPr="00F57045">
              <w:t xml:space="preserve"> danych</w:t>
            </w:r>
            <w:r w:rsidR="00981BB5" w:rsidRPr="00F57045">
              <w:t xml:space="preserve"> ze względu na ich postać i dostęp. </w:t>
            </w:r>
            <w:r w:rsidR="00C55A2B" w:rsidRPr="00F57045">
              <w:t xml:space="preserve"> </w:t>
            </w:r>
            <w:r w:rsidR="00D808D7">
              <w:t>Przy</w:t>
            </w:r>
            <w:r w:rsidR="00981BB5" w:rsidRPr="00F57045">
              <w:t xml:space="preserve"> obecnym tempie rozwoju technologicznego, z punktu widzenia użytkowników</w:t>
            </w:r>
            <w:r w:rsidR="00137D24">
              <w:t>,</w:t>
            </w:r>
            <w:r w:rsidR="00981BB5" w:rsidRPr="00F57045">
              <w:t xml:space="preserve"> szczególne istotne są dane dynamiczne, podlegające częstym aktualizacjom, do których dostęp jest możliwy przez interfejs programistyczny API.</w:t>
            </w:r>
            <w:r w:rsidR="00F57045" w:rsidRPr="00F57045">
              <w:t xml:space="preserve"> </w:t>
            </w:r>
            <w:r w:rsidR="00981BB5" w:rsidRPr="00F57045">
              <w:t>Sposób dostępu do danych może stać się filarem procesów skutkujących powstaniem innowacyjnych produktów przez użytkowników</w:t>
            </w:r>
            <w:r w:rsidR="00F57045" w:rsidRPr="00F57045">
              <w:t>.</w:t>
            </w:r>
          </w:p>
        </w:tc>
      </w:tr>
    </w:tbl>
    <w:p w14:paraId="6AFDAC4A" w14:textId="77777777" w:rsidR="00C64B1B" w:rsidRDefault="00C64B1B" w:rsidP="00C64B1B">
      <w:pPr>
        <w:jc w:val="center"/>
      </w:pPr>
    </w:p>
    <w:sectPr w:rsidR="00C64B1B" w:rsidSect="00630397">
      <w:footerReference w:type="default" r:id="rId8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9F7A9" w14:textId="77777777" w:rsidR="00A66076" w:rsidRDefault="00A66076" w:rsidP="006F2464">
      <w:r>
        <w:separator/>
      </w:r>
    </w:p>
  </w:endnote>
  <w:endnote w:type="continuationSeparator" w:id="0">
    <w:p w14:paraId="1DFA8DA4" w14:textId="77777777" w:rsidR="00A66076" w:rsidRDefault="00A66076" w:rsidP="006F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72260" w14:textId="77777777" w:rsidR="002144C2" w:rsidRDefault="002144C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A40B6">
      <w:rPr>
        <w:noProof/>
      </w:rPr>
      <w:t>1</w:t>
    </w:r>
    <w:r>
      <w:rPr>
        <w:noProof/>
      </w:rPr>
      <w:fldChar w:fldCharType="end"/>
    </w:r>
  </w:p>
  <w:p w14:paraId="66DE9BE2" w14:textId="77777777" w:rsidR="002144C2" w:rsidRDefault="002144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3DF93" w14:textId="77777777" w:rsidR="00A66076" w:rsidRDefault="00A66076" w:rsidP="006F2464">
      <w:r>
        <w:separator/>
      </w:r>
    </w:p>
  </w:footnote>
  <w:footnote w:type="continuationSeparator" w:id="0">
    <w:p w14:paraId="183F6AB2" w14:textId="77777777" w:rsidR="00A66076" w:rsidRDefault="00A66076" w:rsidP="006F2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632F"/>
    <w:multiLevelType w:val="hybridMultilevel"/>
    <w:tmpl w:val="BA280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6B08"/>
    <w:multiLevelType w:val="hybridMultilevel"/>
    <w:tmpl w:val="F8684A5A"/>
    <w:lvl w:ilvl="0" w:tplc="4D58C06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16EF5"/>
    <w:multiLevelType w:val="hybridMultilevel"/>
    <w:tmpl w:val="8A9C0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37"/>
    <w:rsid w:val="00012BBA"/>
    <w:rsid w:val="00034258"/>
    <w:rsid w:val="000A63A2"/>
    <w:rsid w:val="000E7D85"/>
    <w:rsid w:val="000F70DC"/>
    <w:rsid w:val="001006EE"/>
    <w:rsid w:val="00106041"/>
    <w:rsid w:val="00131EC4"/>
    <w:rsid w:val="00137D24"/>
    <w:rsid w:val="00185609"/>
    <w:rsid w:val="00197421"/>
    <w:rsid w:val="00204D78"/>
    <w:rsid w:val="002144C2"/>
    <w:rsid w:val="002715B2"/>
    <w:rsid w:val="0028029F"/>
    <w:rsid w:val="002830F3"/>
    <w:rsid w:val="002C3EF7"/>
    <w:rsid w:val="002C7F83"/>
    <w:rsid w:val="002E0D6A"/>
    <w:rsid w:val="003124D1"/>
    <w:rsid w:val="00341C4C"/>
    <w:rsid w:val="00371A2B"/>
    <w:rsid w:val="0038350B"/>
    <w:rsid w:val="003C5A07"/>
    <w:rsid w:val="003D0505"/>
    <w:rsid w:val="003D3309"/>
    <w:rsid w:val="003E4667"/>
    <w:rsid w:val="004019E1"/>
    <w:rsid w:val="0041444C"/>
    <w:rsid w:val="00462ED0"/>
    <w:rsid w:val="0047105F"/>
    <w:rsid w:val="0048004E"/>
    <w:rsid w:val="00494158"/>
    <w:rsid w:val="004959C8"/>
    <w:rsid w:val="004A40B6"/>
    <w:rsid w:val="004D086F"/>
    <w:rsid w:val="004E12A4"/>
    <w:rsid w:val="00516EE1"/>
    <w:rsid w:val="005310EA"/>
    <w:rsid w:val="00540339"/>
    <w:rsid w:val="00564F2F"/>
    <w:rsid w:val="005728C0"/>
    <w:rsid w:val="00575BCF"/>
    <w:rsid w:val="005967FA"/>
    <w:rsid w:val="005C4A5B"/>
    <w:rsid w:val="005F6527"/>
    <w:rsid w:val="0060352E"/>
    <w:rsid w:val="00612499"/>
    <w:rsid w:val="00630397"/>
    <w:rsid w:val="00651688"/>
    <w:rsid w:val="00652FFF"/>
    <w:rsid w:val="006705EC"/>
    <w:rsid w:val="006A75E4"/>
    <w:rsid w:val="006A7837"/>
    <w:rsid w:val="006E16E9"/>
    <w:rsid w:val="006F2464"/>
    <w:rsid w:val="007343EB"/>
    <w:rsid w:val="00764098"/>
    <w:rsid w:val="00776151"/>
    <w:rsid w:val="007E156A"/>
    <w:rsid w:val="00807385"/>
    <w:rsid w:val="00834518"/>
    <w:rsid w:val="00853BB7"/>
    <w:rsid w:val="00885551"/>
    <w:rsid w:val="008C1A18"/>
    <w:rsid w:val="008C1BB1"/>
    <w:rsid w:val="008C39D3"/>
    <w:rsid w:val="00944932"/>
    <w:rsid w:val="00961A22"/>
    <w:rsid w:val="00981BB5"/>
    <w:rsid w:val="009C6C55"/>
    <w:rsid w:val="00A35E90"/>
    <w:rsid w:val="00A66076"/>
    <w:rsid w:val="00A86269"/>
    <w:rsid w:val="00A9613E"/>
    <w:rsid w:val="00AC59E1"/>
    <w:rsid w:val="00AC6AD3"/>
    <w:rsid w:val="00AD0D8B"/>
    <w:rsid w:val="00B363BC"/>
    <w:rsid w:val="00B407A2"/>
    <w:rsid w:val="00B67B92"/>
    <w:rsid w:val="00BC2956"/>
    <w:rsid w:val="00C061F9"/>
    <w:rsid w:val="00C55A2B"/>
    <w:rsid w:val="00C57536"/>
    <w:rsid w:val="00C64B1B"/>
    <w:rsid w:val="00C82EA3"/>
    <w:rsid w:val="00C86AA6"/>
    <w:rsid w:val="00C86B63"/>
    <w:rsid w:val="00CA0FBC"/>
    <w:rsid w:val="00CF662D"/>
    <w:rsid w:val="00D22838"/>
    <w:rsid w:val="00D33C57"/>
    <w:rsid w:val="00D808D7"/>
    <w:rsid w:val="00D8121E"/>
    <w:rsid w:val="00E14C33"/>
    <w:rsid w:val="00EA1BF9"/>
    <w:rsid w:val="00F57045"/>
    <w:rsid w:val="00F720E1"/>
    <w:rsid w:val="00F95FB2"/>
    <w:rsid w:val="00FD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B078F"/>
  <w15:docId w15:val="{1F789A28-BE96-4D2E-ADF1-E01CA58A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0E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F24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24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F2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F246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F246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2464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1856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56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856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85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85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arbarczyk\Desktop\szablon%20-%20KRMC%20tabel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1F0D1-CFF5-4F25-84CA-01E652F4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- KRMC tabela</Template>
  <TotalTime>1</TotalTime>
  <Pages>3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Garbarczyk</dc:creator>
  <cp:lastModifiedBy>Godlewski Daniel</cp:lastModifiedBy>
  <cp:revision>2</cp:revision>
  <cp:lastPrinted>2012-08-20T11:53:00Z</cp:lastPrinted>
  <dcterms:created xsi:type="dcterms:W3CDTF">2019-07-09T10:38:00Z</dcterms:created>
  <dcterms:modified xsi:type="dcterms:W3CDTF">2019-07-09T10:38:00Z</dcterms:modified>
</cp:coreProperties>
</file>