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2A" w:rsidRDefault="00192C8B" w:rsidP="00503BA3">
      <w:pPr>
        <w:pStyle w:val="Tytu"/>
        <w:jc w:val="right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D4C67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Warszawa,  </w:t>
      </w:r>
      <w:r w:rsidR="0088152A" w:rsidRPr="0088152A">
        <w:rPr>
          <w:b w:val="0"/>
          <w:sz w:val="24"/>
          <w:szCs w:val="24"/>
        </w:rPr>
        <w:t>22 stycznia 2021 roku</w:t>
      </w:r>
    </w:p>
    <w:p w:rsidR="0088152A" w:rsidRPr="0088152A" w:rsidRDefault="0088152A" w:rsidP="0088152A"/>
    <w:p w:rsidR="0088152A" w:rsidRDefault="00625554" w:rsidP="006B49EA">
      <w:pPr>
        <w:pStyle w:val="Tytu"/>
      </w:pPr>
      <w:r w:rsidRPr="006B49EA">
        <w:t xml:space="preserve">Informacja na temat </w:t>
      </w:r>
      <w:proofErr w:type="spellStart"/>
      <w:r w:rsidRPr="006B49EA">
        <w:t>pobrexitowej</w:t>
      </w:r>
      <w:proofErr w:type="spellEnd"/>
      <w:r w:rsidRPr="006B49EA">
        <w:t xml:space="preserve"> rezerwy dostosowawczej </w:t>
      </w:r>
    </w:p>
    <w:p w:rsidR="00625554" w:rsidRPr="00503BA3" w:rsidRDefault="00625554" w:rsidP="006B49EA">
      <w:pPr>
        <w:pStyle w:val="Tytu"/>
        <w:rPr>
          <w:lang w:val="en-GB"/>
        </w:rPr>
      </w:pPr>
      <w:r w:rsidRPr="00503BA3">
        <w:rPr>
          <w:lang w:val="en-GB"/>
        </w:rPr>
        <w:t>(ang. BREXIT ADJUSTMENT RESERV – BAR)</w:t>
      </w:r>
    </w:p>
    <w:p w:rsidR="006B49EA" w:rsidRPr="00503BA3" w:rsidRDefault="006B49EA" w:rsidP="00E13298">
      <w:pPr>
        <w:spacing w:line="360" w:lineRule="auto"/>
        <w:rPr>
          <w:b/>
          <w:sz w:val="24"/>
          <w:szCs w:val="24"/>
          <w:lang w:val="en-GB"/>
        </w:rPr>
      </w:pPr>
    </w:p>
    <w:p w:rsidR="006B49EA" w:rsidRDefault="006B49EA" w:rsidP="006B49EA">
      <w:pPr>
        <w:spacing w:line="360" w:lineRule="auto"/>
        <w:rPr>
          <w:b/>
          <w:sz w:val="24"/>
          <w:szCs w:val="24"/>
        </w:rPr>
      </w:pPr>
      <w:r w:rsidRPr="00B24333">
        <w:rPr>
          <w:sz w:val="24"/>
          <w:szCs w:val="24"/>
        </w:rPr>
        <w:t xml:space="preserve">21 lipca 2020 roku </w:t>
      </w:r>
      <w:r w:rsidR="00EC7262" w:rsidRPr="00B24333">
        <w:rPr>
          <w:sz w:val="24"/>
          <w:szCs w:val="24"/>
        </w:rPr>
        <w:t>na</w:t>
      </w:r>
      <w:r w:rsidRPr="00B24333">
        <w:rPr>
          <w:sz w:val="24"/>
          <w:szCs w:val="24"/>
        </w:rPr>
        <w:t xml:space="preserve"> </w:t>
      </w:r>
      <w:r w:rsidR="00EC7262" w:rsidRPr="00B24333">
        <w:rPr>
          <w:sz w:val="24"/>
          <w:szCs w:val="24"/>
        </w:rPr>
        <w:t>specjalnym szczycie Rady Eu</w:t>
      </w:r>
      <w:r w:rsidR="00B24333">
        <w:rPr>
          <w:sz w:val="24"/>
          <w:szCs w:val="24"/>
        </w:rPr>
        <w:t xml:space="preserve">ropejskiej zostały przyjęte </w:t>
      </w:r>
      <w:r w:rsidR="00B24333" w:rsidRPr="00B24333">
        <w:rPr>
          <w:sz w:val="24"/>
          <w:szCs w:val="24"/>
        </w:rPr>
        <w:t>konkluzje o</w:t>
      </w:r>
      <w:r w:rsidR="004E6268">
        <w:rPr>
          <w:sz w:val="24"/>
          <w:szCs w:val="24"/>
        </w:rPr>
        <w:t> </w:t>
      </w:r>
      <w:r w:rsidR="00B24333" w:rsidRPr="00B24333">
        <w:rPr>
          <w:sz w:val="24"/>
          <w:szCs w:val="24"/>
        </w:rPr>
        <w:t>planie odbudowy i wieloletnich ramach finansowych na lata 2021–2027.</w:t>
      </w:r>
      <w:r w:rsidR="00B24333">
        <w:rPr>
          <w:sz w:val="24"/>
          <w:szCs w:val="24"/>
        </w:rPr>
        <w:t xml:space="preserve"> </w:t>
      </w:r>
      <w:r w:rsidR="00B24333" w:rsidRPr="00B24333">
        <w:rPr>
          <w:sz w:val="24"/>
          <w:szCs w:val="24"/>
        </w:rPr>
        <w:t>Podjęte d</w:t>
      </w:r>
      <w:r w:rsidR="00B24333">
        <w:rPr>
          <w:sz w:val="24"/>
          <w:szCs w:val="24"/>
        </w:rPr>
        <w:t>ecyzje mają</w:t>
      </w:r>
      <w:r w:rsidR="00B24333" w:rsidRPr="00B24333">
        <w:rPr>
          <w:sz w:val="24"/>
          <w:szCs w:val="24"/>
        </w:rPr>
        <w:t xml:space="preserve"> pom</w:t>
      </w:r>
      <w:r w:rsidR="00B24333">
        <w:rPr>
          <w:sz w:val="24"/>
          <w:szCs w:val="24"/>
        </w:rPr>
        <w:t>óc</w:t>
      </w:r>
      <w:r w:rsidR="00B24333" w:rsidRPr="00B24333">
        <w:rPr>
          <w:sz w:val="24"/>
          <w:szCs w:val="24"/>
        </w:rPr>
        <w:t xml:space="preserve"> odbudować UE po pandemii i wespr</w:t>
      </w:r>
      <w:r w:rsidR="00B24333">
        <w:rPr>
          <w:sz w:val="24"/>
          <w:szCs w:val="24"/>
        </w:rPr>
        <w:t>zeć</w:t>
      </w:r>
      <w:r w:rsidR="00B24333" w:rsidRPr="00B24333">
        <w:rPr>
          <w:sz w:val="24"/>
          <w:szCs w:val="24"/>
        </w:rPr>
        <w:t xml:space="preserve"> inwestycje w transformację ekologiczną i cyfrową.</w:t>
      </w:r>
      <w:r w:rsidR="00B24333">
        <w:rPr>
          <w:sz w:val="24"/>
          <w:szCs w:val="24"/>
        </w:rPr>
        <w:t xml:space="preserve"> Przywódcy państw </w:t>
      </w:r>
      <w:r w:rsidR="0088152A">
        <w:rPr>
          <w:sz w:val="24"/>
          <w:szCs w:val="24"/>
        </w:rPr>
        <w:t xml:space="preserve">członkowskich </w:t>
      </w:r>
      <w:r w:rsidR="00B24333">
        <w:rPr>
          <w:sz w:val="24"/>
          <w:szCs w:val="24"/>
        </w:rPr>
        <w:t xml:space="preserve">podjęli również decyzję o </w:t>
      </w:r>
      <w:r w:rsidR="00B24333" w:rsidRPr="00B24333">
        <w:rPr>
          <w:sz w:val="24"/>
          <w:szCs w:val="24"/>
        </w:rPr>
        <w:t>utworzeniu specjalnych instrumentów</w:t>
      </w:r>
      <w:r w:rsidR="00EC7262" w:rsidRPr="00B24333">
        <w:rPr>
          <w:sz w:val="24"/>
          <w:szCs w:val="24"/>
        </w:rPr>
        <w:t xml:space="preserve"> tematyczn</w:t>
      </w:r>
      <w:r w:rsidR="00B24333">
        <w:rPr>
          <w:sz w:val="24"/>
          <w:szCs w:val="24"/>
        </w:rPr>
        <w:t>ych</w:t>
      </w:r>
      <w:r w:rsidR="00EC7262" w:rsidRPr="00B24333">
        <w:rPr>
          <w:sz w:val="24"/>
          <w:szCs w:val="24"/>
        </w:rPr>
        <w:t>, które zapewnią dodatkowe finansowanie na konkretne nieprzewidziane wydarzenia</w:t>
      </w:r>
      <w:r w:rsidR="00933346">
        <w:rPr>
          <w:sz w:val="24"/>
          <w:szCs w:val="24"/>
        </w:rPr>
        <w:t xml:space="preserve">. </w:t>
      </w:r>
      <w:r w:rsidR="000674F6">
        <w:rPr>
          <w:sz w:val="24"/>
          <w:szCs w:val="24"/>
        </w:rPr>
        <w:t xml:space="preserve">Podstawą do utworzenia nowego instrumentu finansowego - </w:t>
      </w:r>
      <w:proofErr w:type="spellStart"/>
      <w:r w:rsidR="000674F6" w:rsidRPr="0088152A">
        <w:rPr>
          <w:sz w:val="24"/>
          <w:szCs w:val="24"/>
        </w:rPr>
        <w:t>pobrexitowej</w:t>
      </w:r>
      <w:proofErr w:type="spellEnd"/>
      <w:r w:rsidR="000674F6" w:rsidRPr="0088152A">
        <w:rPr>
          <w:sz w:val="24"/>
          <w:szCs w:val="24"/>
        </w:rPr>
        <w:t xml:space="preserve"> rezerwy dostosowawczej</w:t>
      </w:r>
      <w:r w:rsidR="000674F6">
        <w:rPr>
          <w:sz w:val="24"/>
          <w:szCs w:val="24"/>
        </w:rPr>
        <w:t xml:space="preserve"> było</w:t>
      </w:r>
      <w:r w:rsidR="000674F6" w:rsidRPr="006B49EA">
        <w:rPr>
          <w:b/>
          <w:sz w:val="24"/>
          <w:szCs w:val="24"/>
        </w:rPr>
        <w:t xml:space="preserve"> </w:t>
      </w:r>
      <w:r w:rsidR="000674F6" w:rsidRPr="00942AE5">
        <w:rPr>
          <w:sz w:val="24"/>
          <w:szCs w:val="24"/>
        </w:rPr>
        <w:t>w</w:t>
      </w:r>
      <w:r w:rsidR="00933346">
        <w:rPr>
          <w:sz w:val="24"/>
          <w:szCs w:val="24"/>
        </w:rPr>
        <w:t>yjście Zjednoczonego Królestwa z UE</w:t>
      </w:r>
      <w:r w:rsidR="000674F6">
        <w:rPr>
          <w:sz w:val="24"/>
          <w:szCs w:val="24"/>
        </w:rPr>
        <w:t>.</w:t>
      </w:r>
      <w:r w:rsidR="00933346">
        <w:rPr>
          <w:sz w:val="24"/>
          <w:szCs w:val="24"/>
        </w:rPr>
        <w:t xml:space="preserve"> </w:t>
      </w:r>
    </w:p>
    <w:p w:rsidR="00860BF7" w:rsidRPr="0088152A" w:rsidRDefault="00860BF7" w:rsidP="00933346">
      <w:pPr>
        <w:spacing w:line="360" w:lineRule="auto"/>
        <w:rPr>
          <w:b/>
          <w:sz w:val="24"/>
          <w:szCs w:val="24"/>
        </w:rPr>
      </w:pPr>
      <w:r w:rsidRPr="0088152A">
        <w:rPr>
          <w:b/>
          <w:sz w:val="24"/>
          <w:szCs w:val="24"/>
        </w:rPr>
        <w:t>Jaki jest cel</w:t>
      </w:r>
      <w:r w:rsidRPr="0088152A">
        <w:rPr>
          <w:b/>
        </w:rPr>
        <w:t xml:space="preserve"> </w:t>
      </w:r>
      <w:proofErr w:type="spellStart"/>
      <w:r w:rsidRPr="0088152A">
        <w:rPr>
          <w:b/>
        </w:rPr>
        <w:t>p</w:t>
      </w:r>
      <w:r w:rsidRPr="0088152A">
        <w:rPr>
          <w:b/>
          <w:sz w:val="24"/>
          <w:szCs w:val="24"/>
        </w:rPr>
        <w:t>obrexitowej</w:t>
      </w:r>
      <w:proofErr w:type="spellEnd"/>
      <w:r w:rsidRPr="0088152A">
        <w:rPr>
          <w:b/>
          <w:sz w:val="24"/>
          <w:szCs w:val="24"/>
        </w:rPr>
        <w:t xml:space="preserve"> rezerwy dostosowawczej?</w:t>
      </w:r>
    </w:p>
    <w:p w:rsidR="00933346" w:rsidRPr="00933346" w:rsidRDefault="000674F6" w:rsidP="00933346">
      <w:pPr>
        <w:spacing w:line="360" w:lineRule="auto"/>
        <w:rPr>
          <w:sz w:val="24"/>
          <w:szCs w:val="24"/>
        </w:rPr>
      </w:pPr>
      <w:proofErr w:type="spellStart"/>
      <w:r w:rsidRPr="0088152A">
        <w:rPr>
          <w:sz w:val="24"/>
          <w:szCs w:val="24"/>
        </w:rPr>
        <w:t>Pobrexitowa</w:t>
      </w:r>
      <w:proofErr w:type="spellEnd"/>
      <w:r w:rsidRPr="0088152A">
        <w:rPr>
          <w:sz w:val="24"/>
          <w:szCs w:val="24"/>
        </w:rPr>
        <w:t xml:space="preserve"> rezerwa dostosowawcza</w:t>
      </w:r>
      <w:r>
        <w:rPr>
          <w:sz w:val="24"/>
          <w:szCs w:val="24"/>
        </w:rPr>
        <w:t xml:space="preserve"> </w:t>
      </w:r>
      <w:r w:rsidR="0088152A">
        <w:rPr>
          <w:sz w:val="24"/>
          <w:szCs w:val="24"/>
        </w:rPr>
        <w:t xml:space="preserve">(BAR) </w:t>
      </w:r>
      <w:r>
        <w:rPr>
          <w:sz w:val="24"/>
          <w:szCs w:val="24"/>
        </w:rPr>
        <w:t>m</w:t>
      </w:r>
      <w:r w:rsidR="00933346" w:rsidRPr="00933346">
        <w:rPr>
          <w:sz w:val="24"/>
          <w:szCs w:val="24"/>
        </w:rPr>
        <w:t xml:space="preserve">a na celu przeciwdziałanie </w:t>
      </w:r>
      <w:r w:rsidR="00942AE5">
        <w:rPr>
          <w:sz w:val="24"/>
          <w:szCs w:val="24"/>
        </w:rPr>
        <w:t xml:space="preserve">trudnym do </w:t>
      </w:r>
      <w:r w:rsidR="00933346" w:rsidRPr="00933346">
        <w:rPr>
          <w:sz w:val="24"/>
          <w:szCs w:val="24"/>
        </w:rPr>
        <w:t>przewidz</w:t>
      </w:r>
      <w:r w:rsidR="00942AE5">
        <w:rPr>
          <w:sz w:val="24"/>
          <w:szCs w:val="24"/>
        </w:rPr>
        <w:t>enia</w:t>
      </w:r>
      <w:r w:rsidR="00933346" w:rsidRPr="00933346">
        <w:rPr>
          <w:sz w:val="24"/>
          <w:szCs w:val="24"/>
        </w:rPr>
        <w:t xml:space="preserve"> i</w:t>
      </w:r>
      <w:r>
        <w:rPr>
          <w:sz w:val="24"/>
          <w:szCs w:val="24"/>
        </w:rPr>
        <w:t> </w:t>
      </w:r>
      <w:r w:rsidR="00933346" w:rsidRPr="00933346">
        <w:rPr>
          <w:sz w:val="24"/>
          <w:szCs w:val="24"/>
        </w:rPr>
        <w:t xml:space="preserve">negatywnym </w:t>
      </w:r>
      <w:r w:rsidR="000612C5">
        <w:rPr>
          <w:sz w:val="24"/>
          <w:szCs w:val="24"/>
        </w:rPr>
        <w:t>skutkom</w:t>
      </w:r>
      <w:r w:rsidR="00933346" w:rsidRPr="00933346">
        <w:rPr>
          <w:sz w:val="24"/>
          <w:szCs w:val="24"/>
        </w:rPr>
        <w:t xml:space="preserve"> </w:t>
      </w:r>
      <w:proofErr w:type="spellStart"/>
      <w:r w:rsidR="00933346" w:rsidRPr="00933346">
        <w:rPr>
          <w:sz w:val="24"/>
          <w:szCs w:val="24"/>
        </w:rPr>
        <w:t>brexitu</w:t>
      </w:r>
      <w:proofErr w:type="spellEnd"/>
      <w:r w:rsidR="00933346" w:rsidRPr="00933346">
        <w:rPr>
          <w:sz w:val="24"/>
          <w:szCs w:val="24"/>
        </w:rPr>
        <w:t xml:space="preserve"> w najbardziej dotkniętych państwach członkowskich i</w:t>
      </w:r>
      <w:r>
        <w:rPr>
          <w:sz w:val="24"/>
          <w:szCs w:val="24"/>
        </w:rPr>
        <w:t> </w:t>
      </w:r>
      <w:r w:rsidR="00942AE5">
        <w:rPr>
          <w:sz w:val="24"/>
          <w:szCs w:val="24"/>
        </w:rPr>
        <w:t>sektorach. Konsekwencje</w:t>
      </w:r>
      <w:r w:rsidR="00933346" w:rsidRPr="00933346">
        <w:rPr>
          <w:sz w:val="24"/>
          <w:szCs w:val="24"/>
        </w:rPr>
        <w:t xml:space="preserve"> wynikające z barier w handlu i wymianie transgranicznej między Unią a Zjednoczonym Królestwem są nieuniknione i oczekuje się, </w:t>
      </w:r>
      <w:r w:rsidR="0088152A">
        <w:rPr>
          <w:sz w:val="24"/>
          <w:szCs w:val="24"/>
        </w:rPr>
        <w:br/>
      </w:r>
      <w:r w:rsidR="00933346" w:rsidRPr="00933346">
        <w:rPr>
          <w:sz w:val="24"/>
          <w:szCs w:val="24"/>
        </w:rPr>
        <w:t xml:space="preserve">że przyniosą znaczne i daleko idące skutki dla przedsiębiorstw, obywateli i administracji publicznej. </w:t>
      </w:r>
    </w:p>
    <w:p w:rsidR="00860BF7" w:rsidRPr="0088152A" w:rsidRDefault="00E13298" w:rsidP="00E13298">
      <w:pPr>
        <w:spacing w:line="360" w:lineRule="auto"/>
        <w:rPr>
          <w:b/>
          <w:sz w:val="24"/>
          <w:szCs w:val="24"/>
        </w:rPr>
      </w:pPr>
      <w:r w:rsidRPr="0088152A">
        <w:rPr>
          <w:b/>
          <w:sz w:val="24"/>
          <w:szCs w:val="24"/>
        </w:rPr>
        <w:t xml:space="preserve">Czy </w:t>
      </w:r>
      <w:r w:rsidR="0088152A">
        <w:rPr>
          <w:b/>
          <w:sz w:val="24"/>
          <w:szCs w:val="24"/>
        </w:rPr>
        <w:t xml:space="preserve">BAR </w:t>
      </w:r>
      <w:r w:rsidRPr="0088152A">
        <w:rPr>
          <w:b/>
          <w:sz w:val="24"/>
          <w:szCs w:val="24"/>
        </w:rPr>
        <w:t>obejmie wszystkie państwa członkowskie?</w:t>
      </w:r>
      <w:r w:rsidR="000674F6" w:rsidRPr="0088152A">
        <w:rPr>
          <w:b/>
          <w:sz w:val="24"/>
          <w:szCs w:val="24"/>
        </w:rPr>
        <w:t xml:space="preserve"> </w:t>
      </w:r>
    </w:p>
    <w:p w:rsidR="000612C5" w:rsidRDefault="000674F6" w:rsidP="00E132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Tak, r</w:t>
      </w:r>
      <w:r w:rsidR="00E13298" w:rsidRPr="00E13298">
        <w:rPr>
          <w:sz w:val="24"/>
          <w:szCs w:val="24"/>
        </w:rPr>
        <w:t xml:space="preserve">ezerwa obejmie wszystkie państwa członkowskie. Jej metoda alokacji, </w:t>
      </w:r>
      <w:r>
        <w:rPr>
          <w:sz w:val="24"/>
          <w:szCs w:val="24"/>
        </w:rPr>
        <w:t>struktura</w:t>
      </w:r>
      <w:r w:rsidR="00E13298" w:rsidRPr="00E13298">
        <w:rPr>
          <w:sz w:val="24"/>
          <w:szCs w:val="24"/>
        </w:rPr>
        <w:t xml:space="preserve"> i</w:t>
      </w:r>
      <w:r w:rsidR="00942AE5">
        <w:rPr>
          <w:sz w:val="24"/>
          <w:szCs w:val="24"/>
        </w:rPr>
        <w:t> </w:t>
      </w:r>
      <w:r w:rsidR="00E13298" w:rsidRPr="00E13298">
        <w:rPr>
          <w:sz w:val="24"/>
          <w:szCs w:val="24"/>
        </w:rPr>
        <w:t xml:space="preserve">funkcjonowanie zostały opracowane w taki sposób, aby </w:t>
      </w:r>
      <w:r w:rsidR="000612C5">
        <w:rPr>
          <w:sz w:val="24"/>
          <w:szCs w:val="24"/>
        </w:rPr>
        <w:t xml:space="preserve">objąć w szczególności </w:t>
      </w:r>
      <w:r w:rsidR="000612C5" w:rsidRPr="00933346">
        <w:rPr>
          <w:sz w:val="24"/>
          <w:szCs w:val="24"/>
        </w:rPr>
        <w:t>państw</w:t>
      </w:r>
      <w:r w:rsidR="000612C5">
        <w:rPr>
          <w:sz w:val="24"/>
          <w:szCs w:val="24"/>
        </w:rPr>
        <w:t>a członkowskie</w:t>
      </w:r>
      <w:r w:rsidR="000612C5" w:rsidRPr="00933346">
        <w:rPr>
          <w:sz w:val="24"/>
          <w:szCs w:val="24"/>
        </w:rPr>
        <w:t xml:space="preserve"> najbardziej</w:t>
      </w:r>
      <w:r w:rsidR="000612C5">
        <w:rPr>
          <w:sz w:val="24"/>
          <w:szCs w:val="24"/>
        </w:rPr>
        <w:t xml:space="preserve"> </w:t>
      </w:r>
      <w:r w:rsidR="000612C5" w:rsidRPr="00933346">
        <w:rPr>
          <w:sz w:val="24"/>
          <w:szCs w:val="24"/>
        </w:rPr>
        <w:t>zależn</w:t>
      </w:r>
      <w:r w:rsidR="000612C5">
        <w:rPr>
          <w:sz w:val="24"/>
          <w:szCs w:val="24"/>
        </w:rPr>
        <w:t>e</w:t>
      </w:r>
      <w:r w:rsidR="000612C5" w:rsidRPr="00933346">
        <w:rPr>
          <w:sz w:val="24"/>
          <w:szCs w:val="24"/>
        </w:rPr>
        <w:t xml:space="preserve"> od relacji handlowych i gospodarczych ze Zjednoczonym Królestwem. </w:t>
      </w:r>
    </w:p>
    <w:p w:rsidR="00FC47FA" w:rsidRDefault="001E20A3" w:rsidP="00E13298">
      <w:pPr>
        <w:spacing w:line="360" w:lineRule="auto"/>
        <w:rPr>
          <w:b/>
          <w:sz w:val="24"/>
          <w:szCs w:val="24"/>
        </w:rPr>
      </w:pPr>
      <w:r w:rsidRPr="0088152A">
        <w:rPr>
          <w:b/>
          <w:sz w:val="24"/>
          <w:szCs w:val="24"/>
        </w:rPr>
        <w:t>Jakiej wysokości środki finansowe będą udostępnione</w:t>
      </w:r>
      <w:r w:rsidR="00E13298" w:rsidRPr="0088152A">
        <w:rPr>
          <w:b/>
          <w:sz w:val="24"/>
          <w:szCs w:val="24"/>
        </w:rPr>
        <w:t>?</w:t>
      </w:r>
      <w:r w:rsidR="00FC47FA">
        <w:rPr>
          <w:b/>
          <w:sz w:val="24"/>
          <w:szCs w:val="24"/>
        </w:rPr>
        <w:t xml:space="preserve"> </w:t>
      </w:r>
    </w:p>
    <w:p w:rsidR="00E13298" w:rsidRPr="00FC47FA" w:rsidRDefault="00E13298" w:rsidP="00E13298">
      <w:pPr>
        <w:spacing w:line="360" w:lineRule="auto"/>
        <w:rPr>
          <w:b/>
          <w:sz w:val="24"/>
          <w:szCs w:val="24"/>
        </w:rPr>
      </w:pPr>
      <w:r w:rsidRPr="00E13298">
        <w:rPr>
          <w:sz w:val="24"/>
          <w:szCs w:val="24"/>
        </w:rPr>
        <w:t>Maksymalna dostępna kwota wyniesie 5 mld EUR</w:t>
      </w:r>
      <w:r w:rsidR="0088152A">
        <w:rPr>
          <w:rStyle w:val="Odwoanieprzypisudolnego"/>
          <w:sz w:val="24"/>
          <w:szCs w:val="24"/>
        </w:rPr>
        <w:footnoteReference w:id="1"/>
      </w:r>
      <w:r w:rsidRPr="00E13298">
        <w:rPr>
          <w:sz w:val="24"/>
          <w:szCs w:val="24"/>
        </w:rPr>
        <w:t>. Zosta</w:t>
      </w:r>
      <w:r w:rsidR="000612C5">
        <w:rPr>
          <w:sz w:val="24"/>
          <w:szCs w:val="24"/>
        </w:rPr>
        <w:t>ła</w:t>
      </w:r>
      <w:r w:rsidRPr="00E13298">
        <w:rPr>
          <w:sz w:val="24"/>
          <w:szCs w:val="24"/>
        </w:rPr>
        <w:t xml:space="preserve"> ustanowiona jako specjalny instrument poza pułapami budżetu UE określonymi w wieloletnich ramach finansowych na lata 2021-2027.</w:t>
      </w:r>
    </w:p>
    <w:p w:rsidR="00E13298" w:rsidRPr="0088152A" w:rsidRDefault="00E13298" w:rsidP="00E13298">
      <w:pPr>
        <w:spacing w:line="360" w:lineRule="auto"/>
        <w:rPr>
          <w:b/>
          <w:sz w:val="24"/>
          <w:szCs w:val="24"/>
        </w:rPr>
      </w:pPr>
      <w:r w:rsidRPr="0088152A">
        <w:rPr>
          <w:b/>
          <w:sz w:val="24"/>
          <w:szCs w:val="24"/>
        </w:rPr>
        <w:lastRenderedPageBreak/>
        <w:t xml:space="preserve">Jak </w:t>
      </w:r>
      <w:r w:rsidR="00860BF7" w:rsidRPr="0088152A">
        <w:rPr>
          <w:b/>
          <w:sz w:val="24"/>
          <w:szCs w:val="24"/>
        </w:rPr>
        <w:t xml:space="preserve">planowane jest </w:t>
      </w:r>
      <w:r w:rsidRPr="0088152A">
        <w:rPr>
          <w:b/>
          <w:sz w:val="24"/>
          <w:szCs w:val="24"/>
        </w:rPr>
        <w:t>rozdziel</w:t>
      </w:r>
      <w:r w:rsidR="00860BF7" w:rsidRPr="0088152A">
        <w:rPr>
          <w:b/>
          <w:sz w:val="24"/>
          <w:szCs w:val="24"/>
        </w:rPr>
        <w:t>enie środków</w:t>
      </w:r>
      <w:r w:rsidRPr="0088152A">
        <w:rPr>
          <w:b/>
          <w:sz w:val="24"/>
          <w:szCs w:val="24"/>
        </w:rPr>
        <w:t>?</w:t>
      </w:r>
    </w:p>
    <w:p w:rsidR="00E13298" w:rsidRPr="00E13298" w:rsidRDefault="00E13298" w:rsidP="00E13298">
      <w:pPr>
        <w:spacing w:line="360" w:lineRule="auto"/>
        <w:rPr>
          <w:sz w:val="24"/>
          <w:szCs w:val="24"/>
        </w:rPr>
      </w:pPr>
      <w:r w:rsidRPr="00E13298">
        <w:rPr>
          <w:sz w:val="24"/>
          <w:szCs w:val="24"/>
        </w:rPr>
        <w:t xml:space="preserve">Wsparcie </w:t>
      </w:r>
      <w:r w:rsidR="000612C5">
        <w:rPr>
          <w:sz w:val="24"/>
          <w:szCs w:val="24"/>
        </w:rPr>
        <w:t>planuje się</w:t>
      </w:r>
      <w:r w:rsidRPr="00E13298">
        <w:rPr>
          <w:sz w:val="24"/>
          <w:szCs w:val="24"/>
        </w:rPr>
        <w:t xml:space="preserve"> wypłac</w:t>
      </w:r>
      <w:r w:rsidR="000612C5">
        <w:rPr>
          <w:sz w:val="24"/>
          <w:szCs w:val="24"/>
        </w:rPr>
        <w:t>ać</w:t>
      </w:r>
      <w:r w:rsidRPr="00E13298">
        <w:rPr>
          <w:sz w:val="24"/>
          <w:szCs w:val="24"/>
        </w:rPr>
        <w:t xml:space="preserve"> w dwóch rundach przydziału środków. Pierwsza, bardziej znacząca, </w:t>
      </w:r>
      <w:r w:rsidR="000612C5">
        <w:rPr>
          <w:sz w:val="24"/>
          <w:szCs w:val="24"/>
        </w:rPr>
        <w:t>mogłaby być</w:t>
      </w:r>
      <w:r w:rsidRPr="00E13298">
        <w:rPr>
          <w:sz w:val="24"/>
          <w:szCs w:val="24"/>
        </w:rPr>
        <w:t xml:space="preserve"> uruchomiona w 2021 r. w formie prefinansowania, przy czym kwota na państwo członkowskie zostanie określona na podstawie klucza podziału uwzględniającego stopień integracji gospodarczej ze Zjednoczonym Królestwem, w tym handlu towarami i</w:t>
      </w:r>
      <w:r w:rsidR="005950BF">
        <w:rPr>
          <w:sz w:val="24"/>
          <w:szCs w:val="24"/>
        </w:rPr>
        <w:t> </w:t>
      </w:r>
      <w:r w:rsidRPr="00E13298">
        <w:rPr>
          <w:sz w:val="24"/>
          <w:szCs w:val="24"/>
        </w:rPr>
        <w:t xml:space="preserve">usługami. Dodatkowa kwota zostanie przydzielona w celu odzwierciedlenia strat, jakie niektóre państwa członkowskie poniosą w związku z ograniczeniami w dostępie do wód Zjednoczonego Królestwa </w:t>
      </w:r>
      <w:r w:rsidR="005950BF">
        <w:rPr>
          <w:sz w:val="24"/>
          <w:szCs w:val="24"/>
        </w:rPr>
        <w:t>w</w:t>
      </w:r>
      <w:r w:rsidRPr="00E13298">
        <w:rPr>
          <w:sz w:val="24"/>
          <w:szCs w:val="24"/>
        </w:rPr>
        <w:t xml:space="preserve"> działalności połowowej.</w:t>
      </w:r>
    </w:p>
    <w:p w:rsidR="00E13298" w:rsidRPr="00E13298" w:rsidRDefault="005950BF" w:rsidP="00E132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Płatność </w:t>
      </w:r>
      <w:r w:rsidR="0088152A">
        <w:rPr>
          <w:sz w:val="24"/>
          <w:szCs w:val="24"/>
        </w:rPr>
        <w:t xml:space="preserve">w ramach </w:t>
      </w:r>
      <w:r>
        <w:rPr>
          <w:sz w:val="24"/>
          <w:szCs w:val="24"/>
        </w:rPr>
        <w:t>d</w:t>
      </w:r>
      <w:r w:rsidR="00E13298" w:rsidRPr="00E13298">
        <w:rPr>
          <w:sz w:val="24"/>
          <w:szCs w:val="24"/>
        </w:rPr>
        <w:t>rug</w:t>
      </w:r>
      <w:r>
        <w:rPr>
          <w:sz w:val="24"/>
          <w:szCs w:val="24"/>
        </w:rPr>
        <w:t>iej rundy</w:t>
      </w:r>
      <w:r w:rsidR="00E13298" w:rsidRPr="00E13298">
        <w:rPr>
          <w:sz w:val="24"/>
          <w:szCs w:val="24"/>
        </w:rPr>
        <w:t xml:space="preserve"> </w:t>
      </w:r>
      <w:r>
        <w:rPr>
          <w:sz w:val="24"/>
          <w:szCs w:val="24"/>
        </w:rPr>
        <w:t>planowana jest</w:t>
      </w:r>
      <w:r w:rsidR="00E13298" w:rsidRPr="00E13298">
        <w:rPr>
          <w:sz w:val="24"/>
          <w:szCs w:val="24"/>
        </w:rPr>
        <w:t xml:space="preserve"> w 2024 r. w formie dodatkowego wkładu </w:t>
      </w:r>
      <w:r w:rsidR="0088152A">
        <w:rPr>
          <w:sz w:val="24"/>
          <w:szCs w:val="24"/>
        </w:rPr>
        <w:br/>
      </w:r>
      <w:r w:rsidR="00E13298" w:rsidRPr="00E13298">
        <w:rPr>
          <w:sz w:val="24"/>
          <w:szCs w:val="24"/>
        </w:rPr>
        <w:t>w oparciu o poniesione i zadeklarowane Komisji wydatki, z uwzględnieniem wykorzystania płatności zaliczkowych. Jeżeli wydatki te przekroczą zarówno kwotę prefinansowania, jak</w:t>
      </w:r>
      <w:r w:rsidR="0088152A">
        <w:rPr>
          <w:sz w:val="24"/>
          <w:szCs w:val="24"/>
        </w:rPr>
        <w:br/>
      </w:r>
      <w:r w:rsidR="00E13298" w:rsidRPr="00E13298">
        <w:rPr>
          <w:sz w:val="24"/>
          <w:szCs w:val="24"/>
        </w:rPr>
        <w:t>i 0,06 % nominalnego DNB z 2021 r., państwa członkowskie otrzymają dodatkową kwotę z tej rezerwy.</w:t>
      </w:r>
    </w:p>
    <w:p w:rsidR="00E13298" w:rsidRPr="0088152A" w:rsidRDefault="00E13298" w:rsidP="00E13298">
      <w:pPr>
        <w:spacing w:line="360" w:lineRule="auto"/>
        <w:rPr>
          <w:b/>
          <w:sz w:val="24"/>
          <w:szCs w:val="24"/>
        </w:rPr>
      </w:pPr>
      <w:r w:rsidRPr="0088152A">
        <w:rPr>
          <w:b/>
          <w:sz w:val="24"/>
          <w:szCs w:val="24"/>
        </w:rPr>
        <w:t xml:space="preserve">Jakie rodzaje środków będą finansowane </w:t>
      </w:r>
      <w:r w:rsidR="005950BF" w:rsidRPr="0088152A">
        <w:rPr>
          <w:b/>
          <w:sz w:val="24"/>
          <w:szCs w:val="24"/>
        </w:rPr>
        <w:t>w ramach</w:t>
      </w:r>
      <w:r w:rsidRPr="0088152A">
        <w:rPr>
          <w:b/>
          <w:sz w:val="24"/>
          <w:szCs w:val="24"/>
        </w:rPr>
        <w:t xml:space="preserve"> </w:t>
      </w:r>
      <w:r w:rsidR="005950BF" w:rsidRPr="0088152A">
        <w:rPr>
          <w:b/>
          <w:sz w:val="24"/>
          <w:szCs w:val="24"/>
        </w:rPr>
        <w:t>rezerwy</w:t>
      </w:r>
      <w:r w:rsidRPr="0088152A">
        <w:rPr>
          <w:b/>
          <w:sz w:val="24"/>
          <w:szCs w:val="24"/>
        </w:rPr>
        <w:t xml:space="preserve"> i przez jaki okres czasu?</w:t>
      </w:r>
    </w:p>
    <w:p w:rsidR="00E13298" w:rsidRPr="00E13298" w:rsidRDefault="00E13298" w:rsidP="00E13298">
      <w:pPr>
        <w:spacing w:line="360" w:lineRule="auto"/>
        <w:rPr>
          <w:sz w:val="24"/>
          <w:szCs w:val="24"/>
        </w:rPr>
      </w:pPr>
      <w:r w:rsidRPr="00E13298">
        <w:rPr>
          <w:sz w:val="24"/>
          <w:szCs w:val="24"/>
        </w:rPr>
        <w:t xml:space="preserve">Rezerwa </w:t>
      </w:r>
      <w:r w:rsidR="005950BF">
        <w:rPr>
          <w:sz w:val="24"/>
          <w:szCs w:val="24"/>
        </w:rPr>
        <w:t>będzie</w:t>
      </w:r>
      <w:r w:rsidRPr="00E13298">
        <w:rPr>
          <w:sz w:val="24"/>
          <w:szCs w:val="24"/>
        </w:rPr>
        <w:t xml:space="preserve"> obejmować:</w:t>
      </w:r>
    </w:p>
    <w:p w:rsidR="00E13298" w:rsidRPr="000612C5" w:rsidRDefault="00E13298" w:rsidP="000612C5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2C5">
        <w:rPr>
          <w:sz w:val="24"/>
          <w:szCs w:val="24"/>
        </w:rPr>
        <w:t>wsparcie dla sektorów gospodarki, przedsiębiorstw i społeczności lokalnych, w tym uzależnionych od działalności połowowej na wodach Zjednoczonego Królestwa;</w:t>
      </w:r>
    </w:p>
    <w:p w:rsidR="00E13298" w:rsidRPr="000612C5" w:rsidRDefault="00E13298" w:rsidP="000612C5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2C5">
        <w:rPr>
          <w:sz w:val="24"/>
          <w:szCs w:val="24"/>
        </w:rPr>
        <w:t>wsparcie na rzecz zatrudnienia i reintegracji na rynku pracy obywateli powracających ze Zjednoczonego Królestwa, w tym poprzez programy pracy krótkoterminowej, przekwalifikowania i szkolenia;</w:t>
      </w:r>
    </w:p>
    <w:p w:rsidR="00E13298" w:rsidRPr="000612C5" w:rsidRDefault="00E13298" w:rsidP="000612C5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0612C5">
        <w:rPr>
          <w:sz w:val="24"/>
          <w:szCs w:val="24"/>
        </w:rPr>
        <w:t>zapewnienie funkcjonowania kontroli granicznych, celnych, sanitarnych i fitosanitarnych oraz kontroli bezpieczeństwa, kontroli rybołówstwa, systemów certyfikacji i wydawania zezwoleń, komunikacji, informacji i podnoszenia świadomości obywateli</w:t>
      </w:r>
      <w:r w:rsidR="0088152A">
        <w:rPr>
          <w:sz w:val="24"/>
          <w:szCs w:val="24"/>
        </w:rPr>
        <w:br/>
      </w:r>
      <w:r w:rsidRPr="000612C5">
        <w:rPr>
          <w:sz w:val="24"/>
          <w:szCs w:val="24"/>
        </w:rPr>
        <w:t>i przedsiębiorstw.</w:t>
      </w:r>
    </w:p>
    <w:p w:rsidR="00E13298" w:rsidRPr="00E13298" w:rsidRDefault="00E13298" w:rsidP="00E13298">
      <w:pPr>
        <w:spacing w:line="360" w:lineRule="auto"/>
        <w:rPr>
          <w:sz w:val="24"/>
          <w:szCs w:val="24"/>
        </w:rPr>
      </w:pPr>
      <w:r w:rsidRPr="00E13298">
        <w:rPr>
          <w:sz w:val="24"/>
          <w:szCs w:val="24"/>
        </w:rPr>
        <w:t>Okres kwalifikowalności wydatków rozpoczyna się w dniu 1 lipca 2020 r. i będzie trwał 30 miesięcy, aby umożliwić państwom członkowskim opracowanie i wdrożenie niezbędnych środków mających na celu powstrzymanie bezpośrednich skutków wycofania.</w:t>
      </w:r>
    </w:p>
    <w:p w:rsidR="00E13298" w:rsidRPr="00C85EAC" w:rsidRDefault="00E13298" w:rsidP="00E13298">
      <w:pPr>
        <w:spacing w:line="360" w:lineRule="auto"/>
        <w:rPr>
          <w:b/>
          <w:sz w:val="24"/>
          <w:szCs w:val="24"/>
        </w:rPr>
      </w:pPr>
      <w:r w:rsidRPr="00C85EAC">
        <w:rPr>
          <w:b/>
          <w:sz w:val="24"/>
          <w:szCs w:val="24"/>
        </w:rPr>
        <w:t>Czy sektor rybołówstwa otrzyma wsparcie z rezerwy?</w:t>
      </w:r>
    </w:p>
    <w:p w:rsidR="00E13298" w:rsidRPr="00E13298" w:rsidRDefault="005950BF" w:rsidP="00E132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Tak. W</w:t>
      </w:r>
      <w:r w:rsidR="00860BF7">
        <w:rPr>
          <w:sz w:val="24"/>
          <w:szCs w:val="24"/>
        </w:rPr>
        <w:t>yjście</w:t>
      </w:r>
      <w:r w:rsidR="00E13298" w:rsidRPr="00E13298">
        <w:rPr>
          <w:sz w:val="24"/>
          <w:szCs w:val="24"/>
        </w:rPr>
        <w:t xml:space="preserve"> </w:t>
      </w:r>
      <w:r w:rsidR="00860BF7">
        <w:rPr>
          <w:sz w:val="24"/>
          <w:szCs w:val="24"/>
        </w:rPr>
        <w:t>Zjednoczonego Królestwa</w:t>
      </w:r>
      <w:r w:rsidR="00E13298" w:rsidRPr="00E13298">
        <w:rPr>
          <w:sz w:val="24"/>
          <w:szCs w:val="24"/>
        </w:rPr>
        <w:t xml:space="preserve"> z UE stanowi szczególne zagrożenie dla sektora rybołówstwa w związku z mniej korzystnym dostępem do wód </w:t>
      </w:r>
      <w:r w:rsidR="00860BF7">
        <w:rPr>
          <w:sz w:val="24"/>
          <w:szCs w:val="24"/>
        </w:rPr>
        <w:t>brytyjskich</w:t>
      </w:r>
      <w:r w:rsidR="00E13298" w:rsidRPr="00E13298">
        <w:rPr>
          <w:sz w:val="24"/>
          <w:szCs w:val="24"/>
        </w:rPr>
        <w:t xml:space="preserve">. Wniosek </w:t>
      </w:r>
      <w:r w:rsidR="00E13298" w:rsidRPr="00E13298">
        <w:rPr>
          <w:sz w:val="24"/>
          <w:szCs w:val="24"/>
        </w:rPr>
        <w:lastRenderedPageBreak/>
        <w:t xml:space="preserve">odzwierciedla tę rzeczywistość w sposobie, w jaki środki z pierwszej wypłaty </w:t>
      </w:r>
      <w:r>
        <w:rPr>
          <w:sz w:val="24"/>
          <w:szCs w:val="24"/>
        </w:rPr>
        <w:t>będą</w:t>
      </w:r>
      <w:r w:rsidR="00E13298" w:rsidRPr="00E13298">
        <w:rPr>
          <w:sz w:val="24"/>
          <w:szCs w:val="24"/>
        </w:rPr>
        <w:t xml:space="preserve"> rozdzielane między państwa członkowskie</w:t>
      </w:r>
      <w:r w:rsidR="00860BF7">
        <w:rPr>
          <w:sz w:val="24"/>
          <w:szCs w:val="24"/>
        </w:rPr>
        <w:t>. Do państw członkowskich należeć będzie</w:t>
      </w:r>
      <w:r w:rsidR="00E13298" w:rsidRPr="00E13298">
        <w:rPr>
          <w:sz w:val="24"/>
          <w:szCs w:val="24"/>
        </w:rPr>
        <w:t xml:space="preserve"> opracowanie środków wsparcia ukierunkowanych na najbardziej dotknięte sektory i</w:t>
      </w:r>
      <w:r>
        <w:rPr>
          <w:sz w:val="24"/>
          <w:szCs w:val="24"/>
        </w:rPr>
        <w:t> </w:t>
      </w:r>
      <w:r w:rsidR="00E13298" w:rsidRPr="00E13298">
        <w:rPr>
          <w:sz w:val="24"/>
          <w:szCs w:val="24"/>
        </w:rPr>
        <w:t>społeczności.</w:t>
      </w:r>
    </w:p>
    <w:p w:rsidR="00E13298" w:rsidRPr="00C85EAC" w:rsidRDefault="00E13298" w:rsidP="00E13298">
      <w:pPr>
        <w:spacing w:line="360" w:lineRule="auto"/>
        <w:rPr>
          <w:b/>
          <w:sz w:val="24"/>
          <w:szCs w:val="24"/>
        </w:rPr>
      </w:pPr>
      <w:r w:rsidRPr="00C85EAC">
        <w:rPr>
          <w:b/>
          <w:sz w:val="24"/>
          <w:szCs w:val="24"/>
        </w:rPr>
        <w:t>W jaki sposób Komisja i państwa członkowskie dopilnują, aby środki z rezerwy były wydawane efektywnie i skutecznie?</w:t>
      </w:r>
    </w:p>
    <w:p w:rsidR="00E13298" w:rsidRDefault="00E13298" w:rsidP="00E13298">
      <w:pPr>
        <w:spacing w:line="360" w:lineRule="auto"/>
        <w:rPr>
          <w:sz w:val="24"/>
          <w:szCs w:val="24"/>
        </w:rPr>
      </w:pPr>
      <w:r w:rsidRPr="00E13298">
        <w:rPr>
          <w:sz w:val="24"/>
          <w:szCs w:val="24"/>
        </w:rPr>
        <w:t xml:space="preserve">Budżet przeznaczony na tę rezerwę zostanie wykonany w ramach zarządzania dzielonego </w:t>
      </w:r>
      <w:r w:rsidR="00C85EAC">
        <w:rPr>
          <w:sz w:val="24"/>
          <w:szCs w:val="24"/>
        </w:rPr>
        <w:br/>
      </w:r>
      <w:r w:rsidRPr="00E13298">
        <w:rPr>
          <w:sz w:val="24"/>
          <w:szCs w:val="24"/>
        </w:rPr>
        <w:t>z państwami członkowskimi, gwarantującego pełne poszanowanie zasad należytego zarządzania finansami, przejrzystości i niedyskryminacji oraz braku konfliktu interesów. Wniosek Komisji jasno określa obowiązki państw członkowskich oraz zestaw wymogów dla organów odpowiedzialnych za zarządzanie, kontrolę i audyt wkładu finansowego w ramach rezerwy. W ten sposób zapewnia on właściwą równowagę między legalnością</w:t>
      </w:r>
      <w:r w:rsidR="00C85EAC">
        <w:rPr>
          <w:sz w:val="24"/>
          <w:szCs w:val="24"/>
        </w:rPr>
        <w:br/>
      </w:r>
      <w:r w:rsidRPr="00E13298">
        <w:rPr>
          <w:sz w:val="24"/>
          <w:szCs w:val="24"/>
        </w:rPr>
        <w:t xml:space="preserve">i prawidłowością wydatków z jednej strony, a uproszczeniem z drugiej strony, gwarantując możliwość jak najszybszego udostępnienia </w:t>
      </w:r>
      <w:proofErr w:type="spellStart"/>
      <w:r w:rsidR="000612C5">
        <w:rPr>
          <w:sz w:val="24"/>
          <w:szCs w:val="24"/>
        </w:rPr>
        <w:t>pobrexitowej</w:t>
      </w:r>
      <w:proofErr w:type="spellEnd"/>
      <w:r w:rsidR="000612C5">
        <w:rPr>
          <w:sz w:val="24"/>
          <w:szCs w:val="24"/>
        </w:rPr>
        <w:t xml:space="preserve"> rezerwy dostosowawczej.</w:t>
      </w:r>
    </w:p>
    <w:p w:rsidR="001503E2" w:rsidRPr="001503E2" w:rsidRDefault="001503E2" w:rsidP="001503E2">
      <w:pPr>
        <w:spacing w:after="120" w:line="360" w:lineRule="auto"/>
        <w:jc w:val="both"/>
        <w:rPr>
          <w:color w:val="000000"/>
          <w:sz w:val="24"/>
          <w:szCs w:val="24"/>
        </w:rPr>
      </w:pPr>
      <w:r w:rsidRPr="001503E2">
        <w:rPr>
          <w:sz w:val="24"/>
          <w:szCs w:val="24"/>
        </w:rPr>
        <w:t xml:space="preserve">Aktualnie procedowany jest formalny wniosek Komisji Europejskiej dotyczący </w:t>
      </w:r>
      <w:hyperlink r:id="rId8" w:history="1">
        <w:r w:rsidRPr="001503E2">
          <w:rPr>
            <w:rStyle w:val="Hipercze"/>
            <w:sz w:val="24"/>
            <w:szCs w:val="24"/>
          </w:rPr>
          <w:t xml:space="preserve">projektu Rozporządzenia Parlamentu Europejskiego i Rady ustanawiające </w:t>
        </w:r>
        <w:proofErr w:type="spellStart"/>
        <w:r w:rsidRPr="001503E2">
          <w:rPr>
            <w:rStyle w:val="Hipercze"/>
            <w:sz w:val="24"/>
            <w:szCs w:val="24"/>
          </w:rPr>
          <w:t>pobrexitową</w:t>
        </w:r>
        <w:proofErr w:type="spellEnd"/>
        <w:r w:rsidRPr="001503E2">
          <w:rPr>
            <w:rStyle w:val="Hipercze"/>
            <w:sz w:val="24"/>
            <w:szCs w:val="24"/>
          </w:rPr>
          <w:t xml:space="preserve"> rezerwę dostosowawczą COM(2020)854</w:t>
        </w:r>
      </w:hyperlink>
      <w:r w:rsidRPr="001503E2">
        <w:rPr>
          <w:color w:val="000000"/>
          <w:sz w:val="24"/>
          <w:szCs w:val="24"/>
        </w:rPr>
        <w:t>.</w:t>
      </w:r>
    </w:p>
    <w:p w:rsidR="00C85EAC" w:rsidRDefault="00C85EAC" w:rsidP="00E13298">
      <w:pPr>
        <w:spacing w:line="360" w:lineRule="auto"/>
        <w:rPr>
          <w:sz w:val="24"/>
          <w:szCs w:val="24"/>
        </w:rPr>
      </w:pPr>
    </w:p>
    <w:p w:rsidR="005950BF" w:rsidRDefault="005950BF" w:rsidP="00E1329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171183">
        <w:rPr>
          <w:sz w:val="24"/>
          <w:szCs w:val="24"/>
        </w:rPr>
        <w:t>pracowano na podstawie dokumentu</w:t>
      </w:r>
      <w:r>
        <w:rPr>
          <w:sz w:val="24"/>
          <w:szCs w:val="24"/>
        </w:rPr>
        <w:t xml:space="preserve"> Komisji Europejskiej</w:t>
      </w:r>
      <w:r w:rsidR="0017118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="00171183" w:rsidRPr="00B8088A">
          <w:rPr>
            <w:rStyle w:val="Hipercze"/>
            <w:sz w:val="24"/>
            <w:szCs w:val="24"/>
          </w:rPr>
          <w:t>https://ec.europa.eu/commission/presscorner/detail/en/qanda_20_2537</w:t>
        </w:r>
      </w:hyperlink>
    </w:p>
    <w:p w:rsidR="00625554" w:rsidRPr="00E13298" w:rsidRDefault="00625554" w:rsidP="00E13298">
      <w:pPr>
        <w:spacing w:line="360" w:lineRule="auto"/>
        <w:rPr>
          <w:sz w:val="24"/>
          <w:szCs w:val="24"/>
        </w:rPr>
      </w:pPr>
    </w:p>
    <w:p w:rsidR="00E13298" w:rsidRPr="00E13298" w:rsidRDefault="00E13298" w:rsidP="00625554">
      <w:pPr>
        <w:spacing w:line="360" w:lineRule="auto"/>
        <w:rPr>
          <w:sz w:val="24"/>
          <w:szCs w:val="24"/>
        </w:rPr>
      </w:pPr>
    </w:p>
    <w:sectPr w:rsidR="00E13298" w:rsidRPr="00E13298" w:rsidSect="0051486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A1" w:rsidRDefault="00CD3BA1" w:rsidP="0088152A">
      <w:pPr>
        <w:spacing w:after="0" w:line="240" w:lineRule="auto"/>
      </w:pPr>
      <w:r>
        <w:separator/>
      </w:r>
    </w:p>
  </w:endnote>
  <w:endnote w:type="continuationSeparator" w:id="0">
    <w:p w:rsidR="00CD3BA1" w:rsidRDefault="00CD3BA1" w:rsidP="0088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A1" w:rsidRDefault="00CD3BA1" w:rsidP="0088152A">
      <w:pPr>
        <w:spacing w:after="0" w:line="240" w:lineRule="auto"/>
      </w:pPr>
      <w:r>
        <w:separator/>
      </w:r>
    </w:p>
  </w:footnote>
  <w:footnote w:type="continuationSeparator" w:id="0">
    <w:p w:rsidR="00CD3BA1" w:rsidRDefault="00CD3BA1" w:rsidP="0088152A">
      <w:pPr>
        <w:spacing w:after="0" w:line="240" w:lineRule="auto"/>
      </w:pPr>
      <w:r>
        <w:continuationSeparator/>
      </w:r>
    </w:p>
  </w:footnote>
  <w:footnote w:id="1">
    <w:p w:rsidR="0088152A" w:rsidRDefault="0088152A">
      <w:pPr>
        <w:pStyle w:val="Tekstprzypisudolnego"/>
      </w:pPr>
      <w:r>
        <w:rPr>
          <w:rStyle w:val="Odwoanieprzypisudolnego"/>
        </w:rPr>
        <w:footnoteRef/>
      </w:r>
      <w:r>
        <w:t xml:space="preserve"> 5 mld EUR </w:t>
      </w:r>
      <w:r w:rsidRPr="0088152A">
        <w:t xml:space="preserve">w 2018/cenach stałych; </w:t>
      </w:r>
      <w:r>
        <w:t>5,37 mld EUR w cenach bieżących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D1F2B"/>
    <w:multiLevelType w:val="hybridMultilevel"/>
    <w:tmpl w:val="C5E20706"/>
    <w:lvl w:ilvl="0" w:tplc="0060AE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98"/>
    <w:rsid w:val="000612C5"/>
    <w:rsid w:val="000674F6"/>
    <w:rsid w:val="00073903"/>
    <w:rsid w:val="000B7443"/>
    <w:rsid w:val="001503E2"/>
    <w:rsid w:val="00171183"/>
    <w:rsid w:val="00192C8B"/>
    <w:rsid w:val="001E20A3"/>
    <w:rsid w:val="002D4C67"/>
    <w:rsid w:val="003B4B36"/>
    <w:rsid w:val="004E6268"/>
    <w:rsid w:val="00503BA3"/>
    <w:rsid w:val="00514867"/>
    <w:rsid w:val="005950BF"/>
    <w:rsid w:val="00625554"/>
    <w:rsid w:val="006A427D"/>
    <w:rsid w:val="006B49EA"/>
    <w:rsid w:val="007A1C01"/>
    <w:rsid w:val="00860BF7"/>
    <w:rsid w:val="0088152A"/>
    <w:rsid w:val="00933346"/>
    <w:rsid w:val="00942AE5"/>
    <w:rsid w:val="009E4BF7"/>
    <w:rsid w:val="00A319F7"/>
    <w:rsid w:val="00B24333"/>
    <w:rsid w:val="00B74E17"/>
    <w:rsid w:val="00C85EAC"/>
    <w:rsid w:val="00C944B4"/>
    <w:rsid w:val="00CD3BA1"/>
    <w:rsid w:val="00D53481"/>
    <w:rsid w:val="00E13298"/>
    <w:rsid w:val="00EC7262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8C0C7-E4FB-47A4-814C-9B20C5D0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B49EA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49EA"/>
    <w:rPr>
      <w:rFonts w:eastAsiaTheme="majorEastAsia" w:cstheme="majorBidi"/>
      <w:b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0612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18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15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15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152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A4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resource.html?uri=cellar:05770942-46c9-11eb-b59f-01aa75ed71a1.0005.02/DOC_1&amp;format=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c.europa.eu/commission/presscorner/detail/en/qanda_20_253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727B0-1BF3-4B65-A91C-F800851A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Janasik</dc:creator>
  <cp:keywords/>
  <dc:description/>
  <cp:lastModifiedBy>Izabela Zdrojewska</cp:lastModifiedBy>
  <cp:revision>2</cp:revision>
  <dcterms:created xsi:type="dcterms:W3CDTF">2021-01-22T15:27:00Z</dcterms:created>
  <dcterms:modified xsi:type="dcterms:W3CDTF">2021-01-22T15:27:00Z</dcterms:modified>
</cp:coreProperties>
</file>