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9F77DD">
        <w:rPr>
          <w:rFonts w:ascii="Times New Roman" w:hAnsi="Times New Roman" w:cs="Times New Roman"/>
          <w:b/>
        </w:rPr>
        <w:t>5</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ul. Muzyczna 1</w:t>
      </w:r>
    </w:p>
    <w:p w:rsidR="00BF7A2D" w:rsidRPr="0093699E" w:rsidRDefault="005814D5" w:rsidP="00BF7A2D">
      <w:pPr>
        <w:pStyle w:val="Bezodstpw"/>
        <w:jc w:val="both"/>
        <w:rPr>
          <w:rFonts w:ascii="Times New Roman" w:hAnsi="Times New Roman" w:cs="Times New Roman"/>
          <w:b/>
          <w:bCs/>
        </w:rPr>
      </w:pPr>
      <w:r>
        <w:rPr>
          <w:rFonts w:ascii="Times New Roman" w:hAnsi="Times New Roman" w:cs="Times New Roman"/>
          <w:b/>
          <w:bCs/>
        </w:rPr>
        <w:t>16-400 Suwałki</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2023 r. poz. 1605</w:t>
      </w:r>
      <w:r w:rsidRPr="0093699E">
        <w:rPr>
          <w:rFonts w:ascii="Times New Roman" w:eastAsia="Arial" w:hAnsi="Times New Roman" w:cs="Times New Roman"/>
          <w:lang w:eastAsia="zh-CN" w:bidi="hi-IN"/>
        </w:rPr>
        <w:t xml:space="preserve"> ze zm.) –dalej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b/>
          <w:kern w:val="1"/>
          <w:lang w:eastAsia="ar-SA"/>
        </w:rPr>
        <w:t>instrumentów – saksofony, klarnety, flet</w:t>
      </w:r>
      <w:r w:rsidR="00BF3305">
        <w:rPr>
          <w:rFonts w:ascii="Times New Roman" w:eastAsia="Lucida Sans Unicode" w:hAnsi="Times New Roman" w:cs="Times New Roman"/>
          <w:b/>
          <w:kern w:val="1"/>
          <w:lang w:eastAsia="ar-SA"/>
        </w:rPr>
        <w:t>y</w:t>
      </w:r>
      <w:r w:rsidR="009F77DD">
        <w:rPr>
          <w:rFonts w:ascii="Times New Roman" w:eastAsia="Lucida Sans Unicode" w:hAnsi="Times New Roman" w:cs="Times New Roman"/>
          <w:b/>
          <w:kern w:val="1"/>
          <w:lang w:eastAsia="ar-SA"/>
        </w:rPr>
        <w:t xml:space="preserve"> i fagottino</w:t>
      </w:r>
      <w:r w:rsidRPr="0093699E">
        <w:rPr>
          <w:rFonts w:ascii="Times New Roman" w:hAnsi="Times New Roman" w:cs="Times New Roman"/>
          <w:b/>
        </w:rPr>
        <w:t>”</w:t>
      </w:r>
      <w:r w:rsidR="00B52B05">
        <w:rPr>
          <w:rFonts w:ascii="Times New Roman" w:hAnsi="Times New Roman" w:cs="Times New Roman"/>
          <w:b/>
        </w:rPr>
        <w:t xml:space="preserve"> </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9F77DD">
        <w:rPr>
          <w:rFonts w:ascii="Times New Roman" w:hAnsi="Times New Roman" w:cs="Times New Roman"/>
          <w:bCs/>
          <w:lang w:eastAsia="en-US"/>
        </w:rPr>
        <w:t xml:space="preserve">Listopad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C33882" w:rsidP="00BF7A2D">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C33882">
        <w:rPr>
          <w:rFonts w:ascii="Times New Roman" w:hAnsi="Times New Roman" w:cs="Times New Roman"/>
        </w:rPr>
        <w:t>Muzyczna 1</w:t>
      </w:r>
      <w:r w:rsidR="005814D5">
        <w:rPr>
          <w:rFonts w:ascii="Times New Roman" w:hAnsi="Times New Roman" w:cs="Times New Roman"/>
        </w:rPr>
        <w:t xml:space="preserve">  16-400 Suwałki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566 47 35</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F44BF5" w:rsidRPr="00B73A32">
          <w:rPr>
            <w:rStyle w:val="Hipercze"/>
            <w:rFonts w:ascii="Times New Roman" w:hAnsi="Times New Roman"/>
          </w:rPr>
          <w:t>sekretariat@psmsuwalki.pl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F44BF5" w:rsidRPr="00B73A32">
          <w:rPr>
            <w:rStyle w:val="Hipercze"/>
            <w:rFonts w:ascii="Times New Roman" w:hAnsi="Times New Roman"/>
          </w:rPr>
          <w:t>https://www.psmsuwalki.pl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2824EA">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2824EA">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2824EA">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Dyrektor PSM I i II stopnia w Suwałkach</w:t>
      </w:r>
      <w:r w:rsidR="00123A6E" w:rsidRPr="003D4604">
        <w:rPr>
          <w:rFonts w:ascii="Times New Roman" w:hAnsi="Times New Roman" w:cs="Times New Roman"/>
          <w:color w:val="1B1B1B"/>
          <w:shd w:val="clear" w:color="auto" w:fill="FFFFFF"/>
        </w:rPr>
        <w:t xml:space="preserve">, tel. </w:t>
      </w:r>
      <w:r w:rsidR="00F44BF5">
        <w:rPr>
          <w:rFonts w:ascii="Times New Roman" w:hAnsi="Times New Roman" w:cs="Times New Roman"/>
          <w:color w:val="000000"/>
        </w:rPr>
        <w:t xml:space="preserve">(87) 566 47 35.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163394">
        <w:rPr>
          <w:rFonts w:ascii="Times New Roman" w:hAnsi="Times New Roman" w:cs="Times New Roman"/>
          <w:lang w:eastAsia="en-US"/>
        </w:rPr>
        <w:t xml:space="preserve"> z 2024 tj. poz. 1320</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Default="00BF7A2D" w:rsidP="0055394C">
      <w:pPr>
        <w:pStyle w:val="Bezodstpw"/>
        <w:numPr>
          <w:ilvl w:val="0"/>
          <w:numId w:val="53"/>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kern w:val="1"/>
          <w:lang w:eastAsia="ar-SA"/>
        </w:rPr>
        <w:t>instrumentów muzycznych oddzielnie w czterech częściach</w:t>
      </w:r>
      <w:r w:rsidR="00990BDC">
        <w:rPr>
          <w:rFonts w:ascii="Times New Roman" w:hAnsi="Times New Roman" w:cs="Times New Roman"/>
          <w:lang w:eastAsia="en-US"/>
        </w:rPr>
        <w:t xml:space="preserve">. </w:t>
      </w:r>
    </w:p>
    <w:p w:rsidR="00B52B05" w:rsidRDefault="00B52B05" w:rsidP="0055394C">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 xml:space="preserve">Kod CPV 37314000-2 – instrumenty dęte. </w:t>
      </w:r>
    </w:p>
    <w:p w:rsidR="00B52B05" w:rsidRDefault="00B52B05" w:rsidP="00B52B05">
      <w:pPr>
        <w:pStyle w:val="Bezodstpw"/>
        <w:numPr>
          <w:ilvl w:val="0"/>
          <w:numId w:val="53"/>
        </w:numPr>
        <w:rPr>
          <w:rFonts w:ascii="Times New Roman" w:hAnsi="Times New Roman" w:cs="Times New Roman"/>
        </w:rPr>
      </w:pPr>
      <w:r>
        <w:rPr>
          <w:rFonts w:ascii="Times New Roman" w:hAnsi="Times New Roman" w:cs="Times New Roman"/>
        </w:rPr>
        <w:t xml:space="preserve">Zamawiający wymaga złożenia wraz z ofertą przedmiotowych środków dowodowych. Zamawiający wymaga aby Wykonawca dostarczył do siedziby Zamawiającego oferowany instrument do oceny jakościowej oraz sprawdzenia zgodności z opisem przedmiotu zamówienia. Wykonawca dostarczy instrument na własny koszt, najpóźniej do dnia upływu terminu składania ofert do godziny 10:00.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r w:rsidR="00C56046">
        <w:rPr>
          <w:rFonts w:ascii="Times New Roman" w:hAnsi="Times New Roman" w:cs="Times New Roman"/>
        </w:rPr>
        <w:t>Należy dostarczyć instrument dla każdej części, na którą składana jest oferta.</w:t>
      </w:r>
      <w:r>
        <w:rPr>
          <w:rFonts w:ascii="Times New Roman" w:hAnsi="Times New Roman" w:cs="Times New Roman"/>
        </w:rPr>
        <w:t xml:space="preserve">  </w:t>
      </w:r>
    </w:p>
    <w:p w:rsidR="008F1D8E" w:rsidRPr="00D44BB4" w:rsidRDefault="008F1D8E" w:rsidP="00B52B05">
      <w:pPr>
        <w:pStyle w:val="Bezodstpw"/>
        <w:numPr>
          <w:ilvl w:val="0"/>
          <w:numId w:val="53"/>
        </w:numPr>
        <w:rPr>
          <w:rFonts w:ascii="Times New Roman" w:hAnsi="Times New Roman" w:cs="Times New Roman"/>
          <w:color w:val="FF0000"/>
        </w:rPr>
      </w:pPr>
      <w:r>
        <w:rPr>
          <w:rFonts w:ascii="Times New Roman" w:hAnsi="Times New Roman" w:cs="Times New Roman"/>
        </w:rPr>
        <w:t>Szczegółowy opis przedmiotu za</w:t>
      </w:r>
      <w:r w:rsidR="00137243">
        <w:rPr>
          <w:rFonts w:ascii="Times New Roman" w:hAnsi="Times New Roman" w:cs="Times New Roman"/>
        </w:rPr>
        <w:t>mówienia zawiera załącznik nr 5</w:t>
      </w:r>
      <w:r>
        <w:rPr>
          <w:rFonts w:ascii="Times New Roman" w:hAnsi="Times New Roman" w:cs="Times New Roman"/>
        </w:rPr>
        <w:t xml:space="preserve">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8E6E11">
        <w:rPr>
          <w:rFonts w:ascii="Times New Roman" w:hAnsi="Times New Roman" w:cs="Times New Roman"/>
        </w:rPr>
        <w:t>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xml:space="preserve">. Wykonawca jest odpowiedzialny </w:t>
      </w:r>
      <w:r w:rsidR="00BF7A2D" w:rsidRPr="0093699E">
        <w:rPr>
          <w:rFonts w:ascii="Times New Roman" w:hAnsi="Times New Roman" w:cs="Times New Roman"/>
        </w:rPr>
        <w:lastRenderedPageBreak/>
        <w:t>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9F77DD"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BF7A2D" w:rsidRPr="0093699E">
        <w:rPr>
          <w:rFonts w:ascii="Times New Roman" w:eastAsia="Calibri" w:hAnsi="Times New Roman" w:cs="Times New Roman"/>
          <w:bCs/>
          <w:lang w:eastAsia="en-US"/>
        </w:rPr>
        <w:t xml:space="preserve">dokonuje podziału zamówienia na części. </w:t>
      </w:r>
      <w:r>
        <w:rPr>
          <w:rFonts w:ascii="Times New Roman" w:eastAsia="Calibri" w:hAnsi="Times New Roman" w:cs="Times New Roman"/>
          <w:bCs/>
          <w:lang w:eastAsia="en-US"/>
        </w:rPr>
        <w:t>Przedmiot zamówienia składa się z czterech części.</w:t>
      </w:r>
    </w:p>
    <w:p w:rsidR="009F77DD" w:rsidRDefault="00BF3305"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1 – dostawa czterech</w:t>
      </w:r>
      <w:r w:rsidR="009F77DD">
        <w:rPr>
          <w:rFonts w:ascii="Times New Roman" w:eastAsia="Calibri" w:hAnsi="Times New Roman" w:cs="Times New Roman"/>
          <w:bCs/>
          <w:lang w:eastAsia="en-US"/>
        </w:rPr>
        <w:t xml:space="preserve"> saksofonów. </w:t>
      </w:r>
    </w:p>
    <w:p w:rsidR="009F77DD" w:rsidRDefault="00BF3305"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2 – dostawa czterech</w:t>
      </w:r>
      <w:r w:rsidR="009F77DD">
        <w:rPr>
          <w:rFonts w:ascii="Times New Roman" w:eastAsia="Calibri" w:hAnsi="Times New Roman" w:cs="Times New Roman"/>
          <w:bCs/>
          <w:lang w:eastAsia="en-US"/>
        </w:rPr>
        <w:t xml:space="preserve"> klarnetów.</w:t>
      </w:r>
    </w:p>
    <w:p w:rsidR="009F77DD" w:rsidRDefault="009F77DD"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Cześć nr 3 – dostawa </w:t>
      </w:r>
      <w:r w:rsidR="00BF3305">
        <w:rPr>
          <w:rFonts w:ascii="Times New Roman" w:eastAsia="Calibri" w:hAnsi="Times New Roman" w:cs="Times New Roman"/>
          <w:bCs/>
          <w:lang w:eastAsia="en-US"/>
        </w:rPr>
        <w:t>dwóch fletów</w:t>
      </w:r>
      <w:r>
        <w:rPr>
          <w:rFonts w:ascii="Times New Roman" w:eastAsia="Calibri" w:hAnsi="Times New Roman" w:cs="Times New Roman"/>
          <w:bCs/>
          <w:lang w:eastAsia="en-US"/>
        </w:rPr>
        <w:t xml:space="preserve">. </w:t>
      </w:r>
    </w:p>
    <w:p w:rsidR="009F77DD" w:rsidRDefault="009F77DD"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Cześć nr 4 – dostawa </w:t>
      </w:r>
      <w:r w:rsidR="00BF3305">
        <w:rPr>
          <w:rFonts w:ascii="Times New Roman" w:eastAsia="Calibri" w:hAnsi="Times New Roman" w:cs="Times New Roman"/>
          <w:bCs/>
          <w:lang w:eastAsia="en-US"/>
        </w:rPr>
        <w:t xml:space="preserve">trzech </w:t>
      </w:r>
      <w:r>
        <w:rPr>
          <w:rFonts w:ascii="Times New Roman" w:eastAsia="Calibri" w:hAnsi="Times New Roman" w:cs="Times New Roman"/>
          <w:bCs/>
          <w:lang w:eastAsia="en-US"/>
        </w:rPr>
        <w:t xml:space="preserve">fagottino.  </w:t>
      </w:r>
    </w:p>
    <w:p w:rsidR="009F77DD"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Wykonawcy mogą składać oferty na dowolną liczbę części. </w:t>
      </w:r>
    </w:p>
    <w:p w:rsidR="00BF7A2D" w:rsidRPr="0093699E"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Zamawiający dokona oceny ofert oddzielnie w każdej części.</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874B63">
        <w:rPr>
          <w:rFonts w:ascii="Times New Roman" w:hAnsi="Times New Roman" w:cs="Times New Roman"/>
          <w:b/>
          <w:bCs/>
        </w:rPr>
        <w:t>15</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863CB4">
        <w:rPr>
          <w:rFonts w:ascii="Times New Roman" w:hAnsi="Times New Roman" w:cs="Times New Roman"/>
        </w:rPr>
        <w:t>załącznik nr 5</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080D34">
        <w:rPr>
          <w:rFonts w:ascii="Times New Roman" w:hAnsi="Times New Roman" w:cs="Times New Roman"/>
        </w:rPr>
        <w:t>enia stanowiącym załącznik nr 4</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lastRenderedPageBreak/>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lastRenderedPageBreak/>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lastRenderedPageBreak/>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1D3839">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D3839">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lastRenderedPageBreak/>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ubiegający się o udzielenie zamówienia </w:t>
      </w:r>
      <w:r w:rsidRPr="00F63FB6">
        <w:rPr>
          <w:rStyle w:val="markedcontent"/>
          <w:rFonts w:ascii="Times New Roman" w:hAnsi="Times New Roman" w:cs="Times New Roman"/>
        </w:rPr>
        <w:lastRenderedPageBreak/>
        <w:t>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B36E4A" w:rsidRPr="00B73A32">
          <w:rPr>
            <w:rStyle w:val="Hipercze"/>
            <w:rFonts w:ascii="Times New Roman" w:hAnsi="Times New Roman"/>
          </w:rPr>
          <w:t>sekretariat@psmsuwalki.pl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080D34">
        <w:rPr>
          <w:rFonts w:ascii="Times New Roman" w:hAnsi="Times New Roman" w:cs="Times New Roman"/>
          <w:b/>
          <w:bCs/>
        </w:rPr>
        <w:t>5</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BA1944" w:rsidRPr="00BA1944">
        <w:rPr>
          <w:rFonts w:ascii="Times New Roman" w:hAnsi="Times New Roman" w:cs="Times New Roman"/>
          <w:b/>
        </w:rPr>
        <w:t>ocds-148610-5e1babd9-65d4-4c07-94f4-879585cf4d97</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Wykonawca winien sprawdzać na bieżąco Platformę e-Zamówienia w celu sprawdzania czy zawiera on ewentualne zmiany dokonywane przez Zamawiającego w przedmiotowym </w:t>
      </w:r>
      <w:r w:rsidRPr="0089557A">
        <w:rPr>
          <w:rFonts w:ascii="Times New Roman" w:hAnsi="Times New Roman" w:cs="Times New Roman"/>
          <w:bCs/>
        </w:rPr>
        <w:lastRenderedPageBreak/>
        <w:t>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080D34">
        <w:rPr>
          <w:rFonts w:ascii="Times New Roman" w:hAnsi="Times New Roman" w:cs="Times New Roman"/>
          <w:b/>
        </w:rPr>
        <w:t xml:space="preserve">Krzysztof Grzybowski - tel. 662 010 314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złożyć tylko jedną ofertę</w:t>
      </w:r>
      <w:r w:rsidR="001F2A52">
        <w:rPr>
          <w:rFonts w:ascii="Times New Roman" w:hAnsi="Times New Roman" w:cs="Times New Roman"/>
          <w:bCs/>
        </w:rPr>
        <w:t xml:space="preserve"> w każdej z części</w:t>
      </w:r>
      <w:r w:rsidRPr="0089557A">
        <w:rPr>
          <w:rFonts w:ascii="Times New Roman" w:hAnsi="Times New Roman" w:cs="Times New Roman"/>
          <w:bCs/>
        </w:rPr>
        <w:t xml:space="preserve">,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zamierzający wziąć udział w postępowaniu o udzielnie zamówienia publicznego musi posiadać konto podmiotu „Wykonawca” na Platformie e-Zamówienia. Szczegółowe informacje na temat zakładania kont podmiotów oraz zasady i warunki korzystania z Platformy e-</w:t>
      </w:r>
      <w:r w:rsidRPr="0089557A">
        <w:rPr>
          <w:rFonts w:ascii="Times New Roman" w:hAnsi="Times New Roman" w:cs="Times New Roman"/>
          <w:bCs/>
        </w:rPr>
        <w:lastRenderedPageBreak/>
        <w:t xml:space="preserv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lastRenderedPageBreak/>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w:t>
      </w:r>
      <w:r w:rsidR="00670D6A">
        <w:rPr>
          <w:rFonts w:ascii="Times New Roman" w:hAnsi="Times New Roman" w:cs="Times New Roman"/>
          <w:b/>
          <w:bCs/>
          <w:u w:val="single"/>
        </w:rPr>
        <w:t>e</w:t>
      </w:r>
      <w:r w:rsidRPr="0089557A">
        <w:rPr>
          <w:rFonts w:ascii="Times New Roman" w:hAnsi="Times New Roman" w:cs="Times New Roman"/>
          <w:b/>
          <w:bCs/>
          <w:u w:val="single"/>
        </w:rPr>
        <w:t>nie zamówienia</w:t>
      </w:r>
      <w:r w:rsidRPr="0089557A">
        <w:rPr>
          <w:rFonts w:ascii="Times New Roman" w:hAnsi="Times New Roman" w:cs="Times New Roman"/>
        </w:rPr>
        <w:t xml:space="preserve">  - Wykonawcy wspólnie ubiegający się o udzielnie zamówienia dołączają do oferty oświadczenie</w:t>
      </w:r>
      <w:bookmarkStart w:id="11" w:name="_Hlk71546467"/>
      <w:r w:rsidR="00670D6A">
        <w:rPr>
          <w:rFonts w:ascii="Times New Roman" w:hAnsi="Times New Roman" w:cs="Times New Roman"/>
        </w:rPr>
        <w:t xml:space="preserv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lastRenderedPageBreak/>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080D34">
        <w:rPr>
          <w:rFonts w:ascii="Times New Roman" w:hAnsi="Times New Roman" w:cs="Times New Roman"/>
          <w:b/>
          <w:lang w:eastAsia="en-US"/>
        </w:rPr>
        <w:t xml:space="preserve">28 </w:t>
      </w:r>
      <w:r w:rsidR="00EA6F69">
        <w:rPr>
          <w:rFonts w:ascii="Times New Roman" w:hAnsi="Times New Roman" w:cs="Times New Roman"/>
          <w:b/>
          <w:lang w:eastAsia="en-US"/>
        </w:rPr>
        <w:t>listopada 2024r. do godz. 10:0</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080D34">
        <w:rPr>
          <w:rFonts w:ascii="Times New Roman" w:eastAsia="Arial" w:hAnsi="Times New Roman" w:cs="Times New Roman"/>
          <w:b/>
          <w:lang w:eastAsia="zh-CN" w:bidi="hi-IN"/>
        </w:rPr>
        <w:t>28 listopada 2024r. o godz. 10</w:t>
      </w:r>
      <w:r w:rsidR="00EA6F69">
        <w:rPr>
          <w:rFonts w:ascii="Times New Roman" w:eastAsia="Arial" w:hAnsi="Times New Roman" w:cs="Times New Roman"/>
          <w:b/>
          <w:lang w:eastAsia="zh-CN" w:bidi="hi-IN"/>
        </w:rPr>
        <w:t>:1</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C72747" w:rsidRDefault="00C72747" w:rsidP="00A14397">
      <w:pPr>
        <w:pStyle w:val="Bezodstpw"/>
        <w:numPr>
          <w:ilvl w:val="0"/>
          <w:numId w:val="4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Zamawiający dokona oceny ofert oddzielnie w każdej części. </w:t>
      </w: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w:t>
      </w:r>
      <w:r w:rsidR="00C72747">
        <w:rPr>
          <w:rFonts w:ascii="Times New Roman" w:eastAsia="Arial" w:hAnsi="Times New Roman" w:cs="Times New Roman"/>
          <w:lang w:eastAsia="zh-CN" w:bidi="hi-IN"/>
        </w:rPr>
        <w:t xml:space="preserve">, w każdej części </w:t>
      </w:r>
      <w:r w:rsidRPr="0093699E">
        <w:rPr>
          <w:rFonts w:ascii="Times New Roman" w:eastAsia="Arial" w:hAnsi="Times New Roman" w:cs="Times New Roman"/>
          <w:lang w:eastAsia="zh-CN" w:bidi="hi-IN"/>
        </w:rPr>
        <w:t>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957604" w:rsidP="0055394C">
      <w:pPr>
        <w:pStyle w:val="Bezodstpw"/>
        <w:numPr>
          <w:ilvl w:val="0"/>
          <w:numId w:val="55"/>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080D34">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sidR="00C56046">
        <w:rPr>
          <w:rFonts w:ascii="Times New Roman" w:hAnsi="Times New Roman" w:cs="Times New Roman"/>
          <w:bCs/>
        </w:rPr>
        <w:t xml:space="preserve"> w danej części</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8B1181" w:rsidRPr="00150FAA" w:rsidRDefault="008B1181" w:rsidP="008B1181">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8B1181" w:rsidRPr="00150FAA" w:rsidRDefault="008B1181" w:rsidP="008B1181">
      <w:pPr>
        <w:pStyle w:val="Bezodstpw"/>
        <w:numPr>
          <w:ilvl w:val="0"/>
          <w:numId w:val="61"/>
        </w:numPr>
        <w:rPr>
          <w:rFonts w:ascii="Times New Roman" w:hAnsi="Times New Roman" w:cs="Times New Roman"/>
          <w:bCs/>
        </w:rPr>
      </w:pPr>
      <w:r w:rsidRPr="00150FAA">
        <w:rPr>
          <w:rFonts w:ascii="Times New Roman" w:hAnsi="Times New Roman" w:cs="Times New Roman"/>
          <w:b/>
          <w:bCs/>
        </w:rPr>
        <w:t xml:space="preserve">barwa dźwięku (maksymalna, pełna i wyrównana) w zakresie ilości tonów składowych dla każdego rejestru dźwiękowego – </w:t>
      </w:r>
      <w:r w:rsidRPr="00150FAA">
        <w:rPr>
          <w:rFonts w:ascii="Times New Roman" w:hAnsi="Times New Roman" w:cs="Times New Roman"/>
          <w:bCs/>
        </w:rPr>
        <w:t xml:space="preserve">punktacja od 0 pkt. </w:t>
      </w:r>
      <w:r w:rsidRPr="00150FAA">
        <w:rPr>
          <w:rFonts w:ascii="Times New Roman" w:hAnsi="Times New Roman" w:cs="Times New Roman"/>
          <w:b/>
          <w:bCs/>
        </w:rPr>
        <w:t>do 25 pkt.</w:t>
      </w:r>
      <w:r w:rsidRPr="00150FAA">
        <w:rPr>
          <w:rFonts w:ascii="Times New Roman" w:hAnsi="Times New Roman" w:cs="Times New Roman"/>
          <w:bCs/>
        </w:rPr>
        <w:t xml:space="preserve"> </w:t>
      </w:r>
    </w:p>
    <w:p w:rsidR="008B1181" w:rsidRPr="00150FAA" w:rsidRDefault="008B1181" w:rsidP="008B1181">
      <w:pPr>
        <w:pStyle w:val="Akapitzlist"/>
        <w:numPr>
          <w:ilvl w:val="0"/>
          <w:numId w:val="61"/>
        </w:numPr>
        <w:autoSpaceDE w:val="0"/>
        <w:autoSpaceDN w:val="0"/>
        <w:adjustRightInd w:val="0"/>
        <w:rPr>
          <w:bCs/>
          <w:sz w:val="22"/>
          <w:szCs w:val="22"/>
        </w:rPr>
      </w:pPr>
      <w:r w:rsidRPr="00150FAA">
        <w:rPr>
          <w:b/>
          <w:bCs/>
          <w:sz w:val="22"/>
          <w:szCs w:val="22"/>
        </w:rPr>
        <w:t xml:space="preserve">wyrównana intonacja  – w pełnym zakresie brzmienia instrumentu w dźwiękach basowych, średnicy i dyszkancie – </w:t>
      </w:r>
      <w:r w:rsidRPr="00150FAA">
        <w:rPr>
          <w:bCs/>
          <w:sz w:val="22"/>
          <w:szCs w:val="22"/>
        </w:rPr>
        <w:t xml:space="preserve">punktacja od 0 pkt do </w:t>
      </w:r>
      <w:r w:rsidRPr="00150FAA">
        <w:rPr>
          <w:b/>
          <w:bCs/>
          <w:sz w:val="22"/>
          <w:szCs w:val="22"/>
        </w:rPr>
        <w:t>20 pkt.</w:t>
      </w:r>
      <w:r w:rsidRPr="00150FAA">
        <w:rPr>
          <w:bCs/>
          <w:sz w:val="22"/>
          <w:szCs w:val="22"/>
        </w:rPr>
        <w:t xml:space="preserve"> </w:t>
      </w:r>
    </w:p>
    <w:p w:rsidR="008B1181" w:rsidRPr="00150FAA" w:rsidRDefault="008B1181" w:rsidP="008B1181">
      <w:pPr>
        <w:pStyle w:val="Akapitzlist"/>
        <w:numPr>
          <w:ilvl w:val="0"/>
          <w:numId w:val="61"/>
        </w:numPr>
        <w:autoSpaceDE w:val="0"/>
        <w:autoSpaceDN w:val="0"/>
        <w:adjustRightInd w:val="0"/>
        <w:rPr>
          <w:bCs/>
          <w:sz w:val="22"/>
          <w:szCs w:val="22"/>
        </w:rPr>
      </w:pPr>
      <w:r w:rsidRPr="00150FAA">
        <w:rPr>
          <w:b/>
          <w:bCs/>
          <w:sz w:val="22"/>
          <w:szCs w:val="22"/>
        </w:rPr>
        <w:t>precyzyjna technika  –  (właściwa twardość i precyzja mechaniki, charakterystyczna dla danego rodzaju instrumentu,)</w:t>
      </w:r>
      <w:r w:rsidRPr="00150FAA">
        <w:rPr>
          <w:bCs/>
          <w:sz w:val="22"/>
          <w:szCs w:val="22"/>
        </w:rPr>
        <w:t xml:space="preserve"> – punktacja od 0 pkt. do </w:t>
      </w:r>
      <w:r w:rsidRPr="00150FAA">
        <w:rPr>
          <w:b/>
          <w:bCs/>
          <w:sz w:val="22"/>
          <w:szCs w:val="22"/>
        </w:rPr>
        <w:t xml:space="preserve">25 pkt.  </w:t>
      </w:r>
    </w:p>
    <w:p w:rsidR="008B1181" w:rsidRPr="00150FAA" w:rsidRDefault="008B1181" w:rsidP="008B1181">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Pr="00150FAA">
        <w:rPr>
          <w:b/>
          <w:bCs/>
          <w:sz w:val="22"/>
          <w:szCs w:val="22"/>
        </w:rPr>
        <w:t xml:space="preserve"> biegłego. </w:t>
      </w:r>
    </w:p>
    <w:p w:rsidR="008B1181" w:rsidRPr="00150FAA" w:rsidRDefault="008B1181" w:rsidP="008B1181">
      <w:pPr>
        <w:pStyle w:val="Akapitzlist"/>
        <w:numPr>
          <w:ilvl w:val="0"/>
          <w:numId w:val="60"/>
        </w:numPr>
        <w:rPr>
          <w:sz w:val="22"/>
          <w:szCs w:val="22"/>
        </w:rPr>
      </w:pPr>
      <w:r w:rsidRPr="00150FAA">
        <w:rPr>
          <w:sz w:val="22"/>
          <w:szCs w:val="22"/>
        </w:rPr>
        <w:t>Zamawiający oczekuje przedłożenia przedmiotowych środków dowodowych (jed</w:t>
      </w:r>
      <w:r>
        <w:rPr>
          <w:sz w:val="22"/>
          <w:szCs w:val="22"/>
        </w:rPr>
        <w:t xml:space="preserve">en saksofon, jeden klarnet, jeden flet, jeden fagottino w zależności od części) </w:t>
      </w:r>
      <w:r w:rsidRPr="00150FAA">
        <w:rPr>
          <w:sz w:val="22"/>
          <w:szCs w:val="22"/>
        </w:rPr>
        <w:t>do dnia otwarcia ofert do godziny 10.</w:t>
      </w:r>
      <w:r>
        <w:rPr>
          <w:sz w:val="22"/>
          <w:szCs w:val="22"/>
        </w:rPr>
        <w:t>0</w:t>
      </w:r>
      <w:r w:rsidRPr="00150FAA">
        <w:rPr>
          <w:sz w:val="22"/>
          <w:szCs w:val="22"/>
        </w:rPr>
        <w:t xml:space="preserve">0 do siedziby Zamawiającego Państwowa Szkoła Muzyczna I i II stopnia w Suwałkach, ul. Muzyczna 1, 16-400 Suwałki. </w:t>
      </w:r>
    </w:p>
    <w:p w:rsidR="008B1181" w:rsidRPr="00150FAA" w:rsidRDefault="008B1181" w:rsidP="008B1181">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lastRenderedPageBreak/>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WYMAGANIA DOTYCZĄCE ZABEZPIECZENIA NALEŻYTEGO</w:t>
      </w:r>
      <w:r w:rsidR="00C56046">
        <w:rPr>
          <w:rFonts w:ascii="Times New Roman" w:hAnsi="Times New Roman" w:cs="Times New Roman"/>
          <w:b/>
          <w:u w:val="single"/>
          <w:lang w:eastAsia="en-US"/>
        </w:rPr>
        <w:t xml:space="preserve"> </w:t>
      </w:r>
      <w:r w:rsidRPr="007C158C">
        <w:rPr>
          <w:rFonts w:ascii="Times New Roman" w:hAnsi="Times New Roman" w:cs="Times New Roman"/>
          <w:b/>
          <w:u w:val="single"/>
          <w:lang w:eastAsia="en-US"/>
        </w:rPr>
        <w:t xml:space="preserve">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lastRenderedPageBreak/>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DF0FC1" w:rsidRPr="00B243AF"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4" w:name="_Hlk82759007"/>
      <w:r w:rsidRPr="00111D5C">
        <w:rPr>
          <w:rFonts w:ascii="Times New Roman" w:hAnsi="Times New Roman" w:cs="Times New Roman"/>
        </w:rPr>
        <w:t>.</w:t>
      </w:r>
      <w:bookmarkEnd w:id="14"/>
      <w:r w:rsidR="00B125E3" w:rsidRPr="00B125E3">
        <w:rPr>
          <w:rFonts w:ascii="Times New Roman" w:hAnsi="Times New Roman" w:cs="Times New Roman"/>
          <w:b/>
        </w:rPr>
        <w:t>„</w:t>
      </w:r>
      <w:r w:rsidR="00EE221A" w:rsidRPr="00EE221A">
        <w:rPr>
          <w:rFonts w:ascii="Times New Roman" w:hAnsi="Times New Roman" w:cs="Times New Roman"/>
          <w:b/>
        </w:rPr>
        <w:t xml:space="preserve"> </w:t>
      </w:r>
      <w:r w:rsidR="00957604">
        <w:rPr>
          <w:rFonts w:ascii="Times New Roman" w:hAnsi="Times New Roman" w:cs="Times New Roman"/>
          <w:b/>
        </w:rPr>
        <w:t>Dostawa</w:t>
      </w:r>
      <w:r w:rsidR="00957604" w:rsidRPr="00157AF8">
        <w:rPr>
          <w:rFonts w:ascii="Garamond" w:eastAsia="Lucida Sans Unicode" w:hAnsi="Garamond" w:cstheme="minorHAnsi"/>
          <w:kern w:val="1"/>
          <w:sz w:val="28"/>
          <w:szCs w:val="28"/>
          <w:lang w:eastAsia="ar-SA"/>
        </w:rPr>
        <w:t xml:space="preserve"> </w:t>
      </w:r>
      <w:r w:rsidR="00DF0FC1">
        <w:rPr>
          <w:rFonts w:ascii="Times New Roman" w:eastAsia="Lucida Sans Unicode" w:hAnsi="Times New Roman" w:cs="Times New Roman"/>
          <w:b/>
          <w:kern w:val="1"/>
          <w:lang w:eastAsia="ar-SA"/>
        </w:rPr>
        <w:t>instrumentów muzycznych – saksofony, klarnety, flet</w:t>
      </w:r>
      <w:r w:rsidR="00670D6A">
        <w:rPr>
          <w:rFonts w:ascii="Times New Roman" w:eastAsia="Lucida Sans Unicode" w:hAnsi="Times New Roman" w:cs="Times New Roman"/>
          <w:b/>
          <w:kern w:val="1"/>
          <w:lang w:eastAsia="ar-SA"/>
        </w:rPr>
        <w:t>y</w:t>
      </w:r>
      <w:r w:rsidR="00DF0FC1">
        <w:rPr>
          <w:rFonts w:ascii="Times New Roman" w:eastAsia="Lucida Sans Unicode" w:hAnsi="Times New Roman" w:cs="Times New Roman"/>
          <w:b/>
          <w:kern w:val="1"/>
          <w:lang w:eastAsia="ar-SA"/>
        </w:rPr>
        <w:t xml:space="preserve"> i fagottino</w:t>
      </w:r>
      <w:r w:rsidR="00B125E3" w:rsidRPr="00B125E3">
        <w:rPr>
          <w:rFonts w:ascii="Times New Roman" w:hAnsi="Times New Roman" w:cs="Times New Roman"/>
          <w:b/>
          <w:bCs/>
        </w:rPr>
        <w:t xml:space="preserve">” </w:t>
      </w:r>
      <w:r w:rsidRPr="00111D5C">
        <w:rPr>
          <w:rFonts w:ascii="Times New Roman" w:hAnsi="Times New Roman" w:cs="Times New Roman"/>
        </w:rPr>
        <w:t xml:space="preserve">prowadzonego przez </w:t>
      </w:r>
      <w:r w:rsidR="00EE221A">
        <w:rPr>
          <w:rFonts w:ascii="Times New Roman" w:hAnsi="Times New Roman" w:cs="Times New Roman"/>
        </w:rPr>
        <w:t xml:space="preserve">PSM I i II Stopnia w Suwałkach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DF0FC1">
        <w:rPr>
          <w:rFonts w:ascii="Times New Roman" w:eastAsia="Tahoma" w:hAnsi="Times New Roman" w:cs="Times New Roman"/>
          <w:b/>
          <w:bCs/>
        </w:rPr>
        <w:t>5</w:t>
      </w:r>
      <w:r w:rsidR="00214DE4">
        <w:rPr>
          <w:rFonts w:ascii="Times New Roman" w:eastAsia="Tahoma" w:hAnsi="Times New Roman" w:cs="Times New Roman"/>
          <w:b/>
          <w:bCs/>
        </w:rPr>
        <w:t xml:space="preserve">/2024 </w:t>
      </w:r>
      <w:r w:rsidRPr="00111D5C">
        <w:rPr>
          <w:rFonts w:ascii="Times New Roman" w:eastAsia="Tahoma" w:hAnsi="Times New Roman" w:cs="Times New Roman"/>
          <w:bCs/>
        </w:rPr>
        <w:t xml:space="preserve"> składam niniejszą ofertę</w:t>
      </w:r>
      <w:r w:rsidR="00DF0FC1">
        <w:rPr>
          <w:rFonts w:ascii="Times New Roman" w:eastAsia="Tahoma" w:hAnsi="Times New Roman" w:cs="Times New Roman"/>
          <w:bCs/>
        </w:rPr>
        <w:t xml:space="preserve"> na</w:t>
      </w:r>
      <w:r w:rsidR="00DF0FC1">
        <w:rPr>
          <w:rFonts w:ascii="Times New Roman" w:hAnsi="Times New Roman" w:cs="Times New Roman"/>
        </w:rPr>
        <w:t>:</w:t>
      </w:r>
      <w:r w:rsidR="00B243AF">
        <w:rPr>
          <w:rFonts w:ascii="Times New Roman" w:hAnsi="Times New Roman" w:cs="Times New Roman"/>
        </w:rPr>
        <w:t xml:space="preserve"> </w:t>
      </w:r>
    </w:p>
    <w:p w:rsidR="00B243AF" w:rsidRPr="00DF0FC1" w:rsidRDefault="00B243AF" w:rsidP="00B243AF">
      <w:pPr>
        <w:pStyle w:val="Bezodstpw"/>
        <w:jc w:val="both"/>
        <w:rPr>
          <w:rFonts w:ascii="Times New Roman" w:eastAsia="Tahoma" w:hAnsi="Times New Roman" w:cs="Times New Roman"/>
          <w:bCs/>
        </w:rPr>
      </w:pPr>
    </w:p>
    <w:p w:rsidR="00BF7A2D" w:rsidRDefault="00BF3305"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Część pierwsza dostawa 4</w:t>
      </w:r>
      <w:r w:rsidR="00DF0FC1">
        <w:rPr>
          <w:rFonts w:ascii="Times New Roman" w:eastAsia="Tahoma" w:hAnsi="Times New Roman" w:cs="Times New Roman"/>
          <w:bCs/>
        </w:rPr>
        <w:t xml:space="preserve"> saksofonów marki …………. model ……….. za cenę brutto ……. …………….. zł w tym podatek VAT …………………  zł – cena brutto jednego saksofonu …………………. zł.   </w:t>
      </w:r>
    </w:p>
    <w:p w:rsidR="00DF0FC1" w:rsidRDefault="00BF3305"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Część druga dostawa 4</w:t>
      </w:r>
      <w:r w:rsidR="00DF0FC1">
        <w:rPr>
          <w:rFonts w:ascii="Times New Roman" w:eastAsia="Tahoma" w:hAnsi="Times New Roman" w:cs="Times New Roman"/>
          <w:bCs/>
        </w:rPr>
        <w:t xml:space="preserve"> klarnetów marki …………. model ……….. za cenę brutto ……. …………….. zł w tym podatek VAT …………………  zł – cena brutto jednego klarnetu …………………. zł.   </w:t>
      </w:r>
    </w:p>
    <w:p w:rsidR="00DF0FC1" w:rsidRDefault="00B243AF"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trzecia dostawa </w:t>
      </w:r>
      <w:r w:rsidR="00BF3305">
        <w:rPr>
          <w:rFonts w:ascii="Times New Roman" w:eastAsia="Tahoma" w:hAnsi="Times New Roman" w:cs="Times New Roman"/>
          <w:bCs/>
        </w:rPr>
        <w:t>2 fletów</w:t>
      </w:r>
      <w:r>
        <w:rPr>
          <w:rFonts w:ascii="Times New Roman" w:eastAsia="Tahoma" w:hAnsi="Times New Roman" w:cs="Times New Roman"/>
          <w:bCs/>
        </w:rPr>
        <w:t xml:space="preserve"> marki ……………………….. model …………………. za cenę brutto ……………………….. zł w tym podatek VAT ……………………. zł. </w:t>
      </w:r>
    </w:p>
    <w:p w:rsidR="00B243AF" w:rsidRPr="00F14988" w:rsidRDefault="00B243AF"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czwarta dostawa </w:t>
      </w:r>
      <w:r w:rsidR="00BF3305">
        <w:rPr>
          <w:rFonts w:ascii="Times New Roman" w:eastAsia="Tahoma" w:hAnsi="Times New Roman" w:cs="Times New Roman"/>
          <w:bCs/>
        </w:rPr>
        <w:t xml:space="preserve">3 </w:t>
      </w:r>
      <w:r>
        <w:rPr>
          <w:rFonts w:ascii="Times New Roman" w:eastAsia="Tahoma" w:hAnsi="Times New Roman" w:cs="Times New Roman"/>
          <w:bCs/>
        </w:rPr>
        <w:t xml:space="preserve">fagottino marki ……………………….. model …………………. za cenę brutto ……………………….. zł w tym podatek VAT ……………………. zł.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 xml:space="preserve">gwarancja wynosi …………. miesięcy </w:t>
      </w:r>
      <w:r w:rsidR="00B243AF">
        <w:rPr>
          <w:rFonts w:ascii="Times New Roman" w:hAnsi="Times New Roman" w:cs="Times New Roman"/>
          <w:b/>
        </w:rPr>
        <w:t xml:space="preserve">na część ……………….. .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lastRenderedPageBreak/>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874B63">
        <w:rPr>
          <w:rFonts w:ascii="Times New Roman" w:eastAsia="Times New Roman" w:hAnsi="Times New Roman" w:cs="Times New Roman"/>
          <w:b/>
          <w:bCs/>
        </w:rPr>
        <w:t>15</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lastRenderedPageBreak/>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EE221A">
        <w:rPr>
          <w:rFonts w:ascii="Times New Roman" w:hAnsi="Times New Roman" w:cs="Times New Roman"/>
        </w:rPr>
        <w:t xml:space="preserve">Państwowa Szkoła Muzyczna I i II Stopnia w Suwałkach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lastRenderedPageBreak/>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instrumentów muzycznych – saksofony, klarnety, flet</w:t>
      </w:r>
      <w:r w:rsidR="00BF3305">
        <w:rPr>
          <w:rFonts w:ascii="Times New Roman" w:eastAsia="Lucida Sans Unicode" w:hAnsi="Times New Roman" w:cs="Times New Roman"/>
          <w:b/>
          <w:kern w:val="1"/>
          <w:lang w:eastAsia="ar-SA"/>
        </w:rPr>
        <w:t>y</w:t>
      </w:r>
      <w:r w:rsidR="00B243AF">
        <w:rPr>
          <w:rFonts w:ascii="Times New Roman" w:eastAsia="Lucida Sans Unicode" w:hAnsi="Times New Roman" w:cs="Times New Roman"/>
          <w:b/>
          <w:kern w:val="1"/>
          <w:lang w:eastAsia="ar-SA"/>
        </w:rPr>
        <w:t xml:space="preserve"> i fagottino</w:t>
      </w:r>
      <w:r w:rsidR="00B243AF" w:rsidRPr="00B125E3">
        <w:rPr>
          <w:rFonts w:ascii="Times New Roman" w:hAnsi="Times New Roman" w:cs="Times New Roman"/>
          <w:b/>
          <w:bCs/>
        </w:rPr>
        <w:t xml:space="preserve">” </w:t>
      </w:r>
      <w:r w:rsidR="00B243AF">
        <w:rPr>
          <w:rFonts w:ascii="Times New Roman" w:hAnsi="Times New Roman" w:cs="Times New Roman"/>
          <w:b/>
          <w:bCs/>
        </w:rPr>
        <w:t xml:space="preserve">część ………………………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B243AF">
        <w:rPr>
          <w:rFonts w:ascii="Times New Roman" w:eastAsia="Tahoma" w:hAnsi="Times New Roman" w:cs="Times New Roman"/>
          <w:b/>
          <w:bCs/>
        </w:rPr>
        <w:t xml:space="preserve">5/2024 </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lastRenderedPageBreak/>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instrumentów muzycznych – saksofony, klarnety, flet</w:t>
      </w:r>
      <w:r w:rsidR="00BF3305">
        <w:rPr>
          <w:rFonts w:ascii="Times New Roman" w:eastAsia="Lucida Sans Unicode" w:hAnsi="Times New Roman" w:cs="Times New Roman"/>
          <w:b/>
          <w:kern w:val="1"/>
          <w:lang w:eastAsia="ar-SA"/>
        </w:rPr>
        <w:t>y</w:t>
      </w:r>
      <w:r w:rsidR="00B243AF">
        <w:rPr>
          <w:rFonts w:ascii="Times New Roman" w:eastAsia="Lucida Sans Unicode" w:hAnsi="Times New Roman" w:cs="Times New Roman"/>
          <w:b/>
          <w:kern w:val="1"/>
          <w:lang w:eastAsia="ar-SA"/>
        </w:rPr>
        <w:t xml:space="preserve"> i fagottino</w:t>
      </w:r>
      <w:r w:rsidR="00B243AF" w:rsidRPr="00B125E3">
        <w:rPr>
          <w:rFonts w:ascii="Times New Roman" w:hAnsi="Times New Roman" w:cs="Times New Roman"/>
          <w:b/>
          <w:bCs/>
        </w:rPr>
        <w:t xml:space="preserve">” </w:t>
      </w:r>
      <w:r w:rsidR="00B243AF">
        <w:rPr>
          <w:rFonts w:ascii="Times New Roman" w:hAnsi="Times New Roman" w:cs="Times New Roman"/>
          <w:b/>
          <w:bCs/>
        </w:rPr>
        <w:t xml:space="preserve">cześć …………………………….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B243AF">
        <w:rPr>
          <w:rFonts w:ascii="Times New Roman" w:eastAsia="Tahoma" w:hAnsi="Times New Roman" w:cs="Times New Roman"/>
          <w:b/>
          <w:bCs/>
        </w:rPr>
        <w:t xml:space="preserve">5/2024 </w:t>
      </w:r>
      <w:r w:rsidR="00B243AF" w:rsidRPr="00111D5C">
        <w:rPr>
          <w:rFonts w:ascii="Times New Roman" w:eastAsia="Tahoma" w:hAnsi="Times New Roman" w:cs="Times New Roman"/>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zawarta w ….. …… 2024 r. w Suwałkach</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i II Stopnia w Suwałkach 16-400 Suwałki ul. Muzyczna 1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instrumentów muzycznych – saksofony, klarnety, flet</w:t>
      </w:r>
      <w:r w:rsidR="00BF3305">
        <w:rPr>
          <w:rFonts w:ascii="Times New Roman" w:eastAsia="Lucida Sans Unicode" w:hAnsi="Times New Roman" w:cs="Times New Roman"/>
          <w:b/>
          <w:kern w:val="1"/>
          <w:lang w:eastAsia="ar-SA"/>
        </w:rPr>
        <w:t>y</w:t>
      </w:r>
      <w:r w:rsidR="00B243AF">
        <w:rPr>
          <w:rFonts w:ascii="Times New Roman" w:eastAsia="Lucida Sans Unicode" w:hAnsi="Times New Roman" w:cs="Times New Roman"/>
          <w:b/>
          <w:kern w:val="1"/>
          <w:lang w:eastAsia="ar-SA"/>
        </w:rPr>
        <w:t xml:space="preserve"> i fagottino</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B243AF">
        <w:rPr>
          <w:rFonts w:ascii="Times New Roman" w:eastAsia="Tahoma" w:hAnsi="Times New Roman" w:cs="Times New Roman"/>
          <w:b/>
          <w:bCs/>
        </w:rPr>
        <w:t xml:space="preserve">5/2024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części ………………  </w:t>
      </w:r>
      <w:r w:rsidRPr="0050726C">
        <w:rPr>
          <w:b/>
          <w:bCs/>
          <w:color w:val="auto"/>
          <w:sz w:val="22"/>
          <w:szCs w:val="22"/>
        </w:rPr>
        <w:t xml:space="preserve">……………………………………… 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874B63">
        <w:rPr>
          <w:b/>
          <w:bCs/>
          <w:color w:val="000000" w:themeColor="text1"/>
          <w:sz w:val="22"/>
          <w:szCs w:val="22"/>
        </w:rPr>
        <w:t>15</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t>
      </w:r>
      <w:r w:rsidRPr="0050726C">
        <w:rPr>
          <w:color w:val="auto"/>
          <w:sz w:val="22"/>
          <w:szCs w:val="22"/>
        </w:rPr>
        <w:lastRenderedPageBreak/>
        <w:t xml:space="preserve">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Zamawiający może odmówić odebrania Przedmiotu Umowy w przypadku zgłoszenia przez uprawnionego przedstawiciela Zamawiającego uwag lub zastrzeżeń, co spowoduje, iż 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dostawy i montażu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sprawach dotyczących dostawy i montażu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8" w:name="_Hlk113346752"/>
      <w:r w:rsidRPr="0050726C">
        <w:rPr>
          <w:color w:val="auto"/>
          <w:sz w:val="22"/>
          <w:szCs w:val="22"/>
        </w:rPr>
        <w:t xml:space="preserve">Za prawidłowe wykonanie postanowień Umowy 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8"/>
    <w:p w:rsidR="0050726C" w:rsidRPr="0050726C" w:rsidRDefault="0050726C" w:rsidP="0050726C">
      <w:pPr>
        <w:pStyle w:val="Default"/>
        <w:jc w:val="center"/>
        <w:rPr>
          <w:color w:val="auto"/>
          <w:sz w:val="22"/>
          <w:szCs w:val="22"/>
        </w:rPr>
      </w:pPr>
      <w:r w:rsidRPr="0050726C">
        <w:rPr>
          <w:b/>
          <w:bCs/>
          <w:color w:val="auto"/>
          <w:sz w:val="22"/>
          <w:szCs w:val="22"/>
        </w:rPr>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1244A7" w:rsidRDefault="001244A7"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lastRenderedPageBreak/>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19"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lastRenderedPageBreak/>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19"/>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 xml:space="preserve">Administratorem Pani/Pana danych osobowych jest Dyrektor PSM I i II stopnia w Suwałkach.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celu realizacji umowy, na podstawie art. 6 ust. 1 pkt b RODO, w celach związanych z zawarciem i realizacją umowy zlecenia, na podstawie art. 6 ust. 1 lit b. i lit c. RODO w związku z obowiązującymi przepisami, w szczególności: ustawy z dnia 23 kwietnia 1964r – Kodeks Cywilny, w celu wypełniania przez Administratora obowiązków wynikających z 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lastRenderedPageBreak/>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1244A7" w:rsidP="001244A7">
      <w:pPr>
        <w:pStyle w:val="Default"/>
        <w:jc w:val="center"/>
        <w:rPr>
          <w:b/>
          <w:color w:val="auto"/>
          <w:sz w:val="22"/>
          <w:szCs w:val="22"/>
        </w:rPr>
      </w:pPr>
      <w:r>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863CB4" w:rsidRDefault="00863CB4"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BA34A0" w:rsidRDefault="00BA34A0" w:rsidP="00BA34A0">
      <w:pPr>
        <w:suppressAutoHyphens/>
        <w:jc w:val="right"/>
        <w:rPr>
          <w:rFonts w:ascii="Times New Roman" w:eastAsia="Lucida Sans Unicode" w:hAnsi="Times New Roman" w:cs="Times New Roman"/>
          <w:b/>
          <w:i/>
          <w:kern w:val="1"/>
          <w:lang w:eastAsia="ar-SA"/>
        </w:rPr>
      </w:pPr>
      <w:r>
        <w:rPr>
          <w:rFonts w:ascii="Times New Roman" w:eastAsia="Lucida Sans Unicode" w:hAnsi="Times New Roman" w:cs="Times New Roman"/>
          <w:b/>
          <w:i/>
          <w:kern w:val="1"/>
          <w:lang w:eastAsia="ar-SA"/>
        </w:rPr>
        <w:lastRenderedPageBreak/>
        <w:t xml:space="preserve">Załącznik nr </w:t>
      </w:r>
      <w:r w:rsidR="00137243">
        <w:rPr>
          <w:rFonts w:ascii="Times New Roman" w:eastAsia="Lucida Sans Unicode" w:hAnsi="Times New Roman" w:cs="Times New Roman"/>
          <w:b/>
          <w:i/>
          <w:kern w:val="1"/>
          <w:lang w:eastAsia="ar-SA"/>
        </w:rPr>
        <w:t xml:space="preserve">5 </w:t>
      </w:r>
      <w:r>
        <w:rPr>
          <w:rFonts w:ascii="Times New Roman" w:eastAsia="Lucida Sans Unicode" w:hAnsi="Times New Roman" w:cs="Times New Roman"/>
          <w:b/>
          <w:i/>
          <w:kern w:val="1"/>
          <w:lang w:eastAsia="ar-SA"/>
        </w:rPr>
        <w:t>do SWZ</w:t>
      </w:r>
      <w:r w:rsidR="007A2B9C">
        <w:rPr>
          <w:rFonts w:ascii="Times New Roman" w:eastAsia="Lucida Sans Unicode" w:hAnsi="Times New Roman" w:cs="Times New Roman"/>
          <w:b/>
          <w:i/>
          <w:kern w:val="1"/>
          <w:lang w:eastAsia="ar-SA"/>
        </w:rPr>
        <w:t xml:space="preserve"> </w:t>
      </w:r>
    </w:p>
    <w:p w:rsidR="007A2B9C" w:rsidRDefault="007A2B9C" w:rsidP="007A2B9C">
      <w:pPr>
        <w:pStyle w:val="Bezodstpw"/>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eastAsia="ar-SA"/>
        </w:rPr>
        <w:t xml:space="preserve">Opis przedmiotu zamówienia </w:t>
      </w:r>
    </w:p>
    <w:p w:rsidR="007A2B9C" w:rsidRDefault="007A2B9C" w:rsidP="007A2B9C">
      <w:pPr>
        <w:pStyle w:val="Bezodstpw"/>
        <w:jc w:val="center"/>
        <w:rPr>
          <w:rFonts w:ascii="Times New Roman" w:eastAsia="Lucida Sans Unicode" w:hAnsi="Times New Roman" w:cs="Times New Roman"/>
          <w:b/>
          <w:kern w:val="1"/>
          <w:lang w:eastAsia="ar-SA"/>
        </w:rPr>
      </w:pP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xml:space="preserve">Saksofon Sopranowy </w:t>
      </w:r>
      <w:r w:rsidRPr="00A74796">
        <w:rPr>
          <w:rFonts w:ascii="Times New Roman" w:eastAsia="Times New Roman" w:hAnsi="Times New Roman" w:cs="Times New Roman"/>
          <w:b/>
          <w:color w:val="FF0000"/>
        </w:rPr>
        <w:t>x 1</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model profesjonalny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Skala: do wysokiego g</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Poduszki: skórzane z metalowymi rezonatorami</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Sprężynki: stal nierdzewna (Blue Steel)</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Ustnik</w:t>
      </w:r>
      <w:bookmarkStart w:id="20" w:name="_GoBack"/>
      <w:bookmarkEnd w:id="20"/>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Futerał</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xml:space="preserve">Saksofon altowy </w:t>
      </w:r>
      <w:r>
        <w:rPr>
          <w:rFonts w:ascii="Times New Roman" w:hAnsi="Times New Roman" w:cs="Times New Roman"/>
        </w:rPr>
        <w:t xml:space="preserve"> </w:t>
      </w:r>
      <w:r w:rsidRPr="00A74796">
        <w:rPr>
          <w:rFonts w:ascii="Times New Roman" w:eastAsia="Times New Roman" w:hAnsi="Times New Roman" w:cs="Times New Roman"/>
          <w:b/>
          <w:color w:val="FF0000"/>
        </w:rPr>
        <w:t>x 1</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model profesjonalny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strój: Es</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kolor: złoty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korpus lakierowany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poduszki z metalowymi rezonatorami</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podpórka pod kciuk: metalowa</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futerał</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ustnik</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akcesoria producenta</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lang w:val="en-US"/>
        </w:rPr>
      </w:pPr>
      <w:r w:rsidRPr="00A74796">
        <w:rPr>
          <w:rFonts w:ascii="Times New Roman" w:eastAsia="Times New Roman" w:hAnsi="Times New Roman" w:cs="Times New Roman"/>
          <w:lang w:val="en-US"/>
        </w:rPr>
        <w:t>Saksofon altowy</w:t>
      </w:r>
      <w:r>
        <w:rPr>
          <w:rFonts w:ascii="Times New Roman" w:hAnsi="Times New Roman" w:cs="Times New Roman"/>
          <w:lang w:val="en-US"/>
        </w:rPr>
        <w:t xml:space="preserve"> </w:t>
      </w:r>
      <w:r w:rsidRPr="00A74796">
        <w:rPr>
          <w:rFonts w:ascii="Times New Roman" w:eastAsia="Times New Roman" w:hAnsi="Times New Roman" w:cs="Times New Roman"/>
          <w:b/>
          <w:color w:val="FF0000"/>
          <w:lang w:val="en-US"/>
        </w:rPr>
        <w:t>x 2</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model profesjonalny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strój: Es</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kolor: złoty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korpus lakierowany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poduszki z metalowymi rezonatorami</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podpórka pod kciuk: metalowa</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futerał</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ustnik</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akcesoria producenta</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color w:val="FF0000"/>
        </w:rPr>
      </w:pPr>
      <w:r w:rsidRPr="00A74796">
        <w:rPr>
          <w:rFonts w:ascii="Times New Roman" w:eastAsia="Times New Roman" w:hAnsi="Times New Roman" w:cs="Times New Roman"/>
        </w:rPr>
        <w:t>Klarnet E11 C</w:t>
      </w:r>
      <w:r>
        <w:rPr>
          <w:rFonts w:ascii="Times New Roman" w:hAnsi="Times New Roman" w:cs="Times New Roman"/>
        </w:rPr>
        <w:t xml:space="preserve"> </w:t>
      </w:r>
      <w:r w:rsidRPr="00A74796">
        <w:rPr>
          <w:rFonts w:ascii="Times New Roman" w:eastAsia="Times New Roman" w:hAnsi="Times New Roman" w:cs="Times New Roman"/>
          <w:b/>
          <w:color w:val="FF0000"/>
        </w:rPr>
        <w:t>x 2</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-strój C</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- 17 klap</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ergonomiczny kształt klap</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posrebrzane klapy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regulowana podpórka pod kciuk</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w komplecie ustnik, ligaturka i kapturek</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baryłka 442 Hz</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futerał</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lang w:val="de-DE"/>
        </w:rPr>
      </w:pPr>
    </w:p>
    <w:p w:rsidR="007A2B9C" w:rsidRPr="00A74796" w:rsidRDefault="007A2B9C" w:rsidP="007A2B9C">
      <w:pPr>
        <w:pStyle w:val="Bezodstpw"/>
        <w:rPr>
          <w:rFonts w:ascii="Times New Roman" w:eastAsia="Times New Roman" w:hAnsi="Times New Roman" w:cs="Times New Roman"/>
          <w:lang w:val="de-DE"/>
        </w:rPr>
      </w:pPr>
      <w:r w:rsidRPr="00A74796">
        <w:rPr>
          <w:rFonts w:ascii="Times New Roman" w:eastAsia="Times New Roman" w:hAnsi="Times New Roman" w:cs="Times New Roman"/>
          <w:lang w:val="de-DE"/>
        </w:rPr>
        <w:t>Klarnet Prestige Es</w:t>
      </w:r>
      <w:r>
        <w:rPr>
          <w:rFonts w:ascii="Times New Roman" w:hAnsi="Times New Roman" w:cs="Times New Roman"/>
          <w:lang w:val="de-DE"/>
        </w:rPr>
        <w:t xml:space="preserve"> </w:t>
      </w:r>
      <w:r w:rsidRPr="00A74796">
        <w:rPr>
          <w:rFonts w:ascii="Times New Roman" w:eastAsia="Times New Roman" w:hAnsi="Times New Roman" w:cs="Times New Roman"/>
          <w:b/>
          <w:color w:val="FF0000"/>
          <w:lang w:val="de-DE"/>
        </w:rPr>
        <w:t>x1</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model profesjonalny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strój Es</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- 442 Hz</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lastRenderedPageBreak/>
        <w:t>- 17 posrebrzanych klap</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materiał korpusu: Grenadilla</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ergonomiczny kształt klap</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regulowana podpórka pod kciuk</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futerał</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Klarnet Prestige D</w:t>
      </w:r>
      <w:r>
        <w:rPr>
          <w:rFonts w:ascii="Times New Roman" w:hAnsi="Times New Roman" w:cs="Times New Roman"/>
        </w:rPr>
        <w:t xml:space="preserve"> </w:t>
      </w:r>
      <w:r w:rsidRPr="00A74796">
        <w:rPr>
          <w:rFonts w:ascii="Times New Roman" w:eastAsia="Times New Roman" w:hAnsi="Times New Roman" w:cs="Times New Roman"/>
          <w:b/>
          <w:color w:val="FF0000"/>
        </w:rPr>
        <w:t>x1</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model profesjonalny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strój D</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xml:space="preserve"> - 442 Hz</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- 17 posrebrzanych klap</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materiał korpusu: Grenadilla</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futerał</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Fagottino</w:t>
      </w:r>
      <w:r>
        <w:rPr>
          <w:rFonts w:ascii="Times New Roman" w:hAnsi="Times New Roman" w:cs="Times New Roman"/>
        </w:rPr>
        <w:t xml:space="preserve"> </w:t>
      </w:r>
      <w:r w:rsidRPr="00A74796">
        <w:rPr>
          <w:rFonts w:ascii="Times New Roman" w:eastAsia="Times New Roman" w:hAnsi="Times New Roman" w:cs="Times New Roman"/>
          <w:b/>
          <w:color w:val="FF0000"/>
        </w:rPr>
        <w:t>x1</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Fagot kwintowy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długość: ok. 85 cm</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Strój G</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Korpus drewniany</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mechanika z dodatkowymi rozwiązaniami</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futerał</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hAnsi="Times New Roman" w:cs="Times New Roman"/>
        </w:rPr>
      </w:pP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bCs/>
        </w:rPr>
        <w:t>Fagottino</w:t>
      </w:r>
      <w:r>
        <w:rPr>
          <w:rFonts w:ascii="Times New Roman" w:hAnsi="Times New Roman" w:cs="Times New Roman"/>
          <w:bCs/>
        </w:rPr>
        <w:t xml:space="preserve"> </w:t>
      </w:r>
      <w:r w:rsidRPr="00A74796">
        <w:rPr>
          <w:rFonts w:ascii="Times New Roman" w:hAnsi="Times New Roman" w:cs="Times New Roman"/>
          <w:b/>
          <w:color w:val="FF0000"/>
        </w:rPr>
        <w:t>x2</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plastikowa czara</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długość 86 cm</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strój G</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skala od F do f2 (brzmiące)</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- 15 klap</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futerał</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eastAsia="Times New Roman" w:hAnsi="Times New Roman" w:cs="Times New Roman"/>
        </w:rPr>
      </w:pPr>
    </w:p>
    <w:p w:rsidR="007A2B9C" w:rsidRPr="00A74796" w:rsidRDefault="007A2B9C" w:rsidP="007A2B9C">
      <w:pPr>
        <w:pStyle w:val="Bezodstpw"/>
        <w:rPr>
          <w:rFonts w:ascii="Times New Roman" w:hAnsi="Times New Roman" w:cs="Times New Roman"/>
        </w:rPr>
      </w:pP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xml:space="preserve">Flet piccolo </w:t>
      </w:r>
      <w:r>
        <w:rPr>
          <w:rFonts w:ascii="Times New Roman" w:hAnsi="Times New Roman" w:cs="Times New Roman"/>
        </w:rPr>
        <w:t xml:space="preserve"> </w:t>
      </w:r>
      <w:r w:rsidRPr="00A74796">
        <w:rPr>
          <w:rFonts w:ascii="Times New Roman" w:hAnsi="Times New Roman" w:cs="Times New Roman"/>
          <w:b/>
          <w:color w:val="FF0000"/>
        </w:rPr>
        <w:t>x1</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xml:space="preserve">- instrument produkowany ręcznie     </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korpus z ręcznie selekcjonowanego drewna grenadilla</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poduszki najwyższej jakości</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xml:space="preserve">- główka </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xml:space="preserve">- posrebrzany mechanizm     </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xml:space="preserve">- E-mechanika     </w:t>
      </w:r>
    </w:p>
    <w:p w:rsidR="007A2B9C" w:rsidRPr="00A74796" w:rsidRDefault="007A2B9C" w:rsidP="007A2B9C">
      <w:pPr>
        <w:pStyle w:val="Bezodstpw"/>
        <w:rPr>
          <w:rFonts w:ascii="Times New Roman" w:hAnsi="Times New Roman" w:cs="Times New Roman"/>
        </w:rPr>
      </w:pPr>
      <w:r w:rsidRPr="00A74796">
        <w:rPr>
          <w:rFonts w:ascii="Times New Roman" w:hAnsi="Times New Roman" w:cs="Times New Roman"/>
        </w:rPr>
        <w:t>- mechanizm wysokiego gis</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gwarancja 24 miesiące</w:t>
      </w:r>
    </w:p>
    <w:p w:rsidR="007A2B9C" w:rsidRPr="00A74796" w:rsidRDefault="007A2B9C" w:rsidP="007A2B9C">
      <w:pPr>
        <w:pStyle w:val="Bezodstpw"/>
        <w:rPr>
          <w:rFonts w:ascii="Times New Roman" w:hAnsi="Times New Roman" w:cs="Times New Roman"/>
        </w:rPr>
      </w:pPr>
    </w:p>
    <w:p w:rsidR="007A2B9C" w:rsidRPr="00A74796" w:rsidRDefault="007A2B9C" w:rsidP="007A2B9C">
      <w:pPr>
        <w:pStyle w:val="Bezodstpw"/>
        <w:rPr>
          <w:rFonts w:ascii="Times New Roman" w:eastAsia="Times New Roman" w:hAnsi="Times New Roman" w:cs="Times New Roman"/>
          <w:bCs/>
          <w:color w:val="FF0000"/>
        </w:rPr>
      </w:pP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Flet altowy</w:t>
      </w:r>
      <w:r>
        <w:rPr>
          <w:rFonts w:ascii="Times New Roman" w:hAnsi="Times New Roman" w:cs="Times New Roman"/>
        </w:rPr>
        <w:t xml:space="preserve"> </w:t>
      </w:r>
      <w:r w:rsidRPr="00A74796">
        <w:rPr>
          <w:rFonts w:ascii="Times New Roman" w:eastAsia="Times New Roman" w:hAnsi="Times New Roman" w:cs="Times New Roman"/>
          <w:b/>
          <w:color w:val="FF0000"/>
        </w:rPr>
        <w:t>(x1)</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Głowa prosta ze srebrnym 925 kominkiem i srebrną płytka ustnikową</w:t>
      </w:r>
    </w:p>
    <w:p w:rsidR="007A2B9C" w:rsidRPr="00A74796" w:rsidRDefault="007A2B9C" w:rsidP="007A2B9C">
      <w:pPr>
        <w:pStyle w:val="Bezodstpw"/>
        <w:rPr>
          <w:rFonts w:ascii="Times New Roman" w:eastAsia="Times New Roman" w:hAnsi="Times New Roman" w:cs="Times New Roman"/>
        </w:rPr>
      </w:pPr>
      <w:r w:rsidRPr="00A74796">
        <w:rPr>
          <w:rFonts w:ascii="Times New Roman" w:eastAsia="Times New Roman" w:hAnsi="Times New Roman" w:cs="Times New Roman"/>
        </w:rPr>
        <w:t>- Korpus posrebrzany</w:t>
      </w:r>
    </w:p>
    <w:p w:rsidR="007A2B9C" w:rsidRPr="00602524" w:rsidRDefault="007A2B9C" w:rsidP="007A2B9C">
      <w:pPr>
        <w:rPr>
          <w:rFonts w:ascii="Times New Roman" w:hAnsi="Times New Roman" w:cs="Times New Roman"/>
          <w:sz w:val="24"/>
          <w:szCs w:val="24"/>
        </w:rPr>
      </w:pPr>
    </w:p>
    <w:p w:rsidR="007A2B9C" w:rsidRPr="007A2B9C" w:rsidRDefault="007A2B9C" w:rsidP="007A2B9C">
      <w:pPr>
        <w:pStyle w:val="Bezodstpw"/>
        <w:rPr>
          <w:rFonts w:ascii="Times New Roman" w:eastAsia="Lucida Sans Unicode" w:hAnsi="Times New Roman" w:cs="Times New Roman"/>
          <w:kern w:val="1"/>
          <w:lang w:eastAsia="ar-SA"/>
        </w:rPr>
      </w:pPr>
    </w:p>
    <w:p w:rsidR="007A2B9C" w:rsidRPr="005507FE" w:rsidRDefault="007A2B9C" w:rsidP="00BA34A0">
      <w:pPr>
        <w:suppressAutoHyphens/>
        <w:jc w:val="right"/>
        <w:rPr>
          <w:rFonts w:ascii="Times New Roman" w:eastAsia="Lucida Sans Unicode" w:hAnsi="Times New Roman" w:cs="Times New Roman"/>
          <w:b/>
          <w:i/>
          <w:kern w:val="1"/>
          <w:lang w:eastAsia="ar-SA"/>
        </w:rPr>
      </w:pPr>
    </w:p>
    <w:sectPr w:rsidR="007A2B9C" w:rsidRPr="005507FE"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5EA" w:rsidRDefault="007F45EA" w:rsidP="00BF7A2D">
      <w:pPr>
        <w:spacing w:after="0" w:line="240" w:lineRule="auto"/>
      </w:pPr>
      <w:r>
        <w:separator/>
      </w:r>
    </w:p>
  </w:endnote>
  <w:endnote w:type="continuationSeparator" w:id="1">
    <w:p w:rsidR="007F45EA" w:rsidRDefault="007F45EA"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B52B05" w:rsidRPr="002F3D70" w:rsidRDefault="002824EA">
        <w:pPr>
          <w:pStyle w:val="Stopka"/>
          <w:jc w:val="center"/>
          <w:rPr>
            <w:rFonts w:ascii="Times New Roman" w:hAnsi="Times New Roman" w:cs="Times New Roman"/>
          </w:rPr>
        </w:pPr>
        <w:r w:rsidRPr="002F3D70">
          <w:rPr>
            <w:rFonts w:ascii="Times New Roman" w:hAnsi="Times New Roman" w:cs="Times New Roman"/>
          </w:rPr>
          <w:fldChar w:fldCharType="begin"/>
        </w:r>
        <w:r w:rsidR="00B52B05"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1244A7">
          <w:rPr>
            <w:rFonts w:ascii="Times New Roman" w:hAnsi="Times New Roman" w:cs="Times New Roman"/>
            <w:noProof/>
          </w:rPr>
          <w:t>28</w:t>
        </w:r>
        <w:r w:rsidRPr="002F3D70">
          <w:rPr>
            <w:rFonts w:ascii="Times New Roman" w:hAnsi="Times New Roman" w:cs="Times New Roman"/>
            <w:noProof/>
          </w:rPr>
          <w:fldChar w:fldCharType="end"/>
        </w:r>
      </w:p>
    </w:sdtContent>
  </w:sdt>
  <w:p w:rsidR="00B52B05" w:rsidRDefault="00B52B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5EA" w:rsidRDefault="007F45EA" w:rsidP="00BF7A2D">
      <w:pPr>
        <w:spacing w:after="0" w:line="240" w:lineRule="auto"/>
      </w:pPr>
      <w:r>
        <w:separator/>
      </w:r>
    </w:p>
  </w:footnote>
  <w:footnote w:type="continuationSeparator" w:id="1">
    <w:p w:rsidR="007F45EA" w:rsidRDefault="007F45EA"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F707257"/>
    <w:multiLevelType w:val="hybridMultilevel"/>
    <w:tmpl w:val="0D76B3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6">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C238B8"/>
    <w:multiLevelType w:val="multilevel"/>
    <w:tmpl w:val="0144FE18"/>
    <w:lvl w:ilvl="0">
      <w:start w:val="7"/>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6D0334"/>
    <w:multiLevelType w:val="hybridMultilevel"/>
    <w:tmpl w:val="01963CCC"/>
    <w:lvl w:ilvl="0" w:tplc="BA247D6A">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9802D77"/>
    <w:multiLevelType w:val="hybridMultilevel"/>
    <w:tmpl w:val="403EDACC"/>
    <w:lvl w:ilvl="0" w:tplc="BD68F0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6">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38"/>
  </w:num>
  <w:num w:numId="5">
    <w:abstractNumId w:val="45"/>
  </w:num>
  <w:num w:numId="6">
    <w:abstractNumId w:val="5"/>
  </w:num>
  <w:num w:numId="7">
    <w:abstractNumId w:val="13"/>
  </w:num>
  <w:num w:numId="8">
    <w:abstractNumId w:val="43"/>
  </w:num>
  <w:num w:numId="9">
    <w:abstractNumId w:val="58"/>
  </w:num>
  <w:num w:numId="10">
    <w:abstractNumId w:val="68"/>
  </w:num>
  <w:num w:numId="11">
    <w:abstractNumId w:val="36"/>
  </w:num>
  <w:num w:numId="12">
    <w:abstractNumId w:val="40"/>
  </w:num>
  <w:num w:numId="13">
    <w:abstractNumId w:val="41"/>
  </w:num>
  <w:num w:numId="14">
    <w:abstractNumId w:val="21"/>
  </w:num>
  <w:num w:numId="15">
    <w:abstractNumId w:val="44"/>
  </w:num>
  <w:num w:numId="16">
    <w:abstractNumId w:val="27"/>
  </w:num>
  <w:num w:numId="17">
    <w:abstractNumId w:val="14"/>
  </w:num>
  <w:num w:numId="18">
    <w:abstractNumId w:val="39"/>
  </w:num>
  <w:num w:numId="19">
    <w:abstractNumId w:val="23"/>
  </w:num>
  <w:num w:numId="20">
    <w:abstractNumId w:val="12"/>
  </w:num>
  <w:num w:numId="21">
    <w:abstractNumId w:val="34"/>
  </w:num>
  <w:num w:numId="22">
    <w:abstractNumId w:val="24"/>
  </w:num>
  <w:num w:numId="23">
    <w:abstractNumId w:val="62"/>
  </w:num>
  <w:num w:numId="24">
    <w:abstractNumId w:val="56"/>
  </w:num>
  <w:num w:numId="25">
    <w:abstractNumId w:val="60"/>
  </w:num>
  <w:num w:numId="26">
    <w:abstractNumId w:val="64"/>
  </w:num>
  <w:num w:numId="27">
    <w:abstractNumId w:val="30"/>
  </w:num>
  <w:num w:numId="28">
    <w:abstractNumId w:val="66"/>
  </w:num>
  <w:num w:numId="29">
    <w:abstractNumId w:val="72"/>
  </w:num>
  <w:num w:numId="30">
    <w:abstractNumId w:val="73"/>
  </w:num>
  <w:num w:numId="31">
    <w:abstractNumId w:val="8"/>
  </w:num>
  <w:num w:numId="32">
    <w:abstractNumId w:val="3"/>
  </w:num>
  <w:num w:numId="33">
    <w:abstractNumId w:val="47"/>
  </w:num>
  <w:num w:numId="34">
    <w:abstractNumId w:val="42"/>
  </w:num>
  <w:num w:numId="35">
    <w:abstractNumId w:val="69"/>
  </w:num>
  <w:num w:numId="36">
    <w:abstractNumId w:val="22"/>
  </w:num>
  <w:num w:numId="37">
    <w:abstractNumId w:val="52"/>
  </w:num>
  <w:num w:numId="38">
    <w:abstractNumId w:val="65"/>
  </w:num>
  <w:num w:numId="39">
    <w:abstractNumId w:val="16"/>
  </w:num>
  <w:num w:numId="40">
    <w:abstractNumId w:val="19"/>
  </w:num>
  <w:num w:numId="41">
    <w:abstractNumId w:val="9"/>
  </w:num>
  <w:num w:numId="42">
    <w:abstractNumId w:val="11"/>
  </w:num>
  <w:num w:numId="43">
    <w:abstractNumId w:val="18"/>
  </w:num>
  <w:num w:numId="44">
    <w:abstractNumId w:val="29"/>
  </w:num>
  <w:num w:numId="45">
    <w:abstractNumId w:val="51"/>
  </w:num>
  <w:num w:numId="46">
    <w:abstractNumId w:val="33"/>
  </w:num>
  <w:num w:numId="47">
    <w:abstractNumId w:val="55"/>
  </w:num>
  <w:num w:numId="48">
    <w:abstractNumId w:val="26"/>
  </w:num>
  <w:num w:numId="49">
    <w:abstractNumId w:val="37"/>
  </w:num>
  <w:num w:numId="50">
    <w:abstractNumId w:val="17"/>
  </w:num>
  <w:num w:numId="51">
    <w:abstractNumId w:val="63"/>
  </w:num>
  <w:num w:numId="52">
    <w:abstractNumId w:val="46"/>
  </w:num>
  <w:num w:numId="53">
    <w:abstractNumId w:val="57"/>
  </w:num>
  <w:num w:numId="54">
    <w:abstractNumId w:val="28"/>
  </w:num>
  <w:num w:numId="55">
    <w:abstractNumId w:val="50"/>
  </w:num>
  <w:num w:numId="56">
    <w:abstractNumId w:val="71"/>
  </w:num>
  <w:num w:numId="57">
    <w:abstractNumId w:val="49"/>
  </w:num>
  <w:num w:numId="58">
    <w:abstractNumId w:val="32"/>
  </w:num>
  <w:num w:numId="59">
    <w:abstractNumId w:val="25"/>
  </w:num>
  <w:num w:numId="60">
    <w:abstractNumId w:val="48"/>
  </w:num>
  <w:num w:numId="61">
    <w:abstractNumId w:val="2"/>
  </w:num>
  <w:num w:numId="62">
    <w:abstractNumId w:val="4"/>
  </w:num>
  <w:num w:numId="63">
    <w:abstractNumId w:val="20"/>
  </w:num>
  <w:num w:numId="64">
    <w:abstractNumId w:val="15"/>
  </w:num>
  <w:num w:numId="65">
    <w:abstractNumId w:val="53"/>
  </w:num>
  <w:num w:numId="66">
    <w:abstractNumId w:val="67"/>
  </w:num>
  <w:num w:numId="67">
    <w:abstractNumId w:val="1"/>
  </w:num>
  <w:num w:numId="68">
    <w:abstractNumId w:val="54"/>
  </w:num>
  <w:num w:numId="69">
    <w:abstractNumId w:val="10"/>
  </w:num>
  <w:num w:numId="70">
    <w:abstractNumId w:val="6"/>
  </w:num>
  <w:num w:numId="71">
    <w:abstractNumId w:val="0"/>
  </w:num>
  <w:num w:numId="72">
    <w:abstractNumId w:val="70"/>
  </w:num>
  <w:num w:numId="73">
    <w:abstractNumId w:val="61"/>
  </w:num>
  <w:num w:numId="74">
    <w:abstractNumId w:val="59"/>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63255"/>
    <w:rsid w:val="00066E86"/>
    <w:rsid w:val="00072AA7"/>
    <w:rsid w:val="00080D34"/>
    <w:rsid w:val="00090CB4"/>
    <w:rsid w:val="000C5046"/>
    <w:rsid w:val="000D6E81"/>
    <w:rsid w:val="000F24BC"/>
    <w:rsid w:val="000F35B2"/>
    <w:rsid w:val="000F66E8"/>
    <w:rsid w:val="001019A2"/>
    <w:rsid w:val="00105DD2"/>
    <w:rsid w:val="00112972"/>
    <w:rsid w:val="0012188E"/>
    <w:rsid w:val="00122457"/>
    <w:rsid w:val="00123A6E"/>
    <w:rsid w:val="001244A7"/>
    <w:rsid w:val="00137243"/>
    <w:rsid w:val="001469A8"/>
    <w:rsid w:val="00150226"/>
    <w:rsid w:val="001542B0"/>
    <w:rsid w:val="00157AF8"/>
    <w:rsid w:val="00163394"/>
    <w:rsid w:val="00167EC3"/>
    <w:rsid w:val="0018207D"/>
    <w:rsid w:val="0018217B"/>
    <w:rsid w:val="001850BF"/>
    <w:rsid w:val="001B66D6"/>
    <w:rsid w:val="001C5596"/>
    <w:rsid w:val="001C7EA9"/>
    <w:rsid w:val="001D15D4"/>
    <w:rsid w:val="001D3839"/>
    <w:rsid w:val="001D6C15"/>
    <w:rsid w:val="001E3E32"/>
    <w:rsid w:val="001F2A52"/>
    <w:rsid w:val="001F2E8C"/>
    <w:rsid w:val="00214DE4"/>
    <w:rsid w:val="002269FC"/>
    <w:rsid w:val="00245FD7"/>
    <w:rsid w:val="002824EA"/>
    <w:rsid w:val="002A00DD"/>
    <w:rsid w:val="002A0910"/>
    <w:rsid w:val="002B77F2"/>
    <w:rsid w:val="002C489B"/>
    <w:rsid w:val="002D05B3"/>
    <w:rsid w:val="002D52FC"/>
    <w:rsid w:val="002E3F9A"/>
    <w:rsid w:val="0031082B"/>
    <w:rsid w:val="0031726C"/>
    <w:rsid w:val="003256AB"/>
    <w:rsid w:val="003263FF"/>
    <w:rsid w:val="0033511B"/>
    <w:rsid w:val="003471F8"/>
    <w:rsid w:val="00350B63"/>
    <w:rsid w:val="00362A34"/>
    <w:rsid w:val="00363E08"/>
    <w:rsid w:val="0037029D"/>
    <w:rsid w:val="003A5B83"/>
    <w:rsid w:val="003A6E9E"/>
    <w:rsid w:val="003A726A"/>
    <w:rsid w:val="003B7F37"/>
    <w:rsid w:val="003C0345"/>
    <w:rsid w:val="003D4604"/>
    <w:rsid w:val="003E55FA"/>
    <w:rsid w:val="003F011C"/>
    <w:rsid w:val="00424D82"/>
    <w:rsid w:val="00430480"/>
    <w:rsid w:val="00430DB3"/>
    <w:rsid w:val="00434A82"/>
    <w:rsid w:val="004356F0"/>
    <w:rsid w:val="00442C7D"/>
    <w:rsid w:val="004550B0"/>
    <w:rsid w:val="00482490"/>
    <w:rsid w:val="00485333"/>
    <w:rsid w:val="004876ED"/>
    <w:rsid w:val="004B37B4"/>
    <w:rsid w:val="004B65E7"/>
    <w:rsid w:val="004C1AC1"/>
    <w:rsid w:val="004E1022"/>
    <w:rsid w:val="004F14D0"/>
    <w:rsid w:val="004F26AC"/>
    <w:rsid w:val="004F66ED"/>
    <w:rsid w:val="00502FF4"/>
    <w:rsid w:val="0050726C"/>
    <w:rsid w:val="00514636"/>
    <w:rsid w:val="00514F03"/>
    <w:rsid w:val="00533611"/>
    <w:rsid w:val="00535461"/>
    <w:rsid w:val="005363F9"/>
    <w:rsid w:val="00536BEA"/>
    <w:rsid w:val="00543461"/>
    <w:rsid w:val="00546D7D"/>
    <w:rsid w:val="0055394C"/>
    <w:rsid w:val="00562DF8"/>
    <w:rsid w:val="00566098"/>
    <w:rsid w:val="00573590"/>
    <w:rsid w:val="005814D5"/>
    <w:rsid w:val="005820F3"/>
    <w:rsid w:val="0058428E"/>
    <w:rsid w:val="005950F3"/>
    <w:rsid w:val="005A268B"/>
    <w:rsid w:val="005B29A4"/>
    <w:rsid w:val="005B33BA"/>
    <w:rsid w:val="005C27A4"/>
    <w:rsid w:val="005C4EF4"/>
    <w:rsid w:val="005D7A20"/>
    <w:rsid w:val="005F2B21"/>
    <w:rsid w:val="00603365"/>
    <w:rsid w:val="00612D65"/>
    <w:rsid w:val="00612E24"/>
    <w:rsid w:val="00613D43"/>
    <w:rsid w:val="0063299A"/>
    <w:rsid w:val="0063495B"/>
    <w:rsid w:val="0063732D"/>
    <w:rsid w:val="00641A4F"/>
    <w:rsid w:val="00654E67"/>
    <w:rsid w:val="00670D6A"/>
    <w:rsid w:val="006816E4"/>
    <w:rsid w:val="0068378E"/>
    <w:rsid w:val="00684684"/>
    <w:rsid w:val="00693811"/>
    <w:rsid w:val="006976AB"/>
    <w:rsid w:val="006A7B93"/>
    <w:rsid w:val="006B00DA"/>
    <w:rsid w:val="006B133B"/>
    <w:rsid w:val="006C47A2"/>
    <w:rsid w:val="006C511D"/>
    <w:rsid w:val="006C7805"/>
    <w:rsid w:val="006D2898"/>
    <w:rsid w:val="006F531D"/>
    <w:rsid w:val="006F7A52"/>
    <w:rsid w:val="00726E86"/>
    <w:rsid w:val="007307CB"/>
    <w:rsid w:val="00745A6C"/>
    <w:rsid w:val="00756654"/>
    <w:rsid w:val="00763F9C"/>
    <w:rsid w:val="0077004E"/>
    <w:rsid w:val="00771F83"/>
    <w:rsid w:val="00785293"/>
    <w:rsid w:val="007939D3"/>
    <w:rsid w:val="007A2B9C"/>
    <w:rsid w:val="007B6755"/>
    <w:rsid w:val="007C1B75"/>
    <w:rsid w:val="007C53F0"/>
    <w:rsid w:val="007D07F6"/>
    <w:rsid w:val="007D75C3"/>
    <w:rsid w:val="007E076E"/>
    <w:rsid w:val="007F44F5"/>
    <w:rsid w:val="007F45EA"/>
    <w:rsid w:val="0080135B"/>
    <w:rsid w:val="008073E7"/>
    <w:rsid w:val="00814C0B"/>
    <w:rsid w:val="00824710"/>
    <w:rsid w:val="00831FA8"/>
    <w:rsid w:val="008353A5"/>
    <w:rsid w:val="008415B1"/>
    <w:rsid w:val="00850E25"/>
    <w:rsid w:val="00861F59"/>
    <w:rsid w:val="00863CB4"/>
    <w:rsid w:val="00874B63"/>
    <w:rsid w:val="00877FE0"/>
    <w:rsid w:val="00882070"/>
    <w:rsid w:val="00883930"/>
    <w:rsid w:val="008A59F9"/>
    <w:rsid w:val="008B1181"/>
    <w:rsid w:val="008B184A"/>
    <w:rsid w:val="008C61FE"/>
    <w:rsid w:val="008D72A6"/>
    <w:rsid w:val="008E4EA2"/>
    <w:rsid w:val="008E6E11"/>
    <w:rsid w:val="008F1D8E"/>
    <w:rsid w:val="008F29AD"/>
    <w:rsid w:val="0090680C"/>
    <w:rsid w:val="00925F21"/>
    <w:rsid w:val="00927788"/>
    <w:rsid w:val="00931F69"/>
    <w:rsid w:val="00937182"/>
    <w:rsid w:val="00945EB9"/>
    <w:rsid w:val="00957604"/>
    <w:rsid w:val="009624A4"/>
    <w:rsid w:val="00966AF4"/>
    <w:rsid w:val="00972EE3"/>
    <w:rsid w:val="00990BDC"/>
    <w:rsid w:val="009926FE"/>
    <w:rsid w:val="00996DFB"/>
    <w:rsid w:val="009A387B"/>
    <w:rsid w:val="009C27C7"/>
    <w:rsid w:val="009C6090"/>
    <w:rsid w:val="009D1EF2"/>
    <w:rsid w:val="009D2FF5"/>
    <w:rsid w:val="009D6800"/>
    <w:rsid w:val="009F0C15"/>
    <w:rsid w:val="009F2248"/>
    <w:rsid w:val="009F77DD"/>
    <w:rsid w:val="00A072FC"/>
    <w:rsid w:val="00A14397"/>
    <w:rsid w:val="00A21B67"/>
    <w:rsid w:val="00A309F7"/>
    <w:rsid w:val="00A364D6"/>
    <w:rsid w:val="00A41951"/>
    <w:rsid w:val="00A44822"/>
    <w:rsid w:val="00A55CEE"/>
    <w:rsid w:val="00A86BA5"/>
    <w:rsid w:val="00AA63B9"/>
    <w:rsid w:val="00AB0C77"/>
    <w:rsid w:val="00AB72F8"/>
    <w:rsid w:val="00AC6408"/>
    <w:rsid w:val="00AD47B5"/>
    <w:rsid w:val="00B02A2E"/>
    <w:rsid w:val="00B04F23"/>
    <w:rsid w:val="00B125E3"/>
    <w:rsid w:val="00B243AF"/>
    <w:rsid w:val="00B36E4A"/>
    <w:rsid w:val="00B401F7"/>
    <w:rsid w:val="00B52B05"/>
    <w:rsid w:val="00B63F8D"/>
    <w:rsid w:val="00B66EF1"/>
    <w:rsid w:val="00B76A4E"/>
    <w:rsid w:val="00B77805"/>
    <w:rsid w:val="00B82334"/>
    <w:rsid w:val="00B858BD"/>
    <w:rsid w:val="00B94FBA"/>
    <w:rsid w:val="00BA1944"/>
    <w:rsid w:val="00BA34A0"/>
    <w:rsid w:val="00BA60E1"/>
    <w:rsid w:val="00BC113C"/>
    <w:rsid w:val="00BC6C59"/>
    <w:rsid w:val="00BC6EF7"/>
    <w:rsid w:val="00BE6CE8"/>
    <w:rsid w:val="00BF3305"/>
    <w:rsid w:val="00BF6B12"/>
    <w:rsid w:val="00BF7A2D"/>
    <w:rsid w:val="00C04D90"/>
    <w:rsid w:val="00C202EE"/>
    <w:rsid w:val="00C22778"/>
    <w:rsid w:val="00C33882"/>
    <w:rsid w:val="00C3630D"/>
    <w:rsid w:val="00C56046"/>
    <w:rsid w:val="00C57F5F"/>
    <w:rsid w:val="00C6755D"/>
    <w:rsid w:val="00C72747"/>
    <w:rsid w:val="00C757B1"/>
    <w:rsid w:val="00C76DDF"/>
    <w:rsid w:val="00C774D2"/>
    <w:rsid w:val="00C80706"/>
    <w:rsid w:val="00C80F62"/>
    <w:rsid w:val="00C84FEC"/>
    <w:rsid w:val="00C937D8"/>
    <w:rsid w:val="00C97487"/>
    <w:rsid w:val="00CA663A"/>
    <w:rsid w:val="00CB6C41"/>
    <w:rsid w:val="00CC0300"/>
    <w:rsid w:val="00CC6E87"/>
    <w:rsid w:val="00CD3880"/>
    <w:rsid w:val="00CF5422"/>
    <w:rsid w:val="00D00E05"/>
    <w:rsid w:val="00D11FFE"/>
    <w:rsid w:val="00D1354F"/>
    <w:rsid w:val="00D25A4A"/>
    <w:rsid w:val="00D27562"/>
    <w:rsid w:val="00D44BB4"/>
    <w:rsid w:val="00D46989"/>
    <w:rsid w:val="00D470E7"/>
    <w:rsid w:val="00D556D7"/>
    <w:rsid w:val="00D67139"/>
    <w:rsid w:val="00D671C2"/>
    <w:rsid w:val="00D67DBD"/>
    <w:rsid w:val="00D9382C"/>
    <w:rsid w:val="00DA7EF6"/>
    <w:rsid w:val="00DC0B57"/>
    <w:rsid w:val="00DC21D0"/>
    <w:rsid w:val="00DD18BA"/>
    <w:rsid w:val="00DD7352"/>
    <w:rsid w:val="00DF0FC1"/>
    <w:rsid w:val="00E12C1C"/>
    <w:rsid w:val="00E17CFB"/>
    <w:rsid w:val="00E459AA"/>
    <w:rsid w:val="00E45EA3"/>
    <w:rsid w:val="00E46D7A"/>
    <w:rsid w:val="00E74DF5"/>
    <w:rsid w:val="00E8520E"/>
    <w:rsid w:val="00E85213"/>
    <w:rsid w:val="00E91CCB"/>
    <w:rsid w:val="00E966CB"/>
    <w:rsid w:val="00EA6F69"/>
    <w:rsid w:val="00EE03ED"/>
    <w:rsid w:val="00EE221A"/>
    <w:rsid w:val="00EE5D0C"/>
    <w:rsid w:val="00EF1AB0"/>
    <w:rsid w:val="00EF5831"/>
    <w:rsid w:val="00F12F6F"/>
    <w:rsid w:val="00F35BE2"/>
    <w:rsid w:val="00F37F85"/>
    <w:rsid w:val="00F41372"/>
    <w:rsid w:val="00F44BF5"/>
    <w:rsid w:val="00F7466B"/>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smsuwalki.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suwalki.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Pages>
  <Words>13015</Words>
  <Characters>78091</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58</cp:revision>
  <cp:lastPrinted>2024-10-04T08:56:00Z</cp:lastPrinted>
  <dcterms:created xsi:type="dcterms:W3CDTF">2024-07-19T06:35:00Z</dcterms:created>
  <dcterms:modified xsi:type="dcterms:W3CDTF">2024-11-21T07:54:00Z</dcterms:modified>
</cp:coreProperties>
</file>