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9BAAA" w14:textId="46562ADC" w:rsidR="00B51A0E" w:rsidRDefault="00B51A0E" w:rsidP="00240FEF">
      <w:pPr>
        <w:pStyle w:val="OZNPROJEKTUwskazaniedatylubwersjiprojektu"/>
      </w:pPr>
      <w:bookmarkStart w:id="0" w:name="_GoBack"/>
      <w:bookmarkEnd w:id="0"/>
      <w:r w:rsidRPr="00325A22">
        <w:t xml:space="preserve">Projekt z dnia </w:t>
      </w:r>
      <w:r w:rsidR="009C74A7">
        <w:t>2</w:t>
      </w:r>
      <w:r w:rsidR="00A24735">
        <w:t>9</w:t>
      </w:r>
      <w:r w:rsidR="00605C13">
        <w:t xml:space="preserve"> </w:t>
      </w:r>
      <w:r w:rsidR="00A81A3C">
        <w:t>marca</w:t>
      </w:r>
      <w:r w:rsidR="00F21309">
        <w:t xml:space="preserve"> </w:t>
      </w:r>
      <w:r w:rsidRPr="00325A22">
        <w:t>202</w:t>
      </w:r>
      <w:r w:rsidR="006E4954">
        <w:t>4</w:t>
      </w:r>
      <w:r w:rsidR="00C922C1">
        <w:t xml:space="preserve"> r. </w:t>
      </w:r>
    </w:p>
    <w:p w14:paraId="7F4ADCD4" w14:textId="77777777" w:rsidR="00C922C1" w:rsidRDefault="00C922C1" w:rsidP="001A49CC">
      <w:pPr>
        <w:widowControl/>
        <w:autoSpaceDE/>
        <w:autoSpaceDN/>
        <w:adjustRightInd/>
        <w:ind w:left="6290"/>
      </w:pPr>
    </w:p>
    <w:p w14:paraId="76069F62" w14:textId="77777777" w:rsidR="00C922C1" w:rsidRPr="00325A22" w:rsidRDefault="00C922C1" w:rsidP="001A49CC">
      <w:pPr>
        <w:widowControl/>
        <w:autoSpaceDE/>
        <w:autoSpaceDN/>
        <w:adjustRightInd/>
        <w:ind w:left="6290"/>
      </w:pPr>
    </w:p>
    <w:p w14:paraId="771D61DE" w14:textId="77777777" w:rsidR="00B51A0E" w:rsidRPr="00325A22" w:rsidRDefault="00B51A0E" w:rsidP="00B51A0E">
      <w:pPr>
        <w:pStyle w:val="OZNRODZAKTUtznustawalubrozporzdzenieiorganwydajcy"/>
      </w:pPr>
      <w:r w:rsidRPr="00325A22">
        <w:t>ROZPORZĄDZENIE</w:t>
      </w:r>
    </w:p>
    <w:p w14:paraId="3D4077D0" w14:textId="77777777" w:rsidR="00B51A0E" w:rsidRPr="00325A22" w:rsidRDefault="00B51A0E" w:rsidP="00B51A0E">
      <w:pPr>
        <w:pStyle w:val="OZNRODZAKTUtznustawalubrozporzdzenieiorganwydajcy"/>
      </w:pPr>
      <w:r w:rsidRPr="00325A22">
        <w:t>RADY MINISTRÓW</w:t>
      </w:r>
    </w:p>
    <w:p w14:paraId="6D412B45" w14:textId="4D29F195" w:rsidR="00B51A0E" w:rsidRPr="00325A22" w:rsidRDefault="00B51A0E" w:rsidP="00B51A0E">
      <w:pPr>
        <w:pStyle w:val="DATAAKTUdatauchwalenialubwydaniaaktu"/>
      </w:pPr>
      <w:r w:rsidRPr="00325A22">
        <w:t xml:space="preserve">z dnia </w:t>
      </w:r>
      <w:r w:rsidR="00643587">
        <w:t xml:space="preserve">…….. </w:t>
      </w:r>
      <w:r w:rsidR="00903513">
        <w:t xml:space="preserve">2024 </w:t>
      </w:r>
      <w:r w:rsidR="00643587">
        <w:t>r.</w:t>
      </w:r>
    </w:p>
    <w:p w14:paraId="7825E58E" w14:textId="77777777" w:rsidR="00B51A0E" w:rsidRPr="00325A22" w:rsidRDefault="00B51A0E" w:rsidP="00B51A0E">
      <w:pPr>
        <w:pStyle w:val="TYTUAKTUprzedmiotregulacjiustawylubrozporzdzenia"/>
      </w:pPr>
      <w:r w:rsidRPr="00325A22">
        <w:t xml:space="preserve">w sprawie szczegółowego zakresu przeprowadzania wstępnej oceny terenu przeznaczonego pod lokalizację </w:t>
      </w:r>
      <w:bookmarkStart w:id="1" w:name="_Hlk126917903"/>
      <w:r w:rsidRPr="00325A22">
        <w:t xml:space="preserve">obiektu energetyki jądrowej będącego </w:t>
      </w:r>
      <w:r w:rsidR="008533DA">
        <w:t>równocześnie</w:t>
      </w:r>
      <w:r w:rsidR="00F25F10" w:rsidRPr="00B97D4B">
        <w:t xml:space="preserve"> </w:t>
      </w:r>
      <w:r w:rsidR="00884496">
        <w:t>obiektem jądrowym</w:t>
      </w:r>
      <w:r w:rsidRPr="00325A22">
        <w:t>,</w:t>
      </w:r>
      <w:bookmarkEnd w:id="1"/>
      <w:r w:rsidRPr="00325A22">
        <w:t xml:space="preserve"> przypadków wykluczających możliwość uznania terenu za nadający się do lokalizacji obiektu energetyki jądrowej będącego</w:t>
      </w:r>
      <w:r w:rsidR="008533DA">
        <w:t xml:space="preserve"> równocześnie </w:t>
      </w:r>
      <w:r w:rsidRPr="00325A22">
        <w:t xml:space="preserve"> obiektem jądrowym oraz szczegółowego zakresu wstępnego raportu lokalizacyjnego dla takiego obiektu</w:t>
      </w:r>
      <w:r w:rsidRPr="00325A22">
        <w:rPr>
          <w:rStyle w:val="Odwoanieprzypisudolnego"/>
        </w:rPr>
        <w:footnoteReference w:id="2"/>
      </w:r>
      <w:r w:rsidRPr="00325A22">
        <w:rPr>
          <w:rStyle w:val="IGindeksgrny"/>
        </w:rPr>
        <w:t>)</w:t>
      </w:r>
    </w:p>
    <w:p w14:paraId="60E48394" w14:textId="2EA6C40C" w:rsidR="00B51A0E" w:rsidRPr="00325A22" w:rsidRDefault="00B51A0E" w:rsidP="00CC717C">
      <w:pPr>
        <w:pStyle w:val="NIEARTTEKSTtekstnieartykuowanynppodstprawnarozplubpreambua"/>
      </w:pPr>
      <w:r w:rsidRPr="00325A22">
        <w:t>Na podstawie art. 5</w:t>
      </w:r>
      <w:r w:rsidR="00E049F6" w:rsidRPr="00325A22">
        <w:t xml:space="preserve">b </w:t>
      </w:r>
      <w:r w:rsidRPr="00325A22">
        <w:t>ust. 8</w:t>
      </w:r>
      <w:r w:rsidR="00CC717C" w:rsidRPr="00325A22">
        <w:t xml:space="preserve"> </w:t>
      </w:r>
      <w:r w:rsidRPr="00325A22">
        <w:t xml:space="preserve">ustawy </w:t>
      </w:r>
      <w:bookmarkStart w:id="2" w:name="_Hlk151716086"/>
      <w:r w:rsidRPr="00325A22">
        <w:t>z dnia 29 czerwca 2011 r. o przygotowaniu i</w:t>
      </w:r>
      <w:r w:rsidR="008D549B">
        <w:t> </w:t>
      </w:r>
      <w:r w:rsidRPr="00325A22">
        <w:t>realizacji inwestycji w zakresie obiektów energetyki jądrowej</w:t>
      </w:r>
      <w:r w:rsidR="00CC717C" w:rsidRPr="00325A22">
        <w:t xml:space="preserve"> </w:t>
      </w:r>
      <w:r w:rsidRPr="00325A22">
        <w:t>oraz</w:t>
      </w:r>
      <w:r w:rsidR="00CC717C" w:rsidRPr="00325A22">
        <w:t xml:space="preserve"> </w:t>
      </w:r>
      <w:r w:rsidRPr="00325A22">
        <w:t>inwestycji towarzyszących</w:t>
      </w:r>
      <w:r w:rsidR="00CC717C" w:rsidRPr="00325A22">
        <w:t xml:space="preserve"> </w:t>
      </w:r>
      <w:r w:rsidRPr="00325A22">
        <w:t>(Dz.</w:t>
      </w:r>
      <w:r w:rsidR="00CC717C" w:rsidRPr="00325A22">
        <w:t xml:space="preserve"> </w:t>
      </w:r>
      <w:r w:rsidRPr="00325A22">
        <w:t>U. z 202</w:t>
      </w:r>
      <w:r w:rsidR="009C74A7">
        <w:t>4</w:t>
      </w:r>
      <w:r w:rsidRPr="00325A22">
        <w:t xml:space="preserve"> r. poz. </w:t>
      </w:r>
      <w:r w:rsidR="009C74A7">
        <w:t>412</w:t>
      </w:r>
      <w:r w:rsidR="00D949B9" w:rsidRPr="00325A22">
        <w:t xml:space="preserve">) </w:t>
      </w:r>
      <w:bookmarkEnd w:id="2"/>
      <w:r w:rsidRPr="00325A22">
        <w:t>zarządza się, co następuje:</w:t>
      </w:r>
    </w:p>
    <w:p w14:paraId="39989C82" w14:textId="77777777" w:rsidR="00B51A0E" w:rsidRPr="00325A22" w:rsidRDefault="00B51A0E" w:rsidP="00CC717C">
      <w:pPr>
        <w:pStyle w:val="ARTartustawynprozporzdzenia"/>
      </w:pPr>
      <w:r w:rsidRPr="00325A22">
        <w:t>§</w:t>
      </w:r>
      <w:r w:rsidR="00CC717C" w:rsidRPr="00325A22">
        <w:t xml:space="preserve"> </w:t>
      </w:r>
      <w:r w:rsidRPr="00325A22">
        <w:t>1.</w:t>
      </w:r>
      <w:r w:rsidR="00CC717C" w:rsidRPr="00325A22">
        <w:t xml:space="preserve"> </w:t>
      </w:r>
      <w:r w:rsidRPr="00325A22">
        <w:t>Ilekroć w rozporządzeniu jest mowa o:</w:t>
      </w:r>
    </w:p>
    <w:p w14:paraId="6BDEEBDD" w14:textId="78F978EB" w:rsidR="00080470" w:rsidRPr="00D63961" w:rsidRDefault="00080470" w:rsidP="00C529BC">
      <w:pPr>
        <w:pStyle w:val="PKTpunkt"/>
        <w:numPr>
          <w:ilvl w:val="0"/>
          <w:numId w:val="2"/>
        </w:numPr>
        <w:ind w:left="516"/>
      </w:pPr>
      <w:bookmarkStart w:id="3" w:name="_Hlk151716130"/>
      <w:r w:rsidRPr="00080470">
        <w:t>granicach planowanego miejsca usytuowania obiektu – rozumie się przez to obszar wytyczony okręgiem, o promieniu równym długości od środka do najdalej wysuniętego punktu terenu objętego wnioskiem o wydanie decyzji o ustaleniu lokalizacji obiektu albo terenu, dla którego planuje się złożenie wniosku o wydanie tej decyzji, poprowadzonym ze środka</w:t>
      </w:r>
      <w:r>
        <w:t xml:space="preserve"> </w:t>
      </w:r>
      <w:r w:rsidRPr="00080470">
        <w:t>tego terenu, tak aby cały teren</w:t>
      </w:r>
      <w:r w:rsidR="00605C13">
        <w:t>,</w:t>
      </w:r>
      <w:r w:rsidR="001444EF">
        <w:t xml:space="preserve"> na</w:t>
      </w:r>
      <w:r w:rsidRPr="00080470">
        <w:t xml:space="preserve"> którym jest planowane usytuowanie obiektu, znalazł się w grani</w:t>
      </w:r>
      <w:r w:rsidR="00605C13">
        <w:t>c</w:t>
      </w:r>
      <w:r w:rsidRPr="00080470">
        <w:t>ach wytyczonego okręgu; w przypadku wytyczania granic planowanego miejsca usytuowania elektrowni jądrowej nie uwzględnia się kanałów wody chłodzącej oraz linii elektroenergetycznych</w:t>
      </w:r>
      <w:r w:rsidR="00E6533B">
        <w:t>;</w:t>
      </w:r>
    </w:p>
    <w:bookmarkEnd w:id="3"/>
    <w:p w14:paraId="08B2EEA3" w14:textId="1FB299E5" w:rsidR="00331BDB" w:rsidRPr="00325A22" w:rsidRDefault="00331BDB" w:rsidP="00CC717C">
      <w:pPr>
        <w:pStyle w:val="PKTpunkt"/>
      </w:pPr>
      <w:r>
        <w:t>2)</w:t>
      </w:r>
      <w:r>
        <w:tab/>
      </w:r>
      <w:r w:rsidRPr="00325A22">
        <w:t>obiek</w:t>
      </w:r>
      <w:r>
        <w:t>cie</w:t>
      </w:r>
      <w:r w:rsidRPr="00325A22">
        <w:t xml:space="preserve"> – rozumie się przez to obiekt energetyki jądrowej będąc</w:t>
      </w:r>
      <w:r>
        <w:t>y</w:t>
      </w:r>
      <w:r w:rsidRPr="00325A22">
        <w:t xml:space="preserve"> równocześnie obiektem jądrowym </w:t>
      </w:r>
      <w:r>
        <w:t xml:space="preserve">w rozumieniu art. 3 pkt 17 ustawy z dnia 29 listopada 2000 r. – Prawo atomowe (Dz. U. z 2023 r. poz. </w:t>
      </w:r>
      <w:r w:rsidR="001112CE">
        <w:t>1173</w:t>
      </w:r>
      <w:r w:rsidR="00EA72C5">
        <w:t xml:space="preserve"> i 1890</w:t>
      </w:r>
      <w:r>
        <w:t>);</w:t>
      </w:r>
    </w:p>
    <w:p w14:paraId="5379A6F3" w14:textId="15A0CBE8" w:rsidR="00EC6DA2" w:rsidRPr="00325A22" w:rsidRDefault="00331BDB" w:rsidP="00EC6DA2">
      <w:pPr>
        <w:pStyle w:val="PKTpunkt"/>
      </w:pPr>
      <w:r>
        <w:lastRenderedPageBreak/>
        <w:t>3</w:t>
      </w:r>
      <w:r w:rsidR="00B51A0E" w:rsidRPr="00325A22">
        <w:t>)</w:t>
      </w:r>
      <w:r w:rsidR="00EC6DA2" w:rsidRPr="00325A22">
        <w:tab/>
      </w:r>
      <w:r w:rsidR="00B51A0E" w:rsidRPr="00325A22">
        <w:t>obszarze lokalizacji –</w:t>
      </w:r>
      <w:r w:rsidR="00EC6DA2" w:rsidRPr="00325A22">
        <w:t xml:space="preserve"> </w:t>
      </w:r>
      <w:r w:rsidR="00B51A0E" w:rsidRPr="00325A22">
        <w:t xml:space="preserve">rozumie się przez to teren w odległości do 5 km od granic planowanego miejsca usytuowania </w:t>
      </w:r>
      <w:r w:rsidR="00F25F10" w:rsidRPr="00325A22">
        <w:t>obiektu</w:t>
      </w:r>
      <w:r w:rsidR="00B51A0E" w:rsidRPr="00325A22">
        <w:t>, a w uzasadnionych przypadkach związanych z budową podłoża o istotnym znaczeniu dla jego stateczności podczas sytuowania obiektu i po jego usytuowaniu –</w:t>
      </w:r>
      <w:r w:rsidR="00EC6DA2" w:rsidRPr="00325A22">
        <w:t xml:space="preserve"> </w:t>
      </w:r>
      <w:r w:rsidR="00B51A0E" w:rsidRPr="00325A22">
        <w:t>teren powiększony w stopniu pozwalającym na uzyskanie danych</w:t>
      </w:r>
      <w:r w:rsidR="00601CE1">
        <w:t xml:space="preserve"> wymaganych</w:t>
      </w:r>
      <w:r w:rsidR="00B51A0E" w:rsidRPr="00325A22">
        <w:t xml:space="preserve"> </w:t>
      </w:r>
      <w:r w:rsidR="00601CE1">
        <w:t>do</w:t>
      </w:r>
      <w:r w:rsidR="00605C13">
        <w:t xml:space="preserve"> </w:t>
      </w:r>
      <w:r w:rsidR="00B51A0E" w:rsidRPr="00325A22">
        <w:t>oceny stateczności podłoża;</w:t>
      </w:r>
    </w:p>
    <w:p w14:paraId="2A8D2A0C" w14:textId="54BB3269" w:rsidR="00BB7B55" w:rsidRDefault="00331BDB" w:rsidP="005D6E3E">
      <w:pPr>
        <w:pStyle w:val="PKTpunkt"/>
      </w:pPr>
      <w:r>
        <w:t>4</w:t>
      </w:r>
      <w:r w:rsidR="00B51A0E" w:rsidRPr="00325A22">
        <w:t>)</w:t>
      </w:r>
      <w:r w:rsidR="00EC6DA2" w:rsidRPr="00325A22">
        <w:tab/>
      </w:r>
      <w:r w:rsidR="00B51A0E" w:rsidRPr="00325A22">
        <w:t>regionie lokalizacji –</w:t>
      </w:r>
      <w:r w:rsidR="00EC6DA2" w:rsidRPr="00325A22">
        <w:t xml:space="preserve"> </w:t>
      </w:r>
      <w:r w:rsidR="00B51A0E" w:rsidRPr="00325A22">
        <w:t xml:space="preserve">rozumie się przez to teren w odległości do 30 km </w:t>
      </w:r>
      <w:r w:rsidR="00EC6DA2" w:rsidRPr="00325A22">
        <w:t xml:space="preserve">od </w:t>
      </w:r>
      <w:r w:rsidR="00B51A0E" w:rsidRPr="00325A22">
        <w:t>granic planowanego miejsca usytuowania</w:t>
      </w:r>
      <w:r w:rsidR="000B744D" w:rsidRPr="00325A22">
        <w:t xml:space="preserve"> </w:t>
      </w:r>
      <w:r w:rsidR="00F25F10" w:rsidRPr="00325A22">
        <w:t>obiektu</w:t>
      </w:r>
      <w:r w:rsidR="002B180F">
        <w:t>;</w:t>
      </w:r>
      <w:r w:rsidR="00F25F10" w:rsidRPr="00325A22">
        <w:t xml:space="preserve"> </w:t>
      </w:r>
    </w:p>
    <w:p w14:paraId="5367365E" w14:textId="77777777" w:rsidR="00E30B91" w:rsidRDefault="00164821" w:rsidP="00EC6DA2">
      <w:pPr>
        <w:pStyle w:val="PKTpunkt"/>
      </w:pPr>
      <w:r>
        <w:t>5</w:t>
      </w:r>
      <w:r w:rsidR="00BB7B55">
        <w:t>)</w:t>
      </w:r>
      <w:r w:rsidR="00BB7B55">
        <w:tab/>
      </w:r>
      <w:r w:rsidR="00BB7B55" w:rsidRPr="00094579">
        <w:t xml:space="preserve">strukturze </w:t>
      </w:r>
      <w:proofErr w:type="spellStart"/>
      <w:r w:rsidR="00BB7B55" w:rsidRPr="00094579">
        <w:t>sejsmogenicznej</w:t>
      </w:r>
      <w:proofErr w:type="spellEnd"/>
      <w:r w:rsidR="00BB7B55" w:rsidRPr="00094579">
        <w:t xml:space="preserve"> – rozumie się przez to strukturę</w:t>
      </w:r>
      <w:r w:rsidR="00E30B91">
        <w:t>:</w:t>
      </w:r>
    </w:p>
    <w:p w14:paraId="73CD9EEF" w14:textId="3433DAAB" w:rsidR="00E30B91" w:rsidRDefault="00E30B91" w:rsidP="005F4D82">
      <w:pPr>
        <w:pStyle w:val="LITlitera"/>
      </w:pPr>
      <w:r>
        <w:t>a)</w:t>
      </w:r>
      <w:r w:rsidR="004D6CA3">
        <w:tab/>
      </w:r>
      <w:r w:rsidR="00BB7B55" w:rsidRPr="00094579">
        <w:t xml:space="preserve">przejawiającą naturalną lub indukowaną aktywność sejsmiczną lub </w:t>
      </w:r>
    </w:p>
    <w:p w14:paraId="049A59DC" w14:textId="1814B630" w:rsidR="00E30B91" w:rsidRDefault="00E30B91" w:rsidP="005F4D82">
      <w:pPr>
        <w:pStyle w:val="LITlitera"/>
      </w:pPr>
      <w:r>
        <w:t>b)</w:t>
      </w:r>
      <w:r w:rsidR="004D6CA3">
        <w:tab/>
      </w:r>
      <w:r w:rsidR="00BB7B55" w:rsidRPr="00094579">
        <w:t xml:space="preserve">wykazującą historyczne pęknięcia powierzchni lub </w:t>
      </w:r>
    </w:p>
    <w:p w14:paraId="3FEBCEDF" w14:textId="5D25D03F" w:rsidR="00937F3E" w:rsidRDefault="00E30B91" w:rsidP="005F4D82">
      <w:pPr>
        <w:pStyle w:val="LITlitera"/>
      </w:pPr>
      <w:r>
        <w:t>c)</w:t>
      </w:r>
      <w:r w:rsidR="004D6CA3">
        <w:tab/>
      </w:r>
      <w:r w:rsidR="00BB7B55" w:rsidRPr="00094579">
        <w:t xml:space="preserve">wykazującą skutki </w:t>
      </w:r>
      <w:proofErr w:type="spellStart"/>
      <w:r w:rsidR="00BB7B55" w:rsidRPr="00094579">
        <w:t>paleosej</w:t>
      </w:r>
      <w:r w:rsidR="00605C13">
        <w:t>s</w:t>
      </w:r>
      <w:r w:rsidR="00BB7B55" w:rsidRPr="00094579">
        <w:t>miczności</w:t>
      </w:r>
      <w:proofErr w:type="spellEnd"/>
      <w:r w:rsidR="00BB7B55" w:rsidRPr="00094579">
        <w:t xml:space="preserve"> </w:t>
      </w:r>
    </w:p>
    <w:p w14:paraId="7D0699E8" w14:textId="0EB2E90A" w:rsidR="00EC6DA2" w:rsidRPr="00325A22" w:rsidRDefault="00605C13" w:rsidP="005F4D82">
      <w:pPr>
        <w:pStyle w:val="CZWSPLITczwsplnaliter"/>
      </w:pPr>
      <w:r>
        <w:t xml:space="preserve">- </w:t>
      </w:r>
      <w:r w:rsidR="00BB7B55" w:rsidRPr="00094579">
        <w:t xml:space="preserve">która może generować </w:t>
      </w:r>
      <w:proofErr w:type="spellStart"/>
      <w:r w:rsidR="00BB7B55" w:rsidRPr="00094579">
        <w:t>makrotrzęsienia</w:t>
      </w:r>
      <w:proofErr w:type="spellEnd"/>
      <w:r w:rsidR="00BB7B55" w:rsidRPr="00094579">
        <w:t xml:space="preserve"> ziemi</w:t>
      </w:r>
      <w:r w:rsidR="004D6CA3">
        <w:t>;</w:t>
      </w:r>
    </w:p>
    <w:p w14:paraId="014B4D20" w14:textId="1F112FD4" w:rsidR="00EC6DA2" w:rsidRPr="00325A22" w:rsidRDefault="00164821" w:rsidP="00CC4D53">
      <w:pPr>
        <w:pStyle w:val="PKTpunkt"/>
      </w:pPr>
      <w:r>
        <w:t>6</w:t>
      </w:r>
      <w:r w:rsidR="00B51A0E" w:rsidRPr="00325A22">
        <w:t>)</w:t>
      </w:r>
      <w:r w:rsidR="00EC6DA2" w:rsidRPr="00325A22">
        <w:tab/>
      </w:r>
      <w:bookmarkStart w:id="4" w:name="_Hlk151717875"/>
      <w:r w:rsidR="00B51A0E" w:rsidRPr="00325A22">
        <w:t>uskoku potencjalnie aktywnym –</w:t>
      </w:r>
      <w:r w:rsidR="00EC6DA2" w:rsidRPr="00325A22">
        <w:t xml:space="preserve"> </w:t>
      </w:r>
      <w:r w:rsidR="00B51A0E" w:rsidRPr="00325A22">
        <w:t>rozumie się</w:t>
      </w:r>
      <w:r w:rsidR="00EC6DA2" w:rsidRPr="00325A22">
        <w:t xml:space="preserve"> </w:t>
      </w:r>
      <w:r w:rsidR="00B51A0E" w:rsidRPr="00325A22">
        <w:t>przez to uskok, co do którego na podstawie przeprowadzonych studiów literaturowych, badań terenowych lub analiz:</w:t>
      </w:r>
    </w:p>
    <w:p w14:paraId="40DA7135" w14:textId="050C9C09" w:rsidR="00EC6DA2" w:rsidRDefault="00B51A0E" w:rsidP="00EC6DA2">
      <w:pPr>
        <w:pStyle w:val="LITlitera"/>
      </w:pPr>
      <w:r w:rsidRPr="00325A22">
        <w:t>a)</w:t>
      </w:r>
      <w:r w:rsidR="00EC6DA2" w:rsidRPr="00325A22">
        <w:tab/>
      </w:r>
      <w:r w:rsidR="00937F3E" w:rsidRPr="00937F3E">
        <w:t xml:space="preserve">stwierdzono przejawy przeszłej aktywności, takie jak znaczące deformacje lub dyslokacje w okresie wskazującym na możliwość wystąpienia deformacji lub dyslokacji na powierzchni lub bezpośrednio pod powierzchnią terenu podczas budowy, </w:t>
      </w:r>
      <w:r w:rsidR="00937F3E">
        <w:t xml:space="preserve">rozruchu, </w:t>
      </w:r>
      <w:r w:rsidR="00937F3E" w:rsidRPr="00937F3E">
        <w:t>eksploatacji oraz likwidacji obiektu</w:t>
      </w:r>
      <w:r w:rsidR="00937F3E">
        <w:t xml:space="preserve"> </w:t>
      </w:r>
      <w:r w:rsidRPr="00325A22">
        <w:t>lub</w:t>
      </w:r>
    </w:p>
    <w:p w14:paraId="1735DB05" w14:textId="4FCAA7F6" w:rsidR="00EC6DA2" w:rsidRPr="00325A22" w:rsidRDefault="00EC6DA2" w:rsidP="00EC6DA2">
      <w:pPr>
        <w:pStyle w:val="LITlitera"/>
      </w:pPr>
      <w:r w:rsidRPr="00325A22">
        <w:t>b)</w:t>
      </w:r>
      <w:r w:rsidRPr="00325A22">
        <w:tab/>
      </w:r>
      <w:r w:rsidR="00937F3E" w:rsidRPr="00937F3E">
        <w:t>stwierdzono taką relację strukturalną ze znanym uskokiem potencjalnie aktywnym, że uaktywnienie jednego uskoku może spowodować uaktywnienie innego, powodujące deformacje lub dyslokacje na powierzchni lub bezpośrednio pod powierzchnią terenu</w:t>
      </w:r>
      <w:r w:rsidRPr="00325A22">
        <w:t xml:space="preserve"> </w:t>
      </w:r>
      <w:r w:rsidR="00B51A0E" w:rsidRPr="00325A22">
        <w:t>lub</w:t>
      </w:r>
    </w:p>
    <w:p w14:paraId="0E49629D" w14:textId="054AEC9C" w:rsidR="00937F3E" w:rsidRPr="00325A22" w:rsidRDefault="00EC6DA2" w:rsidP="005F4D82">
      <w:pPr>
        <w:pStyle w:val="LITlitera"/>
      </w:pPr>
      <w:r w:rsidRPr="00325A22">
        <w:t>c)</w:t>
      </w:r>
      <w:r w:rsidRPr="00325A22">
        <w:tab/>
      </w:r>
      <w:r w:rsidR="00937F3E" w:rsidRPr="00937F3E">
        <w:t xml:space="preserve">stwierdzono, że potencjalna maksymalna </w:t>
      </w:r>
      <w:proofErr w:type="spellStart"/>
      <w:r w:rsidR="00937F3E" w:rsidRPr="00937F3E">
        <w:t>magnituda</w:t>
      </w:r>
      <w:proofErr w:type="spellEnd"/>
      <w:r w:rsidR="00937F3E" w:rsidRPr="00937F3E">
        <w:t xml:space="preserve"> związana ze strukturą </w:t>
      </w:r>
      <w:proofErr w:type="spellStart"/>
      <w:r w:rsidR="00937F3E" w:rsidRPr="00937F3E">
        <w:t>sejsmogeniczną</w:t>
      </w:r>
      <w:proofErr w:type="spellEnd"/>
      <w:r w:rsidR="00937F3E" w:rsidRPr="00937F3E">
        <w:t xml:space="preserve"> jest na tyle wysoka i jej aktywność sejsmiczna jest przewidywana na takiej głębokości, że mogą powstać deformacje lub dyslokacje na powierzchni lub bezpośrednio pod powierzchnią terenu</w:t>
      </w:r>
      <w:r w:rsidR="00937F3E">
        <w:t>.</w:t>
      </w:r>
    </w:p>
    <w:bookmarkEnd w:id="4"/>
    <w:p w14:paraId="4FFEDDAA" w14:textId="2E1D79C5" w:rsidR="00B51A0E" w:rsidRPr="00325A22" w:rsidRDefault="00B51A0E" w:rsidP="00343369">
      <w:pPr>
        <w:pStyle w:val="ARTartustawynprozporzdzenia"/>
      </w:pPr>
      <w:r w:rsidRPr="00325A22">
        <w:t>§</w:t>
      </w:r>
      <w:r w:rsidR="00EC6DA2" w:rsidRPr="00325A22">
        <w:t xml:space="preserve"> </w:t>
      </w:r>
      <w:r w:rsidRPr="00325A22">
        <w:t>2.</w:t>
      </w:r>
      <w:r w:rsidR="00EC6DA2" w:rsidRPr="00325A22">
        <w:t xml:space="preserve"> </w:t>
      </w:r>
      <w:r w:rsidRPr="00325A22">
        <w:t>Szczegółowy zakres przeprowadzania wstępnej oceny terenu przeznaczonego pod lokalizację</w:t>
      </w:r>
      <w:r w:rsidR="005E582E" w:rsidRPr="00325A22">
        <w:t xml:space="preserve"> obiektu </w:t>
      </w:r>
      <w:r w:rsidRPr="00325A22">
        <w:t>obejmuje</w:t>
      </w:r>
      <w:r w:rsidR="00343369" w:rsidRPr="00325A22">
        <w:t xml:space="preserve"> </w:t>
      </w:r>
      <w:r w:rsidRPr="00325A22">
        <w:t>analizy:</w:t>
      </w:r>
    </w:p>
    <w:p w14:paraId="7F8AB53F" w14:textId="77777777" w:rsidR="00B51A0E" w:rsidRDefault="00B51A0E" w:rsidP="00343369">
      <w:pPr>
        <w:pStyle w:val="PKTpunkt"/>
      </w:pPr>
      <w:r w:rsidRPr="00325A22">
        <w:t>1)</w:t>
      </w:r>
      <w:r w:rsidR="00343369" w:rsidRPr="00325A22">
        <w:tab/>
      </w:r>
      <w:r w:rsidRPr="00325A22">
        <w:t>z zakresu sejsmiki i tektoniki</w:t>
      </w:r>
      <w:r w:rsidR="002B180F">
        <w:t>, biorące pod uwagę</w:t>
      </w:r>
      <w:r w:rsidRPr="00325A22">
        <w:t>:</w:t>
      </w:r>
    </w:p>
    <w:p w14:paraId="36A58912" w14:textId="57086AD2" w:rsidR="00C20193" w:rsidRDefault="00C20193" w:rsidP="00C20193">
      <w:pPr>
        <w:pStyle w:val="LITlitera"/>
      </w:pPr>
      <w:r>
        <w:t>a)</w:t>
      </w:r>
      <w:r>
        <w:tab/>
      </w:r>
      <w:r w:rsidR="00601CE1">
        <w:t>struktury tektoniczne w regionie lokalizacji</w:t>
      </w:r>
      <w:r>
        <w:t xml:space="preserve">, </w:t>
      </w:r>
    </w:p>
    <w:p w14:paraId="07884B8A" w14:textId="14847389" w:rsidR="00C20193" w:rsidRDefault="00C20193" w:rsidP="00C20193">
      <w:pPr>
        <w:pStyle w:val="LITlitera"/>
      </w:pPr>
      <w:r>
        <w:t>b)</w:t>
      </w:r>
      <w:r>
        <w:tab/>
        <w:t xml:space="preserve">kierunek i reżim współczesnych </w:t>
      </w:r>
      <w:proofErr w:type="spellStart"/>
      <w:r>
        <w:t>naprężeń</w:t>
      </w:r>
      <w:proofErr w:type="spellEnd"/>
      <w:r>
        <w:t xml:space="preserve"> tektonicznych,</w:t>
      </w:r>
    </w:p>
    <w:p w14:paraId="12C69200" w14:textId="1F91090B" w:rsidR="00C20193" w:rsidRDefault="00C20193" w:rsidP="00C20193">
      <w:pPr>
        <w:pStyle w:val="LITlitera"/>
      </w:pPr>
      <w:r>
        <w:t>c)</w:t>
      </w:r>
      <w:r>
        <w:tab/>
        <w:t>ruchy pionowe powierzchni ziemi,</w:t>
      </w:r>
    </w:p>
    <w:p w14:paraId="66DBCB8F" w14:textId="361D0204" w:rsidR="00C20193" w:rsidRPr="00325A22" w:rsidRDefault="00C20193" w:rsidP="00C20193">
      <w:pPr>
        <w:pStyle w:val="LITlitera"/>
      </w:pPr>
      <w:r>
        <w:t>d</w:t>
      </w:r>
      <w:r w:rsidRPr="00325A22">
        <w:t>)</w:t>
      </w:r>
      <w:r w:rsidRPr="00325A22">
        <w:tab/>
        <w:t>dane dotyczące przeszłej oraz obecnej naturalnej sejsmiczności,</w:t>
      </w:r>
    </w:p>
    <w:p w14:paraId="4BED72BD" w14:textId="75D6ED74" w:rsidR="00A13AFF" w:rsidRPr="00325A22" w:rsidRDefault="00C20193" w:rsidP="00C20193">
      <w:pPr>
        <w:pStyle w:val="LITlitera"/>
      </w:pPr>
      <w:r>
        <w:lastRenderedPageBreak/>
        <w:t>e</w:t>
      </w:r>
      <w:r w:rsidRPr="00325A22">
        <w:t>)</w:t>
      </w:r>
      <w:r w:rsidRPr="00325A22">
        <w:tab/>
        <w:t xml:space="preserve">wstrząsy sejsmiczne z </w:t>
      </w:r>
      <w:r w:rsidR="00E60201">
        <w:t xml:space="preserve">przeszłości z </w:t>
      </w:r>
      <w:r w:rsidRPr="00325A22">
        <w:t>określeniem</w:t>
      </w:r>
      <w:r>
        <w:t xml:space="preserve"> </w:t>
      </w:r>
      <w:r w:rsidRPr="00325A22">
        <w:t>maksymalnego naturalnego i</w:t>
      </w:r>
      <w:r w:rsidR="00A24735">
        <w:t> </w:t>
      </w:r>
      <w:r w:rsidRPr="00325A22">
        <w:t>indukowanego wstrząsu sejsmicznego</w:t>
      </w:r>
      <w:r w:rsidR="00E30B91">
        <w:t>,</w:t>
      </w:r>
      <w:r w:rsidRPr="00325A22">
        <w:t xml:space="preserve"> z uwzględnieniem parametrów wstrząs</w:t>
      </w:r>
      <w:r>
        <w:t>ów</w:t>
      </w:r>
      <w:r w:rsidR="00C529BC">
        <w:t xml:space="preserve"> </w:t>
      </w:r>
      <w:r>
        <w:t>i prognozą ich powtórzenia,</w:t>
      </w:r>
    </w:p>
    <w:p w14:paraId="622FAFC7" w14:textId="4F622A7E" w:rsidR="00902B68" w:rsidRDefault="00C20193" w:rsidP="00902B68">
      <w:pPr>
        <w:pStyle w:val="LITlitera"/>
      </w:pPr>
      <w:r>
        <w:t>f</w:t>
      </w:r>
      <w:r w:rsidRPr="00325A22">
        <w:t>)</w:t>
      </w:r>
      <w:r w:rsidRPr="00325A22">
        <w:tab/>
        <w:t>aktywność uskoków wraz z ich wzajemnym oddziaływaniem oraz prognozę możliwych zmian tej aktywności</w:t>
      </w:r>
      <w:r>
        <w:t xml:space="preserve"> w wyniku</w:t>
      </w:r>
      <w:r w:rsidRPr="00325A22">
        <w:t xml:space="preserve"> działalności </w:t>
      </w:r>
      <w:r>
        <w:t>człowieka</w:t>
      </w:r>
      <w:r w:rsidRPr="00325A22">
        <w:t xml:space="preserve">; analizy uskoku potencjalnie aktywnego w zakresie odnoszącym się do § 1 pkt </w:t>
      </w:r>
      <w:r w:rsidR="00164821">
        <w:t>6</w:t>
      </w:r>
      <w:r w:rsidR="0071455E">
        <w:t xml:space="preserve"> lit. a</w:t>
      </w:r>
      <w:r w:rsidRPr="00325A22">
        <w:t xml:space="preserve"> obejmują okres co najmniej od początku pliocenu do</w:t>
      </w:r>
      <w:r w:rsidR="003A19EE">
        <w:t xml:space="preserve"> dnia zakończenia wstępnej oceny terenu przeznaczonego pod lokalizację obiektu</w:t>
      </w:r>
      <w:r w:rsidRPr="00325A22">
        <w:t>,</w:t>
      </w:r>
    </w:p>
    <w:p w14:paraId="18479C84" w14:textId="01A2B540" w:rsidR="00080470" w:rsidRPr="00325A22" w:rsidRDefault="00080470" w:rsidP="00080470">
      <w:pPr>
        <w:pStyle w:val="LITlitera"/>
      </w:pPr>
      <w:r>
        <w:t>g</w:t>
      </w:r>
      <w:r w:rsidRPr="00325A22">
        <w:t>)</w:t>
      </w:r>
      <w:r w:rsidRPr="00325A22">
        <w:tab/>
        <w:t>przeszłą, obecną</w:t>
      </w:r>
      <w:r>
        <w:t xml:space="preserve">, a także </w:t>
      </w:r>
      <w:r w:rsidRPr="00325A22">
        <w:t>planowaną</w:t>
      </w:r>
      <w:r>
        <w:t xml:space="preserve"> (rozumianą jako wynikającą z wydanych przez organy administracji publicznej decyzji lub przyjętych przez nie  dokumentów planistycznych, programowych lub strategicznych)</w:t>
      </w:r>
      <w:r w:rsidRPr="00325A22">
        <w:t xml:space="preserve"> działalność</w:t>
      </w:r>
      <w:r>
        <w:t xml:space="preserve"> człowieka</w:t>
      </w:r>
      <w:r w:rsidRPr="00325A22">
        <w:t xml:space="preserve"> stanowiącą lub mogącą stanowić zagrożenie przez indukowanie wstrząsów sejsmicznych, powodowanie uaktywnienia struktur uskokowych, przemieszczani</w:t>
      </w:r>
      <w:r>
        <w:t>a</w:t>
      </w:r>
      <w:r w:rsidRPr="00325A22">
        <w:t>, zapadani</w:t>
      </w:r>
      <w:r>
        <w:t>a</w:t>
      </w:r>
      <w:r w:rsidRPr="00325A22">
        <w:t xml:space="preserve"> lub upłynniani</w:t>
      </w:r>
      <w:r>
        <w:t>a</w:t>
      </w:r>
      <w:r w:rsidRPr="00325A22">
        <w:t xml:space="preserve"> gruntów, z uwzględnieniem:</w:t>
      </w:r>
    </w:p>
    <w:p w14:paraId="0E4C293B" w14:textId="77777777" w:rsidR="00080470" w:rsidRPr="00325A22" w:rsidRDefault="00080470" w:rsidP="00080470">
      <w:pPr>
        <w:pStyle w:val="TIRtiret"/>
      </w:pPr>
      <w:r w:rsidRPr="00325A22">
        <w:t>–</w:t>
      </w:r>
      <w:r w:rsidRPr="00325A22">
        <w:tab/>
        <w:t>zaobserwowanych indukowanych wstrząsów sejsmicznych i ich charakterystyki,</w:t>
      </w:r>
    </w:p>
    <w:p w14:paraId="1AD67588" w14:textId="77777777" w:rsidR="00080470" w:rsidRPr="00325A22" w:rsidRDefault="00080470" w:rsidP="00080470">
      <w:pPr>
        <w:pStyle w:val="TIRtiret"/>
      </w:pPr>
      <w:r w:rsidRPr="00325A22">
        <w:t>–</w:t>
      </w:r>
      <w:r w:rsidRPr="00325A22">
        <w:tab/>
      </w:r>
      <w:proofErr w:type="spellStart"/>
      <w:r w:rsidRPr="00325A22">
        <w:t>geomechanicznej</w:t>
      </w:r>
      <w:proofErr w:type="spellEnd"/>
      <w:r w:rsidRPr="00325A22">
        <w:t xml:space="preserve"> charakterystyki podatności głębokiego podłoża na zmian</w:t>
      </w:r>
      <w:r>
        <w:t>y</w:t>
      </w:r>
      <w:r w:rsidRPr="00325A22">
        <w:t xml:space="preserve"> </w:t>
      </w:r>
      <w:proofErr w:type="spellStart"/>
      <w:r w:rsidRPr="00325A22">
        <w:t>naprężeń</w:t>
      </w:r>
      <w:proofErr w:type="spellEnd"/>
      <w:r w:rsidRPr="00325A22">
        <w:t xml:space="preserve"> spowodowanych </w:t>
      </w:r>
      <w:r>
        <w:t xml:space="preserve">działalnością antropogeniczną, </w:t>
      </w:r>
    </w:p>
    <w:p w14:paraId="3067A59E" w14:textId="77777777" w:rsidR="00080470" w:rsidRPr="00325A22" w:rsidRDefault="00080470" w:rsidP="00080470">
      <w:pPr>
        <w:pStyle w:val="TIRtiret"/>
      </w:pPr>
      <w:r w:rsidRPr="00325A22">
        <w:t>–</w:t>
      </w:r>
      <w:r w:rsidRPr="00325A22">
        <w:tab/>
        <w:t>rozmiarów pozostałych zaobserwowanych zjawisk innych niż wstrząsy, zaistniałych przez prowadzoną działalność,</w:t>
      </w:r>
    </w:p>
    <w:p w14:paraId="23652B60" w14:textId="58753F24" w:rsidR="00080470" w:rsidRPr="00325A22" w:rsidRDefault="00080470" w:rsidP="00C529BC">
      <w:pPr>
        <w:pStyle w:val="TIRtiret"/>
      </w:pPr>
      <w:r w:rsidRPr="00325A22">
        <w:t>–</w:t>
      </w:r>
      <w:r w:rsidRPr="00325A22">
        <w:tab/>
        <w:t>innych czynników mogących negatywnie wpływać na bezpieczeństwo jądrowe obiektu</w:t>
      </w:r>
      <w:r w:rsidR="00783C72">
        <w:t>;</w:t>
      </w:r>
    </w:p>
    <w:p w14:paraId="42477041" w14:textId="0D70533F" w:rsidR="00343369" w:rsidRPr="00325A22" w:rsidRDefault="00343369" w:rsidP="00343369">
      <w:pPr>
        <w:pStyle w:val="PKTpunkt"/>
      </w:pPr>
      <w:r w:rsidRPr="00325A22">
        <w:t>2)</w:t>
      </w:r>
      <w:r w:rsidRPr="00325A22">
        <w:tab/>
        <w:t>z zakresu warunków geologiczno-inżynierskich</w:t>
      </w:r>
      <w:r w:rsidR="00203184">
        <w:t xml:space="preserve"> występujących</w:t>
      </w:r>
      <w:r w:rsidR="002B180F">
        <w:t xml:space="preserve"> </w:t>
      </w:r>
      <w:r w:rsidR="00203184">
        <w:t xml:space="preserve">na obszarze lokalizacji, </w:t>
      </w:r>
      <w:r w:rsidR="002B180F">
        <w:t>biorące pod uwagę</w:t>
      </w:r>
      <w:r w:rsidRPr="00325A22">
        <w:t>:</w:t>
      </w:r>
    </w:p>
    <w:p w14:paraId="1D971047" w14:textId="29364B70" w:rsidR="00343369" w:rsidRDefault="0005511F" w:rsidP="00343369">
      <w:pPr>
        <w:pStyle w:val="LITlitera"/>
      </w:pPr>
      <w:r>
        <w:t>a</w:t>
      </w:r>
      <w:r w:rsidR="00343369" w:rsidRPr="00325A22">
        <w:t>)</w:t>
      </w:r>
      <w:r w:rsidR="0062774A" w:rsidRPr="00325A22">
        <w:tab/>
      </w:r>
      <w:r w:rsidR="00343369" w:rsidRPr="00325A22">
        <w:t>na terenach występowania skał węglanowych oraz gipsowych –</w:t>
      </w:r>
      <w:r w:rsidR="0062774A" w:rsidRPr="00325A22">
        <w:t xml:space="preserve"> </w:t>
      </w:r>
      <w:r w:rsidR="00343369" w:rsidRPr="00325A22">
        <w:t>charakterystykę ilościową i rodzajową istniejących form krasowych</w:t>
      </w:r>
      <w:r w:rsidR="00BB7B55">
        <w:t>,</w:t>
      </w:r>
    </w:p>
    <w:p w14:paraId="633B9E46" w14:textId="30FA39EF" w:rsidR="00447A19" w:rsidRDefault="0005511F" w:rsidP="00447A19">
      <w:pPr>
        <w:pStyle w:val="LITlitera"/>
      </w:pPr>
      <w:r>
        <w:t>b</w:t>
      </w:r>
      <w:r w:rsidR="00076525">
        <w:t>)</w:t>
      </w:r>
      <w:r w:rsidR="00076525">
        <w:tab/>
        <w:t xml:space="preserve">warunki </w:t>
      </w:r>
      <w:proofErr w:type="spellStart"/>
      <w:r w:rsidR="00076525">
        <w:t>geologiczno­inżynierskie</w:t>
      </w:r>
      <w:proofErr w:type="spellEnd"/>
      <w:r w:rsidR="00076525">
        <w:t xml:space="preserve"> podłoża ze szczególnym uwzględnieniem właściwości fizyczno­mechanicznych podłoża oraz innych procesów niekorzystnych dla posad</w:t>
      </w:r>
      <w:r w:rsidR="00CE4343">
        <w:t>o</w:t>
      </w:r>
      <w:r w:rsidR="00076525">
        <w:t>wi</w:t>
      </w:r>
      <w:r w:rsidR="00CE4343">
        <w:t>e</w:t>
      </w:r>
      <w:r w:rsidR="00076525">
        <w:t>nia obiektu jądrowego,</w:t>
      </w:r>
    </w:p>
    <w:p w14:paraId="50EF4E50" w14:textId="0C10AC9F" w:rsidR="00076525" w:rsidRDefault="0005511F" w:rsidP="005D6E3E">
      <w:pPr>
        <w:pStyle w:val="LITlitera"/>
      </w:pPr>
      <w:r>
        <w:t>c</w:t>
      </w:r>
      <w:r w:rsidR="00076525">
        <w:t>)</w:t>
      </w:r>
      <w:r w:rsidR="00076525">
        <w:tab/>
      </w:r>
      <w:r w:rsidR="008B3127" w:rsidRPr="008B3127">
        <w:t>prognoz</w:t>
      </w:r>
      <w:r w:rsidR="00203184">
        <w:t>ę</w:t>
      </w:r>
      <w:r w:rsidR="008B3127" w:rsidRPr="008B3127">
        <w:t xml:space="preserve"> osiadania terenu, z uwzględnieniem lokalnych warunków </w:t>
      </w:r>
      <w:proofErr w:type="spellStart"/>
      <w:r w:rsidR="008B3127" w:rsidRPr="008B3127">
        <w:t>geologiczno­inżynierskich</w:t>
      </w:r>
      <w:proofErr w:type="spellEnd"/>
      <w:r w:rsidR="00076525">
        <w:t>,</w:t>
      </w:r>
    </w:p>
    <w:p w14:paraId="079C2C15" w14:textId="77777777" w:rsidR="00076525" w:rsidRDefault="0005511F" w:rsidP="00076525">
      <w:pPr>
        <w:pStyle w:val="LITlitera"/>
      </w:pPr>
      <w:r>
        <w:lastRenderedPageBreak/>
        <w:t>d</w:t>
      </w:r>
      <w:r w:rsidR="00076525">
        <w:t>)</w:t>
      </w:r>
      <w:r w:rsidR="00076525">
        <w:tab/>
        <w:t>występowanie i możliwość wystąpienia deformacji filtracyjnych typu sufozji, przebicia hydraulicznego i wyparcia hydraulicznego, z uwzględnieniem zmiany dynamiki krążenia wód podziemnych,</w:t>
      </w:r>
    </w:p>
    <w:p w14:paraId="0D53CD04" w14:textId="7CC7B7F4" w:rsidR="00076525" w:rsidRDefault="0005511F" w:rsidP="005D6E3E">
      <w:pPr>
        <w:pStyle w:val="LITlitera"/>
      </w:pPr>
      <w:r>
        <w:t>e</w:t>
      </w:r>
      <w:r w:rsidR="00076525">
        <w:t>)</w:t>
      </w:r>
      <w:r w:rsidR="00076525">
        <w:tab/>
      </w:r>
      <w:r w:rsidR="008B3127">
        <w:t>w</w:t>
      </w:r>
      <w:r w:rsidR="008B3127" w:rsidRPr="008B3127">
        <w:t xml:space="preserve">ystępowanie terenów zagrożonych ruchami masowymi ziemi oraz terenów, na których występują </w:t>
      </w:r>
      <w:r w:rsidR="003A19EE">
        <w:t xml:space="preserve">te </w:t>
      </w:r>
      <w:r w:rsidR="008B3127" w:rsidRPr="008B3127">
        <w:t>ruchy</w:t>
      </w:r>
      <w:r w:rsidR="000206BA">
        <w:t>, z uwzględnieniem obszarów znajdujących się w</w:t>
      </w:r>
      <w:r w:rsidR="00A24735">
        <w:t> </w:t>
      </w:r>
      <w:r w:rsidR="000206BA">
        <w:t>rejestrze terenów zagrożonych ruchami masowymi ziemi oraz terenów, na których występują te ruchy, o którym mowa w art. 110a</w:t>
      </w:r>
      <w:r w:rsidR="00240FEF">
        <w:t xml:space="preserve"> u</w:t>
      </w:r>
      <w:r w:rsidR="00240FEF" w:rsidRPr="00240FEF">
        <w:t xml:space="preserve">stawy z dnia </w:t>
      </w:r>
      <w:r w:rsidR="00240FEF">
        <w:t>27</w:t>
      </w:r>
      <w:r w:rsidR="00240FEF" w:rsidRPr="00240FEF">
        <w:t xml:space="preserve"> </w:t>
      </w:r>
      <w:r w:rsidR="00240FEF">
        <w:t>kwietnia</w:t>
      </w:r>
      <w:r w:rsidR="00240FEF" w:rsidRPr="00240FEF">
        <w:t xml:space="preserve"> 20</w:t>
      </w:r>
      <w:r w:rsidR="00240FEF">
        <w:t>0</w:t>
      </w:r>
      <w:r w:rsidR="00240FEF" w:rsidRPr="00240FEF">
        <w:t xml:space="preserve">1 r. – Prawo </w:t>
      </w:r>
      <w:r w:rsidR="00240FEF">
        <w:t>ochrony środowiska</w:t>
      </w:r>
      <w:r w:rsidR="003B60FA">
        <w:t xml:space="preserve"> </w:t>
      </w:r>
      <w:r w:rsidR="003B60FA" w:rsidRPr="003B60FA">
        <w:t xml:space="preserve">(Dz. U. z </w:t>
      </w:r>
      <w:r w:rsidR="004D6CA3" w:rsidRPr="003B60FA">
        <w:t>202</w:t>
      </w:r>
      <w:r w:rsidR="004D6CA3">
        <w:t>4</w:t>
      </w:r>
      <w:r w:rsidR="004D6CA3" w:rsidRPr="003B60FA">
        <w:t xml:space="preserve"> </w:t>
      </w:r>
      <w:r w:rsidR="003B60FA" w:rsidRPr="003B60FA">
        <w:t xml:space="preserve">r. poz. </w:t>
      </w:r>
      <w:r w:rsidR="004D6CA3">
        <w:t>54</w:t>
      </w:r>
      <w:r w:rsidR="003B60FA" w:rsidRPr="003B60FA">
        <w:t>)</w:t>
      </w:r>
      <w:r w:rsidR="00076525">
        <w:t>,</w:t>
      </w:r>
    </w:p>
    <w:p w14:paraId="559B4DC8" w14:textId="25B793AB" w:rsidR="001B080D" w:rsidRPr="0012606B" w:rsidRDefault="0005511F" w:rsidP="001B080D">
      <w:pPr>
        <w:pStyle w:val="LITlitera"/>
      </w:pPr>
      <w:r>
        <w:t>f</w:t>
      </w:r>
      <w:r w:rsidR="00076525">
        <w:t>)</w:t>
      </w:r>
      <w:r w:rsidR="00076525">
        <w:tab/>
      </w:r>
      <w:r w:rsidR="008B3127">
        <w:t>w</w:t>
      </w:r>
      <w:r w:rsidR="008B3127" w:rsidRPr="008B3127">
        <w:t xml:space="preserve">ystępowanie </w:t>
      </w:r>
      <w:r w:rsidR="001B080D">
        <w:t xml:space="preserve"> </w:t>
      </w:r>
      <w:r w:rsidR="001B080D" w:rsidRPr="0012606B">
        <w:t>gruntów</w:t>
      </w:r>
      <w:r w:rsidR="00EE2F94">
        <w:t xml:space="preserve"> słabonośnych</w:t>
      </w:r>
      <w:r w:rsidR="001B080D" w:rsidRPr="0012606B">
        <w:t xml:space="preserve"> o dużej ściśliwości</w:t>
      </w:r>
      <w:r w:rsidR="001B080D">
        <w:t>,</w:t>
      </w:r>
      <w:r w:rsidR="001B080D" w:rsidRPr="0012606B">
        <w:t xml:space="preserve"> małej wytrzymałości na ścinanie lub podatn</w:t>
      </w:r>
      <w:r w:rsidR="001B080D">
        <w:t>ych</w:t>
      </w:r>
      <w:r w:rsidR="001B080D" w:rsidRPr="0012606B">
        <w:t xml:space="preserve"> na zmianę wilgotności, w tym:</w:t>
      </w:r>
    </w:p>
    <w:p w14:paraId="4203D9F5" w14:textId="77777777" w:rsidR="001B080D" w:rsidRPr="0012606B" w:rsidRDefault="001B080D" w:rsidP="001B080D">
      <w:pPr>
        <w:pStyle w:val="TIRtiret"/>
      </w:pPr>
      <w:r>
        <w:t>–</w:t>
      </w:r>
      <w:r>
        <w:tab/>
      </w:r>
      <w:r w:rsidRPr="0012606B">
        <w:t>grunt</w:t>
      </w:r>
      <w:r>
        <w:t>ów</w:t>
      </w:r>
      <w:r w:rsidRPr="0012606B">
        <w:t xml:space="preserve"> organiczn</w:t>
      </w:r>
      <w:r>
        <w:t>ych</w:t>
      </w:r>
      <w:r w:rsidRPr="0012606B">
        <w:t xml:space="preserve"> (torf</w:t>
      </w:r>
      <w:r>
        <w:t>ów</w:t>
      </w:r>
      <w:r w:rsidRPr="0012606B">
        <w:t>, gyti</w:t>
      </w:r>
      <w:r>
        <w:t>i</w:t>
      </w:r>
      <w:r w:rsidRPr="0012606B">
        <w:t>, kred</w:t>
      </w:r>
      <w:r>
        <w:t>y</w:t>
      </w:r>
      <w:r w:rsidRPr="0012606B">
        <w:t xml:space="preserve"> jeziorn</w:t>
      </w:r>
      <w:r>
        <w:t>ej</w:t>
      </w:r>
      <w:r w:rsidRPr="0012606B">
        <w:t xml:space="preserve">), </w:t>
      </w:r>
    </w:p>
    <w:p w14:paraId="28CD5FDA" w14:textId="77777777" w:rsidR="001B080D" w:rsidRPr="0012606B" w:rsidRDefault="001B080D" w:rsidP="00164821">
      <w:pPr>
        <w:pStyle w:val="TIRtiret"/>
      </w:pPr>
      <w:r>
        <w:t>–</w:t>
      </w:r>
      <w:r>
        <w:tab/>
      </w:r>
      <w:r w:rsidRPr="0012606B">
        <w:t>grunt</w:t>
      </w:r>
      <w:r>
        <w:t>ów</w:t>
      </w:r>
      <w:r w:rsidRPr="0012606B">
        <w:t xml:space="preserve"> organiczn</w:t>
      </w:r>
      <w:r>
        <w:t>ych</w:t>
      </w:r>
      <w:r w:rsidRPr="0012606B">
        <w:t xml:space="preserve"> mineraln</w:t>
      </w:r>
      <w:r>
        <w:t>ych</w:t>
      </w:r>
      <w:r w:rsidRPr="0012606B">
        <w:t xml:space="preserve"> (namuł</w:t>
      </w:r>
      <w:r>
        <w:t>ów</w:t>
      </w:r>
      <w:r w:rsidRPr="0012606B">
        <w:t xml:space="preserve">), </w:t>
      </w:r>
    </w:p>
    <w:p w14:paraId="69E2EB7C" w14:textId="77777777" w:rsidR="001B080D" w:rsidRPr="0012606B" w:rsidRDefault="001B080D" w:rsidP="00164821">
      <w:pPr>
        <w:pStyle w:val="TIRtiret"/>
      </w:pPr>
      <w:r>
        <w:t>–</w:t>
      </w:r>
      <w:r w:rsidRPr="0012606B">
        <w:tab/>
        <w:t>grunt</w:t>
      </w:r>
      <w:r>
        <w:t>ów</w:t>
      </w:r>
      <w:r w:rsidRPr="0012606B">
        <w:t xml:space="preserve"> drobnoziarnist</w:t>
      </w:r>
      <w:r>
        <w:t>ych</w:t>
      </w:r>
      <w:r w:rsidRPr="0012606B">
        <w:t xml:space="preserve"> w stanie gorszym niż plastyczny, </w:t>
      </w:r>
    </w:p>
    <w:p w14:paraId="4170E437" w14:textId="77777777" w:rsidR="001B080D" w:rsidRPr="0012606B" w:rsidRDefault="001B080D" w:rsidP="00644522">
      <w:pPr>
        <w:pStyle w:val="TIRtiret"/>
      </w:pPr>
      <w:r>
        <w:t>–</w:t>
      </w:r>
      <w:r>
        <w:tab/>
      </w:r>
      <w:r w:rsidRPr="0012606B">
        <w:t>grunt</w:t>
      </w:r>
      <w:r>
        <w:t>ów</w:t>
      </w:r>
      <w:r w:rsidRPr="0012606B">
        <w:t xml:space="preserve"> gruboziarnist</w:t>
      </w:r>
      <w:r>
        <w:t>ych</w:t>
      </w:r>
      <w:r w:rsidRPr="0012606B">
        <w:t xml:space="preserve">  i bardzo gruboziarnist</w:t>
      </w:r>
      <w:r>
        <w:t>ych</w:t>
      </w:r>
      <w:r w:rsidRPr="0012606B">
        <w:t xml:space="preserve"> w stanie luźnym, </w:t>
      </w:r>
    </w:p>
    <w:p w14:paraId="7E67F779" w14:textId="5ED1BAFC" w:rsidR="001B080D" w:rsidRDefault="001B080D" w:rsidP="005D6E3E">
      <w:pPr>
        <w:pStyle w:val="TIRtiret"/>
      </w:pPr>
      <w:r>
        <w:t>–</w:t>
      </w:r>
      <w:r>
        <w:tab/>
      </w:r>
      <w:r w:rsidRPr="0012606B">
        <w:t>grunt</w:t>
      </w:r>
      <w:r>
        <w:t>ów</w:t>
      </w:r>
      <w:r w:rsidRPr="0012606B">
        <w:t xml:space="preserve"> antropogeniczn</w:t>
      </w:r>
      <w:r>
        <w:t>ych,</w:t>
      </w:r>
      <w:r w:rsidRPr="001B080D">
        <w:t xml:space="preserve"> </w:t>
      </w:r>
    </w:p>
    <w:p w14:paraId="62ECCC72" w14:textId="0062E500" w:rsidR="00076525" w:rsidRPr="00325A22" w:rsidRDefault="001B080D" w:rsidP="005D6E3E">
      <w:pPr>
        <w:pStyle w:val="LITlitera"/>
      </w:pPr>
      <w:r>
        <w:t>g)</w:t>
      </w:r>
      <w:r>
        <w:tab/>
        <w:t>w</w:t>
      </w:r>
      <w:r w:rsidRPr="008B3127">
        <w:t>ystępowanie</w:t>
      </w:r>
      <w:r w:rsidRPr="0012606B">
        <w:t xml:space="preserve"> skał </w:t>
      </w:r>
      <w:r w:rsidR="00EE2F94">
        <w:t xml:space="preserve">słabych </w:t>
      </w:r>
      <w:r w:rsidRPr="0012606B">
        <w:t>charakteryzując</w:t>
      </w:r>
      <w:r>
        <w:t>ych</w:t>
      </w:r>
      <w:r w:rsidRPr="0012606B">
        <w:t xml:space="preserve"> się wytrzymałością na jednoosiowe ściskanie równą lub mniejszą niż 5 </w:t>
      </w:r>
      <w:proofErr w:type="spellStart"/>
      <w:r w:rsidRPr="0012606B">
        <w:t>megapaskali</w:t>
      </w:r>
      <w:proofErr w:type="spellEnd"/>
      <w:r w:rsidRPr="0012606B">
        <w:t xml:space="preserve"> (</w:t>
      </w:r>
      <w:proofErr w:type="spellStart"/>
      <w:r w:rsidRPr="0012606B">
        <w:t>MPa</w:t>
      </w:r>
      <w:proofErr w:type="spellEnd"/>
      <w:r w:rsidRPr="0012606B">
        <w:t>)</w:t>
      </w:r>
      <w:r w:rsidR="008B3127">
        <w:t>;</w:t>
      </w:r>
      <w:r w:rsidRPr="001B080D">
        <w:t xml:space="preserve"> </w:t>
      </w:r>
    </w:p>
    <w:p w14:paraId="316C21E2" w14:textId="77777777" w:rsidR="00343369" w:rsidRPr="00325A22" w:rsidRDefault="00343369" w:rsidP="0062774A">
      <w:pPr>
        <w:pStyle w:val="PKTpunkt"/>
      </w:pPr>
      <w:r w:rsidRPr="00325A22">
        <w:t>3)</w:t>
      </w:r>
      <w:r w:rsidR="0062774A" w:rsidRPr="00325A22">
        <w:tab/>
      </w:r>
      <w:r w:rsidRPr="00325A22">
        <w:t>z zakresu warunków hydrogeologicznych</w:t>
      </w:r>
      <w:r w:rsidR="002B180F">
        <w:t>, biorące pod uwagę</w:t>
      </w:r>
      <w:r w:rsidRPr="00325A22">
        <w:t>:</w:t>
      </w:r>
    </w:p>
    <w:p w14:paraId="1C5CA73B" w14:textId="77777777" w:rsidR="00343369" w:rsidRPr="00325A22" w:rsidRDefault="00343369" w:rsidP="00343369">
      <w:pPr>
        <w:pStyle w:val="LITlitera"/>
      </w:pPr>
      <w:r w:rsidRPr="00325A22">
        <w:t>a)</w:t>
      </w:r>
      <w:r w:rsidR="0062774A" w:rsidRPr="00325A22">
        <w:tab/>
      </w:r>
      <w:r w:rsidRPr="00325A22">
        <w:t>charakterystykę systemu hydrogeologicznego z:</w:t>
      </w:r>
    </w:p>
    <w:p w14:paraId="29884AE4" w14:textId="6C54FA14" w:rsidR="00343369" w:rsidRPr="00325A22" w:rsidRDefault="00343369" w:rsidP="0062774A">
      <w:pPr>
        <w:pStyle w:val="TIRtiret"/>
      </w:pPr>
      <w:r w:rsidRPr="00325A22">
        <w:t>–</w:t>
      </w:r>
      <w:r w:rsidR="0062774A" w:rsidRPr="00325A22">
        <w:tab/>
      </w:r>
      <w:r w:rsidRPr="00325A22">
        <w:t>oceną dostępnych w regionie lokalizacji zasobów wód podziemnych w</w:t>
      </w:r>
      <w:r w:rsidR="00A24735">
        <w:t> </w:t>
      </w:r>
      <w:r w:rsidRPr="00325A22">
        <w:t>utworach czwartorzędowych</w:t>
      </w:r>
      <w:r w:rsidR="00A7601A">
        <w:t xml:space="preserve">, </w:t>
      </w:r>
      <w:r w:rsidR="00D81B05">
        <w:t xml:space="preserve">neogenu i </w:t>
      </w:r>
      <w:r w:rsidR="00A7601A">
        <w:t>paleogenu</w:t>
      </w:r>
      <w:r w:rsidRPr="00325A22">
        <w:t xml:space="preserve"> oraz starszego podłoża, </w:t>
      </w:r>
      <w:bookmarkStart w:id="5" w:name="_Hlk151721991"/>
      <w:r w:rsidRPr="00325A22">
        <w:t xml:space="preserve">ze szczególnym uwzględnieniem utworzonych </w:t>
      </w:r>
      <w:bookmarkEnd w:id="5"/>
      <w:r w:rsidRPr="00325A22">
        <w:t>stref ochronnych ujęć</w:t>
      </w:r>
      <w:r w:rsidR="0062774A" w:rsidRPr="00325A22">
        <w:t xml:space="preserve"> </w:t>
      </w:r>
      <w:r w:rsidRPr="00325A22">
        <w:t>wód podziemnych i obszarów ochronnych głównych zbiorników wód podziemnych</w:t>
      </w:r>
      <w:r w:rsidR="0062774A" w:rsidRPr="00325A22">
        <w:t xml:space="preserve"> </w:t>
      </w:r>
      <w:r w:rsidRPr="00325A22">
        <w:t>oraz występowania wód mineralnych, termalnych, leczniczych, solanek, a</w:t>
      </w:r>
      <w:r w:rsidR="00A24735">
        <w:t> </w:t>
      </w:r>
      <w:r w:rsidRPr="00325A22">
        <w:t>także utworzonych dla nich obszarów górniczych,</w:t>
      </w:r>
    </w:p>
    <w:p w14:paraId="6CADD91A" w14:textId="4BCBB956" w:rsidR="0062774A" w:rsidRPr="00325A22" w:rsidRDefault="0062774A" w:rsidP="0062774A">
      <w:pPr>
        <w:pStyle w:val="TIRtiret"/>
      </w:pPr>
      <w:r w:rsidRPr="00325A22">
        <w:t>–</w:t>
      </w:r>
      <w:r w:rsidRPr="00325A22">
        <w:tab/>
        <w:t>kierunkami i prędkościami migracji</w:t>
      </w:r>
      <w:r w:rsidR="007147A4">
        <w:t xml:space="preserve"> </w:t>
      </w:r>
      <w:r w:rsidR="00E4458E">
        <w:t xml:space="preserve"> wód podziemnych pierwszego poziomu wodonośnego oraz głównego użytkowego poziomu wodonośnego</w:t>
      </w:r>
      <w:r w:rsidR="004D6CA3">
        <w:t>,</w:t>
      </w:r>
    </w:p>
    <w:p w14:paraId="646EB733" w14:textId="450A6F25" w:rsidR="0062774A" w:rsidRPr="00325A22" w:rsidRDefault="0062774A" w:rsidP="0062774A">
      <w:pPr>
        <w:pStyle w:val="LITlitera"/>
      </w:pPr>
      <w:r w:rsidRPr="00325A22">
        <w:t>b)</w:t>
      </w:r>
      <w:r w:rsidRPr="00325A22">
        <w:tab/>
        <w:t>właściwości filtracyjne podłoża, ze szczególnym uwzględnieniem dróg i głębokości migracji wód powierzchniowych i opadowych</w:t>
      </w:r>
      <w:r w:rsidR="004C7530">
        <w:t xml:space="preserve"> </w:t>
      </w:r>
      <w:r w:rsidR="0003795B">
        <w:t>oraz</w:t>
      </w:r>
      <w:r w:rsidR="004C7530">
        <w:t xml:space="preserve"> ich</w:t>
      </w:r>
      <w:r w:rsidR="000A2038">
        <w:t xml:space="preserve"> </w:t>
      </w:r>
      <w:r w:rsidRPr="00325A22">
        <w:t>zmian</w:t>
      </w:r>
      <w:r w:rsidR="000A2038">
        <w:t xml:space="preserve"> </w:t>
      </w:r>
      <w:r w:rsidRPr="00325A22">
        <w:t>sezonow</w:t>
      </w:r>
      <w:r w:rsidR="0003795B">
        <w:t>ych</w:t>
      </w:r>
      <w:r w:rsidRPr="00325A22">
        <w:t>,</w:t>
      </w:r>
    </w:p>
    <w:p w14:paraId="06770A01" w14:textId="67D5131E" w:rsidR="0062774A" w:rsidRPr="00325A22" w:rsidRDefault="0062774A" w:rsidP="0062774A">
      <w:pPr>
        <w:pStyle w:val="LITlitera"/>
      </w:pPr>
      <w:r w:rsidRPr="00325A22">
        <w:t>c)</w:t>
      </w:r>
      <w:r w:rsidRPr="00325A22">
        <w:tab/>
        <w:t>właściwości fizykochemiczne</w:t>
      </w:r>
      <w:r w:rsidR="007147A4">
        <w:t xml:space="preserve"> </w:t>
      </w:r>
      <w:r w:rsidR="008839AE">
        <w:t xml:space="preserve"> </w:t>
      </w:r>
      <w:r w:rsidR="008839AE" w:rsidRPr="008839AE">
        <w:t>wód podziemnych pierwszego poziomu wodonośnego oraz głównego użytkowego poziomu wodonośnego</w:t>
      </w:r>
      <w:r w:rsidRPr="00325A22">
        <w:t xml:space="preserve">, </w:t>
      </w:r>
    </w:p>
    <w:p w14:paraId="1FC7801D" w14:textId="38E71142" w:rsidR="0062774A" w:rsidRDefault="0062774A" w:rsidP="0062774A">
      <w:pPr>
        <w:pStyle w:val="LITlitera"/>
      </w:pPr>
      <w:r w:rsidRPr="00325A22">
        <w:lastRenderedPageBreak/>
        <w:t>d)</w:t>
      </w:r>
      <w:r w:rsidRPr="00325A22">
        <w:tab/>
        <w:t>charakterystykę dynamiki wód podziemnych i jej zmian</w:t>
      </w:r>
      <w:r w:rsidR="008839AE">
        <w:t xml:space="preserve"> </w:t>
      </w:r>
      <w:r w:rsidR="007147A4">
        <w:t xml:space="preserve">dla </w:t>
      </w:r>
      <w:r w:rsidR="008839AE" w:rsidRPr="008839AE">
        <w:t>wód podziemnych pierwszego poziomu wodonośnego oraz głównego użytkowego poziomu wodonośnego</w:t>
      </w:r>
      <w:r w:rsidRPr="00325A22">
        <w:t>;</w:t>
      </w:r>
    </w:p>
    <w:p w14:paraId="7BB07A5C" w14:textId="34016ED1" w:rsidR="00C529BC" w:rsidRPr="00325A22" w:rsidRDefault="0062774A" w:rsidP="00C529BC">
      <w:pPr>
        <w:pStyle w:val="PKTpunkt"/>
      </w:pPr>
      <w:r w:rsidRPr="00325A22">
        <w:t>4)</w:t>
      </w:r>
      <w:r w:rsidRPr="00325A22">
        <w:tab/>
        <w:t>z zakresu hydrologii i meteorologii</w:t>
      </w:r>
      <w:r w:rsidR="002B180F">
        <w:t>, biorące pod uwagę</w:t>
      </w:r>
      <w:r w:rsidRPr="00325A22">
        <w:t>:</w:t>
      </w:r>
    </w:p>
    <w:p w14:paraId="35F91773" w14:textId="65616849" w:rsidR="0062774A" w:rsidRDefault="0062774A" w:rsidP="00C529BC">
      <w:pPr>
        <w:pStyle w:val="LITlitera"/>
      </w:pPr>
      <w:r w:rsidRPr="00325A22">
        <w:t>a)</w:t>
      </w:r>
      <w:r w:rsidR="00B355BD">
        <w:tab/>
      </w:r>
      <w:r w:rsidR="00C529BC" w:rsidRPr="003A19EE">
        <w:t>charakterystykę zjawisk hydrologicznych, w tym najwyższych zarejestrowanych stanów, przepływów i spiętrzeń wód, największych odnotowanych powodzi lub podtopień, z uwzględnieniem charakterystyki geomorfologicznej i retencyjności podłoża, zmienności temperatury wody oraz zarastani</w:t>
      </w:r>
      <w:r w:rsidR="00C529BC">
        <w:t>a</w:t>
      </w:r>
      <w:r w:rsidR="00C529BC" w:rsidRPr="003A19EE">
        <w:t xml:space="preserve"> koryt rzecznych,</w:t>
      </w:r>
    </w:p>
    <w:p w14:paraId="30057A5C" w14:textId="20916016" w:rsidR="0062774A" w:rsidRPr="00325A22" w:rsidRDefault="0062774A" w:rsidP="0062774A">
      <w:pPr>
        <w:pStyle w:val="LITlitera"/>
      </w:pPr>
      <w:r w:rsidRPr="00325A22">
        <w:t>b)</w:t>
      </w:r>
      <w:r w:rsidRPr="00325A22">
        <w:tab/>
        <w:t xml:space="preserve">ocenę prawdopodobieństwa wystąpienia  powodzi </w:t>
      </w:r>
      <w:r w:rsidR="005A5C24">
        <w:t xml:space="preserve">i jej negatywnych skutków </w:t>
      </w:r>
      <w:r w:rsidRPr="00325A22">
        <w:t>na  podstawie wstępnej oceny ryzyka powodziowego, map zagrożenia powodziowego, map ryzyka powodziowego, planów zarządzania ryzykiem powodziowym, o</w:t>
      </w:r>
      <w:r w:rsidR="00A24735">
        <w:t> </w:t>
      </w:r>
      <w:r w:rsidRPr="00325A22">
        <w:t xml:space="preserve">których mowa w ustawie z dnia 20 lipca 2017 r. – Prawo wodne (Dz. U. z </w:t>
      </w:r>
      <w:r w:rsidR="0056232D" w:rsidRPr="00325A22">
        <w:t>202</w:t>
      </w:r>
      <w:r w:rsidR="00204259">
        <w:t>3</w:t>
      </w:r>
      <w:r w:rsidR="0056232D" w:rsidRPr="00325A22">
        <w:t xml:space="preserve"> </w:t>
      </w:r>
      <w:r w:rsidRPr="00325A22">
        <w:t xml:space="preserve">r. poz. </w:t>
      </w:r>
      <w:r w:rsidR="00204259">
        <w:t>1478</w:t>
      </w:r>
      <w:r w:rsidR="004D6CA3">
        <w:t>,</w:t>
      </w:r>
      <w:r w:rsidR="00204259">
        <w:t xml:space="preserve"> 1688</w:t>
      </w:r>
      <w:r w:rsidR="004D6CA3">
        <w:t>, 1890, 1963 i 2029</w:t>
      </w:r>
      <w:r w:rsidRPr="00325A22">
        <w:t>),</w:t>
      </w:r>
    </w:p>
    <w:p w14:paraId="5D33DE42" w14:textId="7F7A334E" w:rsidR="0062774A" w:rsidRPr="00325A22" w:rsidRDefault="0062774A" w:rsidP="0062774A">
      <w:pPr>
        <w:pStyle w:val="LITlitera"/>
      </w:pPr>
      <w:r w:rsidRPr="00325A22">
        <w:t>c)</w:t>
      </w:r>
      <w:r w:rsidRPr="00325A22">
        <w:tab/>
        <w:t xml:space="preserve">zagrożenie </w:t>
      </w:r>
      <w:r w:rsidR="00492EC6">
        <w:t xml:space="preserve">wystąpieniem </w:t>
      </w:r>
      <w:r w:rsidRPr="00325A22">
        <w:t>powodzi</w:t>
      </w:r>
      <w:r w:rsidR="00492EC6">
        <w:t xml:space="preserve"> w</w:t>
      </w:r>
      <w:r w:rsidR="00492EC6" w:rsidRPr="0068790F">
        <w:t xml:space="preserve"> granic</w:t>
      </w:r>
      <w:r w:rsidR="00492EC6">
        <w:t>ach</w:t>
      </w:r>
      <w:r w:rsidRPr="00325A22">
        <w:t xml:space="preserve"> planowanego miejsca usytuowania obiektu, w tym określenie </w:t>
      </w:r>
      <w:r w:rsidR="00C71025">
        <w:t xml:space="preserve">maksymalnej </w:t>
      </w:r>
      <w:r w:rsidR="0012086C" w:rsidRPr="0012086C">
        <w:t>powodzi o prawdopodobieństwie wystąpienia 0,1 %,</w:t>
      </w:r>
    </w:p>
    <w:p w14:paraId="29E264B7" w14:textId="0DCA3E50" w:rsidR="0062774A" w:rsidRPr="00325A22" w:rsidRDefault="0062774A" w:rsidP="0062774A">
      <w:pPr>
        <w:pStyle w:val="LITlitera"/>
      </w:pPr>
      <w:r w:rsidRPr="00325A22">
        <w:t>d)</w:t>
      </w:r>
      <w:r w:rsidRPr="00325A22">
        <w:tab/>
        <w:t>wartości zmiennych atmosferycznych i hydrometeorologicznych wraz ze wskazaniem wartości skrajnych prędkości wiatru, temperatury, wysokości opadów atmosferycznych, grubości pokrywy śnieżnej, wilgotności powietrza, a</w:t>
      </w:r>
      <w:r w:rsidR="00A24735">
        <w:t> </w:t>
      </w:r>
      <w:r w:rsidRPr="00325A22">
        <w:t>w</w:t>
      </w:r>
      <w:r w:rsidR="00A24735">
        <w:t> </w:t>
      </w:r>
      <w:r w:rsidRPr="00325A22">
        <w:t>przypadku lokalizacji nadmorskich także poziomów morza i prądów morskich,</w:t>
      </w:r>
    </w:p>
    <w:p w14:paraId="6D3E990B" w14:textId="15E9B5B4" w:rsidR="0062774A" w:rsidRPr="00325A22" w:rsidRDefault="0062774A" w:rsidP="0062774A">
      <w:pPr>
        <w:pStyle w:val="LITlitera"/>
      </w:pPr>
      <w:r w:rsidRPr="00325A22">
        <w:t>e)</w:t>
      </w:r>
      <w:r w:rsidRPr="00325A22">
        <w:tab/>
        <w:t>ekstremalne zjawiska atmosferyczne mogące mieć znaczenie dla bezpieczeństwa jądrowego</w:t>
      </w:r>
      <w:r w:rsidR="00502757" w:rsidRPr="00325A22">
        <w:t xml:space="preserve"> obiektu</w:t>
      </w:r>
      <w:r w:rsidRPr="00325A22">
        <w:t>, takie jak huragany, trąby powietrzne, wyładowania atmosferyczne,</w:t>
      </w:r>
    </w:p>
    <w:p w14:paraId="15822FAA" w14:textId="37A1BEA9" w:rsidR="0062774A" w:rsidRPr="00325A22" w:rsidRDefault="0062774A" w:rsidP="0062774A">
      <w:pPr>
        <w:pStyle w:val="LITlitera"/>
      </w:pPr>
      <w:r w:rsidRPr="00325A22">
        <w:t>f)</w:t>
      </w:r>
      <w:r w:rsidRPr="00325A22">
        <w:tab/>
        <w:t xml:space="preserve"> </w:t>
      </w:r>
      <w:r w:rsidR="0068790F">
        <w:t xml:space="preserve">charakterystykę zjawisk lodowych, </w:t>
      </w:r>
      <w:r w:rsidRPr="00325A22">
        <w:t>w tym czas ich trwania oraz częstość występowania,</w:t>
      </w:r>
    </w:p>
    <w:p w14:paraId="3E6B3931" w14:textId="0D9CA0F4" w:rsidR="0062774A" w:rsidRPr="00325A22" w:rsidRDefault="0062774A" w:rsidP="0062774A">
      <w:pPr>
        <w:pStyle w:val="LITlitera"/>
      </w:pPr>
      <w:r w:rsidRPr="00325A22">
        <w:t>g)</w:t>
      </w:r>
      <w:r w:rsidRPr="00325A22">
        <w:tab/>
      </w:r>
      <w:r w:rsidR="0068790F">
        <w:t xml:space="preserve">ocenę ryzyka wystąpienia suszy oraz jej negatywnego wpływu </w:t>
      </w:r>
      <w:r w:rsidRPr="00325A22">
        <w:t xml:space="preserve">na reżim wód podziemnych i powierzchniowych, </w:t>
      </w:r>
    </w:p>
    <w:p w14:paraId="327DDBA0" w14:textId="77777777" w:rsidR="0062774A" w:rsidRDefault="0062774A" w:rsidP="0062774A">
      <w:pPr>
        <w:pStyle w:val="LITlitera"/>
      </w:pPr>
      <w:r w:rsidRPr="00325A22">
        <w:t>h)</w:t>
      </w:r>
      <w:r w:rsidRPr="00325A22">
        <w:tab/>
        <w:t>dane do określenia parametrów do modelu rozpraszania atmosferycznego;</w:t>
      </w:r>
    </w:p>
    <w:p w14:paraId="49925A0A" w14:textId="223E465C" w:rsidR="004D3204" w:rsidRDefault="0062774A" w:rsidP="00C71025">
      <w:pPr>
        <w:pStyle w:val="PKTpunkt"/>
      </w:pPr>
      <w:r w:rsidRPr="00325A22">
        <w:t>5)</w:t>
      </w:r>
      <w:r w:rsidR="00707840" w:rsidRPr="00325A22">
        <w:tab/>
      </w:r>
      <w:r w:rsidRPr="00325A22">
        <w:t>z zakresu zdarzeń zewnętrznych będących skutkiem działalności człowieka</w:t>
      </w:r>
      <w:r w:rsidR="002B180F">
        <w:t>, biorące pod uwagę</w:t>
      </w:r>
      <w:r w:rsidRPr="00325A22">
        <w:t>:</w:t>
      </w:r>
    </w:p>
    <w:p w14:paraId="0E9502EF" w14:textId="78DA22FC" w:rsidR="004D3204" w:rsidRDefault="004D3204" w:rsidP="004D3204">
      <w:pPr>
        <w:pStyle w:val="LITlitera"/>
      </w:pPr>
      <w:r>
        <w:t>a)</w:t>
      </w:r>
      <w:r w:rsidR="00B355BD">
        <w:tab/>
      </w:r>
      <w:r>
        <w:t>charakterystykę istniejącej i planowanej infrastruktury transportowej, w tym:</w:t>
      </w:r>
    </w:p>
    <w:p w14:paraId="059E4160" w14:textId="4F393F89" w:rsidR="004D3204" w:rsidRDefault="004D3204" w:rsidP="006B0F93">
      <w:pPr>
        <w:pStyle w:val="TIRtiret"/>
      </w:pPr>
      <w:r>
        <w:t>–</w:t>
      </w:r>
      <w:r w:rsidR="00B355BD">
        <w:tab/>
      </w:r>
      <w:r>
        <w:t xml:space="preserve">odległość obiektu od: </w:t>
      </w:r>
    </w:p>
    <w:p w14:paraId="233EBC58" w14:textId="0E240208" w:rsidR="004D3204" w:rsidRDefault="004D3204" w:rsidP="00A81A3C">
      <w:pPr>
        <w:pStyle w:val="TIRtiret"/>
        <w:ind w:left="1560"/>
      </w:pPr>
      <w:r>
        <w:lastRenderedPageBreak/>
        <w:t>– –</w:t>
      </w:r>
      <w:r>
        <w:tab/>
        <w:t xml:space="preserve">linii kolejowych, o których mowa w art. 4 pkt 2 ustawy z dnia 28 marca 2003 r. o transporcie kolejowym (Dz. U. z 2023 r. poz. 1786 </w:t>
      </w:r>
      <w:r w:rsidR="004D6CA3">
        <w:t>i</w:t>
      </w:r>
      <w:r>
        <w:t xml:space="preserve"> 2029), </w:t>
      </w:r>
    </w:p>
    <w:p w14:paraId="38CC45D9" w14:textId="02B5FEB7" w:rsidR="004D3204" w:rsidRDefault="004D3204" w:rsidP="00A81A3C">
      <w:pPr>
        <w:pStyle w:val="TIRtiret"/>
        <w:ind w:left="1560"/>
      </w:pPr>
      <w:r>
        <w:t>– –</w:t>
      </w:r>
      <w:r>
        <w:tab/>
        <w:t>dróg zaliczonych do kategorii dróg krajowych na podstawie przepisów wydanych na podstawie art. 5 ust. 2 ustawy z dnia 21 marca 1985 r. o</w:t>
      </w:r>
      <w:r w:rsidR="00A24735">
        <w:t> </w:t>
      </w:r>
      <w:r>
        <w:t xml:space="preserve">drogach publicznych (Dz. U. z 2023 r. poz. </w:t>
      </w:r>
      <w:r w:rsidR="004D6CA3">
        <w:t> 645,</w:t>
      </w:r>
      <w:r>
        <w:t xml:space="preserve"> 760, 1193</w:t>
      </w:r>
      <w:r w:rsidR="004D6CA3">
        <w:t xml:space="preserve"> i</w:t>
      </w:r>
      <w:r>
        <w:t xml:space="preserve"> 1688), </w:t>
      </w:r>
    </w:p>
    <w:p w14:paraId="0FA0736C" w14:textId="77777777" w:rsidR="004D3204" w:rsidRDefault="004D3204" w:rsidP="00A81A3C">
      <w:pPr>
        <w:pStyle w:val="TIRtiret"/>
        <w:ind w:left="1560"/>
      </w:pPr>
      <w:r>
        <w:t>– –</w:t>
      </w:r>
      <w:r>
        <w:tab/>
        <w:t xml:space="preserve">dróg zaliczonych do kategorii dróg wojewódzkich na podstawie art. 6 ust. 2 ustawy z dnia 21 marca 1985 r. o drogach publicznych, </w:t>
      </w:r>
    </w:p>
    <w:p w14:paraId="1978A4B1" w14:textId="6B4AEAE0" w:rsidR="004D3204" w:rsidRDefault="004D3204" w:rsidP="00A81A3C">
      <w:pPr>
        <w:pStyle w:val="TIRtiret"/>
        <w:ind w:left="1560"/>
      </w:pPr>
      <w:r>
        <w:t>– –</w:t>
      </w:r>
      <w:r w:rsidR="006B0F93">
        <w:tab/>
      </w:r>
      <w:r>
        <w:t>śródlądowych dróg wodnych o znaczeniu regionalnym i międzynarodowym, wymienionych w rozporządzeniu Rady Ministrów z dnia 7 maja 2002 r. w</w:t>
      </w:r>
      <w:r w:rsidR="00A24735">
        <w:t> </w:t>
      </w:r>
      <w:r>
        <w:t xml:space="preserve">sprawie klasyfikacji śródlądowych dróg wodnych (Dz. U. z </w:t>
      </w:r>
      <w:r w:rsidR="004D6CA3">
        <w:t xml:space="preserve">2022 </w:t>
      </w:r>
      <w:r>
        <w:t xml:space="preserve">r. poz. 1170), </w:t>
      </w:r>
    </w:p>
    <w:p w14:paraId="5DC6B88F" w14:textId="3E1A0AAD" w:rsidR="004D3204" w:rsidRDefault="004D3204" w:rsidP="00A81A3C">
      <w:pPr>
        <w:pStyle w:val="TIRtiret"/>
        <w:ind w:left="1560"/>
      </w:pPr>
      <w:r>
        <w:t>– –</w:t>
      </w:r>
      <w:r>
        <w:tab/>
        <w:t xml:space="preserve">tras przepływu i systemów rozgraniczenia ruchu uwidocznionych przez służbę hydrograficzną na mapach morskich oraz mapach nawigacyjnych, </w:t>
      </w:r>
    </w:p>
    <w:p w14:paraId="36C72F36" w14:textId="34218EC8" w:rsidR="000E1382" w:rsidRDefault="000E1382" w:rsidP="00A81A3C">
      <w:pPr>
        <w:pStyle w:val="TIRtiret"/>
        <w:ind w:left="1560"/>
      </w:pPr>
      <w:r>
        <w:t>– –</w:t>
      </w:r>
      <w:r>
        <w:tab/>
        <w:t xml:space="preserve">tras ATS w rozumieniu  art. 2 pkt 46 rozporządzenia wykonawczego Komisji (UE) nr 923/2012 z dnia 26 września </w:t>
      </w:r>
      <w:r w:rsidR="004D6CA3">
        <w:t xml:space="preserve">2012 </w:t>
      </w:r>
      <w:r>
        <w:t xml:space="preserve">r. ustanawiającego wspólne zasady w odniesieniu do przepisów lotniczych i operacyjnych dotyczących służb i procedur żeglugi powietrznej oraz zmieniającego rozporządzenie wykonawcze (WE) nr 1035/211 oraz rozporządzenia (WE) nr 1265/2007, (WE) nr 1794/2006, (WE) nr 730/2006, (WE) nr 1033/2006 i (UE) nr 255/2010 (Dz. Urz. UE L 281 z 13.10.2012, str. 1, z </w:t>
      </w:r>
      <w:proofErr w:type="spellStart"/>
      <w:r>
        <w:t>późn</w:t>
      </w:r>
      <w:proofErr w:type="spellEnd"/>
      <w:r>
        <w:t xml:space="preserve">. zm.), </w:t>
      </w:r>
    </w:p>
    <w:p w14:paraId="6291FE22" w14:textId="7BFA16F1" w:rsidR="000846B1" w:rsidRDefault="000846B1" w:rsidP="00A81A3C">
      <w:pPr>
        <w:pStyle w:val="TIRtiret"/>
        <w:ind w:left="1560"/>
      </w:pPr>
      <w:r w:rsidRPr="000846B1">
        <w:t>– –</w:t>
      </w:r>
      <w:r w:rsidR="006B0F93">
        <w:tab/>
      </w:r>
      <w:r w:rsidRPr="000846B1">
        <w:t xml:space="preserve">tras lotnictwa wojskowego (MRT – </w:t>
      </w:r>
      <w:proofErr w:type="spellStart"/>
      <w:r w:rsidRPr="000846B1">
        <w:t>Military</w:t>
      </w:r>
      <w:proofErr w:type="spellEnd"/>
      <w:r w:rsidRPr="000846B1">
        <w:t xml:space="preserve"> </w:t>
      </w:r>
      <w:proofErr w:type="spellStart"/>
      <w:r w:rsidRPr="000846B1">
        <w:t>Route</w:t>
      </w:r>
      <w:proofErr w:type="spellEnd"/>
      <w:r w:rsidRPr="000846B1">
        <w:t>) w rozumieniu § 2 pkt 30) rozporządzenia Ministra Infrastruktury z dnia 27 grudnia 2018 r. w sprawie struktury polskiej przestrzeni powietrznej oraz szczegółowych warunków i</w:t>
      </w:r>
      <w:r w:rsidR="00A24735">
        <w:t> </w:t>
      </w:r>
      <w:r w:rsidRPr="000846B1">
        <w:t xml:space="preserve">sposobu korzystania z tej przestrzeni (Dz.U. z 2019 </w:t>
      </w:r>
      <w:r w:rsidR="004D6CA3">
        <w:t xml:space="preserve">r. </w:t>
      </w:r>
      <w:r w:rsidRPr="000846B1">
        <w:t>poz. 619),</w:t>
      </w:r>
    </w:p>
    <w:p w14:paraId="15B6F159" w14:textId="29B4CF31" w:rsidR="004D3204" w:rsidRDefault="000E1382" w:rsidP="006B0F93">
      <w:pPr>
        <w:pStyle w:val="TIRtiret"/>
      </w:pPr>
      <w:r>
        <w:t>–</w:t>
      </w:r>
      <w:r w:rsidR="00A81A3C">
        <w:tab/>
      </w:r>
      <w:r>
        <w:t>ocenę potencjalnych zagrożeń obiektu ze strony infrastruktury transportowej, w</w:t>
      </w:r>
      <w:r w:rsidR="00A24735">
        <w:t> </w:t>
      </w:r>
      <w:r>
        <w:t xml:space="preserve">tym zagrożeń związanych z wystąpieniem wypadków lotniczych, kolejowych, drogowych i wodnych, z uwzględnieniem odległości obiektu od najbliższego lotniska, </w:t>
      </w:r>
      <w:r w:rsidR="000846B1" w:rsidRPr="000846B1">
        <w:t>wpływu lotnicz</w:t>
      </w:r>
      <w:r w:rsidR="00C529BC">
        <w:t>ych</w:t>
      </w:r>
      <w:r w:rsidR="000846B1" w:rsidRPr="000846B1">
        <w:t xml:space="preserve"> urządze</w:t>
      </w:r>
      <w:r w:rsidR="00C529BC">
        <w:t>ń</w:t>
      </w:r>
      <w:r w:rsidR="000846B1" w:rsidRPr="000846B1">
        <w:t xml:space="preserve"> naziemn</w:t>
      </w:r>
      <w:r w:rsidR="00C529BC">
        <w:t>ych na obiekt,</w:t>
      </w:r>
      <w:r w:rsidR="000846B1">
        <w:t xml:space="preserve"> </w:t>
      </w:r>
      <w:r>
        <w:t xml:space="preserve">usytuowania dróg startowych, typu i częstości lotów, tras ATS oraz położenia krzyżowania się tych tras, </w:t>
      </w:r>
    </w:p>
    <w:p w14:paraId="132CCF00" w14:textId="1863549D" w:rsidR="00707840" w:rsidRPr="00325A22" w:rsidRDefault="00707840" w:rsidP="00707840">
      <w:pPr>
        <w:pStyle w:val="LITlitera"/>
      </w:pPr>
      <w:r w:rsidRPr="00325A22">
        <w:t>b)</w:t>
      </w:r>
      <w:r w:rsidRPr="00325A22">
        <w:tab/>
        <w:t xml:space="preserve">odległość </w:t>
      </w:r>
      <w:r w:rsidR="0045604A" w:rsidRPr="00325A22">
        <w:t xml:space="preserve">obiektu </w:t>
      </w:r>
      <w:r w:rsidRPr="00325A22">
        <w:t>od czynnych i planowanych obiektów wojskowych, w</w:t>
      </w:r>
      <w:r w:rsidR="00A24735">
        <w:t> </w:t>
      </w:r>
      <w:r w:rsidRPr="00325A22">
        <w:t>szczególności lotnisk, poligonów, magazynów amunicji, z oceną potencjalnego zagrożenia obiektu z ich strony,</w:t>
      </w:r>
    </w:p>
    <w:p w14:paraId="390DEB59" w14:textId="009885BD" w:rsidR="00707840" w:rsidRPr="00325A22" w:rsidRDefault="00707840" w:rsidP="00707840">
      <w:pPr>
        <w:pStyle w:val="LITlitera"/>
      </w:pPr>
      <w:r w:rsidRPr="00325A22">
        <w:lastRenderedPageBreak/>
        <w:t>c)</w:t>
      </w:r>
      <w:r w:rsidRPr="00325A22">
        <w:tab/>
        <w:t xml:space="preserve">potencjalne zagrożenie </w:t>
      </w:r>
      <w:r w:rsidR="00DB5DDC" w:rsidRPr="00325A22">
        <w:t xml:space="preserve">obiektu </w:t>
      </w:r>
      <w:r w:rsidRPr="00325A22">
        <w:t xml:space="preserve">ze strony zakładów i instalacji przemysłowych mogących oddziaływać na </w:t>
      </w:r>
      <w:r w:rsidR="0012563E" w:rsidRPr="00325A22">
        <w:t xml:space="preserve">obiekt </w:t>
      </w:r>
      <w:r w:rsidRPr="00325A22">
        <w:t>chemicznie, biologicznie bądź mechanicznie, w</w:t>
      </w:r>
      <w:r w:rsidR="00A24735">
        <w:t> </w:t>
      </w:r>
      <w:r w:rsidRPr="00325A22">
        <w:t>szczególności zakładów stwarzających zagrożenie wystąpienia poważnej awarii przemysłowej, o których mowa w art. 248 ust. 1 ustawy z dnia 27 kwietnia 2001 r. – Prawo ochrony środowiska</w:t>
      </w:r>
      <w:r w:rsidR="0012563E">
        <w:t>,</w:t>
      </w:r>
      <w:r w:rsidR="00A43761" w:rsidRPr="00325A22">
        <w:t xml:space="preserve"> </w:t>
      </w:r>
    </w:p>
    <w:p w14:paraId="660A7F95" w14:textId="06B0AA56" w:rsidR="00707840" w:rsidRPr="00325A22" w:rsidRDefault="00707840" w:rsidP="00707840">
      <w:pPr>
        <w:pStyle w:val="LITlitera"/>
      </w:pPr>
      <w:r w:rsidRPr="00325A22">
        <w:t>d)</w:t>
      </w:r>
      <w:r w:rsidRPr="00325A22">
        <w:tab/>
      </w:r>
      <w:r w:rsidR="00601CE1" w:rsidRPr="00601CE1">
        <w:t>potencjalne zagrożenie obiektu przez emisję toksycznych par i gazów, pożar lub eksplozję w wyniku działalności człowieka</w:t>
      </w:r>
      <w:r w:rsidR="00601CE1">
        <w:t>,</w:t>
      </w:r>
    </w:p>
    <w:p w14:paraId="3BCD778E" w14:textId="5F2884BF" w:rsidR="00707840" w:rsidRPr="00325A22" w:rsidRDefault="00707840" w:rsidP="00707840">
      <w:pPr>
        <w:pStyle w:val="LITlitera"/>
      </w:pPr>
      <w:r w:rsidRPr="00325A22">
        <w:t>e)</w:t>
      </w:r>
      <w:r w:rsidRPr="00325A22">
        <w:tab/>
        <w:t xml:space="preserve">potencjalne zagrożenie obiektu związane z uszkodzeniami </w:t>
      </w:r>
      <w:r w:rsidR="00156433">
        <w:t>budowli piętrzących</w:t>
      </w:r>
      <w:r w:rsidRPr="00325A22">
        <w:t xml:space="preserve"> w</w:t>
      </w:r>
      <w:r w:rsidR="006B0F93">
        <w:t> </w:t>
      </w:r>
      <w:r w:rsidRPr="00325A22">
        <w:t xml:space="preserve">rozumieniu </w:t>
      </w:r>
      <w:r w:rsidR="006B0F93" w:rsidRPr="006B0F93">
        <w:t>§ 3 pkt 2 rozporządzenia Ministra Środowiska z dnia 20 kwietnia 2007 r. w sprawie warunków technicznych, jakim powinny odpowiadać budowle hydrotechniczne i ich usytuowanie (Dz. U. poz. 579)</w:t>
      </w:r>
      <w:r w:rsidRPr="00325A22">
        <w:t xml:space="preserve"> </w:t>
      </w:r>
      <w:r w:rsidR="006B0F93">
        <w:t>lub ich elementów</w:t>
      </w:r>
      <w:r w:rsidRPr="00325A22">
        <w:t>,</w:t>
      </w:r>
    </w:p>
    <w:p w14:paraId="777F3D48" w14:textId="5B789AC7" w:rsidR="00707840" w:rsidRPr="00325A22" w:rsidRDefault="00707840" w:rsidP="00707840">
      <w:pPr>
        <w:pStyle w:val="LITlitera"/>
      </w:pPr>
      <w:r w:rsidRPr="00325A22">
        <w:t>f)</w:t>
      </w:r>
      <w:r w:rsidRPr="00325A22">
        <w:tab/>
        <w:t xml:space="preserve">potencjalne zagrożenie </w:t>
      </w:r>
      <w:r w:rsidR="00DB5DDC" w:rsidRPr="00325A22">
        <w:t xml:space="preserve">obiektu </w:t>
      </w:r>
      <w:r w:rsidRPr="00325A22">
        <w:t>ze strony urządzeń telekomunikacyjnych, w</w:t>
      </w:r>
      <w:r w:rsidR="00A24735">
        <w:t> </w:t>
      </w:r>
      <w:r w:rsidRPr="00325A22">
        <w:t>szczególności urządzeń radiowych nadawczych lub nadawczo-odbiorczych, oraz innych instalacji emitujących fale elektromagnetyczne lub wytwarzających pole magnetyczne lub pole elektryczne,</w:t>
      </w:r>
    </w:p>
    <w:p w14:paraId="675EE8DE" w14:textId="71A3750D" w:rsidR="00707840" w:rsidRPr="00325A22" w:rsidRDefault="006B0F93" w:rsidP="00707840">
      <w:pPr>
        <w:pStyle w:val="LITlitera"/>
      </w:pPr>
      <w:r>
        <w:t>g</w:t>
      </w:r>
      <w:r w:rsidR="00707840" w:rsidRPr="00325A22">
        <w:t>)</w:t>
      </w:r>
      <w:r w:rsidR="00707840" w:rsidRPr="00325A22">
        <w:tab/>
        <w:t>zdarzenia niewymienione w lit. a–</w:t>
      </w:r>
      <w:r>
        <w:t>f</w:t>
      </w:r>
      <w:r w:rsidRPr="00325A22">
        <w:t xml:space="preserve"> </w:t>
      </w:r>
      <w:r w:rsidR="00707840" w:rsidRPr="00325A22">
        <w:t>mogące mieć wpływ na bezpieczeństwo jądrowe obiektu;</w:t>
      </w:r>
    </w:p>
    <w:p w14:paraId="3F187446" w14:textId="77777777" w:rsidR="00707840" w:rsidRPr="00325A22" w:rsidRDefault="00707840" w:rsidP="00707840">
      <w:pPr>
        <w:pStyle w:val="PKTpunkt"/>
      </w:pPr>
      <w:r w:rsidRPr="00325A22">
        <w:t>6)</w:t>
      </w:r>
      <w:r w:rsidRPr="00325A22">
        <w:tab/>
        <w:t>z zakresu zdarzeń zewnętrznych będących skutkiem działania sił przyrody</w:t>
      </w:r>
      <w:r w:rsidR="0012563E">
        <w:t>, biorące pod uwagę</w:t>
      </w:r>
      <w:r w:rsidRPr="00325A22">
        <w:t>:</w:t>
      </w:r>
    </w:p>
    <w:p w14:paraId="2831834A" w14:textId="30CD04E5" w:rsidR="00707840" w:rsidRPr="00325A22" w:rsidRDefault="00707840" w:rsidP="00707840">
      <w:pPr>
        <w:pStyle w:val="LITlitera"/>
      </w:pPr>
      <w:r w:rsidRPr="00325A22">
        <w:t>a)</w:t>
      </w:r>
      <w:r w:rsidRPr="00325A22">
        <w:tab/>
        <w:t>ryzyko sezonowej utraty lub pogorszenia drożności systemów chłodzenia obiektu przez zablokowanie krą, liśćmi lub innymi materiałami, z uwzględnieniem planowanych środków zapobiegawczych dla nadmiernego trofizmu w systemach chłodzenia obiektu i nadmiernej sedymentacji w tych systemach,</w:t>
      </w:r>
    </w:p>
    <w:p w14:paraId="0E8669E7" w14:textId="73C927C4" w:rsidR="00707840" w:rsidRPr="00325A22" w:rsidRDefault="00707840" w:rsidP="00707840">
      <w:pPr>
        <w:pStyle w:val="LITlitera"/>
      </w:pPr>
      <w:r w:rsidRPr="00325A22">
        <w:t>b)</w:t>
      </w:r>
      <w:r w:rsidRPr="00325A22">
        <w:tab/>
        <w:t xml:space="preserve">ryzyko szkodliwego wpływu organizmów żywych na </w:t>
      </w:r>
      <w:r w:rsidR="0013076D" w:rsidRPr="00325A22">
        <w:t>obiekt</w:t>
      </w:r>
      <w:r w:rsidRPr="00325A22">
        <w:t xml:space="preserve">, </w:t>
      </w:r>
    </w:p>
    <w:p w14:paraId="55998959" w14:textId="10E4CB5F" w:rsidR="00707840" w:rsidRPr="00325A22" w:rsidRDefault="00707840" w:rsidP="00707840">
      <w:pPr>
        <w:pStyle w:val="LITlitera"/>
      </w:pPr>
      <w:r w:rsidRPr="00325A22">
        <w:t>c)</w:t>
      </w:r>
      <w:r w:rsidRPr="00325A22">
        <w:tab/>
        <w:t xml:space="preserve">możliwy negatywny wpływ aerozoli i pyłów atmosferycznych na </w:t>
      </w:r>
      <w:r w:rsidR="0013076D" w:rsidRPr="00325A22">
        <w:t>obiekt</w:t>
      </w:r>
      <w:r w:rsidRPr="00325A22">
        <w:t>, w</w:t>
      </w:r>
      <w:r w:rsidR="00A24735">
        <w:t> </w:t>
      </w:r>
      <w:r w:rsidRPr="00325A22">
        <w:t xml:space="preserve">szczególności </w:t>
      </w:r>
      <w:r w:rsidR="00F31DEA">
        <w:t xml:space="preserve">wykazujących </w:t>
      </w:r>
      <w:r w:rsidRPr="00325A22">
        <w:t>agresywność w stosunku do betonu i stali,</w:t>
      </w:r>
    </w:p>
    <w:p w14:paraId="7E3711A4" w14:textId="77777777" w:rsidR="00707840" w:rsidRPr="00325A22" w:rsidRDefault="00707840" w:rsidP="00707840">
      <w:pPr>
        <w:pStyle w:val="LITlitera"/>
      </w:pPr>
      <w:r w:rsidRPr="00325A22">
        <w:t>d)</w:t>
      </w:r>
      <w:r w:rsidRPr="00325A22">
        <w:tab/>
        <w:t>naturalne zagrożenie pożarowe,</w:t>
      </w:r>
    </w:p>
    <w:p w14:paraId="21ACB984" w14:textId="257383EB" w:rsidR="00707840" w:rsidRDefault="00707840" w:rsidP="00707840">
      <w:pPr>
        <w:pStyle w:val="LITlitera"/>
      </w:pPr>
      <w:r w:rsidRPr="00325A22">
        <w:t>e)</w:t>
      </w:r>
      <w:r w:rsidRPr="00325A22">
        <w:tab/>
        <w:t>zewnętrzne czynniki naturalne niewymienione w lit. a–d mogące sezonowo lub całorocznie mieć wpływ na bezpieczeństwo jądrowe obiektu</w:t>
      </w:r>
      <w:r w:rsidR="00180AEA">
        <w:t>,</w:t>
      </w:r>
    </w:p>
    <w:p w14:paraId="0795AAD3" w14:textId="6C7FFE26" w:rsidR="003164FC" w:rsidRDefault="00F31DEA" w:rsidP="005F4D82">
      <w:pPr>
        <w:pStyle w:val="LITlitera"/>
      </w:pPr>
      <w:r>
        <w:t>f)</w:t>
      </w:r>
      <w:r w:rsidR="00B355BD">
        <w:tab/>
      </w:r>
      <w:r w:rsidRPr="00F31DEA">
        <w:t>dla lokalizacji nadmorskich – prognozowane zmiany linii brzegowej w obszarze lokalizacji mogące zagrażać obiektowi</w:t>
      </w:r>
      <w:r w:rsidR="00180AEA">
        <w:t>;</w:t>
      </w:r>
    </w:p>
    <w:p w14:paraId="32BB957D" w14:textId="52EC8FDD" w:rsidR="00995E1A" w:rsidRDefault="00995E1A" w:rsidP="001A7548">
      <w:pPr>
        <w:pStyle w:val="PKTpunkt"/>
      </w:pPr>
      <w:r>
        <w:t>7)</w:t>
      </w:r>
      <w:r w:rsidR="00B355BD">
        <w:tab/>
      </w:r>
      <w:r>
        <w:t xml:space="preserve">dotyczące tempa i dróg uwalniania substancji promieniotwórczych do środowiska, formy </w:t>
      </w:r>
      <w:r w:rsidR="00903513">
        <w:t xml:space="preserve">fizycznej i </w:t>
      </w:r>
      <w:r>
        <w:t xml:space="preserve">chemicznej i ilości uwalnianych substancji promieniotwórczych oraz </w:t>
      </w:r>
      <w:r>
        <w:lastRenderedPageBreak/>
        <w:t xml:space="preserve">dróg rozprzestrzeniania się tych substancji w środowisku w przypadku wystąpienia </w:t>
      </w:r>
      <w:r w:rsidRPr="00995E1A">
        <w:t>zdarzenia radiacyjnego oraz oceny możliwości sprawnego przeprowadzenia działań interwencyjnych</w:t>
      </w:r>
      <w:r w:rsidR="00D83C61">
        <w:t xml:space="preserve"> </w:t>
      </w:r>
      <w:r w:rsidRPr="00995E1A">
        <w:t>w przypadku wystąpienia takiego zdarzenia;</w:t>
      </w:r>
    </w:p>
    <w:p w14:paraId="455B3241" w14:textId="77777777" w:rsidR="00707840" w:rsidRPr="00325A22" w:rsidRDefault="00707840" w:rsidP="003A4BDE">
      <w:pPr>
        <w:pStyle w:val="PKTpunkt"/>
      </w:pPr>
      <w:r w:rsidRPr="00325A22">
        <w:t>8)</w:t>
      </w:r>
      <w:r w:rsidR="003A4BDE" w:rsidRPr="00325A22">
        <w:tab/>
      </w:r>
      <w:r w:rsidRPr="00325A22">
        <w:t>z zakresu gęstości zaludnienia i zagospodarowania terenu</w:t>
      </w:r>
      <w:r w:rsidR="0012563E">
        <w:t>, biorące pod uwagę</w:t>
      </w:r>
      <w:r w:rsidRPr="00325A22">
        <w:t>:</w:t>
      </w:r>
    </w:p>
    <w:p w14:paraId="56A3AFC5" w14:textId="77777777" w:rsidR="00707840" w:rsidRPr="00325A22" w:rsidRDefault="00707840" w:rsidP="00707840">
      <w:pPr>
        <w:pStyle w:val="LITlitera"/>
      </w:pPr>
      <w:r w:rsidRPr="00325A22">
        <w:t>a)</w:t>
      </w:r>
      <w:r w:rsidR="003A4BDE" w:rsidRPr="00325A22">
        <w:tab/>
      </w:r>
      <w:r w:rsidRPr="00325A22">
        <w:t>rozmieszczenie:</w:t>
      </w:r>
    </w:p>
    <w:p w14:paraId="609AEF55" w14:textId="77777777" w:rsidR="003A4BDE" w:rsidRPr="00325A22" w:rsidRDefault="00707840" w:rsidP="003A4BDE">
      <w:pPr>
        <w:pStyle w:val="TIRtiret"/>
      </w:pPr>
      <w:r w:rsidRPr="00325A22">
        <w:t>–</w:t>
      </w:r>
      <w:r w:rsidR="003A4BDE" w:rsidRPr="00325A22">
        <w:tab/>
      </w:r>
      <w:r w:rsidRPr="00325A22">
        <w:t>ludności,</w:t>
      </w:r>
    </w:p>
    <w:p w14:paraId="32DC76C2" w14:textId="77777777" w:rsidR="003A4BDE" w:rsidRPr="00325A22" w:rsidRDefault="00707840" w:rsidP="003A4BDE">
      <w:pPr>
        <w:pStyle w:val="TIRtiret"/>
      </w:pPr>
      <w:r w:rsidRPr="00325A22">
        <w:t>–</w:t>
      </w:r>
      <w:r w:rsidR="003A4BDE" w:rsidRPr="00325A22">
        <w:tab/>
      </w:r>
      <w:r w:rsidRPr="00325A22">
        <w:t>infrastruktury komunikacyjnej,</w:t>
      </w:r>
    </w:p>
    <w:p w14:paraId="4EC4B303" w14:textId="77777777" w:rsidR="003A4BDE" w:rsidRPr="00325A22" w:rsidRDefault="00707840" w:rsidP="003A4BDE">
      <w:pPr>
        <w:pStyle w:val="TIRtiret"/>
      </w:pPr>
      <w:r w:rsidRPr="00325A22">
        <w:t>–</w:t>
      </w:r>
      <w:r w:rsidR="003A4BDE" w:rsidRPr="00325A22">
        <w:tab/>
      </w:r>
      <w:r w:rsidRPr="00325A22">
        <w:t>obiektów użyteczności publicznej,</w:t>
      </w:r>
    </w:p>
    <w:p w14:paraId="6B145F51" w14:textId="77777777" w:rsidR="003A4BDE" w:rsidRPr="00325A22" w:rsidRDefault="00707840" w:rsidP="003A4BDE">
      <w:pPr>
        <w:pStyle w:val="TIRtiret"/>
      </w:pPr>
      <w:r w:rsidRPr="00325A22">
        <w:t>–</w:t>
      </w:r>
      <w:r w:rsidR="003A4BDE" w:rsidRPr="00325A22">
        <w:tab/>
      </w:r>
      <w:r w:rsidRPr="00325A22">
        <w:t>zakładów przemysłowych,</w:t>
      </w:r>
    </w:p>
    <w:p w14:paraId="07998F7B" w14:textId="77777777" w:rsidR="003A4BDE" w:rsidRPr="00325A22" w:rsidRDefault="00707840" w:rsidP="003A4BDE">
      <w:pPr>
        <w:pStyle w:val="TIRtiret"/>
      </w:pPr>
      <w:r w:rsidRPr="00325A22">
        <w:t>–</w:t>
      </w:r>
      <w:r w:rsidR="003A4BDE" w:rsidRPr="00325A22">
        <w:tab/>
      </w:r>
      <w:r w:rsidRPr="00325A22">
        <w:t>obszarów leśnych, rolniczych i hodowlanych,</w:t>
      </w:r>
    </w:p>
    <w:p w14:paraId="29220846" w14:textId="77777777" w:rsidR="00707840" w:rsidRPr="00325A22" w:rsidRDefault="00707840" w:rsidP="003A4BDE">
      <w:pPr>
        <w:pStyle w:val="TIRtiret"/>
      </w:pPr>
      <w:r w:rsidRPr="00325A22">
        <w:t>–</w:t>
      </w:r>
      <w:r w:rsidR="003A4BDE" w:rsidRPr="00325A22">
        <w:tab/>
      </w:r>
      <w:r w:rsidRPr="00325A22">
        <w:t>obszarów chronionych przyrodniczo i kulturowo,</w:t>
      </w:r>
    </w:p>
    <w:p w14:paraId="19A42DD0" w14:textId="16AA2991" w:rsidR="00325A22" w:rsidRPr="00325A22" w:rsidRDefault="00707840" w:rsidP="00325A22">
      <w:pPr>
        <w:pStyle w:val="LITlitera"/>
      </w:pPr>
      <w:r w:rsidRPr="00325A22">
        <w:t>b)</w:t>
      </w:r>
      <w:r w:rsidR="003A4BDE" w:rsidRPr="00325A22">
        <w:tab/>
      </w:r>
      <w:r w:rsidRPr="00325A22">
        <w:t xml:space="preserve">występowanie złóż kopalin, w szczególności kopalin objętych </w:t>
      </w:r>
      <w:r w:rsidR="00CF1AA3">
        <w:t xml:space="preserve">własnością </w:t>
      </w:r>
      <w:r w:rsidRPr="00325A22">
        <w:t>górniczą w rozumieniu przepisów ustawy z dnia 9 czerwca 2011 r. –</w:t>
      </w:r>
      <w:r w:rsidR="003A4BDE" w:rsidRPr="00325A22">
        <w:t xml:space="preserve"> </w:t>
      </w:r>
      <w:r w:rsidRPr="000F654F">
        <w:t>Prawo geologiczne i</w:t>
      </w:r>
      <w:r w:rsidR="00A24735">
        <w:t> </w:t>
      </w:r>
      <w:r w:rsidRPr="000F654F">
        <w:t>górnicze</w:t>
      </w:r>
      <w:r w:rsidR="003A4BDE" w:rsidRPr="000F654F">
        <w:t xml:space="preserve"> </w:t>
      </w:r>
      <w:r w:rsidRPr="000F654F">
        <w:t>(Dz.</w:t>
      </w:r>
      <w:r w:rsidR="003A4BDE" w:rsidRPr="000F654F">
        <w:t xml:space="preserve"> </w:t>
      </w:r>
      <w:r w:rsidRPr="000F654F">
        <w:t xml:space="preserve">U. z </w:t>
      </w:r>
      <w:r w:rsidR="00BC75DE" w:rsidRPr="000F654F">
        <w:t>202</w:t>
      </w:r>
      <w:r w:rsidR="00BC75DE">
        <w:t>3</w:t>
      </w:r>
      <w:r w:rsidR="00BC75DE" w:rsidRPr="000F654F">
        <w:t xml:space="preserve"> </w:t>
      </w:r>
      <w:r w:rsidRPr="000F654F">
        <w:t>r. poz.</w:t>
      </w:r>
      <w:r w:rsidR="00BC75DE">
        <w:t xml:space="preserve"> 633</w:t>
      </w:r>
      <w:r w:rsidR="006B0F93">
        <w:t>, 1688 i 2029</w:t>
      </w:r>
      <w:r w:rsidR="00325A22" w:rsidRPr="000F654F">
        <w:t>)</w:t>
      </w:r>
      <w:r w:rsidR="0080579A">
        <w:t>;</w:t>
      </w:r>
    </w:p>
    <w:p w14:paraId="69E4CA86" w14:textId="005EE43A" w:rsidR="00707840" w:rsidRPr="00325A22" w:rsidRDefault="00707840" w:rsidP="003A4BDE">
      <w:pPr>
        <w:pStyle w:val="PKTpunkt"/>
      </w:pPr>
      <w:r w:rsidRPr="00325A22">
        <w:t>9)</w:t>
      </w:r>
      <w:r w:rsidR="003A4BDE" w:rsidRPr="00325A22">
        <w:tab/>
      </w:r>
      <w:r w:rsidR="00542194">
        <w:t>z zakresu rozpoznania</w:t>
      </w:r>
      <w:r w:rsidR="001112CE">
        <w:t xml:space="preserve"> </w:t>
      </w:r>
      <w:r w:rsidRPr="00325A22">
        <w:t>budowy geologicznej podłoża.</w:t>
      </w:r>
    </w:p>
    <w:p w14:paraId="093A60B5" w14:textId="17AABB1E" w:rsidR="00707840" w:rsidRPr="00325A22" w:rsidRDefault="00707840" w:rsidP="003A4BDE">
      <w:pPr>
        <w:pStyle w:val="ARTartustawynprozporzdzenia"/>
      </w:pPr>
      <w:r w:rsidRPr="00325A22">
        <w:t>§</w:t>
      </w:r>
      <w:r w:rsidR="003A4BDE" w:rsidRPr="00325A22">
        <w:t xml:space="preserve"> </w:t>
      </w:r>
      <w:r w:rsidRPr="00325A22">
        <w:t>3.</w:t>
      </w:r>
      <w:r w:rsidR="003A4BDE" w:rsidRPr="00325A22">
        <w:t xml:space="preserve"> </w:t>
      </w:r>
      <w:r w:rsidRPr="00325A22">
        <w:t>1. Czynniki, o których  mowa</w:t>
      </w:r>
      <w:r w:rsidR="003A4BDE" w:rsidRPr="00325A22">
        <w:t xml:space="preserve"> </w:t>
      </w:r>
      <w:r w:rsidRPr="00325A22">
        <w:t>w § 2,</w:t>
      </w:r>
      <w:r w:rsidR="003A4BDE" w:rsidRPr="00325A22">
        <w:t xml:space="preserve"> </w:t>
      </w:r>
      <w:r w:rsidRPr="00325A22">
        <w:t>rozpatruje</w:t>
      </w:r>
      <w:r w:rsidR="003A4BDE" w:rsidRPr="00325A22">
        <w:t xml:space="preserve"> </w:t>
      </w:r>
      <w:r w:rsidRPr="00325A22">
        <w:t>się w zasięgu nie mniejszym niż region</w:t>
      </w:r>
      <w:r w:rsidR="003A4BDE" w:rsidRPr="00325A22">
        <w:t xml:space="preserve"> </w:t>
      </w:r>
      <w:r w:rsidRPr="00325A22">
        <w:t>lokalizacji</w:t>
      </w:r>
      <w:r w:rsidR="00203184">
        <w:t>,</w:t>
      </w:r>
      <w:r w:rsidR="00250136">
        <w:t xml:space="preserve"> </w:t>
      </w:r>
      <w:r w:rsidR="00250136" w:rsidRPr="00250136">
        <w:t>z zastrzeżeniem § 2 pkt 2</w:t>
      </w:r>
      <w:r w:rsidR="005533D9">
        <w:t>,</w:t>
      </w:r>
      <w:r w:rsidR="003E2BD4" w:rsidRPr="003E2BD4">
        <w:t xml:space="preserve"> </w:t>
      </w:r>
      <w:bookmarkStart w:id="6" w:name="_Hlk155608104"/>
      <w:r w:rsidR="003E2BD4" w:rsidRPr="003E2BD4">
        <w:t>§ 2 pkt 4 lit.</w:t>
      </w:r>
      <w:r w:rsidR="006B0F93">
        <w:t xml:space="preserve"> </w:t>
      </w:r>
      <w:r w:rsidR="003E2BD4" w:rsidRPr="003E2BD4">
        <w:t>c</w:t>
      </w:r>
      <w:bookmarkEnd w:id="6"/>
      <w:r w:rsidR="00203184">
        <w:t>,</w:t>
      </w:r>
      <w:r w:rsidR="001112CE">
        <w:t xml:space="preserve"> </w:t>
      </w:r>
      <w:r w:rsidR="005533D9" w:rsidRPr="005533D9">
        <w:t xml:space="preserve">§ 2 pkt </w:t>
      </w:r>
      <w:r w:rsidR="005533D9">
        <w:t>6</w:t>
      </w:r>
      <w:r w:rsidR="005533D9" w:rsidRPr="005533D9">
        <w:t xml:space="preserve"> lit.</w:t>
      </w:r>
      <w:r w:rsidR="006B0F93">
        <w:t xml:space="preserve"> </w:t>
      </w:r>
      <w:r w:rsidR="005533D9">
        <w:t>f</w:t>
      </w:r>
      <w:r w:rsidR="005533D9" w:rsidRPr="005533D9">
        <w:t xml:space="preserve"> </w:t>
      </w:r>
      <w:r w:rsidR="001112CE">
        <w:t>oraz</w:t>
      </w:r>
      <w:r w:rsidR="00C118AC">
        <w:t xml:space="preserve"> w oparciu o</w:t>
      </w:r>
      <w:r w:rsidR="00A24735">
        <w:t> </w:t>
      </w:r>
      <w:r w:rsidR="00C118AC">
        <w:t>dostępne dane archiwalne, uzupełnione – w przypadku niewystarcza</w:t>
      </w:r>
      <w:r w:rsidR="00744C2E">
        <w:t>lności</w:t>
      </w:r>
      <w:r w:rsidR="00C118AC">
        <w:t xml:space="preserve"> danych archiwalnych </w:t>
      </w:r>
      <w:r w:rsidR="00783C72">
        <w:t xml:space="preserve">– </w:t>
      </w:r>
      <w:r w:rsidR="00C118AC">
        <w:t>o badania terenowe niezbędne do wykonania wiarygodnej oceny terenu</w:t>
      </w:r>
      <w:r w:rsidRPr="00325A22">
        <w:t>.</w:t>
      </w:r>
      <w:r w:rsidR="003A4BDE" w:rsidRPr="00325A22">
        <w:t xml:space="preserve"> </w:t>
      </w:r>
      <w:r w:rsidRPr="00325A22">
        <w:t>Dla sejsmiczności</w:t>
      </w:r>
      <w:r w:rsidR="003A4BDE" w:rsidRPr="00325A22">
        <w:t xml:space="preserve"> </w:t>
      </w:r>
      <w:r w:rsidRPr="00325A22">
        <w:t>naturalnej –</w:t>
      </w:r>
      <w:r w:rsidR="003A4BDE" w:rsidRPr="00325A22">
        <w:t xml:space="preserve"> </w:t>
      </w:r>
      <w:r w:rsidRPr="00325A22">
        <w:t>dodatkowo przyjmuje się wszelkie dostępne dane historyczne.</w:t>
      </w:r>
    </w:p>
    <w:p w14:paraId="1F9CB40E" w14:textId="794DCB37" w:rsidR="00B51A0E" w:rsidRPr="00325A22" w:rsidRDefault="003A4BDE" w:rsidP="003A4BDE">
      <w:pPr>
        <w:pStyle w:val="USTustnpkodeksu"/>
      </w:pPr>
      <w:r w:rsidRPr="00325A22">
        <w:t>2</w:t>
      </w:r>
      <w:r w:rsidR="00B51A0E" w:rsidRPr="00325A22">
        <w:t>. Czynniki, o których mowa w § 2 pkt 4, rozpatruje się z uwzględnieniem danych archiwalnych z co najmniej</w:t>
      </w:r>
      <w:r w:rsidRPr="00325A22">
        <w:t xml:space="preserve"> </w:t>
      </w:r>
      <w:r w:rsidR="00B51A0E" w:rsidRPr="00325A22">
        <w:t>30 lat bezpośrednio poprzedzających rozpoczęcie badań lokalizacyjnych</w:t>
      </w:r>
      <w:r w:rsidR="00F14810">
        <w:t xml:space="preserve"> oraz z uwzględnieniem prognozy długofalowego rozwoju warunków hydrologicznych i meteorologicznych, w szczególności zmian klimatu</w:t>
      </w:r>
      <w:r w:rsidR="00B51A0E" w:rsidRPr="00325A22">
        <w:t>.</w:t>
      </w:r>
    </w:p>
    <w:p w14:paraId="59B44EAE" w14:textId="39E1EAB1" w:rsidR="00B51A0E" w:rsidRDefault="00B51A0E" w:rsidP="003A4BDE">
      <w:pPr>
        <w:pStyle w:val="ARTartustawynprozporzdzenia"/>
      </w:pPr>
      <w:r w:rsidRPr="00325A22">
        <w:t>§</w:t>
      </w:r>
      <w:r w:rsidR="003A4BDE" w:rsidRPr="00325A22">
        <w:t xml:space="preserve"> </w:t>
      </w:r>
      <w:r w:rsidRPr="00325A22">
        <w:t>4.</w:t>
      </w:r>
      <w:r w:rsidR="001E3F2B">
        <w:t xml:space="preserve"> Teren nie może być uznany za spełniający wymogi lokalizacji na nim obiektu jądrowego, w przypadku gdy występuje którykolwiek z następujących czynników</w:t>
      </w:r>
      <w:r w:rsidR="009507B5">
        <w:t xml:space="preserve"> (został stwierdzony przynajmniej jeden z następujących przypadków)</w:t>
      </w:r>
      <w:r w:rsidRPr="00325A22">
        <w:t>:</w:t>
      </w:r>
    </w:p>
    <w:p w14:paraId="56B6C505" w14:textId="6126FA50" w:rsidR="007B5442" w:rsidRDefault="009507B5" w:rsidP="006835F4">
      <w:pPr>
        <w:pStyle w:val="PKTpunkt"/>
        <w:numPr>
          <w:ilvl w:val="0"/>
          <w:numId w:val="4"/>
        </w:numPr>
        <w:ind w:left="516"/>
        <w:rPr>
          <w:rFonts w:eastAsia="Times New Roman"/>
        </w:rPr>
      </w:pPr>
      <w:r>
        <w:rPr>
          <w:rFonts w:eastAsia="Times New Roman"/>
        </w:rPr>
        <w:t>na obszarze</w:t>
      </w:r>
      <w:r w:rsidR="006F26F8">
        <w:rPr>
          <w:rFonts w:eastAsia="Times New Roman"/>
        </w:rPr>
        <w:t xml:space="preserve"> </w:t>
      </w:r>
      <w:r w:rsidR="00CC5114" w:rsidRPr="007B5442">
        <w:rPr>
          <w:rFonts w:eastAsia="Times New Roman"/>
        </w:rPr>
        <w:t>lokalizacji obiektu</w:t>
      </w:r>
      <w:r>
        <w:rPr>
          <w:rFonts w:eastAsia="Times New Roman"/>
        </w:rPr>
        <w:t>,</w:t>
      </w:r>
      <w:r w:rsidR="00CC5114" w:rsidRPr="007B5442">
        <w:rPr>
          <w:rFonts w:eastAsia="Times New Roman"/>
        </w:rPr>
        <w:t xml:space="preserve"> </w:t>
      </w:r>
      <w:r>
        <w:rPr>
          <w:rFonts w:eastAsia="Times New Roman"/>
        </w:rPr>
        <w:t xml:space="preserve">w podłożu </w:t>
      </w:r>
      <w:r w:rsidR="00CC5114" w:rsidRPr="007B5442">
        <w:rPr>
          <w:rFonts w:eastAsia="Times New Roman"/>
        </w:rPr>
        <w:t>występuje uskok potencjalnie aktywny</w:t>
      </w:r>
      <w:r w:rsidR="003D580B">
        <w:rPr>
          <w:rFonts w:eastAsia="Times New Roman"/>
        </w:rPr>
        <w:t>,</w:t>
      </w:r>
      <w:r w:rsidR="00CC5114">
        <w:rPr>
          <w:rFonts w:eastAsia="Times New Roman"/>
        </w:rPr>
        <w:t xml:space="preserve"> lub</w:t>
      </w:r>
      <w:r w:rsidR="00CC5114" w:rsidRPr="007B5442">
        <w:rPr>
          <w:rFonts w:eastAsia="Times New Roman"/>
        </w:rPr>
        <w:t xml:space="preserve"> </w:t>
      </w:r>
    </w:p>
    <w:p w14:paraId="0F6A2156" w14:textId="57E08CAD" w:rsidR="006F26F8" w:rsidRPr="00C068FA" w:rsidRDefault="006F26F8" w:rsidP="00C068FA">
      <w:pPr>
        <w:pStyle w:val="PKTpunkt"/>
        <w:numPr>
          <w:ilvl w:val="0"/>
          <w:numId w:val="4"/>
        </w:numPr>
        <w:ind w:left="516"/>
        <w:rPr>
          <w:rFonts w:eastAsia="Times New Roman"/>
        </w:rPr>
      </w:pPr>
      <w:r w:rsidRPr="00BC3FA1">
        <w:rPr>
          <w:rFonts w:eastAsia="Times New Roman"/>
        </w:rPr>
        <w:t xml:space="preserve">w regionie lokalizacji w ciągu ostatnich 10 000 lat wystąpiło trzęsienie ziemi, które </w:t>
      </w:r>
      <w:r w:rsidR="00BC3FA1" w:rsidRPr="00BC3FA1">
        <w:rPr>
          <w:rFonts w:eastAsia="Times New Roman"/>
        </w:rPr>
        <w:t>mogłoby</w:t>
      </w:r>
      <w:r w:rsidR="00BC3FA1">
        <w:rPr>
          <w:rFonts w:eastAsia="Times New Roman"/>
        </w:rPr>
        <w:t xml:space="preserve"> wywołać skutki</w:t>
      </w:r>
      <w:r w:rsidR="00BC3FA1" w:rsidRPr="00BC3FA1">
        <w:rPr>
          <w:rFonts w:eastAsia="Times New Roman"/>
        </w:rPr>
        <w:t xml:space="preserve"> </w:t>
      </w:r>
      <w:r w:rsidR="00BC3FA1">
        <w:rPr>
          <w:rFonts w:eastAsia="Times New Roman"/>
        </w:rPr>
        <w:t>uniemożliwiające</w:t>
      </w:r>
      <w:r w:rsidR="00BC3FA1" w:rsidRPr="00BC3FA1">
        <w:rPr>
          <w:rFonts w:eastAsia="Times New Roman"/>
        </w:rPr>
        <w:t xml:space="preserve"> </w:t>
      </w:r>
      <w:r w:rsidRPr="00BC3FA1">
        <w:rPr>
          <w:rFonts w:eastAsia="Times New Roman"/>
        </w:rPr>
        <w:t xml:space="preserve">bezpieczną eksploatację obiektu, lub istnieje prawdopodobieństwo wystąpienia takiego trzęsienia ziemi </w:t>
      </w:r>
      <w:r w:rsidR="00BC3FA1" w:rsidRPr="00BC3FA1">
        <w:rPr>
          <w:rFonts w:eastAsia="Times New Roman"/>
        </w:rPr>
        <w:t>częściej</w:t>
      </w:r>
      <w:r w:rsidRPr="00BC3FA1">
        <w:rPr>
          <w:rFonts w:eastAsia="Times New Roman"/>
        </w:rPr>
        <w:t xml:space="preserve"> niż raz na 10 000 lat</w:t>
      </w:r>
      <w:r w:rsidR="00BC3FA1" w:rsidRPr="00BC3FA1">
        <w:rPr>
          <w:rFonts w:eastAsia="Times New Roman"/>
        </w:rPr>
        <w:t xml:space="preserve"> lub</w:t>
      </w:r>
    </w:p>
    <w:p w14:paraId="4C85CAEC" w14:textId="238BF56E" w:rsidR="00231359" w:rsidRPr="005D6E3E" w:rsidRDefault="006835F4" w:rsidP="005D6E3E">
      <w:pPr>
        <w:pStyle w:val="PKTpunkt"/>
      </w:pPr>
      <w:r>
        <w:rPr>
          <w:rFonts w:eastAsia="Times New Roman"/>
        </w:rPr>
        <w:lastRenderedPageBreak/>
        <w:t>3</w:t>
      </w:r>
      <w:r w:rsidR="00135F8B">
        <w:rPr>
          <w:rFonts w:eastAsia="Times New Roman"/>
        </w:rPr>
        <w:t>)</w:t>
      </w:r>
      <w:r w:rsidR="00135F8B">
        <w:rPr>
          <w:rFonts w:eastAsia="Times New Roman"/>
        </w:rPr>
        <w:tab/>
      </w:r>
      <w:r w:rsidR="00231359" w:rsidRPr="005D6E3E">
        <w:t>w granicach planowanego miejsca usytuowania obiektu występują grunty</w:t>
      </w:r>
      <w:r w:rsidR="00EE2F94">
        <w:t xml:space="preserve"> słabonośne</w:t>
      </w:r>
      <w:r w:rsidR="001B080D" w:rsidRPr="005D6E3E">
        <w:t>, o</w:t>
      </w:r>
      <w:r w:rsidR="00A24735">
        <w:t> </w:t>
      </w:r>
      <w:r w:rsidR="001B080D" w:rsidRPr="005D6E3E">
        <w:t>których mowa w § 2 pkt 2 lit. f, skały</w:t>
      </w:r>
      <w:r w:rsidR="00EE2F94">
        <w:t xml:space="preserve"> słabe</w:t>
      </w:r>
      <w:r w:rsidR="001B080D" w:rsidRPr="005D6E3E">
        <w:t>, o których mowa w § 2 pkt 2 lit. g,</w:t>
      </w:r>
      <w:r w:rsidR="00231359" w:rsidRPr="005D6E3E">
        <w:t xml:space="preserve"> grunty pęczniejące</w:t>
      </w:r>
      <w:r w:rsidR="00631642">
        <w:t>, grunty podatne na upłynnienie</w:t>
      </w:r>
      <w:r w:rsidR="00231359" w:rsidRPr="005D6E3E">
        <w:t xml:space="preserve"> lub </w:t>
      </w:r>
      <w:r w:rsidR="00824669" w:rsidRPr="005D6E3E">
        <w:t xml:space="preserve">grunty </w:t>
      </w:r>
      <w:r w:rsidR="00231359" w:rsidRPr="005D6E3E">
        <w:t>o innych niekorzystnych parametrach dla posad</w:t>
      </w:r>
      <w:r w:rsidR="00F31DEA">
        <w:t>o</w:t>
      </w:r>
      <w:r w:rsidR="00231359" w:rsidRPr="005D6E3E">
        <w:t>wi</w:t>
      </w:r>
      <w:r w:rsidR="00F31DEA">
        <w:t>e</w:t>
      </w:r>
      <w:r w:rsidR="00231359" w:rsidRPr="005D6E3E">
        <w:t>nia tego obiektu</w:t>
      </w:r>
      <w:r w:rsidR="00B57947" w:rsidRPr="005D6E3E">
        <w:t>,</w:t>
      </w:r>
      <w:r w:rsidR="00231359" w:rsidRPr="005D6E3E">
        <w:t xml:space="preserve"> których usunięcie, zastąpienie lub wzmocnienie jest niemożliwe lub</w:t>
      </w:r>
    </w:p>
    <w:p w14:paraId="77E0111C" w14:textId="75731E49" w:rsidR="007B5442" w:rsidRPr="007B5442" w:rsidRDefault="006835F4" w:rsidP="00135F8B">
      <w:pPr>
        <w:pStyle w:val="PKTpunkt"/>
        <w:rPr>
          <w:rFonts w:eastAsia="Times New Roman"/>
        </w:rPr>
      </w:pPr>
      <w:r>
        <w:rPr>
          <w:rFonts w:eastAsia="Times New Roman"/>
        </w:rPr>
        <w:t>4</w:t>
      </w:r>
      <w:r w:rsidR="00135F8B">
        <w:rPr>
          <w:rFonts w:eastAsia="Times New Roman"/>
        </w:rPr>
        <w:t>)</w:t>
      </w:r>
      <w:r w:rsidR="00135F8B">
        <w:rPr>
          <w:rFonts w:eastAsia="Times New Roman"/>
        </w:rPr>
        <w:tab/>
      </w:r>
      <w:r w:rsidR="007B5442" w:rsidRPr="005D6E3E">
        <w:t xml:space="preserve">w </w:t>
      </w:r>
      <w:r w:rsidR="00F82BDA" w:rsidRPr="005D6E3E">
        <w:t>obszarze</w:t>
      </w:r>
      <w:r w:rsidR="007B5442" w:rsidRPr="005D6E3E">
        <w:t xml:space="preserve"> lokalizacji</w:t>
      </w:r>
      <w:r w:rsidR="007B5442" w:rsidRPr="005D6E3E">
        <w:rPr>
          <w:rFonts w:eastAsia="Times New Roman"/>
          <w:b/>
        </w:rPr>
        <w:t xml:space="preserve"> </w:t>
      </w:r>
      <w:r w:rsidR="007B5442" w:rsidRPr="007B5442">
        <w:rPr>
          <w:rFonts w:eastAsia="Times New Roman"/>
        </w:rPr>
        <w:t xml:space="preserve">istnieje ryzyko wystąpienia zjawisk geologicznych zagrażających stabilności podłoża, takich jak silne procesy </w:t>
      </w:r>
      <w:proofErr w:type="spellStart"/>
      <w:r w:rsidR="007B5442" w:rsidRPr="007B5442">
        <w:rPr>
          <w:rFonts w:eastAsia="Times New Roman"/>
        </w:rPr>
        <w:t>sufozyjne</w:t>
      </w:r>
      <w:proofErr w:type="spellEnd"/>
      <w:r w:rsidR="007B5442" w:rsidRPr="007B5442">
        <w:rPr>
          <w:rFonts w:eastAsia="Times New Roman"/>
        </w:rPr>
        <w:t xml:space="preserve"> lub krasowe, obrywy, osuwiska lub inne zjawiska geodynamiczne mogące mieć wpływ na bezpieczeństwo jądrowe </w:t>
      </w:r>
      <w:r w:rsidR="005B1090" w:rsidRPr="005B1090">
        <w:rPr>
          <w:rFonts w:eastAsia="Times New Roman"/>
        </w:rPr>
        <w:t>obiektu</w:t>
      </w:r>
      <w:r w:rsidR="007B5442" w:rsidRPr="007B5442">
        <w:rPr>
          <w:rFonts w:eastAsia="Times New Roman"/>
        </w:rPr>
        <w:t>, które nie mogą być skompensowane konstrukcyjnie</w:t>
      </w:r>
      <w:r w:rsidR="007B5442">
        <w:rPr>
          <w:rFonts w:eastAsia="Times New Roman"/>
        </w:rPr>
        <w:t xml:space="preserve"> lub</w:t>
      </w:r>
    </w:p>
    <w:p w14:paraId="10367874" w14:textId="2996C5FD" w:rsidR="009E1D20" w:rsidRPr="007B5442" w:rsidRDefault="006835F4" w:rsidP="00BC3FA1">
      <w:pPr>
        <w:pStyle w:val="PKTpunkt"/>
        <w:rPr>
          <w:rFonts w:eastAsia="Times New Roman"/>
        </w:rPr>
      </w:pPr>
      <w:r>
        <w:rPr>
          <w:rFonts w:eastAsia="Times New Roman"/>
        </w:rPr>
        <w:t>5</w:t>
      </w:r>
      <w:r w:rsidR="00135F8B">
        <w:rPr>
          <w:rFonts w:eastAsia="Times New Roman"/>
        </w:rPr>
        <w:t>)</w:t>
      </w:r>
      <w:r w:rsidR="009E1D20">
        <w:rPr>
          <w:rFonts w:eastAsia="Times New Roman"/>
        </w:rPr>
        <w:tab/>
      </w:r>
      <w:r w:rsidR="009E1D20" w:rsidRPr="009E1D20">
        <w:rPr>
          <w:rFonts w:eastAsia="Times New Roman"/>
        </w:rPr>
        <w:t>lokalizacja obiektu znajduje się na terenie potencjalnego oddziaływania uszkodzenia lub zniszczenia budowli piętrzącej lub jej elementów w rozumieniu § 3 pkt 2 rozporządzenia Ministra Środowiska z dnia 20 kwietnia 2007 r. w sprawie</w:t>
      </w:r>
      <w:r w:rsidR="009E1D20">
        <w:rPr>
          <w:rFonts w:eastAsia="Times New Roman"/>
        </w:rPr>
        <w:t xml:space="preserve"> </w:t>
      </w:r>
      <w:r w:rsidR="009E1D20" w:rsidRPr="009E1D20">
        <w:rPr>
          <w:rFonts w:eastAsia="Times New Roman"/>
        </w:rPr>
        <w:t>warunków technicznych, jakim powinny odpowiadać budowle hydrotechniczne i ich usytuowanie, której uszkodzenie może wywołać nieakceptowalne  skutki, dla funkcjonowania obiektu w</w:t>
      </w:r>
      <w:r w:rsidR="00A24735">
        <w:rPr>
          <w:rFonts w:eastAsia="Times New Roman"/>
        </w:rPr>
        <w:t> </w:t>
      </w:r>
      <w:r w:rsidR="009E1D20" w:rsidRPr="009E1D20">
        <w:rPr>
          <w:rFonts w:eastAsia="Times New Roman"/>
        </w:rPr>
        <w:t>granicach planowanego miejsca usytuowania obiektu, porównywalne do powodzi o</w:t>
      </w:r>
      <w:r w:rsidR="00A24735">
        <w:rPr>
          <w:rFonts w:eastAsia="Times New Roman"/>
        </w:rPr>
        <w:t> </w:t>
      </w:r>
      <w:r w:rsidR="009E1D20" w:rsidRPr="009E1D20">
        <w:rPr>
          <w:rFonts w:eastAsia="Times New Roman"/>
        </w:rPr>
        <w:t>prawdopodobieństwie wystąpienia 0,1%, jeżeli ten negatywny wpływ nie może być wyeliminowany przez zastosowanie rozwiązań konstrukcyjnych</w:t>
      </w:r>
      <w:r w:rsidR="009E1D20">
        <w:rPr>
          <w:rFonts w:eastAsia="Times New Roman"/>
        </w:rPr>
        <w:t xml:space="preserve"> lub</w:t>
      </w:r>
    </w:p>
    <w:p w14:paraId="449B9740" w14:textId="27559765" w:rsidR="007E7924" w:rsidRDefault="006835F4" w:rsidP="00A6482C">
      <w:pPr>
        <w:pStyle w:val="PKTpunkt"/>
        <w:rPr>
          <w:rFonts w:eastAsia="Times New Roman"/>
        </w:rPr>
      </w:pPr>
      <w:r>
        <w:rPr>
          <w:rFonts w:eastAsia="Times New Roman"/>
        </w:rPr>
        <w:t>6</w:t>
      </w:r>
      <w:r w:rsidR="00135F8B">
        <w:rPr>
          <w:rFonts w:eastAsia="Times New Roman"/>
        </w:rPr>
        <w:t>)</w:t>
      </w:r>
      <w:r w:rsidR="00135F8B">
        <w:rPr>
          <w:rFonts w:eastAsia="Times New Roman"/>
        </w:rPr>
        <w:tab/>
      </w:r>
      <w:r w:rsidR="007B5442" w:rsidRPr="007B5442">
        <w:rPr>
          <w:rFonts w:eastAsia="Times New Roman"/>
        </w:rPr>
        <w:t>brak możliwości przeprowadzenia niezbędnych działań interwencyjnych w przypadku wystąpienia zdarzenia radiacyjnego w obiekcie</w:t>
      </w:r>
      <w:r w:rsidR="007B5442">
        <w:rPr>
          <w:rFonts w:eastAsia="Times New Roman"/>
        </w:rPr>
        <w:t xml:space="preserve"> lub</w:t>
      </w:r>
    </w:p>
    <w:p w14:paraId="783AE95B" w14:textId="3DF1C093" w:rsidR="008E4BA9" w:rsidRPr="007D3A63" w:rsidRDefault="006835F4" w:rsidP="007D3A63">
      <w:pPr>
        <w:widowControl/>
        <w:autoSpaceDE/>
        <w:autoSpaceDN/>
        <w:adjustRightInd/>
        <w:ind w:left="510" w:hanging="510"/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>7</w:t>
      </w:r>
      <w:r w:rsidR="00B261D2" w:rsidRPr="00B261D2">
        <w:rPr>
          <w:rFonts w:ascii="Times" w:eastAsia="Times New Roman" w:hAnsi="Times"/>
          <w:bCs/>
        </w:rPr>
        <w:t>)</w:t>
      </w:r>
      <w:r w:rsidR="00B355BD">
        <w:rPr>
          <w:rFonts w:ascii="Times" w:eastAsia="Times New Roman" w:hAnsi="Times"/>
          <w:bCs/>
        </w:rPr>
        <w:tab/>
      </w:r>
      <w:r w:rsidR="00B261D2" w:rsidRPr="00B261D2">
        <w:rPr>
          <w:rFonts w:ascii="Times" w:eastAsia="Times New Roman" w:hAnsi="Times"/>
          <w:bCs/>
        </w:rPr>
        <w:t xml:space="preserve">w odległości mniejszej niż 15 km od granic planowanego miejsca usytuowania obiektu jest położone lotnisko wpisane do rejestru lotnisk cywilnych, prowadzonego przez Prezesa Urzędu Lotnictwa Cywilnego na podstawie art. 58 ust. 1 ustawy z dnia 3 lipca 2002 r. – Prawo lotnicze (Dz. U. z 2023 r. poz. 2110), o kodzie referencyjnym </w:t>
      </w:r>
      <w:r w:rsidR="00B261D2">
        <w:rPr>
          <w:rFonts w:ascii="Times" w:eastAsia="Times New Roman" w:hAnsi="Times"/>
          <w:bCs/>
        </w:rPr>
        <w:t xml:space="preserve">lotniska </w:t>
      </w:r>
      <w:r w:rsidR="00B261D2" w:rsidRPr="00B261D2">
        <w:rPr>
          <w:rFonts w:ascii="Times" w:eastAsia="Times New Roman" w:hAnsi="Times"/>
          <w:bCs/>
        </w:rPr>
        <w:t xml:space="preserve">3c, 3d, 3e, 3f, 4c, 4d, 4e albo 4f, </w:t>
      </w:r>
      <w:r w:rsidR="00B261D2">
        <w:t xml:space="preserve">określonym w tomie I „Projektowanie i eksploatacja lotnisk” Załącznika nr 14 </w:t>
      </w:r>
      <w:bookmarkStart w:id="7" w:name="_Hlk156395175"/>
      <w:r w:rsidR="00B261D2">
        <w:t>do Konwencji o międzynarodowym lotnictwie cywilnym</w:t>
      </w:r>
      <w:bookmarkEnd w:id="7"/>
      <w:r w:rsidR="00B261D2">
        <w:t>, ogłoszonym w obwieszczeniu nr 17 Prezesa Urzędu Lotnictwa Cywilnego z dnia 2 lipca 2021 r. w sprawie ogłoszenia tekstu Załącznika 14, tomu I do Konwencji o</w:t>
      </w:r>
      <w:r w:rsidR="00A24735">
        <w:t> </w:t>
      </w:r>
      <w:r w:rsidR="00B261D2">
        <w:t xml:space="preserve">międzynarodowym lotnictwie cywilnym, </w:t>
      </w:r>
      <w:bookmarkStart w:id="8" w:name="_Hlk156395235"/>
      <w:r w:rsidR="00B261D2">
        <w:t>sporządzonej w Chicago dnia 7 grudnia 1944 r. (Dz. Urz. ULC poz. 41)</w:t>
      </w:r>
      <w:bookmarkEnd w:id="8"/>
      <w:r w:rsidR="00B261D2" w:rsidRPr="00B261D2">
        <w:rPr>
          <w:rFonts w:ascii="Times" w:eastAsia="Times New Roman" w:hAnsi="Times"/>
          <w:bCs/>
        </w:rPr>
        <w:t xml:space="preserve">, chyba że </w:t>
      </w:r>
      <w:r w:rsidR="00903513">
        <w:rPr>
          <w:rFonts w:ascii="Times" w:eastAsia="Times New Roman" w:hAnsi="Times"/>
          <w:bCs/>
        </w:rPr>
        <w:t xml:space="preserve">szacowana </w:t>
      </w:r>
      <w:r w:rsidR="00241219">
        <w:rPr>
          <w:rFonts w:ascii="Times" w:eastAsia="Times New Roman" w:hAnsi="Times"/>
          <w:bCs/>
        </w:rPr>
        <w:t xml:space="preserve">częstość </w:t>
      </w:r>
      <w:r w:rsidR="00B261D2" w:rsidRPr="00B261D2">
        <w:rPr>
          <w:rFonts w:ascii="Times" w:eastAsia="Times New Roman" w:hAnsi="Times"/>
          <w:bCs/>
        </w:rPr>
        <w:t xml:space="preserve">uderzenia w obiekt samolotu będącego dużym samolotem w rozumieniu </w:t>
      </w:r>
      <w:r w:rsidR="007D3A63" w:rsidRPr="007D3A63">
        <w:rPr>
          <w:rFonts w:ascii="Times" w:eastAsia="Times New Roman" w:hAnsi="Times"/>
          <w:bCs/>
        </w:rPr>
        <w:t xml:space="preserve">obwieszczenia nr 8 Prezesa Urzędu Lotnictwa Cywilnego z dnia 7 kwietnia 2021 r. w sprawie ogłoszenia tekstu Załącznika 6, części I do Konwencji o międzynarodowym lotnictwie cywilnym, sporządzonej </w:t>
      </w:r>
      <w:r w:rsidR="007D3A63" w:rsidRPr="007D3A63">
        <w:rPr>
          <w:rFonts w:ascii="Times" w:eastAsia="Times New Roman" w:hAnsi="Times"/>
          <w:bCs/>
        </w:rPr>
        <w:lastRenderedPageBreak/>
        <w:t>w</w:t>
      </w:r>
      <w:r w:rsidR="00A24735">
        <w:rPr>
          <w:rFonts w:ascii="Times" w:eastAsia="Times New Roman" w:hAnsi="Times"/>
          <w:bCs/>
        </w:rPr>
        <w:t> </w:t>
      </w:r>
      <w:r w:rsidR="007D3A63" w:rsidRPr="007D3A63">
        <w:rPr>
          <w:rFonts w:ascii="Times" w:eastAsia="Times New Roman" w:hAnsi="Times"/>
          <w:bCs/>
        </w:rPr>
        <w:t>Chicago dnia 7 grudnia 1944 r. (Dz. Urz. ULC poz. 25)</w:t>
      </w:r>
      <w:r w:rsidR="007D3A63">
        <w:rPr>
          <w:rFonts w:ascii="Times" w:eastAsia="Times New Roman" w:hAnsi="Times"/>
          <w:bCs/>
        </w:rPr>
        <w:t xml:space="preserve"> </w:t>
      </w:r>
      <w:r w:rsidR="00B261D2" w:rsidRPr="00B261D2">
        <w:rPr>
          <w:rFonts w:ascii="Times" w:eastAsia="Times New Roman" w:hAnsi="Times"/>
          <w:bCs/>
        </w:rPr>
        <w:t>jest mniejsz</w:t>
      </w:r>
      <w:r w:rsidR="00D401E6">
        <w:rPr>
          <w:rFonts w:ascii="Times" w:eastAsia="Times New Roman" w:hAnsi="Times"/>
          <w:bCs/>
        </w:rPr>
        <w:t>a</w:t>
      </w:r>
      <w:r w:rsidR="00B261D2" w:rsidRPr="00B261D2">
        <w:rPr>
          <w:rFonts w:ascii="Times" w:eastAsia="Times New Roman" w:hAnsi="Times"/>
          <w:bCs/>
        </w:rPr>
        <w:t xml:space="preserve"> niż raz na 10</w:t>
      </w:r>
      <w:r w:rsidR="00A24735">
        <w:rPr>
          <w:rFonts w:ascii="Times" w:eastAsia="Times New Roman" w:hAnsi="Times"/>
          <w:bCs/>
        </w:rPr>
        <w:t> </w:t>
      </w:r>
      <w:r w:rsidR="00B261D2" w:rsidRPr="00B261D2">
        <w:rPr>
          <w:rFonts w:ascii="Times" w:eastAsia="Times New Roman" w:hAnsi="Times"/>
          <w:bCs/>
        </w:rPr>
        <w:t>000</w:t>
      </w:r>
      <w:r w:rsidR="00A24735">
        <w:rPr>
          <w:rFonts w:ascii="Times" w:eastAsia="Times New Roman" w:hAnsi="Times"/>
          <w:bCs/>
        </w:rPr>
        <w:t> </w:t>
      </w:r>
      <w:r w:rsidR="00B261D2" w:rsidRPr="00B261D2">
        <w:rPr>
          <w:rFonts w:ascii="Times" w:eastAsia="Times New Roman" w:hAnsi="Times"/>
          <w:bCs/>
        </w:rPr>
        <w:t xml:space="preserve">000 lat.   </w:t>
      </w:r>
    </w:p>
    <w:p w14:paraId="3234FABE" w14:textId="33ABB0F3" w:rsidR="00B51A0E" w:rsidRPr="00325A22" w:rsidRDefault="00B51A0E" w:rsidP="003A4BDE">
      <w:pPr>
        <w:pStyle w:val="ARTartustawynprozporzdzenia"/>
      </w:pPr>
      <w:r w:rsidRPr="00325A22">
        <w:t>§</w:t>
      </w:r>
      <w:r w:rsidR="003A4BDE" w:rsidRPr="00325A22">
        <w:t xml:space="preserve"> </w:t>
      </w:r>
      <w:r w:rsidRPr="00325A22">
        <w:t>5.</w:t>
      </w:r>
      <w:r w:rsidR="003A4BDE" w:rsidRPr="00325A22">
        <w:t xml:space="preserve"> </w:t>
      </w:r>
      <w:r w:rsidRPr="00325A22">
        <w:t>Wstępny raport lokalizacyjny zawiera:</w:t>
      </w:r>
    </w:p>
    <w:p w14:paraId="3584126E" w14:textId="77777777" w:rsidR="00B51A0E" w:rsidRPr="00325A22" w:rsidRDefault="00B51A0E" w:rsidP="00FD1F9D">
      <w:pPr>
        <w:pStyle w:val="PKTpunkt"/>
      </w:pPr>
      <w:r w:rsidRPr="00325A22">
        <w:t>1)</w:t>
      </w:r>
      <w:r w:rsidR="00FD1F9D" w:rsidRPr="00325A22">
        <w:tab/>
      </w:r>
      <w:r w:rsidRPr="00325A22">
        <w:t>informacje ogólne:</w:t>
      </w:r>
    </w:p>
    <w:p w14:paraId="26C3E3C6" w14:textId="4E7F42C3" w:rsidR="00FD1F9D" w:rsidRPr="00325A22" w:rsidRDefault="00B51A0E" w:rsidP="00FD1F9D">
      <w:pPr>
        <w:pStyle w:val="LITlitera"/>
      </w:pPr>
      <w:r w:rsidRPr="00325A22">
        <w:t>a)</w:t>
      </w:r>
      <w:r w:rsidR="00FD1F9D" w:rsidRPr="00325A22">
        <w:tab/>
      </w:r>
      <w:r w:rsidRPr="00325A22">
        <w:t xml:space="preserve">wskazanie rodzaju planowanego </w:t>
      </w:r>
      <w:r w:rsidR="00702B05" w:rsidRPr="00325A22">
        <w:t>obiektu</w:t>
      </w:r>
      <w:r w:rsidRPr="00325A22">
        <w:t>,</w:t>
      </w:r>
    </w:p>
    <w:p w14:paraId="4405E64A" w14:textId="0A56112E" w:rsidR="00FD1F9D" w:rsidRPr="00325A22" w:rsidRDefault="00B51A0E" w:rsidP="00FD1F9D">
      <w:pPr>
        <w:pStyle w:val="LITlitera"/>
      </w:pPr>
      <w:r w:rsidRPr="00325A22">
        <w:t>b)</w:t>
      </w:r>
      <w:r w:rsidR="00FD1F9D" w:rsidRPr="00325A22">
        <w:tab/>
      </w:r>
      <w:r w:rsidRPr="00325A22">
        <w:t xml:space="preserve">wskazanie granic planowanego miejsca usytuowania </w:t>
      </w:r>
      <w:r w:rsidR="00702B05" w:rsidRPr="00325A22">
        <w:t>obiektu</w:t>
      </w:r>
      <w:r w:rsidRPr="00325A22">
        <w:t xml:space="preserve">, wykonane </w:t>
      </w:r>
      <w:r w:rsidR="008B3127">
        <w:t xml:space="preserve">na mapach topograficznych zawierających aktualne dane topograficzne </w:t>
      </w:r>
      <w:r w:rsidRPr="00325A22">
        <w:t>w odpowiedniej dla nich skali oraz skali obejmującej przynajmniej region lokalizacji,</w:t>
      </w:r>
    </w:p>
    <w:p w14:paraId="6847CA5F" w14:textId="75C9B267" w:rsidR="00725E33" w:rsidRDefault="00B51A0E" w:rsidP="005F4D82">
      <w:pPr>
        <w:pStyle w:val="LITlitera"/>
      </w:pPr>
      <w:r w:rsidRPr="00325A22">
        <w:t>c)</w:t>
      </w:r>
      <w:r w:rsidR="00FD1F9D" w:rsidRPr="00325A22">
        <w:tab/>
      </w:r>
      <w:r w:rsidRPr="00325A22">
        <w:t xml:space="preserve">wskazanie </w:t>
      </w:r>
      <w:r w:rsidRPr="00445B1E">
        <w:t>badań</w:t>
      </w:r>
      <w:r w:rsidRPr="00325A22">
        <w:t xml:space="preserve"> </w:t>
      </w:r>
      <w:r w:rsidR="00FD1F9D" w:rsidRPr="00325A22">
        <w:t xml:space="preserve">przeprowadzonych </w:t>
      </w:r>
      <w:r w:rsidRPr="00325A22">
        <w:t>w terenie</w:t>
      </w:r>
      <w:r w:rsidR="00EC20E1">
        <w:t>, o ile zostały wykonane,</w:t>
      </w:r>
      <w:r w:rsidRPr="00325A22">
        <w:t xml:space="preserve"> wraz </w:t>
      </w:r>
      <w:r w:rsidR="008B3127">
        <w:t xml:space="preserve">z ich lokalizacją na mapie zawierającej aktualne dane topograficzne, w skali przynajmniej 1:10 000, </w:t>
      </w:r>
      <w:r w:rsidRPr="00325A22">
        <w:t>uwzględniają</w:t>
      </w:r>
      <w:r w:rsidR="008B3127">
        <w:t>cej</w:t>
      </w:r>
      <w:r w:rsidR="005B1090">
        <w:t xml:space="preserve"> w szczególności linie profili oraz</w:t>
      </w:r>
      <w:r w:rsidRPr="00325A22">
        <w:t xml:space="preserve"> punkty wierceń,</w:t>
      </w:r>
    </w:p>
    <w:p w14:paraId="2409E683" w14:textId="003F0A24" w:rsidR="00A864D0" w:rsidRDefault="00725E33" w:rsidP="00C068FA">
      <w:pPr>
        <w:pStyle w:val="LITlitera"/>
      </w:pPr>
      <w:r w:rsidRPr="009C6C99">
        <w:t>d)</w:t>
      </w:r>
      <w:r w:rsidR="00445B1E">
        <w:tab/>
      </w:r>
      <w:r w:rsidRPr="009C6C99">
        <w:t>przewidywany zasięg strefy planowania wyprzedzających działań interwencyjnych i strefy planowania natychmiastowych działań interwencyjnych, o których mowa w</w:t>
      </w:r>
      <w:r w:rsidR="00A24735">
        <w:t> </w:t>
      </w:r>
      <w:r w:rsidRPr="009C6C99">
        <w:t>art. 86l ustawy z dnia 29 listopada 2000 r. – Prawo atomowe, oraz przewidywany zasięg dystansu rozszerzonego planowania i dystansu planowania kontroli i spożycia towarów, o których mowa w art. 86n ustawy z dnia 29 listopada 2000 r. – Prawo atomowe</w:t>
      </w:r>
      <w:r w:rsidR="0062671D">
        <w:t>,</w:t>
      </w:r>
    </w:p>
    <w:p w14:paraId="42F3BB4B" w14:textId="3F0CDA7E" w:rsidR="00FD431C" w:rsidRDefault="00A864D0" w:rsidP="002A6E7E">
      <w:pPr>
        <w:pStyle w:val="LITlitera"/>
      </w:pPr>
      <w:r>
        <w:t>e)</w:t>
      </w:r>
      <w:r w:rsidR="00445B1E">
        <w:tab/>
      </w:r>
      <w:r>
        <w:t>analizę możliwości prowadzenia działań interwencyjnych,</w:t>
      </w:r>
    </w:p>
    <w:p w14:paraId="4A04E714" w14:textId="0EB84146" w:rsidR="00641010" w:rsidRDefault="002A6E7E" w:rsidP="00FD1F9D">
      <w:pPr>
        <w:pStyle w:val="LITlitera"/>
      </w:pPr>
      <w:r>
        <w:t>f</w:t>
      </w:r>
      <w:r w:rsidR="00641010">
        <w:t>)</w:t>
      </w:r>
      <w:r w:rsidR="00445B1E">
        <w:tab/>
      </w:r>
      <w:r w:rsidR="00641010" w:rsidRPr="00641010">
        <w:t>informacje o wpływie  istniejącej i planowanej infrastruktury technicznej na planowany obiekt</w:t>
      </w:r>
      <w:r w:rsidR="00180AEA">
        <w:t>;</w:t>
      </w:r>
    </w:p>
    <w:p w14:paraId="0CB6169F" w14:textId="6B1DC7F7" w:rsidR="00B51A0E" w:rsidRPr="00325A22" w:rsidRDefault="00B51A0E" w:rsidP="00FD1F9D">
      <w:pPr>
        <w:pStyle w:val="PKTpunkt"/>
      </w:pPr>
      <w:r w:rsidRPr="00325A22">
        <w:t>2)</w:t>
      </w:r>
      <w:r w:rsidR="00FD1F9D" w:rsidRPr="00325A22">
        <w:tab/>
      </w:r>
      <w:r w:rsidRPr="00325A22">
        <w:t>analizę czynników, o których mowa w § 2 pkt 1,</w:t>
      </w:r>
      <w:r w:rsidR="00FD1F9D" w:rsidRPr="00325A22">
        <w:t xml:space="preserve"> </w:t>
      </w:r>
      <w:r w:rsidRPr="00325A22">
        <w:t>obejmującą:</w:t>
      </w:r>
    </w:p>
    <w:p w14:paraId="408E8BD5" w14:textId="3E5B0A80" w:rsidR="00FD1F9D" w:rsidRPr="00325A22" w:rsidRDefault="00B51A0E" w:rsidP="00FD1F9D">
      <w:pPr>
        <w:pStyle w:val="LITlitera"/>
      </w:pPr>
      <w:r w:rsidRPr="00325A22">
        <w:t>a)</w:t>
      </w:r>
      <w:r w:rsidR="00FD1F9D" w:rsidRPr="00325A22">
        <w:tab/>
      </w:r>
      <w:r w:rsidRPr="00325A22">
        <w:t xml:space="preserve">wskazanie specjalistycznych podmiotów wykonawczych i podwykonawczych biorących udział w wykonaniu analizy, w tym w szczególności </w:t>
      </w:r>
      <w:r w:rsidR="00BD6E21">
        <w:t>w</w:t>
      </w:r>
      <w:r w:rsidR="00BD6E21" w:rsidRPr="00325A22">
        <w:t xml:space="preserve"> </w:t>
      </w:r>
      <w:r w:rsidRPr="00325A22">
        <w:t>bada</w:t>
      </w:r>
      <w:r w:rsidR="00BD6E21">
        <w:t>niach</w:t>
      </w:r>
      <w:r w:rsidRPr="00325A22">
        <w:t xml:space="preserve"> terenowych, symulacj</w:t>
      </w:r>
      <w:r w:rsidR="00BD6E21">
        <w:t>ach</w:t>
      </w:r>
      <w:r w:rsidRPr="00325A22">
        <w:t xml:space="preserve"> i opracowani</w:t>
      </w:r>
      <w:r w:rsidR="00BD6E21">
        <w:t>u</w:t>
      </w:r>
      <w:r w:rsidRPr="00325A22">
        <w:t xml:space="preserve"> prognoz,</w:t>
      </w:r>
    </w:p>
    <w:p w14:paraId="37973B74" w14:textId="55CE193F" w:rsidR="00FD1F9D" w:rsidRPr="00325A22" w:rsidRDefault="00FD1F9D" w:rsidP="00FD1F9D">
      <w:pPr>
        <w:pStyle w:val="LITlitera"/>
      </w:pPr>
      <w:r w:rsidRPr="00325A22">
        <w:t>b)</w:t>
      </w:r>
      <w:r w:rsidRPr="00325A22">
        <w:tab/>
      </w:r>
      <w:r w:rsidR="00C6288B">
        <w:t xml:space="preserve">dane wykorzystane do sporządzenia analizy wraz ze </w:t>
      </w:r>
      <w:r w:rsidR="00B51A0E" w:rsidRPr="00325A22">
        <w:t>wskazanie</w:t>
      </w:r>
      <w:r w:rsidR="00C6288B">
        <w:t>m</w:t>
      </w:r>
      <w:r w:rsidR="00B51A0E" w:rsidRPr="00325A22">
        <w:t xml:space="preserve"> źródeł pochodzenia </w:t>
      </w:r>
      <w:r w:rsidR="00C6288B">
        <w:t xml:space="preserve">tych </w:t>
      </w:r>
      <w:r w:rsidR="00B51A0E" w:rsidRPr="00325A22">
        <w:t>danych,</w:t>
      </w:r>
    </w:p>
    <w:p w14:paraId="40900FA3" w14:textId="77F41F81" w:rsidR="00FD1F9D" w:rsidRDefault="00B51A0E" w:rsidP="00FD1F9D">
      <w:pPr>
        <w:pStyle w:val="LITlitera"/>
      </w:pPr>
      <w:r w:rsidRPr="00325A22">
        <w:t>c)</w:t>
      </w:r>
      <w:r w:rsidR="00FD1F9D" w:rsidRPr="00325A22">
        <w:tab/>
      </w:r>
      <w:r w:rsidRPr="00325A22">
        <w:t>opis metod zastosowanych do oceny</w:t>
      </w:r>
      <w:r w:rsidR="00C6288B">
        <w:t xml:space="preserve"> warunków sejsmicznych </w:t>
      </w:r>
      <w:r w:rsidRPr="00325A22">
        <w:t xml:space="preserve">i </w:t>
      </w:r>
      <w:r w:rsidR="00E60201">
        <w:t xml:space="preserve"> </w:t>
      </w:r>
      <w:r w:rsidR="00EC20E1">
        <w:t xml:space="preserve">aktywności uskokowej </w:t>
      </w:r>
      <w:r w:rsidR="00C6288B">
        <w:t xml:space="preserve">w regionie lokalizacji </w:t>
      </w:r>
      <w:r w:rsidRPr="00325A22">
        <w:t>wraz z podaniem sposobu weryfikacji metod i</w:t>
      </w:r>
      <w:r w:rsidR="00A24735">
        <w:t> </w:t>
      </w:r>
      <w:r w:rsidR="00C6288B">
        <w:t>oceny ich niepewności oraz</w:t>
      </w:r>
      <w:r w:rsidRPr="00325A22">
        <w:t xml:space="preserve"> otrzymanych wyników,</w:t>
      </w:r>
    </w:p>
    <w:p w14:paraId="6C2A5EE9" w14:textId="5AB625C5" w:rsidR="0054358F" w:rsidRDefault="00180AEA" w:rsidP="005B2136">
      <w:pPr>
        <w:pStyle w:val="LITlitera"/>
        <w:ind w:left="510" w:firstLine="0"/>
      </w:pPr>
      <w:r>
        <w:t>d</w:t>
      </w:r>
      <w:r w:rsidR="004C7530" w:rsidRPr="00325A22">
        <w:t>)</w:t>
      </w:r>
      <w:r w:rsidR="004C7530" w:rsidRPr="00325A22">
        <w:tab/>
        <w:t xml:space="preserve">ocenę </w:t>
      </w:r>
      <w:r w:rsidR="00220A77">
        <w:t>warunków</w:t>
      </w:r>
      <w:r w:rsidR="00445B1E">
        <w:t xml:space="preserve"> </w:t>
      </w:r>
      <w:r w:rsidR="004C7530" w:rsidRPr="00325A22">
        <w:t>sejsmiczn</w:t>
      </w:r>
      <w:r w:rsidR="00220A77">
        <w:t>ych</w:t>
      </w:r>
      <w:r w:rsidR="004C7530" w:rsidRPr="00325A22">
        <w:t xml:space="preserve"> w regionie lokalizacji</w:t>
      </w:r>
      <w:r w:rsidR="00C6288B">
        <w:t>,</w:t>
      </w:r>
      <w:r w:rsidR="004C7530" w:rsidRPr="00325A22">
        <w:t xml:space="preserve"> </w:t>
      </w:r>
    </w:p>
    <w:p w14:paraId="48A058D4" w14:textId="77777777" w:rsidR="00476DA9" w:rsidRDefault="00180AEA" w:rsidP="00FD1F9D">
      <w:pPr>
        <w:pStyle w:val="LITlitera"/>
      </w:pPr>
      <w:r>
        <w:t>e</w:t>
      </w:r>
      <w:r w:rsidR="004C7530" w:rsidRPr="00325A22">
        <w:t>)</w:t>
      </w:r>
      <w:r w:rsidR="004C7530" w:rsidRPr="00325A22">
        <w:tab/>
        <w:t xml:space="preserve">ocenę aktywności uskokowej w regionie lokalizacji w odniesieniu do budowy geologicznej podłoża z </w:t>
      </w:r>
      <w:r w:rsidR="004C7530">
        <w:t>prognozą</w:t>
      </w:r>
      <w:r w:rsidR="004C7530" w:rsidRPr="00325A22">
        <w:t xml:space="preserve"> uaktywnienia się uskoków,</w:t>
      </w:r>
    </w:p>
    <w:p w14:paraId="57FF0674" w14:textId="4A7CA10B" w:rsidR="00BD1922" w:rsidRDefault="00180AEA" w:rsidP="00FD1F9D">
      <w:pPr>
        <w:pStyle w:val="LITlitera"/>
      </w:pPr>
      <w:r>
        <w:lastRenderedPageBreak/>
        <w:t>f</w:t>
      </w:r>
      <w:r w:rsidR="00B51A0E" w:rsidRPr="00325A22">
        <w:t>)</w:t>
      </w:r>
      <w:r w:rsidR="00FD1F9D" w:rsidRPr="00325A22">
        <w:tab/>
      </w:r>
      <w:r w:rsidR="00B51A0E" w:rsidRPr="00325A22">
        <w:t>załączniki graficzne w postaci map i przekrojów geologicznych dokumentujących budowę podłoża</w:t>
      </w:r>
      <w:r w:rsidR="00BD1922">
        <w:t>,</w:t>
      </w:r>
    </w:p>
    <w:p w14:paraId="45956A13" w14:textId="45F41A38" w:rsidR="00E866EA" w:rsidRDefault="00476DA9" w:rsidP="00FD1F9D">
      <w:pPr>
        <w:pStyle w:val="LITlitera"/>
      </w:pPr>
      <w:r>
        <w:t>g</w:t>
      </w:r>
      <w:r w:rsidR="00BD1922">
        <w:t>)</w:t>
      </w:r>
      <w:r w:rsidR="00BD1922">
        <w:tab/>
      </w:r>
      <w:r w:rsidR="00BD1922" w:rsidRPr="00D42C8C">
        <w:t>ocenę, czy</w:t>
      </w:r>
      <w:r w:rsidR="00C20E18">
        <w:t xml:space="preserve"> w zakresie wskazanym w </w:t>
      </w:r>
      <w:r w:rsidR="00C20E18" w:rsidRPr="00C20E18">
        <w:t xml:space="preserve">§ </w:t>
      </w:r>
      <w:r w:rsidR="00C20E18">
        <w:t>2 pkt 1</w:t>
      </w:r>
      <w:r w:rsidR="00BD1922" w:rsidRPr="00D42C8C">
        <w:t xml:space="preserve"> na terenie przeznaczonym na lokalizację obiektu występują przypadki wskazane w § 4</w:t>
      </w:r>
      <w:r w:rsidR="00237F81">
        <w:t>;</w:t>
      </w:r>
    </w:p>
    <w:p w14:paraId="51A81F62" w14:textId="3EA4F222" w:rsidR="00B51A0E" w:rsidRPr="00325A22" w:rsidRDefault="00B51A0E" w:rsidP="00FD1F9D">
      <w:pPr>
        <w:pStyle w:val="PKTpunkt"/>
      </w:pPr>
      <w:r w:rsidRPr="00325A22">
        <w:t>3)</w:t>
      </w:r>
      <w:r w:rsidR="00FD1F9D" w:rsidRPr="00325A22">
        <w:tab/>
      </w:r>
      <w:r w:rsidRPr="00325A22">
        <w:t>analizę czynników, o których mowa w §</w:t>
      </w:r>
      <w:r w:rsidR="00FD1F9D" w:rsidRPr="00325A22">
        <w:t xml:space="preserve"> </w:t>
      </w:r>
      <w:r w:rsidRPr="00325A22">
        <w:t>2 pkt 2</w:t>
      </w:r>
      <w:r w:rsidR="00FD1F9D" w:rsidRPr="00325A22">
        <w:t xml:space="preserve"> </w:t>
      </w:r>
      <w:r w:rsidRPr="00325A22">
        <w:t>i 9,</w:t>
      </w:r>
      <w:r w:rsidR="00FD1F9D" w:rsidRPr="00325A22">
        <w:t xml:space="preserve"> </w:t>
      </w:r>
      <w:r w:rsidRPr="00325A22">
        <w:t>obejmującą:</w:t>
      </w:r>
    </w:p>
    <w:p w14:paraId="39C8D9C7" w14:textId="77777777" w:rsidR="00FD1F9D" w:rsidRPr="00325A22" w:rsidRDefault="00B51A0E" w:rsidP="00FD1F9D">
      <w:pPr>
        <w:pStyle w:val="LITlitera"/>
      </w:pPr>
      <w:r w:rsidRPr="00325A22">
        <w:t>a)</w:t>
      </w:r>
      <w:r w:rsidR="00FD1F9D" w:rsidRPr="00325A22">
        <w:tab/>
      </w:r>
      <w:r w:rsidRPr="00325A22">
        <w:t>wskazanie  specjalistycznych podmiotów wykonawczych i podwykonawczych biorących udział w wykonaniu analizy,</w:t>
      </w:r>
    </w:p>
    <w:p w14:paraId="695785B3" w14:textId="77777777" w:rsidR="00FD1F9D" w:rsidRDefault="00B51A0E" w:rsidP="00FD1F9D">
      <w:pPr>
        <w:pStyle w:val="LITlitera"/>
      </w:pPr>
      <w:r w:rsidRPr="00325A22">
        <w:t>b)</w:t>
      </w:r>
      <w:r w:rsidR="00FD1F9D" w:rsidRPr="00325A22">
        <w:tab/>
      </w:r>
      <w:r w:rsidRPr="00325A22">
        <w:t>wskazanie źródeł pochodzenia danych wykorzystanych do analizy,</w:t>
      </w:r>
    </w:p>
    <w:p w14:paraId="6F0445E6" w14:textId="4F08AAAF" w:rsidR="008949BA" w:rsidRDefault="008949BA" w:rsidP="005D6E3E">
      <w:pPr>
        <w:pStyle w:val="LITlitera"/>
      </w:pPr>
      <w:r>
        <w:t>c)</w:t>
      </w:r>
      <w:r>
        <w:tab/>
      </w:r>
      <w:r w:rsidR="008B3127" w:rsidRPr="008B3127">
        <w:t>prognoz</w:t>
      </w:r>
      <w:r w:rsidR="00B20999">
        <w:t>ę</w:t>
      </w:r>
      <w:r w:rsidR="008B3127" w:rsidRPr="008B3127">
        <w:t xml:space="preserve"> osiadania terenu na obszarze lokalizacji sporządzon</w:t>
      </w:r>
      <w:r w:rsidR="00B20999">
        <w:t>ą</w:t>
      </w:r>
      <w:r w:rsidR="008B3127" w:rsidRPr="008B3127">
        <w:t xml:space="preserve"> na podstawie dostępnych danych ze wskazaniem danych wykorzystanych do jej sporządzenia oraz metod je</w:t>
      </w:r>
      <w:r w:rsidR="008B3127">
        <w:t>j</w:t>
      </w:r>
      <w:r w:rsidR="008B3127" w:rsidRPr="008B3127">
        <w:t xml:space="preserve"> weryfikacji,</w:t>
      </w:r>
    </w:p>
    <w:p w14:paraId="6F186F8D" w14:textId="4B7A6740" w:rsidR="00135F8B" w:rsidRDefault="00644522" w:rsidP="005D6E3E">
      <w:pPr>
        <w:pStyle w:val="LITlitera"/>
      </w:pPr>
      <w:r>
        <w:t>d</w:t>
      </w:r>
      <w:r w:rsidR="008949BA">
        <w:t>)</w:t>
      </w:r>
      <w:r w:rsidR="008949BA">
        <w:tab/>
      </w:r>
      <w:r w:rsidR="008B3127" w:rsidRPr="008B3127">
        <w:t>proponowane rozwiązania inżynierskie w celu zwiększenia stabilności podłoża, w</w:t>
      </w:r>
      <w:r w:rsidR="00A24735">
        <w:t> </w:t>
      </w:r>
      <w:r w:rsidR="008B3127" w:rsidRPr="008B3127">
        <w:t>przypadku gdy cechuje się ono mogącym zagrażać stabilności obiektu występowaniem gruntów</w:t>
      </w:r>
      <w:r w:rsidR="00EE2F94">
        <w:t xml:space="preserve"> słabonośnych</w:t>
      </w:r>
      <w:r w:rsidR="001B080D">
        <w:t>, o których mowa w § 2 pkt 2 lit. f,</w:t>
      </w:r>
      <w:r w:rsidR="008B3127" w:rsidRPr="008B3127">
        <w:t xml:space="preserve"> skał</w:t>
      </w:r>
      <w:r w:rsidR="00EE2F94">
        <w:t xml:space="preserve"> słabych</w:t>
      </w:r>
      <w:r w:rsidR="001B080D">
        <w:t xml:space="preserve">, o których mowa w § 2 pkt 2 lit. g, </w:t>
      </w:r>
      <w:r w:rsidR="001B080D" w:rsidRPr="001B080D">
        <w:t>grunt</w:t>
      </w:r>
      <w:r w:rsidR="001B080D">
        <w:t>ów</w:t>
      </w:r>
      <w:r w:rsidR="001B080D" w:rsidRPr="001B080D">
        <w:t xml:space="preserve"> pęczniejąc</w:t>
      </w:r>
      <w:r w:rsidR="001B080D">
        <w:t>ych</w:t>
      </w:r>
      <w:r w:rsidR="00631642" w:rsidRPr="00631642">
        <w:t>, grunt</w:t>
      </w:r>
      <w:r w:rsidR="00631642">
        <w:t xml:space="preserve">ów </w:t>
      </w:r>
      <w:r w:rsidR="00631642" w:rsidRPr="00631642">
        <w:t>podatn</w:t>
      </w:r>
      <w:r w:rsidR="00631642">
        <w:t>ych</w:t>
      </w:r>
      <w:r w:rsidR="00631642" w:rsidRPr="00631642">
        <w:t xml:space="preserve"> na upłynnienie</w:t>
      </w:r>
      <w:r w:rsidR="001B080D" w:rsidRPr="001B080D">
        <w:t xml:space="preserve"> lub grunt</w:t>
      </w:r>
      <w:r w:rsidR="001B080D">
        <w:t>ów</w:t>
      </w:r>
      <w:r w:rsidR="001B080D" w:rsidRPr="001B080D">
        <w:t xml:space="preserve"> o innych niekorzystnych parametrach dla posad</w:t>
      </w:r>
      <w:r w:rsidR="007E0CCD">
        <w:t>o</w:t>
      </w:r>
      <w:r w:rsidR="001B080D" w:rsidRPr="001B080D">
        <w:t>wi</w:t>
      </w:r>
      <w:r w:rsidR="007E0CCD">
        <w:t>e</w:t>
      </w:r>
      <w:r w:rsidR="001B080D" w:rsidRPr="001B080D">
        <w:t>nia tego obiektu</w:t>
      </w:r>
      <w:r w:rsidR="008B3127" w:rsidRPr="008B3127">
        <w:t>,</w:t>
      </w:r>
    </w:p>
    <w:p w14:paraId="22A96D78" w14:textId="77777777" w:rsidR="00445B1E" w:rsidRDefault="00644522" w:rsidP="00FD1F9D">
      <w:pPr>
        <w:pStyle w:val="LITlitera"/>
      </w:pPr>
      <w:r>
        <w:t>e</w:t>
      </w:r>
      <w:r w:rsidR="00B51A0E" w:rsidRPr="00325A22">
        <w:t>)</w:t>
      </w:r>
      <w:r w:rsidR="00FD1F9D" w:rsidRPr="00325A22">
        <w:tab/>
      </w:r>
      <w:r w:rsidR="00B51A0E" w:rsidRPr="00325A22">
        <w:t xml:space="preserve">charakterystykę budowy geologicznej podłoża z uwzględnieniem specyfiki oceny lokalizacji </w:t>
      </w:r>
      <w:r w:rsidR="00702B05" w:rsidRPr="00325A22">
        <w:t>obiektu</w:t>
      </w:r>
      <w:r w:rsidR="00B51A0E" w:rsidRPr="00325A22">
        <w:t>, obejmującą charakterystykę podłoża czwartorzędowego,</w:t>
      </w:r>
      <w:r w:rsidR="00A7601A">
        <w:t xml:space="preserve"> </w:t>
      </w:r>
      <w:proofErr w:type="spellStart"/>
      <w:r w:rsidR="00817250">
        <w:t>neogeńskiego</w:t>
      </w:r>
      <w:proofErr w:type="spellEnd"/>
      <w:r w:rsidR="00817250">
        <w:t xml:space="preserve">, </w:t>
      </w:r>
      <w:proofErr w:type="spellStart"/>
      <w:r w:rsidR="00A7601A">
        <w:t>paleogeńskiego</w:t>
      </w:r>
      <w:proofErr w:type="spellEnd"/>
      <w:r w:rsidR="00817250">
        <w:t xml:space="preserve"> </w:t>
      </w:r>
      <w:r w:rsidR="00A7601A">
        <w:t>oraz</w:t>
      </w:r>
      <w:r w:rsidR="00B51A0E" w:rsidRPr="00325A22">
        <w:t xml:space="preserve"> starszego podłoża</w:t>
      </w:r>
      <w:r w:rsidR="00AF21E9">
        <w:t xml:space="preserve"> w </w:t>
      </w:r>
      <w:r w:rsidR="003D7B15">
        <w:t>obszarze</w:t>
      </w:r>
      <w:r w:rsidR="00AF21E9">
        <w:t xml:space="preserve"> lokalizacji</w:t>
      </w:r>
      <w:r w:rsidR="00445B1E">
        <w:t>,</w:t>
      </w:r>
    </w:p>
    <w:p w14:paraId="4DB04AA5" w14:textId="58D9666A" w:rsidR="00B51A0E" w:rsidRDefault="00180AEA" w:rsidP="00FD1F9D">
      <w:pPr>
        <w:pStyle w:val="LITlitera"/>
      </w:pPr>
      <w:r>
        <w:t>f</w:t>
      </w:r>
      <w:r w:rsidR="00B51A0E" w:rsidRPr="00325A22">
        <w:t>)</w:t>
      </w:r>
      <w:r w:rsidR="00FD1F9D" w:rsidRPr="00325A22">
        <w:tab/>
      </w:r>
      <w:r w:rsidR="00B51A0E" w:rsidRPr="00325A22">
        <w:t>charakterystykę geomorfologiczną regionu lokalizacji</w:t>
      </w:r>
      <w:r w:rsidR="00AF697F">
        <w:t>,</w:t>
      </w:r>
    </w:p>
    <w:p w14:paraId="59B5C549" w14:textId="2ABE5ADA" w:rsidR="00BD1922" w:rsidRDefault="00644522" w:rsidP="00FD1F9D">
      <w:pPr>
        <w:pStyle w:val="LITlitera"/>
      </w:pPr>
      <w:r>
        <w:t>g</w:t>
      </w:r>
      <w:r w:rsidR="00AF697F">
        <w:t>)</w:t>
      </w:r>
      <w:r w:rsidR="00B20999">
        <w:tab/>
      </w:r>
      <w:r w:rsidR="00AF697F" w:rsidRPr="00AF697F">
        <w:t>opis zidentyfikowanych niekorzystnych zjawisk i procesów geologicznych</w:t>
      </w:r>
      <w:r w:rsidR="00AF697F">
        <w:t xml:space="preserve"> </w:t>
      </w:r>
      <w:r w:rsidR="00AF697F" w:rsidRPr="00AF697F">
        <w:t>oraz geologiczno-inżynierskich dla obiektu występujących lub mogących wystąpić w</w:t>
      </w:r>
      <w:r w:rsidR="00A24735">
        <w:t> </w:t>
      </w:r>
      <w:r w:rsidR="00AF697F" w:rsidRPr="00AF697F">
        <w:t>granicach planowanego miejsca jego usytuowania, na obszarze lokalizacji oraz w</w:t>
      </w:r>
      <w:r w:rsidR="00A24735">
        <w:t> </w:t>
      </w:r>
      <w:r w:rsidR="00AF697F" w:rsidRPr="00AF697F">
        <w:t>regionie lokalizacji</w:t>
      </w:r>
      <w:r w:rsidR="00BD1922">
        <w:t>,</w:t>
      </w:r>
    </w:p>
    <w:p w14:paraId="585D94BC" w14:textId="006DED6F" w:rsidR="00AF697F" w:rsidRPr="00325A22" w:rsidRDefault="00BD1922" w:rsidP="00FD1F9D">
      <w:pPr>
        <w:pStyle w:val="LITlitera"/>
      </w:pPr>
      <w:r>
        <w:t>h)</w:t>
      </w:r>
      <w:r>
        <w:tab/>
      </w:r>
      <w:r w:rsidRPr="00D42C8C">
        <w:t xml:space="preserve">ocenę, czy </w:t>
      </w:r>
      <w:r w:rsidR="00F24DD5">
        <w:t xml:space="preserve">w zakresie wskazanym w </w:t>
      </w:r>
      <w:r w:rsidR="00F24DD5" w:rsidRPr="00F24DD5">
        <w:t>§ 2 pkt 2</w:t>
      </w:r>
      <w:r w:rsidR="00F24DD5">
        <w:t xml:space="preserve"> </w:t>
      </w:r>
      <w:r w:rsidRPr="00D42C8C">
        <w:t>na terenie przeznaczonym na lokalizację obiektu występują przypadki wskazane w § 4</w:t>
      </w:r>
      <w:r w:rsidR="00AF697F">
        <w:t>;</w:t>
      </w:r>
    </w:p>
    <w:p w14:paraId="60CF9563" w14:textId="5CB0390F" w:rsidR="00F95D8F" w:rsidRDefault="00B51A0E" w:rsidP="00FD1F9D">
      <w:pPr>
        <w:pStyle w:val="PKTpunkt"/>
      </w:pPr>
      <w:r w:rsidRPr="00325A22">
        <w:t>4)</w:t>
      </w:r>
      <w:r w:rsidR="00FD1F9D" w:rsidRPr="00325A22">
        <w:tab/>
      </w:r>
      <w:r w:rsidR="00F95D8F">
        <w:t xml:space="preserve">zatwierdzoną przez właściwy organ administracji geologicznej </w:t>
      </w:r>
      <w:r w:rsidR="00F95D8F" w:rsidRPr="00F95D8F">
        <w:t>dokumentację geologiczno-inżynierską sporządzoną w celu określenia warunków geologiczno-inżynierskich na potrzeby zagospodarowania przestrzennego</w:t>
      </w:r>
      <w:r w:rsidR="00F95D8F">
        <w:t>, o której mowa w</w:t>
      </w:r>
      <w:r w:rsidR="00F95D8F" w:rsidRPr="00F95D8F">
        <w:t xml:space="preserve"> art. 91 ust. 1 pkt 1 ustawy z dnia 9 czerwca 2011 r.</w:t>
      </w:r>
      <w:r w:rsidR="00F95D8F">
        <w:t xml:space="preserve"> – Prawo geologiczne i górnicze;</w:t>
      </w:r>
    </w:p>
    <w:p w14:paraId="7F2C77E0" w14:textId="4F6CE093" w:rsidR="00B51A0E" w:rsidRPr="00325A22" w:rsidRDefault="00F95D8F" w:rsidP="00FD1F9D">
      <w:pPr>
        <w:pStyle w:val="PKTpunkt"/>
      </w:pPr>
      <w:r>
        <w:t>5)</w:t>
      </w:r>
      <w:r>
        <w:tab/>
      </w:r>
      <w:r w:rsidR="00B51A0E" w:rsidRPr="00325A22">
        <w:t>analizę czynników, o których mowa w §</w:t>
      </w:r>
      <w:r w:rsidR="00FD1F9D" w:rsidRPr="00325A22">
        <w:t xml:space="preserve"> </w:t>
      </w:r>
      <w:r w:rsidR="00B51A0E" w:rsidRPr="00325A22">
        <w:t>2 pkt 3,</w:t>
      </w:r>
      <w:r w:rsidR="00FD1F9D" w:rsidRPr="00325A22">
        <w:t xml:space="preserve"> </w:t>
      </w:r>
      <w:r w:rsidR="00B51A0E" w:rsidRPr="00325A22">
        <w:t>obejmującą:</w:t>
      </w:r>
    </w:p>
    <w:p w14:paraId="67FFC7B4" w14:textId="77777777" w:rsidR="00FD1F9D" w:rsidRPr="00325A22" w:rsidRDefault="00B51A0E" w:rsidP="00FD1F9D">
      <w:pPr>
        <w:pStyle w:val="LITlitera"/>
      </w:pPr>
      <w:r w:rsidRPr="00325A22">
        <w:lastRenderedPageBreak/>
        <w:t>a)</w:t>
      </w:r>
      <w:r w:rsidR="00FD1F9D" w:rsidRPr="00325A22">
        <w:tab/>
      </w:r>
      <w:r w:rsidRPr="00325A22">
        <w:t>wskazanie specjalistycznych podmiotów wykonawczych i podwykonawczych biorących udział w wykonaniu analizy,</w:t>
      </w:r>
    </w:p>
    <w:p w14:paraId="5A9D43FE" w14:textId="77777777" w:rsidR="00FD1F9D" w:rsidRPr="00325A22" w:rsidRDefault="00B51A0E" w:rsidP="00FD1F9D">
      <w:pPr>
        <w:pStyle w:val="LITlitera"/>
      </w:pPr>
      <w:r w:rsidRPr="00325A22">
        <w:t>b)</w:t>
      </w:r>
      <w:r w:rsidR="00FD1F9D" w:rsidRPr="00325A22">
        <w:tab/>
      </w:r>
      <w:r w:rsidRPr="00325A22">
        <w:t>wskazanie źródeł pochodzenia danych wykorzystanych do analizy,</w:t>
      </w:r>
    </w:p>
    <w:p w14:paraId="5E464DEC" w14:textId="77777777" w:rsidR="00B51A0E" w:rsidRPr="00325A22" w:rsidRDefault="00B51A0E" w:rsidP="00FD1F9D">
      <w:pPr>
        <w:pStyle w:val="LITlitera"/>
      </w:pPr>
      <w:r w:rsidRPr="00325A22">
        <w:t>c)</w:t>
      </w:r>
      <w:r w:rsidR="00FD1F9D" w:rsidRPr="00325A22">
        <w:tab/>
      </w:r>
      <w:r w:rsidRPr="00325A22">
        <w:t>charakterystykę systemu hydrogeologicznego z uwzględnieniem, w szczególności:</w:t>
      </w:r>
    </w:p>
    <w:p w14:paraId="4A285118" w14:textId="7A4D652A" w:rsidR="00FD1F9D" w:rsidRPr="00325A22" w:rsidRDefault="00B51A0E" w:rsidP="00FD1F9D">
      <w:pPr>
        <w:pStyle w:val="TIRtiret"/>
      </w:pPr>
      <w:r w:rsidRPr="00325A22">
        <w:t>–</w:t>
      </w:r>
      <w:r w:rsidR="00FD1F9D" w:rsidRPr="00325A22">
        <w:tab/>
      </w:r>
      <w:r w:rsidRPr="00325A22">
        <w:t>oceny dostępnych w regionie lokalizacji zasobów wód podziemnych w</w:t>
      </w:r>
      <w:r w:rsidR="00A24735">
        <w:t> </w:t>
      </w:r>
      <w:r w:rsidRPr="00325A22">
        <w:t>utworach</w:t>
      </w:r>
      <w:r w:rsidR="00FD1F9D" w:rsidRPr="00325A22">
        <w:t xml:space="preserve"> </w:t>
      </w:r>
      <w:r w:rsidRPr="00325A22">
        <w:t>czwartorzędowych</w:t>
      </w:r>
      <w:r w:rsidR="00A7601A">
        <w:t xml:space="preserve">, </w:t>
      </w:r>
      <w:proofErr w:type="spellStart"/>
      <w:r w:rsidR="00817250">
        <w:t>neogeńskich</w:t>
      </w:r>
      <w:proofErr w:type="spellEnd"/>
      <w:r w:rsidR="00817250">
        <w:t xml:space="preserve"> i </w:t>
      </w:r>
      <w:proofErr w:type="spellStart"/>
      <w:r w:rsidR="00A7601A">
        <w:t>paleogeńskich</w:t>
      </w:r>
      <w:proofErr w:type="spellEnd"/>
      <w:r w:rsidRPr="00325A22">
        <w:t xml:space="preserve"> oraz starszego podłoża,</w:t>
      </w:r>
    </w:p>
    <w:p w14:paraId="07BBD0F3" w14:textId="4F10C2A0" w:rsidR="00FD1F9D" w:rsidRPr="00325A22" w:rsidRDefault="00B51A0E" w:rsidP="00FD1F9D">
      <w:pPr>
        <w:pStyle w:val="TIRtiret"/>
      </w:pPr>
      <w:r w:rsidRPr="00325A22">
        <w:t>–</w:t>
      </w:r>
      <w:r w:rsidR="00FD1F9D" w:rsidRPr="00325A22">
        <w:tab/>
      </w:r>
      <w:r w:rsidRPr="00325A22">
        <w:t>kierunków i prędkości migracji</w:t>
      </w:r>
      <w:r w:rsidR="00955CD0">
        <w:t xml:space="preserve"> </w:t>
      </w:r>
      <w:r w:rsidR="008839AE">
        <w:t xml:space="preserve"> </w:t>
      </w:r>
      <w:r w:rsidR="008839AE" w:rsidRPr="008839AE">
        <w:t>wód podziemnych pierwszego poziomu wodonośnego oraz głównego użytkowego poziomu wodonośnego</w:t>
      </w:r>
      <w:r w:rsidRPr="00325A22">
        <w:t>,</w:t>
      </w:r>
    </w:p>
    <w:p w14:paraId="4B4BBBD7" w14:textId="77777777" w:rsidR="00FD1F9D" w:rsidRPr="00325A22" w:rsidRDefault="00B51A0E" w:rsidP="00FD1F9D">
      <w:pPr>
        <w:pStyle w:val="TIRtiret"/>
      </w:pPr>
      <w:r w:rsidRPr="00325A22">
        <w:t>–</w:t>
      </w:r>
      <w:r w:rsidR="00FD1F9D" w:rsidRPr="00325A22">
        <w:tab/>
      </w:r>
      <w:r w:rsidRPr="00325A22">
        <w:t>właściwości filtracyjnych podłoża,</w:t>
      </w:r>
    </w:p>
    <w:p w14:paraId="3371FE79" w14:textId="51074A11" w:rsidR="00FD1F9D" w:rsidRPr="00325A22" w:rsidRDefault="00B51A0E" w:rsidP="00FD1F9D">
      <w:pPr>
        <w:pStyle w:val="TIRtiret"/>
      </w:pPr>
      <w:r w:rsidRPr="00325A22">
        <w:t>–</w:t>
      </w:r>
      <w:r w:rsidR="00FD1F9D" w:rsidRPr="00325A22">
        <w:tab/>
      </w:r>
      <w:r w:rsidRPr="00325A22">
        <w:t xml:space="preserve">właściwości fizykochemicznych </w:t>
      </w:r>
      <w:r w:rsidR="00955CD0">
        <w:t xml:space="preserve"> </w:t>
      </w:r>
      <w:r w:rsidR="008839AE" w:rsidRPr="008839AE">
        <w:t>wód podziemnych pierwszego poziomu wodonośnego oraz głównego użytkowego poziomu wodonośnego</w:t>
      </w:r>
      <w:r w:rsidRPr="00325A22">
        <w:t>,</w:t>
      </w:r>
    </w:p>
    <w:p w14:paraId="0832B217" w14:textId="711B9C7E" w:rsidR="007147A4" w:rsidRDefault="00B51A0E" w:rsidP="00DE555A">
      <w:pPr>
        <w:pStyle w:val="TIRtiret"/>
      </w:pPr>
      <w:r w:rsidRPr="00325A22">
        <w:t>–</w:t>
      </w:r>
      <w:r w:rsidR="00FD1F9D" w:rsidRPr="00325A22">
        <w:tab/>
      </w:r>
      <w:r w:rsidRPr="00325A22">
        <w:t>charakterystyk</w:t>
      </w:r>
      <w:r w:rsidR="00DE555A">
        <w:t>ę</w:t>
      </w:r>
      <w:r w:rsidR="00FD1F9D" w:rsidRPr="00325A22">
        <w:t xml:space="preserve"> </w:t>
      </w:r>
      <w:r w:rsidRPr="00325A22">
        <w:t>dynamiki wód podziemnych i jej zmian</w:t>
      </w:r>
      <w:r w:rsidR="00DE555A">
        <w:t xml:space="preserve"> dla wód podziemnych pierwszego poziomu wodonośnego oraz głównego użytkowego poziomu wodonośnego</w:t>
      </w:r>
    </w:p>
    <w:p w14:paraId="48936D47" w14:textId="1776F2BA" w:rsidR="00180AEA" w:rsidRDefault="005B2136" w:rsidP="00FD1F9D">
      <w:pPr>
        <w:pStyle w:val="TIRtiret"/>
      </w:pPr>
      <w:r w:rsidRPr="005B2136">
        <w:t>–</w:t>
      </w:r>
      <w:r w:rsidR="00445B1E">
        <w:tab/>
      </w:r>
      <w:r w:rsidR="00180AEA">
        <w:t>wpływ warunków hydrogeologicznych na warunki geologiczno-inżynierskie</w:t>
      </w:r>
      <w:r w:rsidR="00783C72">
        <w:t>,</w:t>
      </w:r>
    </w:p>
    <w:p w14:paraId="36EF486A" w14:textId="4FD23811" w:rsidR="00180AEA" w:rsidRPr="00325A22" w:rsidRDefault="00A864D0" w:rsidP="00FD1F9D">
      <w:pPr>
        <w:pStyle w:val="LITlitera"/>
      </w:pPr>
      <w:r>
        <w:t>d)</w:t>
      </w:r>
      <w:r w:rsidR="00B355BD">
        <w:tab/>
      </w:r>
      <w:r>
        <w:t xml:space="preserve">opis </w:t>
      </w:r>
      <w:r w:rsidR="006D5D65">
        <w:t xml:space="preserve">potencjalnych </w:t>
      </w:r>
      <w:r>
        <w:t>dróg rozprzestrzeniania się skażeń promieniotwórczych w</w:t>
      </w:r>
      <w:r w:rsidR="00A24735">
        <w:t> </w:t>
      </w:r>
      <w:r>
        <w:t>wodach podziemnych</w:t>
      </w:r>
      <w:r w:rsidR="00445B1E">
        <w:t>;</w:t>
      </w:r>
    </w:p>
    <w:p w14:paraId="1AC3F9A3" w14:textId="63D43EEE" w:rsidR="00B51A0E" w:rsidRPr="00325A22" w:rsidRDefault="00644522" w:rsidP="00FD1F9D">
      <w:pPr>
        <w:pStyle w:val="PKTpunkt"/>
      </w:pPr>
      <w:r>
        <w:t>6</w:t>
      </w:r>
      <w:r w:rsidR="00B51A0E" w:rsidRPr="00325A22">
        <w:t>)</w:t>
      </w:r>
      <w:r w:rsidR="00FD1F9D" w:rsidRPr="00325A22">
        <w:tab/>
      </w:r>
      <w:r w:rsidR="00B51A0E" w:rsidRPr="00325A22">
        <w:t>analizę czynników, o których mowa w § 2 pkt 4</w:t>
      </w:r>
      <w:r w:rsidR="00FB756E">
        <w:t>-8</w:t>
      </w:r>
      <w:r w:rsidR="00B51A0E" w:rsidRPr="00325A22">
        <w:t>, w tym:</w:t>
      </w:r>
    </w:p>
    <w:p w14:paraId="6B4CAF17" w14:textId="77777777" w:rsidR="0018357E" w:rsidRPr="00325A22" w:rsidRDefault="00B51A0E" w:rsidP="0018357E">
      <w:pPr>
        <w:pStyle w:val="LITlitera"/>
      </w:pPr>
      <w:r w:rsidRPr="00325A22">
        <w:t>a)</w:t>
      </w:r>
      <w:r w:rsidR="0018357E" w:rsidRPr="00325A22">
        <w:tab/>
      </w:r>
      <w:r w:rsidRPr="00325A22">
        <w:t>wskazanie  specjalistycznych  podmiotów  wykonawczych  i  podwykonawczych biorących udział w wykonaniu analizy,</w:t>
      </w:r>
    </w:p>
    <w:p w14:paraId="77E5ED21" w14:textId="77777777" w:rsidR="0018357E" w:rsidRPr="00325A22" w:rsidRDefault="00B51A0E" w:rsidP="0018357E">
      <w:pPr>
        <w:pStyle w:val="LITlitera"/>
      </w:pPr>
      <w:r w:rsidRPr="00325A22">
        <w:t>b)</w:t>
      </w:r>
      <w:r w:rsidR="0018357E" w:rsidRPr="00325A22">
        <w:tab/>
      </w:r>
      <w:r w:rsidRPr="00325A22">
        <w:t>wskazanie źródeł pochodzenia danych wykorzystanych do analizy,</w:t>
      </w:r>
    </w:p>
    <w:p w14:paraId="4AC6FADB" w14:textId="77777777" w:rsidR="0018357E" w:rsidRPr="00325A22" w:rsidRDefault="00B51A0E" w:rsidP="0018357E">
      <w:pPr>
        <w:pStyle w:val="LITlitera"/>
      </w:pPr>
      <w:r w:rsidRPr="00325A22">
        <w:t>c)</w:t>
      </w:r>
      <w:r w:rsidR="0018357E" w:rsidRPr="00325A22">
        <w:tab/>
      </w:r>
      <w:r w:rsidRPr="00325A22">
        <w:t>dane wykorzystane do analizy</w:t>
      </w:r>
      <w:r w:rsidR="0018357E" w:rsidRPr="00325A22">
        <w:t xml:space="preserve"> </w:t>
      </w:r>
      <w:r w:rsidRPr="00325A22">
        <w:t>wraz z zakresem czasowym, jaki obejmują,</w:t>
      </w:r>
    </w:p>
    <w:p w14:paraId="4E9284BD" w14:textId="61B37FAA" w:rsidR="0018357E" w:rsidRPr="00325A22" w:rsidRDefault="005D6E3E" w:rsidP="0018357E">
      <w:pPr>
        <w:pStyle w:val="LITlitera"/>
      </w:pPr>
      <w:r>
        <w:t>d</w:t>
      </w:r>
      <w:r w:rsidR="00B51A0E" w:rsidRPr="00325A22">
        <w:t>)</w:t>
      </w:r>
      <w:r w:rsidR="0018357E" w:rsidRPr="00325A22">
        <w:tab/>
      </w:r>
      <w:r w:rsidR="006B522F">
        <w:t xml:space="preserve">wstępny </w:t>
      </w:r>
      <w:r w:rsidR="00B51A0E" w:rsidRPr="00325A22">
        <w:t xml:space="preserve">model rozprzestrzeniania się uwolnień izotopów promieniotwórczych </w:t>
      </w:r>
      <w:r w:rsidR="00903513">
        <w:t>w</w:t>
      </w:r>
      <w:r w:rsidR="00A24735">
        <w:t> </w:t>
      </w:r>
      <w:r w:rsidR="00B51A0E" w:rsidRPr="00325A22">
        <w:t>atmosfer</w:t>
      </w:r>
      <w:r w:rsidR="00903513">
        <w:t>ze</w:t>
      </w:r>
      <w:r w:rsidR="00B51A0E" w:rsidRPr="00325A22">
        <w:t xml:space="preserve"> dla </w:t>
      </w:r>
      <w:r w:rsidR="00250136">
        <w:t>danej technologii reaktorowej</w:t>
      </w:r>
      <w:r w:rsidR="00B51A0E" w:rsidRPr="00325A22">
        <w:t>, wraz ze wskazaniem wykorzystanych parametrów i danych, metodyki obliczeniowej oraz sposobów weryfikacji modelu,</w:t>
      </w:r>
    </w:p>
    <w:p w14:paraId="7A0128AA" w14:textId="26DF5D0E" w:rsidR="006D5D65" w:rsidRPr="00325A22" w:rsidRDefault="006D5D65" w:rsidP="0068790F">
      <w:pPr>
        <w:pStyle w:val="LITlitera"/>
      </w:pPr>
      <w:r>
        <w:t>e</w:t>
      </w:r>
      <w:r w:rsidRPr="006D5D65">
        <w:t>)</w:t>
      </w:r>
      <w:r w:rsidR="00445B1E">
        <w:tab/>
      </w:r>
      <w:r w:rsidRPr="006D5D65">
        <w:t>opis potencjalnych dróg rozprzestrzeniania się skażeń promieniotwórczych w</w:t>
      </w:r>
      <w:r w:rsidR="00A24735">
        <w:t> </w:t>
      </w:r>
      <w:r w:rsidRPr="006D5D65">
        <w:t>wodach po</w:t>
      </w:r>
      <w:r>
        <w:t>wierzchniowych</w:t>
      </w:r>
      <w:r w:rsidRPr="006D5D65">
        <w:t>,</w:t>
      </w:r>
    </w:p>
    <w:p w14:paraId="717BD93E" w14:textId="0F517735" w:rsidR="0018357E" w:rsidRPr="00325A22" w:rsidRDefault="005D6E3E" w:rsidP="0018357E">
      <w:pPr>
        <w:pStyle w:val="LITlitera"/>
      </w:pPr>
      <w:r>
        <w:t>f</w:t>
      </w:r>
      <w:r w:rsidR="00B51A0E" w:rsidRPr="00325A22">
        <w:t>)</w:t>
      </w:r>
      <w:r w:rsidR="0018357E" w:rsidRPr="00325A22">
        <w:tab/>
      </w:r>
      <w:r w:rsidR="0068790F" w:rsidRPr="0068790F">
        <w:t xml:space="preserve">ocenę zagrożenia </w:t>
      </w:r>
      <w:r w:rsidR="00BE4D2A" w:rsidRPr="00BE4D2A">
        <w:t xml:space="preserve">wystąpieniem </w:t>
      </w:r>
      <w:r w:rsidR="00441C3D">
        <w:t>maksymaln</w:t>
      </w:r>
      <w:r w:rsidR="00BE4D2A">
        <w:t>ej</w:t>
      </w:r>
      <w:r w:rsidR="00441C3D">
        <w:t xml:space="preserve"> </w:t>
      </w:r>
      <w:r w:rsidR="0068790F" w:rsidRPr="0068790F">
        <w:t xml:space="preserve">powodzi </w:t>
      </w:r>
      <w:r w:rsidR="00BE4D2A">
        <w:t>w</w:t>
      </w:r>
      <w:r w:rsidR="0068790F" w:rsidRPr="0068790F">
        <w:t xml:space="preserve"> granic</w:t>
      </w:r>
      <w:r w:rsidR="00BE4D2A">
        <w:t>ach</w:t>
      </w:r>
      <w:r w:rsidR="0068790F" w:rsidRPr="0068790F">
        <w:t xml:space="preserve"> planowanego miejsca usytuowania obiektu, w tym określenie powodzi o prawdopodobieństwie wystąpienia 0,1 %</w:t>
      </w:r>
      <w:r w:rsidR="0068790F">
        <w:t>,</w:t>
      </w:r>
    </w:p>
    <w:p w14:paraId="374A1277" w14:textId="51F64915" w:rsidR="0018357E" w:rsidRPr="00325A22" w:rsidRDefault="005D6E3E" w:rsidP="0018357E">
      <w:pPr>
        <w:pStyle w:val="LITlitera"/>
      </w:pPr>
      <w:r>
        <w:lastRenderedPageBreak/>
        <w:t>g</w:t>
      </w:r>
      <w:r w:rsidR="00B51A0E" w:rsidRPr="00325A22">
        <w:t>)</w:t>
      </w:r>
      <w:r w:rsidR="0018357E" w:rsidRPr="00325A22">
        <w:tab/>
      </w:r>
      <w:r w:rsidR="00CC7E54" w:rsidRPr="00CC7E54">
        <w:t xml:space="preserve"> ocenę ryzyka wystąpienia suszy oraz jej negatywnego wpływu na reżim wód  podziemnych i powierzchniowych</w:t>
      </w:r>
      <w:r w:rsidR="00CC7E54">
        <w:t>,</w:t>
      </w:r>
    </w:p>
    <w:p w14:paraId="2FB32B49" w14:textId="69FC84EC" w:rsidR="0018357E" w:rsidRPr="00325A22" w:rsidRDefault="005D6E3E" w:rsidP="0018357E">
      <w:pPr>
        <w:pStyle w:val="LITlitera"/>
      </w:pPr>
      <w:r>
        <w:t>h</w:t>
      </w:r>
      <w:r w:rsidR="00B51A0E" w:rsidRPr="00325A22">
        <w:t>)</w:t>
      </w:r>
      <w:r w:rsidR="0018357E" w:rsidRPr="00325A22">
        <w:tab/>
      </w:r>
      <w:r w:rsidR="00F11ED6">
        <w:t xml:space="preserve"> </w:t>
      </w:r>
      <w:r w:rsidR="00F11ED6" w:rsidRPr="00F11ED6">
        <w:t>ocenę zagrożenia  granic planowanego miejsca usytuowania obiektu pożarem pochodzenia naturalnego  lub wywołanym przez działalność człowieka,</w:t>
      </w:r>
    </w:p>
    <w:p w14:paraId="07905103" w14:textId="153F7B40" w:rsidR="0018357E" w:rsidRPr="00325A22" w:rsidRDefault="005D6E3E" w:rsidP="0018357E">
      <w:pPr>
        <w:pStyle w:val="LITlitera"/>
      </w:pPr>
      <w:r>
        <w:t>i</w:t>
      </w:r>
      <w:r w:rsidR="00B51A0E" w:rsidRPr="00325A22">
        <w:t>)</w:t>
      </w:r>
      <w:r w:rsidR="0018357E" w:rsidRPr="00325A22">
        <w:tab/>
      </w:r>
      <w:r w:rsidR="00B51A0E" w:rsidRPr="00325A22">
        <w:t>ocenę zagrożenia pochodzącego od czynników, o których mowa w § 2 pkt 5,</w:t>
      </w:r>
    </w:p>
    <w:p w14:paraId="46808A20" w14:textId="155F69AA" w:rsidR="0018357E" w:rsidRPr="00325A22" w:rsidRDefault="005D6E3E" w:rsidP="0018357E">
      <w:pPr>
        <w:pStyle w:val="LITlitera"/>
      </w:pPr>
      <w:r>
        <w:t>j</w:t>
      </w:r>
      <w:r w:rsidR="00B51A0E" w:rsidRPr="00325A22">
        <w:t>)</w:t>
      </w:r>
      <w:r w:rsidR="0018357E" w:rsidRPr="00325A22">
        <w:tab/>
      </w:r>
      <w:r w:rsidR="00B51A0E" w:rsidRPr="00325A22">
        <w:t>ocenę zagrożenia pochodzącego od czynników, o których mowa w § 2 pkt 6 lit. a–c oraz e,</w:t>
      </w:r>
    </w:p>
    <w:p w14:paraId="4BEDA637" w14:textId="73351713" w:rsidR="00BD1922" w:rsidRDefault="005D6E3E" w:rsidP="0018357E">
      <w:pPr>
        <w:pStyle w:val="LITlitera"/>
      </w:pPr>
      <w:r>
        <w:t>k</w:t>
      </w:r>
      <w:r w:rsidR="00B51A0E" w:rsidRPr="00325A22">
        <w:t>)</w:t>
      </w:r>
      <w:r w:rsidR="0018357E" w:rsidRPr="00325A22">
        <w:tab/>
      </w:r>
      <w:r w:rsidR="00B51A0E" w:rsidRPr="00325A22">
        <w:t>załączniki graficzne ilustrujące czynniki, o których mowa w § 2 pkt 4–8,</w:t>
      </w:r>
      <w:r w:rsidR="0018357E" w:rsidRPr="00325A22">
        <w:t xml:space="preserve"> </w:t>
      </w:r>
      <w:r w:rsidR="00B51A0E" w:rsidRPr="00325A22">
        <w:t>w</w:t>
      </w:r>
      <w:r w:rsidR="00A24735">
        <w:t> </w:t>
      </w:r>
      <w:r w:rsidR="00B51A0E" w:rsidRPr="00325A22">
        <w:t>szczególności mapy, schematy, przekroje oraz modele, z zastosowaniem skali odpowiedniej do rozpatrywanego zagadnienia</w:t>
      </w:r>
      <w:r w:rsidR="00BD1922">
        <w:t>,</w:t>
      </w:r>
    </w:p>
    <w:p w14:paraId="4C3FC3A4" w14:textId="43575D79" w:rsidR="00B51A0E" w:rsidRDefault="00BD1922" w:rsidP="0018357E">
      <w:pPr>
        <w:pStyle w:val="LITlitera"/>
      </w:pPr>
      <w:r>
        <w:t>l)</w:t>
      </w:r>
      <w:r>
        <w:tab/>
      </w:r>
      <w:r w:rsidRPr="00D42C8C">
        <w:t xml:space="preserve">ocenę, czy </w:t>
      </w:r>
      <w:r w:rsidR="00F24DD5" w:rsidRPr="00F24DD5">
        <w:t xml:space="preserve">w zakresie wskazanym w § 2 pkt </w:t>
      </w:r>
      <w:r w:rsidR="00F24DD5">
        <w:t>4-8</w:t>
      </w:r>
      <w:r w:rsidR="00F24DD5" w:rsidRPr="00F24DD5">
        <w:t xml:space="preserve"> </w:t>
      </w:r>
      <w:r w:rsidRPr="00D42C8C">
        <w:t>na terenie przeznaczonym na lokalizację obiektu występują przypadki wskazane w § 4</w:t>
      </w:r>
      <w:r w:rsidR="00B51A0E" w:rsidRPr="00325A22">
        <w:t>.</w:t>
      </w:r>
    </w:p>
    <w:p w14:paraId="4541587F" w14:textId="77777777" w:rsidR="00B51A0E" w:rsidRPr="00325A22" w:rsidRDefault="00B51A0E" w:rsidP="0018357E">
      <w:pPr>
        <w:pStyle w:val="ARTartustawynprozporzdzenia"/>
      </w:pPr>
      <w:bookmarkStart w:id="9" w:name="_Hlk138161787"/>
      <w:r w:rsidRPr="00325A22">
        <w:t>§</w:t>
      </w:r>
      <w:bookmarkEnd w:id="9"/>
      <w:r w:rsidR="0018357E" w:rsidRPr="00325A22">
        <w:t xml:space="preserve"> </w:t>
      </w:r>
      <w:r w:rsidRPr="00325A22">
        <w:t>6.</w:t>
      </w:r>
      <w:r w:rsidR="0018357E" w:rsidRPr="00325A22">
        <w:t xml:space="preserve"> </w:t>
      </w:r>
      <w:r w:rsidRPr="00325A22">
        <w:t>Rozporządzenie wchodzi w życie po upływie 14 dni od dnia ogłoszenia.</w:t>
      </w:r>
    </w:p>
    <w:p w14:paraId="76ECEBE1" w14:textId="77777777" w:rsidR="0095028E" w:rsidRDefault="0095028E" w:rsidP="0018357E">
      <w:pPr>
        <w:pStyle w:val="NAZORGWYDnazwaorganuwydajcegoprojektowanyakt"/>
      </w:pPr>
    </w:p>
    <w:p w14:paraId="7A221E94" w14:textId="77777777" w:rsidR="0095028E" w:rsidRDefault="0095028E" w:rsidP="0018357E">
      <w:pPr>
        <w:pStyle w:val="NAZORGWYDnazwaorganuwydajcegoprojektowanyakt"/>
      </w:pPr>
    </w:p>
    <w:p w14:paraId="09FC201C" w14:textId="77777777" w:rsidR="0018357E" w:rsidRDefault="00B51A0E" w:rsidP="0018357E">
      <w:pPr>
        <w:pStyle w:val="NAZORGWYDnazwaorganuwydajcegoprojektowanyakt"/>
      </w:pPr>
      <w:r w:rsidRPr="00325A22">
        <w:t>PREZES RADY MINISTRÓW</w:t>
      </w:r>
    </w:p>
    <w:p w14:paraId="42B80E01" w14:textId="77777777" w:rsidR="00A81A3C" w:rsidRDefault="00A81A3C" w:rsidP="00A81A3C">
      <w:pPr>
        <w:spacing w:line="240" w:lineRule="auto"/>
        <w:rPr>
          <w:sz w:val="20"/>
        </w:rPr>
      </w:pPr>
      <w:r>
        <w:rPr>
          <w:sz w:val="20"/>
        </w:rPr>
        <w:t xml:space="preserve">ZA ZGODNOŚĆ POD WZGLĘDEM PRAWNYM, </w:t>
      </w:r>
    </w:p>
    <w:p w14:paraId="29FE22DE" w14:textId="6CBEDE55" w:rsidR="00A81A3C" w:rsidRDefault="00A81A3C" w:rsidP="00A81A3C">
      <w:pPr>
        <w:spacing w:line="240" w:lineRule="auto"/>
        <w:rPr>
          <w:sz w:val="20"/>
        </w:rPr>
      </w:pPr>
      <w:r>
        <w:rPr>
          <w:sz w:val="20"/>
        </w:rPr>
        <w:t xml:space="preserve">       LEGISLACYJNYM I REDAKCYJNYM </w:t>
      </w:r>
    </w:p>
    <w:p w14:paraId="158C64B6" w14:textId="052FE3B1" w:rsidR="00A81A3C" w:rsidRDefault="00A81A3C" w:rsidP="00A81A3C">
      <w:pPr>
        <w:spacing w:line="240" w:lineRule="auto"/>
        <w:ind w:left="680" w:firstLine="170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ab/>
        <w:t>Piotr Korzecki</w:t>
      </w:r>
    </w:p>
    <w:p w14:paraId="46004739" w14:textId="1EF0A4A1" w:rsidR="00A81A3C" w:rsidRDefault="00A81A3C" w:rsidP="00A81A3C">
      <w:pPr>
        <w:spacing w:line="240" w:lineRule="auto"/>
        <w:rPr>
          <w:sz w:val="20"/>
        </w:rPr>
      </w:pPr>
      <w:r>
        <w:rPr>
          <w:sz w:val="20"/>
        </w:rPr>
        <w:t xml:space="preserve">        </w:t>
      </w:r>
      <w:r>
        <w:rPr>
          <w:sz w:val="20"/>
        </w:rPr>
        <w:tab/>
        <w:t xml:space="preserve">Dyrektor Departamentu Prawnego </w:t>
      </w:r>
    </w:p>
    <w:p w14:paraId="13B93CE3" w14:textId="222A8AA0" w:rsidR="00A81A3C" w:rsidRDefault="00A81A3C" w:rsidP="00A81A3C">
      <w:pPr>
        <w:spacing w:line="240" w:lineRule="auto"/>
        <w:rPr>
          <w:sz w:val="20"/>
        </w:rPr>
      </w:pPr>
      <w:r>
        <w:rPr>
          <w:sz w:val="20"/>
        </w:rPr>
        <w:t xml:space="preserve">         </w:t>
      </w:r>
      <w:r>
        <w:rPr>
          <w:sz w:val="20"/>
        </w:rPr>
        <w:tab/>
      </w:r>
      <w:r>
        <w:rPr>
          <w:sz w:val="20"/>
        </w:rPr>
        <w:tab/>
        <w:t>Państwowej Agencji Atomistyki</w:t>
      </w:r>
    </w:p>
    <w:p w14:paraId="44618883" w14:textId="207B242C" w:rsidR="00A81A3C" w:rsidRDefault="00A81A3C" w:rsidP="00A81A3C">
      <w:pPr>
        <w:ind w:left="284" w:hanging="284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     </w:t>
      </w:r>
      <w:r>
        <w:rPr>
          <w:rFonts w:eastAsia="Times New Roman"/>
          <w:sz w:val="20"/>
        </w:rPr>
        <w:tab/>
      </w:r>
      <w:r>
        <w:rPr>
          <w:rFonts w:eastAsia="Times New Roman"/>
          <w:sz w:val="20"/>
        </w:rPr>
        <w:tab/>
        <w:t>/- podpisano elektronicznie/</w:t>
      </w:r>
    </w:p>
    <w:p w14:paraId="60E13C98" w14:textId="77777777" w:rsidR="00A81A3C" w:rsidRPr="00325A22" w:rsidRDefault="00A81A3C" w:rsidP="0018357E">
      <w:pPr>
        <w:pStyle w:val="NAZORGWYDnazwaorganuwydajcegoprojektowanyakt"/>
      </w:pPr>
    </w:p>
    <w:sectPr w:rsidR="00A81A3C" w:rsidRPr="00325A22" w:rsidSect="006E75AE">
      <w:headerReference w:type="defaul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9C28B" w14:textId="77777777" w:rsidR="00F4075E" w:rsidRDefault="00F4075E">
      <w:r>
        <w:separator/>
      </w:r>
    </w:p>
  </w:endnote>
  <w:endnote w:type="continuationSeparator" w:id="0">
    <w:p w14:paraId="69B9E4EA" w14:textId="77777777" w:rsidR="00F4075E" w:rsidRDefault="00F4075E">
      <w:r>
        <w:continuationSeparator/>
      </w:r>
    </w:p>
  </w:endnote>
  <w:endnote w:type="continuationNotice" w:id="1">
    <w:p w14:paraId="7756BCF2" w14:textId="77777777" w:rsidR="00F4075E" w:rsidRDefault="00F407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????????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235A4" w14:textId="77777777" w:rsidR="00F4075E" w:rsidRDefault="00F4075E">
      <w:r>
        <w:separator/>
      </w:r>
    </w:p>
  </w:footnote>
  <w:footnote w:type="continuationSeparator" w:id="0">
    <w:p w14:paraId="54856475" w14:textId="77777777" w:rsidR="00F4075E" w:rsidRDefault="00F4075E">
      <w:r>
        <w:continuationSeparator/>
      </w:r>
    </w:p>
  </w:footnote>
  <w:footnote w:type="continuationNotice" w:id="1">
    <w:p w14:paraId="6E4CFC76" w14:textId="77777777" w:rsidR="00F4075E" w:rsidRDefault="00F4075E">
      <w:pPr>
        <w:spacing w:line="240" w:lineRule="auto"/>
      </w:pPr>
    </w:p>
  </w:footnote>
  <w:footnote w:id="2">
    <w:p w14:paraId="50A3090F" w14:textId="77777777" w:rsidR="00AB0857" w:rsidRDefault="00AB0857" w:rsidP="00B51A0E">
      <w:pPr>
        <w:pStyle w:val="ODNONIKtreodnonika"/>
      </w:pPr>
      <w:r>
        <w:rPr>
          <w:rStyle w:val="Odwoanieprzypisudolnego"/>
        </w:rPr>
        <w:footnoteRef/>
      </w:r>
      <w:r w:rsidRPr="00B51A0E">
        <w:rPr>
          <w:rStyle w:val="IGindeksgrny"/>
        </w:rPr>
        <w:t>)</w:t>
      </w:r>
      <w:r>
        <w:tab/>
        <w:t>Niniejsze rozporządzenie dokonuje w zakresie swojej regulacji wdrożenia dyrektywy Rady 2009/71/Euratom z dnia 25 czerwca 2009 r. ustanawiającej wspólnotowe ramy bezpieczeństwa jądrowego obiektów jądrowych (Dz. Urz. UE L 172 z 02.07.2009, str. 18, Dz. Urz. UE L 260 z 03.10.2009, str. 40 oraz Dz. Urz. UE L 219 z 25.07.2014, str. 42).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135B0" w14:textId="77777777" w:rsidR="00AB0857" w:rsidRPr="00B371CC" w:rsidRDefault="00AB085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24735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A02E6"/>
    <w:multiLevelType w:val="hybridMultilevel"/>
    <w:tmpl w:val="FADC8E10"/>
    <w:lvl w:ilvl="0" w:tplc="EE667174">
      <w:start w:val="2"/>
      <w:numFmt w:val="bullet"/>
      <w:lvlText w:val=""/>
      <w:lvlJc w:val="left"/>
      <w:pPr>
        <w:ind w:left="87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3A941F2"/>
    <w:multiLevelType w:val="hybridMultilevel"/>
    <w:tmpl w:val="41D04118"/>
    <w:lvl w:ilvl="0" w:tplc="4866FFE2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E56F0"/>
    <w:multiLevelType w:val="hybridMultilevel"/>
    <w:tmpl w:val="03066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16E4A"/>
    <w:multiLevelType w:val="hybridMultilevel"/>
    <w:tmpl w:val="9BC4369E"/>
    <w:lvl w:ilvl="0" w:tplc="F4367F6A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D8"/>
    <w:rsid w:val="00000548"/>
    <w:rsid w:val="000012DA"/>
    <w:rsid w:val="0000246E"/>
    <w:rsid w:val="00002D1E"/>
    <w:rsid w:val="00003172"/>
    <w:rsid w:val="00003862"/>
    <w:rsid w:val="00005D55"/>
    <w:rsid w:val="0000622C"/>
    <w:rsid w:val="00010DC8"/>
    <w:rsid w:val="00011BF1"/>
    <w:rsid w:val="00012761"/>
    <w:rsid w:val="00012A35"/>
    <w:rsid w:val="000140C3"/>
    <w:rsid w:val="00014246"/>
    <w:rsid w:val="000151B9"/>
    <w:rsid w:val="00016099"/>
    <w:rsid w:val="0001681B"/>
    <w:rsid w:val="00017DC2"/>
    <w:rsid w:val="000206BA"/>
    <w:rsid w:val="00020F1F"/>
    <w:rsid w:val="00021522"/>
    <w:rsid w:val="00023078"/>
    <w:rsid w:val="00023471"/>
    <w:rsid w:val="00023F13"/>
    <w:rsid w:val="000302FA"/>
    <w:rsid w:val="00030634"/>
    <w:rsid w:val="000319C1"/>
    <w:rsid w:val="00031A8B"/>
    <w:rsid w:val="00031BCA"/>
    <w:rsid w:val="00032684"/>
    <w:rsid w:val="000330FA"/>
    <w:rsid w:val="0003362F"/>
    <w:rsid w:val="0003364F"/>
    <w:rsid w:val="00034D03"/>
    <w:rsid w:val="00035FB3"/>
    <w:rsid w:val="00036585"/>
    <w:rsid w:val="00036B63"/>
    <w:rsid w:val="0003795B"/>
    <w:rsid w:val="00037E1A"/>
    <w:rsid w:val="0004167E"/>
    <w:rsid w:val="00043217"/>
    <w:rsid w:val="00043495"/>
    <w:rsid w:val="00045580"/>
    <w:rsid w:val="00046A75"/>
    <w:rsid w:val="00046CEA"/>
    <w:rsid w:val="00047312"/>
    <w:rsid w:val="00047482"/>
    <w:rsid w:val="000508BD"/>
    <w:rsid w:val="000517AB"/>
    <w:rsid w:val="0005339C"/>
    <w:rsid w:val="00054307"/>
    <w:rsid w:val="0005511F"/>
    <w:rsid w:val="0005571B"/>
    <w:rsid w:val="00056DF3"/>
    <w:rsid w:val="00057AB3"/>
    <w:rsid w:val="00060076"/>
    <w:rsid w:val="000601F2"/>
    <w:rsid w:val="00060432"/>
    <w:rsid w:val="00060D87"/>
    <w:rsid w:val="000615A5"/>
    <w:rsid w:val="000631F3"/>
    <w:rsid w:val="00063FA0"/>
    <w:rsid w:val="00064696"/>
    <w:rsid w:val="00064E4C"/>
    <w:rsid w:val="0006559C"/>
    <w:rsid w:val="00065786"/>
    <w:rsid w:val="00066901"/>
    <w:rsid w:val="00071BEE"/>
    <w:rsid w:val="00071C38"/>
    <w:rsid w:val="00071FFA"/>
    <w:rsid w:val="000736CD"/>
    <w:rsid w:val="0007533B"/>
    <w:rsid w:val="0007545D"/>
    <w:rsid w:val="000760BF"/>
    <w:rsid w:val="0007613E"/>
    <w:rsid w:val="00076525"/>
    <w:rsid w:val="00076BFC"/>
    <w:rsid w:val="00077A23"/>
    <w:rsid w:val="00080470"/>
    <w:rsid w:val="000811C1"/>
    <w:rsid w:val="000814A7"/>
    <w:rsid w:val="000832E4"/>
    <w:rsid w:val="000846B1"/>
    <w:rsid w:val="00084763"/>
    <w:rsid w:val="00084D06"/>
    <w:rsid w:val="0008557B"/>
    <w:rsid w:val="00085CE7"/>
    <w:rsid w:val="00086469"/>
    <w:rsid w:val="000879DA"/>
    <w:rsid w:val="00090229"/>
    <w:rsid w:val="000906EE"/>
    <w:rsid w:val="00091BA2"/>
    <w:rsid w:val="00093527"/>
    <w:rsid w:val="000937CA"/>
    <w:rsid w:val="000944EF"/>
    <w:rsid w:val="00094579"/>
    <w:rsid w:val="0009504A"/>
    <w:rsid w:val="00096A83"/>
    <w:rsid w:val="0009732D"/>
    <w:rsid w:val="000973F0"/>
    <w:rsid w:val="000A1296"/>
    <w:rsid w:val="000A1C27"/>
    <w:rsid w:val="000A1DAD"/>
    <w:rsid w:val="000A2038"/>
    <w:rsid w:val="000A2649"/>
    <w:rsid w:val="000A323B"/>
    <w:rsid w:val="000A3A6F"/>
    <w:rsid w:val="000A415B"/>
    <w:rsid w:val="000A60AA"/>
    <w:rsid w:val="000B1A93"/>
    <w:rsid w:val="000B298D"/>
    <w:rsid w:val="000B5916"/>
    <w:rsid w:val="000B5B2D"/>
    <w:rsid w:val="000B5DCE"/>
    <w:rsid w:val="000B744D"/>
    <w:rsid w:val="000C05BA"/>
    <w:rsid w:val="000C0E8F"/>
    <w:rsid w:val="000C37BD"/>
    <w:rsid w:val="000C4BC4"/>
    <w:rsid w:val="000C5E6A"/>
    <w:rsid w:val="000D0110"/>
    <w:rsid w:val="000D15CA"/>
    <w:rsid w:val="000D2468"/>
    <w:rsid w:val="000D318A"/>
    <w:rsid w:val="000D58BC"/>
    <w:rsid w:val="000D6173"/>
    <w:rsid w:val="000D6F83"/>
    <w:rsid w:val="000D7D91"/>
    <w:rsid w:val="000D7F9C"/>
    <w:rsid w:val="000E08F9"/>
    <w:rsid w:val="000E0A7D"/>
    <w:rsid w:val="000E1382"/>
    <w:rsid w:val="000E25CC"/>
    <w:rsid w:val="000E3694"/>
    <w:rsid w:val="000E490F"/>
    <w:rsid w:val="000E6241"/>
    <w:rsid w:val="000E7A62"/>
    <w:rsid w:val="000F0506"/>
    <w:rsid w:val="000F2BE3"/>
    <w:rsid w:val="000F3979"/>
    <w:rsid w:val="000F3D0D"/>
    <w:rsid w:val="000F654F"/>
    <w:rsid w:val="000F668A"/>
    <w:rsid w:val="000F690A"/>
    <w:rsid w:val="000F6A30"/>
    <w:rsid w:val="000F6ED4"/>
    <w:rsid w:val="000F7A6E"/>
    <w:rsid w:val="000F7C04"/>
    <w:rsid w:val="00102425"/>
    <w:rsid w:val="001033AB"/>
    <w:rsid w:val="001042BA"/>
    <w:rsid w:val="001047DE"/>
    <w:rsid w:val="00106D03"/>
    <w:rsid w:val="00110465"/>
    <w:rsid w:val="00110628"/>
    <w:rsid w:val="001112CE"/>
    <w:rsid w:val="00111618"/>
    <w:rsid w:val="0011245A"/>
    <w:rsid w:val="0011493E"/>
    <w:rsid w:val="00115B72"/>
    <w:rsid w:val="0012086C"/>
    <w:rsid w:val="001209EC"/>
    <w:rsid w:val="00120A9E"/>
    <w:rsid w:val="0012563E"/>
    <w:rsid w:val="00125A9C"/>
    <w:rsid w:val="0012606B"/>
    <w:rsid w:val="0012653C"/>
    <w:rsid w:val="00126858"/>
    <w:rsid w:val="001270A2"/>
    <w:rsid w:val="0012714D"/>
    <w:rsid w:val="00127B08"/>
    <w:rsid w:val="0013076D"/>
    <w:rsid w:val="00131237"/>
    <w:rsid w:val="001329AC"/>
    <w:rsid w:val="00133A90"/>
    <w:rsid w:val="00134CA0"/>
    <w:rsid w:val="00135F8B"/>
    <w:rsid w:val="0014019C"/>
    <w:rsid w:val="0014026F"/>
    <w:rsid w:val="0014178C"/>
    <w:rsid w:val="001422C2"/>
    <w:rsid w:val="001444EF"/>
    <w:rsid w:val="00146B2A"/>
    <w:rsid w:val="00146C8C"/>
    <w:rsid w:val="00147A47"/>
    <w:rsid w:val="00147AA1"/>
    <w:rsid w:val="001510E3"/>
    <w:rsid w:val="00151FCD"/>
    <w:rsid w:val="001520CF"/>
    <w:rsid w:val="001522ED"/>
    <w:rsid w:val="001558EF"/>
    <w:rsid w:val="00156433"/>
    <w:rsid w:val="0015667C"/>
    <w:rsid w:val="00157110"/>
    <w:rsid w:val="0015742A"/>
    <w:rsid w:val="00157475"/>
    <w:rsid w:val="00157C3F"/>
    <w:rsid w:val="00157DA1"/>
    <w:rsid w:val="00157EAA"/>
    <w:rsid w:val="00163147"/>
    <w:rsid w:val="001636C4"/>
    <w:rsid w:val="00164821"/>
    <w:rsid w:val="00164C57"/>
    <w:rsid w:val="00164C9D"/>
    <w:rsid w:val="00170C19"/>
    <w:rsid w:val="00172F7A"/>
    <w:rsid w:val="00173150"/>
    <w:rsid w:val="00173390"/>
    <w:rsid w:val="001736F0"/>
    <w:rsid w:val="00173BB3"/>
    <w:rsid w:val="001740D0"/>
    <w:rsid w:val="00174F2C"/>
    <w:rsid w:val="0017515A"/>
    <w:rsid w:val="00180AEA"/>
    <w:rsid w:val="00180F2A"/>
    <w:rsid w:val="0018357E"/>
    <w:rsid w:val="00184B91"/>
    <w:rsid w:val="00184D4A"/>
    <w:rsid w:val="00186EC1"/>
    <w:rsid w:val="00190078"/>
    <w:rsid w:val="00190E95"/>
    <w:rsid w:val="00190FB5"/>
    <w:rsid w:val="00191E1F"/>
    <w:rsid w:val="0019473B"/>
    <w:rsid w:val="001952B1"/>
    <w:rsid w:val="00196E39"/>
    <w:rsid w:val="00197649"/>
    <w:rsid w:val="0019782B"/>
    <w:rsid w:val="001A01FB"/>
    <w:rsid w:val="001A10E9"/>
    <w:rsid w:val="001A1519"/>
    <w:rsid w:val="001A183D"/>
    <w:rsid w:val="001A2B65"/>
    <w:rsid w:val="001A3CD3"/>
    <w:rsid w:val="001A49CC"/>
    <w:rsid w:val="001A4D89"/>
    <w:rsid w:val="001A5BEF"/>
    <w:rsid w:val="001A7548"/>
    <w:rsid w:val="001A78DE"/>
    <w:rsid w:val="001A7F15"/>
    <w:rsid w:val="001B080D"/>
    <w:rsid w:val="001B0984"/>
    <w:rsid w:val="001B19D8"/>
    <w:rsid w:val="001B329B"/>
    <w:rsid w:val="001B342E"/>
    <w:rsid w:val="001B3890"/>
    <w:rsid w:val="001B3AB8"/>
    <w:rsid w:val="001B3F2F"/>
    <w:rsid w:val="001B43C1"/>
    <w:rsid w:val="001C1513"/>
    <w:rsid w:val="001C1832"/>
    <w:rsid w:val="001C188C"/>
    <w:rsid w:val="001C1F0F"/>
    <w:rsid w:val="001C2242"/>
    <w:rsid w:val="001C3597"/>
    <w:rsid w:val="001C3E95"/>
    <w:rsid w:val="001C46F2"/>
    <w:rsid w:val="001C4984"/>
    <w:rsid w:val="001C5582"/>
    <w:rsid w:val="001D0DE6"/>
    <w:rsid w:val="001D1783"/>
    <w:rsid w:val="001D53CD"/>
    <w:rsid w:val="001D55A3"/>
    <w:rsid w:val="001D5AF5"/>
    <w:rsid w:val="001D5E54"/>
    <w:rsid w:val="001D69A9"/>
    <w:rsid w:val="001E08E8"/>
    <w:rsid w:val="001E1E73"/>
    <w:rsid w:val="001E3F2B"/>
    <w:rsid w:val="001E4E0C"/>
    <w:rsid w:val="001E4F6C"/>
    <w:rsid w:val="001E526D"/>
    <w:rsid w:val="001E5655"/>
    <w:rsid w:val="001E6A70"/>
    <w:rsid w:val="001F07E3"/>
    <w:rsid w:val="001F1832"/>
    <w:rsid w:val="001F220F"/>
    <w:rsid w:val="001F25B3"/>
    <w:rsid w:val="001F4D14"/>
    <w:rsid w:val="001F5C52"/>
    <w:rsid w:val="001F6616"/>
    <w:rsid w:val="00202BD4"/>
    <w:rsid w:val="00202E7F"/>
    <w:rsid w:val="00203184"/>
    <w:rsid w:val="00204259"/>
    <w:rsid w:val="00204A97"/>
    <w:rsid w:val="00205AA7"/>
    <w:rsid w:val="002114EF"/>
    <w:rsid w:val="002119D3"/>
    <w:rsid w:val="0021286B"/>
    <w:rsid w:val="00212A9F"/>
    <w:rsid w:val="00212C49"/>
    <w:rsid w:val="0021576C"/>
    <w:rsid w:val="002166AD"/>
    <w:rsid w:val="00216A54"/>
    <w:rsid w:val="00217816"/>
    <w:rsid w:val="00217871"/>
    <w:rsid w:val="002179A6"/>
    <w:rsid w:val="00220A77"/>
    <w:rsid w:val="00221504"/>
    <w:rsid w:val="00221ED8"/>
    <w:rsid w:val="002231EA"/>
    <w:rsid w:val="00223FDF"/>
    <w:rsid w:val="002279C0"/>
    <w:rsid w:val="0023126B"/>
    <w:rsid w:val="00231359"/>
    <w:rsid w:val="00232544"/>
    <w:rsid w:val="0023727E"/>
    <w:rsid w:val="00237F81"/>
    <w:rsid w:val="00240EF7"/>
    <w:rsid w:val="00240FEF"/>
    <w:rsid w:val="00241219"/>
    <w:rsid w:val="00241625"/>
    <w:rsid w:val="00242081"/>
    <w:rsid w:val="00243777"/>
    <w:rsid w:val="002441CD"/>
    <w:rsid w:val="00247285"/>
    <w:rsid w:val="00250136"/>
    <w:rsid w:val="002501A3"/>
    <w:rsid w:val="0025166C"/>
    <w:rsid w:val="00254CAD"/>
    <w:rsid w:val="002555D4"/>
    <w:rsid w:val="00256CA9"/>
    <w:rsid w:val="0026093B"/>
    <w:rsid w:val="00261A16"/>
    <w:rsid w:val="00263522"/>
    <w:rsid w:val="00264EC6"/>
    <w:rsid w:val="00271013"/>
    <w:rsid w:val="00273FE4"/>
    <w:rsid w:val="00274DAD"/>
    <w:rsid w:val="002765B4"/>
    <w:rsid w:val="00276A94"/>
    <w:rsid w:val="002773D2"/>
    <w:rsid w:val="002902CA"/>
    <w:rsid w:val="00291AFB"/>
    <w:rsid w:val="00292CA1"/>
    <w:rsid w:val="00292CA5"/>
    <w:rsid w:val="002930B4"/>
    <w:rsid w:val="0029405D"/>
    <w:rsid w:val="00294FA6"/>
    <w:rsid w:val="00295A6F"/>
    <w:rsid w:val="002960E7"/>
    <w:rsid w:val="002A20C4"/>
    <w:rsid w:val="002A570F"/>
    <w:rsid w:val="002A6E7E"/>
    <w:rsid w:val="002A7292"/>
    <w:rsid w:val="002A7358"/>
    <w:rsid w:val="002A7902"/>
    <w:rsid w:val="002B0F6B"/>
    <w:rsid w:val="002B180F"/>
    <w:rsid w:val="002B23B8"/>
    <w:rsid w:val="002B2DEC"/>
    <w:rsid w:val="002B3F37"/>
    <w:rsid w:val="002B4115"/>
    <w:rsid w:val="002B4429"/>
    <w:rsid w:val="002B461C"/>
    <w:rsid w:val="002B4A6A"/>
    <w:rsid w:val="002B68A6"/>
    <w:rsid w:val="002B6C4F"/>
    <w:rsid w:val="002B7FAF"/>
    <w:rsid w:val="002C1E89"/>
    <w:rsid w:val="002C3914"/>
    <w:rsid w:val="002C61A4"/>
    <w:rsid w:val="002C7784"/>
    <w:rsid w:val="002D0C4F"/>
    <w:rsid w:val="002D1226"/>
    <w:rsid w:val="002D1364"/>
    <w:rsid w:val="002D4D30"/>
    <w:rsid w:val="002D5000"/>
    <w:rsid w:val="002D598D"/>
    <w:rsid w:val="002D6468"/>
    <w:rsid w:val="002D7188"/>
    <w:rsid w:val="002E1DE3"/>
    <w:rsid w:val="002E2AB6"/>
    <w:rsid w:val="002E3C55"/>
    <w:rsid w:val="002E3F34"/>
    <w:rsid w:val="002E5948"/>
    <w:rsid w:val="002E5B51"/>
    <w:rsid w:val="002E5F79"/>
    <w:rsid w:val="002E64FA"/>
    <w:rsid w:val="002E7A33"/>
    <w:rsid w:val="002F0634"/>
    <w:rsid w:val="002F0A00"/>
    <w:rsid w:val="002F0CFA"/>
    <w:rsid w:val="002F1561"/>
    <w:rsid w:val="002F5742"/>
    <w:rsid w:val="002F669F"/>
    <w:rsid w:val="00301C97"/>
    <w:rsid w:val="00304CC9"/>
    <w:rsid w:val="0030517B"/>
    <w:rsid w:val="00305A29"/>
    <w:rsid w:val="00305AD0"/>
    <w:rsid w:val="00305B8A"/>
    <w:rsid w:val="00305F70"/>
    <w:rsid w:val="0031004C"/>
    <w:rsid w:val="003105F6"/>
    <w:rsid w:val="00311297"/>
    <w:rsid w:val="003113BE"/>
    <w:rsid w:val="003122CA"/>
    <w:rsid w:val="00313633"/>
    <w:rsid w:val="00313A1B"/>
    <w:rsid w:val="0031423E"/>
    <w:rsid w:val="003148FD"/>
    <w:rsid w:val="003164FC"/>
    <w:rsid w:val="00317023"/>
    <w:rsid w:val="00321080"/>
    <w:rsid w:val="003222F4"/>
    <w:rsid w:val="00322D45"/>
    <w:rsid w:val="0032336E"/>
    <w:rsid w:val="0032569A"/>
    <w:rsid w:val="00325A1F"/>
    <w:rsid w:val="00325A22"/>
    <w:rsid w:val="003268F9"/>
    <w:rsid w:val="003275E2"/>
    <w:rsid w:val="00330BAF"/>
    <w:rsid w:val="00331BDB"/>
    <w:rsid w:val="00334E3A"/>
    <w:rsid w:val="003361DD"/>
    <w:rsid w:val="00340F75"/>
    <w:rsid w:val="00341A6A"/>
    <w:rsid w:val="003432D8"/>
    <w:rsid w:val="00343369"/>
    <w:rsid w:val="00343D13"/>
    <w:rsid w:val="00345B9C"/>
    <w:rsid w:val="003478F6"/>
    <w:rsid w:val="00351B3B"/>
    <w:rsid w:val="003521B0"/>
    <w:rsid w:val="00352DAE"/>
    <w:rsid w:val="00352E92"/>
    <w:rsid w:val="003542B4"/>
    <w:rsid w:val="00354EB9"/>
    <w:rsid w:val="003602AE"/>
    <w:rsid w:val="00360418"/>
    <w:rsid w:val="00360929"/>
    <w:rsid w:val="00363CDF"/>
    <w:rsid w:val="003647D5"/>
    <w:rsid w:val="003650E2"/>
    <w:rsid w:val="00366902"/>
    <w:rsid w:val="00366FD2"/>
    <w:rsid w:val="003674B0"/>
    <w:rsid w:val="00370057"/>
    <w:rsid w:val="00370081"/>
    <w:rsid w:val="0037039B"/>
    <w:rsid w:val="00370E42"/>
    <w:rsid w:val="0037218D"/>
    <w:rsid w:val="003738B8"/>
    <w:rsid w:val="0037727C"/>
    <w:rsid w:val="00377656"/>
    <w:rsid w:val="00377E70"/>
    <w:rsid w:val="00380904"/>
    <w:rsid w:val="003823EE"/>
    <w:rsid w:val="003825AE"/>
    <w:rsid w:val="00382960"/>
    <w:rsid w:val="003846F7"/>
    <w:rsid w:val="003851ED"/>
    <w:rsid w:val="00385B39"/>
    <w:rsid w:val="00385ED8"/>
    <w:rsid w:val="0038652B"/>
    <w:rsid w:val="00386785"/>
    <w:rsid w:val="00390E89"/>
    <w:rsid w:val="00391B1A"/>
    <w:rsid w:val="00391CEA"/>
    <w:rsid w:val="00394058"/>
    <w:rsid w:val="00394423"/>
    <w:rsid w:val="003945E9"/>
    <w:rsid w:val="00395C1A"/>
    <w:rsid w:val="00396942"/>
    <w:rsid w:val="00396B49"/>
    <w:rsid w:val="00396E3E"/>
    <w:rsid w:val="003A19EE"/>
    <w:rsid w:val="003A306E"/>
    <w:rsid w:val="003A30B6"/>
    <w:rsid w:val="003A4BDE"/>
    <w:rsid w:val="003A60DC"/>
    <w:rsid w:val="003A6A46"/>
    <w:rsid w:val="003A7A63"/>
    <w:rsid w:val="003B000C"/>
    <w:rsid w:val="003B0F1D"/>
    <w:rsid w:val="003B4A57"/>
    <w:rsid w:val="003B60FA"/>
    <w:rsid w:val="003C0AD9"/>
    <w:rsid w:val="003C0ED0"/>
    <w:rsid w:val="003C1301"/>
    <w:rsid w:val="003C1D49"/>
    <w:rsid w:val="003C1E10"/>
    <w:rsid w:val="003C35C4"/>
    <w:rsid w:val="003C3ABD"/>
    <w:rsid w:val="003C3E52"/>
    <w:rsid w:val="003C5958"/>
    <w:rsid w:val="003C66F9"/>
    <w:rsid w:val="003C7354"/>
    <w:rsid w:val="003D12C2"/>
    <w:rsid w:val="003D15D0"/>
    <w:rsid w:val="003D1E7A"/>
    <w:rsid w:val="003D31B9"/>
    <w:rsid w:val="003D3867"/>
    <w:rsid w:val="003D4A6C"/>
    <w:rsid w:val="003D4F81"/>
    <w:rsid w:val="003D580B"/>
    <w:rsid w:val="003D7B15"/>
    <w:rsid w:val="003E0D1A"/>
    <w:rsid w:val="003E2BD4"/>
    <w:rsid w:val="003E2DA3"/>
    <w:rsid w:val="003F020D"/>
    <w:rsid w:val="003F03D9"/>
    <w:rsid w:val="003F1C73"/>
    <w:rsid w:val="003F22F0"/>
    <w:rsid w:val="003F2FBE"/>
    <w:rsid w:val="003F318D"/>
    <w:rsid w:val="003F5BAE"/>
    <w:rsid w:val="003F6ED7"/>
    <w:rsid w:val="0040168F"/>
    <w:rsid w:val="00401C84"/>
    <w:rsid w:val="00401FD2"/>
    <w:rsid w:val="00403210"/>
    <w:rsid w:val="004035BB"/>
    <w:rsid w:val="004035EB"/>
    <w:rsid w:val="00404BEA"/>
    <w:rsid w:val="004062A6"/>
    <w:rsid w:val="00407332"/>
    <w:rsid w:val="0040779B"/>
    <w:rsid w:val="00407828"/>
    <w:rsid w:val="004138B5"/>
    <w:rsid w:val="00413D8E"/>
    <w:rsid w:val="004140F2"/>
    <w:rsid w:val="0041427D"/>
    <w:rsid w:val="0041732D"/>
    <w:rsid w:val="00417B22"/>
    <w:rsid w:val="00421085"/>
    <w:rsid w:val="0042158F"/>
    <w:rsid w:val="00422333"/>
    <w:rsid w:val="0042465E"/>
    <w:rsid w:val="00424DF7"/>
    <w:rsid w:val="00425765"/>
    <w:rsid w:val="00426023"/>
    <w:rsid w:val="004321B5"/>
    <w:rsid w:val="00432B76"/>
    <w:rsid w:val="00434D01"/>
    <w:rsid w:val="00435D26"/>
    <w:rsid w:val="00437895"/>
    <w:rsid w:val="00440C99"/>
    <w:rsid w:val="0044175C"/>
    <w:rsid w:val="00441A6A"/>
    <w:rsid w:val="00441C3D"/>
    <w:rsid w:val="0044218F"/>
    <w:rsid w:val="00442F3A"/>
    <w:rsid w:val="00444356"/>
    <w:rsid w:val="00444B53"/>
    <w:rsid w:val="00444F68"/>
    <w:rsid w:val="00444FFF"/>
    <w:rsid w:val="00445B1E"/>
    <w:rsid w:val="00445F4D"/>
    <w:rsid w:val="00446CBC"/>
    <w:rsid w:val="00447A19"/>
    <w:rsid w:val="004501F9"/>
    <w:rsid w:val="004504C0"/>
    <w:rsid w:val="00451F77"/>
    <w:rsid w:val="00453C36"/>
    <w:rsid w:val="00454BD9"/>
    <w:rsid w:val="004550FB"/>
    <w:rsid w:val="0045604A"/>
    <w:rsid w:val="004578B1"/>
    <w:rsid w:val="0046111A"/>
    <w:rsid w:val="0046238A"/>
    <w:rsid w:val="00462946"/>
    <w:rsid w:val="00463F43"/>
    <w:rsid w:val="00464B94"/>
    <w:rsid w:val="00464DCE"/>
    <w:rsid w:val="004653A8"/>
    <w:rsid w:val="00465A0B"/>
    <w:rsid w:val="0046642B"/>
    <w:rsid w:val="00467D11"/>
    <w:rsid w:val="0047077C"/>
    <w:rsid w:val="00470B05"/>
    <w:rsid w:val="0047207C"/>
    <w:rsid w:val="00472CD6"/>
    <w:rsid w:val="00472EDB"/>
    <w:rsid w:val="00474A9C"/>
    <w:rsid w:val="00474E3C"/>
    <w:rsid w:val="00475196"/>
    <w:rsid w:val="00475D9E"/>
    <w:rsid w:val="00476DA9"/>
    <w:rsid w:val="00480A58"/>
    <w:rsid w:val="0048167F"/>
    <w:rsid w:val="00482151"/>
    <w:rsid w:val="00483773"/>
    <w:rsid w:val="00484D91"/>
    <w:rsid w:val="00485FAD"/>
    <w:rsid w:val="00487867"/>
    <w:rsid w:val="00487AED"/>
    <w:rsid w:val="00491EDF"/>
    <w:rsid w:val="004927E5"/>
    <w:rsid w:val="00492A3F"/>
    <w:rsid w:val="00492AE8"/>
    <w:rsid w:val="00492EC6"/>
    <w:rsid w:val="0049486F"/>
    <w:rsid w:val="00494F62"/>
    <w:rsid w:val="004A2001"/>
    <w:rsid w:val="004A3590"/>
    <w:rsid w:val="004A3651"/>
    <w:rsid w:val="004A4AED"/>
    <w:rsid w:val="004B00A7"/>
    <w:rsid w:val="004B0135"/>
    <w:rsid w:val="004B03B3"/>
    <w:rsid w:val="004B0847"/>
    <w:rsid w:val="004B25B3"/>
    <w:rsid w:val="004B25E2"/>
    <w:rsid w:val="004B34D7"/>
    <w:rsid w:val="004B5037"/>
    <w:rsid w:val="004B5B2F"/>
    <w:rsid w:val="004B6040"/>
    <w:rsid w:val="004B626A"/>
    <w:rsid w:val="004B660E"/>
    <w:rsid w:val="004B6D0C"/>
    <w:rsid w:val="004B6F2A"/>
    <w:rsid w:val="004C05BD"/>
    <w:rsid w:val="004C1B5C"/>
    <w:rsid w:val="004C3B06"/>
    <w:rsid w:val="004C3F97"/>
    <w:rsid w:val="004C5595"/>
    <w:rsid w:val="004C7530"/>
    <w:rsid w:val="004C7EE7"/>
    <w:rsid w:val="004D08EB"/>
    <w:rsid w:val="004D1C86"/>
    <w:rsid w:val="004D2D48"/>
    <w:rsid w:val="004D2DEE"/>
    <w:rsid w:val="004D2E1F"/>
    <w:rsid w:val="004D2F7A"/>
    <w:rsid w:val="004D3204"/>
    <w:rsid w:val="004D33BB"/>
    <w:rsid w:val="004D53F2"/>
    <w:rsid w:val="004D6B61"/>
    <w:rsid w:val="004D6CA3"/>
    <w:rsid w:val="004D7FD9"/>
    <w:rsid w:val="004E1324"/>
    <w:rsid w:val="004E19A5"/>
    <w:rsid w:val="004E2A3D"/>
    <w:rsid w:val="004E37E5"/>
    <w:rsid w:val="004E3FDB"/>
    <w:rsid w:val="004E5072"/>
    <w:rsid w:val="004F08BC"/>
    <w:rsid w:val="004F1F4A"/>
    <w:rsid w:val="004F25C3"/>
    <w:rsid w:val="004F296D"/>
    <w:rsid w:val="004F36D8"/>
    <w:rsid w:val="004F371B"/>
    <w:rsid w:val="004F3BCA"/>
    <w:rsid w:val="004F3F9B"/>
    <w:rsid w:val="004F41E0"/>
    <w:rsid w:val="004F508B"/>
    <w:rsid w:val="004F6049"/>
    <w:rsid w:val="004F695F"/>
    <w:rsid w:val="004F6CA4"/>
    <w:rsid w:val="00500752"/>
    <w:rsid w:val="00500CA0"/>
    <w:rsid w:val="00501A50"/>
    <w:rsid w:val="0050222D"/>
    <w:rsid w:val="00502757"/>
    <w:rsid w:val="00503AF3"/>
    <w:rsid w:val="0050696D"/>
    <w:rsid w:val="00507D20"/>
    <w:rsid w:val="00510307"/>
    <w:rsid w:val="0051094B"/>
    <w:rsid w:val="005110D7"/>
    <w:rsid w:val="00511D99"/>
    <w:rsid w:val="005128D3"/>
    <w:rsid w:val="005134EB"/>
    <w:rsid w:val="00513C00"/>
    <w:rsid w:val="005147E8"/>
    <w:rsid w:val="005158F2"/>
    <w:rsid w:val="00516D44"/>
    <w:rsid w:val="00517265"/>
    <w:rsid w:val="0052019F"/>
    <w:rsid w:val="005206AE"/>
    <w:rsid w:val="0052306A"/>
    <w:rsid w:val="005234B7"/>
    <w:rsid w:val="00524198"/>
    <w:rsid w:val="00525148"/>
    <w:rsid w:val="00526DFC"/>
    <w:rsid w:val="00526F43"/>
    <w:rsid w:val="00527651"/>
    <w:rsid w:val="005320A3"/>
    <w:rsid w:val="005336E2"/>
    <w:rsid w:val="00533B9D"/>
    <w:rsid w:val="00534543"/>
    <w:rsid w:val="005353E8"/>
    <w:rsid w:val="005363AB"/>
    <w:rsid w:val="00537D84"/>
    <w:rsid w:val="00542194"/>
    <w:rsid w:val="00542AC1"/>
    <w:rsid w:val="0054358F"/>
    <w:rsid w:val="00543A7B"/>
    <w:rsid w:val="00544EF4"/>
    <w:rsid w:val="00545E53"/>
    <w:rsid w:val="005479D9"/>
    <w:rsid w:val="00550817"/>
    <w:rsid w:val="00552EA8"/>
    <w:rsid w:val="005533D9"/>
    <w:rsid w:val="00553788"/>
    <w:rsid w:val="00554A00"/>
    <w:rsid w:val="00554CA5"/>
    <w:rsid w:val="00555205"/>
    <w:rsid w:val="005556B1"/>
    <w:rsid w:val="00555D0B"/>
    <w:rsid w:val="005572BD"/>
    <w:rsid w:val="00557A12"/>
    <w:rsid w:val="00560AC7"/>
    <w:rsid w:val="00561AFB"/>
    <w:rsid w:val="00561FA8"/>
    <w:rsid w:val="0056232D"/>
    <w:rsid w:val="005635ED"/>
    <w:rsid w:val="00563E09"/>
    <w:rsid w:val="00565253"/>
    <w:rsid w:val="00565988"/>
    <w:rsid w:val="00567637"/>
    <w:rsid w:val="00567F83"/>
    <w:rsid w:val="00570191"/>
    <w:rsid w:val="00570570"/>
    <w:rsid w:val="00570D8B"/>
    <w:rsid w:val="0057114F"/>
    <w:rsid w:val="00571EA8"/>
    <w:rsid w:val="00572512"/>
    <w:rsid w:val="00573A40"/>
    <w:rsid w:val="00573EE6"/>
    <w:rsid w:val="0057547F"/>
    <w:rsid w:val="005754EE"/>
    <w:rsid w:val="0057617E"/>
    <w:rsid w:val="00576497"/>
    <w:rsid w:val="00581973"/>
    <w:rsid w:val="005835E7"/>
    <w:rsid w:val="0058397F"/>
    <w:rsid w:val="00583BF8"/>
    <w:rsid w:val="00584E4C"/>
    <w:rsid w:val="00585F33"/>
    <w:rsid w:val="005871C8"/>
    <w:rsid w:val="00591124"/>
    <w:rsid w:val="00591E7A"/>
    <w:rsid w:val="00595DC6"/>
    <w:rsid w:val="00597024"/>
    <w:rsid w:val="005970D7"/>
    <w:rsid w:val="005A0274"/>
    <w:rsid w:val="005A095C"/>
    <w:rsid w:val="005A304C"/>
    <w:rsid w:val="005A352E"/>
    <w:rsid w:val="005A4973"/>
    <w:rsid w:val="005A4CAF"/>
    <w:rsid w:val="005A5C24"/>
    <w:rsid w:val="005A60D5"/>
    <w:rsid w:val="005A669D"/>
    <w:rsid w:val="005A6FE9"/>
    <w:rsid w:val="005A75D8"/>
    <w:rsid w:val="005B1090"/>
    <w:rsid w:val="005B2136"/>
    <w:rsid w:val="005B60F0"/>
    <w:rsid w:val="005B6F3E"/>
    <w:rsid w:val="005B7019"/>
    <w:rsid w:val="005B713E"/>
    <w:rsid w:val="005C03B6"/>
    <w:rsid w:val="005C0A6E"/>
    <w:rsid w:val="005C2615"/>
    <w:rsid w:val="005C348E"/>
    <w:rsid w:val="005C3AE3"/>
    <w:rsid w:val="005C5F1C"/>
    <w:rsid w:val="005C68E1"/>
    <w:rsid w:val="005D0B30"/>
    <w:rsid w:val="005D3763"/>
    <w:rsid w:val="005D4CAA"/>
    <w:rsid w:val="005D55E1"/>
    <w:rsid w:val="005D6E3E"/>
    <w:rsid w:val="005E0646"/>
    <w:rsid w:val="005E08CA"/>
    <w:rsid w:val="005E19F7"/>
    <w:rsid w:val="005E1BC6"/>
    <w:rsid w:val="005E3E92"/>
    <w:rsid w:val="005E4F04"/>
    <w:rsid w:val="005E582E"/>
    <w:rsid w:val="005E62C2"/>
    <w:rsid w:val="005E6C71"/>
    <w:rsid w:val="005E7CE3"/>
    <w:rsid w:val="005F02EB"/>
    <w:rsid w:val="005F0963"/>
    <w:rsid w:val="005F18DC"/>
    <w:rsid w:val="005F2824"/>
    <w:rsid w:val="005F2EBA"/>
    <w:rsid w:val="005F35ED"/>
    <w:rsid w:val="005F4240"/>
    <w:rsid w:val="005F43ED"/>
    <w:rsid w:val="005F4D82"/>
    <w:rsid w:val="005F5177"/>
    <w:rsid w:val="005F575E"/>
    <w:rsid w:val="005F579A"/>
    <w:rsid w:val="005F7812"/>
    <w:rsid w:val="005F7A88"/>
    <w:rsid w:val="00601CE1"/>
    <w:rsid w:val="00602009"/>
    <w:rsid w:val="00603A1A"/>
    <w:rsid w:val="0060405E"/>
    <w:rsid w:val="006046D5"/>
    <w:rsid w:val="00605C13"/>
    <w:rsid w:val="00607A93"/>
    <w:rsid w:val="00610C08"/>
    <w:rsid w:val="00611F74"/>
    <w:rsid w:val="006121B7"/>
    <w:rsid w:val="0061347F"/>
    <w:rsid w:val="006134EE"/>
    <w:rsid w:val="0061494C"/>
    <w:rsid w:val="00615772"/>
    <w:rsid w:val="006202BA"/>
    <w:rsid w:val="00621256"/>
    <w:rsid w:val="00621FCC"/>
    <w:rsid w:val="00622E4B"/>
    <w:rsid w:val="006236F4"/>
    <w:rsid w:val="0062671D"/>
    <w:rsid w:val="00626987"/>
    <w:rsid w:val="0062774A"/>
    <w:rsid w:val="00627CBC"/>
    <w:rsid w:val="00631642"/>
    <w:rsid w:val="006333DA"/>
    <w:rsid w:val="00634AB6"/>
    <w:rsid w:val="00635134"/>
    <w:rsid w:val="006356E2"/>
    <w:rsid w:val="00640788"/>
    <w:rsid w:val="00641010"/>
    <w:rsid w:val="006419A8"/>
    <w:rsid w:val="00641B38"/>
    <w:rsid w:val="00642A60"/>
    <w:rsid w:val="00642A65"/>
    <w:rsid w:val="00643587"/>
    <w:rsid w:val="00643F00"/>
    <w:rsid w:val="00644522"/>
    <w:rsid w:val="00645DCE"/>
    <w:rsid w:val="006465AC"/>
    <w:rsid w:val="006465BF"/>
    <w:rsid w:val="00647A6E"/>
    <w:rsid w:val="006501E8"/>
    <w:rsid w:val="00650EF1"/>
    <w:rsid w:val="00651B4B"/>
    <w:rsid w:val="0065261F"/>
    <w:rsid w:val="00653B22"/>
    <w:rsid w:val="00654548"/>
    <w:rsid w:val="00657BF4"/>
    <w:rsid w:val="006603FB"/>
    <w:rsid w:val="006608DF"/>
    <w:rsid w:val="006623AC"/>
    <w:rsid w:val="0066628D"/>
    <w:rsid w:val="00666F02"/>
    <w:rsid w:val="0066707A"/>
    <w:rsid w:val="006678AF"/>
    <w:rsid w:val="00667934"/>
    <w:rsid w:val="006701EF"/>
    <w:rsid w:val="00670A35"/>
    <w:rsid w:val="00673BA5"/>
    <w:rsid w:val="0067421D"/>
    <w:rsid w:val="006747ED"/>
    <w:rsid w:val="00675588"/>
    <w:rsid w:val="00675DBE"/>
    <w:rsid w:val="006770A5"/>
    <w:rsid w:val="00680058"/>
    <w:rsid w:val="0068006A"/>
    <w:rsid w:val="00681F9F"/>
    <w:rsid w:val="006823BD"/>
    <w:rsid w:val="006835F4"/>
    <w:rsid w:val="006840EA"/>
    <w:rsid w:val="006844E2"/>
    <w:rsid w:val="00685267"/>
    <w:rsid w:val="00685488"/>
    <w:rsid w:val="00686E97"/>
    <w:rsid w:val="006872AE"/>
    <w:rsid w:val="0068790F"/>
    <w:rsid w:val="00690082"/>
    <w:rsid w:val="00690252"/>
    <w:rsid w:val="00692602"/>
    <w:rsid w:val="006927EB"/>
    <w:rsid w:val="00693670"/>
    <w:rsid w:val="006946BB"/>
    <w:rsid w:val="00694CE1"/>
    <w:rsid w:val="006969FA"/>
    <w:rsid w:val="006A0619"/>
    <w:rsid w:val="006A35D5"/>
    <w:rsid w:val="006A3E8C"/>
    <w:rsid w:val="006A748A"/>
    <w:rsid w:val="006B05E6"/>
    <w:rsid w:val="006B0F93"/>
    <w:rsid w:val="006B1AE6"/>
    <w:rsid w:val="006B522F"/>
    <w:rsid w:val="006B537F"/>
    <w:rsid w:val="006B5C2E"/>
    <w:rsid w:val="006B69CD"/>
    <w:rsid w:val="006B7C7C"/>
    <w:rsid w:val="006C2E43"/>
    <w:rsid w:val="006C419E"/>
    <w:rsid w:val="006C4A31"/>
    <w:rsid w:val="006C57BE"/>
    <w:rsid w:val="006C5AC2"/>
    <w:rsid w:val="006C6AFB"/>
    <w:rsid w:val="006C7F3F"/>
    <w:rsid w:val="006D2735"/>
    <w:rsid w:val="006D3E66"/>
    <w:rsid w:val="006D45B2"/>
    <w:rsid w:val="006D4638"/>
    <w:rsid w:val="006D4EB0"/>
    <w:rsid w:val="006D5D65"/>
    <w:rsid w:val="006D7B89"/>
    <w:rsid w:val="006E0FCC"/>
    <w:rsid w:val="006E1E96"/>
    <w:rsid w:val="006E2439"/>
    <w:rsid w:val="006E2CD2"/>
    <w:rsid w:val="006E4954"/>
    <w:rsid w:val="006E4995"/>
    <w:rsid w:val="006E522C"/>
    <w:rsid w:val="006E5928"/>
    <w:rsid w:val="006E5E21"/>
    <w:rsid w:val="006E75AE"/>
    <w:rsid w:val="006F2648"/>
    <w:rsid w:val="006F26F8"/>
    <w:rsid w:val="006F2E8D"/>
    <w:rsid w:val="006F2F10"/>
    <w:rsid w:val="006F3429"/>
    <w:rsid w:val="006F43EA"/>
    <w:rsid w:val="006F482B"/>
    <w:rsid w:val="006F522C"/>
    <w:rsid w:val="006F6311"/>
    <w:rsid w:val="006F6D31"/>
    <w:rsid w:val="006F7A80"/>
    <w:rsid w:val="00701952"/>
    <w:rsid w:val="00702556"/>
    <w:rsid w:val="0070277E"/>
    <w:rsid w:val="00702930"/>
    <w:rsid w:val="00702B05"/>
    <w:rsid w:val="00704156"/>
    <w:rsid w:val="0070474C"/>
    <w:rsid w:val="00705F3D"/>
    <w:rsid w:val="007069FC"/>
    <w:rsid w:val="00707840"/>
    <w:rsid w:val="00711221"/>
    <w:rsid w:val="007124C3"/>
    <w:rsid w:val="00712675"/>
    <w:rsid w:val="00713808"/>
    <w:rsid w:val="00714490"/>
    <w:rsid w:val="0071455E"/>
    <w:rsid w:val="007147A4"/>
    <w:rsid w:val="007151B6"/>
    <w:rsid w:val="0071520D"/>
    <w:rsid w:val="00715EDB"/>
    <w:rsid w:val="007160D5"/>
    <w:rsid w:val="007163FB"/>
    <w:rsid w:val="0071702E"/>
    <w:rsid w:val="00717C2E"/>
    <w:rsid w:val="007204FA"/>
    <w:rsid w:val="00720D7F"/>
    <w:rsid w:val="007213B3"/>
    <w:rsid w:val="00722054"/>
    <w:rsid w:val="00723268"/>
    <w:rsid w:val="0072457F"/>
    <w:rsid w:val="00725406"/>
    <w:rsid w:val="00725E33"/>
    <w:rsid w:val="0072621B"/>
    <w:rsid w:val="00727960"/>
    <w:rsid w:val="007300BF"/>
    <w:rsid w:val="00730555"/>
    <w:rsid w:val="007312CC"/>
    <w:rsid w:val="00735D7F"/>
    <w:rsid w:val="00736A64"/>
    <w:rsid w:val="0073768A"/>
    <w:rsid w:val="00737F6A"/>
    <w:rsid w:val="00740EC2"/>
    <w:rsid w:val="007410B6"/>
    <w:rsid w:val="00743318"/>
    <w:rsid w:val="00744C2E"/>
    <w:rsid w:val="00744C6F"/>
    <w:rsid w:val="007457F6"/>
    <w:rsid w:val="00745ABB"/>
    <w:rsid w:val="00746E38"/>
    <w:rsid w:val="00747CD5"/>
    <w:rsid w:val="00753B51"/>
    <w:rsid w:val="00756629"/>
    <w:rsid w:val="007575D2"/>
    <w:rsid w:val="00757A9E"/>
    <w:rsid w:val="00757B4F"/>
    <w:rsid w:val="00757B6A"/>
    <w:rsid w:val="00760248"/>
    <w:rsid w:val="007610E0"/>
    <w:rsid w:val="007621AA"/>
    <w:rsid w:val="0076260A"/>
    <w:rsid w:val="0076400B"/>
    <w:rsid w:val="00764A67"/>
    <w:rsid w:val="00766C0E"/>
    <w:rsid w:val="007672B9"/>
    <w:rsid w:val="0076766C"/>
    <w:rsid w:val="00770F6B"/>
    <w:rsid w:val="0077172A"/>
    <w:rsid w:val="00771883"/>
    <w:rsid w:val="00772BA9"/>
    <w:rsid w:val="007758E6"/>
    <w:rsid w:val="0077649D"/>
    <w:rsid w:val="00776CAF"/>
    <w:rsid w:val="00776DC2"/>
    <w:rsid w:val="00777B28"/>
    <w:rsid w:val="00780122"/>
    <w:rsid w:val="00780AD9"/>
    <w:rsid w:val="007815E1"/>
    <w:rsid w:val="00782009"/>
    <w:rsid w:val="0078214B"/>
    <w:rsid w:val="0078260F"/>
    <w:rsid w:val="00783C72"/>
    <w:rsid w:val="007843F7"/>
    <w:rsid w:val="0078498A"/>
    <w:rsid w:val="00785B7D"/>
    <w:rsid w:val="007878FE"/>
    <w:rsid w:val="00787976"/>
    <w:rsid w:val="00790A76"/>
    <w:rsid w:val="00792207"/>
    <w:rsid w:val="00792B64"/>
    <w:rsid w:val="00792E29"/>
    <w:rsid w:val="0079379A"/>
    <w:rsid w:val="00794953"/>
    <w:rsid w:val="0079645D"/>
    <w:rsid w:val="007A1F2F"/>
    <w:rsid w:val="007A2A5C"/>
    <w:rsid w:val="007A3835"/>
    <w:rsid w:val="007A44DB"/>
    <w:rsid w:val="007A5150"/>
    <w:rsid w:val="007A5373"/>
    <w:rsid w:val="007A6F1C"/>
    <w:rsid w:val="007A789F"/>
    <w:rsid w:val="007B1E38"/>
    <w:rsid w:val="007B2740"/>
    <w:rsid w:val="007B3370"/>
    <w:rsid w:val="007B5442"/>
    <w:rsid w:val="007B61B1"/>
    <w:rsid w:val="007B61EB"/>
    <w:rsid w:val="007B6F5B"/>
    <w:rsid w:val="007B75BC"/>
    <w:rsid w:val="007C0BD6"/>
    <w:rsid w:val="007C31F5"/>
    <w:rsid w:val="007C3806"/>
    <w:rsid w:val="007C4DF7"/>
    <w:rsid w:val="007C5BB7"/>
    <w:rsid w:val="007D07D5"/>
    <w:rsid w:val="007D1A56"/>
    <w:rsid w:val="007D1C64"/>
    <w:rsid w:val="007D29A6"/>
    <w:rsid w:val="007D32DD"/>
    <w:rsid w:val="007D3532"/>
    <w:rsid w:val="007D3A63"/>
    <w:rsid w:val="007D6247"/>
    <w:rsid w:val="007D6DCE"/>
    <w:rsid w:val="007D7006"/>
    <w:rsid w:val="007D72C4"/>
    <w:rsid w:val="007D7A1C"/>
    <w:rsid w:val="007E01CA"/>
    <w:rsid w:val="007E0CCD"/>
    <w:rsid w:val="007E2CFE"/>
    <w:rsid w:val="007E3F18"/>
    <w:rsid w:val="007E59C9"/>
    <w:rsid w:val="007E62E1"/>
    <w:rsid w:val="007E7924"/>
    <w:rsid w:val="007F0072"/>
    <w:rsid w:val="007F03FB"/>
    <w:rsid w:val="007F1B82"/>
    <w:rsid w:val="007F2EB6"/>
    <w:rsid w:val="007F2F4D"/>
    <w:rsid w:val="007F42BE"/>
    <w:rsid w:val="007F51E8"/>
    <w:rsid w:val="007F54C3"/>
    <w:rsid w:val="008007B3"/>
    <w:rsid w:val="00801773"/>
    <w:rsid w:val="008026F3"/>
    <w:rsid w:val="00802949"/>
    <w:rsid w:val="0080301E"/>
    <w:rsid w:val="0080365F"/>
    <w:rsid w:val="0080579A"/>
    <w:rsid w:val="00812BE5"/>
    <w:rsid w:val="00814BC3"/>
    <w:rsid w:val="00814C6B"/>
    <w:rsid w:val="0081661F"/>
    <w:rsid w:val="00816A11"/>
    <w:rsid w:val="00817250"/>
    <w:rsid w:val="00817429"/>
    <w:rsid w:val="00821514"/>
    <w:rsid w:val="00821E35"/>
    <w:rsid w:val="0082265D"/>
    <w:rsid w:val="00822A4A"/>
    <w:rsid w:val="00824591"/>
    <w:rsid w:val="00824669"/>
    <w:rsid w:val="00824AED"/>
    <w:rsid w:val="008250E6"/>
    <w:rsid w:val="00827820"/>
    <w:rsid w:val="00830F35"/>
    <w:rsid w:val="00831724"/>
    <w:rsid w:val="00831B8B"/>
    <w:rsid w:val="00833EDB"/>
    <w:rsid w:val="0083405D"/>
    <w:rsid w:val="008352D4"/>
    <w:rsid w:val="00836DB9"/>
    <w:rsid w:val="00837262"/>
    <w:rsid w:val="00837C67"/>
    <w:rsid w:val="00840BBB"/>
    <w:rsid w:val="008415B0"/>
    <w:rsid w:val="00842028"/>
    <w:rsid w:val="008430AF"/>
    <w:rsid w:val="008436B8"/>
    <w:rsid w:val="008460B6"/>
    <w:rsid w:val="008471F7"/>
    <w:rsid w:val="00847A17"/>
    <w:rsid w:val="00850C9D"/>
    <w:rsid w:val="00852B59"/>
    <w:rsid w:val="008533DA"/>
    <w:rsid w:val="00854F7E"/>
    <w:rsid w:val="00856272"/>
    <w:rsid w:val="008563FF"/>
    <w:rsid w:val="00860009"/>
    <w:rsid w:val="0086018B"/>
    <w:rsid w:val="008611DD"/>
    <w:rsid w:val="008620DE"/>
    <w:rsid w:val="00864461"/>
    <w:rsid w:val="00866867"/>
    <w:rsid w:val="008720C9"/>
    <w:rsid w:val="00872257"/>
    <w:rsid w:val="008753E6"/>
    <w:rsid w:val="008756E7"/>
    <w:rsid w:val="0087726B"/>
    <w:rsid w:val="0087738C"/>
    <w:rsid w:val="008802AF"/>
    <w:rsid w:val="00880B0F"/>
    <w:rsid w:val="00881926"/>
    <w:rsid w:val="00881A61"/>
    <w:rsid w:val="008830A6"/>
    <w:rsid w:val="0088318F"/>
    <w:rsid w:val="0088331D"/>
    <w:rsid w:val="008839AE"/>
    <w:rsid w:val="00884496"/>
    <w:rsid w:val="00884770"/>
    <w:rsid w:val="008852B0"/>
    <w:rsid w:val="00885AE7"/>
    <w:rsid w:val="008864B0"/>
    <w:rsid w:val="00886B60"/>
    <w:rsid w:val="008876A9"/>
    <w:rsid w:val="00887889"/>
    <w:rsid w:val="008913F8"/>
    <w:rsid w:val="008920FF"/>
    <w:rsid w:val="008926E8"/>
    <w:rsid w:val="008949BA"/>
    <w:rsid w:val="00894F19"/>
    <w:rsid w:val="00895A8C"/>
    <w:rsid w:val="00895CD7"/>
    <w:rsid w:val="00896A10"/>
    <w:rsid w:val="008971B5"/>
    <w:rsid w:val="008A0759"/>
    <w:rsid w:val="008A0B18"/>
    <w:rsid w:val="008A1484"/>
    <w:rsid w:val="008A33E7"/>
    <w:rsid w:val="008A3710"/>
    <w:rsid w:val="008A568F"/>
    <w:rsid w:val="008A5D26"/>
    <w:rsid w:val="008A6B13"/>
    <w:rsid w:val="008A6ECB"/>
    <w:rsid w:val="008B0BF9"/>
    <w:rsid w:val="008B2866"/>
    <w:rsid w:val="008B3127"/>
    <w:rsid w:val="008B3859"/>
    <w:rsid w:val="008B3F8B"/>
    <w:rsid w:val="008B436D"/>
    <w:rsid w:val="008B4739"/>
    <w:rsid w:val="008B4C03"/>
    <w:rsid w:val="008B4E49"/>
    <w:rsid w:val="008B6971"/>
    <w:rsid w:val="008B7712"/>
    <w:rsid w:val="008B7B26"/>
    <w:rsid w:val="008C0FBE"/>
    <w:rsid w:val="008C1BFC"/>
    <w:rsid w:val="008C285D"/>
    <w:rsid w:val="008C3524"/>
    <w:rsid w:val="008C3A5E"/>
    <w:rsid w:val="008C3F58"/>
    <w:rsid w:val="008C4061"/>
    <w:rsid w:val="008C4229"/>
    <w:rsid w:val="008C5BE0"/>
    <w:rsid w:val="008C7233"/>
    <w:rsid w:val="008D2434"/>
    <w:rsid w:val="008D5019"/>
    <w:rsid w:val="008D53C9"/>
    <w:rsid w:val="008D549B"/>
    <w:rsid w:val="008E171D"/>
    <w:rsid w:val="008E2785"/>
    <w:rsid w:val="008E4BA9"/>
    <w:rsid w:val="008E6604"/>
    <w:rsid w:val="008E78A3"/>
    <w:rsid w:val="008F0654"/>
    <w:rsid w:val="008F06CB"/>
    <w:rsid w:val="008F1999"/>
    <w:rsid w:val="008F2D0A"/>
    <w:rsid w:val="008F2E83"/>
    <w:rsid w:val="008F41B9"/>
    <w:rsid w:val="008F52F8"/>
    <w:rsid w:val="008F5EFB"/>
    <w:rsid w:val="008F612A"/>
    <w:rsid w:val="008F7FD3"/>
    <w:rsid w:val="0090293D"/>
    <w:rsid w:val="00902B68"/>
    <w:rsid w:val="009034DE"/>
    <w:rsid w:val="00903513"/>
    <w:rsid w:val="009044C8"/>
    <w:rsid w:val="00905396"/>
    <w:rsid w:val="0090605D"/>
    <w:rsid w:val="00906419"/>
    <w:rsid w:val="00907374"/>
    <w:rsid w:val="00907D2F"/>
    <w:rsid w:val="00912889"/>
    <w:rsid w:val="00912E6A"/>
    <w:rsid w:val="00913A42"/>
    <w:rsid w:val="00914167"/>
    <w:rsid w:val="009143DB"/>
    <w:rsid w:val="00915065"/>
    <w:rsid w:val="009153C7"/>
    <w:rsid w:val="00917CE5"/>
    <w:rsid w:val="009217C0"/>
    <w:rsid w:val="009239D8"/>
    <w:rsid w:val="00923D04"/>
    <w:rsid w:val="00925241"/>
    <w:rsid w:val="00925CEC"/>
    <w:rsid w:val="00926A3F"/>
    <w:rsid w:val="0092794E"/>
    <w:rsid w:val="00927C2C"/>
    <w:rsid w:val="0093088E"/>
    <w:rsid w:val="00930C22"/>
    <w:rsid w:val="00930D30"/>
    <w:rsid w:val="009332A2"/>
    <w:rsid w:val="009367E2"/>
    <w:rsid w:val="00937598"/>
    <w:rsid w:val="0093790B"/>
    <w:rsid w:val="00937F3E"/>
    <w:rsid w:val="009416D4"/>
    <w:rsid w:val="009421AD"/>
    <w:rsid w:val="00943751"/>
    <w:rsid w:val="0094666D"/>
    <w:rsid w:val="00946DD0"/>
    <w:rsid w:val="00947C8C"/>
    <w:rsid w:val="0095028E"/>
    <w:rsid w:val="009507B5"/>
    <w:rsid w:val="009509E6"/>
    <w:rsid w:val="00950D90"/>
    <w:rsid w:val="009516A4"/>
    <w:rsid w:val="00952018"/>
    <w:rsid w:val="00952800"/>
    <w:rsid w:val="0095300D"/>
    <w:rsid w:val="0095343B"/>
    <w:rsid w:val="0095560A"/>
    <w:rsid w:val="00955CD0"/>
    <w:rsid w:val="00956812"/>
    <w:rsid w:val="0095719A"/>
    <w:rsid w:val="0096057E"/>
    <w:rsid w:val="009623E9"/>
    <w:rsid w:val="00962F06"/>
    <w:rsid w:val="00963EEB"/>
    <w:rsid w:val="0096418D"/>
    <w:rsid w:val="009648BC"/>
    <w:rsid w:val="00964C2F"/>
    <w:rsid w:val="00965F88"/>
    <w:rsid w:val="00966197"/>
    <w:rsid w:val="00967222"/>
    <w:rsid w:val="009707E0"/>
    <w:rsid w:val="009712CE"/>
    <w:rsid w:val="00972E3E"/>
    <w:rsid w:val="00977594"/>
    <w:rsid w:val="00984E03"/>
    <w:rsid w:val="00987E85"/>
    <w:rsid w:val="0099036E"/>
    <w:rsid w:val="00990A50"/>
    <w:rsid w:val="009914B1"/>
    <w:rsid w:val="009936C1"/>
    <w:rsid w:val="009942AA"/>
    <w:rsid w:val="00995E1A"/>
    <w:rsid w:val="009A0182"/>
    <w:rsid w:val="009A0D12"/>
    <w:rsid w:val="009A1987"/>
    <w:rsid w:val="009A2BEE"/>
    <w:rsid w:val="009A34E4"/>
    <w:rsid w:val="009A3CBC"/>
    <w:rsid w:val="009A5289"/>
    <w:rsid w:val="009A7A53"/>
    <w:rsid w:val="009B0402"/>
    <w:rsid w:val="009B0B75"/>
    <w:rsid w:val="009B0DAD"/>
    <w:rsid w:val="009B12B3"/>
    <w:rsid w:val="009B16DF"/>
    <w:rsid w:val="009B3779"/>
    <w:rsid w:val="009B3898"/>
    <w:rsid w:val="009B45C3"/>
    <w:rsid w:val="009B4A11"/>
    <w:rsid w:val="009B4CB2"/>
    <w:rsid w:val="009B552B"/>
    <w:rsid w:val="009B6701"/>
    <w:rsid w:val="009B6EF7"/>
    <w:rsid w:val="009B7000"/>
    <w:rsid w:val="009B739C"/>
    <w:rsid w:val="009B7B75"/>
    <w:rsid w:val="009C04EC"/>
    <w:rsid w:val="009C306E"/>
    <w:rsid w:val="009C328C"/>
    <w:rsid w:val="009C3AC1"/>
    <w:rsid w:val="009C4444"/>
    <w:rsid w:val="009C6C99"/>
    <w:rsid w:val="009C74A7"/>
    <w:rsid w:val="009C79AD"/>
    <w:rsid w:val="009C7CA6"/>
    <w:rsid w:val="009D3316"/>
    <w:rsid w:val="009D55AA"/>
    <w:rsid w:val="009D7701"/>
    <w:rsid w:val="009E1D20"/>
    <w:rsid w:val="009E3E77"/>
    <w:rsid w:val="009E3FAB"/>
    <w:rsid w:val="009E43C4"/>
    <w:rsid w:val="009E5B3F"/>
    <w:rsid w:val="009E7D90"/>
    <w:rsid w:val="009F003F"/>
    <w:rsid w:val="009F1AB0"/>
    <w:rsid w:val="009F501D"/>
    <w:rsid w:val="00A01EB1"/>
    <w:rsid w:val="00A039D5"/>
    <w:rsid w:val="00A039E1"/>
    <w:rsid w:val="00A044B9"/>
    <w:rsid w:val="00A046AD"/>
    <w:rsid w:val="00A050B5"/>
    <w:rsid w:val="00A052A1"/>
    <w:rsid w:val="00A05F10"/>
    <w:rsid w:val="00A07040"/>
    <w:rsid w:val="00A079C1"/>
    <w:rsid w:val="00A07A09"/>
    <w:rsid w:val="00A102A7"/>
    <w:rsid w:val="00A1210C"/>
    <w:rsid w:val="00A12520"/>
    <w:rsid w:val="00A127D9"/>
    <w:rsid w:val="00A130FD"/>
    <w:rsid w:val="00A13AFF"/>
    <w:rsid w:val="00A13D6D"/>
    <w:rsid w:val="00A14769"/>
    <w:rsid w:val="00A15E88"/>
    <w:rsid w:val="00A16151"/>
    <w:rsid w:val="00A1632D"/>
    <w:rsid w:val="00A16EC6"/>
    <w:rsid w:val="00A17C06"/>
    <w:rsid w:val="00A2126E"/>
    <w:rsid w:val="00A21706"/>
    <w:rsid w:val="00A235C8"/>
    <w:rsid w:val="00A23F7F"/>
    <w:rsid w:val="00A24735"/>
    <w:rsid w:val="00A24FCC"/>
    <w:rsid w:val="00A257C7"/>
    <w:rsid w:val="00A26A90"/>
    <w:rsid w:val="00A26B27"/>
    <w:rsid w:val="00A272A1"/>
    <w:rsid w:val="00A27757"/>
    <w:rsid w:val="00A30E4F"/>
    <w:rsid w:val="00A30F7E"/>
    <w:rsid w:val="00A32253"/>
    <w:rsid w:val="00A32D60"/>
    <w:rsid w:val="00A3310E"/>
    <w:rsid w:val="00A333A0"/>
    <w:rsid w:val="00A333B3"/>
    <w:rsid w:val="00A37B8D"/>
    <w:rsid w:val="00A37E70"/>
    <w:rsid w:val="00A42872"/>
    <w:rsid w:val="00A43761"/>
    <w:rsid w:val="00A437E1"/>
    <w:rsid w:val="00A44444"/>
    <w:rsid w:val="00A4685E"/>
    <w:rsid w:val="00A50CD4"/>
    <w:rsid w:val="00A51191"/>
    <w:rsid w:val="00A5167A"/>
    <w:rsid w:val="00A533BD"/>
    <w:rsid w:val="00A53724"/>
    <w:rsid w:val="00A55985"/>
    <w:rsid w:val="00A56D62"/>
    <w:rsid w:val="00A56F07"/>
    <w:rsid w:val="00A5762C"/>
    <w:rsid w:val="00A577E1"/>
    <w:rsid w:val="00A600FC"/>
    <w:rsid w:val="00A60BCA"/>
    <w:rsid w:val="00A6361F"/>
    <w:rsid w:val="00A638DA"/>
    <w:rsid w:val="00A6482C"/>
    <w:rsid w:val="00A64BB6"/>
    <w:rsid w:val="00A65B41"/>
    <w:rsid w:val="00A65E00"/>
    <w:rsid w:val="00A65E6F"/>
    <w:rsid w:val="00A66A78"/>
    <w:rsid w:val="00A678AE"/>
    <w:rsid w:val="00A70874"/>
    <w:rsid w:val="00A728B6"/>
    <w:rsid w:val="00A72A64"/>
    <w:rsid w:val="00A7436E"/>
    <w:rsid w:val="00A74E62"/>
    <w:rsid w:val="00A74E96"/>
    <w:rsid w:val="00A75A8E"/>
    <w:rsid w:val="00A7601A"/>
    <w:rsid w:val="00A81A3C"/>
    <w:rsid w:val="00A824DD"/>
    <w:rsid w:val="00A83676"/>
    <w:rsid w:val="00A83B7B"/>
    <w:rsid w:val="00A83C76"/>
    <w:rsid w:val="00A84274"/>
    <w:rsid w:val="00A84ED0"/>
    <w:rsid w:val="00A850F3"/>
    <w:rsid w:val="00A864D0"/>
    <w:rsid w:val="00A864E3"/>
    <w:rsid w:val="00A87326"/>
    <w:rsid w:val="00A9110B"/>
    <w:rsid w:val="00A921F1"/>
    <w:rsid w:val="00A9257A"/>
    <w:rsid w:val="00A93594"/>
    <w:rsid w:val="00A94574"/>
    <w:rsid w:val="00A95362"/>
    <w:rsid w:val="00A95936"/>
    <w:rsid w:val="00A95EFF"/>
    <w:rsid w:val="00A96265"/>
    <w:rsid w:val="00A97084"/>
    <w:rsid w:val="00AA1BDF"/>
    <w:rsid w:val="00AA1C2C"/>
    <w:rsid w:val="00AA1D06"/>
    <w:rsid w:val="00AA28D2"/>
    <w:rsid w:val="00AA2CD5"/>
    <w:rsid w:val="00AA35F6"/>
    <w:rsid w:val="00AA667C"/>
    <w:rsid w:val="00AA6E91"/>
    <w:rsid w:val="00AA7439"/>
    <w:rsid w:val="00AA7F49"/>
    <w:rsid w:val="00AB047E"/>
    <w:rsid w:val="00AB0857"/>
    <w:rsid w:val="00AB0B0A"/>
    <w:rsid w:val="00AB0BB7"/>
    <w:rsid w:val="00AB1523"/>
    <w:rsid w:val="00AB1634"/>
    <w:rsid w:val="00AB22C6"/>
    <w:rsid w:val="00AB2544"/>
    <w:rsid w:val="00AB2AD0"/>
    <w:rsid w:val="00AB325E"/>
    <w:rsid w:val="00AB45F0"/>
    <w:rsid w:val="00AB67FC"/>
    <w:rsid w:val="00AB79A1"/>
    <w:rsid w:val="00AC00F2"/>
    <w:rsid w:val="00AC31B5"/>
    <w:rsid w:val="00AC4256"/>
    <w:rsid w:val="00AC4EA1"/>
    <w:rsid w:val="00AC5381"/>
    <w:rsid w:val="00AC54B6"/>
    <w:rsid w:val="00AC5920"/>
    <w:rsid w:val="00AC5B53"/>
    <w:rsid w:val="00AC7371"/>
    <w:rsid w:val="00AD0E65"/>
    <w:rsid w:val="00AD2BF2"/>
    <w:rsid w:val="00AD3D3E"/>
    <w:rsid w:val="00AD4E90"/>
    <w:rsid w:val="00AD5422"/>
    <w:rsid w:val="00AD5827"/>
    <w:rsid w:val="00AD71ED"/>
    <w:rsid w:val="00AE1C98"/>
    <w:rsid w:val="00AE4179"/>
    <w:rsid w:val="00AE4425"/>
    <w:rsid w:val="00AE4FBE"/>
    <w:rsid w:val="00AE650F"/>
    <w:rsid w:val="00AE6555"/>
    <w:rsid w:val="00AE78C0"/>
    <w:rsid w:val="00AE7D16"/>
    <w:rsid w:val="00AF04F4"/>
    <w:rsid w:val="00AF21E9"/>
    <w:rsid w:val="00AF23F2"/>
    <w:rsid w:val="00AF4CAA"/>
    <w:rsid w:val="00AF571A"/>
    <w:rsid w:val="00AF57A6"/>
    <w:rsid w:val="00AF60A0"/>
    <w:rsid w:val="00AF67FC"/>
    <w:rsid w:val="00AF697F"/>
    <w:rsid w:val="00AF7DF5"/>
    <w:rsid w:val="00B006E5"/>
    <w:rsid w:val="00B0086F"/>
    <w:rsid w:val="00B014F9"/>
    <w:rsid w:val="00B021CF"/>
    <w:rsid w:val="00B024C2"/>
    <w:rsid w:val="00B02CB5"/>
    <w:rsid w:val="00B0350C"/>
    <w:rsid w:val="00B03F7C"/>
    <w:rsid w:val="00B04896"/>
    <w:rsid w:val="00B07700"/>
    <w:rsid w:val="00B11B56"/>
    <w:rsid w:val="00B13921"/>
    <w:rsid w:val="00B1528C"/>
    <w:rsid w:val="00B16ACD"/>
    <w:rsid w:val="00B1783B"/>
    <w:rsid w:val="00B20999"/>
    <w:rsid w:val="00B21487"/>
    <w:rsid w:val="00B232D1"/>
    <w:rsid w:val="00B24C58"/>
    <w:rsid w:val="00B24DB5"/>
    <w:rsid w:val="00B253A0"/>
    <w:rsid w:val="00B261D2"/>
    <w:rsid w:val="00B2720C"/>
    <w:rsid w:val="00B31F9E"/>
    <w:rsid w:val="00B3268F"/>
    <w:rsid w:val="00B32A05"/>
    <w:rsid w:val="00B32C2C"/>
    <w:rsid w:val="00B33A1A"/>
    <w:rsid w:val="00B33E6C"/>
    <w:rsid w:val="00B355BD"/>
    <w:rsid w:val="00B35D01"/>
    <w:rsid w:val="00B371CC"/>
    <w:rsid w:val="00B41CD9"/>
    <w:rsid w:val="00B427E6"/>
    <w:rsid w:val="00B42878"/>
    <w:rsid w:val="00B428A6"/>
    <w:rsid w:val="00B43011"/>
    <w:rsid w:val="00B43E1F"/>
    <w:rsid w:val="00B4477C"/>
    <w:rsid w:val="00B45FBC"/>
    <w:rsid w:val="00B46024"/>
    <w:rsid w:val="00B510C3"/>
    <w:rsid w:val="00B51A0E"/>
    <w:rsid w:val="00B51A7D"/>
    <w:rsid w:val="00B535C2"/>
    <w:rsid w:val="00B548AA"/>
    <w:rsid w:val="00B54C79"/>
    <w:rsid w:val="00B55544"/>
    <w:rsid w:val="00B57057"/>
    <w:rsid w:val="00B57232"/>
    <w:rsid w:val="00B57947"/>
    <w:rsid w:val="00B60796"/>
    <w:rsid w:val="00B61367"/>
    <w:rsid w:val="00B62EEA"/>
    <w:rsid w:val="00B64017"/>
    <w:rsid w:val="00B64046"/>
    <w:rsid w:val="00B642FC"/>
    <w:rsid w:val="00B64673"/>
    <w:rsid w:val="00B64D26"/>
    <w:rsid w:val="00B64FBB"/>
    <w:rsid w:val="00B65000"/>
    <w:rsid w:val="00B654D5"/>
    <w:rsid w:val="00B65658"/>
    <w:rsid w:val="00B6755B"/>
    <w:rsid w:val="00B70E22"/>
    <w:rsid w:val="00B71A80"/>
    <w:rsid w:val="00B71FE6"/>
    <w:rsid w:val="00B729DB"/>
    <w:rsid w:val="00B73F10"/>
    <w:rsid w:val="00B774CB"/>
    <w:rsid w:val="00B77FAB"/>
    <w:rsid w:val="00B80402"/>
    <w:rsid w:val="00B80B92"/>
    <w:rsid w:val="00B80B9A"/>
    <w:rsid w:val="00B80D5A"/>
    <w:rsid w:val="00B8116A"/>
    <w:rsid w:val="00B81344"/>
    <w:rsid w:val="00B82EDC"/>
    <w:rsid w:val="00B830B7"/>
    <w:rsid w:val="00B845CD"/>
    <w:rsid w:val="00B848EA"/>
    <w:rsid w:val="00B84B2B"/>
    <w:rsid w:val="00B90194"/>
    <w:rsid w:val="00B90500"/>
    <w:rsid w:val="00B90CB3"/>
    <w:rsid w:val="00B9176C"/>
    <w:rsid w:val="00B92403"/>
    <w:rsid w:val="00B935A4"/>
    <w:rsid w:val="00BA561A"/>
    <w:rsid w:val="00BA61AF"/>
    <w:rsid w:val="00BA67D8"/>
    <w:rsid w:val="00BA7FE4"/>
    <w:rsid w:val="00BB032C"/>
    <w:rsid w:val="00BB0DC6"/>
    <w:rsid w:val="00BB10EA"/>
    <w:rsid w:val="00BB15E4"/>
    <w:rsid w:val="00BB1E19"/>
    <w:rsid w:val="00BB21D1"/>
    <w:rsid w:val="00BB32F2"/>
    <w:rsid w:val="00BB35FE"/>
    <w:rsid w:val="00BB4338"/>
    <w:rsid w:val="00BB5262"/>
    <w:rsid w:val="00BB6454"/>
    <w:rsid w:val="00BB6C0E"/>
    <w:rsid w:val="00BB7B38"/>
    <w:rsid w:val="00BB7B55"/>
    <w:rsid w:val="00BC0602"/>
    <w:rsid w:val="00BC0747"/>
    <w:rsid w:val="00BC11E5"/>
    <w:rsid w:val="00BC3B1C"/>
    <w:rsid w:val="00BC3D74"/>
    <w:rsid w:val="00BC3FA1"/>
    <w:rsid w:val="00BC4BC6"/>
    <w:rsid w:val="00BC52FD"/>
    <w:rsid w:val="00BC61E0"/>
    <w:rsid w:val="00BC6E62"/>
    <w:rsid w:val="00BC7443"/>
    <w:rsid w:val="00BC75DE"/>
    <w:rsid w:val="00BC7ACB"/>
    <w:rsid w:val="00BD05D5"/>
    <w:rsid w:val="00BD0648"/>
    <w:rsid w:val="00BD1040"/>
    <w:rsid w:val="00BD1922"/>
    <w:rsid w:val="00BD1A83"/>
    <w:rsid w:val="00BD34AA"/>
    <w:rsid w:val="00BD3CAA"/>
    <w:rsid w:val="00BD5C8C"/>
    <w:rsid w:val="00BD60A1"/>
    <w:rsid w:val="00BD6E21"/>
    <w:rsid w:val="00BD75C1"/>
    <w:rsid w:val="00BD7A19"/>
    <w:rsid w:val="00BE0C44"/>
    <w:rsid w:val="00BE176E"/>
    <w:rsid w:val="00BE19DB"/>
    <w:rsid w:val="00BE1B8B"/>
    <w:rsid w:val="00BE1E08"/>
    <w:rsid w:val="00BE2A18"/>
    <w:rsid w:val="00BE2C01"/>
    <w:rsid w:val="00BE41EC"/>
    <w:rsid w:val="00BE45C1"/>
    <w:rsid w:val="00BE49F1"/>
    <w:rsid w:val="00BE4D2A"/>
    <w:rsid w:val="00BE56FB"/>
    <w:rsid w:val="00BE5D10"/>
    <w:rsid w:val="00BE6005"/>
    <w:rsid w:val="00BE78E2"/>
    <w:rsid w:val="00BF3DDE"/>
    <w:rsid w:val="00BF47CA"/>
    <w:rsid w:val="00BF4CF5"/>
    <w:rsid w:val="00BF6589"/>
    <w:rsid w:val="00BF6F7F"/>
    <w:rsid w:val="00BF7538"/>
    <w:rsid w:val="00C00647"/>
    <w:rsid w:val="00C00B2F"/>
    <w:rsid w:val="00C01355"/>
    <w:rsid w:val="00C0251D"/>
    <w:rsid w:val="00C02764"/>
    <w:rsid w:val="00C02B5C"/>
    <w:rsid w:val="00C04CEF"/>
    <w:rsid w:val="00C05B8B"/>
    <w:rsid w:val="00C0662F"/>
    <w:rsid w:val="00C068FA"/>
    <w:rsid w:val="00C07734"/>
    <w:rsid w:val="00C118AC"/>
    <w:rsid w:val="00C11943"/>
    <w:rsid w:val="00C12E96"/>
    <w:rsid w:val="00C136F5"/>
    <w:rsid w:val="00C14763"/>
    <w:rsid w:val="00C1516A"/>
    <w:rsid w:val="00C16141"/>
    <w:rsid w:val="00C161FB"/>
    <w:rsid w:val="00C16860"/>
    <w:rsid w:val="00C171B4"/>
    <w:rsid w:val="00C17C48"/>
    <w:rsid w:val="00C17C78"/>
    <w:rsid w:val="00C20193"/>
    <w:rsid w:val="00C20E18"/>
    <w:rsid w:val="00C211B5"/>
    <w:rsid w:val="00C2363F"/>
    <w:rsid w:val="00C236C8"/>
    <w:rsid w:val="00C23830"/>
    <w:rsid w:val="00C260B1"/>
    <w:rsid w:val="00C26E56"/>
    <w:rsid w:val="00C27666"/>
    <w:rsid w:val="00C30848"/>
    <w:rsid w:val="00C31362"/>
    <w:rsid w:val="00C31406"/>
    <w:rsid w:val="00C34EF3"/>
    <w:rsid w:val="00C35C88"/>
    <w:rsid w:val="00C365B8"/>
    <w:rsid w:val="00C37194"/>
    <w:rsid w:val="00C40637"/>
    <w:rsid w:val="00C40A6E"/>
    <w:rsid w:val="00C40F6C"/>
    <w:rsid w:val="00C44426"/>
    <w:rsid w:val="00C445F3"/>
    <w:rsid w:val="00C451F4"/>
    <w:rsid w:val="00C457FF"/>
    <w:rsid w:val="00C45EB1"/>
    <w:rsid w:val="00C501B1"/>
    <w:rsid w:val="00C5101F"/>
    <w:rsid w:val="00C528DE"/>
    <w:rsid w:val="00C529BC"/>
    <w:rsid w:val="00C52D34"/>
    <w:rsid w:val="00C54A3A"/>
    <w:rsid w:val="00C55053"/>
    <w:rsid w:val="00C55566"/>
    <w:rsid w:val="00C56448"/>
    <w:rsid w:val="00C6288B"/>
    <w:rsid w:val="00C63347"/>
    <w:rsid w:val="00C640A0"/>
    <w:rsid w:val="00C64A04"/>
    <w:rsid w:val="00C667BE"/>
    <w:rsid w:val="00C6766B"/>
    <w:rsid w:val="00C67867"/>
    <w:rsid w:val="00C67921"/>
    <w:rsid w:val="00C71025"/>
    <w:rsid w:val="00C71741"/>
    <w:rsid w:val="00C72223"/>
    <w:rsid w:val="00C735A9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6DFA"/>
    <w:rsid w:val="00C8722D"/>
    <w:rsid w:val="00C877AE"/>
    <w:rsid w:val="00C922C1"/>
    <w:rsid w:val="00C92EFF"/>
    <w:rsid w:val="00C9508A"/>
    <w:rsid w:val="00C97118"/>
    <w:rsid w:val="00CA3345"/>
    <w:rsid w:val="00CA3431"/>
    <w:rsid w:val="00CA7066"/>
    <w:rsid w:val="00CA7105"/>
    <w:rsid w:val="00CB140C"/>
    <w:rsid w:val="00CB18D0"/>
    <w:rsid w:val="00CB19A5"/>
    <w:rsid w:val="00CB1BA9"/>
    <w:rsid w:val="00CB1C8A"/>
    <w:rsid w:val="00CB1CBD"/>
    <w:rsid w:val="00CB24F5"/>
    <w:rsid w:val="00CB2663"/>
    <w:rsid w:val="00CB3BBE"/>
    <w:rsid w:val="00CB4544"/>
    <w:rsid w:val="00CB59E9"/>
    <w:rsid w:val="00CB5BA7"/>
    <w:rsid w:val="00CC0D6A"/>
    <w:rsid w:val="00CC2F90"/>
    <w:rsid w:val="00CC3831"/>
    <w:rsid w:val="00CC3E3D"/>
    <w:rsid w:val="00CC3F5F"/>
    <w:rsid w:val="00CC4D53"/>
    <w:rsid w:val="00CC5114"/>
    <w:rsid w:val="00CC519B"/>
    <w:rsid w:val="00CC580F"/>
    <w:rsid w:val="00CC66BD"/>
    <w:rsid w:val="00CC717C"/>
    <w:rsid w:val="00CC7E54"/>
    <w:rsid w:val="00CD12C1"/>
    <w:rsid w:val="00CD214E"/>
    <w:rsid w:val="00CD2487"/>
    <w:rsid w:val="00CD29F2"/>
    <w:rsid w:val="00CD3322"/>
    <w:rsid w:val="00CD46FA"/>
    <w:rsid w:val="00CD4E87"/>
    <w:rsid w:val="00CD4FB0"/>
    <w:rsid w:val="00CD5402"/>
    <w:rsid w:val="00CD5973"/>
    <w:rsid w:val="00CD7ACC"/>
    <w:rsid w:val="00CE0640"/>
    <w:rsid w:val="00CE31A6"/>
    <w:rsid w:val="00CE4343"/>
    <w:rsid w:val="00CE5E6F"/>
    <w:rsid w:val="00CE6295"/>
    <w:rsid w:val="00CE7915"/>
    <w:rsid w:val="00CF09AA"/>
    <w:rsid w:val="00CF162B"/>
    <w:rsid w:val="00CF1AA3"/>
    <w:rsid w:val="00CF2CBC"/>
    <w:rsid w:val="00CF3866"/>
    <w:rsid w:val="00CF38CF"/>
    <w:rsid w:val="00CF4813"/>
    <w:rsid w:val="00CF5233"/>
    <w:rsid w:val="00CF65F6"/>
    <w:rsid w:val="00CF6A5E"/>
    <w:rsid w:val="00CF724A"/>
    <w:rsid w:val="00CF72FF"/>
    <w:rsid w:val="00D01C25"/>
    <w:rsid w:val="00D029B8"/>
    <w:rsid w:val="00D02F60"/>
    <w:rsid w:val="00D03E22"/>
    <w:rsid w:val="00D0464E"/>
    <w:rsid w:val="00D04A96"/>
    <w:rsid w:val="00D065F7"/>
    <w:rsid w:val="00D06E8D"/>
    <w:rsid w:val="00D076F7"/>
    <w:rsid w:val="00D07A7B"/>
    <w:rsid w:val="00D07C31"/>
    <w:rsid w:val="00D10E06"/>
    <w:rsid w:val="00D13989"/>
    <w:rsid w:val="00D147A7"/>
    <w:rsid w:val="00D15197"/>
    <w:rsid w:val="00D16820"/>
    <w:rsid w:val="00D169C8"/>
    <w:rsid w:val="00D16FBC"/>
    <w:rsid w:val="00D17109"/>
    <w:rsid w:val="00D1793F"/>
    <w:rsid w:val="00D204DB"/>
    <w:rsid w:val="00D2068F"/>
    <w:rsid w:val="00D22AF5"/>
    <w:rsid w:val="00D235EA"/>
    <w:rsid w:val="00D247A9"/>
    <w:rsid w:val="00D247B4"/>
    <w:rsid w:val="00D31CFD"/>
    <w:rsid w:val="00D32721"/>
    <w:rsid w:val="00D328DC"/>
    <w:rsid w:val="00D33387"/>
    <w:rsid w:val="00D401E6"/>
    <w:rsid w:val="00D402FB"/>
    <w:rsid w:val="00D433FD"/>
    <w:rsid w:val="00D4419F"/>
    <w:rsid w:val="00D47D7A"/>
    <w:rsid w:val="00D50ABD"/>
    <w:rsid w:val="00D524D5"/>
    <w:rsid w:val="00D55290"/>
    <w:rsid w:val="00D55501"/>
    <w:rsid w:val="00D57791"/>
    <w:rsid w:val="00D6046A"/>
    <w:rsid w:val="00D60AB3"/>
    <w:rsid w:val="00D61850"/>
    <w:rsid w:val="00D62870"/>
    <w:rsid w:val="00D63961"/>
    <w:rsid w:val="00D655D9"/>
    <w:rsid w:val="00D65872"/>
    <w:rsid w:val="00D65FC8"/>
    <w:rsid w:val="00D66966"/>
    <w:rsid w:val="00D67306"/>
    <w:rsid w:val="00D676F3"/>
    <w:rsid w:val="00D70698"/>
    <w:rsid w:val="00D70EF5"/>
    <w:rsid w:val="00D71024"/>
    <w:rsid w:val="00D71A25"/>
    <w:rsid w:val="00D71FCF"/>
    <w:rsid w:val="00D72A54"/>
    <w:rsid w:val="00D72CC1"/>
    <w:rsid w:val="00D73417"/>
    <w:rsid w:val="00D738B5"/>
    <w:rsid w:val="00D76119"/>
    <w:rsid w:val="00D76C48"/>
    <w:rsid w:val="00D76EC9"/>
    <w:rsid w:val="00D80E1A"/>
    <w:rsid w:val="00D80E7D"/>
    <w:rsid w:val="00D81397"/>
    <w:rsid w:val="00D81B05"/>
    <w:rsid w:val="00D83C61"/>
    <w:rsid w:val="00D84789"/>
    <w:rsid w:val="00D848B9"/>
    <w:rsid w:val="00D874F5"/>
    <w:rsid w:val="00D8776C"/>
    <w:rsid w:val="00D878D0"/>
    <w:rsid w:val="00D87D1E"/>
    <w:rsid w:val="00D90B2B"/>
    <w:rsid w:val="00D90E69"/>
    <w:rsid w:val="00D91368"/>
    <w:rsid w:val="00D93106"/>
    <w:rsid w:val="00D933E9"/>
    <w:rsid w:val="00D9369C"/>
    <w:rsid w:val="00D949B9"/>
    <w:rsid w:val="00D9505D"/>
    <w:rsid w:val="00D950CE"/>
    <w:rsid w:val="00D953D0"/>
    <w:rsid w:val="00D959F5"/>
    <w:rsid w:val="00D96884"/>
    <w:rsid w:val="00DA19A8"/>
    <w:rsid w:val="00DA3389"/>
    <w:rsid w:val="00DA395E"/>
    <w:rsid w:val="00DA3FDD"/>
    <w:rsid w:val="00DA7017"/>
    <w:rsid w:val="00DA7028"/>
    <w:rsid w:val="00DB1AD2"/>
    <w:rsid w:val="00DB2B58"/>
    <w:rsid w:val="00DB5206"/>
    <w:rsid w:val="00DB5DDC"/>
    <w:rsid w:val="00DB6276"/>
    <w:rsid w:val="00DB63F5"/>
    <w:rsid w:val="00DB6406"/>
    <w:rsid w:val="00DC05CC"/>
    <w:rsid w:val="00DC1995"/>
    <w:rsid w:val="00DC1C6B"/>
    <w:rsid w:val="00DC2C2E"/>
    <w:rsid w:val="00DC4AF0"/>
    <w:rsid w:val="00DC4EA6"/>
    <w:rsid w:val="00DC6E2F"/>
    <w:rsid w:val="00DC7886"/>
    <w:rsid w:val="00DD0CF2"/>
    <w:rsid w:val="00DD13B8"/>
    <w:rsid w:val="00DD3068"/>
    <w:rsid w:val="00DD316B"/>
    <w:rsid w:val="00DD34DD"/>
    <w:rsid w:val="00DD4B09"/>
    <w:rsid w:val="00DD5AA0"/>
    <w:rsid w:val="00DD6631"/>
    <w:rsid w:val="00DD6C6D"/>
    <w:rsid w:val="00DE01AC"/>
    <w:rsid w:val="00DE0797"/>
    <w:rsid w:val="00DE09DA"/>
    <w:rsid w:val="00DE1554"/>
    <w:rsid w:val="00DE2901"/>
    <w:rsid w:val="00DE555A"/>
    <w:rsid w:val="00DE590F"/>
    <w:rsid w:val="00DE7DC1"/>
    <w:rsid w:val="00DF002A"/>
    <w:rsid w:val="00DF3F7E"/>
    <w:rsid w:val="00DF4F7A"/>
    <w:rsid w:val="00DF6B15"/>
    <w:rsid w:val="00DF7648"/>
    <w:rsid w:val="00E00E29"/>
    <w:rsid w:val="00E02BAB"/>
    <w:rsid w:val="00E043F8"/>
    <w:rsid w:val="00E049F6"/>
    <w:rsid w:val="00E04CEB"/>
    <w:rsid w:val="00E05905"/>
    <w:rsid w:val="00E060BC"/>
    <w:rsid w:val="00E112CF"/>
    <w:rsid w:val="00E11420"/>
    <w:rsid w:val="00E120FA"/>
    <w:rsid w:val="00E12E86"/>
    <w:rsid w:val="00E132FB"/>
    <w:rsid w:val="00E143C8"/>
    <w:rsid w:val="00E170B7"/>
    <w:rsid w:val="00E177DD"/>
    <w:rsid w:val="00E20900"/>
    <w:rsid w:val="00E20C7F"/>
    <w:rsid w:val="00E2396E"/>
    <w:rsid w:val="00E24055"/>
    <w:rsid w:val="00E24728"/>
    <w:rsid w:val="00E26712"/>
    <w:rsid w:val="00E26B27"/>
    <w:rsid w:val="00E276AC"/>
    <w:rsid w:val="00E30B91"/>
    <w:rsid w:val="00E31B5C"/>
    <w:rsid w:val="00E34A35"/>
    <w:rsid w:val="00E365E0"/>
    <w:rsid w:val="00E37BDE"/>
    <w:rsid w:val="00E37C2F"/>
    <w:rsid w:val="00E40103"/>
    <w:rsid w:val="00E4135C"/>
    <w:rsid w:val="00E41C28"/>
    <w:rsid w:val="00E4458E"/>
    <w:rsid w:val="00E45F1F"/>
    <w:rsid w:val="00E461ED"/>
    <w:rsid w:val="00E46308"/>
    <w:rsid w:val="00E50AD0"/>
    <w:rsid w:val="00E51E17"/>
    <w:rsid w:val="00E52DAB"/>
    <w:rsid w:val="00E5312C"/>
    <w:rsid w:val="00E539B0"/>
    <w:rsid w:val="00E55994"/>
    <w:rsid w:val="00E56BD3"/>
    <w:rsid w:val="00E60201"/>
    <w:rsid w:val="00E60606"/>
    <w:rsid w:val="00E60C66"/>
    <w:rsid w:val="00E6164D"/>
    <w:rsid w:val="00E618C9"/>
    <w:rsid w:val="00E62774"/>
    <w:rsid w:val="00E62847"/>
    <w:rsid w:val="00E6307C"/>
    <w:rsid w:val="00E636FA"/>
    <w:rsid w:val="00E6533B"/>
    <w:rsid w:val="00E66C50"/>
    <w:rsid w:val="00E679D3"/>
    <w:rsid w:val="00E70F8C"/>
    <w:rsid w:val="00E71016"/>
    <w:rsid w:val="00E71208"/>
    <w:rsid w:val="00E713D9"/>
    <w:rsid w:val="00E71444"/>
    <w:rsid w:val="00E71C91"/>
    <w:rsid w:val="00E720A1"/>
    <w:rsid w:val="00E74155"/>
    <w:rsid w:val="00E743DB"/>
    <w:rsid w:val="00E75DDA"/>
    <w:rsid w:val="00E773E8"/>
    <w:rsid w:val="00E80B91"/>
    <w:rsid w:val="00E82D41"/>
    <w:rsid w:val="00E82F46"/>
    <w:rsid w:val="00E82F61"/>
    <w:rsid w:val="00E83ADD"/>
    <w:rsid w:val="00E83F3B"/>
    <w:rsid w:val="00E84BCA"/>
    <w:rsid w:val="00E84CA1"/>
    <w:rsid w:val="00E84F38"/>
    <w:rsid w:val="00E85623"/>
    <w:rsid w:val="00E85DB2"/>
    <w:rsid w:val="00E866EA"/>
    <w:rsid w:val="00E87441"/>
    <w:rsid w:val="00E904CF"/>
    <w:rsid w:val="00E91FAE"/>
    <w:rsid w:val="00E96B69"/>
    <w:rsid w:val="00E96E3F"/>
    <w:rsid w:val="00E9750D"/>
    <w:rsid w:val="00EA02F8"/>
    <w:rsid w:val="00EA270C"/>
    <w:rsid w:val="00EA4974"/>
    <w:rsid w:val="00EA532E"/>
    <w:rsid w:val="00EA72C5"/>
    <w:rsid w:val="00EA753F"/>
    <w:rsid w:val="00EA7785"/>
    <w:rsid w:val="00EB0283"/>
    <w:rsid w:val="00EB06D9"/>
    <w:rsid w:val="00EB192B"/>
    <w:rsid w:val="00EB19ED"/>
    <w:rsid w:val="00EB1CAB"/>
    <w:rsid w:val="00EB51B2"/>
    <w:rsid w:val="00EB7DB8"/>
    <w:rsid w:val="00EC0F5A"/>
    <w:rsid w:val="00EC20E1"/>
    <w:rsid w:val="00EC279A"/>
    <w:rsid w:val="00EC4265"/>
    <w:rsid w:val="00EC49DD"/>
    <w:rsid w:val="00EC4CEB"/>
    <w:rsid w:val="00EC5E31"/>
    <w:rsid w:val="00EC659E"/>
    <w:rsid w:val="00EC6DA2"/>
    <w:rsid w:val="00EC7D4F"/>
    <w:rsid w:val="00ED0365"/>
    <w:rsid w:val="00ED2072"/>
    <w:rsid w:val="00ED2948"/>
    <w:rsid w:val="00ED2A29"/>
    <w:rsid w:val="00ED2AE0"/>
    <w:rsid w:val="00ED310B"/>
    <w:rsid w:val="00ED38B8"/>
    <w:rsid w:val="00ED3E2E"/>
    <w:rsid w:val="00ED5553"/>
    <w:rsid w:val="00ED5E36"/>
    <w:rsid w:val="00ED6961"/>
    <w:rsid w:val="00ED7000"/>
    <w:rsid w:val="00ED78CB"/>
    <w:rsid w:val="00EE105F"/>
    <w:rsid w:val="00EE2F94"/>
    <w:rsid w:val="00EE5478"/>
    <w:rsid w:val="00EE5F8B"/>
    <w:rsid w:val="00EF0497"/>
    <w:rsid w:val="00EF086A"/>
    <w:rsid w:val="00EF0B96"/>
    <w:rsid w:val="00EF1715"/>
    <w:rsid w:val="00EF250E"/>
    <w:rsid w:val="00EF3486"/>
    <w:rsid w:val="00EF47AF"/>
    <w:rsid w:val="00EF53B6"/>
    <w:rsid w:val="00F00B73"/>
    <w:rsid w:val="00F01CFD"/>
    <w:rsid w:val="00F0258F"/>
    <w:rsid w:val="00F05BE5"/>
    <w:rsid w:val="00F05F25"/>
    <w:rsid w:val="00F077A3"/>
    <w:rsid w:val="00F10444"/>
    <w:rsid w:val="00F115CA"/>
    <w:rsid w:val="00F11ED6"/>
    <w:rsid w:val="00F129C2"/>
    <w:rsid w:val="00F14390"/>
    <w:rsid w:val="00F14810"/>
    <w:rsid w:val="00F14817"/>
    <w:rsid w:val="00F14EBA"/>
    <w:rsid w:val="00F1510F"/>
    <w:rsid w:val="00F1533A"/>
    <w:rsid w:val="00F15E5A"/>
    <w:rsid w:val="00F17E7E"/>
    <w:rsid w:val="00F17F0A"/>
    <w:rsid w:val="00F21309"/>
    <w:rsid w:val="00F2266F"/>
    <w:rsid w:val="00F23EAA"/>
    <w:rsid w:val="00F24854"/>
    <w:rsid w:val="00F24DCE"/>
    <w:rsid w:val="00F24DD5"/>
    <w:rsid w:val="00F25F10"/>
    <w:rsid w:val="00F2668F"/>
    <w:rsid w:val="00F2742F"/>
    <w:rsid w:val="00F2753B"/>
    <w:rsid w:val="00F27986"/>
    <w:rsid w:val="00F31DEA"/>
    <w:rsid w:val="00F33F8B"/>
    <w:rsid w:val="00F340B2"/>
    <w:rsid w:val="00F343EE"/>
    <w:rsid w:val="00F34E5D"/>
    <w:rsid w:val="00F364EB"/>
    <w:rsid w:val="00F4075E"/>
    <w:rsid w:val="00F42284"/>
    <w:rsid w:val="00F43390"/>
    <w:rsid w:val="00F44187"/>
    <w:rsid w:val="00F443B2"/>
    <w:rsid w:val="00F458D8"/>
    <w:rsid w:val="00F50237"/>
    <w:rsid w:val="00F5089A"/>
    <w:rsid w:val="00F52450"/>
    <w:rsid w:val="00F527E3"/>
    <w:rsid w:val="00F52ADC"/>
    <w:rsid w:val="00F53596"/>
    <w:rsid w:val="00F55BA8"/>
    <w:rsid w:val="00F55DB1"/>
    <w:rsid w:val="00F56ACA"/>
    <w:rsid w:val="00F56CC0"/>
    <w:rsid w:val="00F600FE"/>
    <w:rsid w:val="00F627E5"/>
    <w:rsid w:val="00F62E4D"/>
    <w:rsid w:val="00F66B34"/>
    <w:rsid w:val="00F675B9"/>
    <w:rsid w:val="00F705AB"/>
    <w:rsid w:val="00F711C9"/>
    <w:rsid w:val="00F729EB"/>
    <w:rsid w:val="00F74C59"/>
    <w:rsid w:val="00F75C3A"/>
    <w:rsid w:val="00F75DA6"/>
    <w:rsid w:val="00F766D7"/>
    <w:rsid w:val="00F77656"/>
    <w:rsid w:val="00F82BDA"/>
    <w:rsid w:val="00F82E30"/>
    <w:rsid w:val="00F831CB"/>
    <w:rsid w:val="00F83CBA"/>
    <w:rsid w:val="00F848A3"/>
    <w:rsid w:val="00F84ACF"/>
    <w:rsid w:val="00F85742"/>
    <w:rsid w:val="00F85BF8"/>
    <w:rsid w:val="00F8609A"/>
    <w:rsid w:val="00F871CE"/>
    <w:rsid w:val="00F87802"/>
    <w:rsid w:val="00F87AE7"/>
    <w:rsid w:val="00F91E15"/>
    <w:rsid w:val="00F92C0A"/>
    <w:rsid w:val="00F9415B"/>
    <w:rsid w:val="00F95D8F"/>
    <w:rsid w:val="00FA107A"/>
    <w:rsid w:val="00FA13C2"/>
    <w:rsid w:val="00FA48A5"/>
    <w:rsid w:val="00FA6692"/>
    <w:rsid w:val="00FA7F91"/>
    <w:rsid w:val="00FB121C"/>
    <w:rsid w:val="00FB1CDD"/>
    <w:rsid w:val="00FB1FBF"/>
    <w:rsid w:val="00FB2C2F"/>
    <w:rsid w:val="00FB305C"/>
    <w:rsid w:val="00FB3D70"/>
    <w:rsid w:val="00FB3F03"/>
    <w:rsid w:val="00FB4A46"/>
    <w:rsid w:val="00FB655F"/>
    <w:rsid w:val="00FB756E"/>
    <w:rsid w:val="00FC098B"/>
    <w:rsid w:val="00FC2E3D"/>
    <w:rsid w:val="00FC3BDE"/>
    <w:rsid w:val="00FC42D3"/>
    <w:rsid w:val="00FD1DBE"/>
    <w:rsid w:val="00FD1F9D"/>
    <w:rsid w:val="00FD25A7"/>
    <w:rsid w:val="00FD27B6"/>
    <w:rsid w:val="00FD3689"/>
    <w:rsid w:val="00FD42A3"/>
    <w:rsid w:val="00FD431C"/>
    <w:rsid w:val="00FD6F66"/>
    <w:rsid w:val="00FD7468"/>
    <w:rsid w:val="00FD7CDC"/>
    <w:rsid w:val="00FD7CE0"/>
    <w:rsid w:val="00FE0B3B"/>
    <w:rsid w:val="00FE1BE2"/>
    <w:rsid w:val="00FE2C77"/>
    <w:rsid w:val="00FE353E"/>
    <w:rsid w:val="00FE7165"/>
    <w:rsid w:val="00FE730A"/>
    <w:rsid w:val="00FF04A5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8E9EC"/>
  <w15:docId w15:val="{E0631775-DD5B-45F7-8502-40767F09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39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3B1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3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2E7A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E7A33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F6049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F6049"/>
    <w:rPr>
      <w:rFonts w:ascii="Calibri" w:eastAsiaTheme="minorHAnsi" w:hAnsi="Calibri" w:cstheme="minorBidi"/>
      <w:sz w:val="22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8C3A5E"/>
    <w:rPr>
      <w:color w:val="0000FF"/>
      <w:u w:val="single"/>
    </w:rPr>
  </w:style>
  <w:style w:type="paragraph" w:customStyle="1" w:styleId="Default">
    <w:name w:val="Default"/>
    <w:rsid w:val="006E2CD2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unhideWhenUsed/>
    <w:rsid w:val="00840BBB"/>
    <w:pPr>
      <w:framePr w:hSpace="141" w:wrap="around" w:vAnchor="page" w:hAnchor="margin" w:x="-431" w:y="5651"/>
      <w:spacing w:line="240" w:lineRule="auto"/>
    </w:pPr>
    <w:rPr>
      <w:rFonts w:eastAsia="Times New Roman" w:cs="Times New Roman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0BBB"/>
    <w:rPr>
      <w:rFonts w:ascii="Times New Roman" w:hAnsi="Times New Roman"/>
      <w:sz w:val="20"/>
      <w:szCs w:val="20"/>
    </w:rPr>
  </w:style>
  <w:style w:type="paragraph" w:customStyle="1" w:styleId="Pa41">
    <w:name w:val="Pa41"/>
    <w:basedOn w:val="Default"/>
    <w:next w:val="Default"/>
    <w:uiPriority w:val="99"/>
    <w:rsid w:val="00950D90"/>
    <w:pPr>
      <w:spacing w:line="211" w:lineRule="atLeast"/>
    </w:pPr>
    <w:rPr>
      <w:color w:val="auto"/>
    </w:rPr>
  </w:style>
  <w:style w:type="paragraph" w:customStyle="1" w:styleId="Pa30">
    <w:name w:val="Pa30"/>
    <w:basedOn w:val="Default"/>
    <w:next w:val="Default"/>
    <w:uiPriority w:val="99"/>
    <w:rsid w:val="00950D90"/>
    <w:pPr>
      <w:spacing w:line="211" w:lineRule="atLeast"/>
    </w:pPr>
    <w:rPr>
      <w:color w:val="auto"/>
    </w:rPr>
  </w:style>
  <w:style w:type="character" w:customStyle="1" w:styleId="A8">
    <w:name w:val="A8"/>
    <w:uiPriority w:val="99"/>
    <w:rsid w:val="00950D9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67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2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594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902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38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56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48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76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19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32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19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74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7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57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86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07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20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605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33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7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27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106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7719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68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501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16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183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230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7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0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6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65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8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5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3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80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6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27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238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78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9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4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0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8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38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55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31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10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30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16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8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ecza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LegislatorInfo xmlns="http://schemas.microsoft.com/vsto/legislator-magic-premium">
  <ZipxFilePath>C:\Users\jaltoszuk\Desktop\01. Projekt rozporządzenia_wstępny raport lokalizacyjny 20.07.2023.zipx</ZipxFilePath>
</Legislator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7FD2FA37D42C48956E5E29C3A33B29" ma:contentTypeVersion="0" ma:contentTypeDescription="Utwórz nowy dokument." ma:contentTypeScope="" ma:versionID="b4e0973df1cdc7d759b577951f0849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48c91cf6c521a8205ee912874b0e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615B33-CF4E-4D38-9361-6B8B5731ECE4}">
  <ds:schemaRefs>
    <ds:schemaRef ds:uri="http://schemas.microsoft.com/vsto/legislator-magic-premium"/>
  </ds:schemaRefs>
</ds:datastoreItem>
</file>

<file path=customXml/itemProps3.xml><?xml version="1.0" encoding="utf-8"?>
<ds:datastoreItem xmlns:ds="http://schemas.openxmlformats.org/officeDocument/2006/customXml" ds:itemID="{9ACF874D-61BE-43F0-8D42-F64B5A90C0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2FA1AC-2BFF-4189-9992-336878BE6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27E19AB-64F4-495A-982F-3B47CCFEE1A2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58B0F331-B9BF-4646-84C7-E39948DF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13</Pages>
  <Words>3644</Words>
  <Characters>21864</Characters>
  <Application>Microsoft Office Word</Application>
  <DocSecurity>4</DocSecurity>
  <Lines>182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Maciej Lemiesz</dc:creator>
  <cp:lastModifiedBy>Elżbieta Zalewska</cp:lastModifiedBy>
  <cp:revision>2</cp:revision>
  <cp:lastPrinted>2023-06-26T09:39:00Z</cp:lastPrinted>
  <dcterms:created xsi:type="dcterms:W3CDTF">2024-04-03T07:18:00Z</dcterms:created>
  <dcterms:modified xsi:type="dcterms:W3CDTF">2024-04-03T07:18:00Z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IsMyDocuments">
    <vt:bool>true</vt:bool>
  </property>
  <property fmtid="{D5CDD505-2E9C-101B-9397-08002B2CF9AE}" pid="5" name="ContentTypeId">
    <vt:lpwstr>0x010100457FD2FA37D42C48956E5E29C3A33B29</vt:lpwstr>
  </property>
  <property fmtid="{D5CDD505-2E9C-101B-9397-08002B2CF9AE}" pid="6" name="GrammarlyDocumentId">
    <vt:lpwstr>7c41e5da61f0f35fe41481981fdb4706dfc44646e14e1bc62217f1d7507c03da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  <mso:control idQ="mso:GroupParagraph" visible="true"/>
      </mso:documentControls>
    </mso:qat>
  </mso:ribbon>
</mso:customUI>
</file>