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2D3" w:rsidRDefault="00B51E04" w:rsidP="00B51E04">
      <w:pPr>
        <w:jc w:val="center"/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ABEA648">
            <wp:extent cx="3524250" cy="7620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1E04" w:rsidRDefault="00B51E04" w:rsidP="00B51E04">
      <w:pPr>
        <w:jc w:val="center"/>
      </w:pPr>
    </w:p>
    <w:p w:rsidR="00B51E04" w:rsidRPr="00715385" w:rsidRDefault="00B51E04" w:rsidP="00B51E04">
      <w:pPr>
        <w:jc w:val="center"/>
        <w:rPr>
          <w:rFonts w:ascii="Verdana" w:hAnsi="Verdana"/>
          <w:color w:val="333333"/>
          <w:sz w:val="20"/>
          <w:szCs w:val="20"/>
          <w:shd w:val="clear" w:color="auto" w:fill="FFFFFF"/>
        </w:rPr>
      </w:pPr>
      <w:r w:rsidRPr="00715385">
        <w:rPr>
          <w:rStyle w:val="Pogrubienie"/>
          <w:rFonts w:ascii="Verdana" w:hAnsi="Verdana"/>
          <w:color w:val="333333"/>
          <w:sz w:val="20"/>
          <w:szCs w:val="20"/>
          <w:shd w:val="clear" w:color="auto" w:fill="FFFFFF"/>
        </w:rPr>
        <w:t>MERCUS Logistyka sp. z o.o.</w:t>
      </w:r>
      <w:r w:rsidRPr="00715385">
        <w:rPr>
          <w:rFonts w:ascii="Verdana" w:hAnsi="Verdana"/>
          <w:b/>
          <w:bCs/>
          <w:color w:val="333333"/>
          <w:sz w:val="20"/>
          <w:szCs w:val="20"/>
          <w:shd w:val="clear" w:color="auto" w:fill="FFFFFF"/>
        </w:rPr>
        <w:br/>
      </w:r>
      <w:r w:rsidRPr="00715385">
        <w:rPr>
          <w:rFonts w:ascii="Verdana" w:hAnsi="Verdana"/>
          <w:color w:val="333333"/>
          <w:sz w:val="20"/>
          <w:szCs w:val="20"/>
          <w:shd w:val="clear" w:color="auto" w:fill="FFFFFF"/>
        </w:rPr>
        <w:t>59-101 Polkowice, ul. Kopalniana 11</w:t>
      </w:r>
    </w:p>
    <w:p w:rsidR="00B51E04" w:rsidRPr="00715385" w:rsidRDefault="00B51E04" w:rsidP="00B51E04">
      <w:pPr>
        <w:spacing w:after="0" w:line="240" w:lineRule="auto"/>
        <w:jc w:val="center"/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  <w:t>ogłasza</w:t>
      </w:r>
    </w:p>
    <w:p w:rsidR="00B51E04" w:rsidRPr="00715385" w:rsidRDefault="00B51E04" w:rsidP="00363B92">
      <w:pPr>
        <w:spacing w:after="0" w:line="240" w:lineRule="auto"/>
        <w:jc w:val="center"/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</w:pPr>
    </w:p>
    <w:p w:rsidR="00363B92" w:rsidRPr="00715385" w:rsidRDefault="00DE0729" w:rsidP="00363B9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 xml:space="preserve">II przetarg nieograniczony ustny na sprzedaż nieruchomości </w:t>
      </w:r>
    </w:p>
    <w:p w:rsidR="00DE0729" w:rsidRPr="00715385" w:rsidRDefault="00DE0729" w:rsidP="00363B9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(prawo własności budynków wraz z prawem użytkowania wieczystego)</w:t>
      </w:r>
    </w:p>
    <w:p w:rsidR="00363B92" w:rsidRPr="00715385" w:rsidRDefault="00363B92" w:rsidP="00363B9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I. Opis nieruchomości położonej w Legnicy, ul. Jaworzyńska 114-116: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1. Prawo użytkowania wieczystego nieruchomości, obejmującej: działki gruntu o numerach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ewidencyjnych 395 (o powierzchni 9 044 m2), 398 (o powierzchni 314 m2) oraz 399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(o powierzchni 3 522 m2) obręb 0023 Bartniki wraz ze znajdującymi się na ich terenie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budynkami, położonymi w Legnicy, 59-220 Legnica ul. Jaworzyńska 114-116.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2. Prawo własności budynków na ww. działkach: budynek administracyjny o pow. ogólnej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412 m2, magazyn o pow. ogólnej 219 m2, warsztat o pow. ogólnej 139 m2, suszarnia o pow.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ogólnej 83 m2, magazyn o pow. ogólnej 193 m2, stolarnia o pow. ogólnej 310 m2, magazyn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o pow. ogólnej 165 m2, magazyn o pow. ogólnej 210 m2, portiernia o pow. ogólnej 9 m2,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budynek administracyjno-biurowy o pow. ogólnej 164 m2, magazyn o pow. ogólnej 107 m2,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warsztat o pow. ogólnej 75 m2, warsztat o pow. ogólnej 285 m2, magazyn o pow. ogólnej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29 m2, warsztat o pow. ogólnej 108 m2, budynek administracyjny o pow. ogólnej 25 m2, oraz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urządzeń: wiata o pow. ogólnej 113 m2, wiata o pow. ogólnej 118 m2, wiata o pow. ogólnej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965 m2, wiata o pow. ogólnej 142 m2, wiata o pow. ogólnej 39 m2, trafo o pow. ogólnej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39 m2, wiata o pow. ogólnej 73 m2, hydrofornia o pow. ogólnej 13 m2, wiata o pow. ogólnej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147 m2, wpisanych do księgi wieczystej nr: KW o nr LE1L/00048090/1 prowadzonej przez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Wydział Ksiąg Wieczystych, Sądu Rejonowego w Legnicy. Nieruchomości stanowią własność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Gminy Legnica i pozostają w użytkowaniu wieczystym MERCUS Logistyka Sp. z o.o., należącej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do Grupy Kapitałowej KGHM Polska Miedź S.A.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Na terenie sprzedawanych nieruchomości prowadzona jest działalność przez Najemców: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sym w:font="Symbol" w:char="F0B7"/>
      </w: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ORANGE POLSKA S.A. maszt antenowy, umowa zawarta na czas oznaczony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do 31.12.2027r.;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sym w:font="Symbol" w:char="F0B7"/>
      </w: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Piast Patrol Sp. z o.o. – pomieszczenia biurowe, umowa zawarta na czas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nieoznaczony;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sym w:font="Symbol" w:char="F0B7"/>
      </w: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Piast Group Sp. z o.o. – pomieszczenia biurowe, umowa zawarta na czas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nieoznaczony;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sym w:font="Symbol" w:char="F0B7"/>
      </w: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Grudnik Sp. z o.o. – pomieszczenia handlowe i magazynowe, 2 umowy zawarte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na czas nieoznaczony;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sym w:font="Symbol" w:char="F0B7"/>
      </w: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Lean Technik Sp. z o.o. – pomieszczenia magazynowe, umowa zawarta na czas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nieoznaczony;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sym w:font="Symbol" w:char="F0B7"/>
      </w: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Piast Patrol Sp. z o.o. – pomieszczenia magazynowe, umowa zawarta na czas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nieoznaczony;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sym w:font="Symbol" w:char="F0B7"/>
      </w: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ROL-DEN – pomieszczenia usługowe - handel hurtowy, umowa zawarta na czas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nieoznaczony;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sym w:font="Symbol" w:char="F0B7"/>
      </w: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Alex – pomieszczenia magazynowo – biurowe, umowa zawarta na czas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lastRenderedPageBreak/>
        <w:t>nieoznaczony;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sym w:font="Symbol" w:char="F0B7"/>
      </w: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H&amp;J Promotions Sp. z o.o. – pomieszczenia magazynowe, umowa zawarta na czas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nieoznaczony;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sym w:font="Symbol" w:char="F0B7"/>
      </w: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HUMBAG – pomieszczenia magazynowe, umowa zawarta na czas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nieoznaczony;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sym w:font="Symbol" w:char="F0B7"/>
      </w: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Serwis Dźwigowy – pomieszczenia biurowo-magazynowe, umowa zawarta na czas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nieoznaczony;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sym w:font="Symbol" w:char="F0B7"/>
      </w: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JW Motors Warsztat Samochodowy – pomieszczenia usługowe, umowa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zawarta na czas nieoznaczony;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sym w:font="Symbol" w:char="F0B7"/>
      </w: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Elektroniczny Zakład Usługowy INVAR – pomieszczenia usługowe, umowa zawarta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na czas oznaczony do 10 lipca 2024r.;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sym w:font="Symbol" w:char="F0B7"/>
      </w: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Przedsiębiorstwo Produkcyjno-Handlowo-Usługowe „AMB” – pomieszczenia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magazynowe, umowa zawarta na czas nieoznaczony;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sym w:font="Symbol" w:char="F0B7"/>
      </w: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TECHMAK Sp. z o.o. – pomieszczenia magazynowe, umowa zawarta na czas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nieoznaczony.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Przystępujący do przetargu akceptując jego warunki zobowiązuje się jednocześnie zwolnić Organizatora przetargu z odpowiedzialności z tytułu roszczeń odszkodowawczych, wynikających z art. 679 § 1 ustawy z dnia 23 kwietnia 1964 roku Kodeks cywilny (t.j. Dz. U. z 2022 r. poz. 1360 z późn. zm.) w przypadku wystąpienia z takimi roszczeniami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przez najemców lokali, z którymi stosunek najmu zawarty jest na czas oznaczony, oraz wyraża zgodę na zawarcie zobowiązania o powyższej treści w postanowieniach umowy przeniesienia własności przedmiotowej nieruchomości.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Zgodnie z UCHWAŁĄ NR XXXIII/408/21 RADY MIEJSKIEJ LEGNICY z dnia 26 lipca 2021 r. w sprawie uchwalenia zmiany miejscowego planu zagospodarowania przestrzennego dzielnicy Tarninów dla terenu ograniczonego ulicami: Aleją 100-lecia Odzyskania Niepodległości, Jaworzyńską oraz rzeką Młynówką w Legnicy, przedmiotowa nieruchomość oznaczona jest symbolem 2U, stanowiącym tereny zabudowy usługowej. Dla powyższego terenu ustala się następujące przeznaczenie: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1) przeznaczenie podstawowe: tereny zabudowy usługowej;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2) przeznaczenie uzupełniające: zabudowa mieszkaniowa lub mieszkaniowo-usługowa,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infrastruktura techniczna, infrastruktura drogowa, zieleń urządzona;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3) zabudowa mieszkaniowa lub mieszkaniowo-usługowa może zajmować nie więcej niż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45% powierzchni terenu.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Dla ww. terenów, obowiązują następujące wskaźniki zagospodarowania terenu oraz parametry i zasady kształtowania zabudowy: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1) intensywność zabudowy działki budowlanej: 0,03– 1,90;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2) maksymalny wskaźnik zabudowy działki budowlanej: 0,60;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3) minimalna powierzchnia biologicznie czynna działki budowlanej: 20%;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4) dach: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a) na terenie 1U – płaski i / lub stromy (dwuspadowy),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b) na terenie 2U, budynków usytuowanych od strony ul. Jaworzyńskiej, przy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obowiązującej linii zabudowy – stromy (dwuspadowy),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c) na terenie 2U, budynków pozostałych (na zapleczu ul. Jaworzyńskiej) – płaski i / lub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stromy (dwuspadowy);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5) kąt nachylenia połaci dachu stromego: od 350 do 450,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6) maksymalna wysokość kalenicy: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a) na terenie 1U: 12 m,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b) na terenie 2U: 14 m;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7) maksymalna wysokość elewacji / attyki: 9 m;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8) linie zabudowy – zgodnie z rysunkiem zmiany planu, usytuowane w odległości od dróg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w granicach od 5 m do 14 m.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Na dachach budynków dopuszcza się lokalizację indywidualnych urządzeń wytwarzających energię na własne potrzeby z odnawialnego źródła energii, wykorzystujących wyłącznie energię promieniowania słonecznego, o mocy nieprzekraczającej: 1) 100 kW – instalowane na terenie oznaczonym symbolem: 4MW, </w:t>
      </w: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2U</w:t>
      </w: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, 3U i 1US; 2) 50 kW – na pozostałych terenach. Urządzenia, o których mowa powyżej, dopuszcza się tylko od strony zamkniętych wnętrz podwórzowych, niewidocznych od strony przestrzeni publicznej (ciągi piesze, drogi </w:t>
      </w: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lastRenderedPageBreak/>
        <w:t>komunikacyjne) z zachowaniem następujących zasad i parametrów: 1) wysokość urządzeń sytuowanych na dachach płaskich nie może przekroczyć 1 m.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 xml:space="preserve">II. Cena wywoławcza nieruchomości: </w:t>
      </w: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wynosi </w:t>
      </w: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 xml:space="preserve">4.200.000,00 zł </w:t>
      </w: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(słownie: cztery miliony dwieście tysięcy złotych 00/100).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III. Informacja o przetargu: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1. </w:t>
      </w: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Przetarg odbędzie się w dniu 23 sierpnia 2023r. o godz. 12.00 w Polkowicach,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w siedzibie Spółki, ul. Kopalniana 11 (Sala nr 12).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2. Warunkiem przystąpienia do przetargu jest wniesienie wadium oraz złożenie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pisemnego oświadczenia o akceptacji „Warunków przetargu” wraz z wymaganymi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w „Warunkach przetargu” dokumentami. Warunki przetargu i oświadczenie dostępne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po zgłoszeniu na adres e-mail: </w:t>
      </w:r>
      <w:r w:rsidRPr="00715385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pl-PL"/>
        </w:rPr>
        <w:t>ryszard.walacik@mercus.com.pl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3. Oświadczenie i dokumenty określone w pkt 2 należy złożyć w terminie </w:t>
      </w: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2-wóch dni roboczych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przed ogłoszoną datą przetargu w siedzibie Mercus Logistyka, 59-101 Polkowice,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ul. Kopalniana 11, pokój Registratury, w zamkniętej kopercie z dopiskiem: „</w:t>
      </w: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Oświadczenie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do Przetargu - Sprzedaż Nieruchomości w Legnicy, ul. Jaworzyńska 114-116”.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IV. Informacja o wadium: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1. Wadium w wysokości </w:t>
      </w: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 xml:space="preserve">210.000,00 zł </w:t>
      </w: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(słownie: dwieście dziesięć tysięcy złotych 00/100)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płatne przelewem w terminie nie później niż w terminie </w:t>
      </w: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 xml:space="preserve">2-wóch dni roboczych </w:t>
      </w: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przed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ogłoszoną datą przetargu na konto MERCUS Logistyka Sp. z o.o. nr </w:t>
      </w: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53 1090 2109 0000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0001 1065 5910</w:t>
      </w: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. Za termin wniesienia wadium uważa się dzień wpływu wadium na powyższe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konto.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2. Przelew bezwzględnie należy opisać</w:t>
      </w: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: „Wadium do sprzedaży nieruchomości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w Legnicy, ul. Jaworzyńska 114-116 – MERCUS Logistyka”.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3. Sprzedający nie wyraża zgody na wpłatę wadium w formie gotówkowej.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4. Wpłacone wadium: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a) nie podlega zwrotowi w razie uchylenia się osoby, która przetarg wygrała, od zawarcia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umowy notarialnej sprzedaży.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b) złożone przez nabywcę zostanie zaliczone na poczet ceny nabycia.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c) złożone przez pozostałych uczestników przetargu podlega zwrotowi w ciągu 7 dni od daty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zatwierdzenia Protokołu z przetargu, pod warunkiem uprzedniego złożenia przez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uczestników prawidłowo wypełnionej Instrukcji płatniczej zwrotu wadium.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d) nie podlega oprocentowaniu.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V. Informacja o umowie sprzedaży: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1. O terminie zawarcia umowy, w formie aktu notarialnego, wygrywający przetarg powiadomiony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zostanie na piśmie. Kancelaria notarialna, w której dojdzie do podpisania aktu zostanie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wybrana jednostronnie przez Sprzedającego.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2. Koszty związane ze sporządzeniem umowy notarialnej w tym podatku od czynności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cywilnoprawnych PCC oraz ujawnieniem w księdze wieczystej ponosi nabywca.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3. Protokolarne przekazanie przedmiotu umowy nastąpi w dniu podpisania aktu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notarialnego lub innym uzgodnionym terminie po zaksięgowaniu środków wpłaconych przez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nabywcę na rachunku bankowym Mercus Logistyka sp. z o.o.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4. </w:t>
      </w: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Warunkiem zawarcia umowy sprzedaży prawa użytkowania wieczystego oraz prawa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własności budynków będzie uzyskanie zgody Zgromadzenia Wspólników MERCUS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Logistyka Sp. z o.o. na zbycie nieruchomości na podstawie przeprowadzonego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postępowania przetargowego.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VI. Informacje dodatkowe: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1. MERCUS Logistyka sp. z o.o. zastrzega sobie prawo zamknięcia (odwołania)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przetargu bez podania przyczyny, na każdym etapie postępowania.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2. Postępowanie przetargowe nie podlega przepisom ustawy z dnia 11.09.2019 r. – Prawo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Zamówień Publicznych.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3. Uczestnik ponosi wszelkie koszty związane z uczestnictwem w przetargu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nieograniczonym, w tym koszty złożenia i przygotowania oferty, niezależnie od wyniku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postępowania.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4. Nieruchomość można oglądać w dni robocze w godzinach od 9.00 do 13.00 po uzgodnieniu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z następującymi pracownikami MERCUS Logistyka Sp. z o.o.; Ryszard Walacik – Koordynator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ds. Nieruchomości Komercyjnych, tel. 722 241 704.</w:t>
      </w:r>
    </w:p>
    <w:p w:rsidR="00DE0729" w:rsidRPr="00715385" w:rsidRDefault="00DE0729" w:rsidP="00363B92">
      <w:pPr>
        <w:spacing w:after="0" w:line="240" w:lineRule="auto"/>
        <w:jc w:val="both"/>
        <w:rPr>
          <w:rFonts w:ascii="Verdana" w:eastAsia="Times New Roman" w:hAnsi="Verdana" w:cs="Times New Roman"/>
          <w:bCs/>
          <w:color w:val="000000"/>
          <w:sz w:val="20"/>
          <w:szCs w:val="20"/>
          <w:lang w:eastAsia="pl-PL"/>
        </w:rPr>
      </w:pP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 xml:space="preserve">Wszelkich informacji dotyczących przetargu udziela Ryszard Walacik – Koordynator ds. Nieruchomości Komercyjnych, telefon: 722 241 704, e-mail: </w:t>
      </w:r>
      <w:r w:rsidRPr="00715385">
        <w:rPr>
          <w:rFonts w:ascii="Verdana" w:eastAsia="Times New Roman" w:hAnsi="Verdana" w:cs="Times New Roman"/>
          <w:b/>
          <w:bCs/>
          <w:color w:val="0000FF"/>
          <w:sz w:val="20"/>
          <w:szCs w:val="20"/>
          <w:lang w:eastAsia="pl-PL"/>
        </w:rPr>
        <w:t>ryszard.walacik@mercus.com.pl</w:t>
      </w:r>
      <w:r w:rsidRPr="007153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.</w:t>
      </w:r>
    </w:p>
    <w:sectPr w:rsidR="00DE0729" w:rsidRPr="00715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E04"/>
    <w:rsid w:val="00363B92"/>
    <w:rsid w:val="00715385"/>
    <w:rsid w:val="009032F7"/>
    <w:rsid w:val="00B51E04"/>
    <w:rsid w:val="00D662D3"/>
    <w:rsid w:val="00DE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B18D0-A5F1-421A-BC98-EF174FA5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51E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5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1399</Words>
  <Characters>8395</Characters>
  <Application>Microsoft Office Word</Application>
  <DocSecurity>4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Walacik Ryszard</dc:creator>
  <cp:keywords/>
  <dc:description/>
  <cp:lastModifiedBy>Blaszczak Anna</cp:lastModifiedBy>
  <cp:revision>2</cp:revision>
  <dcterms:created xsi:type="dcterms:W3CDTF">2023-06-27T10:52:00Z</dcterms:created>
  <dcterms:modified xsi:type="dcterms:W3CDTF">2023-06-27T10:52:00Z</dcterms:modified>
</cp:coreProperties>
</file>