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A53EADA" w14:textId="211D270A" w:rsidR="00837C5A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>w post</w:t>
      </w:r>
      <w:r w:rsidR="00CB67DB">
        <w:rPr>
          <w:rFonts w:ascii="Cambria" w:hAnsi="Cambria" w:cs="Arial"/>
          <w:sz w:val="22"/>
          <w:szCs w:val="22"/>
          <w:lang w:eastAsia="pl-PL"/>
        </w:rPr>
        <w:t>ę</w:t>
      </w:r>
      <w:r w:rsidR="003E77FA">
        <w:rPr>
          <w:rFonts w:ascii="Cambria" w:hAnsi="Cambria" w:cs="Arial"/>
          <w:sz w:val="22"/>
          <w:szCs w:val="22"/>
          <w:lang w:eastAsia="pl-PL"/>
        </w:rPr>
        <w:t>powaniu</w:t>
      </w:r>
      <w:r w:rsidR="00710F3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przeprowadzonym na </w:t>
      </w:r>
      <w:r w:rsidR="00710F3B">
        <w:rPr>
          <w:rFonts w:ascii="Cambria" w:hAnsi="Cambria" w:cs="Arial"/>
          <w:sz w:val="22"/>
          <w:szCs w:val="22"/>
          <w:lang w:eastAsia="pl-PL"/>
        </w:rPr>
        <w:t xml:space="preserve"> podstawie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Zarządzenia Nr 3/2021 Nadleśniczego Nadleśnictwa Siedlce z dnia 05.01.2021 r w sprawie wprowadzenia regulaminu udzielania zamówień publicznych o wartości szacunkowej zamówień nieprzekraczającej kwoty 130000 zł netto.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231C7766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7D5A8AF4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co jednak nie może być podstawą do jakichkolwiek roszczeń Wykonawcy w stosunku do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lastRenderedPageBreak/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sposobu postępowania przy stosowaniu i przechowywaniu środków ochrony roślin (Dz. U. z 2013 r. poz. 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lastRenderedPageBreak/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940FB6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lastRenderedPageBreak/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38DBD1A6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 zastrzeżeniem, że wskazany w Zleceniach termin wykonania prac w żadnym przypadku nie będzie późniejszy niż </w:t>
      </w:r>
      <w:r w:rsidR="006470AF">
        <w:rPr>
          <w:rFonts w:ascii="Cambria" w:hAnsi="Cambria" w:cs="Arial"/>
          <w:sz w:val="22"/>
          <w:szCs w:val="22"/>
          <w:lang w:eastAsia="pl-PL"/>
        </w:rPr>
        <w:t>31 maja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8C72C4">
        <w:rPr>
          <w:rFonts w:ascii="Cambria" w:hAnsi="Cambria" w:cs="Arial"/>
          <w:sz w:val="22"/>
          <w:szCs w:val="22"/>
          <w:lang w:eastAsia="pl-PL"/>
        </w:rPr>
        <w:t>4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r.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lastRenderedPageBreak/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5BDB509B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>
        <w:rPr>
          <w:rFonts w:ascii="Cambria" w:hAnsi="Cambria" w:cs="Arial"/>
          <w:sz w:val="22"/>
          <w:szCs w:val="22"/>
          <w:lang w:eastAsia="pl-PL"/>
        </w:rPr>
        <w:tab/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5F3A4E">
        <w:rPr>
          <w:rFonts w:ascii="Cambria" w:hAnsi="Cambria" w:cs="Arial"/>
          <w:b/>
          <w:bCs/>
          <w:sz w:val="22"/>
          <w:szCs w:val="22"/>
          <w:lang w:eastAsia="pl-PL"/>
        </w:rPr>
        <w:t>1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0B18AA">
        <w:rPr>
          <w:rFonts w:ascii="Cambria" w:hAnsi="Cambria" w:cs="Arial"/>
          <w:b/>
          <w:bCs/>
          <w:sz w:val="22"/>
          <w:szCs w:val="22"/>
          <w:lang w:eastAsia="pl-PL"/>
        </w:rPr>
        <w:t>sierpnia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0B4C2A13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1D3463C" w14:textId="3C83C3FC" w:rsidR="0013110C" w:rsidRPr="00A62D7E" w:rsidRDefault="004A4973" w:rsidP="00A62D7E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Wskazany w Zleceni</w:t>
      </w:r>
      <w:r w:rsidR="005F3A4E">
        <w:rPr>
          <w:rFonts w:ascii="Cambria" w:hAnsi="Cambria" w:cs="Arial"/>
          <w:sz w:val="22"/>
          <w:szCs w:val="22"/>
          <w:lang w:eastAsia="pl-PL"/>
        </w:rPr>
        <w:t>u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termin wykonania prac w żadnym przypadku nie będzie późniejszy niż </w:t>
      </w:r>
      <w:r w:rsidR="006470AF">
        <w:rPr>
          <w:rFonts w:ascii="Cambria" w:hAnsi="Cambria" w:cs="Arial"/>
          <w:sz w:val="22"/>
          <w:szCs w:val="22"/>
          <w:lang w:eastAsia="pl-PL"/>
        </w:rPr>
        <w:t>31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0B18AA">
        <w:rPr>
          <w:rFonts w:ascii="Cambria" w:hAnsi="Cambria" w:cs="Arial"/>
          <w:sz w:val="22"/>
          <w:szCs w:val="22"/>
          <w:lang w:eastAsia="pl-PL"/>
        </w:rPr>
        <w:t>sierpnia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202</w:t>
      </w:r>
      <w:r w:rsidR="00F8124F">
        <w:rPr>
          <w:rFonts w:ascii="Cambria" w:hAnsi="Cambria" w:cs="Arial"/>
          <w:sz w:val="22"/>
          <w:szCs w:val="22"/>
          <w:lang w:eastAsia="pl-PL"/>
        </w:rPr>
        <w:t>4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r.</w:t>
      </w: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lastRenderedPageBreak/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maty sorpcyjne itp.) do pochłaniania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77777777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5AB1A243" w14:textId="3EDC1716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3DD0645" w14:textId="4146414F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7D5C3C" w14:textId="77777777" w:rsidR="0017261D" w:rsidRPr="00A62D7E" w:rsidRDefault="0017261D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lastRenderedPageBreak/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AE60" w14:textId="77777777" w:rsidR="00940FB6" w:rsidRDefault="00940FB6">
      <w:r>
        <w:separator/>
      </w:r>
    </w:p>
  </w:endnote>
  <w:endnote w:type="continuationSeparator" w:id="0">
    <w:p w14:paraId="1C832CDE" w14:textId="77777777" w:rsidR="00940FB6" w:rsidRDefault="009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2113C838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058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5C24" w14:textId="77777777" w:rsidR="00940FB6" w:rsidRDefault="00940FB6">
      <w:r>
        <w:separator/>
      </w:r>
    </w:p>
  </w:footnote>
  <w:footnote w:type="continuationSeparator" w:id="0">
    <w:p w14:paraId="6F1F32AC" w14:textId="77777777" w:rsidR="00940FB6" w:rsidRDefault="00940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C2"/>
    <w:rsid w:val="0017261D"/>
    <w:rsid w:val="0017482C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058F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0FB6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17D7-C7CC-4318-B4E1-EC167F9A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4119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2024-06-12T10:42:00Z</dcterms:created>
  <dcterms:modified xsi:type="dcterms:W3CDTF">2024-06-12T10:42:00Z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