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471170</wp:posOffset>
            </wp:positionH>
            <wp:positionV relativeFrom="paragraph">
              <wp:posOffset>-50800</wp:posOffset>
            </wp:positionV>
            <wp:extent cx="719455" cy="780415"/>
            <wp:wrapSquare wrapText="bothSides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19455" cy="78041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7"/>
        </w:rPr>
        <w:t>Minister</w:t>
      </w:r>
      <w:bookmarkEnd w:id="0"/>
    </w:p>
    <w:p>
      <w:pPr>
        <w:pStyle w:val="Style6"/>
        <w:keepNext/>
        <w:keepLines/>
        <w:widowControl w:val="0"/>
        <w:shd w:val="clear" w:color="auto" w:fill="auto"/>
        <w:bidi w:val="0"/>
        <w:spacing w:before="0" w:after="340" w:line="216" w:lineRule="auto"/>
        <w:ind w:left="0" w:right="0" w:firstLine="0"/>
        <w:jc w:val="left"/>
      </w:pPr>
      <w:r>
        <w:rPr>
          <w:rStyle w:val="CharStyle7"/>
        </w:rPr>
        <w:t>Klimatu i Środowiska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9"/>
        </w:rPr>
        <w:t>DOP-WŚ.053.6.2026.KB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9"/>
          <w:sz w:val="18"/>
          <w:szCs w:val="18"/>
        </w:rPr>
        <w:t>4453847.18650271.15016527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both"/>
      </w:pPr>
      <w:r>
        <w:rPr>
          <w:rStyle w:val="CharStyle9"/>
        </w:rPr>
        <w:t>Warszawa, 24-08-2026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78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9"/>
          <w:b/>
          <w:bCs/>
          <w:sz w:val="18"/>
          <w:szCs w:val="18"/>
        </w:rPr>
        <w:t xml:space="preserve">Dotyczy: </w:t>
      </w:r>
      <w:r>
        <w:rPr>
          <w:rStyle w:val="CharStyle9"/>
          <w:sz w:val="18"/>
          <w:szCs w:val="18"/>
        </w:rPr>
        <w:t>petycji w sprawie uznania dróg dla pieszych, dróg dla pieszych i rowerów, dróg dla rowerów za niestanowiące przedsięwzięć mogących potencjalnie znacząco oddziaływać na środowisko wyłącznie z tego powodu, że ich długość przekracza 1 km.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9"/>
        </w:rPr>
        <w:t>Szanowny Panie Prezesie,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9"/>
        </w:rPr>
        <w:t>po przeanalizowaniu przesłanej przez reprezentowaną przez Pana Fundację petycji w sprawie uznania dróg dla pieszych, dróg dla pieszych i rowerów, dróg dla rowerów za niestanowiące przedsięwzięć mogących potencjalnie znacząco oddziaływać na środowisko wyłącznie z tego powodu, że ich długość przekracza 1 km informuję, iż zasługuje ona na częściowe uwzględnienie.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3" w:name="bookmark3"/>
      <w:r>
        <w:rPr>
          <w:rStyle w:val="CharStyle13"/>
          <w:b/>
          <w:bCs/>
        </w:rPr>
        <w:t>Uzasadnienie</w:t>
      </w:r>
      <w:bookmarkEnd w:id="3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both"/>
      </w:pPr>
      <w:r>
        <w:rPr>
          <w:rStyle w:val="CharStyle9"/>
        </w:rPr>
        <w:t>Rozbieżności w zakresie kwalifikacji dróg dla rowerów do przedsięwzięć są znane organom ochrony środowiska, w tym Generalnej Dyrekcji Ochrony Środowiska (zwanej dalej „GDOŚ”), które także podzielają postulat petycji, o konieczności zmiany § 3 ust. 1 pkt 62 rozporządzenia Rady Ministrów z dnia 10 września 2019 r. w sprawie przedsięwzięć mogących znacząco oddziaływać na środowisko</w:t>
      </w:r>
      <w:r>
        <w:rPr>
          <w:rStyle w:val="CharStyle9"/>
          <w:vertAlign w:val="superscript"/>
        </w:rPr>
        <w:t>1</w:t>
      </w:r>
      <w:r>
        <w:rPr>
          <w:rStyle w:val="CharStyle9"/>
        </w:rPr>
        <w:t xml:space="preserve"> i wyeliminowaniu wątpliwości interpretacyjnych w tym zakresie. Jednak ze względu na docierające do organów informacje, brane jest pod uwagę takie rozwiązanie, w którym w pewnych przypadkach takie drogi będą kwalifikowane jako przedsięwzięcia mogące potencjalnie znacząco oddziaływać na środowisko.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780"/>
        <w:ind w:left="0" w:right="0" w:firstLine="0"/>
        <w:jc w:val="both"/>
      </w:pPr>
      <w:r>
        <w:rPr>
          <w:rStyle w:val="CharStyle9"/>
        </w:rPr>
        <w:t>W tym miejscu chciałbym zaznaczyć, iż pilne podjęcie działań legislacyjnych, o które Pana Fundacja wnosi, nie jest możliwe z uwagi na obecnie realizowane zadania i plany legislacyjne, które zakładają wprowadzenie szerszych zmian aniżeli w § 3 ust. 1 pkt 62 wspomnianego rozporządzenia. Aktualnie trwają zaawansowane prace nad procedowanym projektem ustawy o zmianie ustawy o udostępnianiu informacji o środowisku i jego ochronie, udziale społeczeństwa w ochronie środowiska oraz o ocenach oddziaływania na środowisko oraz niektórych innych ustaw (UD224), w którym zakłada się zmianę upoważnienia do wydania rozporządzenia w sprawie przedsięwzięć mogących znacząco oddziaływać na środowisko, co oznacza, że w najbliższym czasie rozpocznie się proces legislacyjny dotyczący opracowania nowego rozporządzenia w sprawie przedsięwzięć mogących znacząco oddziaływać na środowisko. W ramach tego procesu rozważane będą propozycje legislacyjne, które do tej pory zostały skierowane do resortu środowiska, w tym te dotyczące problematyki przedstawionej w petycji a także zostanie przeprowadzona właściwa analiza wskazanego zagadnienia. Przedmiotowy projekt rozporządzenia będzie również przedmiotem konsultacji publicznych i opiniowania, w ramach, których zainteresowane podmioty będą mogły składać wnioski i uwagi.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9"/>
          <w:sz w:val="18"/>
          <w:szCs w:val="18"/>
          <w:vertAlign w:val="superscript"/>
        </w:rPr>
        <w:t>1</w:t>
      </w:r>
      <w:r>
        <w:rPr>
          <w:rStyle w:val="CharStyle9"/>
          <w:sz w:val="18"/>
          <w:szCs w:val="18"/>
        </w:rPr>
        <w:t xml:space="preserve"> (Dz. U. z 2019 r. poz. 1839)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4488180</wp:posOffset>
                </wp:positionH>
                <wp:positionV relativeFrom="paragraph">
                  <wp:posOffset>12700</wp:posOffset>
                </wp:positionV>
                <wp:extent cx="1795145" cy="27749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7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6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40000000000003pt;margin-top:1.pt;width:141.34999999999999pt;height:21.850000000000001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2379345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34999999999999pt;margin-top:9.pt;width:221.30000000000001pt;height:10.300000000000001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5" w:name="bookmark5"/>
      <w:r>
        <w:rPr>
          <w:rStyle w:val="CharStyle13"/>
          <w:b/>
          <w:bCs/>
        </w:rPr>
        <w:t>Podstawa prawna:</w:t>
      </w:r>
      <w:bookmarkEnd w:id="5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Art. 12 i 13 ustawy z dnia 11 lipca 2014 r. o petycjach.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7" w:name="bookmark7"/>
      <w:r>
        <w:rPr>
          <w:rStyle w:val="CharStyle13"/>
          <w:b/>
          <w:bCs/>
        </w:rPr>
        <w:t>Pouczenie:</w:t>
      </w:r>
      <w:bookmarkEnd w:id="7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r>
        <w:rPr>
          <w:rStyle w:val="CharStyle9"/>
        </w:rPr>
        <w:t>Informuję, że na sposób załatwienia petycji nie służy Panu prawo wniesienia skargi w trybie określonym w Rozdziale 2 Działu VIII Kodeksu postępowania administracyjnego.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800"/>
        <w:ind w:left="0" w:right="0" w:firstLine="0"/>
        <w:jc w:val="left"/>
      </w:pPr>
      <w:r>
        <w:rPr>
          <w:rStyle w:val="CharStyle9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r>
        <w:rPr>
          <w:rStyle w:val="CharStyle9"/>
        </w:rPr>
        <w:t>Z wyrazami szacunku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Z up. Ministra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Wojciech Hurkała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Zastępca Dyrektora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Departament Ochrony Przyrody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Ministerstwo Klimatu i Środowiska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040"/>
        <w:ind w:left="0" w:right="0" w:firstLine="0"/>
        <w:jc w:val="left"/>
      </w:pPr>
      <w:r>
        <w:rPr>
          <w:rStyle w:val="CharStyle9"/>
        </w:rPr>
        <w:t>/ – podpisany cyfrowo/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  <w:sectPr>
          <w:footerReference w:type="default" r:id="rId7"/>
          <w:footerReference w:type="first" r:id="rId8"/>
          <w:footnotePr>
            <w:pos w:val="pageBottom"/>
            <w:numFmt w:val="decimal"/>
            <w:numRestart w:val="continuous"/>
          </w:footnotePr>
          <w:pgSz w:w="11900" w:h="16840"/>
          <w:pgMar w:top="748" w:right="1947" w:bottom="805" w:left="1937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w:rPr>
          <w:rStyle w:val="CharStyle9"/>
          <w:u w:val="single"/>
        </w:rPr>
        <w:t>Do wiadomości</w:t>
      </w:r>
      <w:r>
        <w:rPr>
          <w:rStyle w:val="CharStyle9"/>
        </w:rPr>
        <w:t>: Biuro Kontroli i Audytu MKiŚ.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3"/>
          <w:b/>
          <w:bCs/>
        </w:rPr>
        <w:t>Klauzula informacyjna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3"/>
          <w:b/>
          <w:bCs/>
        </w:rPr>
        <w:t>dotycząca przetwarzania danych osobowych osób wnoszących petycję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Tożsamość administratora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Administratorem Pani/Pana danych osobowych jest 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adres eDoręczeń: AE:PL-76338-88700-JTFJE-30</w:t>
      </w:r>
    </w:p>
    <w:p>
      <w:pPr>
        <w:pStyle w:val="Style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21"/>
          <w:rFonts w:ascii="Arial" w:eastAsia="Arial" w:hAnsi="Arial" w:cs="Arial"/>
          <w:sz w:val="15"/>
          <w:szCs w:val="15"/>
        </w:rPr>
        <w:t xml:space="preserve">poprzez e-mail: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21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telefonicznie: 22 36 92 900.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Dane kontaktowe inspektora ochrony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Cele przetwarzania danych osobowych i podstawa prawna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Odbiorcy danych osobowych lub kategorie odbiorców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adres: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inspektor.ochrony.danych@klimat.gov.pl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Okres przechowywania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Pani/Pana dane osobowe będą przechowywane przez okres niezbędny do realizacji celu przetwarzania, a następnie: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w przypadku realizacji sprawy przez Ministerstwo Klimatu i Środowiska – 25 lat (kat. archiwalna A)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w przypadku przekazania petycji innemu podmiotowi, zgodnie z właściwością – 2 lata (kat. archiwalna B2) na podstawie Instrukcji Kancelaryjnej obowiązującej w Ministerstwie Klimatu i Środowiska) i przepisów ustawy z dnia 14 lipca 1983 r. o narodowym zasobie archiwalnym i archiwach.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Przysługujące uprawnienia związane z przetwarzaniem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160" w:right="0" w:hanging="160"/>
        <w:jc w:val="both"/>
      </w:pPr>
      <w:r>
        <w:rPr>
          <w:rStyle w:val="CharStyle3"/>
        </w:rPr>
        <w:t>prawo do wniesienia skargi do Prezesa Urzędu Ochrony Danych Osobowych (ul. Moniuszki 1A, 00-014 Warszawa), jeśli uzna Pani/Pan że przetwarzamy Pani/Pana dane osobowe niezgodnie z prawem.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Informacja o przekazywaniu danych osobowych do państw trzecich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Nie przekazujemy Pani/Pana danych osobowych do państw trzecich.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Informacja o profilowaniu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Informacja o dowolności lub obowiązku podania danych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Podanie przez Panią/Pana danych osobowych jest wymogiem ustawowym. Skutkiem niepodania danych osobowych będzie pozostawienie petycji bez rozpoznania.</w:t>
      </w:r>
    </w:p>
    <w:sectPr>
      <w:footnotePr>
        <w:pos w:val="pageBottom"/>
        <w:numFmt w:val="decimal"/>
        <w:numRestart w:val="continuous"/>
      </w:footnotePr>
      <w:pgSz w:w="11900" w:h="16840"/>
      <w:pgMar w:top="2094" w:right="1962" w:bottom="2094" w:left="1952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3752215</wp:posOffset>
              </wp:positionH>
              <wp:positionV relativeFrom="page">
                <wp:posOffset>10245725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fldSimple w:instr=" PAGE \* MERGEFORMAT ">
                            <w:r>
                              <w:rPr>
                                <w:rStyle w:val="CharStyle15"/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44999999999999pt;margin-top:806.75pt;width:3.8500000000000001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fldSimple w:instr=" PAGE \* MERGEFORMAT ">
                      <w:r>
                        <w:rPr>
                          <w:rStyle w:val="CharStyle15"/>
                          <w:rFonts w:ascii="Arial" w:eastAsia="Arial" w:hAnsi="Arial" w:cs="Arial"/>
                          <w:sz w:val="15"/>
                          <w:szCs w:val="15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5">
    <w:name w:val="Tekst treści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Nagłówek #1_"/>
    <w:basedOn w:val="DefaultParagraphFont"/>
    <w:link w:val="Style6"/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9">
    <w:name w:val="Tekst treści (2)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Nagłówek #2_"/>
    <w:basedOn w:val="DefaultParagraphFont"/>
    <w:link w:val="Style12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5">
    <w:name w:val="Nagłówek lub stopka (2)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1">
    <w:name w:val="Tekst treści (4)_"/>
    <w:basedOn w:val="DefaultParagraphFont"/>
    <w:link w:val="Sty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auto"/>
      <w:spacing w:line="307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4">
    <w:name w:val="Tekst treści (3)"/>
    <w:basedOn w:val="Normal"/>
    <w:link w:val="CharStyle5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6">
    <w:name w:val="Nagłówek #1"/>
    <w:basedOn w:val="Normal"/>
    <w:link w:val="CharStyle7"/>
    <w:pPr>
      <w:widowControl w:val="0"/>
      <w:shd w:val="clear" w:color="auto" w:fill="auto"/>
      <w:spacing w:after="170" w:line="228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Style8">
    <w:name w:val="Tekst treści (2)"/>
    <w:basedOn w:val="Normal"/>
    <w:link w:val="CharStyle9"/>
    <w:pPr>
      <w:widowControl w:val="0"/>
      <w:shd w:val="clear" w:color="auto" w:fill="auto"/>
      <w:spacing w:after="18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2">
    <w:name w:val="Nagłówek #2"/>
    <w:basedOn w:val="Normal"/>
    <w:link w:val="CharStyle13"/>
    <w:pPr>
      <w:widowControl w:val="0"/>
      <w:shd w:val="clear" w:color="auto" w:fill="auto"/>
      <w:spacing w:after="80" w:line="264" w:lineRule="auto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4">
    <w:name w:val="Nagłówek lub stopka (2)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0">
    <w:name w:val="Tekst treści (4)"/>
    <w:basedOn w:val="Normal"/>
    <w:link w:val="CharStyle21"/>
    <w:pPr>
      <w:widowControl w:val="0"/>
      <w:shd w:val="clear" w:color="auto" w:fill="auto"/>
      <w:spacing w:line="307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