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0EC0C" w14:textId="0F20CBF7" w:rsidR="000C7BC2" w:rsidRDefault="000C7BC2" w:rsidP="003A46B0">
      <w:pPr>
        <w:autoSpaceDE w:val="0"/>
        <w:autoSpaceDN w:val="0"/>
        <w:adjustRightInd w:val="0"/>
        <w:rPr>
          <w:sz w:val="22"/>
          <w:szCs w:val="28"/>
        </w:rPr>
      </w:pPr>
      <w:r w:rsidRPr="003B7CF8">
        <w:rPr>
          <w:sz w:val="22"/>
          <w:szCs w:val="28"/>
        </w:rPr>
        <w:t>Załącznik</w:t>
      </w:r>
      <w:r w:rsidR="00D5386C">
        <w:rPr>
          <w:sz w:val="22"/>
          <w:szCs w:val="28"/>
        </w:rPr>
        <w:t xml:space="preserve"> </w:t>
      </w:r>
      <w:r>
        <w:rPr>
          <w:sz w:val="22"/>
          <w:szCs w:val="28"/>
        </w:rPr>
        <w:t>B.77.</w:t>
      </w:r>
    </w:p>
    <w:p w14:paraId="0A9C73BC" w14:textId="77777777" w:rsidR="000C7BC2" w:rsidRPr="00A93EDB" w:rsidRDefault="000C7BC2" w:rsidP="003A46B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F10B1F0" w14:textId="6D2140E4" w:rsidR="00F42C4B" w:rsidRPr="000C7BC2" w:rsidRDefault="00C56227" w:rsidP="000C7BC2">
      <w:pPr>
        <w:autoSpaceDE w:val="0"/>
        <w:autoSpaceDN w:val="0"/>
        <w:adjustRightInd w:val="0"/>
        <w:spacing w:after="240"/>
        <w:rPr>
          <w:b/>
          <w:sz w:val="28"/>
          <w:szCs w:val="28"/>
        </w:rPr>
      </w:pPr>
      <w:r w:rsidRPr="00C56227">
        <w:rPr>
          <w:b/>
          <w:sz w:val="28"/>
          <w:szCs w:val="28"/>
        </w:rPr>
        <w:t>LECZENIE CHORYCH NA CHŁONIAKI CD30+ (C 81; C 84.5)</w:t>
      </w:r>
    </w:p>
    <w:tbl>
      <w:tblPr>
        <w:tblW w:w="5000" w:type="pct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947"/>
        <w:gridCol w:w="3544"/>
        <w:gridCol w:w="5891"/>
      </w:tblGrid>
      <w:tr w:rsidR="003A46B0" w:rsidRPr="00AC4233" w14:paraId="0FBD4E0C" w14:textId="77777777" w:rsidTr="008D54DE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71855" w14:textId="38901F8C" w:rsidR="003A46B0" w:rsidRPr="00AC4233" w:rsidRDefault="003A46B0" w:rsidP="00A9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233">
              <w:rPr>
                <w:b/>
                <w:bCs/>
                <w:sz w:val="20"/>
                <w:szCs w:val="20"/>
              </w:rPr>
              <w:t>ZAKRES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C4233">
              <w:rPr>
                <w:b/>
                <w:bCs/>
                <w:sz w:val="20"/>
                <w:szCs w:val="20"/>
              </w:rPr>
              <w:t>ŚWIADCZENIA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C4233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D5386C" w:rsidRPr="00AC4233" w14:paraId="5BE60898" w14:textId="77777777" w:rsidTr="00C56227">
        <w:trPr>
          <w:trHeight w:val="567"/>
          <w:jc w:val="center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7DBAD" w14:textId="77777777" w:rsidR="003A46B0" w:rsidRPr="00AC4233" w:rsidRDefault="003A46B0" w:rsidP="00A9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4233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37A53" w14:textId="48A60BF1" w:rsidR="003A46B0" w:rsidRPr="00AC4233" w:rsidRDefault="00D5386C" w:rsidP="00A9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C7BC2">
              <w:rPr>
                <w:b/>
                <w:bCs/>
                <w:sz w:val="20"/>
                <w:szCs w:val="20"/>
              </w:rPr>
              <w:t>SCHEMAT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C7BC2">
              <w:rPr>
                <w:b/>
                <w:bCs/>
                <w:sz w:val="20"/>
                <w:szCs w:val="20"/>
              </w:rPr>
              <w:t>DAWKOWANIA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C7BC2">
              <w:rPr>
                <w:b/>
                <w:bCs/>
                <w:sz w:val="20"/>
                <w:szCs w:val="20"/>
              </w:rPr>
              <w:t>LEKÓW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C7BC2">
              <w:rPr>
                <w:b/>
                <w:bCs/>
                <w:sz w:val="20"/>
                <w:szCs w:val="20"/>
              </w:rPr>
              <w:t>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A46B0" w:rsidRPr="00AC4233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C544" w14:textId="77777777" w:rsidR="00D5386C" w:rsidRDefault="00D5386C" w:rsidP="00A93E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46B0" w:rsidRPr="00AC4233">
              <w:rPr>
                <w:b/>
                <w:bCs/>
                <w:sz w:val="20"/>
                <w:szCs w:val="20"/>
              </w:rPr>
              <w:t>BAD</w:t>
            </w:r>
            <w:r w:rsidR="000C7BC2">
              <w:rPr>
                <w:b/>
                <w:bCs/>
                <w:sz w:val="20"/>
                <w:szCs w:val="20"/>
              </w:rPr>
              <w:t>ANIA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C7BC2">
              <w:rPr>
                <w:b/>
                <w:bCs/>
                <w:sz w:val="20"/>
                <w:szCs w:val="20"/>
              </w:rPr>
              <w:t>DIAGNOSTYCZNE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C7BC2">
              <w:rPr>
                <w:b/>
                <w:bCs/>
                <w:sz w:val="20"/>
                <w:szCs w:val="20"/>
              </w:rPr>
              <w:t>WYKONYWANE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6E58B35E" w14:textId="07DF5A4C" w:rsidR="003A46B0" w:rsidRPr="00AC4233" w:rsidRDefault="000C7BC2" w:rsidP="00A93E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3A46B0" w:rsidRPr="00AC4233">
              <w:rPr>
                <w:b/>
                <w:bCs/>
                <w:sz w:val="20"/>
                <w:szCs w:val="20"/>
              </w:rPr>
              <w:t>RAMACH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3A46B0" w:rsidRPr="00AC4233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D5386C" w:rsidRPr="00AC4233" w14:paraId="19C6AF8E" w14:textId="77777777" w:rsidTr="00C56227">
        <w:trPr>
          <w:trHeight w:val="20"/>
          <w:jc w:val="center"/>
        </w:trPr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9B58" w14:textId="2D377AA1" w:rsidR="005D1CEA" w:rsidRPr="00A93EDB" w:rsidRDefault="005D1CEA" w:rsidP="008D54DE">
            <w:pPr>
              <w:pStyle w:val="Akapitzlist"/>
              <w:numPr>
                <w:ilvl w:val="0"/>
                <w:numId w:val="17"/>
              </w:numPr>
              <w:spacing w:before="120" w:after="6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Leczenie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pacjentów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chłoniakiem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53AFA" w:rsidRPr="00A93EDB">
              <w:rPr>
                <w:b/>
                <w:bCs/>
                <w:color w:val="000000" w:themeColor="text1"/>
                <w:sz w:val="20"/>
                <w:szCs w:val="20"/>
              </w:rPr>
              <w:t>Hodgkina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CD30+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0639C" w:rsidRPr="00A93EDB">
              <w:rPr>
                <w:b/>
                <w:bCs/>
                <w:color w:val="000000" w:themeColor="text1"/>
                <w:sz w:val="20"/>
                <w:szCs w:val="20"/>
              </w:rPr>
              <w:t>(HL)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0639C" w:rsidRPr="00A93EDB">
              <w:rPr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0639C" w:rsidRPr="00A93EDB">
              <w:rPr>
                <w:b/>
                <w:bCs/>
                <w:color w:val="000000" w:themeColor="text1"/>
                <w:sz w:val="20"/>
                <w:szCs w:val="20"/>
              </w:rPr>
              <w:t>układowym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F0639C" w:rsidRPr="00A93EDB">
              <w:rPr>
                <w:b/>
                <w:bCs/>
                <w:color w:val="000000" w:themeColor="text1"/>
                <w:sz w:val="20"/>
                <w:szCs w:val="20"/>
              </w:rPr>
              <w:t>chłoniakiem</w:t>
            </w:r>
            <w:proofErr w:type="spellEnd"/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anaplastycznym</w:t>
            </w:r>
            <w:proofErr w:type="spellEnd"/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z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dużych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komórek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CD30+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sALCL</w:t>
            </w:r>
            <w:proofErr w:type="spellEnd"/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przy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wykorzystaniu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B14D27" w:rsidRPr="00A93EDB">
              <w:rPr>
                <w:b/>
                <w:bCs/>
                <w:color w:val="000000" w:themeColor="text1"/>
                <w:sz w:val="20"/>
                <w:szCs w:val="20"/>
              </w:rPr>
              <w:t>ubstancji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14D27" w:rsidRPr="00A93EDB">
              <w:rPr>
                <w:b/>
                <w:bCs/>
                <w:color w:val="000000" w:themeColor="text1"/>
                <w:sz w:val="20"/>
                <w:szCs w:val="20"/>
              </w:rPr>
              <w:t>czynnej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4D27" w:rsidRPr="00A93EDB">
              <w:rPr>
                <w:b/>
                <w:bCs/>
                <w:color w:val="000000" w:themeColor="text1"/>
                <w:sz w:val="20"/>
                <w:szCs w:val="20"/>
              </w:rPr>
              <w:t>brentuksymab</w:t>
            </w:r>
            <w:proofErr w:type="spellEnd"/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14D27" w:rsidRPr="00A93EDB">
              <w:rPr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edotin</w:t>
            </w:r>
            <w:proofErr w:type="spellEnd"/>
          </w:p>
          <w:p w14:paraId="504DFD03" w14:textId="3B0F75DB" w:rsidR="008D54DE" w:rsidRPr="008D54DE" w:rsidRDefault="005D1CEA" w:rsidP="008D54DE">
            <w:pPr>
              <w:pStyle w:val="Akapitzlist"/>
              <w:widowControl w:val="0"/>
              <w:numPr>
                <w:ilvl w:val="1"/>
                <w:numId w:val="17"/>
              </w:numPr>
              <w:spacing w:after="60"/>
              <w:contextualSpacing w:val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54DE">
              <w:rPr>
                <w:b/>
                <w:bCs/>
                <w:color w:val="000000" w:themeColor="text1"/>
                <w:sz w:val="20"/>
                <w:szCs w:val="20"/>
              </w:rPr>
              <w:t>Kryteria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b/>
                <w:bCs/>
                <w:color w:val="000000" w:themeColor="text1"/>
                <w:sz w:val="20"/>
                <w:szCs w:val="20"/>
              </w:rPr>
              <w:t>kwalifikacji</w:t>
            </w:r>
          </w:p>
          <w:p w14:paraId="1CC229FA" w14:textId="2662B0C8" w:rsidR="005D1CEA" w:rsidRPr="008D54DE" w:rsidRDefault="008D54DE" w:rsidP="008D54DE">
            <w:pPr>
              <w:widowControl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1.1.1.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Do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leczenia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D1CEA" w:rsidRPr="008D54DE">
              <w:rPr>
                <w:color w:val="000000" w:themeColor="text1"/>
                <w:sz w:val="20"/>
                <w:szCs w:val="20"/>
              </w:rPr>
              <w:t>brentuksymabem</w:t>
            </w:r>
            <w:proofErr w:type="spellEnd"/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ramach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programu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kwalifikują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się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41F6" w:rsidRPr="008D54DE">
              <w:rPr>
                <w:color w:val="000000" w:themeColor="text1"/>
                <w:sz w:val="20"/>
                <w:szCs w:val="20"/>
              </w:rPr>
              <w:t>pacjenci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2179" w:rsidRPr="008D54DE">
              <w:rPr>
                <w:color w:val="000000" w:themeColor="text1"/>
                <w:sz w:val="20"/>
                <w:szCs w:val="20"/>
              </w:rPr>
              <w:t>z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2179" w:rsidRPr="008D54DE">
              <w:rPr>
                <w:color w:val="000000" w:themeColor="text1"/>
                <w:sz w:val="20"/>
                <w:szCs w:val="20"/>
              </w:rPr>
              <w:t>potwierdzonym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2179" w:rsidRPr="008D54DE">
              <w:rPr>
                <w:color w:val="000000" w:themeColor="text1"/>
                <w:sz w:val="20"/>
                <w:szCs w:val="20"/>
              </w:rPr>
              <w:t>histologicznie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2179" w:rsidRPr="008D54DE">
              <w:rPr>
                <w:color w:val="000000" w:themeColor="text1"/>
                <w:sz w:val="20"/>
                <w:szCs w:val="20"/>
              </w:rPr>
              <w:t>chłoniakiem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2179" w:rsidRPr="008D54DE">
              <w:rPr>
                <w:color w:val="000000" w:themeColor="text1"/>
                <w:sz w:val="20"/>
                <w:szCs w:val="20"/>
              </w:rPr>
              <w:t>Hodgkina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935C4F" w:rsidRPr="008D54DE">
              <w:rPr>
                <w:color w:val="000000" w:themeColor="text1"/>
                <w:sz w:val="20"/>
                <w:szCs w:val="20"/>
              </w:rPr>
              <w:t>spełni</w:t>
            </w:r>
            <w:r w:rsidR="00283940" w:rsidRPr="008D54DE">
              <w:rPr>
                <w:color w:val="000000" w:themeColor="text1"/>
                <w:sz w:val="20"/>
                <w:szCs w:val="20"/>
              </w:rPr>
              <w:t>ający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1986" w:rsidRPr="008D54DE">
              <w:rPr>
                <w:color w:val="000000" w:themeColor="text1"/>
                <w:sz w:val="20"/>
                <w:szCs w:val="20"/>
              </w:rPr>
              <w:t>kryterium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1986" w:rsidRPr="008D54DE">
              <w:rPr>
                <w:color w:val="000000" w:themeColor="text1"/>
                <w:sz w:val="20"/>
                <w:szCs w:val="20"/>
              </w:rPr>
              <w:t>1)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1986" w:rsidRPr="008D54DE">
              <w:rPr>
                <w:color w:val="000000" w:themeColor="text1"/>
                <w:sz w:val="20"/>
                <w:szCs w:val="20"/>
              </w:rPr>
              <w:t>albo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641986" w:rsidRPr="008D54DE">
              <w:rPr>
                <w:color w:val="000000" w:themeColor="text1"/>
                <w:sz w:val="20"/>
                <w:szCs w:val="20"/>
              </w:rPr>
              <w:t>2)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83940" w:rsidRPr="008D54DE">
              <w:rPr>
                <w:color w:val="000000" w:themeColor="text1"/>
                <w:sz w:val="20"/>
                <w:szCs w:val="20"/>
              </w:rPr>
              <w:t>:</w:t>
            </w:r>
          </w:p>
          <w:p w14:paraId="5FD1125E" w14:textId="43721625" w:rsidR="005D1CEA" w:rsidRDefault="008D54DE" w:rsidP="008D54DE">
            <w:pPr>
              <w:widowControl w:val="0"/>
              <w:numPr>
                <w:ilvl w:val="2"/>
                <w:numId w:val="17"/>
              </w:numPr>
              <w:tabs>
                <w:tab w:val="left" w:pos="331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</w:t>
            </w:r>
            <w:r w:rsidR="005D1CEA" w:rsidRPr="00935C4F">
              <w:rPr>
                <w:b/>
                <w:color w:val="000000" w:themeColor="text1"/>
                <w:sz w:val="20"/>
                <w:szCs w:val="20"/>
              </w:rPr>
              <w:t>awrotowy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b/>
                <w:color w:val="000000" w:themeColor="text1"/>
                <w:sz w:val="20"/>
                <w:szCs w:val="20"/>
              </w:rPr>
              <w:t>oporny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5C4F">
              <w:rPr>
                <w:b/>
                <w:color w:val="000000" w:themeColor="text1"/>
                <w:sz w:val="20"/>
                <w:szCs w:val="20"/>
              </w:rPr>
              <w:t>na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5C4F">
              <w:rPr>
                <w:b/>
                <w:color w:val="000000" w:themeColor="text1"/>
                <w:sz w:val="20"/>
                <w:szCs w:val="20"/>
              </w:rPr>
              <w:t>leczenie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1986">
              <w:rPr>
                <w:b/>
                <w:color w:val="000000" w:themeColor="text1"/>
                <w:sz w:val="20"/>
                <w:szCs w:val="20"/>
              </w:rPr>
              <w:t>HL</w:t>
            </w:r>
            <w:r w:rsidR="00B17AF0" w:rsidRPr="008D54DE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BA82FA" w14:textId="57776094" w:rsidR="00923672" w:rsidRDefault="00B74AC5" w:rsidP="008D54DE">
            <w:pPr>
              <w:widowControl w:val="0"/>
              <w:numPr>
                <w:ilvl w:val="3"/>
                <w:numId w:val="17"/>
              </w:numPr>
              <w:tabs>
                <w:tab w:val="left" w:pos="1133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17489">
              <w:rPr>
                <w:color w:val="000000" w:themeColor="text1"/>
                <w:sz w:val="20"/>
                <w:szCs w:val="20"/>
              </w:rPr>
              <w:t>po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autologicznym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przeszczepieniu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komórek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macierzystych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szpiku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(ang.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7489">
              <w:rPr>
                <w:i/>
                <w:iCs/>
                <w:color w:val="000000" w:themeColor="text1"/>
                <w:sz w:val="20"/>
                <w:szCs w:val="20"/>
              </w:rPr>
              <w:t>autologous</w:t>
            </w:r>
            <w:proofErr w:type="spellEnd"/>
            <w:r w:rsidR="00D5386C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7489">
              <w:rPr>
                <w:i/>
                <w:iCs/>
                <w:color w:val="000000" w:themeColor="text1"/>
                <w:sz w:val="20"/>
                <w:szCs w:val="20"/>
              </w:rPr>
              <w:t>stem</w:t>
            </w:r>
            <w:proofErr w:type="spellEnd"/>
            <w:r w:rsidR="00D5386C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7489">
              <w:rPr>
                <w:i/>
                <w:iCs/>
                <w:color w:val="000000" w:themeColor="text1"/>
                <w:sz w:val="20"/>
                <w:szCs w:val="20"/>
              </w:rPr>
              <w:t>cel</w:t>
            </w:r>
            <w:r w:rsidR="00A72F7A">
              <w:rPr>
                <w:i/>
                <w:iCs/>
                <w:color w:val="000000" w:themeColor="text1"/>
                <w:sz w:val="20"/>
                <w:szCs w:val="20"/>
              </w:rPr>
              <w:t>l</w:t>
            </w:r>
            <w:proofErr w:type="spellEnd"/>
            <w:r w:rsidR="00D5386C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17489">
              <w:rPr>
                <w:i/>
                <w:iCs/>
                <w:color w:val="000000" w:themeColor="text1"/>
                <w:sz w:val="20"/>
                <w:szCs w:val="20"/>
              </w:rPr>
              <w:t>transplantation</w:t>
            </w:r>
            <w:proofErr w:type="spellEnd"/>
            <w:r w:rsidRPr="00717489">
              <w:rPr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D5386C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ASCT)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83FA10F" w14:textId="77777777" w:rsidR="005D1CEA" w:rsidRPr="008D54DE" w:rsidRDefault="005D1CEA" w:rsidP="008D54DE">
            <w:pPr>
              <w:widowControl w:val="0"/>
              <w:tabs>
                <w:tab w:val="left" w:pos="1133"/>
              </w:tabs>
              <w:spacing w:after="60"/>
              <w:ind w:left="340"/>
              <w:jc w:val="both"/>
              <w:rPr>
                <w:color w:val="000000" w:themeColor="text1"/>
                <w:sz w:val="20"/>
                <w:szCs w:val="20"/>
              </w:rPr>
            </w:pPr>
            <w:r w:rsidRPr="008D54DE">
              <w:rPr>
                <w:color w:val="000000" w:themeColor="text1"/>
                <w:sz w:val="20"/>
                <w:szCs w:val="20"/>
              </w:rPr>
              <w:t>lub</w:t>
            </w:r>
          </w:p>
          <w:p w14:paraId="3C12C08C" w14:textId="14A009C4" w:rsidR="00935C4F" w:rsidRDefault="005D1CEA" w:rsidP="008D54DE">
            <w:pPr>
              <w:widowControl w:val="0"/>
              <w:numPr>
                <w:ilvl w:val="3"/>
                <w:numId w:val="17"/>
              </w:numPr>
              <w:tabs>
                <w:tab w:val="left" w:pos="1133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717489">
              <w:rPr>
                <w:color w:val="000000" w:themeColor="text1"/>
                <w:sz w:val="20"/>
                <w:szCs w:val="20"/>
              </w:rPr>
              <w:t>po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co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najmniej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  <w:szCs w:val="20"/>
              </w:rPr>
              <w:t>dwóch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  <w:szCs w:val="20"/>
              </w:rPr>
              <w:t>wcześniejszych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  <w:szCs w:val="20"/>
              </w:rPr>
              <w:t>terapiach,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przypadku,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gdy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ASC</w:t>
            </w:r>
            <w:r w:rsidR="004859A7" w:rsidRPr="00717489">
              <w:rPr>
                <w:color w:val="000000" w:themeColor="text1"/>
                <w:sz w:val="20"/>
                <w:szCs w:val="20"/>
              </w:rPr>
              <w:t>T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  <w:szCs w:val="20"/>
              </w:rPr>
              <w:t>lub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  <w:szCs w:val="20"/>
              </w:rPr>
              <w:t>wielolekowa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  <w:szCs w:val="20"/>
              </w:rPr>
              <w:t>chemioterapia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nie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stanowi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opcji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17489">
              <w:rPr>
                <w:color w:val="000000" w:themeColor="text1"/>
                <w:sz w:val="20"/>
                <w:szCs w:val="20"/>
              </w:rPr>
              <w:t>leczenia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6719DB1" w14:textId="42CAFBDF" w:rsidR="003A3C9A" w:rsidRPr="008D54DE" w:rsidRDefault="00641986" w:rsidP="008D54DE">
            <w:pPr>
              <w:widowControl w:val="0"/>
              <w:tabs>
                <w:tab w:val="left" w:pos="1133"/>
              </w:tabs>
              <w:spacing w:after="60"/>
              <w:ind w:firstLine="46"/>
              <w:jc w:val="both"/>
              <w:rPr>
                <w:color w:val="000000" w:themeColor="text1"/>
                <w:sz w:val="20"/>
                <w:szCs w:val="20"/>
              </w:rPr>
            </w:pPr>
            <w:r w:rsidRPr="008D54DE">
              <w:rPr>
                <w:color w:val="000000" w:themeColor="text1"/>
                <w:sz w:val="20"/>
                <w:szCs w:val="20"/>
              </w:rPr>
              <w:t>albo</w:t>
            </w:r>
          </w:p>
          <w:p w14:paraId="3FBB592E" w14:textId="0C43FEA1" w:rsidR="00053AFA" w:rsidRPr="00080302" w:rsidRDefault="008D54DE" w:rsidP="008D54DE">
            <w:pPr>
              <w:widowControl w:val="0"/>
              <w:numPr>
                <w:ilvl w:val="2"/>
                <w:numId w:val="17"/>
              </w:numPr>
              <w:tabs>
                <w:tab w:val="left" w:pos="331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</w:t>
            </w:r>
            <w:r w:rsidR="00641986">
              <w:rPr>
                <w:b/>
                <w:color w:val="000000" w:themeColor="text1"/>
                <w:sz w:val="20"/>
                <w:szCs w:val="20"/>
              </w:rPr>
              <w:t>hory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1986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1986">
              <w:rPr>
                <w:b/>
                <w:color w:val="000000" w:themeColor="text1"/>
                <w:sz w:val="20"/>
                <w:szCs w:val="20"/>
              </w:rPr>
              <w:t>ASCT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1986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935C4F" w:rsidRPr="00053AFA">
              <w:rPr>
                <w:b/>
                <w:color w:val="000000" w:themeColor="text1"/>
                <w:sz w:val="20"/>
                <w:szCs w:val="20"/>
              </w:rPr>
              <w:t>e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2E3E" w:rsidRPr="00053AFA">
              <w:rPr>
                <w:b/>
                <w:color w:val="000000" w:themeColor="text1"/>
                <w:sz w:val="20"/>
                <w:szCs w:val="20"/>
              </w:rPr>
              <w:t>zwiększon</w:t>
            </w:r>
            <w:r w:rsidR="00935C4F" w:rsidRPr="00053AFA">
              <w:rPr>
                <w:b/>
                <w:color w:val="000000" w:themeColor="text1"/>
                <w:sz w:val="20"/>
                <w:szCs w:val="20"/>
              </w:rPr>
              <w:t>ym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35C4F" w:rsidRPr="00053AFA">
              <w:rPr>
                <w:b/>
                <w:color w:val="000000" w:themeColor="text1"/>
                <w:sz w:val="20"/>
                <w:szCs w:val="20"/>
              </w:rPr>
              <w:t>ryzykiem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2E3E" w:rsidRPr="00053AFA">
              <w:rPr>
                <w:b/>
                <w:color w:val="000000" w:themeColor="text1"/>
                <w:sz w:val="20"/>
                <w:szCs w:val="20"/>
              </w:rPr>
              <w:t>nawrotu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2E3E" w:rsidRPr="00053AFA">
              <w:rPr>
                <w:b/>
                <w:color w:val="000000" w:themeColor="text1"/>
                <w:sz w:val="20"/>
                <w:szCs w:val="20"/>
              </w:rPr>
              <w:t>lub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2E3E" w:rsidRPr="00053AFA">
              <w:rPr>
                <w:b/>
                <w:color w:val="000000" w:themeColor="text1"/>
                <w:sz w:val="20"/>
                <w:szCs w:val="20"/>
              </w:rPr>
              <w:t>progresji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2E3E" w:rsidRPr="00053AFA">
              <w:rPr>
                <w:b/>
                <w:color w:val="000000" w:themeColor="text1"/>
                <w:sz w:val="20"/>
                <w:szCs w:val="20"/>
              </w:rPr>
              <w:t>choroby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53AFA" w:rsidRPr="00053AFA">
              <w:rPr>
                <w:color w:val="000000" w:themeColor="text1"/>
                <w:sz w:val="20"/>
                <w:szCs w:val="20"/>
              </w:rPr>
              <w:t>definiowanym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3AFA" w:rsidRPr="00053AFA">
              <w:rPr>
                <w:color w:val="000000" w:themeColor="text1"/>
                <w:sz w:val="20"/>
                <w:szCs w:val="20"/>
              </w:rPr>
              <w:t>jako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53AFA" w:rsidRPr="00080302">
              <w:rPr>
                <w:sz w:val="20"/>
                <w:szCs w:val="20"/>
              </w:rPr>
              <w:t>występowanie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080302">
              <w:rPr>
                <w:sz w:val="20"/>
                <w:szCs w:val="20"/>
              </w:rPr>
              <w:t>co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080302">
              <w:rPr>
                <w:sz w:val="20"/>
                <w:szCs w:val="20"/>
              </w:rPr>
              <w:t>najmniej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080302">
              <w:rPr>
                <w:sz w:val="20"/>
                <w:szCs w:val="20"/>
              </w:rPr>
              <w:t>jednego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080302">
              <w:rPr>
                <w:sz w:val="20"/>
                <w:szCs w:val="20"/>
              </w:rPr>
              <w:t>z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080302">
              <w:rPr>
                <w:sz w:val="20"/>
                <w:szCs w:val="20"/>
              </w:rPr>
              <w:t>poniższych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080302">
              <w:rPr>
                <w:sz w:val="20"/>
                <w:szCs w:val="20"/>
              </w:rPr>
              <w:t>czynników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080302">
              <w:rPr>
                <w:sz w:val="20"/>
                <w:szCs w:val="20"/>
              </w:rPr>
              <w:t>ryzyka:</w:t>
            </w:r>
            <w:r w:rsidR="00D5386C">
              <w:rPr>
                <w:sz w:val="20"/>
                <w:szCs w:val="20"/>
              </w:rPr>
              <w:t xml:space="preserve"> </w:t>
            </w:r>
          </w:p>
          <w:p w14:paraId="1159174D" w14:textId="39C1C8B5" w:rsidR="00053AFA" w:rsidRPr="00A93EDB" w:rsidRDefault="00053AFA" w:rsidP="008D54DE">
            <w:pPr>
              <w:pStyle w:val="Akapitzlist"/>
              <w:numPr>
                <w:ilvl w:val="4"/>
                <w:numId w:val="17"/>
              </w:numPr>
              <w:spacing w:after="60"/>
              <w:contextualSpacing w:val="0"/>
              <w:rPr>
                <w:sz w:val="20"/>
                <w:szCs w:val="20"/>
              </w:rPr>
            </w:pPr>
            <w:r w:rsidRPr="00A93EDB">
              <w:rPr>
                <w:sz w:val="20"/>
                <w:szCs w:val="20"/>
              </w:rPr>
              <w:t>oporność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na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pierwszą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linię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leczenia</w:t>
            </w:r>
            <w:r w:rsidR="00D5386C">
              <w:rPr>
                <w:sz w:val="20"/>
                <w:szCs w:val="20"/>
              </w:rPr>
              <w:t xml:space="preserve"> </w:t>
            </w:r>
          </w:p>
          <w:p w14:paraId="21DF936E" w14:textId="3B384A37" w:rsidR="00053AFA" w:rsidRPr="00A93EDB" w:rsidRDefault="00053AFA" w:rsidP="008D54DE">
            <w:pPr>
              <w:pStyle w:val="Akapitzlist"/>
              <w:numPr>
                <w:ilvl w:val="4"/>
                <w:numId w:val="17"/>
              </w:numPr>
              <w:spacing w:after="60"/>
              <w:contextualSpacing w:val="0"/>
              <w:rPr>
                <w:sz w:val="20"/>
                <w:szCs w:val="20"/>
              </w:rPr>
            </w:pPr>
            <w:r w:rsidRPr="00A93EDB">
              <w:rPr>
                <w:sz w:val="20"/>
                <w:szCs w:val="20"/>
              </w:rPr>
              <w:t>nawrót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do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12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miesięcy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od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zakończenia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pierwszej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linii</w:t>
            </w:r>
            <w:r w:rsidR="00D5386C">
              <w:rPr>
                <w:sz w:val="20"/>
                <w:szCs w:val="20"/>
              </w:rPr>
              <w:t xml:space="preserve"> </w:t>
            </w:r>
            <w:r w:rsidRPr="00A93EDB">
              <w:rPr>
                <w:sz w:val="20"/>
                <w:szCs w:val="20"/>
              </w:rPr>
              <w:t>leczenia</w:t>
            </w:r>
            <w:r w:rsidR="00D5386C">
              <w:rPr>
                <w:sz w:val="20"/>
                <w:szCs w:val="20"/>
              </w:rPr>
              <w:t xml:space="preserve"> </w:t>
            </w:r>
          </w:p>
          <w:p w14:paraId="447D1C03" w14:textId="67A3E0ED" w:rsidR="008D54DE" w:rsidRDefault="00D52807" w:rsidP="008D54DE">
            <w:pPr>
              <w:pStyle w:val="Akapitzlist"/>
              <w:numPr>
                <w:ilvl w:val="4"/>
                <w:numId w:val="17"/>
              </w:numPr>
              <w:spacing w:after="60"/>
              <w:contextualSpacing w:val="0"/>
              <w:rPr>
                <w:sz w:val="20"/>
                <w:szCs w:val="20"/>
              </w:rPr>
            </w:pPr>
            <w:r w:rsidRPr="00A93EDB">
              <w:rPr>
                <w:sz w:val="20"/>
                <w:szCs w:val="20"/>
              </w:rPr>
              <w:t>z</w:t>
            </w:r>
            <w:r w:rsidR="00053AFA" w:rsidRPr="00A93EDB">
              <w:rPr>
                <w:sz w:val="20"/>
                <w:szCs w:val="20"/>
              </w:rPr>
              <w:t>ajęcie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A93EDB">
              <w:rPr>
                <w:sz w:val="20"/>
                <w:szCs w:val="20"/>
              </w:rPr>
              <w:t>tkanki</w:t>
            </w:r>
            <w:r w:rsidR="00D5386C">
              <w:rPr>
                <w:sz w:val="20"/>
                <w:szCs w:val="20"/>
              </w:rPr>
              <w:t xml:space="preserve"> </w:t>
            </w:r>
            <w:proofErr w:type="spellStart"/>
            <w:r w:rsidR="00053AFA" w:rsidRPr="00A93EDB">
              <w:rPr>
                <w:sz w:val="20"/>
                <w:szCs w:val="20"/>
              </w:rPr>
              <w:t>pozawęzłowej</w:t>
            </w:r>
            <w:proofErr w:type="spellEnd"/>
            <w:r w:rsidR="00D5386C">
              <w:rPr>
                <w:sz w:val="20"/>
                <w:szCs w:val="20"/>
              </w:rPr>
              <w:t xml:space="preserve"> </w:t>
            </w:r>
            <w:r w:rsidR="00053AFA" w:rsidRPr="00A93EDB">
              <w:rPr>
                <w:sz w:val="20"/>
                <w:szCs w:val="20"/>
              </w:rPr>
              <w:t>w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A93EDB">
              <w:rPr>
                <w:sz w:val="20"/>
                <w:szCs w:val="20"/>
              </w:rPr>
              <w:t>nawrocie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A93EDB">
              <w:rPr>
                <w:sz w:val="20"/>
                <w:szCs w:val="20"/>
              </w:rPr>
              <w:t>choroby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A93EDB">
              <w:rPr>
                <w:sz w:val="20"/>
                <w:szCs w:val="20"/>
              </w:rPr>
              <w:t>przed</w:t>
            </w:r>
            <w:r w:rsidR="00D5386C">
              <w:rPr>
                <w:sz w:val="20"/>
                <w:szCs w:val="20"/>
              </w:rPr>
              <w:t xml:space="preserve"> </w:t>
            </w:r>
            <w:r w:rsidR="00053AFA" w:rsidRPr="00A93EDB">
              <w:rPr>
                <w:sz w:val="20"/>
                <w:szCs w:val="20"/>
              </w:rPr>
              <w:t>ASCT</w:t>
            </w:r>
          </w:p>
          <w:p w14:paraId="28C6F101" w14:textId="3B0F1A82" w:rsidR="00641986" w:rsidRPr="008D54DE" w:rsidRDefault="00641986" w:rsidP="008D54DE">
            <w:pPr>
              <w:spacing w:after="60"/>
              <w:ind w:left="510"/>
              <w:rPr>
                <w:sz w:val="20"/>
                <w:szCs w:val="20"/>
              </w:rPr>
            </w:pPr>
            <w:r w:rsidRPr="008D54DE">
              <w:rPr>
                <w:sz w:val="20"/>
                <w:szCs w:val="20"/>
              </w:rPr>
              <w:t>(pierwsza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dawka</w:t>
            </w:r>
            <w:r w:rsidR="00D5386C">
              <w:rPr>
                <w:sz w:val="20"/>
                <w:szCs w:val="20"/>
              </w:rPr>
              <w:t xml:space="preserve"> </w:t>
            </w:r>
            <w:proofErr w:type="spellStart"/>
            <w:r w:rsidRPr="008D54DE">
              <w:rPr>
                <w:sz w:val="20"/>
                <w:szCs w:val="20"/>
              </w:rPr>
              <w:t>brentuksymabu</w:t>
            </w:r>
            <w:proofErr w:type="spellEnd"/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powinna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być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podana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między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30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a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45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dniem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po</w:t>
            </w:r>
            <w:r w:rsidR="00D5386C">
              <w:rPr>
                <w:sz w:val="20"/>
                <w:szCs w:val="20"/>
              </w:rPr>
              <w:t xml:space="preserve"> </w:t>
            </w:r>
            <w:r w:rsidRPr="008D54DE">
              <w:rPr>
                <w:sz w:val="20"/>
                <w:szCs w:val="20"/>
              </w:rPr>
              <w:t>ASCT)</w:t>
            </w:r>
          </w:p>
          <w:p w14:paraId="224F6F7F" w14:textId="38D9F427" w:rsidR="005D1CEA" w:rsidRPr="008D54DE" w:rsidRDefault="00053AFA" w:rsidP="008D54DE">
            <w:pPr>
              <w:widowControl w:val="0"/>
              <w:tabs>
                <w:tab w:val="left" w:pos="331"/>
              </w:tabs>
              <w:spacing w:after="60"/>
              <w:ind w:firstLine="46"/>
              <w:jc w:val="both"/>
              <w:rPr>
                <w:color w:val="000000" w:themeColor="text1"/>
                <w:sz w:val="20"/>
                <w:szCs w:val="20"/>
              </w:rPr>
            </w:pPr>
            <w:r w:rsidRPr="008D54DE">
              <w:rPr>
                <w:color w:val="000000" w:themeColor="text1"/>
                <w:sz w:val="20"/>
                <w:szCs w:val="20"/>
              </w:rPr>
              <w:lastRenderedPageBreak/>
              <w:t>oraz</w:t>
            </w:r>
          </w:p>
          <w:p w14:paraId="5C751042" w14:textId="3D513437" w:rsidR="005D1CEA" w:rsidRPr="00935C4F" w:rsidRDefault="008D54DE" w:rsidP="008D54DE">
            <w:pPr>
              <w:widowControl w:val="0"/>
              <w:numPr>
                <w:ilvl w:val="2"/>
                <w:numId w:val="17"/>
              </w:numPr>
              <w:tabs>
                <w:tab w:val="left" w:pos="367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="005D1CEA" w:rsidRPr="00935C4F">
              <w:rPr>
                <w:color w:val="000000" w:themeColor="text1"/>
                <w:sz w:val="20"/>
                <w:szCs w:val="20"/>
              </w:rPr>
              <w:t>prawność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color w:val="000000" w:themeColor="text1"/>
                <w:sz w:val="20"/>
                <w:szCs w:val="20"/>
              </w:rPr>
              <w:t>stopniu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color w:val="000000" w:themeColor="text1"/>
                <w:sz w:val="20"/>
                <w:szCs w:val="20"/>
              </w:rPr>
              <w:t>0-2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color w:val="000000" w:themeColor="text1"/>
                <w:sz w:val="20"/>
                <w:szCs w:val="20"/>
              </w:rPr>
              <w:t>wg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color w:val="000000" w:themeColor="text1"/>
                <w:sz w:val="20"/>
                <w:szCs w:val="20"/>
              </w:rPr>
              <w:t>klasyfikacji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D1CEA" w:rsidRPr="00935C4F">
              <w:rPr>
                <w:color w:val="000000" w:themeColor="text1"/>
                <w:sz w:val="20"/>
                <w:szCs w:val="20"/>
              </w:rPr>
              <w:t>Zubroda</w:t>
            </w:r>
            <w:proofErr w:type="spellEnd"/>
            <w:r w:rsidR="005D1CEA" w:rsidRPr="00935C4F">
              <w:rPr>
                <w:color w:val="000000" w:themeColor="text1"/>
                <w:sz w:val="20"/>
                <w:szCs w:val="20"/>
              </w:rPr>
              <w:t>-WHO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color w:val="000000" w:themeColor="text1"/>
                <w:sz w:val="20"/>
                <w:szCs w:val="20"/>
              </w:rPr>
              <w:t>lub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935C4F">
              <w:rPr>
                <w:color w:val="000000" w:themeColor="text1"/>
                <w:sz w:val="20"/>
                <w:szCs w:val="20"/>
              </w:rPr>
              <w:t>ECOG</w:t>
            </w:r>
            <w:r w:rsidR="00C87830" w:rsidRPr="00935C4F">
              <w:rPr>
                <w:color w:val="000000" w:themeColor="text1"/>
                <w:sz w:val="20"/>
                <w:szCs w:val="20"/>
              </w:rPr>
              <w:t>;</w:t>
            </w:r>
          </w:p>
          <w:p w14:paraId="11FDABDD" w14:textId="0A348047" w:rsidR="005D1CEA" w:rsidRPr="008D54DE" w:rsidRDefault="008D54DE" w:rsidP="008D54DE">
            <w:pPr>
              <w:widowControl w:val="0"/>
              <w:numPr>
                <w:ilvl w:val="2"/>
                <w:numId w:val="17"/>
              </w:numPr>
              <w:tabs>
                <w:tab w:val="left" w:pos="810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ieobecność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przeciwskazań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do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allogenicznego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przeszczepienia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komórek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krwiotwórczych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razie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uzyskania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odpowiedzi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4B7D6E">
              <w:rPr>
                <w:color w:val="000000" w:themeColor="text1"/>
                <w:sz w:val="20"/>
                <w:szCs w:val="20"/>
              </w:rPr>
              <w:t>częściowej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491929">
              <w:rPr>
                <w:color w:val="000000" w:themeColor="text1"/>
                <w:sz w:val="20"/>
                <w:szCs w:val="20"/>
              </w:rPr>
              <w:t>(</w:t>
            </w:r>
            <w:r w:rsidR="00491929">
              <w:rPr>
                <w:color w:val="000000" w:themeColor="text1"/>
                <w:sz w:val="20"/>
              </w:rPr>
              <w:t>dla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91929">
              <w:rPr>
                <w:color w:val="000000" w:themeColor="text1"/>
                <w:sz w:val="20"/>
              </w:rPr>
              <w:t>pkt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91929">
              <w:rPr>
                <w:color w:val="000000" w:themeColor="text1"/>
                <w:sz w:val="20"/>
              </w:rPr>
              <w:t>1.1.1.1.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91929">
              <w:rPr>
                <w:color w:val="000000" w:themeColor="text1"/>
                <w:sz w:val="20"/>
              </w:rPr>
              <w:t>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91929">
              <w:rPr>
                <w:color w:val="000000" w:themeColor="text1"/>
                <w:sz w:val="20"/>
              </w:rPr>
              <w:t>i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91929">
              <w:rPr>
                <w:color w:val="000000" w:themeColor="text1"/>
                <w:sz w:val="20"/>
              </w:rPr>
              <w:t>b)</w:t>
            </w:r>
          </w:p>
          <w:p w14:paraId="32F08056" w14:textId="77777777" w:rsidR="008D54DE" w:rsidRPr="00717489" w:rsidRDefault="008D54DE" w:rsidP="008D54DE">
            <w:pPr>
              <w:widowControl w:val="0"/>
              <w:tabs>
                <w:tab w:val="left" w:pos="810"/>
              </w:tabs>
              <w:spacing w:after="60"/>
              <w:ind w:left="397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BB708BD" w14:textId="5AD5A9EF" w:rsidR="005D1CEA" w:rsidRPr="008D54DE" w:rsidRDefault="004708FD" w:rsidP="008D54DE">
            <w:pPr>
              <w:widowControl w:val="0"/>
              <w:tabs>
                <w:tab w:val="left" w:pos="810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8D54DE">
              <w:rPr>
                <w:color w:val="000000" w:themeColor="text1"/>
                <w:sz w:val="20"/>
                <w:szCs w:val="20"/>
              </w:rPr>
              <w:t>1.1.</w:t>
            </w:r>
            <w:r w:rsidR="00C30295" w:rsidRPr="008D54DE">
              <w:rPr>
                <w:color w:val="000000" w:themeColor="text1"/>
                <w:sz w:val="20"/>
                <w:szCs w:val="20"/>
              </w:rPr>
              <w:t>2.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Do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leczenia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D1CEA" w:rsidRPr="008D54DE">
              <w:rPr>
                <w:color w:val="000000" w:themeColor="text1"/>
                <w:sz w:val="20"/>
                <w:szCs w:val="20"/>
              </w:rPr>
              <w:t>brentuksymabem</w:t>
            </w:r>
            <w:proofErr w:type="spellEnd"/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ramach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programu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kwalifikują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się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41F6" w:rsidRPr="008D54DE">
              <w:rPr>
                <w:color w:val="000000" w:themeColor="text1"/>
                <w:sz w:val="20"/>
                <w:szCs w:val="20"/>
              </w:rPr>
              <w:t>pacjenci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z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potwierdzonym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histo</w:t>
            </w:r>
            <w:r w:rsidR="00B45C21" w:rsidRPr="008D54DE">
              <w:rPr>
                <w:color w:val="000000" w:themeColor="text1"/>
                <w:sz w:val="20"/>
                <w:szCs w:val="20"/>
              </w:rPr>
              <w:t>logicznie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5C21" w:rsidRPr="008D54DE">
              <w:rPr>
                <w:b/>
                <w:color w:val="000000" w:themeColor="text1"/>
                <w:sz w:val="20"/>
                <w:szCs w:val="20"/>
              </w:rPr>
              <w:t>układowym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5C21" w:rsidRPr="008D54DE">
              <w:rPr>
                <w:b/>
                <w:color w:val="000000" w:themeColor="text1"/>
                <w:sz w:val="20"/>
                <w:szCs w:val="20"/>
              </w:rPr>
              <w:t>chłoniakiem</w:t>
            </w:r>
            <w:proofErr w:type="spellEnd"/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D1CEA" w:rsidRPr="008D54DE">
              <w:rPr>
                <w:b/>
                <w:color w:val="000000" w:themeColor="text1"/>
                <w:sz w:val="20"/>
                <w:szCs w:val="20"/>
              </w:rPr>
              <w:t>anaplastycznym</w:t>
            </w:r>
            <w:proofErr w:type="spellEnd"/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b/>
                <w:color w:val="000000" w:themeColor="text1"/>
                <w:sz w:val="20"/>
                <w:szCs w:val="20"/>
              </w:rPr>
              <w:t>z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b/>
                <w:color w:val="000000" w:themeColor="text1"/>
                <w:sz w:val="20"/>
                <w:szCs w:val="20"/>
              </w:rPr>
              <w:t>dużych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b/>
                <w:color w:val="000000" w:themeColor="text1"/>
                <w:sz w:val="20"/>
                <w:szCs w:val="20"/>
              </w:rPr>
              <w:t>komórek</w:t>
            </w:r>
            <w:r w:rsidR="00D5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30295" w:rsidRPr="008D54DE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C30295" w:rsidRPr="008D54DE">
              <w:rPr>
                <w:b/>
                <w:color w:val="000000" w:themeColor="text1"/>
                <w:sz w:val="20"/>
                <w:szCs w:val="20"/>
              </w:rPr>
              <w:t>sALCL</w:t>
            </w:r>
            <w:proofErr w:type="spellEnd"/>
            <w:r w:rsidR="00C30295" w:rsidRPr="008D54DE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spełniający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poniższe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kryteria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8D54DE">
              <w:rPr>
                <w:color w:val="000000" w:themeColor="text1"/>
                <w:sz w:val="20"/>
                <w:szCs w:val="20"/>
              </w:rPr>
              <w:t>łącznie:</w:t>
            </w:r>
          </w:p>
          <w:p w14:paraId="47D71121" w14:textId="528F9C3F" w:rsidR="005D1CEA" w:rsidRPr="00717489" w:rsidRDefault="008D54DE" w:rsidP="008D54DE">
            <w:pPr>
              <w:widowControl w:val="0"/>
              <w:numPr>
                <w:ilvl w:val="2"/>
                <w:numId w:val="20"/>
              </w:numPr>
              <w:tabs>
                <w:tab w:val="left" w:pos="331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awrotowy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lub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oporny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na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leczenie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D1CEA" w:rsidRPr="00717489">
              <w:rPr>
                <w:color w:val="000000" w:themeColor="text1"/>
                <w:sz w:val="20"/>
                <w:szCs w:val="20"/>
              </w:rPr>
              <w:t>sALCL</w:t>
            </w:r>
            <w:proofErr w:type="spellEnd"/>
            <w:r w:rsidR="005D1CEA" w:rsidRPr="00717489">
              <w:rPr>
                <w:color w:val="000000" w:themeColor="text1"/>
                <w:sz w:val="20"/>
                <w:szCs w:val="20"/>
              </w:rPr>
              <w:t>;</w:t>
            </w:r>
          </w:p>
          <w:p w14:paraId="20B8E9FE" w14:textId="1A7EE881" w:rsidR="005D1CEA" w:rsidRPr="00717489" w:rsidRDefault="008D54DE" w:rsidP="008D54DE">
            <w:pPr>
              <w:widowControl w:val="0"/>
              <w:numPr>
                <w:ilvl w:val="2"/>
                <w:numId w:val="20"/>
              </w:numPr>
              <w:tabs>
                <w:tab w:val="left" w:pos="331"/>
              </w:tabs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prawność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stopniu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0-2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wg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klasyfikacji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D1CEA" w:rsidRPr="00717489">
              <w:rPr>
                <w:color w:val="000000" w:themeColor="text1"/>
                <w:sz w:val="20"/>
                <w:szCs w:val="20"/>
              </w:rPr>
              <w:t>Zubroda</w:t>
            </w:r>
            <w:proofErr w:type="spellEnd"/>
            <w:r w:rsidR="005D1CEA" w:rsidRPr="00717489">
              <w:rPr>
                <w:color w:val="000000" w:themeColor="text1"/>
                <w:sz w:val="20"/>
                <w:szCs w:val="20"/>
              </w:rPr>
              <w:t>-WHO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lub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  <w:szCs w:val="20"/>
              </w:rPr>
              <w:t>ECOG</w:t>
            </w:r>
            <w:r w:rsidR="000E25B7" w:rsidRPr="00717489">
              <w:rPr>
                <w:color w:val="000000" w:themeColor="text1"/>
                <w:sz w:val="20"/>
                <w:szCs w:val="20"/>
              </w:rPr>
              <w:t>;</w:t>
            </w:r>
          </w:p>
          <w:p w14:paraId="70F5884B" w14:textId="78EBE2DC" w:rsidR="00C84BB7" w:rsidRDefault="008D54DE" w:rsidP="008D54DE">
            <w:pPr>
              <w:pStyle w:val="Akapitzlist"/>
              <w:numPr>
                <w:ilvl w:val="2"/>
                <w:numId w:val="20"/>
              </w:numPr>
              <w:spacing w:after="60"/>
              <w:contextualSpacing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ieobecność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przeciwskazań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do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allogenicznego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przeszczepienia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komórek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krwiotwórczych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razie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uzyskania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odpowiedzi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  <w:szCs w:val="20"/>
              </w:rPr>
              <w:t>częściowej.</w:t>
            </w:r>
          </w:p>
          <w:p w14:paraId="7642D75D" w14:textId="77777777" w:rsidR="008D54DE" w:rsidRPr="00717489" w:rsidRDefault="008D54DE" w:rsidP="008D54DE">
            <w:pPr>
              <w:pStyle w:val="Akapitzlist"/>
              <w:spacing w:after="60"/>
              <w:ind w:left="397"/>
              <w:contextualSpacing w:val="0"/>
              <w:rPr>
                <w:color w:val="000000" w:themeColor="text1"/>
                <w:sz w:val="20"/>
                <w:szCs w:val="20"/>
              </w:rPr>
            </w:pPr>
          </w:p>
          <w:p w14:paraId="07910C97" w14:textId="75035096" w:rsidR="003A46B0" w:rsidRPr="00A93EDB" w:rsidRDefault="003A46B0" w:rsidP="008D54DE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Określenie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czasu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leczenia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  <w:p w14:paraId="2F790650" w14:textId="31FFD6F4" w:rsidR="003A46B0" w:rsidRPr="008D54DE" w:rsidRDefault="003A46B0" w:rsidP="008D54DE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  <w:r w:rsidRPr="008D54DE">
              <w:rPr>
                <w:color w:val="000000" w:themeColor="text1"/>
                <w:sz w:val="20"/>
              </w:rPr>
              <w:t>Czas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leczenia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programie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określa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lekarz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na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podstawie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kryteriów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włączenia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i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kryteriów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859A7" w:rsidRPr="008D54DE">
              <w:rPr>
                <w:color w:val="000000" w:themeColor="text1"/>
                <w:sz w:val="20"/>
              </w:rPr>
              <w:t>zakończenia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859A7" w:rsidRPr="008D54DE">
              <w:rPr>
                <w:color w:val="000000" w:themeColor="text1"/>
                <w:sz w:val="20"/>
              </w:rPr>
              <w:t>udziału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859A7" w:rsidRPr="008D54DE">
              <w:rPr>
                <w:color w:val="000000" w:themeColor="text1"/>
                <w:sz w:val="20"/>
              </w:rPr>
              <w:t>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programie.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</w:p>
          <w:p w14:paraId="6A35EEC9" w14:textId="600478B6" w:rsidR="0092194D" w:rsidRPr="008D54DE" w:rsidRDefault="0092194D" w:rsidP="008D54DE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  <w:r w:rsidRPr="008D54DE">
              <w:rPr>
                <w:color w:val="000000" w:themeColor="text1"/>
                <w:sz w:val="20"/>
              </w:rPr>
              <w:t>U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chorych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kwalifikowanych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do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programu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wg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kryterium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1.1.1.</w:t>
            </w:r>
            <w:r w:rsidR="00564B21" w:rsidRPr="008D54DE">
              <w:rPr>
                <w:color w:val="000000" w:themeColor="text1"/>
                <w:sz w:val="20"/>
              </w:rPr>
              <w:t>1.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b.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i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odpowiadających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na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leczenie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8D54DE">
              <w:rPr>
                <w:color w:val="000000" w:themeColor="text1"/>
                <w:sz w:val="20"/>
              </w:rPr>
              <w:t>brentuksymabem</w:t>
            </w:r>
            <w:proofErr w:type="spellEnd"/>
            <w:r w:rsidR="00D5386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8D54DE">
              <w:rPr>
                <w:color w:val="000000" w:themeColor="text1"/>
                <w:sz w:val="20"/>
              </w:rPr>
              <w:t>vedotin</w:t>
            </w:r>
            <w:proofErr w:type="spellEnd"/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wykonanie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ASCT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nie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wyklucza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kont</w:t>
            </w:r>
            <w:r w:rsidR="004F48C1" w:rsidRPr="008D54DE">
              <w:rPr>
                <w:color w:val="000000" w:themeColor="text1"/>
                <w:sz w:val="20"/>
              </w:rPr>
              <w:t>y</w:t>
            </w:r>
            <w:r w:rsidRPr="008D54DE">
              <w:rPr>
                <w:color w:val="000000" w:themeColor="text1"/>
                <w:sz w:val="20"/>
              </w:rPr>
              <w:t>nuacji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leczenia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8D54DE">
              <w:rPr>
                <w:color w:val="000000" w:themeColor="text1"/>
                <w:sz w:val="20"/>
              </w:rPr>
              <w:t>brentuksymabem</w:t>
            </w:r>
            <w:proofErr w:type="spellEnd"/>
            <w:r w:rsidR="00D5386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8D54DE">
              <w:rPr>
                <w:color w:val="000000" w:themeColor="text1"/>
                <w:sz w:val="20"/>
              </w:rPr>
              <w:t>vedotin</w:t>
            </w:r>
            <w:proofErr w:type="spellEnd"/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do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sumarycznej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liczby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16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Pr="008D54DE">
              <w:rPr>
                <w:color w:val="000000" w:themeColor="text1"/>
                <w:sz w:val="20"/>
              </w:rPr>
              <w:t>cykli.</w:t>
            </w:r>
          </w:p>
          <w:p w14:paraId="62C9F4AC" w14:textId="77777777" w:rsidR="0092194D" w:rsidRPr="00717489" w:rsidRDefault="0092194D" w:rsidP="00A93EDB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</w:p>
          <w:p w14:paraId="392B4918" w14:textId="25A41357" w:rsidR="003A46B0" w:rsidRPr="00A93EDB" w:rsidRDefault="003A46B0" w:rsidP="008D54DE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iCs/>
                <w:color w:val="000000" w:themeColor="text1"/>
                <w:sz w:val="20"/>
              </w:rPr>
            </w:pPr>
            <w:r w:rsidRPr="00A93EDB">
              <w:rPr>
                <w:b/>
                <w:iCs/>
                <w:color w:val="000000" w:themeColor="text1"/>
                <w:sz w:val="20"/>
              </w:rPr>
              <w:t>Kryteria</w:t>
            </w:r>
            <w:r w:rsidR="00D5386C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="00B3681C" w:rsidRPr="00A93EDB">
              <w:rPr>
                <w:b/>
                <w:iCs/>
                <w:color w:val="000000" w:themeColor="text1"/>
                <w:sz w:val="20"/>
              </w:rPr>
              <w:t>wyłączenia</w:t>
            </w:r>
            <w:r w:rsidR="00D5386C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="00B3681C" w:rsidRPr="00A93EDB">
              <w:rPr>
                <w:b/>
                <w:iCs/>
                <w:color w:val="000000" w:themeColor="text1"/>
                <w:sz w:val="20"/>
              </w:rPr>
              <w:t>z</w:t>
            </w:r>
            <w:r w:rsidR="00D5386C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A93EDB">
              <w:rPr>
                <w:b/>
                <w:iCs/>
                <w:color w:val="000000" w:themeColor="text1"/>
                <w:sz w:val="20"/>
              </w:rPr>
              <w:t>udziału</w:t>
            </w:r>
            <w:r w:rsidR="00D5386C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A93EDB">
              <w:rPr>
                <w:b/>
                <w:iCs/>
                <w:color w:val="000000" w:themeColor="text1"/>
                <w:sz w:val="20"/>
              </w:rPr>
              <w:t>w</w:t>
            </w:r>
            <w:r w:rsidR="00D5386C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A93EDB">
              <w:rPr>
                <w:b/>
                <w:iCs/>
                <w:color w:val="000000" w:themeColor="text1"/>
                <w:sz w:val="20"/>
              </w:rPr>
              <w:t>programie:</w:t>
            </w:r>
          </w:p>
          <w:p w14:paraId="30B7F150" w14:textId="34EB879C" w:rsidR="003A46B0" w:rsidRPr="00717489" w:rsidRDefault="008D54DE" w:rsidP="008D54DE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w</w:t>
            </w:r>
            <w:r w:rsidR="003A46B0" w:rsidRPr="00717489">
              <w:rPr>
                <w:color w:val="000000" w:themeColor="text1"/>
                <w:sz w:val="20"/>
              </w:rPr>
              <w:t>ystąp</w:t>
            </w:r>
            <w:r w:rsidR="004859A7" w:rsidRPr="00717489">
              <w:rPr>
                <w:color w:val="000000" w:themeColor="text1"/>
                <w:sz w:val="20"/>
              </w:rPr>
              <w:t>ienie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</w:rPr>
              <w:t>objawów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</w:rPr>
              <w:t>nadwrażliwości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</w:rPr>
              <w:t>na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3A46B0" w:rsidRPr="00717489">
              <w:rPr>
                <w:iCs/>
                <w:color w:val="000000" w:themeColor="text1"/>
                <w:sz w:val="20"/>
              </w:rPr>
              <w:t>brentuksymab</w:t>
            </w:r>
            <w:proofErr w:type="spellEnd"/>
            <w:r w:rsidR="00D5386C">
              <w:rPr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="003A46B0" w:rsidRPr="00717489">
              <w:rPr>
                <w:iCs/>
                <w:color w:val="000000" w:themeColor="text1"/>
                <w:sz w:val="20"/>
              </w:rPr>
              <w:t>vedotin</w:t>
            </w:r>
            <w:proofErr w:type="spellEnd"/>
            <w:r w:rsidR="00D5386C">
              <w:rPr>
                <w:iCs/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iCs/>
                <w:color w:val="000000" w:themeColor="text1"/>
                <w:sz w:val="20"/>
              </w:rPr>
              <w:t>lub</w:t>
            </w:r>
            <w:r w:rsidR="00D5386C">
              <w:rPr>
                <w:iCs/>
                <w:color w:val="000000" w:themeColor="text1"/>
                <w:sz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</w:rPr>
              <w:t>którykolwiek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</w:rPr>
              <w:t>ze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składników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preparatu;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</w:p>
          <w:p w14:paraId="1BB14748" w14:textId="3BD650FA" w:rsidR="003A46B0" w:rsidRPr="00717489" w:rsidRDefault="008D54DE" w:rsidP="008D54DE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</w:t>
            </w:r>
            <w:r w:rsidR="003A46B0" w:rsidRPr="00717489">
              <w:rPr>
                <w:color w:val="000000" w:themeColor="text1"/>
                <w:sz w:val="20"/>
              </w:rPr>
              <w:t>oksyczność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według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WHO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powyżej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3;</w:t>
            </w:r>
          </w:p>
          <w:p w14:paraId="7B0857FD" w14:textId="459E5A7E" w:rsidR="003A46B0" w:rsidRPr="00717489" w:rsidRDefault="008D54DE" w:rsidP="008D54DE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</w:t>
            </w:r>
            <w:r w:rsidR="003A46B0" w:rsidRPr="00717489">
              <w:rPr>
                <w:color w:val="000000" w:themeColor="text1"/>
                <w:sz w:val="20"/>
              </w:rPr>
              <w:t>rogresja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choroby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</w:rPr>
              <w:t>podczas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</w:rPr>
              <w:t>leczenia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(wg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kryteriów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zawartych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kol.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3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B3681C" w:rsidRPr="00717489">
              <w:rPr>
                <w:color w:val="000000" w:themeColor="text1"/>
                <w:sz w:val="20"/>
              </w:rPr>
              <w:t>ust.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B3681C" w:rsidRPr="00717489">
              <w:rPr>
                <w:color w:val="000000" w:themeColor="text1"/>
                <w:sz w:val="20"/>
              </w:rPr>
              <w:t>4</w:t>
            </w:r>
            <w:r w:rsidR="003A46B0" w:rsidRPr="00717489">
              <w:rPr>
                <w:color w:val="000000" w:themeColor="text1"/>
                <w:sz w:val="20"/>
              </w:rPr>
              <w:t>)</w:t>
            </w:r>
            <w:r w:rsidR="00C84BB7" w:rsidRPr="00717489">
              <w:rPr>
                <w:color w:val="000000" w:themeColor="text1"/>
                <w:sz w:val="20"/>
              </w:rPr>
              <w:t>,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</w:rPr>
              <w:t>nie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</w:rPr>
              <w:t>wcześniej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84BB7" w:rsidRPr="00717489">
              <w:rPr>
                <w:color w:val="000000" w:themeColor="text1"/>
                <w:sz w:val="20"/>
              </w:rPr>
              <w:t>niż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859A7" w:rsidRPr="00717489">
              <w:rPr>
                <w:color w:val="000000" w:themeColor="text1"/>
                <w:sz w:val="20"/>
              </w:rPr>
              <w:t>po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</w:rPr>
              <w:t>dwóch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</w:rPr>
              <w:t>cyklach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</w:rPr>
              <w:t>leczenia</w:t>
            </w:r>
            <w:r w:rsidR="003A46B0" w:rsidRPr="00717489">
              <w:rPr>
                <w:color w:val="000000" w:themeColor="text1"/>
                <w:sz w:val="20"/>
              </w:rPr>
              <w:t>;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</w:p>
          <w:p w14:paraId="0A248604" w14:textId="46557BAF" w:rsidR="006201BA" w:rsidRDefault="008D54DE" w:rsidP="008D54DE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b</w:t>
            </w:r>
            <w:r w:rsidR="006201BA" w:rsidRPr="00717489">
              <w:rPr>
                <w:color w:val="000000" w:themeColor="text1"/>
                <w:sz w:val="20"/>
              </w:rPr>
              <w:t>rak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6201BA" w:rsidRPr="00717489">
              <w:rPr>
                <w:color w:val="000000" w:themeColor="text1"/>
                <w:sz w:val="20"/>
              </w:rPr>
              <w:t>częściowej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6201BA" w:rsidRPr="00717489">
              <w:rPr>
                <w:color w:val="000000" w:themeColor="text1"/>
                <w:sz w:val="20"/>
              </w:rPr>
              <w:t>odpowiedzi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6201BA" w:rsidRPr="00717489">
              <w:rPr>
                <w:color w:val="000000" w:themeColor="text1"/>
                <w:sz w:val="20"/>
              </w:rPr>
              <w:t>po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6201BA" w:rsidRPr="00717489">
              <w:rPr>
                <w:color w:val="000000" w:themeColor="text1"/>
                <w:sz w:val="20"/>
              </w:rPr>
              <w:t>ośmiu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6201BA" w:rsidRPr="00717489">
              <w:rPr>
                <w:color w:val="000000" w:themeColor="text1"/>
                <w:sz w:val="20"/>
              </w:rPr>
              <w:t>cyklach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6201BA" w:rsidRPr="00717489">
              <w:rPr>
                <w:color w:val="000000" w:themeColor="text1"/>
                <w:sz w:val="20"/>
              </w:rPr>
              <w:t>leczenia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429E1">
              <w:rPr>
                <w:color w:val="000000" w:themeColor="text1"/>
                <w:sz w:val="20"/>
              </w:rPr>
              <w:t>dla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429E1">
              <w:rPr>
                <w:color w:val="000000" w:themeColor="text1"/>
                <w:sz w:val="20"/>
              </w:rPr>
              <w:t>pkt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1.1.1.1.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429E1">
              <w:rPr>
                <w:color w:val="000000" w:themeColor="text1"/>
                <w:sz w:val="20"/>
              </w:rPr>
              <w:t>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i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b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oraz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1.1.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2.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(nawrotowy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lub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oporny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na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C30295">
              <w:rPr>
                <w:color w:val="000000" w:themeColor="text1"/>
                <w:sz w:val="20"/>
              </w:rPr>
              <w:t>leczenie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C30295">
              <w:rPr>
                <w:color w:val="000000" w:themeColor="text1"/>
                <w:sz w:val="20"/>
              </w:rPr>
              <w:t>chłoniak</w:t>
            </w:r>
            <w:proofErr w:type="spellEnd"/>
            <w:r w:rsidR="00D5386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C30295">
              <w:rPr>
                <w:color w:val="000000" w:themeColor="text1"/>
                <w:sz w:val="20"/>
              </w:rPr>
              <w:t>Hodgkina</w:t>
            </w:r>
            <w:proofErr w:type="spellEnd"/>
            <w:r w:rsidR="00D5386C">
              <w:rPr>
                <w:color w:val="000000" w:themeColor="text1"/>
                <w:sz w:val="20"/>
              </w:rPr>
              <w:t xml:space="preserve"> </w:t>
            </w:r>
            <w:r w:rsidR="00283940">
              <w:rPr>
                <w:color w:val="000000" w:themeColor="text1"/>
                <w:sz w:val="20"/>
              </w:rPr>
              <w:t>oraz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C30295" w:rsidRPr="00717489">
              <w:rPr>
                <w:color w:val="000000" w:themeColor="text1"/>
                <w:sz w:val="20"/>
                <w:szCs w:val="20"/>
              </w:rPr>
              <w:t>sALCL</w:t>
            </w:r>
            <w:proofErr w:type="spellEnd"/>
            <w:r w:rsidR="00C30295">
              <w:rPr>
                <w:color w:val="000000" w:themeColor="text1"/>
                <w:sz w:val="20"/>
                <w:szCs w:val="20"/>
              </w:rPr>
              <w:t>)</w:t>
            </w:r>
            <w:r w:rsidR="005C7D10">
              <w:rPr>
                <w:color w:val="000000" w:themeColor="text1"/>
                <w:sz w:val="20"/>
              </w:rPr>
              <w:t>;</w:t>
            </w:r>
          </w:p>
          <w:p w14:paraId="3635F9BB" w14:textId="604E2690" w:rsidR="005C7D10" w:rsidRDefault="008D54DE" w:rsidP="008D54DE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n</w:t>
            </w:r>
            <w:r w:rsidR="005C7D10">
              <w:rPr>
                <w:color w:val="000000" w:themeColor="text1"/>
                <w:sz w:val="20"/>
              </w:rPr>
              <w:t>awrót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5C7D10">
              <w:rPr>
                <w:color w:val="000000" w:themeColor="text1"/>
                <w:sz w:val="20"/>
              </w:rPr>
              <w:t>choroby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F02E9B">
              <w:rPr>
                <w:color w:val="000000" w:themeColor="text1"/>
                <w:sz w:val="20"/>
              </w:rPr>
              <w:t>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429E1">
              <w:rPr>
                <w:color w:val="000000" w:themeColor="text1"/>
                <w:sz w:val="20"/>
              </w:rPr>
              <w:t>trakcie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429E1">
              <w:rPr>
                <w:color w:val="000000" w:themeColor="text1"/>
                <w:sz w:val="20"/>
              </w:rPr>
              <w:t>trwania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4429E1">
              <w:rPr>
                <w:color w:val="000000" w:themeColor="text1"/>
                <w:sz w:val="20"/>
              </w:rPr>
              <w:t>leczenia</w:t>
            </w:r>
            <w:r w:rsidR="00AC56BD">
              <w:rPr>
                <w:color w:val="000000" w:themeColor="text1"/>
                <w:sz w:val="20"/>
              </w:rPr>
              <w:t>;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</w:p>
          <w:p w14:paraId="4FBA5034" w14:textId="33E46885" w:rsidR="003A46B0" w:rsidRPr="00717489" w:rsidRDefault="008D54DE" w:rsidP="008D54DE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</w:t>
            </w:r>
            <w:r w:rsidR="005D1CEA" w:rsidRPr="00717489">
              <w:rPr>
                <w:color w:val="000000" w:themeColor="text1"/>
                <w:sz w:val="20"/>
              </w:rPr>
              <w:t>odanie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5D1CEA" w:rsidRPr="00717489">
              <w:rPr>
                <w:color w:val="000000" w:themeColor="text1"/>
                <w:sz w:val="20"/>
              </w:rPr>
              <w:t>szesnastu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cykli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3A46B0" w:rsidRPr="00717489">
              <w:rPr>
                <w:color w:val="000000" w:themeColor="text1"/>
                <w:sz w:val="20"/>
              </w:rPr>
              <w:t>leczenia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924223">
              <w:rPr>
                <w:color w:val="000000" w:themeColor="text1"/>
                <w:sz w:val="20"/>
              </w:rPr>
              <w:t>w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924223">
              <w:rPr>
                <w:color w:val="000000" w:themeColor="text1"/>
                <w:sz w:val="20"/>
              </w:rPr>
              <w:t>ciągu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924223">
              <w:rPr>
                <w:color w:val="000000" w:themeColor="text1"/>
                <w:sz w:val="20"/>
              </w:rPr>
              <w:t>około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  <w:r w:rsidR="00924223">
              <w:rPr>
                <w:color w:val="000000" w:themeColor="text1"/>
                <w:sz w:val="20"/>
              </w:rPr>
              <w:t>roku</w:t>
            </w:r>
            <w:r w:rsidR="003A46B0" w:rsidRPr="00717489">
              <w:rPr>
                <w:color w:val="000000" w:themeColor="text1"/>
                <w:sz w:val="20"/>
              </w:rPr>
              <w:t>;</w:t>
            </w:r>
            <w:r w:rsidR="00D5386C">
              <w:rPr>
                <w:color w:val="000000" w:themeColor="text1"/>
                <w:sz w:val="20"/>
              </w:rPr>
              <w:t xml:space="preserve"> </w:t>
            </w:r>
          </w:p>
          <w:p w14:paraId="65F0E191" w14:textId="77777777" w:rsidR="008D54DE" w:rsidRPr="00C56227" w:rsidRDefault="008D54DE" w:rsidP="00D5386C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c</w:t>
            </w:r>
            <w:r w:rsidR="00AD477E" w:rsidRPr="00717489">
              <w:rPr>
                <w:color w:val="000000" w:themeColor="text1"/>
                <w:sz w:val="20"/>
              </w:rPr>
              <w:t>iąża.</w:t>
            </w:r>
          </w:p>
          <w:p w14:paraId="39A3A97E" w14:textId="697FC68C" w:rsidR="00C56227" w:rsidRPr="00D5386C" w:rsidRDefault="00C56227" w:rsidP="00C56227">
            <w:pPr>
              <w:autoSpaceDE w:val="0"/>
              <w:autoSpaceDN w:val="0"/>
              <w:adjustRightInd w:val="0"/>
              <w:spacing w:after="60"/>
              <w:ind w:left="39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0F01" w14:textId="08279396" w:rsidR="00EE4B01" w:rsidRPr="008D54DE" w:rsidRDefault="00EE4B01" w:rsidP="008D54DE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8D54DE">
              <w:rPr>
                <w:color w:val="000000" w:themeColor="text1"/>
                <w:sz w:val="20"/>
                <w:szCs w:val="20"/>
              </w:rPr>
              <w:lastRenderedPageBreak/>
              <w:t>Zalecana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dawka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pacjentów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wieku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18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lat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powyżej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wynosi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1,8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mg/kg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podawana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we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wlewie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do</w:t>
            </w:r>
            <w:r w:rsidRPr="008D54DE">
              <w:rPr>
                <w:rFonts w:hint="eastAsia"/>
                <w:color w:val="000000" w:themeColor="text1"/>
                <w:sz w:val="20"/>
                <w:szCs w:val="20"/>
              </w:rPr>
              <w:t>ż</w:t>
            </w:r>
            <w:r w:rsidRPr="008D54DE">
              <w:rPr>
                <w:color w:val="000000" w:themeColor="text1"/>
                <w:sz w:val="20"/>
                <w:szCs w:val="20"/>
              </w:rPr>
              <w:t>ylnym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trwaj</w:t>
            </w:r>
            <w:r w:rsidRPr="008D54DE">
              <w:rPr>
                <w:rFonts w:hint="eastAsia"/>
                <w:color w:val="000000" w:themeColor="text1"/>
                <w:sz w:val="20"/>
                <w:szCs w:val="20"/>
              </w:rPr>
              <w:t>ą</w:t>
            </w:r>
            <w:r w:rsidRPr="008D54DE">
              <w:rPr>
                <w:color w:val="000000" w:themeColor="text1"/>
                <w:sz w:val="20"/>
                <w:szCs w:val="20"/>
              </w:rPr>
              <w:t>cym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30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minut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co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3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tygodnie.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50E7719" w14:textId="40307359" w:rsidR="00EE4B01" w:rsidRPr="008D54DE" w:rsidRDefault="00EE4B01" w:rsidP="008D54DE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8D54DE">
              <w:rPr>
                <w:color w:val="000000" w:themeColor="text1"/>
                <w:sz w:val="20"/>
                <w:szCs w:val="20"/>
              </w:rPr>
              <w:t>Je</w:t>
            </w:r>
            <w:r w:rsidRPr="008D54DE">
              <w:rPr>
                <w:rFonts w:hint="eastAsia"/>
                <w:color w:val="000000" w:themeColor="text1"/>
                <w:sz w:val="20"/>
                <w:szCs w:val="20"/>
              </w:rPr>
              <w:t>ś</w:t>
            </w:r>
            <w:r w:rsidRPr="008D54DE">
              <w:rPr>
                <w:color w:val="000000" w:themeColor="text1"/>
                <w:sz w:val="20"/>
                <w:szCs w:val="20"/>
              </w:rPr>
              <w:t>li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masa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cia</w:t>
            </w:r>
            <w:r w:rsidRPr="008D54DE">
              <w:rPr>
                <w:rFonts w:hint="eastAsia"/>
                <w:color w:val="000000" w:themeColor="text1"/>
                <w:sz w:val="20"/>
                <w:szCs w:val="20"/>
              </w:rPr>
              <w:t>ł</w:t>
            </w:r>
            <w:r w:rsidRPr="008D54DE">
              <w:rPr>
                <w:color w:val="000000" w:themeColor="text1"/>
                <w:sz w:val="20"/>
                <w:szCs w:val="20"/>
              </w:rPr>
              <w:t>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pacjenta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przekracza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100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kg,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do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obliczenia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dawki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nale</w:t>
            </w:r>
            <w:r w:rsidRPr="008D54DE">
              <w:rPr>
                <w:rFonts w:hint="eastAsia"/>
                <w:color w:val="000000" w:themeColor="text1"/>
                <w:sz w:val="20"/>
                <w:szCs w:val="20"/>
              </w:rPr>
              <w:t>ż</w:t>
            </w:r>
            <w:r w:rsidRPr="008D54DE">
              <w:rPr>
                <w:color w:val="000000" w:themeColor="text1"/>
                <w:sz w:val="20"/>
                <w:szCs w:val="20"/>
              </w:rPr>
              <w:t>y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przyj</w:t>
            </w:r>
            <w:r w:rsidRPr="008D54DE">
              <w:rPr>
                <w:rFonts w:hint="eastAsia"/>
                <w:color w:val="000000" w:themeColor="text1"/>
                <w:sz w:val="20"/>
                <w:szCs w:val="20"/>
              </w:rPr>
              <w:t>ąć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100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54DE">
              <w:rPr>
                <w:color w:val="000000" w:themeColor="text1"/>
                <w:sz w:val="20"/>
                <w:szCs w:val="20"/>
              </w:rPr>
              <w:t>kg.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CB5E346" w14:textId="1C588A70" w:rsidR="0092194D" w:rsidRDefault="0092194D" w:rsidP="008D54DE">
            <w:pPr>
              <w:pStyle w:val="Tekstpodstawowy"/>
              <w:spacing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Zalecana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dawka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u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pacjentów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wieku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poniżej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18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roku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życia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wynosi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1,8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mg/kg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podawana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we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wlewie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dożylnym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trwającym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minut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co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tygodnie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lub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1,2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mg/kg</w:t>
            </w:r>
            <w:r w:rsidR="00D5386C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m.c</w:t>
            </w:r>
            <w:proofErr w:type="spellEnd"/>
            <w:r>
              <w:rPr>
                <w:color w:val="000000" w:themeColor="text1"/>
              </w:rPr>
              <w:t>.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(max.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120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mg)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co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lub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14</w:t>
            </w:r>
            <w:r w:rsidR="00D538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dni.</w:t>
            </w:r>
          </w:p>
          <w:p w14:paraId="4ED6BAD5" w14:textId="77777777" w:rsidR="0092194D" w:rsidRDefault="0092194D" w:rsidP="00A93EDB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211905C" w14:textId="7EBAD28F" w:rsidR="003A46B0" w:rsidRPr="00D5386C" w:rsidRDefault="003A46B0" w:rsidP="00D5386C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D5386C">
              <w:rPr>
                <w:color w:val="000000" w:themeColor="text1"/>
                <w:sz w:val="20"/>
                <w:szCs w:val="20"/>
              </w:rPr>
              <w:t>Pacjentów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nale</w:t>
            </w:r>
            <w:r w:rsidRPr="00D5386C">
              <w:rPr>
                <w:rFonts w:hint="eastAsia"/>
                <w:color w:val="000000" w:themeColor="text1"/>
                <w:sz w:val="20"/>
                <w:szCs w:val="20"/>
              </w:rPr>
              <w:t>ż</w:t>
            </w:r>
            <w:r w:rsidRPr="00D5386C">
              <w:rPr>
                <w:color w:val="000000" w:themeColor="text1"/>
                <w:sz w:val="20"/>
                <w:szCs w:val="20"/>
              </w:rPr>
              <w:t>y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obj</w:t>
            </w:r>
            <w:r w:rsidRPr="00D5386C">
              <w:rPr>
                <w:rFonts w:hint="eastAsia"/>
                <w:color w:val="000000" w:themeColor="text1"/>
                <w:sz w:val="20"/>
                <w:szCs w:val="20"/>
              </w:rPr>
              <w:t>ąć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obserwacj</w:t>
            </w:r>
            <w:r w:rsidRPr="00D5386C">
              <w:rPr>
                <w:rFonts w:hint="eastAsia"/>
                <w:color w:val="000000" w:themeColor="text1"/>
                <w:sz w:val="20"/>
                <w:szCs w:val="20"/>
              </w:rPr>
              <w:t>ą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podczas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podawania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po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podaniu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wlewu.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6DBCCBF" w14:textId="77777777" w:rsidR="003A46B0" w:rsidRDefault="003A46B0" w:rsidP="00A93EDB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94AA57C" w14:textId="5A0F8BF6" w:rsidR="00EE4B01" w:rsidRPr="00D5386C" w:rsidRDefault="00EE4B01" w:rsidP="00D5386C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D5386C">
              <w:rPr>
                <w:color w:val="000000" w:themeColor="text1"/>
                <w:sz w:val="20"/>
                <w:szCs w:val="20"/>
              </w:rPr>
              <w:t>Modyfikacja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dawki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zgodnie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z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zapisami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określonymi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52807" w:rsidRPr="00D5386C">
              <w:rPr>
                <w:color w:val="000000" w:themeColor="text1"/>
                <w:sz w:val="20"/>
                <w:szCs w:val="20"/>
              </w:rPr>
              <w:t>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52807" w:rsidRPr="00D5386C">
              <w:rPr>
                <w:color w:val="000000" w:themeColor="text1"/>
                <w:sz w:val="20"/>
                <w:szCs w:val="20"/>
              </w:rPr>
              <w:t>Charakterystyce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Produktu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Leczniczego.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BB7EC1" w14:textId="77777777" w:rsidR="00EE4B01" w:rsidRPr="00717489" w:rsidRDefault="00EE4B01" w:rsidP="00A93EDB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586CD835" w14:textId="006DD9A4" w:rsidR="003A46B0" w:rsidRPr="00D5386C" w:rsidRDefault="003A46B0" w:rsidP="00D5386C">
            <w:pPr>
              <w:autoSpaceDE w:val="0"/>
              <w:autoSpaceDN w:val="0"/>
              <w:adjustRightInd w:val="0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D5386C">
              <w:rPr>
                <w:color w:val="000000" w:themeColor="text1"/>
                <w:sz w:val="20"/>
                <w:szCs w:val="20"/>
              </w:rPr>
              <w:t>Pacjenci,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których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nast</w:t>
            </w:r>
            <w:r w:rsidRPr="00D5386C">
              <w:rPr>
                <w:rFonts w:hint="eastAsia"/>
                <w:color w:val="000000" w:themeColor="text1"/>
                <w:sz w:val="20"/>
                <w:szCs w:val="20"/>
              </w:rPr>
              <w:t>ą</w:t>
            </w:r>
            <w:r w:rsidRPr="00D5386C">
              <w:rPr>
                <w:color w:val="000000" w:themeColor="text1"/>
                <w:sz w:val="20"/>
                <w:szCs w:val="20"/>
              </w:rPr>
              <w:t>pi</w:t>
            </w:r>
            <w:r w:rsidRPr="00D5386C">
              <w:rPr>
                <w:rFonts w:hint="eastAsia"/>
                <w:color w:val="000000" w:themeColor="text1"/>
                <w:sz w:val="20"/>
                <w:szCs w:val="20"/>
              </w:rPr>
              <w:t>ł</w:t>
            </w:r>
            <w:r w:rsidRPr="00D5386C">
              <w:rPr>
                <w:color w:val="000000" w:themeColor="text1"/>
                <w:sz w:val="20"/>
                <w:szCs w:val="20"/>
              </w:rPr>
              <w:t>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stabilizacja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choroby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lub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poprawa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stanu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powinni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otrzyma</w:t>
            </w:r>
            <w:r w:rsidRPr="00D5386C">
              <w:rPr>
                <w:rFonts w:hint="eastAsia"/>
                <w:color w:val="000000" w:themeColor="text1"/>
                <w:sz w:val="20"/>
                <w:szCs w:val="20"/>
              </w:rPr>
              <w:t>ć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maksymalnie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do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="00207284" w:rsidRPr="00D5386C">
              <w:rPr>
                <w:color w:val="000000" w:themeColor="text1"/>
                <w:sz w:val="20"/>
                <w:szCs w:val="20"/>
              </w:rPr>
              <w:t>szesnastu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cykli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leczenia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(w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ci</w:t>
            </w:r>
            <w:r w:rsidRPr="00D5386C">
              <w:rPr>
                <w:rFonts w:hint="eastAsia"/>
                <w:color w:val="000000" w:themeColor="text1"/>
                <w:sz w:val="20"/>
                <w:szCs w:val="20"/>
              </w:rPr>
              <w:t>ą</w:t>
            </w:r>
            <w:r w:rsidRPr="00D5386C">
              <w:rPr>
                <w:color w:val="000000" w:themeColor="text1"/>
                <w:sz w:val="20"/>
                <w:szCs w:val="20"/>
              </w:rPr>
              <w:t>gu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oko</w:t>
            </w:r>
            <w:r w:rsidRPr="00D5386C">
              <w:rPr>
                <w:rFonts w:hint="eastAsia"/>
                <w:color w:val="000000" w:themeColor="text1"/>
                <w:sz w:val="20"/>
                <w:szCs w:val="20"/>
              </w:rPr>
              <w:t>ł</w:t>
            </w:r>
            <w:r w:rsidRPr="00D5386C">
              <w:rPr>
                <w:color w:val="000000" w:themeColor="text1"/>
                <w:sz w:val="20"/>
                <w:szCs w:val="20"/>
              </w:rPr>
              <w:t>o</w:t>
            </w:r>
            <w:r w:rsidR="00D5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5386C">
              <w:rPr>
                <w:color w:val="000000" w:themeColor="text1"/>
                <w:sz w:val="20"/>
                <w:szCs w:val="20"/>
              </w:rPr>
              <w:t>roku)</w:t>
            </w:r>
            <w:r w:rsidR="00763C0C" w:rsidRPr="00D5386C">
              <w:rPr>
                <w:color w:val="000000" w:themeColor="text1"/>
                <w:sz w:val="20"/>
                <w:szCs w:val="20"/>
              </w:rPr>
              <w:t>.</w:t>
            </w:r>
          </w:p>
          <w:p w14:paraId="62AF4650" w14:textId="15D8DA4F" w:rsidR="003A46B0" w:rsidRPr="00717489" w:rsidRDefault="003A46B0" w:rsidP="00A93EDB">
            <w:pPr>
              <w:pStyle w:val="Default"/>
              <w:spacing w:after="60"/>
              <w:ind w:firstLine="4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5BD4" w14:textId="38AB5FF2" w:rsidR="003A46B0" w:rsidRPr="00A93EDB" w:rsidRDefault="003A46B0" w:rsidP="008D54D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60"/>
              <w:contextualSpacing w:val="0"/>
              <w:rPr>
                <w:b/>
                <w:bCs/>
                <w:sz w:val="20"/>
                <w:szCs w:val="20"/>
              </w:rPr>
            </w:pPr>
            <w:r w:rsidRPr="00A93EDB">
              <w:rPr>
                <w:b/>
                <w:bCs/>
                <w:sz w:val="20"/>
                <w:szCs w:val="20"/>
              </w:rPr>
              <w:t>Badania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przy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kwalifikacji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do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leczenia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3EDB">
              <w:rPr>
                <w:b/>
                <w:bCs/>
                <w:sz w:val="20"/>
                <w:szCs w:val="20"/>
              </w:rPr>
              <w:t>brentuksymabem</w:t>
            </w:r>
            <w:proofErr w:type="spellEnd"/>
            <w:r w:rsidR="0079521B" w:rsidRPr="00A93EDB">
              <w:rPr>
                <w:b/>
                <w:bCs/>
                <w:sz w:val="20"/>
                <w:szCs w:val="20"/>
              </w:rPr>
              <w:t>: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A9DC3CA" w14:textId="04311615" w:rsidR="003A46B0" w:rsidRPr="00E45EC5" w:rsidRDefault="008D54DE" w:rsidP="008D54DE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3A46B0" w:rsidRPr="00E45EC5">
              <w:rPr>
                <w:bCs/>
                <w:sz w:val="20"/>
                <w:szCs w:val="20"/>
              </w:rPr>
              <w:t>adanie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podmiotowe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i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przedmiotowe</w:t>
            </w:r>
            <w:r w:rsidR="0030677E">
              <w:rPr>
                <w:bCs/>
                <w:sz w:val="20"/>
                <w:szCs w:val="20"/>
              </w:rPr>
              <w:t>;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</w:p>
          <w:p w14:paraId="016CEA2A" w14:textId="612FF3EC" w:rsidR="003A46B0" w:rsidRPr="00E45EC5" w:rsidRDefault="008D54DE" w:rsidP="008D54DE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="003A46B0" w:rsidRPr="00E45EC5">
              <w:rPr>
                <w:bCs/>
                <w:sz w:val="20"/>
                <w:szCs w:val="20"/>
              </w:rPr>
              <w:t>orfologia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krwi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z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rozmazem</w:t>
            </w:r>
            <w:r w:rsidR="0030677E">
              <w:rPr>
                <w:bCs/>
                <w:sz w:val="20"/>
                <w:szCs w:val="20"/>
              </w:rPr>
              <w:t>;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</w:p>
          <w:p w14:paraId="4A5FEF33" w14:textId="5CD5478B" w:rsidR="003A46B0" w:rsidRPr="00E45EC5" w:rsidRDefault="008D54DE" w:rsidP="008D54DE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3A46B0" w:rsidRPr="00E45EC5">
              <w:rPr>
                <w:bCs/>
                <w:sz w:val="20"/>
                <w:szCs w:val="20"/>
              </w:rPr>
              <w:t>ktywnoś</w:t>
            </w:r>
            <w:r w:rsidR="002F45F9">
              <w:rPr>
                <w:bCs/>
                <w:sz w:val="20"/>
                <w:szCs w:val="20"/>
              </w:rPr>
              <w:t>ć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transaminaz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(</w:t>
            </w:r>
            <w:proofErr w:type="spellStart"/>
            <w:r w:rsidR="003A46B0" w:rsidRPr="00E45EC5">
              <w:rPr>
                <w:bCs/>
                <w:sz w:val="20"/>
                <w:szCs w:val="20"/>
              </w:rPr>
              <w:t>AspAT</w:t>
            </w:r>
            <w:proofErr w:type="spellEnd"/>
            <w:r w:rsidR="003A46B0" w:rsidRPr="00E45EC5">
              <w:rPr>
                <w:bCs/>
                <w:sz w:val="20"/>
                <w:szCs w:val="20"/>
              </w:rPr>
              <w:t>,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A46B0" w:rsidRPr="00E45EC5">
              <w:rPr>
                <w:bCs/>
                <w:sz w:val="20"/>
                <w:szCs w:val="20"/>
              </w:rPr>
              <w:t>AlAT</w:t>
            </w:r>
            <w:proofErr w:type="spellEnd"/>
            <w:r w:rsidR="003A46B0" w:rsidRPr="00E45EC5">
              <w:rPr>
                <w:bCs/>
                <w:sz w:val="20"/>
                <w:szCs w:val="20"/>
              </w:rPr>
              <w:t>)</w:t>
            </w:r>
            <w:r w:rsidR="0030677E">
              <w:rPr>
                <w:bCs/>
                <w:sz w:val="20"/>
                <w:szCs w:val="20"/>
              </w:rPr>
              <w:t>;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</w:p>
          <w:p w14:paraId="5D685C3B" w14:textId="4CAB7024" w:rsidR="003A46B0" w:rsidRDefault="008D54DE" w:rsidP="008D54DE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3A46B0" w:rsidRPr="00E45EC5">
              <w:rPr>
                <w:bCs/>
                <w:sz w:val="20"/>
                <w:szCs w:val="20"/>
              </w:rPr>
              <w:t>tężenie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kreatyniny</w:t>
            </w:r>
            <w:r w:rsidR="0030677E">
              <w:rPr>
                <w:bCs/>
                <w:sz w:val="20"/>
                <w:szCs w:val="20"/>
              </w:rPr>
              <w:t>;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</w:p>
          <w:p w14:paraId="07A72D89" w14:textId="7B3B346F" w:rsidR="003A46B0" w:rsidRPr="00E45EC5" w:rsidRDefault="008D54DE" w:rsidP="008D54DE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  <w:r w:rsidR="003A46B0">
              <w:rPr>
                <w:bCs/>
                <w:sz w:val="20"/>
                <w:szCs w:val="20"/>
              </w:rPr>
              <w:t>tężenie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>
              <w:rPr>
                <w:bCs/>
                <w:sz w:val="20"/>
                <w:szCs w:val="20"/>
              </w:rPr>
              <w:t>glukozy</w:t>
            </w:r>
            <w:r w:rsidR="0030677E">
              <w:rPr>
                <w:bCs/>
                <w:sz w:val="20"/>
                <w:szCs w:val="20"/>
              </w:rPr>
              <w:t>;</w:t>
            </w:r>
          </w:p>
          <w:p w14:paraId="338A9C0A" w14:textId="41666D77" w:rsidR="003A46B0" w:rsidRPr="00E45EC5" w:rsidRDefault="008D54DE" w:rsidP="008D54DE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86784C">
              <w:rPr>
                <w:bCs/>
                <w:sz w:val="20"/>
                <w:szCs w:val="20"/>
              </w:rPr>
              <w:t>dokumentowanie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obecnoś</w:t>
            </w:r>
            <w:r w:rsidR="0086784C">
              <w:rPr>
                <w:bCs/>
                <w:sz w:val="20"/>
                <w:szCs w:val="20"/>
              </w:rPr>
              <w:t>ci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antygenu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CD30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w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tkance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A46B0" w:rsidRPr="00E45EC5">
              <w:rPr>
                <w:bCs/>
                <w:sz w:val="20"/>
                <w:szCs w:val="20"/>
              </w:rPr>
              <w:t>chłoniaka</w:t>
            </w:r>
            <w:proofErr w:type="spellEnd"/>
            <w:r w:rsidR="00D5386C">
              <w:rPr>
                <w:bCs/>
                <w:sz w:val="20"/>
                <w:szCs w:val="20"/>
              </w:rPr>
              <w:t xml:space="preserve"> </w:t>
            </w:r>
            <w:r w:rsidR="0086784C">
              <w:rPr>
                <w:bCs/>
                <w:sz w:val="20"/>
                <w:szCs w:val="20"/>
              </w:rPr>
              <w:t>badaniem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86784C">
              <w:rPr>
                <w:bCs/>
                <w:sz w:val="20"/>
                <w:szCs w:val="20"/>
              </w:rPr>
              <w:t>immunohistochemicznym</w:t>
            </w:r>
            <w:r w:rsidR="0030677E">
              <w:rPr>
                <w:bCs/>
                <w:sz w:val="20"/>
                <w:szCs w:val="20"/>
              </w:rPr>
              <w:t>;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</w:p>
          <w:p w14:paraId="6790F91B" w14:textId="0E19732A" w:rsidR="003A46B0" w:rsidRPr="00E45EC5" w:rsidRDefault="008D54DE" w:rsidP="008D54DE">
            <w:pPr>
              <w:numPr>
                <w:ilvl w:val="2"/>
                <w:numId w:val="21"/>
              </w:numPr>
              <w:autoSpaceDE w:val="0"/>
              <w:autoSpaceDN w:val="0"/>
              <w:adjustRightInd w:val="0"/>
              <w:spacing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3A46B0" w:rsidRPr="00E45EC5">
              <w:rPr>
                <w:bCs/>
                <w:sz w:val="20"/>
                <w:szCs w:val="20"/>
              </w:rPr>
              <w:t>adanie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obrazowe: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tomografia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komputerowa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(TK)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lub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tomografia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emisyjna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 w:rsidRPr="0030677E">
              <w:rPr>
                <w:bCs/>
                <w:sz w:val="20"/>
                <w:szCs w:val="20"/>
              </w:rPr>
              <w:t>pozytonowa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(PET/</w:t>
            </w:r>
            <w:r w:rsidR="003A46B0" w:rsidRPr="00E45EC5">
              <w:rPr>
                <w:bCs/>
                <w:sz w:val="20"/>
                <w:szCs w:val="20"/>
              </w:rPr>
              <w:t>TK)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dokumentująca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zmiany: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szyi,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klatki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piersiow</w:t>
            </w:r>
            <w:r w:rsidR="0030677E">
              <w:rPr>
                <w:bCs/>
                <w:sz w:val="20"/>
                <w:szCs w:val="20"/>
              </w:rPr>
              <w:t>ej,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jamy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brzusznej,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miednicy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mniejszej.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</w:p>
          <w:p w14:paraId="3FB179F8" w14:textId="77777777" w:rsidR="003A46B0" w:rsidRPr="008810EE" w:rsidRDefault="003A46B0" w:rsidP="00A93EDB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</w:p>
          <w:p w14:paraId="16A0EDEC" w14:textId="39EB6B1F" w:rsidR="003A46B0" w:rsidRPr="00A93EDB" w:rsidRDefault="003A46B0" w:rsidP="008D54D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93EDB">
              <w:rPr>
                <w:b/>
                <w:bCs/>
                <w:sz w:val="20"/>
                <w:szCs w:val="20"/>
              </w:rPr>
              <w:t>Badania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wykonywane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przed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każdym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podaniem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leku</w:t>
            </w:r>
          </w:p>
          <w:p w14:paraId="04E2A59A" w14:textId="6D059E08" w:rsidR="003A46B0" w:rsidRPr="00035562" w:rsidRDefault="008D54DE" w:rsidP="008D54DE">
            <w:pPr>
              <w:numPr>
                <w:ilvl w:val="2"/>
                <w:numId w:val="21"/>
              </w:num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</w:t>
            </w:r>
            <w:r w:rsidR="003A46B0" w:rsidRPr="00035562">
              <w:rPr>
                <w:sz w:val="20"/>
              </w:rPr>
              <w:t>adanie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podmiotowe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i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przedmiotowe</w:t>
            </w:r>
            <w:r w:rsidR="0030677E">
              <w:rPr>
                <w:sz w:val="20"/>
              </w:rPr>
              <w:t>;</w:t>
            </w:r>
            <w:r w:rsidR="00D5386C">
              <w:rPr>
                <w:sz w:val="20"/>
              </w:rPr>
              <w:t xml:space="preserve"> </w:t>
            </w:r>
          </w:p>
          <w:p w14:paraId="05F7C277" w14:textId="15940E30" w:rsidR="003A46B0" w:rsidRPr="00035562" w:rsidRDefault="008D54DE" w:rsidP="008D54DE">
            <w:pPr>
              <w:numPr>
                <w:ilvl w:val="2"/>
                <w:numId w:val="21"/>
              </w:num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m</w:t>
            </w:r>
            <w:r w:rsidR="003A46B0" w:rsidRPr="00035562">
              <w:rPr>
                <w:sz w:val="20"/>
              </w:rPr>
              <w:t>orfologia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krwi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z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rozmazem</w:t>
            </w:r>
            <w:r w:rsidR="0030677E">
              <w:rPr>
                <w:sz w:val="20"/>
              </w:rPr>
              <w:t>;</w:t>
            </w:r>
            <w:r w:rsidR="00D5386C">
              <w:rPr>
                <w:sz w:val="20"/>
              </w:rPr>
              <w:t xml:space="preserve"> </w:t>
            </w:r>
          </w:p>
          <w:p w14:paraId="0CEC0794" w14:textId="02C23A8B" w:rsidR="003A46B0" w:rsidRPr="00035562" w:rsidRDefault="008D54DE" w:rsidP="008D54DE">
            <w:pPr>
              <w:numPr>
                <w:ilvl w:val="2"/>
                <w:numId w:val="21"/>
              </w:num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3A46B0" w:rsidRPr="00035562">
              <w:rPr>
                <w:sz w:val="20"/>
              </w:rPr>
              <w:t>tężenie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kreatyniny</w:t>
            </w:r>
            <w:r w:rsidR="0030677E">
              <w:rPr>
                <w:sz w:val="20"/>
              </w:rPr>
              <w:t>;</w:t>
            </w:r>
            <w:r w:rsidR="00D5386C">
              <w:rPr>
                <w:sz w:val="20"/>
              </w:rPr>
              <w:t xml:space="preserve"> </w:t>
            </w:r>
          </w:p>
          <w:p w14:paraId="55EB8305" w14:textId="1D6D66CC" w:rsidR="003A46B0" w:rsidRDefault="008D54DE" w:rsidP="008D54DE">
            <w:pPr>
              <w:numPr>
                <w:ilvl w:val="2"/>
                <w:numId w:val="21"/>
              </w:num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 w:rsidR="003A46B0" w:rsidRPr="00035562">
              <w:rPr>
                <w:sz w:val="20"/>
              </w:rPr>
              <w:t>ktywnoś</w:t>
            </w:r>
            <w:r w:rsidR="002F45F9">
              <w:rPr>
                <w:sz w:val="20"/>
              </w:rPr>
              <w:t>ć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transaminaz</w:t>
            </w:r>
            <w:r w:rsidR="00D5386C">
              <w:rPr>
                <w:sz w:val="20"/>
              </w:rPr>
              <w:t xml:space="preserve"> </w:t>
            </w:r>
            <w:r w:rsidR="003A46B0" w:rsidRPr="00035562">
              <w:rPr>
                <w:sz w:val="20"/>
              </w:rPr>
              <w:t>(</w:t>
            </w:r>
            <w:proofErr w:type="spellStart"/>
            <w:r w:rsidR="003A46B0" w:rsidRPr="00035562">
              <w:rPr>
                <w:sz w:val="20"/>
              </w:rPr>
              <w:t>AspAT</w:t>
            </w:r>
            <w:proofErr w:type="spellEnd"/>
            <w:r w:rsidR="003A46B0" w:rsidRPr="00035562">
              <w:rPr>
                <w:sz w:val="20"/>
              </w:rPr>
              <w:t>,</w:t>
            </w:r>
            <w:r w:rsidR="00D5386C">
              <w:rPr>
                <w:sz w:val="20"/>
              </w:rPr>
              <w:t xml:space="preserve"> </w:t>
            </w:r>
            <w:proofErr w:type="spellStart"/>
            <w:r w:rsidR="003A46B0" w:rsidRPr="00035562">
              <w:rPr>
                <w:sz w:val="20"/>
              </w:rPr>
              <w:t>AlAT</w:t>
            </w:r>
            <w:proofErr w:type="spellEnd"/>
            <w:r w:rsidR="003A46B0" w:rsidRPr="00035562">
              <w:rPr>
                <w:sz w:val="20"/>
              </w:rPr>
              <w:t>)</w:t>
            </w:r>
            <w:r w:rsidR="0030677E">
              <w:rPr>
                <w:sz w:val="20"/>
              </w:rPr>
              <w:t>;</w:t>
            </w:r>
          </w:p>
          <w:p w14:paraId="470E30E1" w14:textId="601889FB" w:rsidR="003A46B0" w:rsidRPr="00035562" w:rsidRDefault="008D54DE" w:rsidP="008D54DE">
            <w:pPr>
              <w:numPr>
                <w:ilvl w:val="2"/>
                <w:numId w:val="21"/>
              </w:numPr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3A46B0">
              <w:rPr>
                <w:sz w:val="20"/>
              </w:rPr>
              <w:t>tężenie</w:t>
            </w:r>
            <w:r w:rsidR="00D5386C">
              <w:rPr>
                <w:sz w:val="20"/>
              </w:rPr>
              <w:t xml:space="preserve"> </w:t>
            </w:r>
            <w:r w:rsidR="003A46B0">
              <w:rPr>
                <w:sz w:val="20"/>
              </w:rPr>
              <w:t>glukozy</w:t>
            </w:r>
            <w:r w:rsidR="0030677E">
              <w:rPr>
                <w:sz w:val="20"/>
              </w:rPr>
              <w:t>.</w:t>
            </w:r>
          </w:p>
          <w:p w14:paraId="06760E52" w14:textId="77777777" w:rsidR="003A46B0" w:rsidRDefault="003A46B0" w:rsidP="00A93EDB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sz w:val="20"/>
                <w:szCs w:val="20"/>
              </w:rPr>
            </w:pPr>
          </w:p>
          <w:p w14:paraId="7A100673" w14:textId="616A8D82" w:rsidR="0030677E" w:rsidRPr="00A93EDB" w:rsidRDefault="003A46B0" w:rsidP="008D54D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93EDB">
              <w:rPr>
                <w:b/>
                <w:bCs/>
                <w:sz w:val="20"/>
                <w:szCs w:val="20"/>
              </w:rPr>
              <w:t>Badanie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obrazowe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A93EDB">
              <w:rPr>
                <w:b/>
                <w:bCs/>
                <w:sz w:val="20"/>
                <w:szCs w:val="20"/>
              </w:rPr>
              <w:t>wykonywan</w:t>
            </w:r>
            <w:r w:rsidR="0030677E" w:rsidRPr="00A93EDB">
              <w:rPr>
                <w:b/>
                <w:bCs/>
                <w:sz w:val="20"/>
                <w:szCs w:val="20"/>
              </w:rPr>
              <w:t>e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30677E" w:rsidRPr="00A93EDB">
              <w:rPr>
                <w:b/>
                <w:bCs/>
                <w:sz w:val="20"/>
                <w:szCs w:val="20"/>
              </w:rPr>
              <w:t>po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drugim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i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ósmym</w:t>
            </w:r>
            <w:r w:rsidR="00D5386C">
              <w:rPr>
                <w:rStyle w:val="Odwoaniedokomentarza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cy</w:t>
            </w:r>
            <w:r w:rsidR="0030677E" w:rsidRPr="00A93EDB">
              <w:rPr>
                <w:b/>
                <w:bCs/>
                <w:sz w:val="20"/>
                <w:szCs w:val="20"/>
              </w:rPr>
              <w:t>kl</w:t>
            </w:r>
            <w:r w:rsidR="00C84BB7" w:rsidRPr="00A93EDB">
              <w:rPr>
                <w:b/>
                <w:bCs/>
                <w:sz w:val="20"/>
                <w:szCs w:val="20"/>
              </w:rPr>
              <w:t>u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30677E" w:rsidRPr="00A93EDB">
              <w:rPr>
                <w:b/>
                <w:bCs/>
                <w:sz w:val="20"/>
                <w:szCs w:val="20"/>
              </w:rPr>
              <w:t>leczenia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lub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w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razie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klinicznego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podejrzenia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progresji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924223" w:rsidRPr="00A93EDB">
              <w:rPr>
                <w:b/>
                <w:bCs/>
                <w:sz w:val="20"/>
                <w:szCs w:val="20"/>
              </w:rPr>
              <w:t>lub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924223" w:rsidRPr="00A93EDB">
              <w:rPr>
                <w:b/>
                <w:bCs/>
                <w:sz w:val="20"/>
                <w:szCs w:val="20"/>
              </w:rPr>
              <w:t>nawrotu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choroby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wymagającego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potwierdzenia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takimi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C84BB7" w:rsidRPr="00A93EDB">
              <w:rPr>
                <w:b/>
                <w:bCs/>
                <w:sz w:val="20"/>
                <w:szCs w:val="20"/>
              </w:rPr>
              <w:t>badaniami</w:t>
            </w:r>
          </w:p>
          <w:p w14:paraId="1560260A" w14:textId="6EB67504" w:rsidR="003A46B0" w:rsidRPr="008D54DE" w:rsidRDefault="0030677E" w:rsidP="008D54DE">
            <w:pPr>
              <w:autoSpaceDE w:val="0"/>
              <w:autoSpaceDN w:val="0"/>
              <w:adjustRightInd w:val="0"/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8D54DE">
              <w:rPr>
                <w:sz w:val="20"/>
              </w:rPr>
              <w:lastRenderedPageBreak/>
              <w:t>TK</w:t>
            </w:r>
            <w:r w:rsidR="00D5386C">
              <w:rPr>
                <w:sz w:val="20"/>
              </w:rPr>
              <w:t xml:space="preserve"> </w:t>
            </w:r>
            <w:r w:rsidRPr="008D54DE">
              <w:rPr>
                <w:sz w:val="20"/>
              </w:rPr>
              <w:t>lub</w:t>
            </w:r>
            <w:r w:rsidR="00D5386C">
              <w:rPr>
                <w:sz w:val="20"/>
              </w:rPr>
              <w:t xml:space="preserve"> </w:t>
            </w:r>
            <w:r w:rsidRPr="008D54DE">
              <w:rPr>
                <w:sz w:val="20"/>
              </w:rPr>
              <w:t>PET/</w:t>
            </w:r>
            <w:r w:rsidR="003A46B0" w:rsidRPr="008D54DE">
              <w:rPr>
                <w:sz w:val="20"/>
              </w:rPr>
              <w:t>TK</w:t>
            </w:r>
            <w:r w:rsidR="00D5386C">
              <w:rPr>
                <w:sz w:val="20"/>
              </w:rPr>
              <w:t xml:space="preserve"> </w:t>
            </w:r>
            <w:r w:rsidR="003A46B0" w:rsidRPr="008D54DE">
              <w:rPr>
                <w:sz w:val="20"/>
              </w:rPr>
              <w:t>zmian</w:t>
            </w:r>
            <w:r w:rsidR="00D5386C">
              <w:rPr>
                <w:sz w:val="20"/>
              </w:rPr>
              <w:t xml:space="preserve"> </w:t>
            </w:r>
            <w:r w:rsidR="003A46B0" w:rsidRPr="008D54DE">
              <w:rPr>
                <w:sz w:val="20"/>
              </w:rPr>
              <w:t>opisywanych</w:t>
            </w:r>
            <w:r w:rsidR="00D5386C">
              <w:rPr>
                <w:sz w:val="20"/>
              </w:rPr>
              <w:t xml:space="preserve"> </w:t>
            </w:r>
            <w:r w:rsidR="003A46B0" w:rsidRPr="008D54DE">
              <w:rPr>
                <w:sz w:val="20"/>
              </w:rPr>
              <w:t>w</w:t>
            </w:r>
            <w:r w:rsidR="00D5386C">
              <w:rPr>
                <w:sz w:val="20"/>
              </w:rPr>
              <w:t xml:space="preserve"> </w:t>
            </w:r>
            <w:r w:rsidR="003A46B0" w:rsidRPr="008D54DE">
              <w:rPr>
                <w:sz w:val="20"/>
              </w:rPr>
              <w:t>badaniu</w:t>
            </w:r>
            <w:r w:rsidR="00D5386C">
              <w:rPr>
                <w:sz w:val="20"/>
              </w:rPr>
              <w:t xml:space="preserve"> </w:t>
            </w:r>
            <w:r w:rsidR="003A46B0" w:rsidRPr="008D54DE">
              <w:rPr>
                <w:sz w:val="20"/>
              </w:rPr>
              <w:t>kwalifikującym</w:t>
            </w:r>
            <w:r w:rsidR="00D5386C">
              <w:rPr>
                <w:sz w:val="20"/>
              </w:rPr>
              <w:t xml:space="preserve"> </w:t>
            </w:r>
            <w:r w:rsidR="003A46B0" w:rsidRPr="008D54DE">
              <w:rPr>
                <w:sz w:val="20"/>
              </w:rPr>
              <w:t>do</w:t>
            </w:r>
            <w:r w:rsidR="00D5386C">
              <w:rPr>
                <w:sz w:val="20"/>
              </w:rPr>
              <w:t xml:space="preserve"> </w:t>
            </w:r>
            <w:r w:rsidR="003A46B0" w:rsidRPr="008D54DE">
              <w:rPr>
                <w:sz w:val="20"/>
              </w:rPr>
              <w:t>programu</w:t>
            </w:r>
            <w:r w:rsidR="00D5386C">
              <w:rPr>
                <w:sz w:val="20"/>
              </w:rPr>
              <w:t xml:space="preserve"> </w:t>
            </w:r>
          </w:p>
          <w:p w14:paraId="24A00921" w14:textId="77777777" w:rsidR="003A46B0" w:rsidRDefault="003A46B0" w:rsidP="00A93EDB">
            <w:pPr>
              <w:spacing w:after="60"/>
              <w:ind w:left="720"/>
              <w:jc w:val="both"/>
              <w:rPr>
                <w:sz w:val="20"/>
                <w:szCs w:val="20"/>
              </w:rPr>
            </w:pPr>
          </w:p>
          <w:p w14:paraId="6611680A" w14:textId="1142710B" w:rsidR="008D54DE" w:rsidRPr="008D54DE" w:rsidRDefault="003A46B0" w:rsidP="008D54DE">
            <w:pPr>
              <w:pStyle w:val="Akapitzlist"/>
              <w:numPr>
                <w:ilvl w:val="0"/>
                <w:numId w:val="21"/>
              </w:numPr>
              <w:spacing w:after="60"/>
              <w:contextualSpacing w:val="0"/>
              <w:jc w:val="both"/>
              <w:rPr>
                <w:bCs/>
                <w:sz w:val="20"/>
                <w:szCs w:val="20"/>
              </w:rPr>
            </w:pPr>
            <w:r w:rsidRPr="008D54DE">
              <w:rPr>
                <w:b/>
                <w:sz w:val="20"/>
              </w:rPr>
              <w:t>Kryteria</w:t>
            </w:r>
            <w:r w:rsidR="00D5386C">
              <w:rPr>
                <w:b/>
                <w:sz w:val="20"/>
              </w:rPr>
              <w:t xml:space="preserve"> </w:t>
            </w:r>
            <w:r w:rsidRPr="008D54DE">
              <w:rPr>
                <w:b/>
                <w:sz w:val="20"/>
              </w:rPr>
              <w:t>odpowiedzi</w:t>
            </w:r>
            <w:r w:rsidR="00D5386C">
              <w:rPr>
                <w:b/>
                <w:sz w:val="20"/>
              </w:rPr>
              <w:t xml:space="preserve"> </w:t>
            </w:r>
            <w:r w:rsidRPr="008D54DE">
              <w:rPr>
                <w:b/>
                <w:sz w:val="20"/>
              </w:rPr>
              <w:t>na</w:t>
            </w:r>
            <w:r w:rsidR="00D5386C">
              <w:rPr>
                <w:b/>
                <w:sz w:val="20"/>
              </w:rPr>
              <w:t xml:space="preserve"> </w:t>
            </w:r>
            <w:r w:rsidRPr="008D54DE">
              <w:rPr>
                <w:b/>
                <w:sz w:val="20"/>
              </w:rPr>
              <w:t>leczenie</w:t>
            </w:r>
          </w:p>
          <w:p w14:paraId="2924A6D8" w14:textId="273E017B" w:rsidR="003A46B0" w:rsidRPr="008D54DE" w:rsidRDefault="003A46B0" w:rsidP="008D54DE">
            <w:pPr>
              <w:spacing w:after="60"/>
              <w:jc w:val="both"/>
              <w:rPr>
                <w:bCs/>
                <w:sz w:val="20"/>
                <w:szCs w:val="20"/>
              </w:rPr>
            </w:pPr>
            <w:r w:rsidRPr="008D54DE">
              <w:rPr>
                <w:bCs/>
                <w:sz w:val="20"/>
                <w:szCs w:val="20"/>
              </w:rPr>
              <w:t>Ocena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Pr="008D54DE">
              <w:rPr>
                <w:bCs/>
                <w:sz w:val="20"/>
                <w:szCs w:val="20"/>
              </w:rPr>
              <w:t>odpowiedzi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Pr="008D54DE">
              <w:rPr>
                <w:bCs/>
                <w:sz w:val="20"/>
                <w:szCs w:val="20"/>
              </w:rPr>
              <w:t>na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Pr="008D54DE">
              <w:rPr>
                <w:bCs/>
                <w:sz w:val="20"/>
                <w:szCs w:val="20"/>
              </w:rPr>
              <w:t>leczenie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Pr="008D54DE">
              <w:rPr>
                <w:bCs/>
                <w:sz w:val="20"/>
                <w:szCs w:val="20"/>
              </w:rPr>
              <w:t>będzie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Pr="008D54DE">
              <w:rPr>
                <w:bCs/>
                <w:sz w:val="20"/>
                <w:szCs w:val="20"/>
              </w:rPr>
              <w:t>się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Pr="008D54DE">
              <w:rPr>
                <w:bCs/>
                <w:sz w:val="20"/>
                <w:szCs w:val="20"/>
              </w:rPr>
              <w:t>odbywała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Pr="008D54DE">
              <w:rPr>
                <w:bCs/>
                <w:sz w:val="20"/>
                <w:szCs w:val="20"/>
              </w:rPr>
              <w:t>n</w:t>
            </w:r>
            <w:r w:rsidR="007201F2" w:rsidRPr="008D54DE">
              <w:rPr>
                <w:bCs/>
                <w:sz w:val="20"/>
                <w:szCs w:val="20"/>
              </w:rPr>
              <w:t>a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  <w:r w:rsidRPr="008D54DE">
              <w:rPr>
                <w:bCs/>
                <w:sz w:val="20"/>
                <w:szCs w:val="20"/>
              </w:rPr>
              <w:t>podstawie:</w:t>
            </w:r>
            <w:r w:rsidR="00D5386C">
              <w:rPr>
                <w:bCs/>
                <w:sz w:val="20"/>
                <w:szCs w:val="20"/>
              </w:rPr>
              <w:t xml:space="preserve"> </w:t>
            </w:r>
          </w:p>
          <w:p w14:paraId="661382EA" w14:textId="40EC8047" w:rsidR="003A46B0" w:rsidRPr="00E45EC5" w:rsidRDefault="00D5386C" w:rsidP="008D54DE">
            <w:pPr>
              <w:numPr>
                <w:ilvl w:val="2"/>
                <w:numId w:val="21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3A46B0" w:rsidRPr="00E45EC5">
              <w:rPr>
                <w:bCs/>
                <w:sz w:val="20"/>
                <w:szCs w:val="20"/>
              </w:rPr>
              <w:t>adanie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podmiotowe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A46B0" w:rsidRPr="00E45EC5">
              <w:rPr>
                <w:bCs/>
                <w:sz w:val="20"/>
                <w:szCs w:val="20"/>
              </w:rPr>
              <w:t>przedmiotowe</w:t>
            </w:r>
            <w:r w:rsidR="00753A25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600AD2B" w14:textId="5C965DE6" w:rsidR="008D54DE" w:rsidRPr="00D5386C" w:rsidRDefault="00D5386C" w:rsidP="008D54DE">
            <w:pPr>
              <w:numPr>
                <w:ilvl w:val="2"/>
                <w:numId w:val="21"/>
              </w:numPr>
              <w:spacing w:after="6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="0030677E">
              <w:rPr>
                <w:bCs/>
                <w:sz w:val="20"/>
                <w:szCs w:val="20"/>
              </w:rPr>
              <w:t>adanie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obrazowe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TK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lub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0677E">
              <w:rPr>
                <w:bCs/>
                <w:sz w:val="20"/>
                <w:szCs w:val="20"/>
              </w:rPr>
              <w:t>PET/</w:t>
            </w:r>
            <w:r w:rsidR="003A46B0" w:rsidRPr="00E45EC5">
              <w:rPr>
                <w:bCs/>
                <w:sz w:val="20"/>
                <w:szCs w:val="20"/>
              </w:rPr>
              <w:t>TK</w:t>
            </w:r>
            <w:r w:rsidR="00753A25">
              <w:rPr>
                <w:bCs/>
                <w:sz w:val="20"/>
                <w:szCs w:val="20"/>
              </w:rPr>
              <w:t>.</w:t>
            </w:r>
          </w:p>
          <w:p w14:paraId="33F943E3" w14:textId="77777777" w:rsidR="00D5386C" w:rsidRPr="008D54DE" w:rsidRDefault="00D5386C" w:rsidP="00D5386C">
            <w:pPr>
              <w:spacing w:after="60"/>
              <w:ind w:left="397"/>
              <w:jc w:val="both"/>
              <w:rPr>
                <w:sz w:val="20"/>
                <w:szCs w:val="20"/>
              </w:rPr>
            </w:pPr>
          </w:p>
          <w:p w14:paraId="5B718D4A" w14:textId="6BA30CC1" w:rsidR="003A46B0" w:rsidRPr="008D54DE" w:rsidRDefault="003A46B0" w:rsidP="00D5386C">
            <w:pPr>
              <w:numPr>
                <w:ilvl w:val="1"/>
                <w:numId w:val="22"/>
              </w:numPr>
              <w:spacing w:after="60"/>
              <w:jc w:val="both"/>
              <w:rPr>
                <w:sz w:val="20"/>
                <w:szCs w:val="20"/>
              </w:rPr>
            </w:pPr>
            <w:r w:rsidRPr="008D54DE">
              <w:rPr>
                <w:b/>
                <w:sz w:val="20"/>
                <w:szCs w:val="20"/>
              </w:rPr>
              <w:t>Kryteria</w:t>
            </w:r>
            <w:r w:rsidR="00D5386C">
              <w:rPr>
                <w:b/>
                <w:sz w:val="20"/>
                <w:szCs w:val="20"/>
              </w:rPr>
              <w:t xml:space="preserve"> </w:t>
            </w:r>
            <w:r w:rsidRPr="008D54DE">
              <w:rPr>
                <w:b/>
                <w:sz w:val="20"/>
                <w:szCs w:val="20"/>
              </w:rPr>
              <w:t>odpowiedzi</w:t>
            </w:r>
            <w:r w:rsidR="00D5386C">
              <w:rPr>
                <w:b/>
                <w:sz w:val="20"/>
                <w:szCs w:val="20"/>
              </w:rPr>
              <w:t xml:space="preserve"> </w:t>
            </w:r>
            <w:r w:rsidRPr="008D54DE">
              <w:rPr>
                <w:b/>
                <w:sz w:val="20"/>
                <w:szCs w:val="20"/>
              </w:rPr>
              <w:t>na</w:t>
            </w:r>
            <w:r w:rsidR="00D5386C">
              <w:rPr>
                <w:b/>
                <w:sz w:val="20"/>
                <w:szCs w:val="20"/>
              </w:rPr>
              <w:t xml:space="preserve"> </w:t>
            </w:r>
            <w:r w:rsidRPr="008D54DE">
              <w:rPr>
                <w:b/>
                <w:sz w:val="20"/>
                <w:szCs w:val="20"/>
              </w:rPr>
              <w:t>leczenie</w:t>
            </w:r>
            <w:r w:rsidR="00D5386C">
              <w:rPr>
                <w:b/>
                <w:sz w:val="20"/>
                <w:szCs w:val="20"/>
              </w:rPr>
              <w:t xml:space="preserve"> </w:t>
            </w:r>
            <w:r w:rsidRPr="008D54DE">
              <w:rPr>
                <w:b/>
                <w:sz w:val="20"/>
                <w:szCs w:val="20"/>
              </w:rPr>
              <w:t>(</w:t>
            </w:r>
            <w:r w:rsidRPr="008D54DE">
              <w:rPr>
                <w:b/>
                <w:bCs/>
                <w:sz w:val="20"/>
                <w:szCs w:val="20"/>
              </w:rPr>
              <w:t>na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8D54DE">
              <w:rPr>
                <w:b/>
                <w:bCs/>
                <w:sz w:val="20"/>
                <w:szCs w:val="20"/>
              </w:rPr>
              <w:t>podstawie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Pr="008D54DE">
              <w:rPr>
                <w:b/>
                <w:bCs/>
                <w:i/>
                <w:iCs/>
                <w:sz w:val="20"/>
                <w:szCs w:val="20"/>
              </w:rPr>
              <w:t>Bruce</w:t>
            </w:r>
            <w:r w:rsidR="00D5386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D54DE">
              <w:rPr>
                <w:b/>
                <w:bCs/>
                <w:i/>
                <w:iCs/>
                <w:sz w:val="20"/>
                <w:szCs w:val="20"/>
              </w:rPr>
              <w:t>D.</w:t>
            </w:r>
            <w:r w:rsidR="00D5386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D54DE">
              <w:rPr>
                <w:b/>
                <w:bCs/>
                <w:i/>
                <w:iCs/>
                <w:sz w:val="20"/>
                <w:szCs w:val="20"/>
              </w:rPr>
              <w:t>Cheson</w:t>
            </w:r>
            <w:proofErr w:type="spellEnd"/>
            <w:r w:rsidR="00D5386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D54DE">
              <w:rPr>
                <w:b/>
                <w:bCs/>
                <w:i/>
                <w:iCs/>
                <w:sz w:val="20"/>
                <w:szCs w:val="20"/>
              </w:rPr>
              <w:t>et</w:t>
            </w:r>
            <w:r w:rsidR="00D5386C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D54DE">
              <w:rPr>
                <w:b/>
                <w:bCs/>
                <w:i/>
                <w:iCs/>
                <w:sz w:val="20"/>
                <w:szCs w:val="20"/>
              </w:rPr>
              <w:t>al.</w:t>
            </w:r>
            <w:r w:rsidR="00D5386C"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Recommendations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for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initial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evaluation,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staging,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and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response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assessment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of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Hodgkin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and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non-Hodgkin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lymphoma: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the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Lugano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classification.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J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Clin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Oncol.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2014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Sep</w:t>
            </w:r>
            <w:r w:rsidR="00D5386C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52807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20;32(27):3059-68.</w:t>
            </w:r>
            <w:r w:rsidR="00C642B6" w:rsidRPr="008D54DE">
              <w:rPr>
                <w:b/>
                <w:bCs/>
                <w:i/>
                <w:iCs/>
                <w:sz w:val="20"/>
                <w:szCs w:val="20"/>
                <w:lang w:val="en-US"/>
              </w:rPr>
              <w:t>):</w:t>
            </w:r>
          </w:p>
          <w:p w14:paraId="59085E59" w14:textId="28962D96" w:rsidR="003A46B0" w:rsidRPr="00F557E5" w:rsidRDefault="00D5386C" w:rsidP="00D5386C">
            <w:pPr>
              <w:numPr>
                <w:ilvl w:val="2"/>
                <w:numId w:val="22"/>
              </w:numPr>
              <w:spacing w:after="6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</w:t>
            </w:r>
            <w:r w:rsidR="003A46B0" w:rsidRPr="00F557E5">
              <w:rPr>
                <w:bCs/>
                <w:iCs/>
                <w:sz w:val="20"/>
                <w:szCs w:val="20"/>
              </w:rPr>
              <w:t>ałkowita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odpowiedź: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ustąpienie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objawów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choroby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oraz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całkowita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regresja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zmian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chorobowych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w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badaniu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obrazowym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0677E">
              <w:rPr>
                <w:bCs/>
                <w:iCs/>
                <w:sz w:val="20"/>
                <w:szCs w:val="20"/>
              </w:rPr>
              <w:t>lub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0677E">
              <w:rPr>
                <w:bCs/>
                <w:iCs/>
                <w:sz w:val="20"/>
                <w:szCs w:val="20"/>
              </w:rPr>
              <w:t>negatywny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0677E">
              <w:rPr>
                <w:bCs/>
                <w:iCs/>
                <w:sz w:val="20"/>
                <w:szCs w:val="20"/>
              </w:rPr>
              <w:t>wynik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0677E">
              <w:rPr>
                <w:bCs/>
                <w:iCs/>
                <w:sz w:val="20"/>
                <w:szCs w:val="20"/>
              </w:rPr>
              <w:t>badania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0677E">
              <w:rPr>
                <w:bCs/>
                <w:iCs/>
                <w:sz w:val="20"/>
                <w:szCs w:val="20"/>
              </w:rPr>
              <w:t>FDG-PET;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1185041" w14:textId="3668F62D" w:rsidR="003A46B0" w:rsidRPr="00F557E5" w:rsidRDefault="00D5386C" w:rsidP="00D5386C">
            <w:pPr>
              <w:numPr>
                <w:ilvl w:val="2"/>
                <w:numId w:val="22"/>
              </w:numPr>
              <w:spacing w:after="6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c</w:t>
            </w:r>
            <w:r w:rsidR="003A46B0" w:rsidRPr="00F557E5">
              <w:rPr>
                <w:bCs/>
                <w:iCs/>
                <w:sz w:val="20"/>
                <w:szCs w:val="20"/>
              </w:rPr>
              <w:t>zęściowa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odpowiedź: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redukcja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wymiarów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zmian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chorobowych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o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≥50%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w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badaniu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obrazowym</w:t>
            </w:r>
            <w:r w:rsidR="0030677E">
              <w:rPr>
                <w:bCs/>
                <w:iCs/>
                <w:sz w:val="20"/>
                <w:szCs w:val="20"/>
              </w:rPr>
              <w:t>;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0CCB91E0" w14:textId="7521FD19" w:rsidR="003A46B0" w:rsidRPr="00F557E5" w:rsidRDefault="00D5386C" w:rsidP="00D5386C">
            <w:pPr>
              <w:numPr>
                <w:ilvl w:val="2"/>
                <w:numId w:val="22"/>
              </w:numPr>
              <w:spacing w:after="6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</w:t>
            </w:r>
            <w:r w:rsidR="003A46B0" w:rsidRPr="00F557E5">
              <w:rPr>
                <w:bCs/>
                <w:iCs/>
                <w:sz w:val="20"/>
                <w:szCs w:val="20"/>
              </w:rPr>
              <w:t>tabilizacja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choroby: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zmiany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wymiarów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zmian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o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F557E5">
              <w:rPr>
                <w:bCs/>
                <w:iCs/>
                <w:sz w:val="20"/>
                <w:szCs w:val="20"/>
              </w:rPr>
              <w:t>&lt;50%</w:t>
            </w:r>
            <w:r w:rsidR="001E557A">
              <w:rPr>
                <w:bCs/>
                <w:iCs/>
                <w:sz w:val="20"/>
                <w:szCs w:val="20"/>
              </w:rPr>
              <w:t>;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8A8040E" w14:textId="10C89F76" w:rsidR="003A46B0" w:rsidRPr="001E557A" w:rsidRDefault="00D5386C" w:rsidP="00D5386C">
            <w:pPr>
              <w:numPr>
                <w:ilvl w:val="2"/>
                <w:numId w:val="22"/>
              </w:numPr>
              <w:spacing w:after="6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p</w:t>
            </w:r>
            <w:r w:rsidR="003A46B0" w:rsidRPr="001E557A">
              <w:rPr>
                <w:bCs/>
                <w:iCs/>
                <w:sz w:val="20"/>
                <w:szCs w:val="20"/>
              </w:rPr>
              <w:t>rogresja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1E557A">
              <w:rPr>
                <w:bCs/>
                <w:iCs/>
                <w:sz w:val="20"/>
                <w:szCs w:val="20"/>
              </w:rPr>
              <w:t>choroby: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1E557A">
              <w:rPr>
                <w:bCs/>
                <w:iCs/>
                <w:sz w:val="20"/>
                <w:szCs w:val="20"/>
              </w:rPr>
              <w:t>wzrost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1E557A">
              <w:rPr>
                <w:bCs/>
                <w:iCs/>
                <w:sz w:val="20"/>
                <w:szCs w:val="20"/>
              </w:rPr>
              <w:t>wymiarów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1E557A">
              <w:rPr>
                <w:bCs/>
                <w:iCs/>
                <w:sz w:val="20"/>
                <w:szCs w:val="20"/>
              </w:rPr>
              <w:t>zmian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A46B0" w:rsidRPr="001E557A">
              <w:rPr>
                <w:bCs/>
                <w:iCs/>
                <w:sz w:val="20"/>
                <w:szCs w:val="20"/>
              </w:rPr>
              <w:t>≥5</w:t>
            </w:r>
            <w:r w:rsidR="00753A25">
              <w:rPr>
                <w:bCs/>
                <w:iCs/>
                <w:sz w:val="20"/>
                <w:szCs w:val="20"/>
              </w:rPr>
              <w:t>0%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753A25">
              <w:rPr>
                <w:bCs/>
                <w:iCs/>
                <w:sz w:val="20"/>
                <w:szCs w:val="20"/>
              </w:rPr>
              <w:t>lub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753A25">
              <w:rPr>
                <w:bCs/>
                <w:iCs/>
                <w:sz w:val="20"/>
                <w:szCs w:val="20"/>
              </w:rPr>
              <w:t>wystąpienie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753A25">
              <w:rPr>
                <w:bCs/>
                <w:iCs/>
                <w:sz w:val="20"/>
                <w:szCs w:val="20"/>
              </w:rPr>
              <w:t>nowych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753A25">
              <w:rPr>
                <w:bCs/>
                <w:iCs/>
                <w:sz w:val="20"/>
                <w:szCs w:val="20"/>
              </w:rPr>
              <w:t>zmian</w:t>
            </w:r>
            <w:r w:rsidR="001E557A" w:rsidRPr="001E557A">
              <w:rPr>
                <w:bCs/>
                <w:iCs/>
                <w:sz w:val="20"/>
                <w:szCs w:val="20"/>
              </w:rPr>
              <w:t>.</w:t>
            </w:r>
          </w:p>
          <w:p w14:paraId="60B08A70" w14:textId="77777777" w:rsidR="003A46B0" w:rsidRPr="00E45EC5" w:rsidRDefault="003A46B0" w:rsidP="00A93EDB">
            <w:pPr>
              <w:spacing w:after="60"/>
              <w:jc w:val="both"/>
              <w:rPr>
                <w:sz w:val="20"/>
                <w:szCs w:val="20"/>
              </w:rPr>
            </w:pPr>
          </w:p>
          <w:p w14:paraId="6FBBE68B" w14:textId="64946742" w:rsidR="003A46B0" w:rsidRPr="00A93EDB" w:rsidRDefault="003A46B0" w:rsidP="00D5386C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93EDB">
              <w:rPr>
                <w:b/>
                <w:bCs/>
                <w:sz w:val="20"/>
                <w:szCs w:val="20"/>
              </w:rPr>
              <w:t>Monitorowanie</w:t>
            </w:r>
            <w:r w:rsidR="00D5386C">
              <w:rPr>
                <w:b/>
                <w:bCs/>
                <w:sz w:val="20"/>
                <w:szCs w:val="20"/>
              </w:rPr>
              <w:t xml:space="preserve"> </w:t>
            </w:r>
            <w:r w:rsidR="0019615D" w:rsidRPr="00A93EDB">
              <w:rPr>
                <w:b/>
                <w:bCs/>
                <w:sz w:val="20"/>
                <w:szCs w:val="20"/>
              </w:rPr>
              <w:t>programu</w:t>
            </w:r>
          </w:p>
          <w:p w14:paraId="04F2503C" w14:textId="01724499" w:rsidR="001E557A" w:rsidRDefault="00D5386C" w:rsidP="00D5386C">
            <w:pPr>
              <w:pStyle w:val="Akapitzlist"/>
              <w:numPr>
                <w:ilvl w:val="2"/>
                <w:numId w:val="22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E557A" w:rsidRPr="008810EE">
              <w:rPr>
                <w:sz w:val="20"/>
                <w:szCs w:val="20"/>
              </w:rPr>
              <w:t>rzekazywanie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NFZ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zakresu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informacji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sprawozdawczo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rozliczeniowych</w:t>
            </w:r>
            <w:r w:rsidR="001E557A">
              <w:rPr>
                <w:sz w:val="20"/>
                <w:szCs w:val="20"/>
              </w:rPr>
              <w:t>;</w:t>
            </w:r>
          </w:p>
          <w:p w14:paraId="5EFCC64B" w14:textId="13DCBDC8" w:rsidR="001E557A" w:rsidRDefault="00D5386C" w:rsidP="00D5386C">
            <w:pPr>
              <w:pStyle w:val="Akapitzlist"/>
              <w:numPr>
                <w:ilvl w:val="2"/>
                <w:numId w:val="22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E557A" w:rsidRPr="008810EE">
              <w:rPr>
                <w:sz w:val="20"/>
                <w:szCs w:val="20"/>
              </w:rPr>
              <w:t>zupełnianie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danych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zawartych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1E557A" w:rsidRPr="008810EE">
              <w:rPr>
                <w:sz w:val="20"/>
                <w:szCs w:val="20"/>
              </w:rPr>
              <w:t>rejestrze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SMPT,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dostępnym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pomocą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aplikacji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internetowej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udostępnionej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przez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oddziały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wojewódzkie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NFZ,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rzadziej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niż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miesiące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zakończenie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leczenia</w:t>
            </w:r>
            <w:r>
              <w:rPr>
                <w:sz w:val="20"/>
                <w:szCs w:val="20"/>
              </w:rPr>
              <w:t>;</w:t>
            </w:r>
          </w:p>
          <w:p w14:paraId="22500370" w14:textId="63583AFC" w:rsidR="003A46B0" w:rsidRPr="001E557A" w:rsidRDefault="00D5386C" w:rsidP="00D5386C">
            <w:pPr>
              <w:pStyle w:val="Akapitzlist"/>
              <w:numPr>
                <w:ilvl w:val="2"/>
                <w:numId w:val="22"/>
              </w:numPr>
              <w:spacing w:after="6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  <w:r w:rsidR="003A46B0" w:rsidRPr="001E557A"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dotyczące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monitorowania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leczenia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należy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groma</w:t>
            </w:r>
            <w:r w:rsidR="001E557A">
              <w:rPr>
                <w:sz w:val="20"/>
                <w:szCs w:val="20"/>
              </w:rPr>
              <w:t>dzić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dokumentacji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pacjenta</w:t>
            </w:r>
            <w:r>
              <w:rPr>
                <w:sz w:val="20"/>
                <w:szCs w:val="20"/>
              </w:rPr>
              <w:t xml:space="preserve"> </w:t>
            </w:r>
            <w:r w:rsidR="001E557A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każdorazowo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przedstawiać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żądanie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kontrolerom</w:t>
            </w:r>
            <w:r>
              <w:rPr>
                <w:sz w:val="20"/>
                <w:szCs w:val="20"/>
              </w:rPr>
              <w:t xml:space="preserve"> </w:t>
            </w:r>
            <w:r w:rsidR="003A46B0" w:rsidRPr="001E557A">
              <w:rPr>
                <w:sz w:val="20"/>
                <w:szCs w:val="20"/>
              </w:rPr>
              <w:t>NFZ.</w:t>
            </w:r>
          </w:p>
          <w:p w14:paraId="72A0B182" w14:textId="77777777" w:rsidR="003A46B0" w:rsidRPr="00AC4233" w:rsidRDefault="003A46B0" w:rsidP="00A93EDB">
            <w:pPr>
              <w:pStyle w:val="default0"/>
              <w:spacing w:after="60"/>
              <w:rPr>
                <w:sz w:val="20"/>
                <w:szCs w:val="20"/>
              </w:rPr>
            </w:pPr>
          </w:p>
        </w:tc>
      </w:tr>
    </w:tbl>
    <w:p w14:paraId="7649A0A4" w14:textId="77777777" w:rsidR="003A46B0" w:rsidRPr="00D5386C" w:rsidRDefault="003A46B0" w:rsidP="00A93EDB">
      <w:pPr>
        <w:spacing w:after="60"/>
        <w:rPr>
          <w:sz w:val="8"/>
          <w:szCs w:val="8"/>
        </w:rPr>
      </w:pPr>
    </w:p>
    <w:sectPr w:rsidR="003A46B0" w:rsidRPr="00D5386C" w:rsidSect="008D54DE">
      <w:footerReference w:type="default" r:id="rId8"/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932E9" w14:textId="77777777" w:rsidR="001D76B5" w:rsidRDefault="001D76B5" w:rsidP="008E1488">
      <w:r>
        <w:separator/>
      </w:r>
    </w:p>
  </w:endnote>
  <w:endnote w:type="continuationSeparator" w:id="0">
    <w:p w14:paraId="5A014DCA" w14:textId="77777777" w:rsidR="001D76B5" w:rsidRDefault="001D76B5" w:rsidP="008E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B3170" w14:textId="77777777" w:rsidR="00140AF9" w:rsidRDefault="00140AF9">
    <w:pPr>
      <w:pStyle w:val="Stopka"/>
    </w:pPr>
  </w:p>
  <w:p w14:paraId="2CA46F14" w14:textId="77777777" w:rsidR="00140AF9" w:rsidRDefault="00140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F3791" w14:textId="77777777" w:rsidR="001D76B5" w:rsidRDefault="001D76B5" w:rsidP="008E1488">
      <w:r>
        <w:separator/>
      </w:r>
    </w:p>
  </w:footnote>
  <w:footnote w:type="continuationSeparator" w:id="0">
    <w:p w14:paraId="203F866B" w14:textId="77777777" w:rsidR="001D76B5" w:rsidRDefault="001D76B5" w:rsidP="008E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632E7A9A"/>
    <w:lvl w:ilvl="0">
      <w:start w:val="1"/>
      <w:numFmt w:val="lowerLetter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A27154"/>
    <w:multiLevelType w:val="multilevel"/>
    <w:tmpl w:val="02BEA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F4032E"/>
    <w:multiLevelType w:val="hybridMultilevel"/>
    <w:tmpl w:val="04269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DE8"/>
    <w:multiLevelType w:val="hybridMultilevel"/>
    <w:tmpl w:val="7DE8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C67B9"/>
    <w:multiLevelType w:val="hybridMultilevel"/>
    <w:tmpl w:val="7B68A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2FE"/>
    <w:multiLevelType w:val="hybridMultilevel"/>
    <w:tmpl w:val="04269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034BB"/>
    <w:multiLevelType w:val="hybridMultilevel"/>
    <w:tmpl w:val="A2B2F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4D0C"/>
    <w:multiLevelType w:val="hybridMultilevel"/>
    <w:tmpl w:val="D5362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81CBC"/>
    <w:multiLevelType w:val="multilevel"/>
    <w:tmpl w:val="4B6016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9" w15:restartNumberingAfterBreak="0">
    <w:nsid w:val="307E0343"/>
    <w:multiLevelType w:val="hybridMultilevel"/>
    <w:tmpl w:val="0E9A6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8479F"/>
    <w:multiLevelType w:val="multilevel"/>
    <w:tmpl w:val="0868D45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5AC4774"/>
    <w:multiLevelType w:val="hybridMultilevel"/>
    <w:tmpl w:val="10922C28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2" w15:restartNumberingAfterBreak="0">
    <w:nsid w:val="38A83D4A"/>
    <w:multiLevelType w:val="multilevel"/>
    <w:tmpl w:val="BD2CF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3" w15:restartNumberingAfterBreak="0">
    <w:nsid w:val="3BA575EE"/>
    <w:multiLevelType w:val="hybridMultilevel"/>
    <w:tmpl w:val="EC620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979F5"/>
    <w:multiLevelType w:val="multilevel"/>
    <w:tmpl w:val="D31210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414401F9"/>
    <w:multiLevelType w:val="multilevel"/>
    <w:tmpl w:val="15B4F87E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44E84A20"/>
    <w:multiLevelType w:val="hybridMultilevel"/>
    <w:tmpl w:val="C3BC907E"/>
    <w:lvl w:ilvl="0" w:tplc="C57259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124AB"/>
    <w:multiLevelType w:val="hybridMultilevel"/>
    <w:tmpl w:val="C6A41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124A9"/>
    <w:multiLevelType w:val="hybridMultilevel"/>
    <w:tmpl w:val="6DB0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32943"/>
    <w:multiLevelType w:val="multilevel"/>
    <w:tmpl w:val="D31210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 w:val="0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634932C6"/>
    <w:multiLevelType w:val="multilevel"/>
    <w:tmpl w:val="CF9E6D0C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6" w:hanging="408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128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488" w:hanging="1440"/>
      </w:pPr>
      <w:rPr>
        <w:rFonts w:hint="default"/>
        <w:i w:val="0"/>
      </w:rPr>
    </w:lvl>
  </w:abstractNum>
  <w:abstractNum w:abstractNumId="21" w15:restartNumberingAfterBreak="0">
    <w:nsid w:val="7BAD7484"/>
    <w:multiLevelType w:val="hybridMultilevel"/>
    <w:tmpl w:val="CC94E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18"/>
  </w:num>
  <w:num w:numId="10">
    <w:abstractNumId w:val="17"/>
  </w:num>
  <w:num w:numId="11">
    <w:abstractNumId w:val="0"/>
  </w:num>
  <w:num w:numId="12">
    <w:abstractNumId w:val="3"/>
  </w:num>
  <w:num w:numId="13">
    <w:abstractNumId w:val="13"/>
  </w:num>
  <w:num w:numId="14">
    <w:abstractNumId w:val="4"/>
  </w:num>
  <w:num w:numId="15">
    <w:abstractNumId w:val="16"/>
  </w:num>
  <w:num w:numId="16">
    <w:abstractNumId w:val="2"/>
  </w:num>
  <w:num w:numId="17">
    <w:abstractNumId w:val="10"/>
  </w:num>
  <w:num w:numId="18">
    <w:abstractNumId w:val="12"/>
  </w:num>
  <w:num w:numId="19">
    <w:abstractNumId w:val="20"/>
  </w:num>
  <w:num w:numId="20">
    <w:abstractNumId w:val="19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9B"/>
    <w:rsid w:val="00030A96"/>
    <w:rsid w:val="00036442"/>
    <w:rsid w:val="00053AFA"/>
    <w:rsid w:val="00072DE6"/>
    <w:rsid w:val="00080302"/>
    <w:rsid w:val="00091D2C"/>
    <w:rsid w:val="000B6A9B"/>
    <w:rsid w:val="000C7BC2"/>
    <w:rsid w:val="000E25B7"/>
    <w:rsid w:val="00117367"/>
    <w:rsid w:val="00140AF9"/>
    <w:rsid w:val="001453B3"/>
    <w:rsid w:val="00160F95"/>
    <w:rsid w:val="00167DC8"/>
    <w:rsid w:val="0019615D"/>
    <w:rsid w:val="001B0A23"/>
    <w:rsid w:val="001D4044"/>
    <w:rsid w:val="001D76B5"/>
    <w:rsid w:val="001E557A"/>
    <w:rsid w:val="0020598C"/>
    <w:rsid w:val="00207284"/>
    <w:rsid w:val="00223E4D"/>
    <w:rsid w:val="00243C98"/>
    <w:rsid w:val="00257A7E"/>
    <w:rsid w:val="002629F4"/>
    <w:rsid w:val="00274DA8"/>
    <w:rsid w:val="00283940"/>
    <w:rsid w:val="0029105F"/>
    <w:rsid w:val="0029183C"/>
    <w:rsid w:val="002A3DC6"/>
    <w:rsid w:val="002C6EF8"/>
    <w:rsid w:val="002E01B2"/>
    <w:rsid w:val="002F4242"/>
    <w:rsid w:val="002F45F9"/>
    <w:rsid w:val="0030660A"/>
    <w:rsid w:val="0030677E"/>
    <w:rsid w:val="00320590"/>
    <w:rsid w:val="00362950"/>
    <w:rsid w:val="003A3C9A"/>
    <w:rsid w:val="003A46B0"/>
    <w:rsid w:val="003A6982"/>
    <w:rsid w:val="003D40D4"/>
    <w:rsid w:val="003E5F80"/>
    <w:rsid w:val="003F6C90"/>
    <w:rsid w:val="004166E8"/>
    <w:rsid w:val="004231FD"/>
    <w:rsid w:val="004311BA"/>
    <w:rsid w:val="0043712F"/>
    <w:rsid w:val="004429E1"/>
    <w:rsid w:val="00461B56"/>
    <w:rsid w:val="004708FD"/>
    <w:rsid w:val="00480A96"/>
    <w:rsid w:val="004859A7"/>
    <w:rsid w:val="00491929"/>
    <w:rsid w:val="004A1CA2"/>
    <w:rsid w:val="004A4909"/>
    <w:rsid w:val="004A4EA9"/>
    <w:rsid w:val="004B7D6E"/>
    <w:rsid w:val="004C6E98"/>
    <w:rsid w:val="004D1A84"/>
    <w:rsid w:val="004F0FE0"/>
    <w:rsid w:val="004F3091"/>
    <w:rsid w:val="004F48C1"/>
    <w:rsid w:val="00524269"/>
    <w:rsid w:val="00527201"/>
    <w:rsid w:val="00553289"/>
    <w:rsid w:val="00564B21"/>
    <w:rsid w:val="005752F6"/>
    <w:rsid w:val="00575533"/>
    <w:rsid w:val="005A6BF2"/>
    <w:rsid w:val="005B2D4A"/>
    <w:rsid w:val="005B4415"/>
    <w:rsid w:val="005C7D10"/>
    <w:rsid w:val="005D191E"/>
    <w:rsid w:val="005D1CEA"/>
    <w:rsid w:val="005D1F5F"/>
    <w:rsid w:val="005E500B"/>
    <w:rsid w:val="006201BA"/>
    <w:rsid w:val="006244D0"/>
    <w:rsid w:val="00641986"/>
    <w:rsid w:val="006427C5"/>
    <w:rsid w:val="00653059"/>
    <w:rsid w:val="0065760E"/>
    <w:rsid w:val="0067378A"/>
    <w:rsid w:val="00686CFF"/>
    <w:rsid w:val="006A4F45"/>
    <w:rsid w:val="006B3E20"/>
    <w:rsid w:val="006C0C75"/>
    <w:rsid w:val="00710290"/>
    <w:rsid w:val="00717489"/>
    <w:rsid w:val="007201F2"/>
    <w:rsid w:val="00720CCF"/>
    <w:rsid w:val="00721FF1"/>
    <w:rsid w:val="0073217D"/>
    <w:rsid w:val="00753A25"/>
    <w:rsid w:val="00763C0C"/>
    <w:rsid w:val="007662F8"/>
    <w:rsid w:val="0079521B"/>
    <w:rsid w:val="008175CC"/>
    <w:rsid w:val="008571FA"/>
    <w:rsid w:val="00860FE5"/>
    <w:rsid w:val="0086784C"/>
    <w:rsid w:val="00876934"/>
    <w:rsid w:val="00894BB3"/>
    <w:rsid w:val="008A0B58"/>
    <w:rsid w:val="008D2C71"/>
    <w:rsid w:val="008D54DE"/>
    <w:rsid w:val="008E1488"/>
    <w:rsid w:val="0092194D"/>
    <w:rsid w:val="00922179"/>
    <w:rsid w:val="00923672"/>
    <w:rsid w:val="00924223"/>
    <w:rsid w:val="00933969"/>
    <w:rsid w:val="00935C4F"/>
    <w:rsid w:val="009635D9"/>
    <w:rsid w:val="0097707D"/>
    <w:rsid w:val="00983235"/>
    <w:rsid w:val="00987262"/>
    <w:rsid w:val="009A1C02"/>
    <w:rsid w:val="009A275A"/>
    <w:rsid w:val="009A354A"/>
    <w:rsid w:val="009B40E1"/>
    <w:rsid w:val="009B4478"/>
    <w:rsid w:val="009C3E44"/>
    <w:rsid w:val="009D1A6D"/>
    <w:rsid w:val="009E0286"/>
    <w:rsid w:val="00A11DBF"/>
    <w:rsid w:val="00A1359F"/>
    <w:rsid w:val="00A17A59"/>
    <w:rsid w:val="00A302FF"/>
    <w:rsid w:val="00A46805"/>
    <w:rsid w:val="00A61F8E"/>
    <w:rsid w:val="00A6327B"/>
    <w:rsid w:val="00A72F7A"/>
    <w:rsid w:val="00A82F9B"/>
    <w:rsid w:val="00A90AED"/>
    <w:rsid w:val="00A925BD"/>
    <w:rsid w:val="00A93EDB"/>
    <w:rsid w:val="00AA20AC"/>
    <w:rsid w:val="00AA2E3E"/>
    <w:rsid w:val="00AA6C4A"/>
    <w:rsid w:val="00AC56BD"/>
    <w:rsid w:val="00AC6C9F"/>
    <w:rsid w:val="00AD3A9D"/>
    <w:rsid w:val="00AD477E"/>
    <w:rsid w:val="00AD66A5"/>
    <w:rsid w:val="00AE241E"/>
    <w:rsid w:val="00AF3479"/>
    <w:rsid w:val="00B14D27"/>
    <w:rsid w:val="00B17AF0"/>
    <w:rsid w:val="00B22CE5"/>
    <w:rsid w:val="00B274E1"/>
    <w:rsid w:val="00B3681C"/>
    <w:rsid w:val="00B41E63"/>
    <w:rsid w:val="00B45C21"/>
    <w:rsid w:val="00B7353A"/>
    <w:rsid w:val="00B74AC5"/>
    <w:rsid w:val="00BA06A7"/>
    <w:rsid w:val="00BA60ED"/>
    <w:rsid w:val="00BC1CD1"/>
    <w:rsid w:val="00C0415F"/>
    <w:rsid w:val="00C1435C"/>
    <w:rsid w:val="00C1775D"/>
    <w:rsid w:val="00C30295"/>
    <w:rsid w:val="00C56227"/>
    <w:rsid w:val="00C642B6"/>
    <w:rsid w:val="00C84BB7"/>
    <w:rsid w:val="00C87830"/>
    <w:rsid w:val="00CB5930"/>
    <w:rsid w:val="00CF0268"/>
    <w:rsid w:val="00CF475F"/>
    <w:rsid w:val="00D02151"/>
    <w:rsid w:val="00D12828"/>
    <w:rsid w:val="00D17A0F"/>
    <w:rsid w:val="00D31835"/>
    <w:rsid w:val="00D52807"/>
    <w:rsid w:val="00D5386C"/>
    <w:rsid w:val="00D54B27"/>
    <w:rsid w:val="00D741F6"/>
    <w:rsid w:val="00D82E4B"/>
    <w:rsid w:val="00DA132B"/>
    <w:rsid w:val="00DC28C1"/>
    <w:rsid w:val="00DC33D9"/>
    <w:rsid w:val="00DC373F"/>
    <w:rsid w:val="00DD6E52"/>
    <w:rsid w:val="00E35FE7"/>
    <w:rsid w:val="00E91D7A"/>
    <w:rsid w:val="00EE4B01"/>
    <w:rsid w:val="00F02E9B"/>
    <w:rsid w:val="00F0639C"/>
    <w:rsid w:val="00F369D5"/>
    <w:rsid w:val="00F42C4B"/>
    <w:rsid w:val="00F61C56"/>
    <w:rsid w:val="00F81FBE"/>
    <w:rsid w:val="00F92655"/>
    <w:rsid w:val="00F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A0B2"/>
  <w15:docId w15:val="{A3058E13-AD24-4931-8E1A-EC2668CC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46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0">
    <w:name w:val="default"/>
    <w:basedOn w:val="Normalny"/>
    <w:rsid w:val="003A46B0"/>
    <w:pPr>
      <w:autoSpaceDE w:val="0"/>
      <w:autoSpaceDN w:val="0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1E55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D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DE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4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4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6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6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6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6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415F"/>
    <w:pPr>
      <w:autoSpaceDE w:val="0"/>
      <w:autoSpaceDN w:val="0"/>
      <w:adjustRightInd w:val="0"/>
      <w:jc w:val="both"/>
    </w:pPr>
    <w:rPr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15F"/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969D-F772-4B0C-9E27-D2D2140E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811</Words>
  <Characters>4868</Characters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2020-07-07T20:33:00Z</cp:lastPrinted>
  <dcterms:created xsi:type="dcterms:W3CDTF">2020-07-30T13:33:00Z</dcterms:created>
  <dcterms:modified xsi:type="dcterms:W3CDTF">2020-07-31T08:54:00Z</dcterms:modified>
</cp:coreProperties>
</file>