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EFBC" w14:textId="77777777" w:rsidR="00806F0E" w:rsidRDefault="00806F0E" w:rsidP="00806F0E">
      <w:pPr>
        <w:widowControl w:val="0"/>
        <w:autoSpaceDE w:val="0"/>
        <w:autoSpaceDN w:val="0"/>
        <w:spacing w:before="78" w:after="0" w:line="276" w:lineRule="auto"/>
        <w:ind w:right="503"/>
        <w:jc w:val="right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 xml:space="preserve">                                                                          </w:t>
      </w:r>
      <w:r w:rsidRPr="00475D29">
        <w:rPr>
          <w:rFonts w:eastAsiaTheme="minorEastAsia" w:cstheme="minorHAnsi"/>
          <w:lang w:eastAsia="pl-PL"/>
        </w:rPr>
        <w:t>Załącznik nr</w:t>
      </w:r>
      <w:r>
        <w:rPr>
          <w:rFonts w:eastAsiaTheme="minorEastAsia" w:cstheme="minorHAnsi"/>
          <w:lang w:eastAsia="pl-PL"/>
        </w:rPr>
        <w:t xml:space="preserve"> 4</w:t>
      </w:r>
      <w:r w:rsidRPr="00475D29">
        <w:rPr>
          <w:rFonts w:eastAsiaTheme="minorEastAsia" w:cstheme="minorHAnsi"/>
          <w:lang w:eastAsia="pl-PL"/>
        </w:rPr>
        <w:t xml:space="preserve"> </w:t>
      </w:r>
    </w:p>
    <w:p w14:paraId="6546C7AD" w14:textId="77777777" w:rsidR="00806F0E" w:rsidRDefault="00806F0E" w:rsidP="00806F0E">
      <w:pPr>
        <w:widowControl w:val="0"/>
        <w:autoSpaceDE w:val="0"/>
        <w:autoSpaceDN w:val="0"/>
        <w:spacing w:before="78" w:after="0" w:line="276" w:lineRule="auto"/>
        <w:ind w:left="5860" w:right="503"/>
        <w:jc w:val="right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do </w:t>
      </w:r>
      <w:r>
        <w:rPr>
          <w:rFonts w:eastAsiaTheme="minorEastAsia" w:cstheme="minorHAnsi"/>
          <w:lang w:eastAsia="pl-PL"/>
        </w:rPr>
        <w:t>Regulaminu zgłoszeń</w:t>
      </w:r>
    </w:p>
    <w:p w14:paraId="67672384" w14:textId="77777777" w:rsidR="00806F0E" w:rsidRPr="00475D29" w:rsidRDefault="00806F0E" w:rsidP="00806F0E">
      <w:pPr>
        <w:widowControl w:val="0"/>
        <w:autoSpaceDE w:val="0"/>
        <w:autoSpaceDN w:val="0"/>
        <w:spacing w:before="78" w:after="0" w:line="276" w:lineRule="auto"/>
        <w:ind w:left="5860" w:right="503"/>
        <w:rPr>
          <w:rFonts w:eastAsiaTheme="minorEastAsia" w:cstheme="minorHAnsi"/>
          <w:lang w:eastAsia="pl-PL"/>
        </w:rPr>
      </w:pPr>
    </w:p>
    <w:p w14:paraId="7ACA7FD4" w14:textId="77777777" w:rsidR="00806F0E" w:rsidRPr="00475D29" w:rsidRDefault="00806F0E" w:rsidP="00806F0E">
      <w:pPr>
        <w:widowControl w:val="0"/>
        <w:autoSpaceDE w:val="0"/>
        <w:autoSpaceDN w:val="0"/>
        <w:spacing w:after="0" w:line="276" w:lineRule="auto"/>
        <w:ind w:left="237" w:right="535"/>
        <w:jc w:val="center"/>
        <w:outlineLvl w:val="0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SZCZEGÓŁOWE ZASADY OCHRONY DANYCH SYGNALISTY</w:t>
      </w:r>
    </w:p>
    <w:p w14:paraId="4596D20A" w14:textId="0A5828A0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before="139" w:after="0" w:line="276" w:lineRule="auto"/>
        <w:ind w:right="517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W </w:t>
      </w:r>
      <w:r>
        <w:rPr>
          <w:rFonts w:eastAsiaTheme="minorEastAsia" w:cstheme="minorHAnsi"/>
          <w:lang w:eastAsia="pl-PL"/>
        </w:rPr>
        <w:t>Regulaminie</w:t>
      </w:r>
      <w:r w:rsidRPr="003C3F2A">
        <w:rPr>
          <w:rFonts w:eastAsiaTheme="minorEastAsia" w:cstheme="minorHAnsi"/>
          <w:color w:val="FF0000"/>
          <w:lang w:eastAsia="pl-PL"/>
        </w:rPr>
        <w:t xml:space="preserve"> </w:t>
      </w:r>
      <w:r w:rsidRPr="00475D29">
        <w:rPr>
          <w:rFonts w:eastAsiaTheme="minorEastAsia" w:cstheme="minorHAnsi"/>
          <w:lang w:eastAsia="pl-PL"/>
        </w:rPr>
        <w:t xml:space="preserve"> przez  Sygnalistę,  rozumie   się   osobę  zgłaszającą  nieprawidłowości 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w sprawach, w których nie jest stroną ani uczestnikiem, na rzecz stron lub uczestników tych postępowań.</w:t>
      </w:r>
    </w:p>
    <w:p w14:paraId="4604A45F" w14:textId="771D7885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4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Sygnalistą  jest  każda  osoba,  która  zgłasza  nieprawidłowości,   która   nie   robi   tego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ze względu na swój własny interes prawny.</w:t>
      </w:r>
    </w:p>
    <w:p w14:paraId="3B22A914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636"/>
        </w:tabs>
        <w:autoSpaceDE w:val="0"/>
        <w:autoSpaceDN w:val="0"/>
        <w:spacing w:after="0" w:line="276" w:lineRule="auto"/>
        <w:ind w:right="514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ab/>
        <w:t>Sygnalista nie jest świadkiem w postępowaniu, które zostanie zainicjowane na skutek jego zgłoszenia, nie jest też uczestnikiem ani stroną wszczętego postępowania.</w:t>
      </w:r>
    </w:p>
    <w:p w14:paraId="3BBD3291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6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Sygnalista nie staje się stroną postępowania administracyjnego w rozumieniu przepisów art. 28 k.p.a., w sprawie toczącej się na skutek otrzymanego od niego zgłoszenia.</w:t>
      </w:r>
    </w:p>
    <w:p w14:paraId="6449B765" w14:textId="731B3DC4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4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Dane osobowe osoby, której nadano status sygnalisty, podlegają szczególnej ochronie   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w celu ograniczenia osobistego ryzyka osoby zgłaszającej nieprawidłowości, w tym negatywnych konsekwencji ze strony osób i podmiotów, do których odnosiło się zgłoszenie.</w:t>
      </w:r>
    </w:p>
    <w:p w14:paraId="7B0D8BE8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Dane sygnalisty powinny pozostać poufne i nie mogą być ujawniane w toku  postępowania    stronom     i     uczestnikom     tego     postępowania,     bez     wyraźnego  i jednoznacznego przyzwolenia ze strony Sygnalisty.</w:t>
      </w:r>
    </w:p>
    <w:p w14:paraId="51BD4AE7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8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Dla spraw, zgłaszanych przez osobę , której nadano status sygnalisty tworzy się odrębny rejestr spraw.</w:t>
      </w:r>
    </w:p>
    <w:p w14:paraId="65EF5110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7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Osoba otrzymująca zgłoszenie, rejestruje wniosek jako odrębną sprawę, z sygnaturą odpowiednią dla zgłoszeń  sygnalistów,  aby  zminimalizować  ryzyko  ujawnienia  danych sygnalisty na dalszych etapach postępowania.</w:t>
      </w:r>
    </w:p>
    <w:p w14:paraId="2905C827" w14:textId="40A56AF2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Od sygnalisty nie żąda się  dodatkowych  danych  osobowych,  niż  te  które  zostały  przez niego wskazane  w  przekazanym  zgłoszeniu,  nawet  jeżeli  nie   pozwalają  one 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na jednoznaczną identyfikację.</w:t>
      </w:r>
    </w:p>
    <w:p w14:paraId="5DDC44E0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8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Dane   sygnalisty   nie    są    ujawnianie    w    żadnym    z    dokumentów    związanych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z postępowaniem.</w:t>
      </w:r>
    </w:p>
    <w:p w14:paraId="664B34DE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Danych sygnalisty nie ujawnia się na wniosek stron lub uczestników postępowania.</w:t>
      </w:r>
    </w:p>
    <w:p w14:paraId="6E380D46" w14:textId="77777777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before="138" w:after="0" w:line="276" w:lineRule="auto"/>
        <w:ind w:right="517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Danych  sygnalisty  nie  zamieszcza  się  w  rozdzielnikach  dokumentów  związanych    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z postępowaniem.</w:t>
      </w:r>
    </w:p>
    <w:p w14:paraId="77623475" w14:textId="25049DA8" w:rsidR="00806F0E" w:rsidRPr="00475D29" w:rsidRDefault="00806F0E" w:rsidP="00806F0E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76" w:lineRule="auto"/>
        <w:ind w:right="514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Sygnalista jest informowany o przebiegu i wyniku postępowania, które zostało wszczęte na skutek jego zgłoszenia, w zakresie w jakim informacja stanowi informację publiczną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w ramach sprawy zarejestrowanej w związku z przekazanym przez niego zgłoszeniem.</w:t>
      </w:r>
    </w:p>
    <w:p w14:paraId="47E76DEB" w14:textId="77777777" w:rsidR="00F05549" w:rsidRDefault="00F05549"/>
    <w:sectPr w:rsidR="00F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2CC0"/>
    <w:multiLevelType w:val="hybridMultilevel"/>
    <w:tmpl w:val="2C2600D4"/>
    <w:lvl w:ilvl="0" w:tplc="1B304A3C">
      <w:start w:val="1"/>
      <w:numFmt w:val="decimal"/>
      <w:lvlText w:val="%1."/>
      <w:lvlJc w:val="left"/>
      <w:pPr>
        <w:ind w:left="576" w:hanging="360"/>
      </w:pPr>
      <w:rPr>
        <w:rFonts w:asciiTheme="minorHAnsi" w:eastAsia="Times New Roman" w:hAnsiTheme="minorHAnsi" w:cstheme="minorHAnsi" w:hint="default"/>
        <w:spacing w:val="-5"/>
        <w:w w:val="100"/>
        <w:sz w:val="24"/>
        <w:szCs w:val="24"/>
      </w:rPr>
    </w:lvl>
    <w:lvl w:ilvl="1" w:tplc="DCE6F48C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27CE7170"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5BFADACE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B46AF2CA"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D5407892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D3F286FE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568E1A9C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43CC411E">
      <w:numFmt w:val="bullet"/>
      <w:lvlText w:val="•"/>
      <w:lvlJc w:val="left"/>
      <w:pPr>
        <w:ind w:left="7961" w:hanging="360"/>
      </w:pPr>
      <w:rPr>
        <w:rFonts w:hint="default"/>
      </w:rPr>
    </w:lvl>
  </w:abstractNum>
  <w:num w:numId="1" w16cid:durableId="22668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0E"/>
    <w:rsid w:val="00806F0E"/>
    <w:rsid w:val="00F0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FF35"/>
  <w15:chartTrackingRefBased/>
  <w15:docId w15:val="{BBC5EA48-3F71-4691-A5A9-D1CDEC6E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F0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Mikuszewska</dc:creator>
  <cp:keywords/>
  <dc:description/>
  <cp:lastModifiedBy>Alina Mikuszewska</cp:lastModifiedBy>
  <cp:revision>1</cp:revision>
  <dcterms:created xsi:type="dcterms:W3CDTF">2023-06-13T07:58:00Z</dcterms:created>
  <dcterms:modified xsi:type="dcterms:W3CDTF">2023-06-13T08:00:00Z</dcterms:modified>
</cp:coreProperties>
</file>