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EA" w:rsidRPr="007243EA" w:rsidRDefault="007243EA" w:rsidP="007243EA">
      <w:pPr>
        <w:tabs>
          <w:tab w:val="left" w:pos="5865"/>
        </w:tabs>
        <w:spacing w:after="0"/>
        <w:jc w:val="both"/>
        <w:rPr>
          <w:rFonts w:ascii="Times New Roman" w:eastAsia="Times New Roman" w:hAnsi="Times New Roman"/>
          <w:sz w:val="22"/>
          <w:szCs w:val="20"/>
          <w:lang w:eastAsia="pl-PL"/>
        </w:rPr>
      </w:pPr>
      <w:r>
        <w:rPr>
          <w:rFonts w:ascii="Times New Roman" w:eastAsia="Times New Roman" w:hAnsi="Times New Roman"/>
          <w:sz w:val="22"/>
          <w:szCs w:val="20"/>
          <w:lang w:eastAsia="pl-PL"/>
        </w:rPr>
        <w:t>Załącznik B.100</w:t>
      </w:r>
      <w:r w:rsidRPr="007243EA">
        <w:rPr>
          <w:rFonts w:ascii="Times New Roman" w:eastAsia="Times New Roman" w:hAnsi="Times New Roman"/>
          <w:sz w:val="22"/>
          <w:szCs w:val="20"/>
          <w:lang w:eastAsia="pl-PL"/>
        </w:rPr>
        <w:t>.</w:t>
      </w:r>
    </w:p>
    <w:p w:rsidR="00E121E7" w:rsidRPr="00FF2570" w:rsidRDefault="00E121E7" w:rsidP="00E121E7">
      <w:pPr>
        <w:spacing w:after="0"/>
        <w:rPr>
          <w:rFonts w:ascii="Times New Roman" w:hAnsi="Times New Roman"/>
          <w:b/>
          <w:sz w:val="22"/>
          <w:szCs w:val="22"/>
        </w:rPr>
      </w:pPr>
    </w:p>
    <w:p w:rsidR="00654DC5" w:rsidRPr="00FF2570" w:rsidRDefault="00224995">
      <w:pPr>
        <w:rPr>
          <w:sz w:val="28"/>
          <w:szCs w:val="28"/>
        </w:rPr>
      </w:pPr>
      <w:r w:rsidRPr="00224995">
        <w:rPr>
          <w:rFonts w:ascii="Times New Roman" w:hAnsi="Times New Roman"/>
          <w:b/>
          <w:sz w:val="28"/>
          <w:szCs w:val="28"/>
        </w:rPr>
        <w:t>LECZENIE</w:t>
      </w:r>
      <w:r>
        <w:rPr>
          <w:rFonts w:ascii="Times New Roman" w:hAnsi="Times New Roman"/>
          <w:b/>
          <w:sz w:val="28"/>
          <w:szCs w:val="28"/>
        </w:rPr>
        <w:t xml:space="preserve"> </w:t>
      </w:r>
      <w:r w:rsidRPr="00224995">
        <w:rPr>
          <w:rFonts w:ascii="Times New Roman" w:hAnsi="Times New Roman"/>
          <w:b/>
          <w:sz w:val="28"/>
          <w:szCs w:val="28"/>
        </w:rPr>
        <w:t>OPORNEJ</w:t>
      </w:r>
      <w:r>
        <w:rPr>
          <w:rFonts w:ascii="Times New Roman" w:hAnsi="Times New Roman"/>
          <w:b/>
          <w:sz w:val="28"/>
          <w:szCs w:val="28"/>
        </w:rPr>
        <w:t xml:space="preserve"> </w:t>
      </w:r>
      <w:r w:rsidRPr="00224995">
        <w:rPr>
          <w:rFonts w:ascii="Times New Roman" w:hAnsi="Times New Roman"/>
          <w:b/>
          <w:sz w:val="28"/>
          <w:szCs w:val="28"/>
        </w:rPr>
        <w:t xml:space="preserve"> I</w:t>
      </w:r>
      <w:r>
        <w:rPr>
          <w:rFonts w:ascii="Times New Roman" w:hAnsi="Times New Roman"/>
          <w:b/>
          <w:sz w:val="28"/>
          <w:szCs w:val="28"/>
        </w:rPr>
        <w:t xml:space="preserve"> </w:t>
      </w:r>
      <w:r w:rsidRPr="00224995">
        <w:rPr>
          <w:rFonts w:ascii="Times New Roman" w:hAnsi="Times New Roman"/>
          <w:b/>
          <w:sz w:val="28"/>
          <w:szCs w:val="28"/>
        </w:rPr>
        <w:t xml:space="preserve"> NAWROTOWEJ</w:t>
      </w:r>
      <w:r>
        <w:rPr>
          <w:rFonts w:ascii="Times New Roman" w:hAnsi="Times New Roman"/>
          <w:b/>
          <w:sz w:val="28"/>
          <w:szCs w:val="28"/>
        </w:rPr>
        <w:t xml:space="preserve"> </w:t>
      </w:r>
      <w:r w:rsidRPr="00224995">
        <w:rPr>
          <w:rFonts w:ascii="Times New Roman" w:hAnsi="Times New Roman"/>
          <w:b/>
          <w:sz w:val="28"/>
          <w:szCs w:val="28"/>
        </w:rPr>
        <w:t xml:space="preserve"> POSTACI KLASYCZNEGO CHŁONIAKA HODGKINA Z ZASTOSOWANIEM NIWOLUMA</w:t>
      </w:r>
      <w:r>
        <w:rPr>
          <w:rFonts w:ascii="Times New Roman" w:hAnsi="Times New Roman"/>
          <w:b/>
          <w:sz w:val="28"/>
          <w:szCs w:val="28"/>
        </w:rPr>
        <w:t>BU (ICD-10 C 81</w:t>
      </w:r>
      <w:r w:rsidRPr="00224995">
        <w:rPr>
          <w:rFonts w:ascii="Times New Roman" w:hAnsi="Times New Roman"/>
          <w:b/>
          <w:sz w:val="28"/>
          <w:szCs w:val="28"/>
        </w:rPr>
        <w:t>)</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4"/>
        <w:gridCol w:w="4469"/>
        <w:gridCol w:w="5580"/>
      </w:tblGrid>
      <w:tr w:rsidR="00E5276E" w:rsidRPr="00FF2570" w:rsidTr="00654DC5">
        <w:trPr>
          <w:trHeight w:val="5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6B89"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ZAKRES ŚWIADCZENIA GWARANTOWANEGO</w:t>
            </w:r>
          </w:p>
        </w:tc>
      </w:tr>
      <w:tr w:rsidR="00E5276E" w:rsidRPr="00FF2570" w:rsidTr="00FF2570">
        <w:trPr>
          <w:trHeight w:val="607"/>
        </w:trPr>
        <w:tc>
          <w:tcPr>
            <w:tcW w:w="1780" w:type="pct"/>
            <w:tcBorders>
              <w:top w:val="single" w:sz="4" w:space="0" w:color="auto"/>
            </w:tcBorders>
            <w:vAlign w:val="center"/>
          </w:tcPr>
          <w:p w:rsidR="00E5276E"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ŚWIADCZENIOBIORCY</w:t>
            </w:r>
          </w:p>
        </w:tc>
        <w:tc>
          <w:tcPr>
            <w:tcW w:w="1432" w:type="pct"/>
            <w:tcBorders>
              <w:top w:val="single" w:sz="4" w:space="0" w:color="auto"/>
            </w:tcBorders>
            <w:vAlign w:val="center"/>
          </w:tcPr>
          <w:p w:rsidR="00E5276E"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SCHEMAT DAWKOWANIA LEKU</w:t>
            </w:r>
            <w:r w:rsidRPr="00FF2570">
              <w:rPr>
                <w:rFonts w:ascii="Times New Roman" w:hAnsi="Times New Roman"/>
                <w:b/>
                <w:sz w:val="20"/>
                <w:szCs w:val="20"/>
              </w:rPr>
              <w:br/>
              <w:t>W PROGRAMIE</w:t>
            </w:r>
          </w:p>
        </w:tc>
        <w:tc>
          <w:tcPr>
            <w:tcW w:w="1787" w:type="pct"/>
            <w:tcBorders>
              <w:top w:val="single" w:sz="4" w:space="0" w:color="auto"/>
            </w:tcBorders>
            <w:vAlign w:val="center"/>
          </w:tcPr>
          <w:p w:rsidR="00E5276E" w:rsidRPr="00FF2570" w:rsidRDefault="00E5276E" w:rsidP="00FF2570">
            <w:pPr>
              <w:spacing w:before="60" w:after="60" w:line="276" w:lineRule="auto"/>
              <w:jc w:val="center"/>
              <w:rPr>
                <w:rFonts w:ascii="Times New Roman" w:hAnsi="Times New Roman"/>
                <w:b/>
                <w:sz w:val="20"/>
                <w:szCs w:val="20"/>
              </w:rPr>
            </w:pPr>
            <w:r w:rsidRPr="00FF2570">
              <w:rPr>
                <w:rFonts w:ascii="Times New Roman" w:hAnsi="Times New Roman"/>
                <w:b/>
                <w:sz w:val="20"/>
                <w:szCs w:val="20"/>
              </w:rPr>
              <w:t>BAD</w:t>
            </w:r>
            <w:r w:rsidR="00736021" w:rsidRPr="00FF2570">
              <w:rPr>
                <w:rFonts w:ascii="Times New Roman" w:hAnsi="Times New Roman"/>
                <w:b/>
                <w:sz w:val="20"/>
                <w:szCs w:val="20"/>
              </w:rPr>
              <w:t>ANIA DIAGNOSTYCZNE WYKONYWANE W </w:t>
            </w:r>
            <w:r w:rsidRPr="00FF2570">
              <w:rPr>
                <w:rFonts w:ascii="Times New Roman" w:hAnsi="Times New Roman"/>
                <w:b/>
                <w:sz w:val="20"/>
                <w:szCs w:val="20"/>
              </w:rPr>
              <w:t>RAMACH PROGRAMU</w:t>
            </w:r>
          </w:p>
        </w:tc>
      </w:tr>
      <w:tr w:rsidR="00E5276E" w:rsidRPr="00FF2570" w:rsidTr="00FF2570">
        <w:trPr>
          <w:trHeight w:val="2394"/>
        </w:trPr>
        <w:tc>
          <w:tcPr>
            <w:tcW w:w="1780" w:type="pct"/>
          </w:tcPr>
          <w:tbl>
            <w:tblPr>
              <w:tblW w:w="0" w:type="auto"/>
              <w:tblBorders>
                <w:top w:val="nil"/>
                <w:left w:val="nil"/>
                <w:bottom w:val="nil"/>
                <w:right w:val="nil"/>
              </w:tblBorders>
              <w:tblLook w:val="0000" w:firstRow="0" w:lastRow="0" w:firstColumn="0" w:lastColumn="0" w:noHBand="0" w:noVBand="0"/>
            </w:tblPr>
            <w:tblGrid>
              <w:gridCol w:w="5338"/>
            </w:tblGrid>
            <w:tr w:rsidR="00910FC8">
              <w:trPr>
                <w:trHeight w:val="3338"/>
              </w:trPr>
              <w:tc>
                <w:tcPr>
                  <w:tcW w:w="0" w:type="auto"/>
                </w:tcPr>
                <w:p w:rsidR="00910FC8" w:rsidRPr="009E5739" w:rsidRDefault="009E5739" w:rsidP="009E5739">
                  <w:pPr>
                    <w:autoSpaceDE w:val="0"/>
                    <w:autoSpaceDN w:val="0"/>
                    <w:adjustRightInd w:val="0"/>
                    <w:spacing w:before="120" w:after="120" w:line="276" w:lineRule="auto"/>
                    <w:rPr>
                      <w:rFonts w:ascii="Times New Roman" w:hAnsi="Times New Roman"/>
                      <w:b/>
                      <w:bCs/>
                      <w:sz w:val="20"/>
                      <w:szCs w:val="20"/>
                      <w:lang w:eastAsia="pl-PL"/>
                    </w:rPr>
                  </w:pPr>
                  <w:r>
                    <w:rPr>
                      <w:rFonts w:ascii="Times New Roman" w:hAnsi="Times New Roman"/>
                      <w:b/>
                      <w:bCs/>
                      <w:sz w:val="20"/>
                      <w:szCs w:val="20"/>
                      <w:lang w:eastAsia="pl-PL"/>
                    </w:rPr>
                    <w:t xml:space="preserve">1. </w:t>
                  </w:r>
                  <w:r w:rsidR="00910FC8" w:rsidRPr="009E5739">
                    <w:rPr>
                      <w:rFonts w:ascii="Times New Roman" w:hAnsi="Times New Roman"/>
                      <w:b/>
                      <w:bCs/>
                      <w:sz w:val="20"/>
                      <w:szCs w:val="20"/>
                      <w:lang w:eastAsia="pl-PL"/>
                    </w:rPr>
                    <w:t xml:space="preserve"> Kryteria kwalifikacji: </w:t>
                  </w:r>
                </w:p>
                <w:p w:rsidR="00DD4A27" w:rsidRDefault="00D373FF" w:rsidP="00AD03FC">
                  <w:pPr>
                    <w:pStyle w:val="Akapitzlist"/>
                    <w:numPr>
                      <w:ilvl w:val="0"/>
                      <w:numId w:val="44"/>
                    </w:numPr>
                    <w:autoSpaceDE w:val="0"/>
                    <w:autoSpaceDN w:val="0"/>
                    <w:adjustRightInd w:val="0"/>
                    <w:spacing w:before="120" w:line="276" w:lineRule="auto"/>
                    <w:ind w:left="602" w:hanging="283"/>
                    <w:jc w:val="left"/>
                    <w:rPr>
                      <w:rFonts w:ascii="Times New Roman" w:hAnsi="Times New Roman"/>
                      <w:bCs/>
                      <w:sz w:val="20"/>
                      <w:szCs w:val="20"/>
                      <w:lang w:eastAsia="pl-PL"/>
                    </w:rPr>
                  </w:pPr>
                  <w:r w:rsidRPr="00DD4A27">
                    <w:rPr>
                      <w:rFonts w:ascii="Times New Roman" w:hAnsi="Times New Roman"/>
                      <w:bCs/>
                      <w:sz w:val="20"/>
                      <w:szCs w:val="20"/>
                      <w:lang w:eastAsia="pl-PL"/>
                    </w:rPr>
                    <w:t>n</w:t>
                  </w:r>
                  <w:r w:rsidR="00910FC8" w:rsidRPr="00DD4A27">
                    <w:rPr>
                      <w:rFonts w:ascii="Times New Roman" w:hAnsi="Times New Roman"/>
                      <w:bCs/>
                      <w:sz w:val="20"/>
                      <w:szCs w:val="20"/>
                      <w:lang w:eastAsia="pl-PL"/>
                    </w:rPr>
                    <w:t xml:space="preserve">awrotowy lub oporny na leczenie </w:t>
                  </w:r>
                  <w:r w:rsidR="00837902" w:rsidRPr="00DD4A27">
                    <w:rPr>
                      <w:rFonts w:ascii="Times New Roman" w:hAnsi="Times New Roman"/>
                      <w:bCs/>
                      <w:sz w:val="20"/>
                      <w:szCs w:val="20"/>
                      <w:lang w:eastAsia="pl-PL"/>
                    </w:rPr>
                    <w:t xml:space="preserve">klasyczny </w:t>
                  </w:r>
                  <w:r w:rsidR="00910FC8" w:rsidRPr="00DD4A27">
                    <w:rPr>
                      <w:rFonts w:ascii="Times New Roman" w:hAnsi="Times New Roman"/>
                      <w:bCs/>
                      <w:sz w:val="20"/>
                      <w:szCs w:val="20"/>
                      <w:lang w:eastAsia="pl-PL"/>
                    </w:rPr>
                    <w:t>chłoniak Hodgkina potwierdz</w:t>
                  </w:r>
                  <w:r w:rsidR="00DD4A27">
                    <w:rPr>
                      <w:rFonts w:ascii="Times New Roman" w:hAnsi="Times New Roman"/>
                      <w:bCs/>
                      <w:sz w:val="20"/>
                      <w:szCs w:val="20"/>
                      <w:lang w:eastAsia="pl-PL"/>
                    </w:rPr>
                    <w:t>ony badaniem histopatologicznym</w:t>
                  </w:r>
                </w:p>
                <w:p w:rsidR="00DD4A27" w:rsidRPr="00DD4A27" w:rsidRDefault="00DD4A27"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sidRPr="00DD4A27">
                    <w:rPr>
                      <w:rFonts w:ascii="Times New Roman" w:hAnsi="Times New Roman"/>
                      <w:bCs/>
                      <w:sz w:val="20"/>
                      <w:szCs w:val="20"/>
                      <w:lang w:eastAsia="pl-PL"/>
                    </w:rPr>
                    <w:t>a) </w:t>
                  </w:r>
                  <w:r w:rsidR="00837902" w:rsidRPr="00DD4A27">
                    <w:rPr>
                      <w:rFonts w:ascii="Times New Roman" w:hAnsi="Times New Roman"/>
                      <w:bCs/>
                      <w:sz w:val="20"/>
                      <w:szCs w:val="20"/>
                      <w:lang w:eastAsia="pl-PL"/>
                    </w:rPr>
                    <w:t>p</w:t>
                  </w:r>
                  <w:r w:rsidR="00910FC8" w:rsidRPr="00DD4A27">
                    <w:rPr>
                      <w:rFonts w:ascii="Times New Roman" w:hAnsi="Times New Roman"/>
                      <w:bCs/>
                      <w:sz w:val="20"/>
                      <w:szCs w:val="20"/>
                      <w:lang w:eastAsia="pl-PL"/>
                    </w:rPr>
                    <w:t>o autologicznym przeszczepieniu komórek macierzystych szpiku (ASCT)</w:t>
                  </w:r>
                  <w:r>
                    <w:rPr>
                      <w:rFonts w:ascii="Times New Roman" w:hAnsi="Times New Roman"/>
                      <w:bCs/>
                      <w:sz w:val="20"/>
                      <w:szCs w:val="20"/>
                      <w:lang w:eastAsia="pl-PL"/>
                    </w:rPr>
                    <w:t xml:space="preserve"> </w:t>
                  </w:r>
                  <w:r w:rsidR="00910FC8" w:rsidRPr="00DD4A27">
                    <w:rPr>
                      <w:rFonts w:ascii="Times New Roman" w:hAnsi="Times New Roman"/>
                      <w:bCs/>
                      <w:sz w:val="20"/>
                      <w:szCs w:val="20"/>
                      <w:lang w:eastAsia="pl-PL"/>
                    </w:rPr>
                    <w:t>i</w:t>
                  </w:r>
                </w:p>
                <w:p w:rsidR="00910FC8" w:rsidRPr="000578B2" w:rsidRDefault="00DD4A27"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Pr>
                      <w:rFonts w:ascii="Times New Roman" w:hAnsi="Times New Roman"/>
                      <w:bCs/>
                      <w:sz w:val="20"/>
                      <w:szCs w:val="20"/>
                      <w:lang w:eastAsia="pl-PL"/>
                    </w:rPr>
                    <w:t xml:space="preserve">b) </w:t>
                  </w:r>
                  <w:r w:rsidR="00837902" w:rsidRPr="000578B2">
                    <w:rPr>
                      <w:rFonts w:ascii="Times New Roman" w:hAnsi="Times New Roman"/>
                      <w:bCs/>
                      <w:sz w:val="20"/>
                      <w:szCs w:val="20"/>
                      <w:lang w:eastAsia="pl-PL"/>
                    </w:rPr>
                    <w:t>p</w:t>
                  </w:r>
                  <w:r w:rsidR="00910FC8" w:rsidRPr="000578B2">
                    <w:rPr>
                      <w:rFonts w:ascii="Times New Roman" w:hAnsi="Times New Roman"/>
                      <w:bCs/>
                      <w:sz w:val="20"/>
                      <w:szCs w:val="20"/>
                      <w:lang w:eastAsia="pl-PL"/>
                    </w:rPr>
                    <w:t xml:space="preserve">o leczeniu brentuksymabem vedotin; </w:t>
                  </w:r>
                </w:p>
                <w:p w:rsidR="00837902" w:rsidRPr="000578B2" w:rsidRDefault="00D373FF" w:rsidP="00AD03FC">
                  <w:pPr>
                    <w:pStyle w:val="Akapitzlist"/>
                    <w:numPr>
                      <w:ilvl w:val="0"/>
                      <w:numId w:val="44"/>
                    </w:numPr>
                    <w:autoSpaceDE w:val="0"/>
                    <w:autoSpaceDN w:val="0"/>
                    <w:adjustRightInd w:val="0"/>
                    <w:spacing w:before="120" w:line="276" w:lineRule="auto"/>
                    <w:ind w:left="601" w:hanging="283"/>
                    <w:jc w:val="left"/>
                    <w:rPr>
                      <w:rFonts w:ascii="Times New Roman" w:hAnsi="Times New Roman"/>
                      <w:bCs/>
                      <w:sz w:val="20"/>
                      <w:szCs w:val="20"/>
                      <w:lang w:eastAsia="pl-PL"/>
                    </w:rPr>
                  </w:pPr>
                  <w:r w:rsidRPr="000578B2">
                    <w:rPr>
                      <w:rFonts w:ascii="Times New Roman" w:hAnsi="Times New Roman"/>
                      <w:bCs/>
                      <w:sz w:val="20"/>
                      <w:szCs w:val="20"/>
                      <w:lang w:eastAsia="pl-PL"/>
                    </w:rPr>
                    <w:t>w</w:t>
                  </w:r>
                  <w:r w:rsidR="00837902" w:rsidRPr="000578B2">
                    <w:rPr>
                      <w:rFonts w:ascii="Times New Roman" w:hAnsi="Times New Roman"/>
                      <w:bCs/>
                      <w:sz w:val="20"/>
                      <w:szCs w:val="20"/>
                      <w:lang w:eastAsia="pl-PL"/>
                    </w:rPr>
                    <w:t>iek 18 lat i powyżej;</w:t>
                  </w:r>
                </w:p>
                <w:p w:rsidR="00910FC8" w:rsidRPr="000578B2" w:rsidRDefault="000578B2" w:rsidP="00AD03FC">
                  <w:pPr>
                    <w:pStyle w:val="Akapitzlist"/>
                    <w:numPr>
                      <w:ilvl w:val="0"/>
                      <w:numId w:val="44"/>
                    </w:numPr>
                    <w:autoSpaceDE w:val="0"/>
                    <w:autoSpaceDN w:val="0"/>
                    <w:adjustRightInd w:val="0"/>
                    <w:spacing w:before="120" w:line="276" w:lineRule="auto"/>
                    <w:ind w:left="601" w:hanging="283"/>
                    <w:jc w:val="left"/>
                    <w:rPr>
                      <w:rFonts w:ascii="Times New Roman" w:hAnsi="Times New Roman"/>
                      <w:bCs/>
                      <w:sz w:val="20"/>
                      <w:szCs w:val="20"/>
                      <w:lang w:eastAsia="pl-PL"/>
                    </w:rPr>
                  </w:pPr>
                  <w:r>
                    <w:rPr>
                      <w:rFonts w:ascii="Times New Roman" w:hAnsi="Times New Roman"/>
                      <w:bCs/>
                      <w:sz w:val="20"/>
                      <w:szCs w:val="20"/>
                      <w:lang w:eastAsia="pl-PL"/>
                    </w:rPr>
                    <w:t>s</w:t>
                  </w:r>
                  <w:r w:rsidR="00910FC8" w:rsidRPr="000578B2">
                    <w:rPr>
                      <w:rFonts w:ascii="Times New Roman" w:hAnsi="Times New Roman"/>
                      <w:bCs/>
                      <w:sz w:val="20"/>
                      <w:szCs w:val="20"/>
                      <w:lang w:eastAsia="pl-PL"/>
                    </w:rPr>
                    <w:t xml:space="preserve">prawność w stopniu 0-1 wg klasyfikacji WHO lub ECOG; </w:t>
                  </w:r>
                </w:p>
                <w:p w:rsidR="00910FC8" w:rsidRPr="000578B2" w:rsidRDefault="000578B2" w:rsidP="00AD03FC">
                  <w:pPr>
                    <w:pStyle w:val="Akapitzlist"/>
                    <w:numPr>
                      <w:ilvl w:val="0"/>
                      <w:numId w:val="44"/>
                    </w:numPr>
                    <w:autoSpaceDE w:val="0"/>
                    <w:autoSpaceDN w:val="0"/>
                    <w:adjustRightInd w:val="0"/>
                    <w:spacing w:before="120" w:line="276" w:lineRule="auto"/>
                    <w:ind w:left="601" w:hanging="283"/>
                    <w:jc w:val="left"/>
                    <w:rPr>
                      <w:rFonts w:ascii="Times New Roman" w:hAnsi="Times New Roman"/>
                      <w:bCs/>
                      <w:sz w:val="20"/>
                      <w:szCs w:val="20"/>
                      <w:lang w:eastAsia="pl-PL"/>
                    </w:rPr>
                  </w:pPr>
                  <w:r>
                    <w:rPr>
                      <w:rFonts w:ascii="Times New Roman" w:hAnsi="Times New Roman"/>
                      <w:bCs/>
                      <w:sz w:val="20"/>
                      <w:szCs w:val="20"/>
                      <w:lang w:eastAsia="pl-PL"/>
                    </w:rPr>
                    <w:t>w</w:t>
                  </w:r>
                  <w:r w:rsidR="00910FC8" w:rsidRPr="000578B2">
                    <w:rPr>
                      <w:rFonts w:ascii="Times New Roman" w:hAnsi="Times New Roman"/>
                      <w:bCs/>
                      <w:sz w:val="20"/>
                      <w:szCs w:val="20"/>
                      <w:lang w:eastAsia="pl-PL"/>
                    </w:rPr>
                    <w:t xml:space="preserve">ykluczenie ciąży lub karmienia piersią u pacjentek; </w:t>
                  </w:r>
                </w:p>
                <w:p w:rsidR="00910FC8" w:rsidRPr="000578B2" w:rsidRDefault="000578B2" w:rsidP="00AD03FC">
                  <w:pPr>
                    <w:pStyle w:val="Akapitzlist"/>
                    <w:numPr>
                      <w:ilvl w:val="0"/>
                      <w:numId w:val="44"/>
                    </w:numPr>
                    <w:autoSpaceDE w:val="0"/>
                    <w:autoSpaceDN w:val="0"/>
                    <w:adjustRightInd w:val="0"/>
                    <w:spacing w:before="120" w:line="276" w:lineRule="auto"/>
                    <w:ind w:left="601" w:hanging="283"/>
                    <w:jc w:val="left"/>
                    <w:rPr>
                      <w:rFonts w:ascii="Times New Roman" w:hAnsi="Times New Roman"/>
                      <w:bCs/>
                      <w:sz w:val="20"/>
                      <w:szCs w:val="20"/>
                      <w:lang w:eastAsia="pl-PL"/>
                    </w:rPr>
                  </w:pPr>
                  <w:r>
                    <w:rPr>
                      <w:rFonts w:ascii="Times New Roman" w:hAnsi="Times New Roman"/>
                      <w:bCs/>
                      <w:sz w:val="20"/>
                      <w:szCs w:val="20"/>
                      <w:lang w:eastAsia="pl-PL"/>
                    </w:rPr>
                    <w:t>b</w:t>
                  </w:r>
                  <w:r w:rsidR="00910FC8" w:rsidRPr="000578B2">
                    <w:rPr>
                      <w:rFonts w:ascii="Times New Roman" w:hAnsi="Times New Roman"/>
                      <w:bCs/>
                      <w:sz w:val="20"/>
                      <w:szCs w:val="20"/>
                      <w:lang w:eastAsia="pl-PL"/>
                    </w:rPr>
                    <w:t>rak aktywnych choró</w:t>
                  </w:r>
                  <w:r w:rsidR="00837902" w:rsidRPr="000578B2">
                    <w:rPr>
                      <w:rFonts w:ascii="Times New Roman" w:hAnsi="Times New Roman"/>
                      <w:bCs/>
                      <w:sz w:val="20"/>
                      <w:szCs w:val="20"/>
                      <w:lang w:eastAsia="pl-PL"/>
                    </w:rPr>
                    <w:t>b autoimmunologicznych z </w:t>
                  </w:r>
                  <w:r w:rsidR="00910FC8" w:rsidRPr="000578B2">
                    <w:rPr>
                      <w:rFonts w:ascii="Times New Roman" w:hAnsi="Times New Roman"/>
                      <w:bCs/>
                      <w:sz w:val="20"/>
                      <w:szCs w:val="20"/>
                      <w:lang w:eastAsia="pl-PL"/>
                    </w:rPr>
                    <w:t xml:space="preserve">wyłączeniem cukrzycy typu I, niedoczynności tarczycy (leczonej wyłącznie suplementacją hormonalną), łuszczycy, bielactwa. </w:t>
                  </w:r>
                </w:p>
                <w:p w:rsidR="00837902" w:rsidRDefault="00837902">
                  <w:pPr>
                    <w:pStyle w:val="Default"/>
                    <w:rPr>
                      <w:sz w:val="20"/>
                      <w:szCs w:val="20"/>
                    </w:rPr>
                  </w:pPr>
                </w:p>
                <w:p w:rsidR="00837902" w:rsidRDefault="00837902">
                  <w:pPr>
                    <w:pStyle w:val="Default"/>
                    <w:rPr>
                      <w:sz w:val="20"/>
                      <w:szCs w:val="20"/>
                    </w:rPr>
                  </w:pPr>
                  <w:r>
                    <w:rPr>
                      <w:sz w:val="20"/>
                      <w:szCs w:val="20"/>
                    </w:rPr>
                    <w:t>Kryteria kwalifikacji muszą być spełnione łącznie.</w:t>
                  </w:r>
                </w:p>
                <w:p w:rsidR="00837902" w:rsidRDefault="00837902">
                  <w:pPr>
                    <w:pStyle w:val="Default"/>
                    <w:rPr>
                      <w:sz w:val="20"/>
                      <w:szCs w:val="20"/>
                    </w:rPr>
                  </w:pPr>
                </w:p>
                <w:p w:rsidR="00910FC8" w:rsidRPr="00837902" w:rsidRDefault="00910FC8" w:rsidP="00837902">
                  <w:pPr>
                    <w:pStyle w:val="Default"/>
                    <w:rPr>
                      <w:b/>
                      <w:bCs/>
                      <w:sz w:val="20"/>
                      <w:szCs w:val="20"/>
                    </w:rPr>
                  </w:pPr>
                  <w:r>
                    <w:rPr>
                      <w:b/>
                      <w:bCs/>
                      <w:sz w:val="20"/>
                      <w:szCs w:val="20"/>
                    </w:rPr>
                    <w:t>2. Określenie czasu leczenia w p</w:t>
                  </w:r>
                  <w:r w:rsidR="00837902">
                    <w:rPr>
                      <w:b/>
                      <w:bCs/>
                      <w:sz w:val="20"/>
                      <w:szCs w:val="20"/>
                    </w:rPr>
                    <w:t>rogramie</w:t>
                  </w:r>
                </w:p>
                <w:p w:rsidR="00910FC8" w:rsidRDefault="00910FC8">
                  <w:pPr>
                    <w:pStyle w:val="Default"/>
                    <w:rPr>
                      <w:sz w:val="20"/>
                      <w:szCs w:val="20"/>
                    </w:rPr>
                  </w:pPr>
                </w:p>
                <w:p w:rsidR="00910FC8" w:rsidRDefault="00910FC8" w:rsidP="00AD03FC">
                  <w:pPr>
                    <w:pStyle w:val="Default"/>
                    <w:rPr>
                      <w:sz w:val="20"/>
                      <w:szCs w:val="20"/>
                    </w:rPr>
                  </w:pPr>
                  <w:r>
                    <w:rPr>
                      <w:sz w:val="20"/>
                      <w:szCs w:val="20"/>
                    </w:rPr>
                    <w:t>Czas leczenia w programie określa lekarz. Leczenie należy kontynuować tak długo, dopóki obserwuje się korzyści kliniczne</w:t>
                  </w:r>
                  <w:r w:rsidR="002B4FE5">
                    <w:rPr>
                      <w:sz w:val="20"/>
                      <w:szCs w:val="20"/>
                    </w:rPr>
                    <w:t>.</w:t>
                  </w:r>
                </w:p>
                <w:p w:rsidR="00837902" w:rsidRDefault="00837902">
                  <w:pPr>
                    <w:pStyle w:val="Default"/>
                    <w:rPr>
                      <w:sz w:val="20"/>
                      <w:szCs w:val="20"/>
                    </w:rPr>
                  </w:pPr>
                </w:p>
                <w:p w:rsidR="00910FC8" w:rsidRDefault="00910FC8">
                  <w:pPr>
                    <w:pStyle w:val="Default"/>
                    <w:rPr>
                      <w:sz w:val="20"/>
                      <w:szCs w:val="20"/>
                    </w:rPr>
                  </w:pPr>
                  <w:r>
                    <w:rPr>
                      <w:b/>
                      <w:bCs/>
                      <w:sz w:val="20"/>
                      <w:szCs w:val="20"/>
                    </w:rPr>
                    <w:lastRenderedPageBreak/>
                    <w:t xml:space="preserve">3. Kryteria czasowego zawieszenia leczenia niwolumabem </w:t>
                  </w:r>
                </w:p>
                <w:p w:rsidR="00910FC8" w:rsidRDefault="00910FC8">
                  <w:pPr>
                    <w:pStyle w:val="Default"/>
                    <w:rPr>
                      <w:sz w:val="20"/>
                      <w:szCs w:val="20"/>
                    </w:rPr>
                  </w:pPr>
                </w:p>
                <w:p w:rsidR="00910FC8" w:rsidRDefault="00910FC8" w:rsidP="00AD03FC">
                  <w:pPr>
                    <w:pStyle w:val="Default"/>
                    <w:rPr>
                      <w:sz w:val="20"/>
                      <w:szCs w:val="20"/>
                    </w:rPr>
                  </w:pPr>
                  <w:r>
                    <w:rPr>
                      <w:sz w:val="20"/>
                      <w:szCs w:val="20"/>
                    </w:rPr>
                    <w:t xml:space="preserve">Zgodnie z opisem w Charakterystyce Produktu Leczniczego. </w:t>
                  </w:r>
                </w:p>
                <w:p w:rsidR="00910FC8" w:rsidRDefault="00910FC8" w:rsidP="00AD03FC">
                  <w:pPr>
                    <w:pStyle w:val="Default"/>
                    <w:rPr>
                      <w:sz w:val="20"/>
                      <w:szCs w:val="20"/>
                    </w:rPr>
                  </w:pPr>
                  <w:r>
                    <w:rPr>
                      <w:sz w:val="20"/>
                      <w:szCs w:val="20"/>
                    </w:rPr>
                    <w:t xml:space="preserve">Podawanie niwolumabu można wznowić w przypadku całkowitego ustąpienia działania niepożądanego lub zmniejszenia stopnia nasilenia do stopnia 1. </w:t>
                  </w:r>
                </w:p>
                <w:p w:rsidR="00910FC8" w:rsidRDefault="00910FC8" w:rsidP="00910FC8">
                  <w:pPr>
                    <w:pStyle w:val="Default"/>
                    <w:rPr>
                      <w:color w:val="auto"/>
                    </w:rPr>
                  </w:pPr>
                </w:p>
                <w:p w:rsidR="00910FC8" w:rsidRDefault="00910FC8" w:rsidP="00910FC8">
                  <w:pPr>
                    <w:pStyle w:val="Default"/>
                    <w:rPr>
                      <w:sz w:val="20"/>
                      <w:szCs w:val="20"/>
                    </w:rPr>
                  </w:pPr>
                  <w:r>
                    <w:rPr>
                      <w:b/>
                      <w:bCs/>
                      <w:sz w:val="20"/>
                      <w:szCs w:val="20"/>
                    </w:rPr>
                    <w:t xml:space="preserve">4. Kryteria wyłączenia z udziału w programie: </w:t>
                  </w:r>
                </w:p>
                <w:p w:rsidR="00910FC8" w:rsidRPr="009E5739" w:rsidRDefault="009E5739" w:rsidP="00AD03FC">
                  <w:pPr>
                    <w:pStyle w:val="Akapitzlist"/>
                    <w:numPr>
                      <w:ilvl w:val="0"/>
                      <w:numId w:val="40"/>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p</w:t>
                  </w:r>
                  <w:r w:rsidR="00910FC8" w:rsidRPr="009E5739">
                    <w:rPr>
                      <w:rFonts w:ascii="Times New Roman" w:hAnsi="Times New Roman"/>
                      <w:bCs/>
                      <w:sz w:val="20"/>
                      <w:szCs w:val="20"/>
                      <w:lang w:eastAsia="pl-PL"/>
                    </w:rPr>
                    <w:t>rogresja choroby;</w:t>
                  </w:r>
                </w:p>
                <w:p w:rsidR="00910FC8" w:rsidRPr="009E5739" w:rsidRDefault="009E5739" w:rsidP="00AD03FC">
                  <w:pPr>
                    <w:pStyle w:val="Akapitzlist"/>
                    <w:numPr>
                      <w:ilvl w:val="0"/>
                      <w:numId w:val="40"/>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n</w:t>
                  </w:r>
                  <w:r w:rsidR="00910FC8" w:rsidRPr="009E5739">
                    <w:rPr>
                      <w:rFonts w:ascii="Times New Roman" w:hAnsi="Times New Roman"/>
                      <w:bCs/>
                      <w:sz w:val="20"/>
                      <w:szCs w:val="20"/>
                      <w:lang w:eastAsia="pl-PL"/>
                    </w:rPr>
                    <w:t>adwrażliwość na lek lub na substancję pomocniczą;</w:t>
                  </w:r>
                </w:p>
                <w:p w:rsidR="00910FC8" w:rsidRPr="009E5739" w:rsidRDefault="009E5739" w:rsidP="00AD03FC">
                  <w:pPr>
                    <w:pStyle w:val="Akapitzlist"/>
                    <w:numPr>
                      <w:ilvl w:val="0"/>
                      <w:numId w:val="40"/>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w</w:t>
                  </w:r>
                  <w:r w:rsidR="00910FC8" w:rsidRPr="009E5739">
                    <w:rPr>
                      <w:rFonts w:ascii="Times New Roman" w:hAnsi="Times New Roman"/>
                      <w:bCs/>
                      <w:sz w:val="20"/>
                      <w:szCs w:val="20"/>
                      <w:lang w:eastAsia="pl-PL"/>
                    </w:rPr>
                    <w:t>ystąpienie klinicznie istotnej toksyczności leczenia w</w:t>
                  </w:r>
                  <w:r w:rsidR="00E111CA">
                    <w:rPr>
                      <w:rFonts w:ascii="Times New Roman" w:hAnsi="Times New Roman"/>
                      <w:bCs/>
                      <w:sz w:val="20"/>
                      <w:szCs w:val="20"/>
                      <w:lang w:eastAsia="pl-PL"/>
                    </w:rPr>
                    <w:t> </w:t>
                  </w:r>
                  <w:r w:rsidR="00910FC8" w:rsidRPr="009E5739">
                    <w:rPr>
                      <w:rFonts w:ascii="Times New Roman" w:hAnsi="Times New Roman"/>
                      <w:bCs/>
                      <w:sz w:val="20"/>
                      <w:szCs w:val="20"/>
                      <w:lang w:eastAsia="pl-PL"/>
                    </w:rPr>
                    <w:t>stopniu powy</w:t>
                  </w:r>
                  <w:r>
                    <w:rPr>
                      <w:rFonts w:ascii="Times New Roman" w:hAnsi="Times New Roman"/>
                      <w:bCs/>
                      <w:sz w:val="20"/>
                      <w:szCs w:val="20"/>
                      <w:lang w:eastAsia="pl-PL"/>
                    </w:rPr>
                    <w:t>żej 3 według kryteriów CTC (</w:t>
                  </w:r>
                  <w:r w:rsidR="00910FC8" w:rsidRPr="009E5739">
                    <w:rPr>
                      <w:rFonts w:ascii="Times New Roman" w:hAnsi="Times New Roman"/>
                      <w:bCs/>
                      <w:sz w:val="20"/>
                      <w:szCs w:val="20"/>
                      <w:lang w:eastAsia="pl-PL"/>
                    </w:rPr>
                    <w:t>Common Toxity Criteria);</w:t>
                  </w:r>
                </w:p>
                <w:p w:rsidR="00910FC8" w:rsidRPr="009E5739" w:rsidRDefault="009E5739" w:rsidP="00AD03FC">
                  <w:pPr>
                    <w:pStyle w:val="Akapitzlist"/>
                    <w:numPr>
                      <w:ilvl w:val="0"/>
                      <w:numId w:val="40"/>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k</w:t>
                  </w:r>
                  <w:r w:rsidR="00910FC8" w:rsidRPr="009E5739">
                    <w:rPr>
                      <w:rFonts w:ascii="Times New Roman" w:hAnsi="Times New Roman"/>
                      <w:bCs/>
                      <w:sz w:val="20"/>
                      <w:szCs w:val="20"/>
                      <w:lang w:eastAsia="pl-PL"/>
                    </w:rPr>
                    <w:t>obiety w wieku rozrodczym, które nie chcą lub nie są w</w:t>
                  </w:r>
                  <w:r w:rsidR="00E111CA">
                    <w:rPr>
                      <w:rFonts w:ascii="Times New Roman" w:hAnsi="Times New Roman"/>
                      <w:bCs/>
                      <w:sz w:val="20"/>
                      <w:szCs w:val="20"/>
                      <w:lang w:eastAsia="pl-PL"/>
                    </w:rPr>
                    <w:t> </w:t>
                  </w:r>
                  <w:r w:rsidR="00910FC8" w:rsidRPr="009E5739">
                    <w:rPr>
                      <w:rFonts w:ascii="Times New Roman" w:hAnsi="Times New Roman"/>
                      <w:bCs/>
                      <w:sz w:val="20"/>
                      <w:szCs w:val="20"/>
                      <w:lang w:eastAsia="pl-PL"/>
                    </w:rPr>
                    <w:t>stanie stosować dopuszczalnej metody antykoncepcji w celu uniknięcia ciąży przez cały okres leczenia oraz przez 5 miesięcy po jego zakończeniu;</w:t>
                  </w:r>
                </w:p>
                <w:p w:rsidR="00910FC8" w:rsidRPr="009E5739" w:rsidRDefault="009E5739" w:rsidP="00AD03FC">
                  <w:pPr>
                    <w:pStyle w:val="Akapitzlist"/>
                    <w:numPr>
                      <w:ilvl w:val="0"/>
                      <w:numId w:val="40"/>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k</w:t>
                  </w:r>
                  <w:r w:rsidR="00910FC8" w:rsidRPr="009E5739">
                    <w:rPr>
                      <w:rFonts w:ascii="Times New Roman" w:hAnsi="Times New Roman"/>
                      <w:bCs/>
                      <w:sz w:val="20"/>
                      <w:szCs w:val="20"/>
                      <w:lang w:eastAsia="pl-PL"/>
                    </w:rPr>
                    <w:t>obiety w ciąży lub karmiące piersią.</w:t>
                  </w:r>
                </w:p>
                <w:p w:rsidR="00910FC8" w:rsidRDefault="00910FC8">
                  <w:pPr>
                    <w:pStyle w:val="Default"/>
                    <w:rPr>
                      <w:sz w:val="20"/>
                      <w:szCs w:val="20"/>
                    </w:rPr>
                  </w:pPr>
                </w:p>
              </w:tc>
            </w:tr>
          </w:tbl>
          <w:p w:rsidR="004E11B7" w:rsidRPr="00F36057" w:rsidRDefault="004E11B7" w:rsidP="00F36057">
            <w:pPr>
              <w:pStyle w:val="Akapitzlist"/>
              <w:keepLines/>
              <w:widowControl w:val="0"/>
              <w:spacing w:before="120" w:line="276" w:lineRule="auto"/>
              <w:ind w:left="426"/>
              <w:jc w:val="left"/>
              <w:rPr>
                <w:rFonts w:ascii="Times New Roman" w:hAnsi="Times New Roman"/>
                <w:sz w:val="20"/>
                <w:szCs w:val="20"/>
              </w:rPr>
            </w:pPr>
          </w:p>
        </w:tc>
        <w:tc>
          <w:tcPr>
            <w:tcW w:w="1432" w:type="pct"/>
          </w:tcPr>
          <w:p w:rsidR="00BB5D4C" w:rsidRPr="00BB5D4C" w:rsidRDefault="00BB5D4C" w:rsidP="00BB5D4C">
            <w:pPr>
              <w:pStyle w:val="Akapitzlist"/>
              <w:autoSpaceDE w:val="0"/>
              <w:autoSpaceDN w:val="0"/>
              <w:adjustRightInd w:val="0"/>
              <w:spacing w:after="60" w:line="276" w:lineRule="auto"/>
              <w:ind w:left="35"/>
              <w:jc w:val="left"/>
              <w:rPr>
                <w:rFonts w:ascii="Times New Roman" w:hAnsi="Times New Roman"/>
                <w:b/>
                <w:bCs/>
                <w:sz w:val="8"/>
                <w:szCs w:val="20"/>
                <w:lang w:eastAsia="pl-PL"/>
              </w:rPr>
            </w:pPr>
          </w:p>
          <w:p w:rsidR="003A1DCD" w:rsidRPr="00962423" w:rsidRDefault="00962423" w:rsidP="00962423">
            <w:pPr>
              <w:pStyle w:val="Tekstkomentarza"/>
              <w:spacing w:line="276" w:lineRule="auto"/>
              <w:rPr>
                <w:rFonts w:ascii="Times New Roman" w:hAnsi="Times New Roman"/>
                <w:bCs/>
                <w:lang w:eastAsia="pl-PL"/>
              </w:rPr>
            </w:pPr>
            <w:r w:rsidRPr="00962423">
              <w:rPr>
                <w:rFonts w:ascii="Times New Roman" w:hAnsi="Times New Roman"/>
                <w:bCs/>
                <w:lang w:eastAsia="pl-PL"/>
              </w:rPr>
              <w:t>Dawkowanie oraz kryteria i sposób modyfikacji dawkowania (w tym okresowe wstrzymanie leczenia) prowadzone jest zgodnie z Charakterystyką Produktu Leczniczego.</w:t>
            </w:r>
            <w:bookmarkStart w:id="0" w:name="_GoBack"/>
            <w:bookmarkEnd w:id="0"/>
          </w:p>
        </w:tc>
        <w:tc>
          <w:tcPr>
            <w:tcW w:w="1787" w:type="pct"/>
          </w:tcPr>
          <w:p w:rsidR="00962423" w:rsidRPr="00962423" w:rsidRDefault="00962423" w:rsidP="00962423">
            <w:pPr>
              <w:autoSpaceDE w:val="0"/>
              <w:autoSpaceDN w:val="0"/>
              <w:adjustRightInd w:val="0"/>
              <w:spacing w:before="120" w:after="120" w:line="276" w:lineRule="auto"/>
              <w:rPr>
                <w:rFonts w:ascii="Times New Roman" w:hAnsi="Times New Roman"/>
                <w:b/>
                <w:bCs/>
                <w:sz w:val="20"/>
                <w:szCs w:val="20"/>
                <w:lang w:eastAsia="pl-PL"/>
              </w:rPr>
            </w:pPr>
            <w:r w:rsidRPr="00962423">
              <w:rPr>
                <w:rFonts w:ascii="Times New Roman" w:hAnsi="Times New Roman"/>
                <w:b/>
                <w:bCs/>
                <w:sz w:val="20"/>
                <w:szCs w:val="20"/>
                <w:lang w:eastAsia="pl-PL"/>
              </w:rPr>
              <w:t>1. Badania przy kwalifikacji do leczenia</w:t>
            </w:r>
          </w:p>
          <w:p w:rsidR="00962423" w:rsidRPr="000578B2" w:rsidRDefault="00962423" w:rsidP="007B6214">
            <w:pPr>
              <w:pStyle w:val="Akapitzlist"/>
              <w:numPr>
                <w:ilvl w:val="0"/>
                <w:numId w:val="46"/>
              </w:numPr>
              <w:autoSpaceDE w:val="0"/>
              <w:autoSpaceDN w:val="0"/>
              <w:adjustRightInd w:val="0"/>
              <w:spacing w:before="120" w:line="276" w:lineRule="auto"/>
              <w:ind w:left="602" w:hanging="283"/>
              <w:jc w:val="left"/>
              <w:rPr>
                <w:rFonts w:ascii="Times New Roman" w:hAnsi="Times New Roman"/>
                <w:bCs/>
                <w:sz w:val="20"/>
                <w:szCs w:val="20"/>
                <w:lang w:eastAsia="pl-PL"/>
              </w:rPr>
            </w:pPr>
            <w:r w:rsidRPr="000578B2">
              <w:rPr>
                <w:rFonts w:ascii="Times New Roman" w:hAnsi="Times New Roman"/>
                <w:bCs/>
                <w:sz w:val="20"/>
                <w:szCs w:val="20"/>
                <w:lang w:eastAsia="pl-PL"/>
              </w:rPr>
              <w:t>badanie przedmiotowe</w:t>
            </w:r>
            <w:r w:rsidR="00D500CD">
              <w:rPr>
                <w:rFonts w:ascii="Times New Roman" w:hAnsi="Times New Roman"/>
                <w:bCs/>
                <w:sz w:val="20"/>
                <w:szCs w:val="20"/>
                <w:lang w:eastAsia="pl-PL"/>
              </w:rPr>
              <w:t>;</w:t>
            </w:r>
          </w:p>
          <w:p w:rsidR="00962423" w:rsidRPr="000578B2" w:rsidRDefault="00962423" w:rsidP="00B97492">
            <w:pPr>
              <w:pStyle w:val="Akapitzlist"/>
              <w:numPr>
                <w:ilvl w:val="0"/>
                <w:numId w:val="46"/>
              </w:numPr>
              <w:autoSpaceDE w:val="0"/>
              <w:autoSpaceDN w:val="0"/>
              <w:adjustRightInd w:val="0"/>
              <w:spacing w:before="120" w:line="276" w:lineRule="auto"/>
              <w:ind w:left="602" w:hanging="283"/>
              <w:jc w:val="left"/>
              <w:rPr>
                <w:rFonts w:ascii="Times New Roman" w:hAnsi="Times New Roman"/>
                <w:bCs/>
                <w:sz w:val="20"/>
                <w:szCs w:val="20"/>
                <w:lang w:eastAsia="pl-PL"/>
              </w:rPr>
            </w:pPr>
            <w:r w:rsidRPr="000578B2">
              <w:rPr>
                <w:rFonts w:ascii="Times New Roman" w:hAnsi="Times New Roman"/>
                <w:bCs/>
                <w:sz w:val="20"/>
                <w:szCs w:val="20"/>
                <w:lang w:eastAsia="pl-PL"/>
              </w:rPr>
              <w:t>ocena sprawności w skali ECOG</w:t>
            </w:r>
            <w:r w:rsidR="00D500CD">
              <w:rPr>
                <w:rFonts w:ascii="Times New Roman" w:hAnsi="Times New Roman"/>
                <w:bCs/>
                <w:sz w:val="20"/>
                <w:szCs w:val="20"/>
                <w:lang w:eastAsia="pl-PL"/>
              </w:rPr>
              <w:t>;</w:t>
            </w:r>
          </w:p>
          <w:p w:rsidR="00962423" w:rsidRPr="000578B2" w:rsidRDefault="00962423" w:rsidP="00B97492">
            <w:pPr>
              <w:pStyle w:val="Akapitzlist"/>
              <w:numPr>
                <w:ilvl w:val="0"/>
                <w:numId w:val="46"/>
              </w:numPr>
              <w:autoSpaceDE w:val="0"/>
              <w:autoSpaceDN w:val="0"/>
              <w:adjustRightInd w:val="0"/>
              <w:spacing w:before="120" w:line="276" w:lineRule="auto"/>
              <w:ind w:left="602" w:hanging="283"/>
              <w:jc w:val="left"/>
              <w:rPr>
                <w:rFonts w:ascii="Times New Roman" w:hAnsi="Times New Roman"/>
                <w:bCs/>
                <w:sz w:val="20"/>
                <w:szCs w:val="20"/>
                <w:lang w:eastAsia="pl-PL"/>
              </w:rPr>
            </w:pPr>
            <w:r w:rsidRPr="000578B2">
              <w:rPr>
                <w:rFonts w:ascii="Times New Roman" w:hAnsi="Times New Roman"/>
                <w:bCs/>
                <w:sz w:val="20"/>
                <w:szCs w:val="20"/>
                <w:lang w:eastAsia="pl-PL"/>
              </w:rPr>
              <w:t>pomiar masy ciała</w:t>
            </w:r>
            <w:r w:rsidR="00D500CD">
              <w:rPr>
                <w:rFonts w:ascii="Times New Roman" w:hAnsi="Times New Roman"/>
                <w:bCs/>
                <w:sz w:val="20"/>
                <w:szCs w:val="20"/>
                <w:lang w:eastAsia="pl-PL"/>
              </w:rPr>
              <w:t>;</w:t>
            </w:r>
          </w:p>
          <w:p w:rsidR="00962423" w:rsidRPr="000578B2" w:rsidRDefault="00962423" w:rsidP="00B97492">
            <w:pPr>
              <w:pStyle w:val="Akapitzlist"/>
              <w:numPr>
                <w:ilvl w:val="0"/>
                <w:numId w:val="46"/>
              </w:numPr>
              <w:autoSpaceDE w:val="0"/>
              <w:autoSpaceDN w:val="0"/>
              <w:adjustRightInd w:val="0"/>
              <w:spacing w:before="120" w:line="276" w:lineRule="auto"/>
              <w:ind w:left="602" w:hanging="283"/>
              <w:jc w:val="left"/>
              <w:rPr>
                <w:rFonts w:ascii="Times New Roman" w:hAnsi="Times New Roman"/>
                <w:bCs/>
                <w:sz w:val="20"/>
                <w:szCs w:val="20"/>
                <w:lang w:eastAsia="pl-PL"/>
              </w:rPr>
            </w:pPr>
            <w:r w:rsidRPr="000578B2">
              <w:rPr>
                <w:rFonts w:ascii="Times New Roman" w:hAnsi="Times New Roman"/>
                <w:bCs/>
                <w:sz w:val="20"/>
                <w:szCs w:val="20"/>
                <w:lang w:eastAsia="pl-PL"/>
              </w:rPr>
              <w:t>badania laboratoryjne</w:t>
            </w:r>
            <w:r w:rsidR="00D500CD">
              <w:rPr>
                <w:rFonts w:ascii="Times New Roman" w:hAnsi="Times New Roman"/>
                <w:bCs/>
                <w:sz w:val="20"/>
                <w:szCs w:val="20"/>
                <w:lang w:eastAsia="pl-PL"/>
              </w:rPr>
              <w:t>:</w:t>
            </w:r>
          </w:p>
          <w:p w:rsidR="00D500CD" w:rsidRDefault="00962423"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sidRPr="000578B2">
              <w:rPr>
                <w:rFonts w:ascii="Times New Roman" w:hAnsi="Times New Roman"/>
                <w:bCs/>
                <w:sz w:val="20"/>
                <w:szCs w:val="20"/>
                <w:lang w:eastAsia="pl-PL"/>
              </w:rPr>
              <w:t>a) morfologia krwi</w:t>
            </w:r>
            <w:r w:rsidR="000578B2">
              <w:rPr>
                <w:rFonts w:ascii="Times New Roman" w:hAnsi="Times New Roman"/>
                <w:bCs/>
                <w:sz w:val="20"/>
                <w:szCs w:val="20"/>
                <w:lang w:eastAsia="pl-PL"/>
              </w:rPr>
              <w:t>,</w:t>
            </w:r>
          </w:p>
          <w:p w:rsidR="00962423" w:rsidRPr="000578B2" w:rsidRDefault="00962423"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sidRPr="000578B2">
              <w:rPr>
                <w:rFonts w:ascii="Times New Roman" w:hAnsi="Times New Roman"/>
                <w:bCs/>
                <w:sz w:val="20"/>
                <w:szCs w:val="20"/>
                <w:lang w:eastAsia="pl-PL"/>
              </w:rPr>
              <w:t>b) oznaczenia stężenia kreatyniny</w:t>
            </w:r>
            <w:r w:rsidR="000578B2">
              <w:rPr>
                <w:rFonts w:ascii="Times New Roman" w:hAnsi="Times New Roman"/>
                <w:bCs/>
                <w:sz w:val="20"/>
                <w:szCs w:val="20"/>
                <w:lang w:eastAsia="pl-PL"/>
              </w:rPr>
              <w:t>,</w:t>
            </w:r>
          </w:p>
          <w:p w:rsidR="00156C0B" w:rsidRDefault="00962423"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sidRPr="00D500CD">
              <w:rPr>
                <w:rFonts w:ascii="Times New Roman" w:hAnsi="Times New Roman"/>
                <w:bCs/>
                <w:sz w:val="20"/>
                <w:szCs w:val="20"/>
                <w:lang w:eastAsia="pl-PL"/>
              </w:rPr>
              <w:t xml:space="preserve">c) oznaczenie stężenia bilirubiny całkowitej </w:t>
            </w:r>
          </w:p>
          <w:p w:rsidR="00962423" w:rsidRPr="00D500CD" w:rsidRDefault="00156C0B"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Pr>
                <w:rFonts w:ascii="Times New Roman" w:hAnsi="Times New Roman"/>
                <w:bCs/>
                <w:sz w:val="20"/>
                <w:szCs w:val="20"/>
                <w:lang w:eastAsia="pl-PL"/>
              </w:rPr>
              <w:t xml:space="preserve">d) </w:t>
            </w:r>
            <w:r w:rsidR="00962423" w:rsidRPr="00D500CD">
              <w:rPr>
                <w:rFonts w:ascii="Times New Roman" w:hAnsi="Times New Roman"/>
                <w:bCs/>
                <w:sz w:val="20"/>
                <w:szCs w:val="20"/>
                <w:lang w:eastAsia="pl-PL"/>
              </w:rPr>
              <w:t>oznaczenie aktywności aminotransferazy alaninowej</w:t>
            </w:r>
            <w:r w:rsidR="000578B2" w:rsidRPr="00D500CD">
              <w:rPr>
                <w:rFonts w:ascii="Times New Roman" w:hAnsi="Times New Roman"/>
                <w:bCs/>
                <w:sz w:val="20"/>
                <w:szCs w:val="20"/>
                <w:lang w:eastAsia="pl-PL"/>
              </w:rPr>
              <w:t>,</w:t>
            </w:r>
          </w:p>
          <w:p w:rsidR="00962423" w:rsidRPr="000578B2" w:rsidRDefault="00156C0B"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Pr>
                <w:rFonts w:ascii="Times New Roman" w:hAnsi="Times New Roman"/>
                <w:bCs/>
                <w:sz w:val="20"/>
                <w:szCs w:val="20"/>
                <w:lang w:eastAsia="pl-PL"/>
              </w:rPr>
              <w:t>e</w:t>
            </w:r>
            <w:r w:rsidR="00AD03FC">
              <w:rPr>
                <w:rFonts w:ascii="Times New Roman" w:hAnsi="Times New Roman"/>
                <w:bCs/>
                <w:sz w:val="20"/>
                <w:szCs w:val="20"/>
                <w:lang w:eastAsia="pl-PL"/>
              </w:rPr>
              <w:t xml:space="preserve">) </w:t>
            </w:r>
            <w:r w:rsidR="00962423" w:rsidRPr="000578B2">
              <w:rPr>
                <w:rFonts w:ascii="Times New Roman" w:hAnsi="Times New Roman"/>
                <w:bCs/>
                <w:sz w:val="20"/>
                <w:szCs w:val="20"/>
                <w:lang w:eastAsia="pl-PL"/>
              </w:rPr>
              <w:t>oznaczenie aktywności aminotransferazy asparaginianowej</w:t>
            </w:r>
            <w:r w:rsidR="000578B2">
              <w:rPr>
                <w:rFonts w:ascii="Times New Roman" w:hAnsi="Times New Roman"/>
                <w:bCs/>
                <w:sz w:val="20"/>
                <w:szCs w:val="20"/>
                <w:lang w:eastAsia="pl-PL"/>
              </w:rPr>
              <w:t>,</w:t>
            </w:r>
          </w:p>
          <w:p w:rsidR="00962423" w:rsidRPr="000578B2" w:rsidRDefault="00156C0B"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Pr>
                <w:rFonts w:ascii="Times New Roman" w:hAnsi="Times New Roman"/>
                <w:bCs/>
                <w:sz w:val="20"/>
                <w:szCs w:val="20"/>
                <w:lang w:eastAsia="pl-PL"/>
              </w:rPr>
              <w:t>f</w:t>
            </w:r>
            <w:r w:rsidR="00962423" w:rsidRPr="000578B2">
              <w:rPr>
                <w:rFonts w:ascii="Times New Roman" w:hAnsi="Times New Roman"/>
                <w:bCs/>
                <w:sz w:val="20"/>
                <w:szCs w:val="20"/>
                <w:lang w:eastAsia="pl-PL"/>
              </w:rPr>
              <w:t>) oznaczenie poziomu TSH</w:t>
            </w:r>
            <w:r w:rsidR="000578B2">
              <w:rPr>
                <w:rFonts w:ascii="Times New Roman" w:hAnsi="Times New Roman"/>
                <w:bCs/>
                <w:sz w:val="20"/>
                <w:szCs w:val="20"/>
                <w:lang w:eastAsia="pl-PL"/>
              </w:rPr>
              <w:t>,</w:t>
            </w:r>
          </w:p>
          <w:p w:rsidR="00962423" w:rsidRPr="000578B2" w:rsidRDefault="00156C0B"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Pr>
                <w:rFonts w:ascii="Times New Roman" w:hAnsi="Times New Roman"/>
                <w:bCs/>
                <w:sz w:val="20"/>
                <w:szCs w:val="20"/>
                <w:lang w:eastAsia="pl-PL"/>
              </w:rPr>
              <w:t>g</w:t>
            </w:r>
            <w:r w:rsidR="00962423" w:rsidRPr="000578B2">
              <w:rPr>
                <w:rFonts w:ascii="Times New Roman" w:hAnsi="Times New Roman"/>
                <w:bCs/>
                <w:sz w:val="20"/>
                <w:szCs w:val="20"/>
                <w:lang w:eastAsia="pl-PL"/>
              </w:rPr>
              <w:t>) test ciążowy u kobiet w wieku prokreacyjnym;</w:t>
            </w:r>
          </w:p>
          <w:p w:rsidR="00962423" w:rsidRPr="000578B2" w:rsidRDefault="000578B2" w:rsidP="00B97492">
            <w:pPr>
              <w:pStyle w:val="Akapitzlist"/>
              <w:numPr>
                <w:ilvl w:val="0"/>
                <w:numId w:val="46"/>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b</w:t>
            </w:r>
            <w:r w:rsidR="00962423" w:rsidRPr="000578B2">
              <w:rPr>
                <w:rFonts w:ascii="Times New Roman" w:hAnsi="Times New Roman"/>
                <w:bCs/>
                <w:sz w:val="20"/>
                <w:szCs w:val="20"/>
                <w:lang w:eastAsia="pl-PL"/>
              </w:rPr>
              <w:t>adanie obrazowe: tomografia komputerowa (TK) lub tomografia emisyjna pozytonowa (PET/TK) dokumentująca zmiany: szyi, klatki piersiowej, jam</w:t>
            </w:r>
            <w:r w:rsidR="00156C0B">
              <w:rPr>
                <w:rFonts w:ascii="Times New Roman" w:hAnsi="Times New Roman"/>
                <w:bCs/>
                <w:sz w:val="20"/>
                <w:szCs w:val="20"/>
                <w:lang w:eastAsia="pl-PL"/>
              </w:rPr>
              <w:t>y brzusznej, miednicy mniejszej.</w:t>
            </w:r>
          </w:p>
          <w:p w:rsidR="00962423" w:rsidRPr="00962423" w:rsidRDefault="000578B2" w:rsidP="00962423">
            <w:pPr>
              <w:autoSpaceDE w:val="0"/>
              <w:autoSpaceDN w:val="0"/>
              <w:adjustRightInd w:val="0"/>
              <w:spacing w:before="60" w:after="60" w:line="276" w:lineRule="auto"/>
              <w:ind w:left="34"/>
              <w:rPr>
                <w:rFonts w:ascii="Times New Roman" w:hAnsi="Times New Roman"/>
                <w:b/>
                <w:bCs/>
                <w:sz w:val="20"/>
                <w:szCs w:val="20"/>
                <w:lang w:eastAsia="pl-PL"/>
              </w:rPr>
            </w:pPr>
            <w:r>
              <w:rPr>
                <w:rFonts w:ascii="Times New Roman" w:hAnsi="Times New Roman"/>
                <w:b/>
                <w:bCs/>
                <w:sz w:val="20"/>
                <w:szCs w:val="20"/>
                <w:lang w:eastAsia="pl-PL"/>
              </w:rPr>
              <w:t xml:space="preserve">2. </w:t>
            </w:r>
            <w:r w:rsidR="00962423" w:rsidRPr="00962423">
              <w:rPr>
                <w:rFonts w:ascii="Times New Roman" w:hAnsi="Times New Roman"/>
                <w:b/>
                <w:bCs/>
                <w:sz w:val="20"/>
                <w:szCs w:val="20"/>
                <w:lang w:eastAsia="pl-PL"/>
              </w:rPr>
              <w:t>Monitorowanie bezpieczeństwa leczenia</w:t>
            </w:r>
          </w:p>
          <w:p w:rsidR="00962423" w:rsidRPr="000578B2" w:rsidRDefault="000578B2" w:rsidP="00AD03FC">
            <w:pPr>
              <w:pStyle w:val="Akapitzlist"/>
              <w:numPr>
                <w:ilvl w:val="0"/>
                <w:numId w:val="39"/>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b</w:t>
            </w:r>
            <w:r w:rsidR="00962423" w:rsidRPr="000578B2">
              <w:rPr>
                <w:rFonts w:ascii="Times New Roman" w:hAnsi="Times New Roman"/>
                <w:bCs/>
                <w:sz w:val="20"/>
                <w:szCs w:val="20"/>
                <w:lang w:eastAsia="pl-PL"/>
              </w:rPr>
              <w:t>adanie podmiotowe i przedmiotowe</w:t>
            </w:r>
            <w:r>
              <w:rPr>
                <w:rFonts w:ascii="Times New Roman" w:hAnsi="Times New Roman"/>
                <w:bCs/>
                <w:sz w:val="20"/>
                <w:szCs w:val="20"/>
                <w:lang w:eastAsia="pl-PL"/>
              </w:rPr>
              <w:t>;</w:t>
            </w:r>
          </w:p>
          <w:p w:rsidR="00962423" w:rsidRPr="000578B2" w:rsidRDefault="000578B2" w:rsidP="00AD03FC">
            <w:pPr>
              <w:pStyle w:val="Akapitzlist"/>
              <w:numPr>
                <w:ilvl w:val="0"/>
                <w:numId w:val="39"/>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m</w:t>
            </w:r>
            <w:r w:rsidR="00962423" w:rsidRPr="000578B2">
              <w:rPr>
                <w:rFonts w:ascii="Times New Roman" w:hAnsi="Times New Roman"/>
                <w:bCs/>
                <w:sz w:val="20"/>
                <w:szCs w:val="20"/>
                <w:lang w:eastAsia="pl-PL"/>
              </w:rPr>
              <w:t>orfologia krwi</w:t>
            </w:r>
            <w:r>
              <w:rPr>
                <w:rFonts w:ascii="Times New Roman" w:hAnsi="Times New Roman"/>
                <w:bCs/>
                <w:sz w:val="20"/>
                <w:szCs w:val="20"/>
                <w:lang w:eastAsia="pl-PL"/>
              </w:rPr>
              <w:t>;</w:t>
            </w:r>
          </w:p>
          <w:p w:rsidR="00962423" w:rsidRPr="000578B2" w:rsidRDefault="000578B2" w:rsidP="00AD03FC">
            <w:pPr>
              <w:pStyle w:val="Akapitzlist"/>
              <w:numPr>
                <w:ilvl w:val="0"/>
                <w:numId w:val="39"/>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lastRenderedPageBreak/>
              <w:t>p</w:t>
            </w:r>
            <w:r w:rsidR="00962423" w:rsidRPr="000578B2">
              <w:rPr>
                <w:rFonts w:ascii="Times New Roman" w:hAnsi="Times New Roman"/>
                <w:bCs/>
                <w:sz w:val="20"/>
                <w:szCs w:val="20"/>
                <w:lang w:eastAsia="pl-PL"/>
              </w:rPr>
              <w:t>arametry biochemiczne surowicy: oznaczenie stężenia kreatyniny, bilirubiny całkowitej, sodu, potasu, wapnia,</w:t>
            </w:r>
            <w:r>
              <w:rPr>
                <w:rFonts w:ascii="Times New Roman" w:hAnsi="Times New Roman"/>
                <w:bCs/>
                <w:sz w:val="20"/>
                <w:szCs w:val="20"/>
                <w:lang w:eastAsia="pl-PL"/>
              </w:rPr>
              <w:t xml:space="preserve"> aminotransferaz, TSH;</w:t>
            </w:r>
          </w:p>
          <w:p w:rsidR="00962423" w:rsidRPr="000578B2" w:rsidRDefault="000578B2" w:rsidP="000578B2">
            <w:pPr>
              <w:autoSpaceDE w:val="0"/>
              <w:autoSpaceDN w:val="0"/>
              <w:adjustRightInd w:val="0"/>
              <w:spacing w:before="120" w:line="276" w:lineRule="auto"/>
              <w:rPr>
                <w:rFonts w:ascii="Times New Roman" w:eastAsia="Calibri" w:hAnsi="Times New Roman"/>
                <w:bCs/>
                <w:sz w:val="20"/>
                <w:szCs w:val="20"/>
                <w:lang w:eastAsia="pl-PL"/>
              </w:rPr>
            </w:pPr>
            <w:r>
              <w:rPr>
                <w:rFonts w:ascii="Times New Roman" w:hAnsi="Times New Roman"/>
                <w:bCs/>
                <w:sz w:val="20"/>
                <w:szCs w:val="20"/>
                <w:lang w:eastAsia="pl-PL"/>
              </w:rPr>
              <w:t>B</w:t>
            </w:r>
            <w:r w:rsidR="00962423" w:rsidRPr="000578B2">
              <w:rPr>
                <w:rFonts w:ascii="Times New Roman" w:hAnsi="Times New Roman"/>
                <w:bCs/>
                <w:sz w:val="20"/>
                <w:szCs w:val="20"/>
                <w:lang w:eastAsia="pl-PL"/>
              </w:rPr>
              <w:t>adania wykonywane są co 6 – 12 tygodni lub częściej w</w:t>
            </w:r>
            <w:r>
              <w:rPr>
                <w:rFonts w:ascii="Times New Roman" w:hAnsi="Times New Roman"/>
                <w:bCs/>
                <w:sz w:val="20"/>
                <w:szCs w:val="20"/>
                <w:lang w:eastAsia="pl-PL"/>
              </w:rPr>
              <w:t> </w:t>
            </w:r>
            <w:r w:rsidR="00962423" w:rsidRPr="000578B2">
              <w:rPr>
                <w:rFonts w:ascii="Times New Roman" w:eastAsia="Calibri" w:hAnsi="Times New Roman"/>
                <w:bCs/>
                <w:sz w:val="20"/>
                <w:szCs w:val="20"/>
                <w:lang w:eastAsia="pl-PL"/>
              </w:rPr>
              <w:t>zależności od sytuacji klinicznej.</w:t>
            </w:r>
          </w:p>
          <w:p w:rsidR="00962423" w:rsidRPr="000578B2" w:rsidRDefault="00962423" w:rsidP="000578B2">
            <w:pPr>
              <w:autoSpaceDE w:val="0"/>
              <w:autoSpaceDN w:val="0"/>
              <w:adjustRightInd w:val="0"/>
              <w:spacing w:before="60" w:after="60" w:line="276" w:lineRule="auto"/>
              <w:ind w:left="34"/>
              <w:rPr>
                <w:rFonts w:ascii="Times New Roman" w:hAnsi="Times New Roman"/>
                <w:b/>
                <w:bCs/>
                <w:sz w:val="20"/>
                <w:szCs w:val="20"/>
                <w:lang w:eastAsia="pl-PL"/>
              </w:rPr>
            </w:pPr>
            <w:r w:rsidRPr="000578B2">
              <w:rPr>
                <w:rFonts w:ascii="Times New Roman" w:hAnsi="Times New Roman"/>
                <w:b/>
                <w:bCs/>
                <w:sz w:val="20"/>
                <w:szCs w:val="20"/>
                <w:lang w:eastAsia="pl-PL"/>
              </w:rPr>
              <w:t>3. Monitorowanie skuteczności leczenia</w:t>
            </w:r>
          </w:p>
          <w:p w:rsidR="00962423" w:rsidRPr="000578B2" w:rsidRDefault="000578B2" w:rsidP="004F6F84">
            <w:pPr>
              <w:pStyle w:val="Akapitzlist"/>
              <w:numPr>
                <w:ilvl w:val="0"/>
                <w:numId w:val="45"/>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b</w:t>
            </w:r>
            <w:r w:rsidR="00962423" w:rsidRPr="000578B2">
              <w:rPr>
                <w:rFonts w:ascii="Times New Roman" w:hAnsi="Times New Roman"/>
                <w:bCs/>
                <w:sz w:val="20"/>
                <w:szCs w:val="20"/>
                <w:lang w:eastAsia="pl-PL"/>
              </w:rPr>
              <w:t>adanie przedmiotowe</w:t>
            </w:r>
            <w:r w:rsidR="002B4FE5">
              <w:rPr>
                <w:rFonts w:ascii="Times New Roman" w:hAnsi="Times New Roman"/>
                <w:bCs/>
                <w:sz w:val="20"/>
                <w:szCs w:val="20"/>
                <w:lang w:eastAsia="pl-PL"/>
              </w:rPr>
              <w:t xml:space="preserve"> i laboratoryjne zależnie od wskazań  lekarskich;</w:t>
            </w:r>
          </w:p>
          <w:p w:rsidR="00962423" w:rsidRPr="000578B2" w:rsidRDefault="000578B2" w:rsidP="00AD03FC">
            <w:pPr>
              <w:pStyle w:val="Akapitzlist"/>
              <w:numPr>
                <w:ilvl w:val="0"/>
                <w:numId w:val="45"/>
              </w:numPr>
              <w:autoSpaceDE w:val="0"/>
              <w:autoSpaceDN w:val="0"/>
              <w:adjustRightInd w:val="0"/>
              <w:spacing w:before="120" w:line="276" w:lineRule="auto"/>
              <w:ind w:left="319" w:firstLine="0"/>
              <w:jc w:val="left"/>
              <w:rPr>
                <w:rFonts w:ascii="Times New Roman" w:hAnsi="Times New Roman"/>
                <w:bCs/>
                <w:sz w:val="20"/>
                <w:szCs w:val="20"/>
                <w:lang w:eastAsia="pl-PL"/>
              </w:rPr>
            </w:pPr>
            <w:r>
              <w:rPr>
                <w:rFonts w:ascii="Times New Roman" w:hAnsi="Times New Roman"/>
                <w:bCs/>
                <w:sz w:val="20"/>
                <w:szCs w:val="20"/>
                <w:lang w:eastAsia="pl-PL"/>
              </w:rPr>
              <w:t>b</w:t>
            </w:r>
            <w:r w:rsidR="00962423" w:rsidRPr="000578B2">
              <w:rPr>
                <w:rFonts w:ascii="Times New Roman" w:hAnsi="Times New Roman"/>
                <w:bCs/>
                <w:sz w:val="20"/>
                <w:szCs w:val="20"/>
                <w:lang w:eastAsia="pl-PL"/>
              </w:rPr>
              <w:t>adanie obrazowe umożliwiajace ocenę odpowiedzi</w:t>
            </w:r>
          </w:p>
          <w:p w:rsidR="00962423" w:rsidRDefault="00962423" w:rsidP="00AD03F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sidRPr="000578B2">
              <w:rPr>
                <w:rFonts w:ascii="Times New Roman" w:hAnsi="Times New Roman"/>
                <w:bCs/>
                <w:sz w:val="20"/>
                <w:szCs w:val="20"/>
                <w:lang w:eastAsia="pl-PL"/>
              </w:rPr>
              <w:t>na leczenie za pomocą KT lub PET</w:t>
            </w:r>
            <w:r w:rsidR="002B4FE5">
              <w:rPr>
                <w:rFonts w:ascii="Times New Roman" w:hAnsi="Times New Roman"/>
                <w:bCs/>
                <w:sz w:val="20"/>
                <w:szCs w:val="20"/>
                <w:lang w:eastAsia="pl-PL"/>
              </w:rPr>
              <w:t xml:space="preserve"> wykonane po 3 miesiącach leczenia albo wczesniej zależnie od wskazań klinicznych, a u chorych reagujących na leczenie powtarzać </w:t>
            </w:r>
            <w:r w:rsidR="003D7B4A">
              <w:rPr>
                <w:rFonts w:ascii="Times New Roman" w:hAnsi="Times New Roman"/>
                <w:bCs/>
                <w:sz w:val="20"/>
                <w:szCs w:val="20"/>
                <w:lang w:eastAsia="pl-PL"/>
              </w:rPr>
              <w:t>c</w:t>
            </w:r>
            <w:r w:rsidR="002B4FE5">
              <w:rPr>
                <w:rFonts w:ascii="Times New Roman" w:hAnsi="Times New Roman"/>
                <w:bCs/>
                <w:sz w:val="20"/>
                <w:szCs w:val="20"/>
                <w:lang w:eastAsia="pl-PL"/>
              </w:rPr>
              <w:t>o pół roku</w:t>
            </w:r>
            <w:r w:rsidR="00574441">
              <w:rPr>
                <w:rFonts w:ascii="Times New Roman" w:hAnsi="Times New Roman"/>
                <w:bCs/>
                <w:sz w:val="20"/>
                <w:szCs w:val="20"/>
                <w:lang w:eastAsia="pl-PL"/>
              </w:rPr>
              <w:t>.</w:t>
            </w:r>
          </w:p>
          <w:p w:rsidR="00962423" w:rsidRPr="00CD7E07" w:rsidRDefault="00962423" w:rsidP="00CD7E07">
            <w:pPr>
              <w:autoSpaceDE w:val="0"/>
              <w:autoSpaceDN w:val="0"/>
              <w:adjustRightInd w:val="0"/>
              <w:spacing w:before="60" w:after="60" w:line="276" w:lineRule="auto"/>
              <w:ind w:left="34"/>
              <w:rPr>
                <w:rFonts w:ascii="Times New Roman" w:hAnsi="Times New Roman"/>
                <w:b/>
                <w:bCs/>
                <w:sz w:val="20"/>
                <w:szCs w:val="20"/>
                <w:lang w:eastAsia="pl-PL"/>
              </w:rPr>
            </w:pPr>
            <w:r w:rsidRPr="00CD7E07">
              <w:rPr>
                <w:rFonts w:ascii="Times New Roman" w:hAnsi="Times New Roman"/>
                <w:b/>
                <w:bCs/>
                <w:sz w:val="20"/>
                <w:szCs w:val="20"/>
                <w:lang w:eastAsia="pl-PL"/>
              </w:rPr>
              <w:t>4. Monitorowanie programu</w:t>
            </w:r>
          </w:p>
          <w:p w:rsidR="00096757" w:rsidRPr="00E11A8C" w:rsidRDefault="00096757" w:rsidP="00E11A8C">
            <w:pPr>
              <w:pStyle w:val="Akapitzlist"/>
              <w:numPr>
                <w:ilvl w:val="0"/>
                <w:numId w:val="41"/>
              </w:numPr>
              <w:autoSpaceDE w:val="0"/>
              <w:autoSpaceDN w:val="0"/>
              <w:adjustRightInd w:val="0"/>
              <w:spacing w:before="120" w:line="276" w:lineRule="auto"/>
              <w:ind w:left="602" w:hanging="283"/>
              <w:jc w:val="left"/>
              <w:rPr>
                <w:rFonts w:ascii="Times New Roman" w:hAnsi="Times New Roman"/>
                <w:bCs/>
                <w:sz w:val="20"/>
                <w:szCs w:val="20"/>
                <w:lang w:eastAsia="pl-PL"/>
              </w:rPr>
            </w:pPr>
            <w:r w:rsidRPr="00E11A8C">
              <w:rPr>
                <w:rFonts w:ascii="Times New Roman" w:hAnsi="Times New Roman"/>
                <w:bCs/>
                <w:sz w:val="20"/>
                <w:szCs w:val="20"/>
                <w:lang w:eastAsia="pl-PL"/>
              </w:rPr>
              <w:t>gromadzenie w dokumentacji medycznej pacjenta danych dotyczących monitorowania leczenia i każdorazowe ich</w:t>
            </w:r>
            <w:r w:rsidR="00E11A8C" w:rsidRPr="00E11A8C">
              <w:rPr>
                <w:rFonts w:ascii="Times New Roman" w:hAnsi="Times New Roman"/>
                <w:bCs/>
                <w:sz w:val="20"/>
                <w:szCs w:val="20"/>
                <w:lang w:eastAsia="pl-PL"/>
              </w:rPr>
              <w:t xml:space="preserve"> </w:t>
            </w:r>
            <w:r w:rsidRPr="00E11A8C">
              <w:rPr>
                <w:rFonts w:ascii="Times New Roman" w:hAnsi="Times New Roman"/>
                <w:bCs/>
                <w:sz w:val="20"/>
                <w:szCs w:val="20"/>
                <w:lang w:eastAsia="pl-PL"/>
              </w:rPr>
              <w:t>przedstawianie na żądanie kontrolerów Narodowego</w:t>
            </w:r>
            <w:r w:rsidR="00E11A8C">
              <w:rPr>
                <w:rFonts w:ascii="Times New Roman" w:hAnsi="Times New Roman"/>
                <w:bCs/>
                <w:sz w:val="20"/>
                <w:szCs w:val="20"/>
                <w:lang w:eastAsia="pl-PL"/>
              </w:rPr>
              <w:t xml:space="preserve"> </w:t>
            </w:r>
            <w:r w:rsidRPr="00E11A8C">
              <w:rPr>
                <w:rFonts w:ascii="Times New Roman" w:hAnsi="Times New Roman"/>
                <w:bCs/>
                <w:sz w:val="20"/>
                <w:szCs w:val="20"/>
                <w:lang w:eastAsia="pl-PL"/>
              </w:rPr>
              <w:t>Funduszu Zdrowia;</w:t>
            </w:r>
          </w:p>
          <w:p w:rsidR="00096757" w:rsidRPr="00096757" w:rsidRDefault="00096757" w:rsidP="00E11A8C">
            <w:pPr>
              <w:pStyle w:val="Akapitzlist"/>
              <w:numPr>
                <w:ilvl w:val="0"/>
                <w:numId w:val="41"/>
              </w:numPr>
              <w:autoSpaceDE w:val="0"/>
              <w:autoSpaceDN w:val="0"/>
              <w:adjustRightInd w:val="0"/>
              <w:spacing w:before="120" w:line="276" w:lineRule="auto"/>
              <w:ind w:left="602" w:hanging="283"/>
              <w:jc w:val="left"/>
              <w:rPr>
                <w:rFonts w:ascii="Times New Roman" w:hAnsi="Times New Roman"/>
                <w:bCs/>
                <w:sz w:val="20"/>
                <w:szCs w:val="20"/>
                <w:lang w:eastAsia="pl-PL"/>
              </w:rPr>
            </w:pPr>
            <w:r>
              <w:rPr>
                <w:rFonts w:ascii="Times New Roman" w:hAnsi="Times New Roman"/>
                <w:bCs/>
                <w:sz w:val="20"/>
                <w:szCs w:val="20"/>
                <w:lang w:eastAsia="pl-PL"/>
              </w:rPr>
              <w:t>uzupełnia</w:t>
            </w:r>
            <w:r w:rsidRPr="00096757">
              <w:rPr>
                <w:rFonts w:ascii="Times New Roman" w:hAnsi="Times New Roman"/>
                <w:bCs/>
                <w:sz w:val="20"/>
                <w:szCs w:val="20"/>
                <w:lang w:eastAsia="pl-PL"/>
              </w:rPr>
              <w:t>nie danych zawartych w rejestrze (SMPT)</w:t>
            </w:r>
          </w:p>
          <w:p w:rsidR="00096757" w:rsidRPr="00096757" w:rsidRDefault="00096757" w:rsidP="00E11A8C">
            <w:pPr>
              <w:pStyle w:val="Akapitzlist"/>
              <w:autoSpaceDE w:val="0"/>
              <w:autoSpaceDN w:val="0"/>
              <w:adjustRightInd w:val="0"/>
              <w:spacing w:before="120" w:line="276" w:lineRule="auto"/>
              <w:ind w:left="602"/>
              <w:jc w:val="left"/>
              <w:rPr>
                <w:rFonts w:ascii="Times New Roman" w:hAnsi="Times New Roman"/>
                <w:bCs/>
                <w:sz w:val="20"/>
                <w:szCs w:val="20"/>
                <w:lang w:eastAsia="pl-PL"/>
              </w:rPr>
            </w:pPr>
            <w:r w:rsidRPr="00096757">
              <w:rPr>
                <w:rFonts w:ascii="Times New Roman" w:hAnsi="Times New Roman"/>
                <w:bCs/>
                <w:sz w:val="20"/>
                <w:szCs w:val="20"/>
                <w:lang w:eastAsia="pl-PL"/>
              </w:rPr>
              <w:t xml:space="preserve">dostępnym </w:t>
            </w:r>
            <w:r>
              <w:rPr>
                <w:rFonts w:ascii="Times New Roman" w:hAnsi="Times New Roman"/>
                <w:bCs/>
                <w:sz w:val="20"/>
                <w:szCs w:val="20"/>
                <w:lang w:eastAsia="pl-PL"/>
              </w:rPr>
              <w:t xml:space="preserve">za pomocą aplikacji internetowej </w:t>
            </w:r>
            <w:r w:rsidRPr="00096757">
              <w:rPr>
                <w:rFonts w:ascii="Times New Roman" w:hAnsi="Times New Roman"/>
                <w:bCs/>
                <w:sz w:val="20"/>
                <w:szCs w:val="20"/>
                <w:lang w:eastAsia="pl-PL"/>
              </w:rPr>
              <w:t>udostępnionej przez OW NFZ, z częstotliwością zgodną z</w:t>
            </w:r>
            <w:r>
              <w:rPr>
                <w:rFonts w:ascii="Times New Roman" w:hAnsi="Times New Roman"/>
                <w:bCs/>
                <w:sz w:val="20"/>
                <w:szCs w:val="20"/>
                <w:lang w:eastAsia="pl-PL"/>
              </w:rPr>
              <w:t> </w:t>
            </w:r>
            <w:r w:rsidRPr="00096757">
              <w:rPr>
                <w:rFonts w:ascii="Times New Roman" w:hAnsi="Times New Roman"/>
                <w:bCs/>
                <w:sz w:val="20"/>
                <w:szCs w:val="20"/>
                <w:lang w:eastAsia="pl-PL"/>
              </w:rPr>
              <w:t>opisem programu oraz na zakończenie leczenia;</w:t>
            </w:r>
          </w:p>
          <w:p w:rsidR="002E6203" w:rsidRPr="00096757" w:rsidRDefault="00096757" w:rsidP="00E11A8C">
            <w:pPr>
              <w:pStyle w:val="Akapitzlist"/>
              <w:numPr>
                <w:ilvl w:val="0"/>
                <w:numId w:val="41"/>
              </w:numPr>
              <w:autoSpaceDE w:val="0"/>
              <w:autoSpaceDN w:val="0"/>
              <w:adjustRightInd w:val="0"/>
              <w:spacing w:before="120" w:line="276" w:lineRule="auto"/>
              <w:ind w:left="602" w:hanging="283"/>
              <w:jc w:val="left"/>
              <w:rPr>
                <w:rFonts w:ascii="Times New Roman" w:eastAsia="Times New Roman" w:hAnsi="Times New Roman"/>
                <w:sz w:val="20"/>
                <w:szCs w:val="20"/>
                <w:lang w:eastAsia="pl-PL"/>
              </w:rPr>
            </w:pPr>
            <w:r w:rsidRPr="00096757">
              <w:rPr>
                <w:rFonts w:ascii="Times New Roman" w:hAnsi="Times New Roman"/>
                <w:bCs/>
                <w:sz w:val="20"/>
                <w:szCs w:val="20"/>
                <w:lang w:eastAsia="pl-PL"/>
              </w:rPr>
              <w:t>przekazywanie informacji sprawozdawczorozliczeniowych do NFZ: informacje przekazuje się do</w:t>
            </w:r>
            <w:r>
              <w:rPr>
                <w:rFonts w:ascii="Times New Roman" w:hAnsi="Times New Roman"/>
                <w:bCs/>
                <w:sz w:val="20"/>
                <w:szCs w:val="20"/>
                <w:lang w:eastAsia="pl-PL"/>
              </w:rPr>
              <w:t xml:space="preserve"> </w:t>
            </w:r>
            <w:r w:rsidRPr="00096757">
              <w:rPr>
                <w:rFonts w:ascii="Times New Roman" w:hAnsi="Times New Roman"/>
                <w:bCs/>
                <w:sz w:val="20"/>
                <w:szCs w:val="20"/>
                <w:lang w:eastAsia="pl-PL"/>
              </w:rPr>
              <w:t>NFZ w formie papierowej lub w formie elektronicznej,</w:t>
            </w:r>
            <w:r>
              <w:rPr>
                <w:rFonts w:ascii="Times New Roman" w:hAnsi="Times New Roman"/>
                <w:bCs/>
                <w:sz w:val="20"/>
                <w:szCs w:val="20"/>
                <w:lang w:eastAsia="pl-PL"/>
              </w:rPr>
              <w:t xml:space="preserve"> </w:t>
            </w:r>
            <w:r w:rsidR="00E11A8C">
              <w:rPr>
                <w:rFonts w:ascii="Times New Roman" w:hAnsi="Times New Roman"/>
                <w:bCs/>
                <w:sz w:val="20"/>
                <w:szCs w:val="20"/>
                <w:lang w:eastAsia="pl-PL"/>
              </w:rPr>
              <w:t>zgodnie z </w:t>
            </w:r>
            <w:r w:rsidRPr="00096757">
              <w:rPr>
                <w:rFonts w:ascii="Times New Roman" w:hAnsi="Times New Roman"/>
                <w:bCs/>
                <w:sz w:val="20"/>
                <w:szCs w:val="20"/>
                <w:lang w:eastAsia="pl-PL"/>
              </w:rPr>
              <w:t>wymaganiami opublikowanymi przez Narodowy Fundusz Zdrowia.</w:t>
            </w:r>
          </w:p>
        </w:tc>
      </w:tr>
    </w:tbl>
    <w:p w:rsidR="004E11B7" w:rsidRPr="00821C65" w:rsidRDefault="004E11B7" w:rsidP="00455909">
      <w:pPr>
        <w:rPr>
          <w:rFonts w:ascii="Times New Roman" w:hAnsi="Times New Roman"/>
          <w:color w:val="0070C0"/>
          <w:sz w:val="20"/>
          <w:szCs w:val="20"/>
        </w:rPr>
      </w:pPr>
    </w:p>
    <w:sectPr w:rsidR="004E11B7" w:rsidRPr="00821C65" w:rsidSect="007243EA">
      <w:pgSz w:w="16838" w:h="11899" w:orient="landscape"/>
      <w:pgMar w:top="1588" w:right="720" w:bottom="1418"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02" w:rsidRDefault="00682302" w:rsidP="00204845">
      <w:pPr>
        <w:spacing w:after="0"/>
      </w:pPr>
      <w:r>
        <w:separator/>
      </w:r>
    </w:p>
  </w:endnote>
  <w:endnote w:type="continuationSeparator" w:id="0">
    <w:p w:rsidR="00682302" w:rsidRDefault="00682302" w:rsidP="00204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02" w:rsidRDefault="00682302" w:rsidP="00204845">
      <w:pPr>
        <w:spacing w:after="0"/>
      </w:pPr>
      <w:r>
        <w:separator/>
      </w:r>
    </w:p>
  </w:footnote>
  <w:footnote w:type="continuationSeparator" w:id="0">
    <w:p w:rsidR="00682302" w:rsidRDefault="00682302" w:rsidP="002048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5FB"/>
    <w:multiLevelType w:val="hybridMultilevel"/>
    <w:tmpl w:val="FB7C6D42"/>
    <w:lvl w:ilvl="0" w:tplc="04150011">
      <w:start w:val="1"/>
      <w:numFmt w:val="decimal"/>
      <w:lvlText w:val="%1)"/>
      <w:lvlJc w:val="left"/>
      <w:pPr>
        <w:ind w:left="92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F1359B"/>
    <w:multiLevelType w:val="hybridMultilevel"/>
    <w:tmpl w:val="7DE40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A4A60"/>
    <w:multiLevelType w:val="hybridMultilevel"/>
    <w:tmpl w:val="2AA2EDFE"/>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132BF"/>
    <w:multiLevelType w:val="multilevel"/>
    <w:tmpl w:val="572C9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5054DE"/>
    <w:multiLevelType w:val="hybridMultilevel"/>
    <w:tmpl w:val="112ACA16"/>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43761"/>
    <w:multiLevelType w:val="multilevel"/>
    <w:tmpl w:val="6E24B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8D1BEA"/>
    <w:multiLevelType w:val="hybridMultilevel"/>
    <w:tmpl w:val="20FCAB0C"/>
    <w:lvl w:ilvl="0" w:tplc="8A08B890">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165BA"/>
    <w:multiLevelType w:val="hybridMultilevel"/>
    <w:tmpl w:val="F63ABB4A"/>
    <w:lvl w:ilvl="0" w:tplc="04150011">
      <w:start w:val="1"/>
      <w:numFmt w:val="decimal"/>
      <w:lvlText w:val="%1)"/>
      <w:lvlJc w:val="left"/>
      <w:pPr>
        <w:ind w:left="720" w:hanging="360"/>
      </w:pPr>
    </w:lvl>
    <w:lvl w:ilvl="1" w:tplc="8C9E27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51B11"/>
    <w:multiLevelType w:val="hybridMultilevel"/>
    <w:tmpl w:val="FCB8E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455E2"/>
    <w:multiLevelType w:val="hybridMultilevel"/>
    <w:tmpl w:val="FB7C6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B82A96"/>
    <w:multiLevelType w:val="hybridMultilevel"/>
    <w:tmpl w:val="F6B2D344"/>
    <w:lvl w:ilvl="0" w:tplc="04150017">
      <w:start w:val="1"/>
      <w:numFmt w:val="lowerLetter"/>
      <w:lvlText w:val="%1)"/>
      <w:lvlJc w:val="left"/>
      <w:pPr>
        <w:ind w:left="720" w:hanging="360"/>
      </w:pPr>
    </w:lvl>
    <w:lvl w:ilvl="1" w:tplc="73865B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25B89"/>
    <w:multiLevelType w:val="hybridMultilevel"/>
    <w:tmpl w:val="D61A57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74CAE"/>
    <w:multiLevelType w:val="multilevel"/>
    <w:tmpl w:val="67908E0E"/>
    <w:lvl w:ilvl="0">
      <w:start w:val="1"/>
      <w:numFmt w:val="decimal"/>
      <w:lvlText w:val="%1."/>
      <w:lvlJc w:val="left"/>
      <w:pPr>
        <w:ind w:left="720" w:hanging="360"/>
      </w:pPr>
      <w:rPr>
        <w:rFonts w:ascii="Times New Roman" w:eastAsia="Cambria"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C5031C8"/>
    <w:multiLevelType w:val="hybridMultilevel"/>
    <w:tmpl w:val="46520A60"/>
    <w:lvl w:ilvl="0" w:tplc="E910A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2260F"/>
    <w:multiLevelType w:val="hybridMultilevel"/>
    <w:tmpl w:val="9A02E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63817"/>
    <w:multiLevelType w:val="multilevel"/>
    <w:tmpl w:val="0ABAFE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CB1355"/>
    <w:multiLevelType w:val="hybridMultilevel"/>
    <w:tmpl w:val="EC4CCC72"/>
    <w:lvl w:ilvl="0" w:tplc="987C5338">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170615"/>
    <w:multiLevelType w:val="hybridMultilevel"/>
    <w:tmpl w:val="079AF2C4"/>
    <w:lvl w:ilvl="0" w:tplc="30242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A5201"/>
    <w:multiLevelType w:val="hybridMultilevel"/>
    <w:tmpl w:val="639CE6BA"/>
    <w:lvl w:ilvl="0" w:tplc="199AA86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092520"/>
    <w:multiLevelType w:val="hybridMultilevel"/>
    <w:tmpl w:val="05A4E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F661F"/>
    <w:multiLevelType w:val="hybridMultilevel"/>
    <w:tmpl w:val="FB7C6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23F19D6"/>
    <w:multiLevelType w:val="hybridMultilevel"/>
    <w:tmpl w:val="A9222A36"/>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228DF"/>
    <w:multiLevelType w:val="hybridMultilevel"/>
    <w:tmpl w:val="6AB4F54C"/>
    <w:lvl w:ilvl="0" w:tplc="F7065D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250FE"/>
    <w:multiLevelType w:val="hybridMultilevel"/>
    <w:tmpl w:val="0B4A91CC"/>
    <w:lvl w:ilvl="0" w:tplc="3C4C8D7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B3325F"/>
    <w:multiLevelType w:val="hybridMultilevel"/>
    <w:tmpl w:val="519E6A6E"/>
    <w:lvl w:ilvl="0" w:tplc="987C5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E254F"/>
    <w:multiLevelType w:val="hybridMultilevel"/>
    <w:tmpl w:val="EC0E7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070203"/>
    <w:multiLevelType w:val="hybridMultilevel"/>
    <w:tmpl w:val="B98A5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033A5D"/>
    <w:multiLevelType w:val="multilevel"/>
    <w:tmpl w:val="7EC4B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436B46"/>
    <w:multiLevelType w:val="hybridMultilevel"/>
    <w:tmpl w:val="D49E6C38"/>
    <w:lvl w:ilvl="0" w:tplc="5950CD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772C8"/>
    <w:multiLevelType w:val="hybridMultilevel"/>
    <w:tmpl w:val="652CB212"/>
    <w:lvl w:ilvl="0" w:tplc="EB46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F6549"/>
    <w:multiLevelType w:val="hybridMultilevel"/>
    <w:tmpl w:val="DD409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00AB6"/>
    <w:multiLevelType w:val="multilevel"/>
    <w:tmpl w:val="28E2E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6B7BBA"/>
    <w:multiLevelType w:val="hybridMultilevel"/>
    <w:tmpl w:val="296ECB58"/>
    <w:lvl w:ilvl="0" w:tplc="3C40E5B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2C67BA"/>
    <w:multiLevelType w:val="hybridMultilevel"/>
    <w:tmpl w:val="B98A5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05019D7"/>
    <w:multiLevelType w:val="hybridMultilevel"/>
    <w:tmpl w:val="FB1C0CC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23456E"/>
    <w:multiLevelType w:val="hybridMultilevel"/>
    <w:tmpl w:val="9B00B9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4D7B72"/>
    <w:multiLevelType w:val="multilevel"/>
    <w:tmpl w:val="05A62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B36396"/>
    <w:multiLevelType w:val="hybridMultilevel"/>
    <w:tmpl w:val="699A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674B0"/>
    <w:multiLevelType w:val="hybridMultilevel"/>
    <w:tmpl w:val="3BB889BE"/>
    <w:lvl w:ilvl="0" w:tplc="1430F10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9" w15:restartNumberingAfterBreak="0">
    <w:nsid w:val="69010DDB"/>
    <w:multiLevelType w:val="hybridMultilevel"/>
    <w:tmpl w:val="A00EA53E"/>
    <w:lvl w:ilvl="0" w:tplc="6F12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EF4A5C"/>
    <w:multiLevelType w:val="hybridMultilevel"/>
    <w:tmpl w:val="08343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E77B4"/>
    <w:multiLevelType w:val="hybridMultilevel"/>
    <w:tmpl w:val="FD56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01625"/>
    <w:multiLevelType w:val="hybridMultilevel"/>
    <w:tmpl w:val="8F4CF836"/>
    <w:lvl w:ilvl="0" w:tplc="EB46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0242C"/>
    <w:multiLevelType w:val="hybridMultilevel"/>
    <w:tmpl w:val="99501D90"/>
    <w:lvl w:ilvl="0" w:tplc="D43C9F4A">
      <w:start w:val="1"/>
      <w:numFmt w:val="decimal"/>
      <w:lvlText w:val="%1)"/>
      <w:lvlJc w:val="right"/>
      <w:pPr>
        <w:ind w:left="720" w:hanging="360"/>
      </w:pPr>
      <w:rPr>
        <w:rFonts w:hint="default"/>
      </w:rPr>
    </w:lvl>
    <w:lvl w:ilvl="1" w:tplc="7200E2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0926F9"/>
    <w:multiLevelType w:val="hybridMultilevel"/>
    <w:tmpl w:val="FB7C6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730431"/>
    <w:multiLevelType w:val="hybridMultilevel"/>
    <w:tmpl w:val="0A281920"/>
    <w:lvl w:ilvl="0" w:tplc="73865BD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
  </w:num>
  <w:num w:numId="3">
    <w:abstractNumId w:val="16"/>
  </w:num>
  <w:num w:numId="4">
    <w:abstractNumId w:val="40"/>
  </w:num>
  <w:num w:numId="5">
    <w:abstractNumId w:val="23"/>
  </w:num>
  <w:num w:numId="6">
    <w:abstractNumId w:val="6"/>
  </w:num>
  <w:num w:numId="7">
    <w:abstractNumId w:val="30"/>
  </w:num>
  <w:num w:numId="8">
    <w:abstractNumId w:val="27"/>
  </w:num>
  <w:num w:numId="9">
    <w:abstractNumId w:val="15"/>
  </w:num>
  <w:num w:numId="10">
    <w:abstractNumId w:val="12"/>
  </w:num>
  <w:num w:numId="11">
    <w:abstractNumId w:val="3"/>
  </w:num>
  <w:num w:numId="12">
    <w:abstractNumId w:val="21"/>
  </w:num>
  <w:num w:numId="13">
    <w:abstractNumId w:val="5"/>
  </w:num>
  <w:num w:numId="14">
    <w:abstractNumId w:val="2"/>
  </w:num>
  <w:num w:numId="15">
    <w:abstractNumId w:val="17"/>
  </w:num>
  <w:num w:numId="16">
    <w:abstractNumId w:val="4"/>
  </w:num>
  <w:num w:numId="17">
    <w:abstractNumId w:val="13"/>
  </w:num>
  <w:num w:numId="18">
    <w:abstractNumId w:val="24"/>
  </w:num>
  <w:num w:numId="19">
    <w:abstractNumId w:val="11"/>
  </w:num>
  <w:num w:numId="20">
    <w:abstractNumId w:val="39"/>
  </w:num>
  <w:num w:numId="21">
    <w:abstractNumId w:val="36"/>
  </w:num>
  <w:num w:numId="22">
    <w:abstractNumId w:val="8"/>
  </w:num>
  <w:num w:numId="23">
    <w:abstractNumId w:val="37"/>
  </w:num>
  <w:num w:numId="24">
    <w:abstractNumId w:val="42"/>
  </w:num>
  <w:num w:numId="25">
    <w:abstractNumId w:val="34"/>
  </w:num>
  <w:num w:numId="26">
    <w:abstractNumId w:val="14"/>
  </w:num>
  <w:num w:numId="27">
    <w:abstractNumId w:val="10"/>
  </w:num>
  <w:num w:numId="28">
    <w:abstractNumId w:val="45"/>
  </w:num>
  <w:num w:numId="29">
    <w:abstractNumId w:val="29"/>
  </w:num>
  <w:num w:numId="30">
    <w:abstractNumId w:val="18"/>
  </w:num>
  <w:num w:numId="31">
    <w:abstractNumId w:val="28"/>
  </w:num>
  <w:num w:numId="32">
    <w:abstractNumId w:val="25"/>
  </w:num>
  <w:num w:numId="33">
    <w:abstractNumId w:val="19"/>
  </w:num>
  <w:num w:numId="34">
    <w:abstractNumId w:val="1"/>
  </w:num>
  <w:num w:numId="35">
    <w:abstractNumId w:val="31"/>
  </w:num>
  <w:num w:numId="36">
    <w:abstractNumId w:val="35"/>
  </w:num>
  <w:num w:numId="37">
    <w:abstractNumId w:val="20"/>
  </w:num>
  <w:num w:numId="38">
    <w:abstractNumId w:val="22"/>
  </w:num>
  <w:num w:numId="39">
    <w:abstractNumId w:val="44"/>
  </w:num>
  <w:num w:numId="40">
    <w:abstractNumId w:val="9"/>
  </w:num>
  <w:num w:numId="41">
    <w:abstractNumId w:val="41"/>
  </w:num>
  <w:num w:numId="42">
    <w:abstractNumId w:val="32"/>
  </w:num>
  <w:num w:numId="43">
    <w:abstractNumId w:val="38"/>
  </w:num>
  <w:num w:numId="44">
    <w:abstractNumId w:val="33"/>
  </w:num>
  <w:num w:numId="45">
    <w:abstractNumId w:val="0"/>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6E"/>
    <w:rsid w:val="00015193"/>
    <w:rsid w:val="000309DD"/>
    <w:rsid w:val="00031AE1"/>
    <w:rsid w:val="00033809"/>
    <w:rsid w:val="00053AFF"/>
    <w:rsid w:val="000578B2"/>
    <w:rsid w:val="00071779"/>
    <w:rsid w:val="00091273"/>
    <w:rsid w:val="00096757"/>
    <w:rsid w:val="000A7CB0"/>
    <w:rsid w:val="000E623B"/>
    <w:rsid w:val="001409B9"/>
    <w:rsid w:val="001428EA"/>
    <w:rsid w:val="00145E69"/>
    <w:rsid w:val="00156C0B"/>
    <w:rsid w:val="00164264"/>
    <w:rsid w:val="00191D93"/>
    <w:rsid w:val="00194176"/>
    <w:rsid w:val="001B2428"/>
    <w:rsid w:val="001B3196"/>
    <w:rsid w:val="001B52BB"/>
    <w:rsid w:val="001C6C4F"/>
    <w:rsid w:val="001C7C48"/>
    <w:rsid w:val="001D6FDB"/>
    <w:rsid w:val="001E3CAE"/>
    <w:rsid w:val="001E6597"/>
    <w:rsid w:val="00204845"/>
    <w:rsid w:val="00224995"/>
    <w:rsid w:val="00237D15"/>
    <w:rsid w:val="00241D3F"/>
    <w:rsid w:val="00245A28"/>
    <w:rsid w:val="00257568"/>
    <w:rsid w:val="0026090A"/>
    <w:rsid w:val="00284E5F"/>
    <w:rsid w:val="002875B2"/>
    <w:rsid w:val="00297E93"/>
    <w:rsid w:val="002B0BAF"/>
    <w:rsid w:val="002B36DA"/>
    <w:rsid w:val="002B406F"/>
    <w:rsid w:val="002B4FE5"/>
    <w:rsid w:val="002C3406"/>
    <w:rsid w:val="002C7006"/>
    <w:rsid w:val="002D2D3D"/>
    <w:rsid w:val="002D45F9"/>
    <w:rsid w:val="002D7E47"/>
    <w:rsid w:val="002E6203"/>
    <w:rsid w:val="002E79F3"/>
    <w:rsid w:val="002F1F07"/>
    <w:rsid w:val="00306787"/>
    <w:rsid w:val="00326444"/>
    <w:rsid w:val="00337F94"/>
    <w:rsid w:val="00342916"/>
    <w:rsid w:val="00371D9D"/>
    <w:rsid w:val="0038377D"/>
    <w:rsid w:val="00384E44"/>
    <w:rsid w:val="0038509B"/>
    <w:rsid w:val="003A1DCD"/>
    <w:rsid w:val="003C35A4"/>
    <w:rsid w:val="003D36D7"/>
    <w:rsid w:val="003D7B4A"/>
    <w:rsid w:val="003F0C38"/>
    <w:rsid w:val="00400E04"/>
    <w:rsid w:val="00405E47"/>
    <w:rsid w:val="00455909"/>
    <w:rsid w:val="00457BAC"/>
    <w:rsid w:val="00471A86"/>
    <w:rsid w:val="00497806"/>
    <w:rsid w:val="004A1773"/>
    <w:rsid w:val="004C672D"/>
    <w:rsid w:val="004D0A96"/>
    <w:rsid w:val="004E11B7"/>
    <w:rsid w:val="004F6F84"/>
    <w:rsid w:val="005168DA"/>
    <w:rsid w:val="00516B89"/>
    <w:rsid w:val="0052553A"/>
    <w:rsid w:val="00540950"/>
    <w:rsid w:val="00544044"/>
    <w:rsid w:val="00556E34"/>
    <w:rsid w:val="00564129"/>
    <w:rsid w:val="005650D7"/>
    <w:rsid w:val="00574441"/>
    <w:rsid w:val="00587E61"/>
    <w:rsid w:val="005A2276"/>
    <w:rsid w:val="005A49D5"/>
    <w:rsid w:val="005B0A48"/>
    <w:rsid w:val="005B0E68"/>
    <w:rsid w:val="005B782E"/>
    <w:rsid w:val="005B79D7"/>
    <w:rsid w:val="005C1CFF"/>
    <w:rsid w:val="005C2C9D"/>
    <w:rsid w:val="00601DE4"/>
    <w:rsid w:val="00607681"/>
    <w:rsid w:val="00626D3C"/>
    <w:rsid w:val="006349B5"/>
    <w:rsid w:val="00634DBC"/>
    <w:rsid w:val="00641BDE"/>
    <w:rsid w:val="00646A32"/>
    <w:rsid w:val="0065219F"/>
    <w:rsid w:val="00654DC5"/>
    <w:rsid w:val="00664496"/>
    <w:rsid w:val="00666F24"/>
    <w:rsid w:val="00667BEF"/>
    <w:rsid w:val="00670DD1"/>
    <w:rsid w:val="00682302"/>
    <w:rsid w:val="00690D3E"/>
    <w:rsid w:val="00693D47"/>
    <w:rsid w:val="00697055"/>
    <w:rsid w:val="006A099D"/>
    <w:rsid w:val="006A0FC9"/>
    <w:rsid w:val="006A6B86"/>
    <w:rsid w:val="006A7E72"/>
    <w:rsid w:val="006B2903"/>
    <w:rsid w:val="006D563B"/>
    <w:rsid w:val="006D618E"/>
    <w:rsid w:val="006E0113"/>
    <w:rsid w:val="00701E95"/>
    <w:rsid w:val="00721B30"/>
    <w:rsid w:val="007243EA"/>
    <w:rsid w:val="0072578A"/>
    <w:rsid w:val="00725CB1"/>
    <w:rsid w:val="007317B3"/>
    <w:rsid w:val="00732634"/>
    <w:rsid w:val="00734637"/>
    <w:rsid w:val="00736021"/>
    <w:rsid w:val="007549F7"/>
    <w:rsid w:val="00761B49"/>
    <w:rsid w:val="00761C6B"/>
    <w:rsid w:val="00763C27"/>
    <w:rsid w:val="00764715"/>
    <w:rsid w:val="00767379"/>
    <w:rsid w:val="00770A78"/>
    <w:rsid w:val="00783B4B"/>
    <w:rsid w:val="007961C5"/>
    <w:rsid w:val="007A2C77"/>
    <w:rsid w:val="007B6214"/>
    <w:rsid w:val="007E044E"/>
    <w:rsid w:val="00800411"/>
    <w:rsid w:val="00821C65"/>
    <w:rsid w:val="00824922"/>
    <w:rsid w:val="00825E5B"/>
    <w:rsid w:val="008274D0"/>
    <w:rsid w:val="00830CA2"/>
    <w:rsid w:val="00833483"/>
    <w:rsid w:val="00837902"/>
    <w:rsid w:val="0084391C"/>
    <w:rsid w:val="00851F89"/>
    <w:rsid w:val="0087117B"/>
    <w:rsid w:val="00882346"/>
    <w:rsid w:val="00894C5A"/>
    <w:rsid w:val="008A31A3"/>
    <w:rsid w:val="008B6C3E"/>
    <w:rsid w:val="008C02D7"/>
    <w:rsid w:val="008D111A"/>
    <w:rsid w:val="008D5F1F"/>
    <w:rsid w:val="008E1B78"/>
    <w:rsid w:val="0090064C"/>
    <w:rsid w:val="0090184C"/>
    <w:rsid w:val="00901E9C"/>
    <w:rsid w:val="00910FC8"/>
    <w:rsid w:val="00921078"/>
    <w:rsid w:val="009408F0"/>
    <w:rsid w:val="00962423"/>
    <w:rsid w:val="00971D28"/>
    <w:rsid w:val="009834A3"/>
    <w:rsid w:val="00985E7F"/>
    <w:rsid w:val="009A67DD"/>
    <w:rsid w:val="009A7CED"/>
    <w:rsid w:val="009C5B10"/>
    <w:rsid w:val="009E5739"/>
    <w:rsid w:val="00A012B6"/>
    <w:rsid w:val="00A13F34"/>
    <w:rsid w:val="00A300F7"/>
    <w:rsid w:val="00A5006D"/>
    <w:rsid w:val="00A567DB"/>
    <w:rsid w:val="00A662BB"/>
    <w:rsid w:val="00A77268"/>
    <w:rsid w:val="00A839F4"/>
    <w:rsid w:val="00A83F3D"/>
    <w:rsid w:val="00A96DBE"/>
    <w:rsid w:val="00AB61B1"/>
    <w:rsid w:val="00AD03FC"/>
    <w:rsid w:val="00AD56FF"/>
    <w:rsid w:val="00AD6A24"/>
    <w:rsid w:val="00AF2B92"/>
    <w:rsid w:val="00AF4416"/>
    <w:rsid w:val="00B0301B"/>
    <w:rsid w:val="00B303CA"/>
    <w:rsid w:val="00B341B6"/>
    <w:rsid w:val="00B350EF"/>
    <w:rsid w:val="00B5573B"/>
    <w:rsid w:val="00B622F4"/>
    <w:rsid w:val="00B70B8F"/>
    <w:rsid w:val="00B816BF"/>
    <w:rsid w:val="00B97492"/>
    <w:rsid w:val="00BA2035"/>
    <w:rsid w:val="00BA75EC"/>
    <w:rsid w:val="00BB5D4C"/>
    <w:rsid w:val="00BD5C86"/>
    <w:rsid w:val="00BD71C3"/>
    <w:rsid w:val="00BE30D5"/>
    <w:rsid w:val="00BF65CE"/>
    <w:rsid w:val="00BF75DD"/>
    <w:rsid w:val="00C36BF8"/>
    <w:rsid w:val="00C56998"/>
    <w:rsid w:val="00C70CC7"/>
    <w:rsid w:val="00C728DC"/>
    <w:rsid w:val="00C82647"/>
    <w:rsid w:val="00C929FE"/>
    <w:rsid w:val="00CB1B66"/>
    <w:rsid w:val="00CB2F0E"/>
    <w:rsid w:val="00CB4103"/>
    <w:rsid w:val="00CC60C1"/>
    <w:rsid w:val="00CD0AC5"/>
    <w:rsid w:val="00CD7E07"/>
    <w:rsid w:val="00CF19E7"/>
    <w:rsid w:val="00D04FDE"/>
    <w:rsid w:val="00D15665"/>
    <w:rsid w:val="00D33D3B"/>
    <w:rsid w:val="00D33FBB"/>
    <w:rsid w:val="00D373FF"/>
    <w:rsid w:val="00D500CD"/>
    <w:rsid w:val="00D548DE"/>
    <w:rsid w:val="00D63586"/>
    <w:rsid w:val="00D72EEF"/>
    <w:rsid w:val="00D737A3"/>
    <w:rsid w:val="00D76FB8"/>
    <w:rsid w:val="00DA1DD2"/>
    <w:rsid w:val="00DC029D"/>
    <w:rsid w:val="00DC6B70"/>
    <w:rsid w:val="00DD4A27"/>
    <w:rsid w:val="00DE0140"/>
    <w:rsid w:val="00DE51E0"/>
    <w:rsid w:val="00DF7450"/>
    <w:rsid w:val="00DF7E31"/>
    <w:rsid w:val="00E0360A"/>
    <w:rsid w:val="00E111CA"/>
    <w:rsid w:val="00E11A8C"/>
    <w:rsid w:val="00E121E7"/>
    <w:rsid w:val="00E4220B"/>
    <w:rsid w:val="00E5276E"/>
    <w:rsid w:val="00E64B91"/>
    <w:rsid w:val="00E81823"/>
    <w:rsid w:val="00EA34B3"/>
    <w:rsid w:val="00EC4CA5"/>
    <w:rsid w:val="00ED24A7"/>
    <w:rsid w:val="00ED4B39"/>
    <w:rsid w:val="00EF39F7"/>
    <w:rsid w:val="00F079B1"/>
    <w:rsid w:val="00F12CF5"/>
    <w:rsid w:val="00F21968"/>
    <w:rsid w:val="00F246D7"/>
    <w:rsid w:val="00F25F37"/>
    <w:rsid w:val="00F30199"/>
    <w:rsid w:val="00F320B1"/>
    <w:rsid w:val="00F35D88"/>
    <w:rsid w:val="00F36057"/>
    <w:rsid w:val="00F4101C"/>
    <w:rsid w:val="00F43C59"/>
    <w:rsid w:val="00F45593"/>
    <w:rsid w:val="00F46A11"/>
    <w:rsid w:val="00F604AF"/>
    <w:rsid w:val="00F9573F"/>
    <w:rsid w:val="00FA5474"/>
    <w:rsid w:val="00FA6A96"/>
    <w:rsid w:val="00FC5D97"/>
    <w:rsid w:val="00FD0292"/>
    <w:rsid w:val="00FD3970"/>
    <w:rsid w:val="00FE0844"/>
    <w:rsid w:val="00FF2570"/>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284F44-78BC-4F81-BD13-DB439E2D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27"/>
    <w:pPr>
      <w:spacing w:line="240" w:lineRule="auto"/>
    </w:pPr>
    <w:rPr>
      <w:rFonts w:ascii="Cambria" w:eastAsia="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E5276E"/>
    <w:pPr>
      <w:spacing w:after="0"/>
      <w:jc w:val="both"/>
    </w:pPr>
    <w:rPr>
      <w:rFonts w:ascii="Times New Roman" w:eastAsia="Times New Roman" w:hAnsi="Times New Roman"/>
      <w:lang w:eastAsia="pl-PL"/>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rsid w:val="00E5276E"/>
    <w:rPr>
      <w:rFonts w:ascii="Times New Roman" w:eastAsia="Times New Roman" w:hAnsi="Times New Roman" w:cs="Times New Roman"/>
      <w:lang w:eastAsia="pl-PL"/>
    </w:rPr>
  </w:style>
  <w:style w:type="paragraph" w:customStyle="1" w:styleId="srodek">
    <w:name w:val="srodek"/>
    <w:aliases w:val="srodek + Arial,10 pt"/>
    <w:basedOn w:val="Normalny"/>
    <w:link w:val="srodekZnak"/>
    <w:rsid w:val="00E5276E"/>
    <w:pPr>
      <w:widowControl w:val="0"/>
      <w:autoSpaceDE w:val="0"/>
      <w:autoSpaceDN w:val="0"/>
      <w:adjustRightInd w:val="0"/>
      <w:spacing w:before="120" w:after="120"/>
      <w:jc w:val="center"/>
    </w:pPr>
    <w:rPr>
      <w:rFonts w:ascii="Century Gothic" w:eastAsia="Times New Roman" w:hAnsi="Century Gothic" w:cs="Century Gothic"/>
      <w:color w:val="000000"/>
      <w:sz w:val="16"/>
      <w:szCs w:val="16"/>
      <w:lang w:eastAsia="pl-PL"/>
    </w:rPr>
  </w:style>
  <w:style w:type="character" w:customStyle="1" w:styleId="srodekZnak">
    <w:name w:val="srodek Znak"/>
    <w:basedOn w:val="Domylnaczcionkaakapitu"/>
    <w:link w:val="srodek"/>
    <w:locked/>
    <w:rsid w:val="00E5276E"/>
    <w:rPr>
      <w:rFonts w:ascii="Century Gothic" w:eastAsia="Times New Roman" w:hAnsi="Century Gothic" w:cs="Century Gothic"/>
      <w:color w:val="000000"/>
      <w:sz w:val="16"/>
      <w:szCs w:val="16"/>
      <w:lang w:eastAsia="pl-PL"/>
    </w:rPr>
  </w:style>
  <w:style w:type="paragraph" w:customStyle="1" w:styleId="Text">
    <w:name w:val="Text"/>
    <w:basedOn w:val="Normalny"/>
    <w:link w:val="TextChar"/>
    <w:rsid w:val="00EC4CA5"/>
    <w:pPr>
      <w:spacing w:before="120" w:after="0"/>
      <w:jc w:val="both"/>
    </w:pPr>
    <w:rPr>
      <w:rFonts w:ascii="Times New Roman" w:eastAsia="MS Mincho" w:hAnsi="Times New Roman"/>
      <w:szCs w:val="20"/>
    </w:rPr>
  </w:style>
  <w:style w:type="character" w:customStyle="1" w:styleId="TextChar">
    <w:name w:val="Text Char"/>
    <w:link w:val="Text"/>
    <w:rsid w:val="00EC4CA5"/>
    <w:rPr>
      <w:rFonts w:ascii="Times New Roman" w:eastAsia="MS Mincho" w:hAnsi="Times New Roman" w:cs="Times New Roman"/>
      <w:szCs w:val="20"/>
    </w:rPr>
  </w:style>
  <w:style w:type="paragraph" w:styleId="Akapitzlist">
    <w:name w:val="List Paragraph"/>
    <w:basedOn w:val="Normalny"/>
    <w:link w:val="AkapitzlistZnak"/>
    <w:uiPriority w:val="34"/>
    <w:qFormat/>
    <w:rsid w:val="00F320B1"/>
    <w:pPr>
      <w:spacing w:before="240" w:after="120" w:line="360" w:lineRule="auto"/>
      <w:ind w:left="720"/>
      <w:contextualSpacing/>
      <w:jc w:val="both"/>
    </w:pPr>
    <w:rPr>
      <w:rFonts w:ascii="Helvetica" w:eastAsia="Calibri" w:hAnsi="Helvetica"/>
      <w:szCs w:val="22"/>
    </w:rPr>
  </w:style>
  <w:style w:type="character" w:customStyle="1" w:styleId="AkapitzlistZnak">
    <w:name w:val="Akapit z listą Znak"/>
    <w:basedOn w:val="Domylnaczcionkaakapitu"/>
    <w:link w:val="Akapitzlist"/>
    <w:uiPriority w:val="34"/>
    <w:locked/>
    <w:rsid w:val="00894C5A"/>
    <w:rPr>
      <w:rFonts w:eastAsia="Calibri" w:cs="Times New Roman"/>
      <w:szCs w:val="22"/>
    </w:rPr>
  </w:style>
  <w:style w:type="paragraph" w:styleId="Tekstdymka">
    <w:name w:val="Balloon Text"/>
    <w:basedOn w:val="Normalny"/>
    <w:link w:val="TekstdymkaZnak"/>
    <w:uiPriority w:val="99"/>
    <w:semiHidden/>
    <w:unhideWhenUsed/>
    <w:rsid w:val="005B79D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9D7"/>
    <w:rPr>
      <w:rFonts w:ascii="Tahoma" w:eastAsia="Cambria" w:hAnsi="Tahoma" w:cs="Tahoma"/>
      <w:sz w:val="16"/>
      <w:szCs w:val="16"/>
    </w:rPr>
  </w:style>
  <w:style w:type="character" w:styleId="Odwoaniedokomentarza">
    <w:name w:val="annotation reference"/>
    <w:basedOn w:val="Domylnaczcionkaakapitu"/>
    <w:uiPriority w:val="99"/>
    <w:semiHidden/>
    <w:unhideWhenUsed/>
    <w:rsid w:val="00DA1DD2"/>
    <w:rPr>
      <w:sz w:val="16"/>
      <w:szCs w:val="16"/>
    </w:rPr>
  </w:style>
  <w:style w:type="paragraph" w:styleId="Tekstkomentarza">
    <w:name w:val="annotation text"/>
    <w:basedOn w:val="Normalny"/>
    <w:link w:val="TekstkomentarzaZnak"/>
    <w:uiPriority w:val="99"/>
    <w:unhideWhenUsed/>
    <w:rsid w:val="00DA1DD2"/>
    <w:rPr>
      <w:sz w:val="20"/>
      <w:szCs w:val="20"/>
    </w:rPr>
  </w:style>
  <w:style w:type="character" w:customStyle="1" w:styleId="TekstkomentarzaZnak">
    <w:name w:val="Tekst komentarza Znak"/>
    <w:basedOn w:val="Domylnaczcionkaakapitu"/>
    <w:link w:val="Tekstkomentarza"/>
    <w:uiPriority w:val="99"/>
    <w:rsid w:val="00DA1DD2"/>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DA1DD2"/>
    <w:rPr>
      <w:b/>
      <w:bCs/>
    </w:rPr>
  </w:style>
  <w:style w:type="character" w:customStyle="1" w:styleId="TematkomentarzaZnak">
    <w:name w:val="Temat komentarza Znak"/>
    <w:basedOn w:val="TekstkomentarzaZnak"/>
    <w:link w:val="Tematkomentarza"/>
    <w:uiPriority w:val="99"/>
    <w:semiHidden/>
    <w:rsid w:val="00DA1DD2"/>
    <w:rPr>
      <w:rFonts w:ascii="Cambria" w:eastAsia="Cambria" w:hAnsi="Cambria" w:cs="Times New Roman"/>
      <w:b/>
      <w:bCs/>
      <w:sz w:val="20"/>
      <w:szCs w:val="20"/>
    </w:rPr>
  </w:style>
  <w:style w:type="table" w:styleId="Tabela-Siatka">
    <w:name w:val="Table Grid"/>
    <w:basedOn w:val="Standardowy"/>
    <w:uiPriority w:val="59"/>
    <w:rsid w:val="0051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516B89"/>
    <w:rPr>
      <w:rFonts w:cs="Times New Roman"/>
      <w:color w:val="0000FF"/>
      <w:u w:val="single"/>
    </w:rPr>
  </w:style>
  <w:style w:type="paragraph" w:styleId="Nagwek">
    <w:name w:val="header"/>
    <w:basedOn w:val="Normalny"/>
    <w:link w:val="NagwekZnak"/>
    <w:uiPriority w:val="99"/>
    <w:unhideWhenUsed/>
    <w:rsid w:val="00204845"/>
    <w:pPr>
      <w:tabs>
        <w:tab w:val="center" w:pos="4536"/>
        <w:tab w:val="right" w:pos="9072"/>
      </w:tabs>
      <w:spacing w:after="0"/>
    </w:pPr>
  </w:style>
  <w:style w:type="character" w:customStyle="1" w:styleId="NagwekZnak">
    <w:name w:val="Nagłówek Znak"/>
    <w:basedOn w:val="Domylnaczcionkaakapitu"/>
    <w:link w:val="Nagwek"/>
    <w:uiPriority w:val="99"/>
    <w:rsid w:val="00204845"/>
    <w:rPr>
      <w:rFonts w:ascii="Cambria" w:eastAsia="Cambria" w:hAnsi="Cambria" w:cs="Times New Roman"/>
    </w:rPr>
  </w:style>
  <w:style w:type="paragraph" w:styleId="Stopka">
    <w:name w:val="footer"/>
    <w:basedOn w:val="Normalny"/>
    <w:link w:val="StopkaZnak"/>
    <w:uiPriority w:val="99"/>
    <w:unhideWhenUsed/>
    <w:rsid w:val="00204845"/>
    <w:pPr>
      <w:tabs>
        <w:tab w:val="center" w:pos="4536"/>
        <w:tab w:val="right" w:pos="9072"/>
      </w:tabs>
      <w:spacing w:after="0"/>
    </w:pPr>
  </w:style>
  <w:style w:type="character" w:customStyle="1" w:styleId="StopkaZnak">
    <w:name w:val="Stopka Znak"/>
    <w:basedOn w:val="Domylnaczcionkaakapitu"/>
    <w:link w:val="Stopka"/>
    <w:uiPriority w:val="99"/>
    <w:rsid w:val="00204845"/>
    <w:rPr>
      <w:rFonts w:ascii="Cambria" w:eastAsia="Cambria" w:hAnsi="Cambria" w:cs="Times New Roman"/>
    </w:rPr>
  </w:style>
  <w:style w:type="paragraph" w:customStyle="1" w:styleId="Default">
    <w:name w:val="Default"/>
    <w:rsid w:val="00910FC8"/>
    <w:pPr>
      <w:autoSpaceDE w:val="0"/>
      <w:autoSpaceDN w:val="0"/>
      <w:adjustRightInd w:val="0"/>
      <w:spacing w:after="0" w:line="240" w:lineRule="auto"/>
    </w:pPr>
    <w:rPr>
      <w:rFonts w:ascii="Times New Roman" w:hAnsi="Times New Roman" w:cs="Times New Roman"/>
      <w:color w:val="000000"/>
    </w:rPr>
  </w:style>
  <w:style w:type="paragraph" w:styleId="Tekstpodstawowy2">
    <w:name w:val="Body Text 2"/>
    <w:basedOn w:val="Normalny"/>
    <w:link w:val="Tekstpodstawowy2Znak"/>
    <w:uiPriority w:val="99"/>
    <w:unhideWhenUsed/>
    <w:rsid w:val="000578B2"/>
    <w:pPr>
      <w:autoSpaceDE w:val="0"/>
      <w:autoSpaceDN w:val="0"/>
      <w:adjustRightInd w:val="0"/>
      <w:spacing w:before="120" w:after="120" w:line="276" w:lineRule="auto"/>
    </w:pPr>
    <w:rPr>
      <w:rFonts w:ascii="Times New Roman" w:hAnsi="Times New Roman"/>
      <w:b/>
      <w:bCs/>
      <w:sz w:val="20"/>
      <w:szCs w:val="20"/>
      <w:lang w:eastAsia="pl-PL"/>
    </w:rPr>
  </w:style>
  <w:style w:type="character" w:customStyle="1" w:styleId="Tekstpodstawowy2Znak">
    <w:name w:val="Tekst podstawowy 2 Znak"/>
    <w:basedOn w:val="Domylnaczcionkaakapitu"/>
    <w:link w:val="Tekstpodstawowy2"/>
    <w:uiPriority w:val="99"/>
    <w:rsid w:val="000578B2"/>
    <w:rPr>
      <w:rFonts w:ascii="Times New Roman" w:eastAsia="Cambr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0282">
      <w:bodyDiv w:val="1"/>
      <w:marLeft w:val="0"/>
      <w:marRight w:val="0"/>
      <w:marTop w:val="0"/>
      <w:marBottom w:val="0"/>
      <w:divBdr>
        <w:top w:val="none" w:sz="0" w:space="0" w:color="auto"/>
        <w:left w:val="none" w:sz="0" w:space="0" w:color="auto"/>
        <w:bottom w:val="none" w:sz="0" w:space="0" w:color="auto"/>
        <w:right w:val="none" w:sz="0" w:space="0" w:color="auto"/>
      </w:divBdr>
    </w:div>
    <w:div w:id="1490248562">
      <w:bodyDiv w:val="1"/>
      <w:marLeft w:val="0"/>
      <w:marRight w:val="0"/>
      <w:marTop w:val="0"/>
      <w:marBottom w:val="0"/>
      <w:divBdr>
        <w:top w:val="none" w:sz="0" w:space="0" w:color="auto"/>
        <w:left w:val="none" w:sz="0" w:space="0" w:color="auto"/>
        <w:bottom w:val="none" w:sz="0" w:space="0" w:color="auto"/>
        <w:right w:val="none" w:sz="0" w:space="0" w:color="auto"/>
      </w:divBdr>
    </w:div>
    <w:div w:id="1701465635">
      <w:bodyDiv w:val="1"/>
      <w:marLeft w:val="0"/>
      <w:marRight w:val="0"/>
      <w:marTop w:val="0"/>
      <w:marBottom w:val="0"/>
      <w:divBdr>
        <w:top w:val="none" w:sz="0" w:space="0" w:color="auto"/>
        <w:left w:val="none" w:sz="0" w:space="0" w:color="auto"/>
        <w:bottom w:val="none" w:sz="0" w:space="0" w:color="auto"/>
        <w:right w:val="none" w:sz="0" w:space="0" w:color="auto"/>
      </w:divBdr>
    </w:div>
    <w:div w:id="1951817944">
      <w:bodyDiv w:val="1"/>
      <w:marLeft w:val="0"/>
      <w:marRight w:val="0"/>
      <w:marTop w:val="0"/>
      <w:marBottom w:val="0"/>
      <w:divBdr>
        <w:top w:val="none" w:sz="0" w:space="0" w:color="auto"/>
        <w:left w:val="none" w:sz="0" w:space="0" w:color="auto"/>
        <w:bottom w:val="none" w:sz="0" w:space="0" w:color="auto"/>
        <w:right w:val="none" w:sz="0" w:space="0" w:color="auto"/>
      </w:divBdr>
    </w:div>
    <w:div w:id="2054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B6DC-4325-4649-87DC-6301412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3245</Characters>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2017-04-26T13:47:00Z</cp:lastPrinted>
  <dcterms:created xsi:type="dcterms:W3CDTF">2018-04-25T11:14:00Z</dcterms:created>
  <dcterms:modified xsi:type="dcterms:W3CDTF">2018-04-25T12:19:00Z</dcterms:modified>
</cp:coreProperties>
</file>