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6900" w:right="0" w:firstLine="0"/>
        <w:jc w:val="right"/>
      </w:pPr>
      <w:r>
        <w:rPr>
          <w:rStyle w:val="CharStyle3"/>
        </w:rPr>
        <w:t>Nr: SPC/017/26/BG/ZP Kraków, 20.04.2026 r.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both"/>
      </w:pPr>
      <w:r>
        <w:rPr>
          <w:rStyle w:val="CharStyle3"/>
        </w:rPr>
        <w:t>Szanowny Pan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Podsekretarz Stanu w Ministerstwie Klimatu i Środowiska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both"/>
      </w:pPr>
      <w:r>
        <w:rPr>
          <w:rStyle w:val="CharStyle3"/>
        </w:rPr>
        <w:t>Główny Geolog Kraju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0"/>
        <w:ind w:left="0" w:right="0" w:firstLine="0"/>
        <w:jc w:val="both"/>
      </w:pPr>
      <w:r>
        <w:rPr>
          <w:rStyle w:val="CharStyle3"/>
          <w:b/>
          <w:bCs/>
        </w:rPr>
        <w:t>Szanowny Panie Ministrze,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5881" w:val="left"/>
        </w:tabs>
        <w:bidi w:val="0"/>
        <w:spacing w:before="0" w:after="0"/>
        <w:ind w:left="0" w:right="0" w:firstLine="740"/>
        <w:jc w:val="both"/>
      </w:pPr>
      <w:r>
        <w:rPr>
          <w:rStyle w:val="CharStyle3"/>
        </w:rPr>
        <w:t>W imieniu</w:t>
        <w:tab/>
        <w:t>zrzeszającego wszystkie zakłady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rStyle w:val="CharStyle3"/>
        </w:rPr>
        <w:t>cementowe w Polsce, zwracam się do Pana Ministra z prośbą o uwzględnienie uwag Stowarzyszenia w toku prac nad nowelizacją ustawy Prawo Geologiczne i Górnicze.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40"/>
        <w:jc w:val="both"/>
      </w:pPr>
      <w:r>
        <w:rPr>
          <w:rStyle w:val="CharStyle3"/>
        </w:rPr>
        <w:t>Przekazane postulaty mają charakter punktowych, lecz istotnych korekt, które w naszej ocenie mogą w istotny sposób przyczynić się do przyspieszenia wdrażania technologii wychwytywania i podziemnego składowania dwutlenku węgla (CCS) w Polsce. Technologia ta jest kluczowa dla przemysłu cementowego, który z uwagi na występowanie nieuniknionych emisji procesowych nie posiada alternatywnych ścieżek pełnej dekarbonizacji poza zastosowaniem technologii CCS. Szczegółowe propozycje zmian zostały przedstawione w załączonym materiale, który identyfikuje bariery regulacyjne oraz zawiera rekomendacje legislacyjne. Dotyczą one m.in. kwestii tytułów prawnych do nieruchomości, zabezpieczeń finansowych czy okresu eksploatacji składowisk. Oprócz zmian w Prawie Geologicznym i Górniczym, konieczne są zmiany w szeregu rozporządzeń, takich jak: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226" w:val="left"/>
        </w:tabs>
        <w:bidi w:val="0"/>
        <w:spacing w:before="0" w:after="0"/>
        <w:ind w:left="0" w:right="0" w:firstLine="0"/>
        <w:jc w:val="both"/>
      </w:pPr>
      <w:r>
        <w:rPr>
          <w:rStyle w:val="CharStyle3"/>
        </w:rPr>
        <w:t>Rozporządzenie Ministra Klimatu i Środowiska w sprawie obszarów, na których dopuszcza się lokalizowanie kompleksu podziemnego składowania dwutlenku węgla,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226" w:val="left"/>
        </w:tabs>
        <w:bidi w:val="0"/>
        <w:spacing w:before="0" w:after="0"/>
        <w:ind w:left="0" w:right="0" w:firstLine="0"/>
        <w:jc w:val="both"/>
      </w:pPr>
      <w:r>
        <w:rPr>
          <w:rStyle w:val="CharStyle3"/>
        </w:rPr>
        <w:t>Rozporządzenie Ministra Klimatu i Środowiska w sprawie zabezpieczenia finansowego i zabezpieczenia środków związanych z podziemnym składowaniem dwutlenku węgla,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235" w:val="left"/>
        </w:tabs>
        <w:bidi w:val="0"/>
        <w:spacing w:before="0" w:after="0"/>
        <w:ind w:left="0" w:right="0" w:firstLine="0"/>
        <w:jc w:val="both"/>
      </w:pPr>
      <w:r>
        <w:rPr>
          <w:rStyle w:val="CharStyle3"/>
        </w:rPr>
        <w:t>Rozporządzenie Ministra Klimatu i Środowiska w sprawie szczegółowych wymagań dotyczących eksploatacji podziemnego składowiska dwutlenku węgla, zatłaczanego strumienia dwutlenku węgla oraz prowadzenia monitoringu kompleksu podziemnego składowania dwutlenku węgla,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226" w:val="left"/>
        </w:tabs>
        <w:bidi w:val="0"/>
        <w:spacing w:before="0" w:after="0"/>
        <w:ind w:left="0" w:right="0" w:firstLine="0"/>
        <w:jc w:val="both"/>
      </w:pPr>
      <w:r>
        <w:rPr>
          <w:rStyle w:val="CharStyle3"/>
        </w:rPr>
        <w:t>Rozporządzenie w sprawie korzystania z informacji geologicznej za wynagrodzeniem. Dostrzegamy też konieczność ustanowienia przepisów w kwestii norm przeciwpożarowych oraz BHP w zakresie składowania (ale również wychwytu i transportu) CO</w:t>
      </w:r>
      <w:r>
        <w:rPr>
          <w:rStyle w:val="CharStyle3"/>
          <w:sz w:val="14"/>
          <w:szCs w:val="14"/>
        </w:rPr>
        <w:t>2</w:t>
      </w:r>
      <w:r>
        <w:rPr>
          <w:rStyle w:val="CharStyle3"/>
        </w:rPr>
        <w:t>, a także wydania rozporządzeń o których mowa w art. 11r oraz art. 11s ust. 5 ustawy Prawo Energetyczne.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0"/>
        <w:ind w:left="0" w:right="0" w:firstLine="740"/>
        <w:jc w:val="both"/>
      </w:pPr>
      <w:r>
        <w:rPr>
          <w:rStyle w:val="CharStyle3"/>
        </w:rPr>
        <w:t>Jesteśmy przekonani, że nowelizacja wskazanych przepisów pozwoli na realne przyspieszenie dekarbonizacji sektorów objętych emisjami procesowymi, a także umożliwi utrzymanie konkurencyjności polskiego przemysłu wobec państw, w których ramy prawne dla CCS są bardziej rozwinięte. W związku z powyższym zwracamy się również z prośbą o spotkanie z przedstawicielami Departamentu Geologii, celem omówienia przedstawionych propozycji oraz pogłębienia współpracy merytorycznej. Pozostajemy do dyspozycji w przypadku potrzeby uzupełnienia informacji lub przedstawienia dodatkowych wyjaśnień.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/>
        <w:ind w:left="0" w:right="0" w:firstLine="0"/>
        <w:jc w:val="both"/>
      </w:pPr>
      <w:r>
        <w:rPr>
          <w:rStyle w:val="CharStyle3"/>
        </w:rPr>
        <w:t>Z wyrazami szacunku,</w:t>
      </w:r>
    </w:p>
    <w:sectPr>
      <w:footerReference w:type="default" r:id="rId5"/>
      <w:footnotePr>
        <w:pos w:val="pageBottom"/>
        <w:numFmt w:val="decimal"/>
        <w:numRestart w:val="continuous"/>
      </w:footnotePr>
      <w:pgSz w:w="11900" w:h="16840"/>
      <w:pgMar w:top="2074" w:right="1381" w:bottom="2074" w:left="1376" w:header="1646" w:footer="3" w:gutter="0"/>
      <w:pgNumType w:start="1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6600825</wp:posOffset>
              </wp:positionH>
              <wp:positionV relativeFrom="page">
                <wp:posOffset>9946005</wp:posOffset>
              </wp:positionV>
              <wp:extent cx="52070" cy="88265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2070" cy="8826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Style w:val="CharStyle5"/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19.75pt;margin-top:783.14999999999998pt;width:4.0999999999999996pt;height:6.9500000000000002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Style w:val="CharStyle5"/>
                        <w:rFonts w:ascii="Calibri" w:eastAsia="Calibri" w:hAnsi="Calibri" w:cs="Calibri"/>
                        <w:sz w:val="22"/>
                        <w:szCs w:val="22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bullet"/>
      <w:lvlText w:val="-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pl-PL" w:eastAsia="pl-PL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pl-PL" w:eastAsia="pl-PL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pl-PL" w:eastAsia="pl-PL"/>
    </w:rPr>
  </w:style>
  <w:style w:type="character" w:customStyle="1" w:styleId="CharStyle3">
    <w:name w:val="Body text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5">
    <w:name w:val="Header or footer (2)_"/>
    <w:basedOn w:val="DefaultParagraphFont"/>
    <w:link w:val="Styl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styleId="Style2">
    <w:name w:val="Body text"/>
    <w:basedOn w:val="Normal"/>
    <w:link w:val="CharStyle3"/>
    <w:qFormat/>
    <w:pPr>
      <w:widowControl w:val="0"/>
      <w:shd w:val="clear" w:color="auto" w:fill="auto"/>
      <w:spacing w:line="290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4">
    <w:name w:val="Header or footer (2)"/>
    <w:basedOn w:val="Normal"/>
    <w:link w:val="CharStyle5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</file>