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0732" w:rsidRDefault="00090732">
      <w:pPr>
        <w:pStyle w:val="Default"/>
        <w:spacing w:line="23" w:lineRule="atLeast"/>
        <w:jc w:val="center"/>
        <w:rPr>
          <w:b/>
          <w:bCs/>
          <w:color w:val="00000A"/>
          <w:sz w:val="22"/>
          <w:szCs w:val="22"/>
        </w:rPr>
      </w:pPr>
      <w:bookmarkStart w:id="0" w:name="_GoBack"/>
      <w:bookmarkEnd w:id="0"/>
      <w:r>
        <w:rPr>
          <w:b/>
          <w:bCs/>
          <w:color w:val="00000A"/>
          <w:sz w:val="22"/>
          <w:szCs w:val="22"/>
        </w:rPr>
        <w:t>Regionalny Fundusz Gospodarczy S.A. w Częstochowie,</w:t>
      </w:r>
    </w:p>
    <w:p w:rsidR="00090732" w:rsidRDefault="00090732">
      <w:pPr>
        <w:pStyle w:val="Default"/>
        <w:spacing w:line="23" w:lineRule="atLeast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Al. Pokoju 44, 42-202 Częstochowa,</w:t>
      </w:r>
    </w:p>
    <w:p w:rsidR="00090732" w:rsidRDefault="00090732">
      <w:pPr>
        <w:pStyle w:val="Default"/>
        <w:spacing w:line="23" w:lineRule="atLeast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OGŁASZA PUBLICZNY PRZETARG USTNY</w:t>
      </w:r>
    </w:p>
    <w:p w:rsidR="00090732" w:rsidRDefault="00090732">
      <w:pPr>
        <w:pStyle w:val="Default"/>
        <w:spacing w:line="23" w:lineRule="atLeast"/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na sprzedaż nieruchomości</w:t>
      </w:r>
    </w:p>
    <w:p w:rsidR="00090732" w:rsidRDefault="00090732">
      <w:pPr>
        <w:pStyle w:val="Default"/>
        <w:spacing w:line="276" w:lineRule="auto"/>
        <w:jc w:val="both"/>
        <w:rPr>
          <w:b/>
          <w:bCs/>
          <w:color w:val="00000A"/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bCs/>
          <w:color w:val="00000A"/>
          <w:sz w:val="22"/>
          <w:szCs w:val="22"/>
        </w:rPr>
        <w:t xml:space="preserve">Przedmiotem przetargów są </w:t>
      </w:r>
      <w:r>
        <w:rPr>
          <w:color w:val="00000A"/>
          <w:sz w:val="22"/>
          <w:szCs w:val="22"/>
        </w:rPr>
        <w:t>przysługujące Spółce Regionalny Fundusz Gospodarczy S.A. z siedzibą 42-202 Częstochowa, Al. Pokoju 44, wpisanej do rejestru przedsiębiorców Krajowego Rejestru Sądowego pod numerem KRS 0000100887, NIP 573-020-60-30, REGON 000025483:</w:t>
      </w:r>
    </w:p>
    <w:p w:rsidR="00090732" w:rsidRDefault="00090732">
      <w:pPr>
        <w:pStyle w:val="Default"/>
        <w:spacing w:line="276" w:lineRule="auto"/>
        <w:ind w:firstLine="708"/>
        <w:jc w:val="both"/>
        <w:rPr>
          <w:color w:val="00000A"/>
          <w:sz w:val="22"/>
          <w:szCs w:val="22"/>
        </w:rPr>
      </w:pPr>
    </w:p>
    <w:p w:rsidR="00090732" w:rsidRPr="00E719A2" w:rsidRDefault="00090732" w:rsidP="00E719A2">
      <w:pPr>
        <w:pStyle w:val="Default"/>
        <w:numPr>
          <w:ilvl w:val="0"/>
          <w:numId w:val="3"/>
        </w:numPr>
        <w:spacing w:after="120" w:line="276" w:lineRule="auto"/>
        <w:jc w:val="both"/>
        <w:rPr>
          <w:bCs/>
          <w:sz w:val="22"/>
          <w:szCs w:val="22"/>
          <w:u w:val="single"/>
        </w:rPr>
      </w:pPr>
      <w:r w:rsidRPr="00E719A2">
        <w:rPr>
          <w:bCs/>
        </w:rPr>
        <w:t xml:space="preserve">prawo użytkowania wieczystego nieruchomości niezabudowanej położonej </w:t>
      </w:r>
      <w:r w:rsidRPr="00E719A2">
        <w:rPr>
          <w:bCs/>
        </w:rPr>
        <w:br/>
        <w:t xml:space="preserve">w Częstochowie przy </w:t>
      </w:r>
      <w:proofErr w:type="spellStart"/>
      <w:r w:rsidRPr="00E719A2">
        <w:rPr>
          <w:bCs/>
        </w:rPr>
        <w:t>ul.Kucelińskiej</w:t>
      </w:r>
      <w:proofErr w:type="spellEnd"/>
      <w:r w:rsidRPr="00E719A2">
        <w:rPr>
          <w:bCs/>
        </w:rPr>
        <w:t xml:space="preserve">, obejmującej działkę </w:t>
      </w:r>
      <w:r w:rsidRPr="00E719A2">
        <w:rPr>
          <w:b/>
          <w:bCs/>
        </w:rPr>
        <w:t xml:space="preserve">9/29 obręb 302 </w:t>
      </w:r>
      <w:r w:rsidRPr="00E719A2">
        <w:rPr>
          <w:b/>
          <w:bCs/>
        </w:rPr>
        <w:br/>
        <w:t>o powierzchni 0.9035 ha</w:t>
      </w:r>
      <w:r w:rsidRPr="00E719A2">
        <w:rPr>
          <w:bCs/>
        </w:rPr>
        <w:t xml:space="preserve"> dla której Sąd Rejonowy w Częstochowie IX Wydział Ksiąg Wieczystych prowadzi Księgę Wieczystą nr </w:t>
      </w:r>
      <w:r w:rsidRPr="00E719A2">
        <w:rPr>
          <w:b/>
          <w:bCs/>
        </w:rPr>
        <w:t xml:space="preserve">CZ1C/00081824/5 </w:t>
      </w:r>
      <w:r w:rsidRPr="00E719A2">
        <w:rPr>
          <w:bCs/>
        </w:rPr>
        <w:t xml:space="preserve">oraz prawo użytkowania wieczystego niezabudowanej działki nr </w:t>
      </w:r>
      <w:r w:rsidRPr="00E719A2">
        <w:rPr>
          <w:b/>
          <w:bCs/>
        </w:rPr>
        <w:t xml:space="preserve">9/40, obręb 302, o powierzchni 0,0295 ha, </w:t>
      </w:r>
      <w:r w:rsidRPr="00E719A2">
        <w:rPr>
          <w:bCs/>
        </w:rPr>
        <w:t xml:space="preserve">dla której Sąd Rejonowy w Częstochowie IX Wydział Ksiąg Wieczystych prowadzi Księgę Wieczystą </w:t>
      </w:r>
      <w:r w:rsidRPr="00E719A2">
        <w:rPr>
          <w:b/>
          <w:bCs/>
        </w:rPr>
        <w:t xml:space="preserve">nr CZ1C/00134660/4, </w:t>
      </w:r>
      <w:r w:rsidRPr="00E719A2">
        <w:rPr>
          <w:bCs/>
        </w:rPr>
        <w:t xml:space="preserve">wraz z ustanowieniem służebności </w:t>
      </w:r>
      <w:r w:rsidRPr="00E719A2">
        <w:rPr>
          <w:sz w:val="22"/>
          <w:szCs w:val="22"/>
        </w:rPr>
        <w:t xml:space="preserve">przejazdu i przechodu na prawie użytkowania wieczystego </w:t>
      </w:r>
      <w:r w:rsidRPr="00E719A2">
        <w:rPr>
          <w:b/>
          <w:bCs/>
          <w:sz w:val="22"/>
          <w:szCs w:val="22"/>
        </w:rPr>
        <w:t>działki nr 9/33 obręb 302 o powierzchni 0,4519 ha</w:t>
      </w:r>
      <w:r w:rsidRPr="00E719A2">
        <w:rPr>
          <w:sz w:val="22"/>
          <w:szCs w:val="22"/>
        </w:rPr>
        <w:t xml:space="preserve">, dla której Sąd Rejonowy w Częstochowie IX Wydział Ksiąg Wieczystych prowadzi Księgę Wieczystą nr </w:t>
      </w:r>
      <w:r w:rsidRPr="00E719A2">
        <w:rPr>
          <w:b/>
          <w:bCs/>
          <w:sz w:val="22"/>
          <w:szCs w:val="22"/>
        </w:rPr>
        <w:t>CZ1C/00134660/4</w:t>
      </w:r>
      <w:r w:rsidRPr="00E719A2">
        <w:rPr>
          <w:sz w:val="22"/>
          <w:szCs w:val="22"/>
        </w:rPr>
        <w:t xml:space="preserve"> na rzecz każdoczesnego użytkownika wieczystego w/w działek </w:t>
      </w:r>
      <w:r w:rsidRPr="00E719A2">
        <w:rPr>
          <w:b/>
          <w:bCs/>
          <w:sz w:val="22"/>
          <w:szCs w:val="22"/>
        </w:rPr>
        <w:t>9/29 i 9/40.</w:t>
      </w:r>
    </w:p>
    <w:p w:rsidR="00090732" w:rsidRDefault="00090732">
      <w:pPr>
        <w:pStyle w:val="Default"/>
        <w:shd w:val="clear" w:color="auto" w:fill="FFFFFF"/>
        <w:spacing w:after="120" w:line="276" w:lineRule="auto"/>
        <w:ind w:left="360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Łączn</w:t>
      </w:r>
      <w:r>
        <w:rPr>
          <w:sz w:val="22"/>
          <w:szCs w:val="22"/>
          <w:u w:val="single"/>
        </w:rPr>
        <w:t>a cena wywoławcza: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459.000,00 zł netto </w:t>
      </w:r>
      <w:r>
        <w:rPr>
          <w:sz w:val="22"/>
          <w:szCs w:val="22"/>
        </w:rPr>
        <w:t>(słownie: czterysta pięćdziesiąt dziewięć tysięcy złotych 00/100 netto)</w:t>
      </w:r>
    </w:p>
    <w:p w:rsidR="00090732" w:rsidRDefault="00090732">
      <w:pPr>
        <w:pStyle w:val="Default"/>
        <w:shd w:val="clear" w:color="auto" w:fill="FFFFFF"/>
        <w:spacing w:after="120" w:line="276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Wysokość wadium: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46.000,00 </w:t>
      </w:r>
      <w:r>
        <w:rPr>
          <w:b/>
          <w:sz w:val="22"/>
          <w:szCs w:val="22"/>
        </w:rPr>
        <w:t xml:space="preserve">zł netto </w:t>
      </w:r>
      <w:r>
        <w:rPr>
          <w:sz w:val="22"/>
          <w:szCs w:val="22"/>
        </w:rPr>
        <w:t>(słownie: czterdzieści sześć tysięcy złotych, 00/100 netto)</w:t>
      </w:r>
    </w:p>
    <w:p w:rsidR="00090732" w:rsidRDefault="00090732">
      <w:pPr>
        <w:pStyle w:val="Default"/>
        <w:shd w:val="clear" w:color="auto" w:fill="FFFFFF"/>
        <w:spacing w:after="120" w:line="276" w:lineRule="auto"/>
        <w:ind w:left="360"/>
        <w:jc w:val="both"/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Postąpienie wynosi: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10.000,00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zł netto </w:t>
      </w:r>
      <w:r>
        <w:rPr>
          <w:sz w:val="22"/>
          <w:szCs w:val="22"/>
        </w:rPr>
        <w:t>(słownie: dziesięć tysięcy złotych 00/100 netto)</w:t>
      </w:r>
      <w:r>
        <w:rPr>
          <w:b/>
          <w:bCs/>
          <w:sz w:val="22"/>
          <w:szCs w:val="22"/>
        </w:rPr>
        <w:t xml:space="preserve"> </w:t>
      </w:r>
    </w:p>
    <w:p w:rsidR="009F7E0A" w:rsidRDefault="009F7E0A" w:rsidP="00C644BB">
      <w:pPr>
        <w:pStyle w:val="Default"/>
        <w:numPr>
          <w:ilvl w:val="0"/>
          <w:numId w:val="3"/>
        </w:numPr>
        <w:tabs>
          <w:tab w:val="left" w:pos="-1080"/>
        </w:tabs>
        <w:autoSpaceDE w:val="0"/>
        <w:spacing w:after="120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prawo użytkowania wieczystego nieruchomości niezabudowanych, położonych </w:t>
      </w:r>
      <w:r>
        <w:rPr>
          <w:bCs/>
          <w:sz w:val="22"/>
          <w:szCs w:val="22"/>
        </w:rPr>
        <w:br/>
        <w:t xml:space="preserve">w Częstochowie przy ul. Brzegowej / </w:t>
      </w:r>
      <w:proofErr w:type="spellStart"/>
      <w:r>
        <w:rPr>
          <w:bCs/>
          <w:sz w:val="22"/>
          <w:szCs w:val="22"/>
        </w:rPr>
        <w:t>al.Pokoju</w:t>
      </w:r>
      <w:proofErr w:type="spellEnd"/>
      <w:r>
        <w:rPr>
          <w:bCs/>
          <w:sz w:val="22"/>
          <w:szCs w:val="22"/>
        </w:rPr>
        <w:t xml:space="preserve">, obejmujące działki o numerach ewidencyjnych </w:t>
      </w:r>
      <w:r>
        <w:rPr>
          <w:b/>
          <w:sz w:val="22"/>
          <w:szCs w:val="22"/>
        </w:rPr>
        <w:t xml:space="preserve">28 obręb 266 o powierzchni 1,4488 ha oraz ½ </w:t>
      </w:r>
      <w:r>
        <w:rPr>
          <w:b/>
          <w:bCs/>
          <w:sz w:val="22"/>
          <w:szCs w:val="22"/>
        </w:rPr>
        <w:t>udziału w prawie użytkowania wieczystego działki</w:t>
      </w:r>
      <w:r>
        <w:rPr>
          <w:b/>
          <w:sz w:val="22"/>
          <w:szCs w:val="22"/>
        </w:rPr>
        <w:t xml:space="preserve"> 29/4 obręb 266  o powierzchni 0,0046 ha </w:t>
      </w:r>
      <w:r>
        <w:rPr>
          <w:bCs/>
          <w:sz w:val="22"/>
          <w:szCs w:val="22"/>
        </w:rPr>
        <w:t xml:space="preserve">dla których Sąd Rejonowy w Częstochowie IX Wydział Ksiąg Wieczystych prowadzi Księgę Wieczystą nr </w:t>
      </w:r>
      <w:r>
        <w:rPr>
          <w:b/>
          <w:bCs/>
          <w:sz w:val="22"/>
          <w:szCs w:val="22"/>
        </w:rPr>
        <w:t xml:space="preserve">CZ1C/00145652/5 oraz ¼ udziału w prawie użytkowania wieczystego działki </w:t>
      </w:r>
      <w:r>
        <w:rPr>
          <w:b/>
          <w:sz w:val="22"/>
          <w:szCs w:val="22"/>
        </w:rPr>
        <w:t xml:space="preserve">29/5 obręb 266 o powierzchni 0,1789 ha </w:t>
      </w:r>
      <w:r>
        <w:rPr>
          <w:bCs/>
          <w:sz w:val="22"/>
          <w:szCs w:val="22"/>
        </w:rPr>
        <w:t xml:space="preserve">stanowiącej nieruchomość dla której Sąd Rejonowy w Częstochowie IX Wydział Ksiąg Wieczystych, prowadzi Księgę Wieczystą nr </w:t>
      </w:r>
      <w:r>
        <w:rPr>
          <w:b/>
          <w:bCs/>
          <w:color w:val="auto"/>
          <w:sz w:val="22"/>
          <w:szCs w:val="22"/>
        </w:rPr>
        <w:t>CZ1C/00182509/9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(RFG S.A. przysługuje 2/4 części prawa użytkowania wieczystego do działki 29/5, ½ cz. prawa użytkowania wieczystego do działki została zbyta 8 stycznia 2019 roku)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57" w:line="276" w:lineRule="auto"/>
        <w:ind w:left="720"/>
        <w:jc w:val="both"/>
        <w:rPr>
          <w:b/>
          <w:bCs/>
          <w:sz w:val="22"/>
          <w:szCs w:val="22"/>
        </w:rPr>
      </w:pPr>
    </w:p>
    <w:p w:rsidR="009F7E0A" w:rsidRDefault="009F7E0A" w:rsidP="009F7E0A">
      <w:pPr>
        <w:pStyle w:val="Default"/>
        <w:shd w:val="clear" w:color="auto" w:fill="FFFFFF"/>
        <w:autoSpaceDE w:val="0"/>
        <w:spacing w:after="57" w:line="276" w:lineRule="auto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Łączn</w:t>
      </w:r>
      <w:r>
        <w:rPr>
          <w:sz w:val="22"/>
          <w:szCs w:val="22"/>
          <w:u w:val="single"/>
        </w:rPr>
        <w:t>a cena wywoławcza:</w:t>
      </w:r>
      <w:r>
        <w:rPr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 xml:space="preserve">680.000,00 zł netto </w:t>
      </w:r>
      <w:r>
        <w:rPr>
          <w:sz w:val="22"/>
          <w:szCs w:val="22"/>
        </w:rPr>
        <w:t>(słownie: sześćset osiemdziesiąt tysięcy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Wysokość wadium: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34.000,00 zł netto </w:t>
      </w:r>
      <w:r>
        <w:rPr>
          <w:sz w:val="22"/>
          <w:szCs w:val="22"/>
        </w:rPr>
        <w:t>(słownie: trzydzieści cztery tysiące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bCs/>
          <w:i/>
        </w:rPr>
      </w:pPr>
      <w:r>
        <w:rPr>
          <w:sz w:val="22"/>
          <w:szCs w:val="22"/>
          <w:u w:val="single"/>
        </w:rPr>
        <w:t>Postąpienie wynosi: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10.000,00 zł netto </w:t>
      </w:r>
      <w:r>
        <w:rPr>
          <w:sz w:val="22"/>
          <w:szCs w:val="22"/>
        </w:rPr>
        <w:t>(słownie: dziesięć tysięcy złotych, 00/100gr 00/100gr netto)</w:t>
      </w:r>
      <w:r>
        <w:rPr>
          <w:b/>
          <w:bCs/>
          <w:sz w:val="22"/>
          <w:szCs w:val="22"/>
        </w:rPr>
        <w:t xml:space="preserve"> </w:t>
      </w:r>
    </w:p>
    <w:p w:rsidR="009F7E0A" w:rsidRDefault="009F7E0A" w:rsidP="009F7E0A">
      <w:pPr>
        <w:spacing w:after="120"/>
        <w:jc w:val="both"/>
        <w:rPr>
          <w:b/>
          <w:bCs/>
        </w:rPr>
      </w:pPr>
      <w:r>
        <w:rPr>
          <w:rFonts w:ascii="Arial" w:hAnsi="Arial" w:cs="Arial"/>
          <w:bCs/>
          <w:i/>
        </w:rPr>
        <w:lastRenderedPageBreak/>
        <w:t xml:space="preserve">Do ceny nabycia zostanie doliczony podatek VAT zgodnie z przepisami obowiązującymi </w:t>
      </w:r>
      <w:r>
        <w:rPr>
          <w:rFonts w:ascii="Arial" w:hAnsi="Arial" w:cs="Arial"/>
          <w:bCs/>
          <w:i/>
        </w:rPr>
        <w:br/>
        <w:t>w dniu przetargu.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57" w:line="276" w:lineRule="auto"/>
        <w:jc w:val="both"/>
        <w:rPr>
          <w:b/>
          <w:bCs/>
          <w:sz w:val="22"/>
          <w:szCs w:val="22"/>
        </w:rPr>
      </w:pPr>
    </w:p>
    <w:p w:rsidR="009F7E0A" w:rsidRDefault="009F7E0A" w:rsidP="00C644BB">
      <w:pPr>
        <w:pStyle w:val="Default"/>
        <w:numPr>
          <w:ilvl w:val="0"/>
          <w:numId w:val="3"/>
        </w:numPr>
        <w:tabs>
          <w:tab w:val="left" w:pos="-1080"/>
        </w:tabs>
        <w:autoSpaceDE w:val="0"/>
        <w:spacing w:after="120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prawo użytkowania wieczystego nieruchomości niezabudowanych, położonych </w:t>
      </w:r>
      <w:r>
        <w:rPr>
          <w:bCs/>
          <w:sz w:val="22"/>
          <w:szCs w:val="22"/>
        </w:rPr>
        <w:br/>
        <w:t xml:space="preserve">w Częstochowie przy ul. Brzegowej / </w:t>
      </w:r>
      <w:proofErr w:type="spellStart"/>
      <w:r>
        <w:rPr>
          <w:bCs/>
          <w:sz w:val="22"/>
          <w:szCs w:val="22"/>
        </w:rPr>
        <w:t>al.Pokoju</w:t>
      </w:r>
      <w:proofErr w:type="spellEnd"/>
      <w:r>
        <w:rPr>
          <w:bCs/>
          <w:sz w:val="22"/>
          <w:szCs w:val="22"/>
        </w:rPr>
        <w:t xml:space="preserve">, obejmujące działki o numerach ewidencyjnych </w:t>
      </w:r>
      <w:r>
        <w:rPr>
          <w:b/>
          <w:sz w:val="22"/>
          <w:szCs w:val="22"/>
        </w:rPr>
        <w:t xml:space="preserve">62 obręb 265 o powierzchni 4,4484 ha oraz ½ </w:t>
      </w:r>
      <w:r>
        <w:rPr>
          <w:b/>
          <w:bCs/>
          <w:sz w:val="22"/>
          <w:szCs w:val="22"/>
        </w:rPr>
        <w:t>udziału w prawie użytkowania wieczystego działki</w:t>
      </w:r>
      <w:r>
        <w:rPr>
          <w:b/>
          <w:sz w:val="22"/>
          <w:szCs w:val="22"/>
        </w:rPr>
        <w:t xml:space="preserve"> 29/4 obręb 266  o powierzchni 0,0046 ha </w:t>
      </w:r>
      <w:r>
        <w:rPr>
          <w:bCs/>
          <w:sz w:val="22"/>
          <w:szCs w:val="22"/>
        </w:rPr>
        <w:t xml:space="preserve">dla których Sąd Rejonowy w Częstochowie IX Wydział Ksiąg Wieczystych prowadzi Księgę Wieczystą nr </w:t>
      </w:r>
      <w:r>
        <w:rPr>
          <w:b/>
          <w:bCs/>
          <w:sz w:val="22"/>
          <w:szCs w:val="22"/>
        </w:rPr>
        <w:t xml:space="preserve">CZ1C/00145652/5 oraz ¼ udziału w prawie użytkowania wieczystego działki </w:t>
      </w:r>
      <w:r>
        <w:rPr>
          <w:b/>
          <w:sz w:val="22"/>
          <w:szCs w:val="22"/>
        </w:rPr>
        <w:t xml:space="preserve">29/5 obręb 266 o powierzchni 0,1789 ha </w:t>
      </w:r>
      <w:r>
        <w:rPr>
          <w:bCs/>
          <w:sz w:val="22"/>
          <w:szCs w:val="22"/>
        </w:rPr>
        <w:t xml:space="preserve">stanowiącej nieruchomość dla której Sąd Rejonowy w Częstochowie IX Wydział Ksiąg Wieczystych, prowadzi Księgę Wieczystą nr </w:t>
      </w:r>
      <w:r>
        <w:rPr>
          <w:b/>
          <w:bCs/>
          <w:color w:val="auto"/>
          <w:sz w:val="22"/>
          <w:szCs w:val="22"/>
        </w:rPr>
        <w:t>CZ1C/00182509/9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Cs/>
          <w:color w:val="auto"/>
          <w:sz w:val="22"/>
          <w:szCs w:val="22"/>
        </w:rPr>
        <w:t>(RFG S.A. przysługuje 2/4 części prawa użytkowania wieczystego do działki 29/5, ½ cz. prawa użytkowania wieczystego do działki została zbyta 8 stycznia 2019 roku)</w:t>
      </w:r>
      <w:r>
        <w:rPr>
          <w:sz w:val="22"/>
          <w:szCs w:val="22"/>
        </w:rPr>
        <w:t xml:space="preserve"> 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57" w:line="276" w:lineRule="auto"/>
        <w:ind w:left="720"/>
        <w:jc w:val="both"/>
        <w:rPr>
          <w:b/>
          <w:bCs/>
          <w:sz w:val="22"/>
          <w:szCs w:val="22"/>
        </w:rPr>
      </w:pP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Łączn</w:t>
      </w:r>
      <w:r>
        <w:rPr>
          <w:sz w:val="22"/>
          <w:szCs w:val="22"/>
          <w:u w:val="single"/>
        </w:rPr>
        <w:t>a cena wywoławcza: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2.460.000,00 zł netto </w:t>
      </w:r>
      <w:r>
        <w:rPr>
          <w:sz w:val="22"/>
          <w:szCs w:val="22"/>
        </w:rPr>
        <w:t>(słownie: dwa miliony czterysta sześćdziesiąt tysięcy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Wysokość wadium: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123.000,00 zł netto </w:t>
      </w:r>
      <w:r>
        <w:rPr>
          <w:sz w:val="22"/>
          <w:szCs w:val="22"/>
        </w:rPr>
        <w:t>(słownie: sto dwadzieścia trzy tysiące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bCs/>
          <w:i/>
        </w:rPr>
      </w:pPr>
      <w:r>
        <w:rPr>
          <w:sz w:val="22"/>
          <w:szCs w:val="22"/>
          <w:u w:val="single"/>
        </w:rPr>
        <w:t>Postąpienie wynosi: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25.000,00 zł netto </w:t>
      </w:r>
      <w:r>
        <w:rPr>
          <w:sz w:val="22"/>
          <w:szCs w:val="22"/>
        </w:rPr>
        <w:t>(słownie: dziesięć tysięcy złotych, 00/100gr netto)</w:t>
      </w:r>
      <w:r>
        <w:rPr>
          <w:b/>
          <w:bCs/>
          <w:sz w:val="22"/>
          <w:szCs w:val="22"/>
        </w:rPr>
        <w:t xml:space="preserve"> </w:t>
      </w:r>
    </w:p>
    <w:p w:rsidR="009F7E0A" w:rsidRDefault="009F7E0A" w:rsidP="009F7E0A">
      <w:pPr>
        <w:spacing w:after="120"/>
        <w:jc w:val="both"/>
      </w:pPr>
      <w:r>
        <w:rPr>
          <w:rFonts w:ascii="Arial" w:hAnsi="Arial" w:cs="Arial"/>
          <w:bCs/>
          <w:i/>
        </w:rPr>
        <w:t xml:space="preserve">Do ceny nabycia zostanie doliczony podatek VAT zgodnie z przepisami obowiązującymi </w:t>
      </w:r>
      <w:r>
        <w:rPr>
          <w:rFonts w:ascii="Arial" w:hAnsi="Arial" w:cs="Arial"/>
          <w:bCs/>
          <w:i/>
        </w:rPr>
        <w:br/>
        <w:t>w dniu przetargu.</w:t>
      </w:r>
    </w:p>
    <w:p w:rsidR="009F7E0A" w:rsidRDefault="009F7E0A" w:rsidP="009F7E0A">
      <w:pPr>
        <w:spacing w:after="120"/>
        <w:jc w:val="both"/>
      </w:pPr>
    </w:p>
    <w:p w:rsidR="009F7E0A" w:rsidRDefault="009F7E0A" w:rsidP="00C644BB">
      <w:pPr>
        <w:pStyle w:val="Default"/>
        <w:numPr>
          <w:ilvl w:val="0"/>
          <w:numId w:val="3"/>
        </w:numPr>
        <w:shd w:val="clear" w:color="auto" w:fill="FFFFFF"/>
        <w:autoSpaceDE w:val="0"/>
        <w:spacing w:after="57" w:line="276" w:lineRule="auto"/>
        <w:jc w:val="both"/>
      </w:pPr>
      <w:r>
        <w:rPr>
          <w:sz w:val="22"/>
          <w:szCs w:val="22"/>
        </w:rPr>
        <w:t xml:space="preserve">prawo wieczystego użytkowania niezabudowanych działek gruntu oznaczonych numerem </w:t>
      </w:r>
      <w:r>
        <w:rPr>
          <w:b/>
          <w:bCs/>
          <w:sz w:val="22"/>
          <w:szCs w:val="22"/>
        </w:rPr>
        <w:t>9/11 i 9/14 w obrębie 302 o łącznej powierzchni 1,9624 ha</w:t>
      </w:r>
      <w:r>
        <w:rPr>
          <w:sz w:val="22"/>
          <w:szCs w:val="22"/>
        </w:rPr>
        <w:t xml:space="preserve">, położonej w Częstochowie przy ul. </w:t>
      </w:r>
      <w:proofErr w:type="spellStart"/>
      <w:r>
        <w:rPr>
          <w:sz w:val="22"/>
          <w:szCs w:val="22"/>
        </w:rPr>
        <w:t>Kucelińskiej</w:t>
      </w:r>
      <w:proofErr w:type="spellEnd"/>
      <w:r>
        <w:rPr>
          <w:sz w:val="22"/>
          <w:szCs w:val="22"/>
        </w:rPr>
        <w:t xml:space="preserve">, dla których Sąd Rejonowy w Częstochowie IX Wydział Ksiąg Wieczystych prowadzi księgę wieczystą nr </w:t>
      </w:r>
      <w:r>
        <w:rPr>
          <w:b/>
          <w:bCs/>
          <w:sz w:val="22"/>
          <w:szCs w:val="22"/>
        </w:rPr>
        <w:t>CZ1C/00081824/5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</w:pP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Łączn</w:t>
      </w:r>
      <w:r>
        <w:rPr>
          <w:sz w:val="22"/>
          <w:szCs w:val="22"/>
          <w:u w:val="single"/>
        </w:rPr>
        <w:t>a cena wywoławcza: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1.022.000,00 zł netto </w:t>
      </w:r>
      <w:r>
        <w:rPr>
          <w:sz w:val="22"/>
          <w:szCs w:val="22"/>
        </w:rPr>
        <w:t>(słownie: jeden milion dwadzieścia dwa tysiące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Wysokość wadium: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51.100,00 </w:t>
      </w:r>
      <w:r>
        <w:rPr>
          <w:b/>
          <w:sz w:val="22"/>
          <w:szCs w:val="22"/>
        </w:rPr>
        <w:t xml:space="preserve">zł netto </w:t>
      </w:r>
      <w:r>
        <w:rPr>
          <w:sz w:val="22"/>
          <w:szCs w:val="22"/>
        </w:rPr>
        <w:t>(słownie: pięćdziesiąt jeden tysięcy sto 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  <w:u w:val="single"/>
        </w:rPr>
        <w:t>Postąpienie wynosi: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10.000,00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zł netto </w:t>
      </w:r>
      <w:r>
        <w:rPr>
          <w:sz w:val="22"/>
          <w:szCs w:val="22"/>
        </w:rPr>
        <w:t>(słownie: dziesięć tysięcy złotych, 00/100gr netto)</w:t>
      </w:r>
      <w:r>
        <w:rPr>
          <w:b/>
          <w:bCs/>
          <w:sz w:val="22"/>
          <w:szCs w:val="22"/>
        </w:rPr>
        <w:t xml:space="preserve"> 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120"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Do ceny nabycia zostanie doliczony podatek VAT zgodnie z przepisami obowiązującymi </w:t>
      </w:r>
      <w:r>
        <w:rPr>
          <w:i/>
          <w:sz w:val="22"/>
          <w:szCs w:val="22"/>
        </w:rPr>
        <w:br/>
        <w:t>w dniu przetargu.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120" w:line="276" w:lineRule="auto"/>
        <w:jc w:val="both"/>
        <w:rPr>
          <w:b/>
          <w:bCs/>
          <w:sz w:val="22"/>
          <w:szCs w:val="22"/>
        </w:rPr>
      </w:pPr>
    </w:p>
    <w:p w:rsidR="009F7E0A" w:rsidRDefault="009F7E0A" w:rsidP="00C644BB">
      <w:pPr>
        <w:pStyle w:val="Default"/>
        <w:numPr>
          <w:ilvl w:val="0"/>
          <w:numId w:val="3"/>
        </w:numPr>
        <w:shd w:val="clear" w:color="auto" w:fill="FFFFFF"/>
        <w:autoSpaceDE w:val="0"/>
        <w:spacing w:after="57" w:line="276" w:lineRule="auto"/>
        <w:jc w:val="both"/>
        <w:rPr>
          <w:b/>
          <w:bCs/>
          <w:sz w:val="22"/>
          <w:szCs w:val="22"/>
        </w:rPr>
      </w:pPr>
      <w:r>
        <w:rPr>
          <w:iCs/>
          <w:color w:val="auto"/>
          <w:sz w:val="22"/>
          <w:szCs w:val="22"/>
        </w:rPr>
        <w:t>prawo własności zabudowanej działki</w:t>
      </w:r>
      <w:r>
        <w:rPr>
          <w:b/>
          <w:bCs/>
          <w:iCs/>
          <w:color w:val="auto"/>
          <w:sz w:val="22"/>
          <w:szCs w:val="22"/>
        </w:rPr>
        <w:t xml:space="preserve"> 46/1 obręb 379 o powierzchni 0,1563 ha </w:t>
      </w:r>
      <w:r>
        <w:rPr>
          <w:iCs/>
          <w:color w:val="auto"/>
          <w:sz w:val="22"/>
          <w:szCs w:val="22"/>
        </w:rPr>
        <w:t xml:space="preserve">oraz niezabudowanej działki </w:t>
      </w:r>
      <w:r>
        <w:rPr>
          <w:b/>
          <w:bCs/>
          <w:iCs/>
          <w:color w:val="auto"/>
          <w:sz w:val="22"/>
          <w:szCs w:val="22"/>
        </w:rPr>
        <w:t xml:space="preserve">46/2 obręb 379 o powierzchni 0,0040 ha, </w:t>
      </w:r>
      <w:r>
        <w:rPr>
          <w:iCs/>
          <w:color w:val="auto"/>
          <w:sz w:val="22"/>
          <w:szCs w:val="22"/>
        </w:rPr>
        <w:t>dla których to działek Sąd Rejonowy w Częstochowie IX Wydział Ksiąg Wieczystych prowadzi Księgę Wieczystą nr</w:t>
      </w:r>
      <w:r>
        <w:rPr>
          <w:b/>
          <w:bCs/>
          <w:iCs/>
          <w:color w:val="auto"/>
          <w:sz w:val="22"/>
          <w:szCs w:val="22"/>
        </w:rPr>
        <w:t xml:space="preserve"> CZ1C/00170837/0, </w:t>
      </w:r>
      <w:r>
        <w:rPr>
          <w:iCs/>
          <w:color w:val="auto"/>
          <w:sz w:val="22"/>
          <w:szCs w:val="22"/>
        </w:rPr>
        <w:t xml:space="preserve">przy czym działka 46/1 zabudowana jest budynkiem mieszkalnym </w:t>
      </w:r>
      <w:r>
        <w:rPr>
          <w:iCs/>
          <w:color w:val="auto"/>
          <w:sz w:val="22"/>
          <w:szCs w:val="22"/>
        </w:rPr>
        <w:br/>
        <w:t>o powierzchni zabudowy 54m</w:t>
      </w:r>
      <w:r>
        <w:rPr>
          <w:iCs/>
          <w:color w:val="auto"/>
          <w:sz w:val="22"/>
          <w:szCs w:val="22"/>
          <w:vertAlign w:val="superscript"/>
        </w:rPr>
        <w:t>2</w:t>
      </w:r>
      <w:r>
        <w:rPr>
          <w:iCs/>
          <w:color w:val="auto"/>
          <w:sz w:val="22"/>
          <w:szCs w:val="22"/>
        </w:rPr>
        <w:t>, murowanym budynkiem gospodarczym o pow. 24m</w:t>
      </w:r>
      <w:r>
        <w:rPr>
          <w:iCs/>
          <w:color w:val="auto"/>
          <w:sz w:val="22"/>
          <w:szCs w:val="22"/>
          <w:vertAlign w:val="superscript"/>
        </w:rPr>
        <w:t xml:space="preserve">2 </w:t>
      </w:r>
      <w:r>
        <w:rPr>
          <w:iCs/>
          <w:color w:val="auto"/>
          <w:sz w:val="22"/>
          <w:szCs w:val="22"/>
        </w:rPr>
        <w:t xml:space="preserve">oraz </w:t>
      </w:r>
      <w:r>
        <w:rPr>
          <w:iCs/>
          <w:color w:val="auto"/>
          <w:sz w:val="22"/>
          <w:szCs w:val="22"/>
        </w:rPr>
        <w:lastRenderedPageBreak/>
        <w:t>drewnianym budyniem gospodarczym. Prawo własności nie zostało do chwili obecnej ujawnione w treści księgi wieczystej, przy czym do przekształcenia prawa użytkowania wieczystego nieruchomości w prawo własności doszło z mocy prawa na podstawie przepisów Ustawy z dnia 20 lipca 2018 r. o przekształceniu prawa użytkowania wieczystego gruntów zabudowanych na cele mieszkaniowe w prawo własności tych gruntów (Dz.U. 2018 poz. 1716)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57" w:line="276" w:lineRule="auto"/>
        <w:jc w:val="both"/>
        <w:rPr>
          <w:b/>
          <w:bCs/>
          <w:sz w:val="22"/>
          <w:szCs w:val="22"/>
        </w:rPr>
      </w:pP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Łączn</w:t>
      </w:r>
      <w:r>
        <w:rPr>
          <w:sz w:val="22"/>
          <w:szCs w:val="22"/>
          <w:u w:val="single"/>
        </w:rPr>
        <w:t>a cena wywoławcza: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49.000,00</w:t>
      </w:r>
      <w:r>
        <w:rPr>
          <w:b/>
          <w:sz w:val="22"/>
          <w:szCs w:val="22"/>
        </w:rPr>
        <w:t xml:space="preserve"> zł netto </w:t>
      </w:r>
      <w:r>
        <w:rPr>
          <w:sz w:val="22"/>
          <w:szCs w:val="22"/>
        </w:rPr>
        <w:t>(słownie: czterdzieści dziewięć tysięcy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Wysokość wadium: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2.450,00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zł netto </w:t>
      </w:r>
      <w:r>
        <w:rPr>
          <w:sz w:val="22"/>
          <w:szCs w:val="22"/>
        </w:rPr>
        <w:t>(słownie: dwa tysiące czterysta pięćdziesiąt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i/>
          <w:iCs/>
          <w:color w:val="auto"/>
          <w:sz w:val="22"/>
          <w:szCs w:val="22"/>
        </w:rPr>
      </w:pPr>
      <w:r>
        <w:rPr>
          <w:sz w:val="22"/>
          <w:szCs w:val="22"/>
          <w:u w:val="single"/>
        </w:rPr>
        <w:t>Postąpienie wynosi: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2.000,00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zł netto </w:t>
      </w:r>
      <w:r>
        <w:rPr>
          <w:sz w:val="22"/>
          <w:szCs w:val="22"/>
        </w:rPr>
        <w:t>(słownie: dwa tysiące złotych, 00/100gr netto)</w:t>
      </w:r>
      <w:r>
        <w:rPr>
          <w:b/>
          <w:bCs/>
          <w:sz w:val="22"/>
          <w:szCs w:val="22"/>
        </w:rPr>
        <w:t xml:space="preserve"> 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120" w:line="276" w:lineRule="auto"/>
        <w:jc w:val="both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Do ceny nabycia zostanie doliczony podatek VAT zgodnie z przepisami obowiązującymi </w:t>
      </w:r>
      <w:r>
        <w:rPr>
          <w:i/>
          <w:iCs/>
          <w:color w:val="auto"/>
          <w:sz w:val="22"/>
          <w:szCs w:val="22"/>
        </w:rPr>
        <w:br/>
        <w:t>w dniu przetargu.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120" w:line="276" w:lineRule="auto"/>
        <w:jc w:val="both"/>
        <w:rPr>
          <w:bCs/>
          <w:sz w:val="22"/>
          <w:szCs w:val="22"/>
        </w:rPr>
      </w:pPr>
    </w:p>
    <w:p w:rsidR="009F7E0A" w:rsidRDefault="009F7E0A" w:rsidP="00C644BB">
      <w:pPr>
        <w:pStyle w:val="Default"/>
        <w:numPr>
          <w:ilvl w:val="0"/>
          <w:numId w:val="3"/>
        </w:numPr>
        <w:shd w:val="clear" w:color="auto" w:fill="FFFFFF"/>
        <w:autoSpaceDE w:val="0"/>
        <w:spacing w:after="57" w:line="276" w:lineRule="auto"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prawo własności niezabudowanej działki 49/4 obręb 379 o powierzchni 0,1640 ha, dla której Sąd Rejonowy w Częstochowie IX Wydział Ksiąg Wieczystych prowadzi Księgę Wieczystą </w:t>
      </w:r>
      <w:r>
        <w:rPr>
          <w:b/>
          <w:bCs/>
          <w:sz w:val="22"/>
          <w:szCs w:val="22"/>
        </w:rPr>
        <w:t>nr CZ1C/00058748/8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57" w:line="276" w:lineRule="auto"/>
        <w:jc w:val="both"/>
        <w:rPr>
          <w:b/>
          <w:bCs/>
          <w:sz w:val="22"/>
          <w:szCs w:val="22"/>
        </w:rPr>
      </w:pP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Łączn</w:t>
      </w:r>
      <w:r>
        <w:rPr>
          <w:sz w:val="22"/>
          <w:szCs w:val="22"/>
          <w:u w:val="single"/>
        </w:rPr>
        <w:t>a cena wywoławcza: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12.000,00 zł netto </w:t>
      </w:r>
      <w:r>
        <w:rPr>
          <w:sz w:val="22"/>
          <w:szCs w:val="22"/>
        </w:rPr>
        <w:t>(słownie: dwanaście tysięcy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Wysokość wadium: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600,00 </w:t>
      </w:r>
      <w:r>
        <w:rPr>
          <w:b/>
          <w:sz w:val="22"/>
          <w:szCs w:val="22"/>
        </w:rPr>
        <w:t xml:space="preserve">zł netto </w:t>
      </w:r>
      <w:r>
        <w:rPr>
          <w:sz w:val="22"/>
          <w:szCs w:val="22"/>
        </w:rPr>
        <w:t>(słownie: sześćset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Postąpienie wynosi: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500,00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zł netto </w:t>
      </w:r>
      <w:r>
        <w:rPr>
          <w:sz w:val="22"/>
          <w:szCs w:val="22"/>
        </w:rPr>
        <w:t>(słownie: pięćset złotych, 00/100gr netto)</w:t>
      </w:r>
      <w:r>
        <w:rPr>
          <w:b/>
          <w:bCs/>
          <w:sz w:val="22"/>
          <w:szCs w:val="22"/>
        </w:rPr>
        <w:t xml:space="preserve"> 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57" w:line="276" w:lineRule="auto"/>
        <w:jc w:val="both"/>
        <w:rPr>
          <w:b/>
          <w:bCs/>
          <w:sz w:val="22"/>
          <w:szCs w:val="22"/>
        </w:rPr>
      </w:pPr>
    </w:p>
    <w:p w:rsidR="009F7E0A" w:rsidRDefault="009F7E0A" w:rsidP="00C644BB">
      <w:pPr>
        <w:pStyle w:val="Default"/>
        <w:numPr>
          <w:ilvl w:val="0"/>
          <w:numId w:val="3"/>
        </w:numPr>
        <w:shd w:val="clear" w:color="auto" w:fill="FFFFFF"/>
        <w:autoSpaceDE w:val="0"/>
        <w:spacing w:after="57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prawo użytkowania wieczystego zabudowanej działki 68 obręb 382 o powierzchni 0,3160 ha, dla której </w:t>
      </w:r>
      <w:r>
        <w:rPr>
          <w:bCs/>
          <w:sz w:val="22"/>
          <w:szCs w:val="22"/>
        </w:rPr>
        <w:t xml:space="preserve">Sąd Rejonowy w Częstochowie IX Wydział Ksiąg Wieczystych prowadzi Księgę Wieczystą </w:t>
      </w:r>
      <w:r>
        <w:rPr>
          <w:b/>
          <w:bCs/>
          <w:sz w:val="22"/>
          <w:szCs w:val="22"/>
        </w:rPr>
        <w:t xml:space="preserve">nr CZ1C/00172800/6, </w:t>
      </w:r>
      <w:r>
        <w:rPr>
          <w:bCs/>
          <w:sz w:val="22"/>
          <w:szCs w:val="22"/>
        </w:rPr>
        <w:t>wraz z prawem własności budynków i budowli posadowionych na działce</w:t>
      </w:r>
    </w:p>
    <w:p w:rsidR="009F7E0A" w:rsidRDefault="009F7E0A" w:rsidP="009F7E0A">
      <w:pPr>
        <w:pStyle w:val="Default"/>
        <w:shd w:val="clear" w:color="auto" w:fill="FFFFFF"/>
        <w:autoSpaceDE w:val="0"/>
        <w:spacing w:after="57" w:line="276" w:lineRule="auto"/>
        <w:jc w:val="both"/>
        <w:rPr>
          <w:b/>
          <w:bCs/>
          <w:sz w:val="22"/>
          <w:szCs w:val="22"/>
        </w:rPr>
      </w:pP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Łączn</w:t>
      </w:r>
      <w:r>
        <w:rPr>
          <w:sz w:val="22"/>
          <w:szCs w:val="22"/>
          <w:u w:val="single"/>
        </w:rPr>
        <w:t>a cena wywoławcza: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73.000,00 zł netto </w:t>
      </w:r>
      <w:r>
        <w:rPr>
          <w:sz w:val="22"/>
          <w:szCs w:val="22"/>
        </w:rPr>
        <w:t>(słownie: siedemdziesiąt trzy tysiące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Wysokość wadium: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3.650,00 </w:t>
      </w:r>
      <w:r>
        <w:rPr>
          <w:b/>
          <w:sz w:val="22"/>
          <w:szCs w:val="22"/>
        </w:rPr>
        <w:t xml:space="preserve">zł netto </w:t>
      </w:r>
      <w:r>
        <w:rPr>
          <w:sz w:val="22"/>
          <w:szCs w:val="22"/>
        </w:rPr>
        <w:t>(słownie: trzy tysiące sześćset pięćdziesiąt złotych, 00/100gr netto)</w:t>
      </w:r>
    </w:p>
    <w:p w:rsidR="009F7E0A" w:rsidRDefault="009F7E0A" w:rsidP="009F7E0A">
      <w:pPr>
        <w:pStyle w:val="Default"/>
        <w:shd w:val="clear" w:color="auto" w:fill="FFFFFF"/>
        <w:spacing w:after="120"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  <w:u w:val="single"/>
        </w:rPr>
        <w:t>Postąpienie wynosi: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3.000,00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zł netto </w:t>
      </w:r>
      <w:r>
        <w:rPr>
          <w:sz w:val="22"/>
          <w:szCs w:val="22"/>
        </w:rPr>
        <w:t>(słownie: trzy tysiące złotych, 00/100gr netto)</w:t>
      </w:r>
      <w:r>
        <w:rPr>
          <w:b/>
          <w:bCs/>
          <w:sz w:val="22"/>
          <w:szCs w:val="22"/>
        </w:rPr>
        <w:t xml:space="preserve"> </w:t>
      </w:r>
    </w:p>
    <w:p w:rsidR="00090732" w:rsidRDefault="00090732">
      <w:pPr>
        <w:pStyle w:val="Default"/>
        <w:shd w:val="clear" w:color="auto" w:fill="FFFFFF"/>
        <w:autoSpaceDE w:val="0"/>
        <w:spacing w:after="57" w:line="276" w:lineRule="auto"/>
        <w:ind w:left="360"/>
        <w:jc w:val="both"/>
        <w:rPr>
          <w:b/>
          <w:bCs/>
          <w:sz w:val="22"/>
          <w:szCs w:val="22"/>
        </w:rPr>
      </w:pPr>
    </w:p>
    <w:p w:rsidR="009F7E0A" w:rsidRDefault="00090732" w:rsidP="009F7E0A">
      <w:pPr>
        <w:pStyle w:val="Default"/>
        <w:shd w:val="clear" w:color="auto" w:fill="FFFFFF"/>
        <w:autoSpaceDE w:val="0"/>
        <w:spacing w:after="57" w:line="276" w:lineRule="auto"/>
        <w:jc w:val="both"/>
      </w:pPr>
      <w:r>
        <w:rPr>
          <w:sz w:val="22"/>
          <w:szCs w:val="22"/>
        </w:rPr>
        <w:t>Przetarg</w:t>
      </w:r>
      <w:r w:rsidR="009F7E0A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9F7E0A">
        <w:rPr>
          <w:sz w:val="22"/>
          <w:szCs w:val="22"/>
        </w:rPr>
        <w:t xml:space="preserve">ustne </w:t>
      </w:r>
      <w:r>
        <w:rPr>
          <w:sz w:val="22"/>
          <w:szCs w:val="22"/>
        </w:rPr>
        <w:t xml:space="preserve">w drodze publicznej licytacji prowadzone przez Spółkę rozpoczną się </w:t>
      </w:r>
      <w:r>
        <w:rPr>
          <w:sz w:val="22"/>
          <w:szCs w:val="22"/>
        </w:rPr>
        <w:br/>
      </w:r>
      <w:r w:rsidRPr="00E719A2">
        <w:rPr>
          <w:b/>
          <w:sz w:val="22"/>
          <w:szCs w:val="22"/>
        </w:rPr>
        <w:t>o godzinie 10</w:t>
      </w:r>
      <w:r w:rsidRPr="00E719A2">
        <w:rPr>
          <w:b/>
          <w:sz w:val="22"/>
          <w:szCs w:val="22"/>
          <w:u w:val="single"/>
          <w:vertAlign w:val="superscript"/>
        </w:rPr>
        <w:t>00</w:t>
      </w:r>
      <w:r w:rsidRPr="00E719A2">
        <w:rPr>
          <w:b/>
          <w:sz w:val="22"/>
          <w:szCs w:val="22"/>
        </w:rPr>
        <w:t xml:space="preserve"> w dniu </w:t>
      </w:r>
      <w:r w:rsidR="00E719A2" w:rsidRPr="00E719A2">
        <w:rPr>
          <w:b/>
          <w:sz w:val="22"/>
          <w:szCs w:val="22"/>
        </w:rPr>
        <w:t>28</w:t>
      </w:r>
      <w:r w:rsidR="00E719A2">
        <w:rPr>
          <w:b/>
          <w:sz w:val="22"/>
          <w:szCs w:val="22"/>
        </w:rPr>
        <w:t xml:space="preserve"> </w:t>
      </w:r>
      <w:r w:rsidRPr="00E719A2">
        <w:rPr>
          <w:b/>
          <w:sz w:val="22"/>
          <w:szCs w:val="22"/>
        </w:rPr>
        <w:t>listopada</w:t>
      </w:r>
      <w:r>
        <w:rPr>
          <w:b/>
          <w:sz w:val="22"/>
          <w:szCs w:val="22"/>
        </w:rPr>
        <w:t xml:space="preserve"> 2019</w:t>
      </w:r>
      <w:r>
        <w:rPr>
          <w:sz w:val="22"/>
          <w:szCs w:val="22"/>
        </w:rPr>
        <w:t xml:space="preserve"> r</w:t>
      </w:r>
      <w:r w:rsidR="009F7E0A">
        <w:rPr>
          <w:sz w:val="22"/>
          <w:szCs w:val="22"/>
        </w:rPr>
        <w:t>oku w sali konferencyjnej Regionalnego Funduszu Gospodarczego S.A. w Częstochowie Al. Pokoju 44, II piętro, segment CD. Kolejność prezentowanych ofert zgodna z treścią ogłoszenia:</w:t>
      </w:r>
    </w:p>
    <w:p w:rsidR="009F7E0A" w:rsidRDefault="009F7E0A" w:rsidP="009F7E0A">
      <w:pPr>
        <w:spacing w:after="0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a) pkt 1. wyznaczony zostaje na godzinę </w:t>
      </w:r>
      <w:r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  <w:u w:val="single"/>
          <w:vertAlign w:val="superscript"/>
        </w:rPr>
        <w:t>00</w:t>
      </w:r>
    </w:p>
    <w:p w:rsidR="009F7E0A" w:rsidRDefault="009F7E0A" w:rsidP="009F7E0A">
      <w:pPr>
        <w:spacing w:after="0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pkt 2. wyznaczony zostaje na godzinę 10 </w:t>
      </w:r>
      <w:r>
        <w:rPr>
          <w:rFonts w:ascii="Arial" w:hAnsi="Arial" w:cs="Arial"/>
          <w:color w:val="000000"/>
          <w:u w:val="single"/>
          <w:vertAlign w:val="superscript"/>
        </w:rPr>
        <w:t>20</w:t>
      </w:r>
    </w:p>
    <w:p w:rsidR="009F7E0A" w:rsidRDefault="009F7E0A" w:rsidP="009F7E0A">
      <w:pPr>
        <w:spacing w:after="0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pkt 3. wyznaczony zostaje na godzinę 10 </w:t>
      </w:r>
      <w:r>
        <w:rPr>
          <w:rFonts w:ascii="Arial" w:hAnsi="Arial" w:cs="Arial"/>
          <w:color w:val="000000"/>
          <w:vertAlign w:val="superscript"/>
        </w:rPr>
        <w:t>40</w:t>
      </w:r>
    </w:p>
    <w:p w:rsidR="009F7E0A" w:rsidRDefault="009F7E0A" w:rsidP="009F7E0A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d) pkt 4. wyznaczony zostaje na godzinę 11 </w:t>
      </w:r>
      <w:r>
        <w:rPr>
          <w:rFonts w:ascii="Arial" w:hAnsi="Arial" w:cs="Arial"/>
          <w:color w:val="000000"/>
          <w:vertAlign w:val="superscript"/>
        </w:rPr>
        <w:t>00</w:t>
      </w:r>
    </w:p>
    <w:p w:rsidR="009F7E0A" w:rsidRDefault="009F7E0A" w:rsidP="009F7E0A">
      <w:pPr>
        <w:spacing w:after="0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e) pkt 5. wyznaczony zostaje na godzinę </w:t>
      </w:r>
      <w:r>
        <w:rPr>
          <w:rFonts w:ascii="Arial" w:hAnsi="Arial" w:cs="Arial"/>
          <w:color w:val="000000"/>
        </w:rPr>
        <w:t xml:space="preserve">11 </w:t>
      </w:r>
      <w:r>
        <w:rPr>
          <w:rFonts w:ascii="Arial" w:hAnsi="Arial" w:cs="Arial"/>
          <w:color w:val="000000"/>
          <w:vertAlign w:val="superscript"/>
        </w:rPr>
        <w:t>20</w:t>
      </w:r>
    </w:p>
    <w:p w:rsidR="009F7E0A" w:rsidRDefault="009F7E0A" w:rsidP="009F7E0A">
      <w:pPr>
        <w:spacing w:after="0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f) pkt 6. wyznaczony zostaje na godzinę 11</w:t>
      </w:r>
      <w:r>
        <w:rPr>
          <w:rFonts w:ascii="Arial" w:hAnsi="Arial" w:cs="Arial"/>
          <w:color w:val="000000"/>
          <w:vertAlign w:val="superscript"/>
        </w:rPr>
        <w:t>40</w:t>
      </w:r>
    </w:p>
    <w:p w:rsidR="009F7E0A" w:rsidRDefault="009F7E0A" w:rsidP="009F7E0A">
      <w:pPr>
        <w:spacing w:after="0"/>
        <w:ind w:left="567"/>
        <w:jc w:val="both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color w:val="000000"/>
        </w:rPr>
        <w:t xml:space="preserve">g) pkt 7. wyznaczony zostaje na godzinę 12 </w:t>
      </w:r>
      <w:r>
        <w:rPr>
          <w:rFonts w:ascii="Arial" w:hAnsi="Arial" w:cs="Arial"/>
          <w:color w:val="000000"/>
          <w:vertAlign w:val="superscript"/>
        </w:rPr>
        <w:t>00</w:t>
      </w:r>
    </w:p>
    <w:p w:rsidR="009F7E0A" w:rsidRDefault="009F7E0A">
      <w:pPr>
        <w:pStyle w:val="Default"/>
        <w:shd w:val="clear" w:color="auto" w:fill="FFFFFF"/>
        <w:autoSpaceDE w:val="0"/>
        <w:spacing w:after="57" w:line="276" w:lineRule="auto"/>
        <w:jc w:val="both"/>
        <w:rPr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Dokumenty, o których mowa w pkt. 8 Regulaminu powinny zostać złożone </w:t>
      </w:r>
      <w:r>
        <w:rPr>
          <w:sz w:val="22"/>
          <w:szCs w:val="22"/>
        </w:rPr>
        <w:br/>
        <w:t>w zamkniętych kopertach z napisem:</w:t>
      </w:r>
      <w:r w:rsidRPr="00E719A2">
        <w:rPr>
          <w:sz w:val="22"/>
          <w:szCs w:val="22"/>
        </w:rPr>
        <w:t xml:space="preserve"> </w:t>
      </w:r>
      <w:r w:rsidRPr="00E719A2">
        <w:rPr>
          <w:sz w:val="22"/>
          <w:szCs w:val="22"/>
          <w:u w:val="single"/>
        </w:rPr>
        <w:t xml:space="preserve">„PRZETARG </w:t>
      </w:r>
      <w:r w:rsidR="00E719A2" w:rsidRPr="00E719A2">
        <w:rPr>
          <w:sz w:val="22"/>
          <w:szCs w:val="22"/>
          <w:u w:val="single"/>
        </w:rPr>
        <w:t xml:space="preserve">28 </w:t>
      </w:r>
      <w:r w:rsidRPr="00E719A2">
        <w:rPr>
          <w:sz w:val="22"/>
          <w:szCs w:val="22"/>
          <w:u w:val="single"/>
        </w:rPr>
        <w:t>listopada 2019r”. – do dnia</w:t>
      </w:r>
      <w:r w:rsidR="00E719A2" w:rsidRPr="00E719A2">
        <w:rPr>
          <w:sz w:val="22"/>
          <w:szCs w:val="22"/>
          <w:u w:val="single"/>
        </w:rPr>
        <w:t xml:space="preserve"> 27</w:t>
      </w:r>
      <w:r w:rsidRPr="00E719A2">
        <w:rPr>
          <w:sz w:val="22"/>
          <w:szCs w:val="22"/>
          <w:u w:val="single"/>
        </w:rPr>
        <w:t xml:space="preserve"> listopada 2019 roku do godziny 15</w:t>
      </w:r>
      <w:r w:rsidRPr="00E719A2">
        <w:rPr>
          <w:sz w:val="22"/>
          <w:szCs w:val="22"/>
          <w:u w:val="single"/>
          <w:vertAlign w:val="superscript"/>
        </w:rPr>
        <w:t>00</w:t>
      </w:r>
      <w:r w:rsidRPr="00E719A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w sekretariacie Spółki w Częstochowie Al. Pokoju 44, II piętro, segment CD. Oferty wiążą od dnia ich złożenia, do dnia zakończenia przetargu lub złożenia oświadczenia o ich cofnięciu. W przypadku wysłania oferty pocztą, datą i godziną jej złożenia jest data i godzina wpływu korespondencji do sekretariatu RFG S.A.</w:t>
      </w:r>
    </w:p>
    <w:p w:rsidR="00090732" w:rsidRDefault="00090732">
      <w:pPr>
        <w:pStyle w:val="Default"/>
        <w:spacing w:line="276" w:lineRule="auto"/>
        <w:jc w:val="both"/>
        <w:rPr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Poucza się, iż zgodnie z Regulaminem Przetargu, warunkiem uczestnictwa w przetargu jest uiszczenie w formie pieniężnej wadium w wysokości 5% ceny wywoławczej netto. </w:t>
      </w:r>
    </w:p>
    <w:p w:rsidR="00090732" w:rsidRDefault="00090732">
      <w:pPr>
        <w:pStyle w:val="Default"/>
        <w:spacing w:line="276" w:lineRule="auto"/>
        <w:jc w:val="both"/>
        <w:rPr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 xml:space="preserve">Wadium należy wpłacić na rachunek Spółki nr </w:t>
      </w:r>
      <w:r>
        <w:rPr>
          <w:b/>
          <w:sz w:val="22"/>
          <w:szCs w:val="22"/>
        </w:rPr>
        <w:t>45 1090 2590 0000 0001 3267 5302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>
        <w:rPr>
          <w:sz w:val="22"/>
          <w:szCs w:val="22"/>
          <w:u w:val="single"/>
        </w:rPr>
        <w:t xml:space="preserve">terminie </w:t>
      </w:r>
      <w:r w:rsidRPr="00E719A2">
        <w:rPr>
          <w:sz w:val="22"/>
          <w:szCs w:val="22"/>
          <w:u w:val="single"/>
        </w:rPr>
        <w:t xml:space="preserve">do dnia </w:t>
      </w:r>
      <w:r w:rsidR="00E719A2" w:rsidRPr="00E719A2">
        <w:rPr>
          <w:sz w:val="22"/>
          <w:szCs w:val="22"/>
          <w:u w:val="single"/>
        </w:rPr>
        <w:t xml:space="preserve">27 </w:t>
      </w:r>
      <w:r w:rsidRPr="00E719A2">
        <w:rPr>
          <w:sz w:val="22"/>
          <w:szCs w:val="22"/>
          <w:u w:val="single"/>
        </w:rPr>
        <w:t>listopada 2019 roku do godziny 15</w:t>
      </w:r>
      <w:r w:rsidRPr="00E719A2">
        <w:rPr>
          <w:sz w:val="22"/>
          <w:szCs w:val="22"/>
          <w:u w:val="single"/>
          <w:vertAlign w:val="superscript"/>
        </w:rPr>
        <w:t>00</w:t>
      </w:r>
      <w:r w:rsidRPr="00E719A2">
        <w:rPr>
          <w:sz w:val="22"/>
          <w:szCs w:val="22"/>
          <w:u w:val="single"/>
        </w:rPr>
        <w:t>,</w:t>
      </w:r>
      <w:r w:rsidRPr="00E719A2">
        <w:rPr>
          <w:sz w:val="22"/>
          <w:szCs w:val="22"/>
        </w:rPr>
        <w:t xml:space="preserve"> przy</w:t>
      </w:r>
      <w:r>
        <w:rPr>
          <w:sz w:val="22"/>
          <w:szCs w:val="22"/>
        </w:rPr>
        <w:t xml:space="preserve"> czym datą uiszczenia wadium jest data i godzina uznania rachunku bankowego RFG S.A.</w:t>
      </w: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Poucza się, iż zgodnie z pkt 13 i 16  Regulaminu, wadium przepada na rzecz Spółki, jeżeli żaden z uczestników przetargu nie zaoferuje ceny wywoławczej. Wadia złożone przez oferentów, których oferty nie zostaną przyjęte, zostaną zwrócone </w:t>
      </w:r>
      <w:r>
        <w:rPr>
          <w:sz w:val="22"/>
          <w:szCs w:val="22"/>
        </w:rPr>
        <w:t>- zgodnie z treścią Regulaminu,</w:t>
      </w:r>
      <w:r>
        <w:rPr>
          <w:color w:val="00000A"/>
          <w:sz w:val="22"/>
          <w:szCs w:val="22"/>
        </w:rPr>
        <w:t xml:space="preserve"> a wadium złożone przez nabywcę zostanie zarachowane na poczet ceny. Wadium przepada na rzecz Spółki, jeżeli oferent, którego oferta zostanie przyjęta, uchyli się od zawarcia umowy. </w:t>
      </w: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Spółka, po zakończeniu przetargu, w terminach sprecyzowanych w Regulaminie  zawiadamia osobę, która wygrała przetarg o terminie zawarcia umowy w formie aktu notarialnego, wzywając tę osobę do stawienia się celem zawarcia umowy. </w:t>
      </w: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Poucza się, iż zgodnie z pkt 13 i 16 Regulaminu, nabywca, który w terminie wyznaczonym przez prowadzącego przetarg jednakże nie później niż w chwili podpisania aktu notarialnego, nie uiści ceny nabycia, traci prawa wynikające z przybicia oraz złożone wadium (wadium przepada na rzecz Spółki, jeżeli oferent, którego oferta zostanie przyjęta, uchyli się od zawarcia umowy).</w:t>
      </w: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Przedmiot przetargu można oglądać w terenie oraz zapoznać się z dokumentacją w siedzibie</w:t>
      </w:r>
      <w:r>
        <w:rPr>
          <w:color w:val="00000A"/>
          <w:sz w:val="22"/>
          <w:szCs w:val="22"/>
        </w:rPr>
        <w:t xml:space="preserve"> Regionalnego Funduszu Gospodarczego S. A. w Częstochowie przy Al. Pokoju nr 44, po uprzednim uzgodnieniu terminu, co może nastąpić od dnia publikacji niniejszego ogłoszenia do dnia poprzedzającego dzień wniesienia wadium. Informacji udziela p. Robert </w:t>
      </w:r>
      <w:proofErr w:type="spellStart"/>
      <w:r>
        <w:rPr>
          <w:color w:val="00000A"/>
          <w:sz w:val="22"/>
          <w:szCs w:val="22"/>
        </w:rPr>
        <w:t>Leciński</w:t>
      </w:r>
      <w:proofErr w:type="spellEnd"/>
      <w:r>
        <w:rPr>
          <w:color w:val="00000A"/>
          <w:sz w:val="22"/>
          <w:szCs w:val="22"/>
        </w:rPr>
        <w:t xml:space="preserve">, tel. 34/363 91 18, </w:t>
      </w:r>
      <w:r>
        <w:rPr>
          <w:sz w:val="22"/>
          <w:szCs w:val="22"/>
        </w:rPr>
        <w:t>795 421 674</w:t>
      </w:r>
      <w:r>
        <w:rPr>
          <w:color w:val="00000A"/>
          <w:sz w:val="22"/>
          <w:szCs w:val="22"/>
        </w:rPr>
        <w:t>.</w:t>
      </w: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Z Regulaminem Przetargu można zapoznać się w dniach od poniedziałku do piątku w godz. od 8:00 do 16:00 w siedzibie Regionalnego Funduszu Gospodarczego S. A. w Częstochowie przy Al. Pokoju nr 44. Dodatkowych informacji udziela p. Robert </w:t>
      </w:r>
      <w:proofErr w:type="spellStart"/>
      <w:r>
        <w:rPr>
          <w:color w:val="00000A"/>
          <w:sz w:val="22"/>
          <w:szCs w:val="22"/>
        </w:rPr>
        <w:t>Leciński</w:t>
      </w:r>
      <w:proofErr w:type="spellEnd"/>
      <w:r>
        <w:rPr>
          <w:color w:val="00000A"/>
          <w:sz w:val="22"/>
          <w:szCs w:val="22"/>
        </w:rPr>
        <w:t xml:space="preserve"> w siedzibie Spółki oraz pod numerem tel. 34/363 91 18, </w:t>
      </w:r>
      <w:r>
        <w:rPr>
          <w:sz w:val="22"/>
          <w:szCs w:val="22"/>
        </w:rPr>
        <w:t>795 421 674</w:t>
      </w:r>
      <w:r>
        <w:rPr>
          <w:color w:val="00000A"/>
          <w:sz w:val="22"/>
          <w:szCs w:val="22"/>
        </w:rPr>
        <w:t>.</w:t>
      </w: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Postępowanie zostanie przeprowadzone zgodnie z Regulaminem Przetargu dostępnym </w:t>
      </w:r>
      <w:r>
        <w:rPr>
          <w:color w:val="00000A"/>
          <w:sz w:val="22"/>
          <w:szCs w:val="22"/>
        </w:rPr>
        <w:br/>
        <w:t xml:space="preserve">w siedzibie Spółki oraz na stronie internetowej. </w:t>
      </w: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 xml:space="preserve">Regionalny Fundusz Gospodarczy S.A. zastrzega sobie prawo do odwołania przetargu </w:t>
      </w:r>
      <w:r>
        <w:rPr>
          <w:sz w:val="22"/>
          <w:szCs w:val="22"/>
        </w:rPr>
        <w:br/>
      </w:r>
      <w:r>
        <w:rPr>
          <w:color w:val="00000A"/>
          <w:sz w:val="22"/>
          <w:szCs w:val="22"/>
        </w:rPr>
        <w:t>w każdym czasie, w odniesieniu do wszystkich lub niektórych składników aktywów trwałych wymienionych w niniejszym regulaminie, bez podania przyczyn.</w:t>
      </w:r>
      <w:r>
        <w:rPr>
          <w:sz w:val="22"/>
          <w:szCs w:val="22"/>
        </w:rPr>
        <w:t xml:space="preserve"> W przypadku takim oferentowi nie przysługują roszczenia o naprawienie potencjalnej szkody.</w:t>
      </w: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</w:pPr>
      <w:r>
        <w:rPr>
          <w:color w:val="00000A"/>
          <w:sz w:val="22"/>
          <w:szCs w:val="22"/>
        </w:rPr>
        <w:t>W przetargu jako oferenci nie mogą uczestniczyć</w:t>
      </w:r>
      <w:r>
        <w:rPr>
          <w:sz w:val="22"/>
          <w:szCs w:val="22"/>
        </w:rPr>
        <w:t>:</w:t>
      </w:r>
    </w:p>
    <w:p w:rsidR="00090732" w:rsidRDefault="00090732">
      <w:pPr>
        <w:pStyle w:val="Bezodstpw1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a) członkowie Zarządu oraz Rady Nadzorczej Spółki</w:t>
      </w:r>
    </w:p>
    <w:p w:rsidR="00090732" w:rsidRDefault="00090732">
      <w:pPr>
        <w:pStyle w:val="Bezodstpw1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podmiot gospodarczy prowadzący przetarg oraz członkowie jego Zarządu </w:t>
      </w:r>
    </w:p>
    <w:p w:rsidR="00090732" w:rsidRDefault="00090732">
      <w:pPr>
        <w:pStyle w:val="Bezodstpw1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osoby, którym powierzono wykonanie czynności związanych z przeprowadzeniem przetargu, </w:t>
      </w:r>
    </w:p>
    <w:p w:rsidR="00090732" w:rsidRDefault="00090732">
      <w:pPr>
        <w:pStyle w:val="Bezodstpw1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d) małżonek, dzieci, rodzice i rodzeństwo osób, o których mowa w pkt. a)-c),</w:t>
      </w:r>
    </w:p>
    <w:p w:rsidR="00090732" w:rsidRDefault="00090732">
      <w:pPr>
        <w:pStyle w:val="Bezodstpw1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e) osoby, które pozostają z prowadzącym przetarg w takim stosunku prawnym lub faktycznym, że może to budzić uzasadnione wątpliwości co do bezstronności prowadzącego przetarg.</w:t>
      </w:r>
    </w:p>
    <w:p w:rsidR="00090732" w:rsidRDefault="00090732">
      <w:pPr>
        <w:pStyle w:val="Tekstpodstawowywcity"/>
        <w:spacing w:before="240" w:after="0"/>
        <w:ind w:left="0" w:firstLine="0"/>
        <w:rPr>
          <w:color w:val="00000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Regionalny Fundusz Gospodarczy S.A ma prawo zamknięcia przetargu bez wybrania którejkolwiek z ofert – </w:t>
      </w:r>
      <w:r>
        <w:rPr>
          <w:rFonts w:ascii="Arial" w:hAnsi="Arial" w:cs="Arial"/>
          <w:b/>
          <w:sz w:val="22"/>
          <w:szCs w:val="22"/>
        </w:rPr>
        <w:t>bez podania przyczyny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</w:p>
    <w:p w:rsidR="00090732" w:rsidRDefault="00090732">
      <w:pPr>
        <w:pStyle w:val="Default"/>
        <w:spacing w:line="276" w:lineRule="auto"/>
        <w:jc w:val="both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Poprzez uiszczenie wadium oferent oświadcza, że zapoznał się z Regulaminem i dokument ten akceptuje bez zastrzeżeń.</w:t>
      </w:r>
    </w:p>
    <w:p w:rsidR="00090732" w:rsidRDefault="00090732">
      <w:pPr>
        <w:pStyle w:val="Default"/>
        <w:spacing w:line="276" w:lineRule="auto"/>
        <w:jc w:val="both"/>
      </w:pPr>
      <w:r>
        <w:rPr>
          <w:color w:val="00000A"/>
          <w:sz w:val="22"/>
          <w:szCs w:val="22"/>
        </w:rPr>
        <w:t xml:space="preserve">Regulamin oraz oświadczenia dostępne na stronie Spółki </w:t>
      </w:r>
      <w:hyperlink r:id="rId5" w:history="1">
        <w:r>
          <w:rPr>
            <w:rStyle w:val="Hipercze"/>
            <w:sz w:val="22"/>
            <w:szCs w:val="22"/>
          </w:rPr>
          <w:t>www.rfgsa.pl</w:t>
        </w:r>
      </w:hyperlink>
      <w:r>
        <w:rPr>
          <w:color w:val="00000A"/>
          <w:sz w:val="22"/>
          <w:szCs w:val="22"/>
        </w:rPr>
        <w:t xml:space="preserve"> </w:t>
      </w:r>
    </w:p>
    <w:sectPr w:rsidR="00090732">
      <w:pgSz w:w="11906" w:h="16838"/>
      <w:pgMar w:top="1134" w:right="1274" w:bottom="1135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outhernp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  <w:shd w:val="clear" w:color="auto" w:fill="FFFF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FE5923"/>
    <w:multiLevelType w:val="hybridMultilevel"/>
    <w:tmpl w:val="023AB7CC"/>
    <w:lvl w:ilvl="0" w:tplc="A016F1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A2"/>
    <w:rsid w:val="00090732"/>
    <w:rsid w:val="008D125A"/>
    <w:rsid w:val="009F7E0A"/>
    <w:rsid w:val="00C644BB"/>
    <w:rsid w:val="00D40692"/>
    <w:rsid w:val="00E7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241F4B-59F6-4D26-96FB-97836AAF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Cs/>
      <w:color w:val="00000A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 w:val="0"/>
      <w:bCs w:val="0"/>
      <w:i w:val="0"/>
      <w:iCs/>
      <w:color w:val="000000"/>
      <w:sz w:val="24"/>
      <w:szCs w:val="22"/>
      <w:shd w:val="clear" w:color="auto" w:fil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/>
      <w:bCs/>
      <w:sz w:val="22"/>
      <w:szCs w:val="22"/>
    </w:rPr>
  </w:style>
  <w:style w:type="character" w:customStyle="1" w:styleId="WW8Num3z1">
    <w:name w:val="WW8Num3z1"/>
    <w:rPr>
      <w:b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bCs/>
      <w:i w:val="0"/>
      <w:iCs/>
      <w:caps w:val="0"/>
      <w:smallCaps w:val="0"/>
      <w:color w:val="00000A"/>
      <w:spacing w:val="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  <w:shd w:val="clear" w:color="auto" w:fill="FFFF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6z0">
    <w:name w:val="WW8Num6z0"/>
    <w:rPr>
      <w:b w:val="0"/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 w:val="0"/>
      <w:sz w:val="22"/>
      <w:szCs w:val="22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0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ListLabel1">
    <w:name w:val="ListLabel 1"/>
    <w:rPr>
      <w:b/>
      <w:bCs/>
      <w:color w:val="00000A"/>
      <w:sz w:val="22"/>
      <w:szCs w:val="22"/>
    </w:rPr>
  </w:style>
  <w:style w:type="character" w:customStyle="1" w:styleId="ListLabel2">
    <w:name w:val="ListLabel 2"/>
    <w:rPr>
      <w:rFonts w:cs="Arial"/>
      <w:b w:val="0"/>
      <w:bCs/>
      <w:i w:val="0"/>
      <w:sz w:val="24"/>
      <w:lang w:val="pl-PL"/>
    </w:rPr>
  </w:style>
  <w:style w:type="character" w:customStyle="1" w:styleId="TekstdymkaZnak1">
    <w:name w:val="Tekst dymka Znak1"/>
    <w:rPr>
      <w:rFonts w:ascii="Tahoma" w:eastAsia="Calibri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TematkomentarzaZnak1">
    <w:name w:val="Temat komentarza Znak1"/>
    <w:rPr>
      <w:rFonts w:ascii="Calibri" w:eastAsia="Calibri" w:hAnsi="Calibri" w:cs="Calibri"/>
      <w:b/>
      <w:bCs/>
    </w:rPr>
  </w:style>
  <w:style w:type="character" w:customStyle="1" w:styleId="Znakinumeracji">
    <w:name w:val="Znaki numeracji"/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">
    <w:name w:val="Nagłówek3"/>
    <w:basedOn w:val="Normaln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podstawowywcity">
    <w:name w:val="Body Text Indent"/>
    <w:basedOn w:val="Normalny"/>
    <w:pPr>
      <w:ind w:left="709" w:hanging="283"/>
      <w:jc w:val="both"/>
    </w:pPr>
    <w:rPr>
      <w:rFonts w:ascii="Southernpl" w:hAnsi="Southernpl" w:cs="Southernpl"/>
      <w:sz w:val="26"/>
      <w:szCs w:val="20"/>
    </w:rPr>
  </w:style>
  <w:style w:type="paragraph" w:customStyle="1" w:styleId="Bezodstpw1">
    <w:name w:val="Bez odstępów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Tematkomentarza">
    <w:name w:val="annotation subject"/>
    <w:basedOn w:val="Tekstkomentarza2"/>
    <w:next w:val="Tekstkomentarz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fgs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http://www.rfgsa.pl/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anna.hadrys</dc:creator>
  <cp:keywords/>
  <cp:lastModifiedBy>Kusio Tomasz</cp:lastModifiedBy>
  <cp:revision>3</cp:revision>
  <cp:lastPrinted>2019-11-12T08:05:00Z</cp:lastPrinted>
  <dcterms:created xsi:type="dcterms:W3CDTF">2019-11-12T12:08:00Z</dcterms:created>
  <dcterms:modified xsi:type="dcterms:W3CDTF">2019-11-12T12:08:00Z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