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CD2" w:rsidRPr="00394CD2" w:rsidRDefault="00394CD2" w:rsidP="00394CD2">
      <w:pPr>
        <w:jc w:val="both"/>
        <w:rPr>
          <w:rFonts w:ascii="Times New Roman" w:hAnsi="Times New Roman" w:cs="Times New Roman"/>
          <w:bCs/>
          <w:color w:val="000000" w:themeColor="text1"/>
        </w:rPr>
      </w:pPr>
      <w:r w:rsidRPr="00394CD2">
        <w:rPr>
          <w:rFonts w:ascii="Times New Roman" w:hAnsi="Times New Roman" w:cs="Times New Roman"/>
          <w:bCs/>
          <w:color w:val="000000" w:themeColor="text1"/>
        </w:rPr>
        <w:t>Załącznik B.102</w:t>
      </w:r>
    </w:p>
    <w:p w:rsidR="00BC62B0" w:rsidRPr="007A794F" w:rsidRDefault="00BC62B0" w:rsidP="00394CD2">
      <w:pPr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</w:pPr>
      <w:r w:rsidRPr="007A794F"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t xml:space="preserve">LECZENIE </w:t>
      </w:r>
      <w:r w:rsidR="00F526B3" w:rsidRPr="007A794F"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t>RDZENIOWEGO ZANIKU MIĘŚNI (</w:t>
      </w:r>
      <w:r w:rsidRPr="007A794F"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t>ICD-10</w:t>
      </w:r>
      <w:r w:rsidR="00F526B3" w:rsidRPr="007A794F"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t xml:space="preserve">: </w:t>
      </w:r>
      <w:r w:rsidR="00B74059" w:rsidRPr="007A794F"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t>G12.0, G12.1</w:t>
      </w:r>
      <w:r w:rsidRPr="007A794F"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t>)</w:t>
      </w: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75"/>
        <w:gridCol w:w="4201"/>
        <w:gridCol w:w="5512"/>
      </w:tblGrid>
      <w:tr w:rsidR="007A794F" w:rsidRPr="00394CD2" w:rsidTr="00394CD2">
        <w:tc>
          <w:tcPr>
            <w:tcW w:w="5000" w:type="pct"/>
            <w:gridSpan w:val="3"/>
            <w:vAlign w:val="center"/>
          </w:tcPr>
          <w:p w:rsidR="00BC62B0" w:rsidRPr="00394CD2" w:rsidRDefault="00BC62B0" w:rsidP="00394C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94CD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ZAKRES ŚWIADCZENIA GWARANTOWANEGO</w:t>
            </w:r>
          </w:p>
        </w:tc>
      </w:tr>
      <w:tr w:rsidR="007A794F" w:rsidRPr="00394CD2" w:rsidTr="00394CD2">
        <w:tc>
          <w:tcPr>
            <w:tcW w:w="1844" w:type="pct"/>
            <w:vAlign w:val="center"/>
          </w:tcPr>
          <w:p w:rsidR="00BC62B0" w:rsidRPr="00394CD2" w:rsidRDefault="00BC62B0" w:rsidP="00394C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94CD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ŚWIADCZENIOBIORCY</w:t>
            </w:r>
          </w:p>
        </w:tc>
        <w:tc>
          <w:tcPr>
            <w:tcW w:w="1365" w:type="pct"/>
            <w:vAlign w:val="center"/>
          </w:tcPr>
          <w:p w:rsidR="00BC62B0" w:rsidRPr="00394CD2" w:rsidRDefault="00BC62B0" w:rsidP="00394C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94CD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SCHEMAT DAWKOWANIA LEKÓW W</w:t>
            </w:r>
            <w:r w:rsidR="00E053BC" w:rsidRPr="00394CD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  <w:r w:rsidRPr="00394CD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PROGRAMIE</w:t>
            </w:r>
          </w:p>
        </w:tc>
        <w:tc>
          <w:tcPr>
            <w:tcW w:w="1791" w:type="pct"/>
            <w:tcBorders>
              <w:right w:val="single" w:sz="4" w:space="0" w:color="auto"/>
            </w:tcBorders>
            <w:vAlign w:val="center"/>
          </w:tcPr>
          <w:p w:rsidR="00BC62B0" w:rsidRPr="00394CD2" w:rsidRDefault="00BC62B0" w:rsidP="00394C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94CD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BADANIA DIAGNOSTYCZNE </w:t>
            </w:r>
            <w:r w:rsidR="00047F48" w:rsidRPr="00394CD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WYKONYWANE W </w:t>
            </w:r>
            <w:r w:rsidRPr="00394CD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RAMACH PROGRAMU</w:t>
            </w:r>
          </w:p>
        </w:tc>
      </w:tr>
      <w:tr w:rsidR="007A794F" w:rsidRPr="00394CD2" w:rsidTr="00394CD2">
        <w:trPr>
          <w:trHeight w:val="4954"/>
        </w:trPr>
        <w:tc>
          <w:tcPr>
            <w:tcW w:w="1844" w:type="pct"/>
          </w:tcPr>
          <w:p w:rsidR="0061414E" w:rsidRPr="00394CD2" w:rsidRDefault="0061414E" w:rsidP="00394CD2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94C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Kwalifikacji świadczeniobiorców do terapii dokonuje Zespół Koordynujący ds. kwalifikacji i weryfikacji leczenia w programie leczenia rdzeniowego zaniku mięśni.</w:t>
            </w:r>
          </w:p>
          <w:p w:rsidR="00BC62B0" w:rsidRPr="00394CD2" w:rsidRDefault="00BC62B0" w:rsidP="00394CD2">
            <w:pPr>
              <w:spacing w:before="120" w:after="12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94CD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1. Kryteria kwalifikacji:</w:t>
            </w:r>
          </w:p>
          <w:p w:rsidR="00FD382D" w:rsidRPr="00394CD2" w:rsidRDefault="00BC62B0" w:rsidP="00394CD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394C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1.1. </w:t>
            </w:r>
            <w:r w:rsidR="009C5735" w:rsidRPr="00394C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</w:t>
            </w:r>
            <w:r w:rsidRPr="00394C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 </w:t>
            </w:r>
            <w:r w:rsidRPr="00394CD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leczenia nusinersen</w:t>
            </w:r>
            <w:r w:rsidR="00822A21" w:rsidRPr="00394CD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em</w:t>
            </w:r>
            <w:r w:rsidRPr="00394CD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kwalifikowani są </w:t>
            </w:r>
            <w:r w:rsidR="00FC05B4" w:rsidRPr="00394CD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przedobjawowi i </w:t>
            </w:r>
            <w:r w:rsidR="00847EEA" w:rsidRPr="00394CD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objawowi </w:t>
            </w:r>
            <w:r w:rsidRPr="00394CD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pacjenci</w:t>
            </w:r>
            <w:r w:rsidR="002207D0" w:rsidRPr="00394CD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27207C" w:rsidRPr="00394CD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z </w:t>
            </w:r>
            <w:r w:rsidR="00206911" w:rsidRPr="00394CD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ro</w:t>
            </w:r>
            <w:r w:rsidRPr="00394CD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zpoznanie</w:t>
            </w:r>
            <w:r w:rsidR="0027207C" w:rsidRPr="00394CD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m</w:t>
            </w:r>
            <w:r w:rsidRPr="00394CD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rdzeniowego zaniku mięśni 5q potwierdzonego badaniem genetycznym</w:t>
            </w:r>
            <w:r w:rsidR="00B66CEB" w:rsidRPr="00394CD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.</w:t>
            </w:r>
            <w:r w:rsidR="0027207C" w:rsidRPr="00394CD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 </w:t>
            </w:r>
          </w:p>
          <w:p w:rsidR="00BC62B0" w:rsidRPr="00394CD2" w:rsidRDefault="00BC62B0" w:rsidP="00394CD2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4C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1.2. w celu zapewnienia kontynuacji terapii </w:t>
            </w:r>
            <w:r w:rsidR="009C5735" w:rsidRPr="00394C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 programu</w:t>
            </w:r>
            <w:r w:rsidR="00822A21" w:rsidRPr="00394C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lekowego</w:t>
            </w:r>
            <w:r w:rsidR="009C5735" w:rsidRPr="00394C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kwalifikowani są </w:t>
            </w:r>
            <w:r w:rsidRPr="00394C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również pacjenci uprzednio leczeni nusinersenem w ramach innego sposobu finansowania terapii, </w:t>
            </w:r>
            <w:r w:rsidR="00742CF6" w:rsidRPr="00394C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</w:t>
            </w:r>
            <w:r w:rsidR="009C5735" w:rsidRPr="00394C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</w:t>
            </w:r>
            <w:r w:rsidR="00742CF6" w:rsidRPr="00394C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warunkiem, że</w:t>
            </w:r>
            <w:r w:rsidRPr="00394C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na dzień rozpoczęcia terapii</w:t>
            </w:r>
            <w:r w:rsidR="00D72DD8" w:rsidRPr="00394C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mieli rozpoznanie rdzeniowego zaniku mięśni 5q potwierdzone badaniem genetycznym o</w:t>
            </w:r>
            <w:r w:rsidRPr="00394C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raz jedno</w:t>
            </w:r>
            <w:r w:rsidR="00A46912" w:rsidRPr="00394C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cześnie nie spełniali kryteriów</w:t>
            </w:r>
            <w:r w:rsidR="00206911" w:rsidRPr="00394C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655959" w:rsidRPr="00394C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wyłączenia z programu </w:t>
            </w:r>
            <w:r w:rsidR="00822A21" w:rsidRPr="00394C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określonych w ust. </w:t>
            </w:r>
            <w:r w:rsidRPr="00394C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B74059" w:rsidRPr="00394C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BC62B0" w:rsidRPr="00394CD2" w:rsidRDefault="00BC62B0" w:rsidP="00394CD2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94CD2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0"/>
                <w:szCs w:val="20"/>
              </w:rPr>
              <w:t>2. Określenie czasu leczenia w programie</w:t>
            </w:r>
            <w:r w:rsidR="006F2A96" w:rsidRPr="00394CD2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0"/>
                <w:szCs w:val="20"/>
              </w:rPr>
              <w:t>:</w:t>
            </w:r>
          </w:p>
          <w:p w:rsidR="004C46E8" w:rsidRPr="00394CD2" w:rsidRDefault="004C46E8" w:rsidP="00394CD2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4C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Leczenie powinno być stosowane tak długo jak osiągana jest skuteczność kliniczna oraz nie wystąpią kryteria wyłączenia.</w:t>
            </w:r>
          </w:p>
          <w:p w:rsidR="004C46E8" w:rsidRPr="00394CD2" w:rsidRDefault="004C46E8" w:rsidP="00394CD2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4C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Łączny czas leczenia pacjenta nusinersenem zależy od decyzji lekarza prowadzącego.</w:t>
            </w:r>
          </w:p>
          <w:p w:rsidR="00A46912" w:rsidRPr="00394CD2" w:rsidRDefault="00A46912" w:rsidP="00394CD2">
            <w:pPr>
              <w:spacing w:before="120" w:after="1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4C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Po </w:t>
            </w:r>
            <w:r w:rsidR="009A169F" w:rsidRPr="00394C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podaniu 6 dawki</w:t>
            </w:r>
            <w:r w:rsidR="00EF6A8A" w:rsidRPr="00394C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niezależnie od mechanizmu finansowania </w:t>
            </w:r>
            <w:r w:rsidR="00F712B7" w:rsidRPr="00394C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terapii </w:t>
            </w:r>
            <w:r w:rsidR="00EF6A8A" w:rsidRPr="00394C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 jakim to nastąpiło</w:t>
            </w:r>
            <w:r w:rsidRPr="00394C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a następnie </w:t>
            </w:r>
            <w:r w:rsidR="00EE1F98" w:rsidRPr="00394C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przed podaniem każdej kolejnej dawki </w:t>
            </w:r>
            <w:r w:rsidR="0048356B" w:rsidRPr="00394C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przeprowadza się</w:t>
            </w:r>
            <w:r w:rsidRPr="00394C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48356B" w:rsidRPr="00394C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ocenę skuteczności leczenia.</w:t>
            </w:r>
          </w:p>
          <w:p w:rsidR="004C46E8" w:rsidRPr="00394CD2" w:rsidRDefault="004C46E8" w:rsidP="00394CD2">
            <w:pPr>
              <w:spacing w:before="120" w:after="1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4C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Po ukończeniu 18 r.ż. nie ma konieczności ponownej kwalifikacji pacjenta do programu po przeniesieniu leczenia do ośrodka dla </w:t>
            </w:r>
            <w:r w:rsidRPr="00394C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dorosłych.</w:t>
            </w:r>
            <w:r w:rsidR="00772CE1" w:rsidRPr="00394C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Leczenie powinno być kontynuowane w ośrodku dla dorosłych  tak długo jak osiągana jest skuteczność kliniczna oraz nie wystąpią kryteria wyłączenia.</w:t>
            </w:r>
          </w:p>
          <w:p w:rsidR="004C46E8" w:rsidRPr="00394CD2" w:rsidRDefault="004C46E8" w:rsidP="00394CD2">
            <w:pPr>
              <w:spacing w:before="120" w:after="1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C62B0" w:rsidRPr="00394CD2" w:rsidRDefault="00F764C8" w:rsidP="00394CD2">
            <w:pPr>
              <w:spacing w:before="120" w:after="120"/>
              <w:ind w:left="357" w:hanging="357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94CD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  <w:r w:rsidR="00BC62B0" w:rsidRPr="00394CD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 Kryteria wyłączenia</w:t>
            </w:r>
            <w:r w:rsidR="00A46912" w:rsidRPr="00394CD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z programu</w:t>
            </w:r>
            <w:r w:rsidR="00BC62B0" w:rsidRPr="00394CD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:</w:t>
            </w:r>
          </w:p>
          <w:p w:rsidR="00BC62B0" w:rsidRPr="00394CD2" w:rsidRDefault="00206911" w:rsidP="00394CD2">
            <w:pPr>
              <w:numPr>
                <w:ilvl w:val="0"/>
                <w:numId w:val="12"/>
              </w:numPr>
              <w:spacing w:after="0"/>
              <w:ind w:left="738" w:hanging="42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4C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zaawansowana skolioza uniemożliwiająca podanie dokanałowe leku;</w:t>
            </w:r>
          </w:p>
          <w:p w:rsidR="00AC0D72" w:rsidRPr="00394CD2" w:rsidRDefault="00AC0D72" w:rsidP="00394CD2">
            <w:pPr>
              <w:numPr>
                <w:ilvl w:val="0"/>
                <w:numId w:val="12"/>
              </w:numPr>
              <w:spacing w:after="0"/>
              <w:ind w:left="738" w:hanging="42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4C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przeciwskazania bezwzględne do nakłucia lędźwiowego;</w:t>
            </w:r>
          </w:p>
          <w:p w:rsidR="00434003" w:rsidRPr="00394CD2" w:rsidRDefault="00206911" w:rsidP="00394CD2">
            <w:pPr>
              <w:numPr>
                <w:ilvl w:val="0"/>
                <w:numId w:val="12"/>
              </w:numPr>
              <w:spacing w:after="0"/>
              <w:ind w:left="738" w:hanging="42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4C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drenaż płynu mózgowo-rdzeniowego</w:t>
            </w:r>
            <w:r w:rsidR="00434003" w:rsidRPr="00394C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434003" w:rsidRPr="00394CD2" w:rsidRDefault="00434003" w:rsidP="00394CD2">
            <w:pPr>
              <w:numPr>
                <w:ilvl w:val="0"/>
                <w:numId w:val="12"/>
              </w:numPr>
              <w:spacing w:after="0"/>
              <w:ind w:left="738" w:hanging="42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4C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pogorszenie w</w:t>
            </w:r>
            <w:r w:rsidR="00EB70CD" w:rsidRPr="00394C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odpowiednio dobranej do wieku i typu SMA</w:t>
            </w:r>
            <w:r w:rsidR="00EE5558" w:rsidRPr="00394C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EB70CD" w:rsidRPr="00394C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skali</w:t>
            </w:r>
            <w:r w:rsidRPr="00394C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</w:p>
          <w:p w:rsidR="00434003" w:rsidRPr="00394CD2" w:rsidRDefault="00434003" w:rsidP="00394CD2">
            <w:pPr>
              <w:pStyle w:val="Akapitzlist"/>
              <w:numPr>
                <w:ilvl w:val="0"/>
                <w:numId w:val="42"/>
              </w:numPr>
              <w:spacing w:line="276" w:lineRule="auto"/>
              <w:ind w:left="1163"/>
              <w:rPr>
                <w:color w:val="000000" w:themeColor="text1"/>
                <w:sz w:val="20"/>
                <w:szCs w:val="20"/>
              </w:rPr>
            </w:pPr>
            <w:r w:rsidRPr="00394CD2">
              <w:rPr>
                <w:color w:val="000000" w:themeColor="text1"/>
                <w:sz w:val="20"/>
                <w:szCs w:val="20"/>
              </w:rPr>
              <w:t>CHOP INTEND, HINE poniżej poziomu sprzed włączenia do leczenia utrzymujące się w dwóch kolejnych badaniach realizowanych co 4 miesiące;</w:t>
            </w:r>
          </w:p>
          <w:p w:rsidR="00DB354B" w:rsidRPr="00394CD2" w:rsidRDefault="00DB354B" w:rsidP="00394CD2">
            <w:pPr>
              <w:pStyle w:val="Akapitzlist"/>
              <w:spacing w:line="276" w:lineRule="auto"/>
              <w:ind w:left="1163"/>
              <w:rPr>
                <w:color w:val="000000" w:themeColor="text1"/>
                <w:sz w:val="20"/>
                <w:szCs w:val="20"/>
              </w:rPr>
            </w:pPr>
            <w:r w:rsidRPr="00394CD2">
              <w:rPr>
                <w:color w:val="000000" w:themeColor="text1"/>
                <w:sz w:val="20"/>
                <w:szCs w:val="20"/>
              </w:rPr>
              <w:t>lub</w:t>
            </w:r>
          </w:p>
          <w:p w:rsidR="00434003" w:rsidRPr="00394CD2" w:rsidRDefault="00434003" w:rsidP="00394CD2">
            <w:pPr>
              <w:pStyle w:val="Akapitzlist"/>
              <w:numPr>
                <w:ilvl w:val="0"/>
                <w:numId w:val="42"/>
              </w:numPr>
              <w:spacing w:line="276" w:lineRule="auto"/>
              <w:ind w:left="1163"/>
              <w:rPr>
                <w:color w:val="000000" w:themeColor="text1"/>
                <w:sz w:val="20"/>
                <w:szCs w:val="20"/>
              </w:rPr>
            </w:pPr>
            <w:r w:rsidRPr="00394CD2">
              <w:rPr>
                <w:color w:val="000000" w:themeColor="text1"/>
                <w:sz w:val="20"/>
                <w:szCs w:val="20"/>
              </w:rPr>
              <w:t xml:space="preserve">HFMSE o więcej niż 2 punkty poniżej poziomu sprzed włączenia do terapii potwierdzone w dwóch kolejnych badaniach realizowanych co 4 miesiące; </w:t>
            </w:r>
          </w:p>
          <w:p w:rsidR="00434003" w:rsidRPr="00394CD2" w:rsidRDefault="00434003" w:rsidP="00394CD2">
            <w:pPr>
              <w:numPr>
                <w:ilvl w:val="0"/>
                <w:numId w:val="12"/>
              </w:numPr>
              <w:spacing w:after="0"/>
              <w:ind w:left="738" w:hanging="42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4C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wystąpienie któregokolwiek z </w:t>
            </w:r>
            <w:r w:rsidR="00655959" w:rsidRPr="00394C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przeciwwskazań w </w:t>
            </w:r>
            <w:r w:rsidRPr="00394C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trakcie trwania terapii:</w:t>
            </w:r>
          </w:p>
          <w:p w:rsidR="00434003" w:rsidRPr="00394CD2" w:rsidRDefault="00434003" w:rsidP="00394CD2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line="276" w:lineRule="auto"/>
              <w:ind w:left="1163"/>
              <w:rPr>
                <w:rFonts w:eastAsiaTheme="minorHAnsi"/>
                <w:color w:val="000000" w:themeColor="text1"/>
                <w:sz w:val="20"/>
                <w:szCs w:val="20"/>
              </w:rPr>
            </w:pPr>
            <w:r w:rsidRPr="00394CD2">
              <w:rPr>
                <w:rFonts w:eastAsiaTheme="minorHAnsi"/>
                <w:color w:val="000000" w:themeColor="text1"/>
                <w:sz w:val="20"/>
                <w:szCs w:val="20"/>
              </w:rPr>
              <w:t xml:space="preserve">nadwrażliwość na substancję czynną lub na którąkolwiek substancję pomocniczą; </w:t>
            </w:r>
          </w:p>
          <w:p w:rsidR="00434003" w:rsidRPr="00394CD2" w:rsidRDefault="00434003" w:rsidP="00394CD2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line="276" w:lineRule="auto"/>
              <w:ind w:left="1163"/>
              <w:rPr>
                <w:rFonts w:eastAsiaTheme="minorHAnsi"/>
                <w:color w:val="000000" w:themeColor="text1"/>
                <w:sz w:val="20"/>
                <w:szCs w:val="20"/>
              </w:rPr>
            </w:pPr>
            <w:r w:rsidRPr="00394CD2">
              <w:rPr>
                <w:rFonts w:eastAsiaTheme="minorHAnsi"/>
                <w:color w:val="000000" w:themeColor="text1"/>
                <w:sz w:val="20"/>
                <w:szCs w:val="20"/>
              </w:rPr>
              <w:t>przeciwwskazania do nakłucia lędźwiowego;</w:t>
            </w:r>
          </w:p>
          <w:p w:rsidR="00004684" w:rsidRPr="00394CD2" w:rsidRDefault="00434003" w:rsidP="00394CD2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line="276" w:lineRule="auto"/>
              <w:ind w:left="1163"/>
              <w:rPr>
                <w:rFonts w:eastAsiaTheme="minorHAnsi"/>
                <w:color w:val="000000" w:themeColor="text1"/>
                <w:sz w:val="20"/>
                <w:szCs w:val="20"/>
              </w:rPr>
            </w:pPr>
            <w:r w:rsidRPr="00394CD2">
              <w:rPr>
                <w:rFonts w:eastAsiaTheme="minorHAnsi"/>
                <w:color w:val="000000" w:themeColor="text1"/>
                <w:sz w:val="20"/>
                <w:szCs w:val="20"/>
              </w:rPr>
              <w:t>ciąża.</w:t>
            </w:r>
          </w:p>
        </w:tc>
        <w:tc>
          <w:tcPr>
            <w:tcW w:w="1365" w:type="pct"/>
          </w:tcPr>
          <w:p w:rsidR="00206911" w:rsidRPr="00394CD2" w:rsidRDefault="00206911" w:rsidP="00394CD2">
            <w:pPr>
              <w:pStyle w:val="Akapitzlist"/>
              <w:spacing w:before="120" w:after="120" w:line="276" w:lineRule="auto"/>
              <w:ind w:left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94CD2">
              <w:rPr>
                <w:b/>
                <w:bCs/>
                <w:color w:val="000000" w:themeColor="text1"/>
                <w:sz w:val="20"/>
                <w:szCs w:val="20"/>
              </w:rPr>
              <w:lastRenderedPageBreak/>
              <w:t>1</w:t>
            </w:r>
            <w:r w:rsidR="00BC62B0" w:rsidRPr="00394CD2">
              <w:rPr>
                <w:b/>
                <w:bCs/>
                <w:color w:val="000000" w:themeColor="text1"/>
                <w:sz w:val="20"/>
                <w:szCs w:val="20"/>
              </w:rPr>
              <w:t>. Dawkowanie</w:t>
            </w:r>
            <w:r w:rsidRPr="00394CD2">
              <w:rPr>
                <w:b/>
                <w:bCs/>
                <w:color w:val="000000" w:themeColor="text1"/>
                <w:sz w:val="20"/>
                <w:szCs w:val="20"/>
              </w:rPr>
              <w:t>:</w:t>
            </w:r>
          </w:p>
          <w:p w:rsidR="00BC62B0" w:rsidRPr="00394CD2" w:rsidRDefault="00BC62B0" w:rsidP="00394CD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394CD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Dawkowanie </w:t>
            </w:r>
            <w:r w:rsidR="00206911" w:rsidRPr="00394CD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nusinersenu </w:t>
            </w:r>
            <w:r w:rsidRPr="00394CD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oraz sposób modyfikacji </w:t>
            </w:r>
            <w:r w:rsidR="00B96415" w:rsidRPr="00394CD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dawkowania - </w:t>
            </w:r>
            <w:r w:rsidR="00206911" w:rsidRPr="00394CD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zgodnie z </w:t>
            </w:r>
            <w:r w:rsidRPr="00394CD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Charakterystyk</w:t>
            </w:r>
            <w:r w:rsidR="00206911" w:rsidRPr="00394CD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ą</w:t>
            </w:r>
            <w:r w:rsidRPr="00394CD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Produktu Leczniczego</w:t>
            </w:r>
            <w:r w:rsidR="00206911" w:rsidRPr="00394CD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.</w:t>
            </w:r>
            <w:r w:rsidRPr="00394CD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</w:p>
          <w:p w:rsidR="00BA5498" w:rsidRPr="00394CD2" w:rsidRDefault="00BA5498" w:rsidP="00394CD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394CD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2. W przypadku pacjentów wymagających znieczulenia ogólnego do wykonania nakłucia lędźwiowego</w:t>
            </w:r>
            <w:r w:rsidR="0094027F" w:rsidRPr="00394CD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-</w:t>
            </w:r>
            <w:r w:rsidRPr="00394CD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znieczulenie ogólne zgodnie z obowiązującymi w ośrodku procedurami.</w:t>
            </w:r>
          </w:p>
          <w:p w:rsidR="00BC62B0" w:rsidRPr="00394CD2" w:rsidRDefault="00BC62B0" w:rsidP="00394CD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C62B0" w:rsidRPr="00394CD2" w:rsidRDefault="00BC62B0" w:rsidP="00394CD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91" w:type="pct"/>
            <w:tcBorders>
              <w:right w:val="single" w:sz="4" w:space="0" w:color="auto"/>
            </w:tcBorders>
          </w:tcPr>
          <w:p w:rsidR="00BC62B0" w:rsidRPr="00394CD2" w:rsidRDefault="00BC62B0" w:rsidP="00394CD2">
            <w:pPr>
              <w:spacing w:before="120" w:after="120"/>
              <w:ind w:left="28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94CD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1. Badania przy kwalifikacji:</w:t>
            </w:r>
          </w:p>
          <w:p w:rsidR="00BC62B0" w:rsidRPr="00394CD2" w:rsidRDefault="00AF7BD2" w:rsidP="00394CD2">
            <w:pPr>
              <w:pStyle w:val="Akapitzlist"/>
              <w:numPr>
                <w:ilvl w:val="0"/>
                <w:numId w:val="35"/>
              </w:numPr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394CD2">
              <w:rPr>
                <w:color w:val="000000" w:themeColor="text1"/>
                <w:sz w:val="20"/>
                <w:szCs w:val="20"/>
              </w:rPr>
              <w:t>b</w:t>
            </w:r>
            <w:r w:rsidR="00BC62B0" w:rsidRPr="00394CD2">
              <w:rPr>
                <w:color w:val="000000" w:themeColor="text1"/>
                <w:sz w:val="20"/>
                <w:szCs w:val="20"/>
              </w:rPr>
              <w:t>adanie genetyczne potwierdzające delecję lub mutację genu SMN1;</w:t>
            </w:r>
          </w:p>
          <w:p w:rsidR="00BC62B0" w:rsidRPr="00394CD2" w:rsidRDefault="00AF7BD2" w:rsidP="00394CD2">
            <w:pPr>
              <w:pStyle w:val="Akapitzlist"/>
              <w:numPr>
                <w:ilvl w:val="0"/>
                <w:numId w:val="35"/>
              </w:numPr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394CD2">
              <w:rPr>
                <w:color w:val="000000" w:themeColor="text1"/>
                <w:sz w:val="20"/>
                <w:szCs w:val="20"/>
              </w:rPr>
              <w:t>b</w:t>
            </w:r>
            <w:r w:rsidR="00BC62B0" w:rsidRPr="00394CD2">
              <w:rPr>
                <w:color w:val="000000" w:themeColor="text1"/>
                <w:sz w:val="20"/>
                <w:szCs w:val="20"/>
              </w:rPr>
              <w:t>adanie potwierdzające liczbę kopii genu SMN2;</w:t>
            </w:r>
          </w:p>
          <w:p w:rsidR="00BC62B0" w:rsidRPr="00394CD2" w:rsidRDefault="00AF7BD2" w:rsidP="00394CD2">
            <w:pPr>
              <w:pStyle w:val="Akapitzlist"/>
              <w:numPr>
                <w:ilvl w:val="0"/>
                <w:numId w:val="35"/>
              </w:numPr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394CD2">
              <w:rPr>
                <w:color w:val="000000" w:themeColor="text1"/>
                <w:sz w:val="20"/>
                <w:szCs w:val="20"/>
              </w:rPr>
              <w:t>b</w:t>
            </w:r>
            <w:r w:rsidR="00BC62B0" w:rsidRPr="00394CD2">
              <w:rPr>
                <w:color w:val="000000" w:themeColor="text1"/>
                <w:sz w:val="20"/>
                <w:szCs w:val="20"/>
              </w:rPr>
              <w:t>adanie neurologiczne z oceną w skali CHOP-INTEND lub HINE</w:t>
            </w:r>
            <w:r w:rsidR="00B74059" w:rsidRPr="00394CD2">
              <w:rPr>
                <w:color w:val="000000" w:themeColor="text1"/>
                <w:sz w:val="20"/>
                <w:szCs w:val="20"/>
              </w:rPr>
              <w:t>,</w:t>
            </w:r>
            <w:r w:rsidR="00BC62B0" w:rsidRPr="00394CD2">
              <w:rPr>
                <w:color w:val="000000" w:themeColor="text1"/>
                <w:sz w:val="20"/>
                <w:szCs w:val="20"/>
              </w:rPr>
              <w:t xml:space="preserve"> lub HFMSE  </w:t>
            </w:r>
            <w:r w:rsidRPr="00394CD2">
              <w:rPr>
                <w:color w:val="000000" w:themeColor="text1"/>
                <w:sz w:val="20"/>
                <w:szCs w:val="20"/>
              </w:rPr>
              <w:t xml:space="preserve">- </w:t>
            </w:r>
            <w:r w:rsidR="00BC62B0" w:rsidRPr="00394CD2">
              <w:rPr>
                <w:color w:val="000000" w:themeColor="text1"/>
                <w:sz w:val="20"/>
                <w:szCs w:val="20"/>
              </w:rPr>
              <w:t>stosownie do wieku i typu SMA;</w:t>
            </w:r>
          </w:p>
          <w:p w:rsidR="00825FED" w:rsidRPr="00394CD2" w:rsidRDefault="00825FED" w:rsidP="00394CD2">
            <w:pPr>
              <w:pStyle w:val="Akapitzlist"/>
              <w:numPr>
                <w:ilvl w:val="0"/>
                <w:numId w:val="35"/>
              </w:numPr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394CD2">
              <w:rPr>
                <w:color w:val="000000" w:themeColor="text1"/>
                <w:sz w:val="20"/>
                <w:szCs w:val="20"/>
              </w:rPr>
              <w:t>k</w:t>
            </w:r>
            <w:r w:rsidR="00BA5498" w:rsidRPr="00394CD2">
              <w:rPr>
                <w:color w:val="000000" w:themeColor="text1"/>
                <w:sz w:val="20"/>
                <w:szCs w:val="20"/>
              </w:rPr>
              <w:t>onsultacja rehabilitacyjna i/lub</w:t>
            </w:r>
            <w:r w:rsidRPr="00394CD2">
              <w:rPr>
                <w:color w:val="000000" w:themeColor="text1"/>
                <w:sz w:val="20"/>
                <w:szCs w:val="20"/>
              </w:rPr>
              <w:t xml:space="preserve"> fizjoterapeutyczna oraz ustalenie planu rehabilitacji dla pacjenta</w:t>
            </w:r>
            <w:r w:rsidR="00BB4002" w:rsidRPr="00394CD2">
              <w:rPr>
                <w:color w:val="000000" w:themeColor="text1"/>
                <w:sz w:val="20"/>
                <w:szCs w:val="20"/>
              </w:rPr>
              <w:t>;</w:t>
            </w:r>
          </w:p>
          <w:p w:rsidR="00BC62B0" w:rsidRPr="00394CD2" w:rsidRDefault="00AF7BD2" w:rsidP="00394CD2">
            <w:pPr>
              <w:pStyle w:val="Akapitzlist"/>
              <w:numPr>
                <w:ilvl w:val="0"/>
                <w:numId w:val="35"/>
              </w:numPr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394CD2">
              <w:rPr>
                <w:color w:val="000000" w:themeColor="text1"/>
                <w:sz w:val="20"/>
                <w:szCs w:val="20"/>
              </w:rPr>
              <w:t>b</w:t>
            </w:r>
            <w:r w:rsidR="00BC62B0" w:rsidRPr="00394CD2">
              <w:rPr>
                <w:color w:val="000000" w:themeColor="text1"/>
                <w:sz w:val="20"/>
                <w:szCs w:val="20"/>
              </w:rPr>
              <w:t>adania biochemiczne, w tym oceniające funkcję wątroby, nerek (białkomocz) i układu krzepnięcia (koagulogram);</w:t>
            </w:r>
          </w:p>
          <w:p w:rsidR="00BC62B0" w:rsidRPr="00394CD2" w:rsidRDefault="00AF7BD2" w:rsidP="00394CD2">
            <w:pPr>
              <w:pStyle w:val="Akapitzlist"/>
              <w:numPr>
                <w:ilvl w:val="0"/>
                <w:numId w:val="35"/>
              </w:numPr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394CD2">
              <w:rPr>
                <w:color w:val="000000" w:themeColor="text1"/>
                <w:sz w:val="20"/>
                <w:szCs w:val="20"/>
              </w:rPr>
              <w:t>m</w:t>
            </w:r>
            <w:r w:rsidR="00BC62B0" w:rsidRPr="00394CD2">
              <w:rPr>
                <w:color w:val="000000" w:themeColor="text1"/>
                <w:sz w:val="20"/>
                <w:szCs w:val="20"/>
              </w:rPr>
              <w:t>orfologia krwi z rozmazem;</w:t>
            </w:r>
          </w:p>
          <w:p w:rsidR="00BC62B0" w:rsidRPr="00394CD2" w:rsidRDefault="00AF7BD2" w:rsidP="00394CD2">
            <w:pPr>
              <w:pStyle w:val="Akapitzlist"/>
              <w:numPr>
                <w:ilvl w:val="0"/>
                <w:numId w:val="35"/>
              </w:numPr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394CD2">
              <w:rPr>
                <w:color w:val="000000" w:themeColor="text1"/>
                <w:sz w:val="20"/>
                <w:szCs w:val="20"/>
              </w:rPr>
              <w:t>k</w:t>
            </w:r>
            <w:r w:rsidR="00BC62B0" w:rsidRPr="00394CD2">
              <w:rPr>
                <w:color w:val="000000" w:themeColor="text1"/>
                <w:sz w:val="20"/>
                <w:szCs w:val="20"/>
              </w:rPr>
              <w:t xml:space="preserve">onsultacja anestezjologiczna </w:t>
            </w:r>
            <w:r w:rsidR="00D13209" w:rsidRPr="00394CD2">
              <w:rPr>
                <w:color w:val="000000" w:themeColor="text1"/>
                <w:sz w:val="20"/>
                <w:szCs w:val="20"/>
              </w:rPr>
              <w:t xml:space="preserve">- </w:t>
            </w:r>
            <w:r w:rsidR="00BC62B0" w:rsidRPr="00394CD2">
              <w:rPr>
                <w:color w:val="000000" w:themeColor="text1"/>
                <w:sz w:val="20"/>
                <w:szCs w:val="20"/>
              </w:rPr>
              <w:t xml:space="preserve">u pacjentów, którzy wymagają </w:t>
            </w:r>
            <w:r w:rsidR="0053442E" w:rsidRPr="00394CD2">
              <w:rPr>
                <w:color w:val="000000" w:themeColor="text1"/>
                <w:sz w:val="20"/>
                <w:szCs w:val="20"/>
              </w:rPr>
              <w:t>znieczulenia ogólnego</w:t>
            </w:r>
            <w:r w:rsidRPr="00394CD2">
              <w:rPr>
                <w:color w:val="000000" w:themeColor="text1"/>
                <w:sz w:val="20"/>
                <w:szCs w:val="20"/>
              </w:rPr>
              <w:t>;</w:t>
            </w:r>
          </w:p>
          <w:p w:rsidR="00BC62B0" w:rsidRPr="00394CD2" w:rsidRDefault="00AF7BD2" w:rsidP="00394CD2">
            <w:pPr>
              <w:pStyle w:val="Akapitzlist"/>
              <w:numPr>
                <w:ilvl w:val="0"/>
                <w:numId w:val="35"/>
              </w:numPr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394CD2">
              <w:rPr>
                <w:color w:val="000000" w:themeColor="text1"/>
                <w:sz w:val="20"/>
                <w:szCs w:val="20"/>
              </w:rPr>
              <w:t>k</w:t>
            </w:r>
            <w:r w:rsidR="00BC62B0" w:rsidRPr="00394CD2">
              <w:rPr>
                <w:color w:val="000000" w:themeColor="text1"/>
                <w:sz w:val="20"/>
                <w:szCs w:val="20"/>
              </w:rPr>
              <w:t xml:space="preserve">onsultacja ortopedyczna </w:t>
            </w:r>
            <w:r w:rsidR="00D13209" w:rsidRPr="00394CD2">
              <w:rPr>
                <w:color w:val="000000" w:themeColor="text1"/>
                <w:sz w:val="20"/>
                <w:szCs w:val="20"/>
              </w:rPr>
              <w:t xml:space="preserve">- </w:t>
            </w:r>
            <w:r w:rsidR="00BC62B0" w:rsidRPr="00394CD2">
              <w:rPr>
                <w:color w:val="000000" w:themeColor="text1"/>
                <w:sz w:val="20"/>
                <w:szCs w:val="20"/>
              </w:rPr>
              <w:t>w przypadku znacznej skoliozy</w:t>
            </w:r>
            <w:r w:rsidRPr="00394CD2">
              <w:rPr>
                <w:color w:val="000000" w:themeColor="text1"/>
                <w:sz w:val="20"/>
                <w:szCs w:val="20"/>
              </w:rPr>
              <w:t>;</w:t>
            </w:r>
          </w:p>
          <w:p w:rsidR="004C7979" w:rsidRPr="00394CD2" w:rsidRDefault="004C7979" w:rsidP="00394CD2">
            <w:pPr>
              <w:pStyle w:val="Akapitzlist"/>
              <w:numPr>
                <w:ilvl w:val="0"/>
                <w:numId w:val="35"/>
              </w:numPr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394CD2">
              <w:rPr>
                <w:color w:val="000000" w:themeColor="text1"/>
                <w:sz w:val="20"/>
                <w:szCs w:val="20"/>
              </w:rPr>
              <w:t>konsultacja gastroenterologiczna i/lub dietetyczna w zależności od stanu klinicznego pacjenta</w:t>
            </w:r>
          </w:p>
          <w:p w:rsidR="00BC62B0" w:rsidRPr="00394CD2" w:rsidRDefault="00BC62B0" w:rsidP="00394CD2">
            <w:pPr>
              <w:pStyle w:val="Akapitzlist"/>
              <w:numPr>
                <w:ilvl w:val="0"/>
                <w:numId w:val="35"/>
              </w:numPr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394CD2">
              <w:rPr>
                <w:color w:val="000000" w:themeColor="text1"/>
                <w:sz w:val="20"/>
                <w:szCs w:val="20"/>
              </w:rPr>
              <w:t>test ciążowy wraz z oświadczeniem o stosowaniu skutecznej antykoncepcji w trakcie trwania terapii</w:t>
            </w:r>
            <w:r w:rsidR="00AF7BD2" w:rsidRPr="00394CD2">
              <w:rPr>
                <w:color w:val="000000" w:themeColor="text1"/>
                <w:sz w:val="20"/>
                <w:szCs w:val="20"/>
              </w:rPr>
              <w:t xml:space="preserve"> - u kobiet w wieku reprodukcyjnym.</w:t>
            </w:r>
          </w:p>
          <w:p w:rsidR="00BC62B0" w:rsidRPr="00394CD2" w:rsidRDefault="00BC62B0" w:rsidP="00394CD2">
            <w:pPr>
              <w:spacing w:before="120" w:after="120"/>
              <w:ind w:left="28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94CD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2. Monitorowanie leczenia:</w:t>
            </w:r>
          </w:p>
          <w:p w:rsidR="00BC62B0" w:rsidRPr="00394CD2" w:rsidRDefault="00073E5A" w:rsidP="00394CD2">
            <w:pPr>
              <w:pStyle w:val="Akapitzlist"/>
              <w:numPr>
                <w:ilvl w:val="0"/>
                <w:numId w:val="36"/>
              </w:numPr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394CD2">
              <w:rPr>
                <w:color w:val="000000" w:themeColor="text1"/>
                <w:sz w:val="20"/>
                <w:szCs w:val="20"/>
              </w:rPr>
              <w:t>b</w:t>
            </w:r>
            <w:r w:rsidR="00BC62B0" w:rsidRPr="00394CD2">
              <w:rPr>
                <w:color w:val="000000" w:themeColor="text1"/>
                <w:sz w:val="20"/>
                <w:szCs w:val="20"/>
              </w:rPr>
              <w:t>adanie neurologiczne przed każdym podaniem dawki</w:t>
            </w:r>
            <w:r w:rsidRPr="00394CD2">
              <w:rPr>
                <w:color w:val="000000" w:themeColor="text1"/>
                <w:sz w:val="20"/>
                <w:szCs w:val="20"/>
              </w:rPr>
              <w:t>;</w:t>
            </w:r>
          </w:p>
          <w:p w:rsidR="00BC62B0" w:rsidRPr="00394CD2" w:rsidRDefault="00073E5A" w:rsidP="00394CD2">
            <w:pPr>
              <w:pStyle w:val="Akapitzlist"/>
              <w:numPr>
                <w:ilvl w:val="0"/>
                <w:numId w:val="36"/>
              </w:numPr>
              <w:spacing w:line="276" w:lineRule="auto"/>
              <w:ind w:left="743" w:hanging="357"/>
              <w:rPr>
                <w:color w:val="000000" w:themeColor="text1"/>
                <w:sz w:val="20"/>
                <w:szCs w:val="20"/>
              </w:rPr>
            </w:pPr>
            <w:r w:rsidRPr="00394CD2">
              <w:rPr>
                <w:color w:val="000000" w:themeColor="text1"/>
                <w:sz w:val="20"/>
                <w:szCs w:val="20"/>
              </w:rPr>
              <w:lastRenderedPageBreak/>
              <w:t>b</w:t>
            </w:r>
            <w:r w:rsidR="00BC62B0" w:rsidRPr="00394CD2">
              <w:rPr>
                <w:color w:val="000000" w:themeColor="text1"/>
                <w:sz w:val="20"/>
                <w:szCs w:val="20"/>
              </w:rPr>
              <w:t>adanie w skali CHOP-INTEND lub HINE</w:t>
            </w:r>
            <w:r w:rsidR="00B74059" w:rsidRPr="00394CD2">
              <w:rPr>
                <w:color w:val="000000" w:themeColor="text1"/>
                <w:sz w:val="20"/>
                <w:szCs w:val="20"/>
              </w:rPr>
              <w:t>,</w:t>
            </w:r>
            <w:r w:rsidR="00BC62B0" w:rsidRPr="00394CD2">
              <w:rPr>
                <w:color w:val="000000" w:themeColor="text1"/>
                <w:sz w:val="20"/>
                <w:szCs w:val="20"/>
              </w:rPr>
              <w:t xml:space="preserve"> lub  HFMSE </w:t>
            </w:r>
            <w:r w:rsidR="00183508" w:rsidRPr="00394CD2">
              <w:rPr>
                <w:color w:val="000000" w:themeColor="text1"/>
                <w:sz w:val="20"/>
                <w:szCs w:val="20"/>
              </w:rPr>
              <w:t xml:space="preserve">(stosownie do wieku i typu SMA) </w:t>
            </w:r>
            <w:r w:rsidR="00BC62B0" w:rsidRPr="00394CD2">
              <w:rPr>
                <w:color w:val="000000" w:themeColor="text1"/>
                <w:sz w:val="20"/>
                <w:szCs w:val="20"/>
              </w:rPr>
              <w:t>przy dawkach podtrzymujących</w:t>
            </w:r>
            <w:r w:rsidRPr="00394CD2">
              <w:rPr>
                <w:color w:val="000000" w:themeColor="text1"/>
                <w:sz w:val="20"/>
                <w:szCs w:val="20"/>
              </w:rPr>
              <w:t>;</w:t>
            </w:r>
          </w:p>
          <w:p w:rsidR="000D209A" w:rsidRPr="00394CD2" w:rsidRDefault="000D209A" w:rsidP="00394CD2">
            <w:pPr>
              <w:pStyle w:val="Akapitzlist"/>
              <w:numPr>
                <w:ilvl w:val="0"/>
                <w:numId w:val="36"/>
              </w:numPr>
              <w:spacing w:line="276" w:lineRule="auto"/>
              <w:ind w:left="743" w:hanging="357"/>
              <w:rPr>
                <w:color w:val="000000" w:themeColor="text1"/>
                <w:sz w:val="20"/>
                <w:szCs w:val="20"/>
              </w:rPr>
            </w:pPr>
            <w:r w:rsidRPr="00394CD2">
              <w:rPr>
                <w:color w:val="000000" w:themeColor="text1"/>
                <w:sz w:val="20"/>
                <w:szCs w:val="20"/>
              </w:rPr>
              <w:t>ocena przez fizjoterapeutę wykonania planu rehabilitacji;</w:t>
            </w:r>
          </w:p>
          <w:p w:rsidR="0094027F" w:rsidRPr="00394CD2" w:rsidRDefault="0094027F" w:rsidP="00394CD2">
            <w:pPr>
              <w:pStyle w:val="Akapitzlist"/>
              <w:numPr>
                <w:ilvl w:val="0"/>
                <w:numId w:val="36"/>
              </w:numPr>
              <w:spacing w:line="276" w:lineRule="auto"/>
              <w:ind w:left="743" w:hanging="357"/>
              <w:rPr>
                <w:color w:val="000000" w:themeColor="text1"/>
                <w:sz w:val="20"/>
                <w:szCs w:val="20"/>
              </w:rPr>
            </w:pPr>
            <w:r w:rsidRPr="00394CD2">
              <w:rPr>
                <w:color w:val="000000" w:themeColor="text1"/>
                <w:sz w:val="20"/>
                <w:szCs w:val="20"/>
              </w:rPr>
              <w:t>ocena gastroenterologa i/lub dietetyka w zależności od stanu pacjenta;</w:t>
            </w:r>
          </w:p>
          <w:p w:rsidR="005E7FE0" w:rsidRPr="00394CD2" w:rsidRDefault="005E7FE0" w:rsidP="00394CD2">
            <w:pPr>
              <w:pStyle w:val="Akapitzlist"/>
              <w:numPr>
                <w:ilvl w:val="0"/>
                <w:numId w:val="36"/>
              </w:numPr>
              <w:spacing w:line="276" w:lineRule="auto"/>
              <w:ind w:left="743" w:hanging="357"/>
              <w:rPr>
                <w:color w:val="000000" w:themeColor="text1"/>
                <w:sz w:val="20"/>
                <w:szCs w:val="20"/>
              </w:rPr>
            </w:pPr>
            <w:r w:rsidRPr="00394CD2">
              <w:rPr>
                <w:color w:val="000000" w:themeColor="text1"/>
                <w:sz w:val="20"/>
                <w:szCs w:val="20"/>
              </w:rPr>
              <w:t>ocena stanu odżywienia i wydolności oddechowej pacjenta w zależności od stanu, ale nie rzadziej niż raz do roku;</w:t>
            </w:r>
          </w:p>
          <w:p w:rsidR="00BC62B0" w:rsidRPr="00394CD2" w:rsidRDefault="00073E5A" w:rsidP="00394CD2">
            <w:pPr>
              <w:pStyle w:val="Akapitzlist"/>
              <w:numPr>
                <w:ilvl w:val="0"/>
                <w:numId w:val="36"/>
              </w:numPr>
              <w:spacing w:line="276" w:lineRule="auto"/>
              <w:ind w:left="743" w:hanging="357"/>
              <w:rPr>
                <w:color w:val="000000" w:themeColor="text1"/>
                <w:sz w:val="20"/>
                <w:szCs w:val="20"/>
              </w:rPr>
            </w:pPr>
            <w:r w:rsidRPr="00394CD2">
              <w:rPr>
                <w:color w:val="000000" w:themeColor="text1"/>
                <w:sz w:val="20"/>
                <w:szCs w:val="20"/>
              </w:rPr>
              <w:t>b</w:t>
            </w:r>
            <w:r w:rsidR="00BC62B0" w:rsidRPr="00394CD2">
              <w:rPr>
                <w:color w:val="000000" w:themeColor="text1"/>
                <w:sz w:val="20"/>
                <w:szCs w:val="20"/>
              </w:rPr>
              <w:t>adania biochemiczne, w tym oc</w:t>
            </w:r>
            <w:r w:rsidR="0009565F" w:rsidRPr="00394CD2">
              <w:rPr>
                <w:color w:val="000000" w:themeColor="text1"/>
                <w:sz w:val="20"/>
                <w:szCs w:val="20"/>
              </w:rPr>
              <w:t>eniające funkcję wątroby, nerek</w:t>
            </w:r>
            <w:r w:rsidR="00BC62B0" w:rsidRPr="00394CD2">
              <w:rPr>
                <w:color w:val="000000" w:themeColor="text1"/>
                <w:sz w:val="20"/>
                <w:szCs w:val="20"/>
              </w:rPr>
              <w:t xml:space="preserve"> (białkomocz) i układu krzepnięcia (koagulogram</w:t>
            </w:r>
            <w:r w:rsidRPr="00394CD2">
              <w:rPr>
                <w:color w:val="000000" w:themeColor="text1"/>
                <w:sz w:val="20"/>
                <w:szCs w:val="20"/>
              </w:rPr>
              <w:t>)</w:t>
            </w:r>
            <w:r w:rsidR="00183508" w:rsidRPr="00394CD2">
              <w:rPr>
                <w:color w:val="000000" w:themeColor="text1"/>
                <w:sz w:val="20"/>
                <w:szCs w:val="20"/>
              </w:rPr>
              <w:t>,</w:t>
            </w:r>
            <w:r w:rsidR="00BC62B0" w:rsidRPr="00394CD2">
              <w:rPr>
                <w:color w:val="000000" w:themeColor="text1"/>
                <w:sz w:val="20"/>
                <w:szCs w:val="20"/>
              </w:rPr>
              <w:t xml:space="preserve"> wykonywane przed podaniem kolejnej dawki nusinersenu;</w:t>
            </w:r>
          </w:p>
          <w:p w:rsidR="00BC62B0" w:rsidRPr="00394CD2" w:rsidRDefault="00073E5A" w:rsidP="00394CD2">
            <w:pPr>
              <w:pStyle w:val="Akapitzlist"/>
              <w:numPr>
                <w:ilvl w:val="0"/>
                <w:numId w:val="36"/>
              </w:numPr>
              <w:spacing w:line="276" w:lineRule="auto"/>
              <w:ind w:left="743" w:hanging="357"/>
              <w:rPr>
                <w:color w:val="000000" w:themeColor="text1"/>
                <w:sz w:val="20"/>
                <w:szCs w:val="20"/>
              </w:rPr>
            </w:pPr>
            <w:r w:rsidRPr="00394CD2">
              <w:rPr>
                <w:color w:val="000000" w:themeColor="text1"/>
                <w:sz w:val="20"/>
                <w:szCs w:val="20"/>
              </w:rPr>
              <w:t>m</w:t>
            </w:r>
            <w:r w:rsidR="00BC62B0" w:rsidRPr="00394CD2">
              <w:rPr>
                <w:color w:val="000000" w:themeColor="text1"/>
                <w:sz w:val="20"/>
                <w:szCs w:val="20"/>
              </w:rPr>
              <w:t>orfologia krwi z rozmazem wykonywana przed podaniem kolejnej dawki nusinersenu;</w:t>
            </w:r>
          </w:p>
          <w:p w:rsidR="00BC62B0" w:rsidRPr="00394CD2" w:rsidRDefault="00073E5A" w:rsidP="00394CD2">
            <w:pPr>
              <w:pStyle w:val="Akapitzlist"/>
              <w:numPr>
                <w:ilvl w:val="0"/>
                <w:numId w:val="36"/>
              </w:numPr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394CD2">
              <w:rPr>
                <w:color w:val="000000" w:themeColor="text1"/>
                <w:sz w:val="20"/>
                <w:szCs w:val="20"/>
              </w:rPr>
              <w:t>w przypadku pacjentek</w:t>
            </w:r>
            <w:r w:rsidR="00BC62B0" w:rsidRPr="00394CD2">
              <w:rPr>
                <w:color w:val="000000" w:themeColor="text1"/>
                <w:sz w:val="20"/>
                <w:szCs w:val="20"/>
              </w:rPr>
              <w:t xml:space="preserve"> w wieku reprodukcyjnym - test ciążowy każdorazowo przed każdym podaniem dawki</w:t>
            </w:r>
            <w:r w:rsidRPr="00394CD2">
              <w:rPr>
                <w:color w:val="000000" w:themeColor="text1"/>
                <w:sz w:val="20"/>
                <w:szCs w:val="20"/>
              </w:rPr>
              <w:t>.</w:t>
            </w:r>
            <w:r w:rsidR="00BC62B0" w:rsidRPr="00394CD2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BC62B0" w:rsidRPr="00394CD2" w:rsidRDefault="00BC62B0" w:rsidP="00394CD2">
            <w:pPr>
              <w:pStyle w:val="Akapitzlist"/>
              <w:spacing w:before="120" w:after="120" w:line="276" w:lineRule="auto"/>
              <w:ind w:left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94CD2"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  <w:t>3.</w:t>
            </w:r>
            <w:r w:rsidRPr="00394CD2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394CD2">
              <w:rPr>
                <w:b/>
                <w:bCs/>
                <w:color w:val="000000" w:themeColor="text1"/>
                <w:sz w:val="20"/>
                <w:szCs w:val="20"/>
              </w:rPr>
              <w:t>Monitorowanie programu:</w:t>
            </w:r>
          </w:p>
          <w:p w:rsidR="00BC62B0" w:rsidRPr="00394CD2" w:rsidRDefault="00BC62B0" w:rsidP="00394CD2">
            <w:pPr>
              <w:pStyle w:val="Akapitzlist"/>
              <w:numPr>
                <w:ilvl w:val="0"/>
                <w:numId w:val="8"/>
              </w:numPr>
              <w:spacing w:line="276" w:lineRule="auto"/>
              <w:ind w:left="357" w:hanging="357"/>
              <w:rPr>
                <w:color w:val="000000" w:themeColor="text1"/>
                <w:sz w:val="20"/>
                <w:szCs w:val="20"/>
              </w:rPr>
            </w:pPr>
            <w:r w:rsidRPr="00394CD2">
              <w:rPr>
                <w:color w:val="000000" w:themeColor="text1"/>
                <w:sz w:val="20"/>
                <w:szCs w:val="20"/>
              </w:rPr>
              <w:t>gromadzenie w dokumentacji medycznej pacjenta danych dotyc</w:t>
            </w:r>
            <w:r w:rsidR="00FD1745" w:rsidRPr="00394CD2">
              <w:rPr>
                <w:color w:val="000000" w:themeColor="text1"/>
                <w:sz w:val="20"/>
                <w:szCs w:val="20"/>
              </w:rPr>
              <w:t>zących monitorowania leczenia i </w:t>
            </w:r>
            <w:r w:rsidRPr="00394CD2">
              <w:rPr>
                <w:color w:val="000000" w:themeColor="text1"/>
                <w:sz w:val="20"/>
                <w:szCs w:val="20"/>
              </w:rPr>
              <w:t>każdorazowe ich przeds</w:t>
            </w:r>
            <w:r w:rsidR="00742CF6" w:rsidRPr="00394CD2">
              <w:rPr>
                <w:color w:val="000000" w:themeColor="text1"/>
                <w:sz w:val="20"/>
                <w:szCs w:val="20"/>
              </w:rPr>
              <w:t>tawianie na żądanie kontrolerów</w:t>
            </w:r>
            <w:r w:rsidRPr="00394CD2">
              <w:rPr>
                <w:color w:val="000000" w:themeColor="text1"/>
                <w:sz w:val="20"/>
                <w:szCs w:val="20"/>
              </w:rPr>
              <w:t xml:space="preserve"> Narodowego Funduszu Zdrowia;</w:t>
            </w:r>
          </w:p>
          <w:p w:rsidR="00BC62B0" w:rsidRPr="00394CD2" w:rsidRDefault="00FD1745" w:rsidP="00394CD2">
            <w:pPr>
              <w:pStyle w:val="Akapitzlist"/>
              <w:numPr>
                <w:ilvl w:val="0"/>
                <w:numId w:val="8"/>
              </w:numPr>
              <w:spacing w:line="276" w:lineRule="auto"/>
              <w:ind w:left="357" w:hanging="357"/>
              <w:rPr>
                <w:color w:val="000000" w:themeColor="text1"/>
                <w:sz w:val="20"/>
                <w:szCs w:val="20"/>
              </w:rPr>
            </w:pPr>
            <w:r w:rsidRPr="00394CD2">
              <w:rPr>
                <w:color w:val="000000" w:themeColor="text1"/>
                <w:sz w:val="20"/>
                <w:szCs w:val="20"/>
              </w:rPr>
              <w:t>uzupełnia</w:t>
            </w:r>
            <w:r w:rsidR="00BC62B0" w:rsidRPr="00394CD2">
              <w:rPr>
                <w:color w:val="000000" w:themeColor="text1"/>
                <w:sz w:val="20"/>
                <w:szCs w:val="20"/>
              </w:rPr>
              <w:t>nie danych zawartych w rejestrze (SMPT) dostępnym za pomocą aplikacji internetowej udostępnionej przez OW NFZ, z częstotliwością zgodną z opisem programu oraz na zakończenie leczenia;</w:t>
            </w:r>
          </w:p>
          <w:p w:rsidR="00BC62B0" w:rsidRPr="00394CD2" w:rsidRDefault="00BC62B0" w:rsidP="00394CD2">
            <w:pPr>
              <w:pStyle w:val="Akapitzlist"/>
              <w:numPr>
                <w:ilvl w:val="0"/>
                <w:numId w:val="8"/>
              </w:numPr>
              <w:spacing w:line="276" w:lineRule="auto"/>
              <w:ind w:left="357" w:hanging="357"/>
              <w:rPr>
                <w:color w:val="000000" w:themeColor="text1"/>
                <w:sz w:val="20"/>
                <w:szCs w:val="20"/>
              </w:rPr>
            </w:pPr>
            <w:r w:rsidRPr="00394CD2">
              <w:rPr>
                <w:color w:val="000000" w:themeColor="text1"/>
                <w:sz w:val="20"/>
                <w:szCs w:val="20"/>
              </w:rPr>
              <w:t>przekazywanie informacji sprawozdawczo-rozliczeniowych do NFZ: informacje przekazuje się do NFZ w formie papierowej lub w formie elektronicznej, zgodnie z wymaganiami opublikowanymi przez Narodowy Fundusz Zdrowia.</w:t>
            </w:r>
          </w:p>
        </w:tc>
      </w:tr>
    </w:tbl>
    <w:p w:rsidR="00394CD2" w:rsidRPr="009C61E3" w:rsidRDefault="00394CD2" w:rsidP="009C61E3">
      <w:pPr>
        <w:tabs>
          <w:tab w:val="left" w:pos="2145"/>
        </w:tabs>
        <w:rPr>
          <w:sz w:val="12"/>
        </w:rPr>
      </w:pPr>
      <w:bookmarkStart w:id="0" w:name="_GoBack"/>
      <w:bookmarkEnd w:id="0"/>
    </w:p>
    <w:sectPr w:rsidR="00394CD2" w:rsidRPr="009C61E3" w:rsidSect="00394CD2">
      <w:pgSz w:w="16838" w:h="11906" w:orient="landscape"/>
      <w:pgMar w:top="1588" w:right="720" w:bottom="1418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E8F" w:rsidRDefault="000D6E8F" w:rsidP="00222D1A">
      <w:pPr>
        <w:spacing w:after="0" w:line="240" w:lineRule="auto"/>
      </w:pPr>
      <w:r>
        <w:separator/>
      </w:r>
    </w:p>
  </w:endnote>
  <w:endnote w:type="continuationSeparator" w:id="0">
    <w:p w:rsidR="000D6E8F" w:rsidRDefault="000D6E8F" w:rsidP="00222D1A">
      <w:pPr>
        <w:spacing w:after="0" w:line="240" w:lineRule="auto"/>
      </w:pPr>
      <w:r>
        <w:continuationSeparator/>
      </w:r>
    </w:p>
  </w:endnote>
  <w:endnote w:type="continuationNotice" w:id="1">
    <w:p w:rsidR="000D6E8F" w:rsidRDefault="000D6E8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KBKDC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E8F" w:rsidRDefault="000D6E8F" w:rsidP="00222D1A">
      <w:pPr>
        <w:spacing w:after="0" w:line="240" w:lineRule="auto"/>
      </w:pPr>
      <w:r>
        <w:separator/>
      </w:r>
    </w:p>
  </w:footnote>
  <w:footnote w:type="continuationSeparator" w:id="0">
    <w:p w:rsidR="000D6E8F" w:rsidRDefault="000D6E8F" w:rsidP="00222D1A">
      <w:pPr>
        <w:spacing w:after="0" w:line="240" w:lineRule="auto"/>
      </w:pPr>
      <w:r>
        <w:continuationSeparator/>
      </w:r>
    </w:p>
  </w:footnote>
  <w:footnote w:type="continuationNotice" w:id="1">
    <w:p w:rsidR="000D6E8F" w:rsidRDefault="000D6E8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23DF3"/>
    <w:multiLevelType w:val="hybridMultilevel"/>
    <w:tmpl w:val="A8A66C76"/>
    <w:lvl w:ilvl="0" w:tplc="04150011">
      <w:start w:val="1"/>
      <w:numFmt w:val="decimal"/>
      <w:lvlText w:val="%1)"/>
      <w:lvlJc w:val="left"/>
      <w:pPr>
        <w:ind w:left="746" w:hanging="360"/>
      </w:pPr>
    </w:lvl>
    <w:lvl w:ilvl="1" w:tplc="04150019" w:tentative="1">
      <w:start w:val="1"/>
      <w:numFmt w:val="lowerLetter"/>
      <w:lvlText w:val="%2."/>
      <w:lvlJc w:val="left"/>
      <w:pPr>
        <w:ind w:left="1466" w:hanging="360"/>
      </w:pPr>
    </w:lvl>
    <w:lvl w:ilvl="2" w:tplc="0415001B" w:tentative="1">
      <w:start w:val="1"/>
      <w:numFmt w:val="lowerRoman"/>
      <w:lvlText w:val="%3."/>
      <w:lvlJc w:val="right"/>
      <w:pPr>
        <w:ind w:left="2186" w:hanging="180"/>
      </w:pPr>
    </w:lvl>
    <w:lvl w:ilvl="3" w:tplc="0415000F" w:tentative="1">
      <w:start w:val="1"/>
      <w:numFmt w:val="decimal"/>
      <w:lvlText w:val="%4."/>
      <w:lvlJc w:val="left"/>
      <w:pPr>
        <w:ind w:left="2906" w:hanging="360"/>
      </w:pPr>
    </w:lvl>
    <w:lvl w:ilvl="4" w:tplc="04150019" w:tentative="1">
      <w:start w:val="1"/>
      <w:numFmt w:val="lowerLetter"/>
      <w:lvlText w:val="%5."/>
      <w:lvlJc w:val="left"/>
      <w:pPr>
        <w:ind w:left="3626" w:hanging="360"/>
      </w:pPr>
    </w:lvl>
    <w:lvl w:ilvl="5" w:tplc="0415001B" w:tentative="1">
      <w:start w:val="1"/>
      <w:numFmt w:val="lowerRoman"/>
      <w:lvlText w:val="%6."/>
      <w:lvlJc w:val="right"/>
      <w:pPr>
        <w:ind w:left="4346" w:hanging="180"/>
      </w:pPr>
    </w:lvl>
    <w:lvl w:ilvl="6" w:tplc="0415000F" w:tentative="1">
      <w:start w:val="1"/>
      <w:numFmt w:val="decimal"/>
      <w:lvlText w:val="%7."/>
      <w:lvlJc w:val="left"/>
      <w:pPr>
        <w:ind w:left="5066" w:hanging="360"/>
      </w:pPr>
    </w:lvl>
    <w:lvl w:ilvl="7" w:tplc="04150019" w:tentative="1">
      <w:start w:val="1"/>
      <w:numFmt w:val="lowerLetter"/>
      <w:lvlText w:val="%8."/>
      <w:lvlJc w:val="left"/>
      <w:pPr>
        <w:ind w:left="5786" w:hanging="360"/>
      </w:pPr>
    </w:lvl>
    <w:lvl w:ilvl="8" w:tplc="0415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1" w15:restartNumberingAfterBreak="0">
    <w:nsid w:val="065C25D1"/>
    <w:multiLevelType w:val="multilevel"/>
    <w:tmpl w:val="66B0D572"/>
    <w:numStyleLink w:val="HTA-Listapunktowa1"/>
  </w:abstractNum>
  <w:abstractNum w:abstractNumId="2" w15:restartNumberingAfterBreak="0">
    <w:nsid w:val="0B295350"/>
    <w:multiLevelType w:val="hybridMultilevel"/>
    <w:tmpl w:val="D58AA9A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8B14AE"/>
    <w:multiLevelType w:val="hybridMultilevel"/>
    <w:tmpl w:val="FC54D33E"/>
    <w:lvl w:ilvl="0" w:tplc="842E495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C64A44"/>
    <w:multiLevelType w:val="hybridMultilevel"/>
    <w:tmpl w:val="CC22C274"/>
    <w:lvl w:ilvl="0" w:tplc="842E4958">
      <w:start w:val="1"/>
      <w:numFmt w:val="decimal"/>
      <w:lvlText w:val="%1)"/>
      <w:lvlJc w:val="left"/>
      <w:pPr>
        <w:ind w:left="117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5" w15:restartNumberingAfterBreak="0">
    <w:nsid w:val="168523D1"/>
    <w:multiLevelType w:val="hybridMultilevel"/>
    <w:tmpl w:val="65BC3B36"/>
    <w:lvl w:ilvl="0" w:tplc="842E495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F20164"/>
    <w:multiLevelType w:val="hybridMultilevel"/>
    <w:tmpl w:val="793C74D0"/>
    <w:lvl w:ilvl="0" w:tplc="0520F494">
      <w:start w:val="4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0D1DEB"/>
    <w:multiLevelType w:val="hybridMultilevel"/>
    <w:tmpl w:val="0E901CC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994D93"/>
    <w:multiLevelType w:val="hybridMultilevel"/>
    <w:tmpl w:val="25A487C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50E312B"/>
    <w:multiLevelType w:val="hybridMultilevel"/>
    <w:tmpl w:val="19F63ACA"/>
    <w:lvl w:ilvl="0" w:tplc="458A1D52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A07FE9"/>
    <w:multiLevelType w:val="hybridMultilevel"/>
    <w:tmpl w:val="DEAAAC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55589A"/>
    <w:multiLevelType w:val="hybridMultilevel"/>
    <w:tmpl w:val="15CEFD2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33E1041D"/>
    <w:multiLevelType w:val="hybridMultilevel"/>
    <w:tmpl w:val="E7C6254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1002A0"/>
    <w:multiLevelType w:val="hybridMultilevel"/>
    <w:tmpl w:val="A10248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5C70A0"/>
    <w:multiLevelType w:val="hybridMultilevel"/>
    <w:tmpl w:val="DEDC56E4"/>
    <w:lvl w:ilvl="0" w:tplc="842E495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1A5C36"/>
    <w:multiLevelType w:val="hybridMultilevel"/>
    <w:tmpl w:val="9F2CD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073B1A"/>
    <w:multiLevelType w:val="hybridMultilevel"/>
    <w:tmpl w:val="3D42925A"/>
    <w:lvl w:ilvl="0" w:tplc="0E4A7E3A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1F4D8A"/>
    <w:multiLevelType w:val="hybridMultilevel"/>
    <w:tmpl w:val="E0302A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5C6651"/>
    <w:multiLevelType w:val="hybridMultilevel"/>
    <w:tmpl w:val="AEC8BB72"/>
    <w:lvl w:ilvl="0" w:tplc="BB02C1EA">
      <w:start w:val="1"/>
      <w:numFmt w:val="decimal"/>
      <w:lvlText w:val="%1)"/>
      <w:lvlJc w:val="left"/>
      <w:pPr>
        <w:ind w:left="8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9" w15:restartNumberingAfterBreak="0">
    <w:nsid w:val="407A46CE"/>
    <w:multiLevelType w:val="hybridMultilevel"/>
    <w:tmpl w:val="009218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9B299F"/>
    <w:multiLevelType w:val="hybridMultilevel"/>
    <w:tmpl w:val="C780EBAC"/>
    <w:lvl w:ilvl="0" w:tplc="DBFA89D0">
      <w:start w:val="7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4897261"/>
    <w:multiLevelType w:val="hybridMultilevel"/>
    <w:tmpl w:val="91145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D02BD5"/>
    <w:multiLevelType w:val="hybridMultilevel"/>
    <w:tmpl w:val="30EE6314"/>
    <w:lvl w:ilvl="0" w:tplc="9FEE1C7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B64805"/>
    <w:multiLevelType w:val="hybridMultilevel"/>
    <w:tmpl w:val="3D42925A"/>
    <w:lvl w:ilvl="0" w:tplc="0E4A7E3A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A72344"/>
    <w:multiLevelType w:val="hybridMultilevel"/>
    <w:tmpl w:val="33C8D730"/>
    <w:lvl w:ilvl="0" w:tplc="7FA42E0E">
      <w:start w:val="1"/>
      <w:numFmt w:val="decimal"/>
      <w:lvlText w:val="%1)"/>
      <w:lvlJc w:val="left"/>
      <w:pPr>
        <w:ind w:left="3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06" w:hanging="360"/>
      </w:pPr>
    </w:lvl>
    <w:lvl w:ilvl="2" w:tplc="0415001B">
      <w:start w:val="1"/>
      <w:numFmt w:val="lowerRoman"/>
      <w:lvlText w:val="%3."/>
      <w:lvlJc w:val="right"/>
      <w:pPr>
        <w:ind w:left="1826" w:hanging="180"/>
      </w:pPr>
    </w:lvl>
    <w:lvl w:ilvl="3" w:tplc="0415000F">
      <w:start w:val="1"/>
      <w:numFmt w:val="decimal"/>
      <w:lvlText w:val="%4."/>
      <w:lvlJc w:val="left"/>
      <w:pPr>
        <w:ind w:left="2546" w:hanging="360"/>
      </w:pPr>
    </w:lvl>
    <w:lvl w:ilvl="4" w:tplc="04150019">
      <w:start w:val="1"/>
      <w:numFmt w:val="lowerLetter"/>
      <w:lvlText w:val="%5."/>
      <w:lvlJc w:val="left"/>
      <w:pPr>
        <w:ind w:left="3266" w:hanging="360"/>
      </w:pPr>
    </w:lvl>
    <w:lvl w:ilvl="5" w:tplc="0415001B">
      <w:start w:val="1"/>
      <w:numFmt w:val="lowerRoman"/>
      <w:lvlText w:val="%6."/>
      <w:lvlJc w:val="right"/>
      <w:pPr>
        <w:ind w:left="3986" w:hanging="180"/>
      </w:pPr>
    </w:lvl>
    <w:lvl w:ilvl="6" w:tplc="0415000F">
      <w:start w:val="1"/>
      <w:numFmt w:val="decimal"/>
      <w:lvlText w:val="%7."/>
      <w:lvlJc w:val="left"/>
      <w:pPr>
        <w:ind w:left="4706" w:hanging="360"/>
      </w:pPr>
    </w:lvl>
    <w:lvl w:ilvl="7" w:tplc="04150019">
      <w:start w:val="1"/>
      <w:numFmt w:val="lowerLetter"/>
      <w:lvlText w:val="%8."/>
      <w:lvlJc w:val="left"/>
      <w:pPr>
        <w:ind w:left="5426" w:hanging="360"/>
      </w:pPr>
    </w:lvl>
    <w:lvl w:ilvl="8" w:tplc="0415001B">
      <w:start w:val="1"/>
      <w:numFmt w:val="lowerRoman"/>
      <w:lvlText w:val="%9."/>
      <w:lvlJc w:val="right"/>
      <w:pPr>
        <w:ind w:left="6146" w:hanging="180"/>
      </w:pPr>
    </w:lvl>
  </w:abstractNum>
  <w:abstractNum w:abstractNumId="25" w15:restartNumberingAfterBreak="0">
    <w:nsid w:val="5363320E"/>
    <w:multiLevelType w:val="hybridMultilevel"/>
    <w:tmpl w:val="6C2A01D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8062207"/>
    <w:multiLevelType w:val="hybridMultilevel"/>
    <w:tmpl w:val="F50A3D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175ABE"/>
    <w:multiLevelType w:val="multilevel"/>
    <w:tmpl w:val="66B0D572"/>
    <w:styleLink w:val="HTA-Listapunktowa1"/>
    <w:lvl w:ilvl="0">
      <w:start w:val="1"/>
      <w:numFmt w:val="bullet"/>
      <w:pStyle w:val="Listapunktowana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000000"/>
      </w:rPr>
    </w:lvl>
    <w:lvl w:ilvl="1">
      <w:start w:val="1"/>
      <w:numFmt w:val="bullet"/>
      <w:pStyle w:val="Listapunktowana2"/>
      <w:lvlText w:val="o"/>
      <w:lvlJc w:val="left"/>
      <w:pPr>
        <w:tabs>
          <w:tab w:val="num" w:pos="851"/>
        </w:tabs>
        <w:ind w:left="851" w:hanging="283"/>
      </w:pPr>
      <w:rPr>
        <w:rFonts w:ascii="Courier New" w:hAnsi="Courier New" w:hint="default"/>
      </w:rPr>
    </w:lvl>
    <w:lvl w:ilvl="2">
      <w:start w:val="1"/>
      <w:numFmt w:val="none"/>
      <w:pStyle w:val="Listapunktowana3"/>
      <w:lvlText w:val="-"/>
      <w:lvlJc w:val="left"/>
      <w:pPr>
        <w:tabs>
          <w:tab w:val="num" w:pos="1135"/>
        </w:tabs>
        <w:ind w:left="1135" w:hanging="283"/>
      </w:pPr>
      <w:rPr>
        <w:rFonts w:hint="default"/>
      </w:rPr>
    </w:lvl>
    <w:lvl w:ilvl="3">
      <w:start w:val="1"/>
      <w:numFmt w:val="bullet"/>
      <w:pStyle w:val="Listapunktowana4"/>
      <w:lvlText w:val="·"/>
      <w:lvlJc w:val="left"/>
      <w:pPr>
        <w:tabs>
          <w:tab w:val="num" w:pos="1419"/>
        </w:tabs>
        <w:ind w:left="1419" w:hanging="283"/>
      </w:pPr>
      <w:rPr>
        <w:rFonts w:ascii="Arial" w:hAnsi="Arial" w:hint="default"/>
        <w:color w:val="000000"/>
      </w:rPr>
    </w:lvl>
    <w:lvl w:ilvl="4">
      <w:start w:val="1"/>
      <w:numFmt w:val="bullet"/>
      <w:pStyle w:val="Listapunktowana5"/>
      <w:lvlText w:val="·"/>
      <w:lvlJc w:val="left"/>
      <w:pPr>
        <w:tabs>
          <w:tab w:val="num" w:pos="1703"/>
        </w:tabs>
        <w:ind w:left="1703" w:hanging="283"/>
      </w:pPr>
      <w:rPr>
        <w:rFonts w:ascii="Arial" w:hAnsi="Arial" w:hint="default"/>
        <w:color w:val="000000"/>
      </w:rPr>
    </w:lvl>
    <w:lvl w:ilvl="5">
      <w:start w:val="1"/>
      <w:numFmt w:val="bullet"/>
      <w:lvlText w:val="-"/>
      <w:lvlJc w:val="left"/>
      <w:pPr>
        <w:tabs>
          <w:tab w:val="num" w:pos="1987"/>
        </w:tabs>
        <w:ind w:left="1987" w:hanging="283"/>
      </w:pPr>
      <w:rPr>
        <w:rFonts w:ascii="Arial" w:hAnsi="Arial" w:hint="default"/>
        <w:color w:val="000000"/>
      </w:rPr>
    </w:lvl>
    <w:lvl w:ilvl="6">
      <w:start w:val="1"/>
      <w:numFmt w:val="bullet"/>
      <w:lvlText w:val="-"/>
      <w:lvlJc w:val="left"/>
      <w:pPr>
        <w:tabs>
          <w:tab w:val="num" w:pos="2271"/>
        </w:tabs>
        <w:ind w:left="2271" w:hanging="283"/>
      </w:pPr>
      <w:rPr>
        <w:rFonts w:ascii="Arial" w:hAnsi="Arial" w:hint="default"/>
        <w:color w:val="000000"/>
      </w:rPr>
    </w:lvl>
    <w:lvl w:ilvl="7">
      <w:start w:val="1"/>
      <w:numFmt w:val="bullet"/>
      <w:lvlText w:val="-"/>
      <w:lvlJc w:val="left"/>
      <w:pPr>
        <w:tabs>
          <w:tab w:val="num" w:pos="2555"/>
        </w:tabs>
        <w:ind w:left="2555" w:hanging="283"/>
      </w:pPr>
      <w:rPr>
        <w:rFonts w:ascii="Arial" w:hAnsi="Arial" w:hint="default"/>
        <w:color w:val="000000"/>
      </w:rPr>
    </w:lvl>
    <w:lvl w:ilvl="8">
      <w:start w:val="1"/>
      <w:numFmt w:val="bullet"/>
      <w:lvlText w:val="-"/>
      <w:lvlJc w:val="left"/>
      <w:pPr>
        <w:tabs>
          <w:tab w:val="num" w:pos="2839"/>
        </w:tabs>
        <w:ind w:left="2839" w:hanging="283"/>
      </w:pPr>
      <w:rPr>
        <w:rFonts w:ascii="Arial" w:hAnsi="Arial" w:hint="default"/>
        <w:color w:val="000000"/>
      </w:rPr>
    </w:lvl>
  </w:abstractNum>
  <w:abstractNum w:abstractNumId="28" w15:restartNumberingAfterBreak="0">
    <w:nsid w:val="5C1B3165"/>
    <w:multiLevelType w:val="multilevel"/>
    <w:tmpl w:val="7FA44798"/>
    <w:styleLink w:val="HTA-Listanagwkwrozdziaw"/>
    <w:lvl w:ilvl="0">
      <w:start w:val="1"/>
      <w:numFmt w:val="decimal"/>
      <w:pStyle w:val="Nagwek1"/>
      <w:lvlText w:val="%1."/>
      <w:lvlJc w:val="left"/>
      <w:pPr>
        <w:tabs>
          <w:tab w:val="num" w:pos="0"/>
        </w:tabs>
        <w:ind w:left="0" w:hanging="737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0"/>
        </w:tabs>
        <w:ind w:left="0" w:hanging="624"/>
      </w:pPr>
      <w:rPr>
        <w:rFonts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Nagwek5"/>
      <w:lvlText w:val="%1.%2.%3.%4.%5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5">
      <w:start w:val="1"/>
      <w:numFmt w:val="none"/>
      <w:pStyle w:val="Nagwek6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pStyle w:val="Nagwek7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pStyle w:val="Nagwek8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pStyle w:val="Nagwek9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9" w15:restartNumberingAfterBreak="0">
    <w:nsid w:val="5C33504A"/>
    <w:multiLevelType w:val="hybridMultilevel"/>
    <w:tmpl w:val="F7C00B64"/>
    <w:lvl w:ilvl="0" w:tplc="842E4958">
      <w:start w:val="1"/>
      <w:numFmt w:val="decimal"/>
      <w:lvlText w:val="%1)"/>
      <w:lvlJc w:val="left"/>
      <w:pPr>
        <w:ind w:left="7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66" w:hanging="360"/>
      </w:pPr>
    </w:lvl>
    <w:lvl w:ilvl="2" w:tplc="0415001B" w:tentative="1">
      <w:start w:val="1"/>
      <w:numFmt w:val="lowerRoman"/>
      <w:lvlText w:val="%3."/>
      <w:lvlJc w:val="right"/>
      <w:pPr>
        <w:ind w:left="2186" w:hanging="180"/>
      </w:pPr>
    </w:lvl>
    <w:lvl w:ilvl="3" w:tplc="0415000F" w:tentative="1">
      <w:start w:val="1"/>
      <w:numFmt w:val="decimal"/>
      <w:lvlText w:val="%4."/>
      <w:lvlJc w:val="left"/>
      <w:pPr>
        <w:ind w:left="2906" w:hanging="360"/>
      </w:pPr>
    </w:lvl>
    <w:lvl w:ilvl="4" w:tplc="04150019" w:tentative="1">
      <w:start w:val="1"/>
      <w:numFmt w:val="lowerLetter"/>
      <w:lvlText w:val="%5."/>
      <w:lvlJc w:val="left"/>
      <w:pPr>
        <w:ind w:left="3626" w:hanging="360"/>
      </w:pPr>
    </w:lvl>
    <w:lvl w:ilvl="5" w:tplc="0415001B" w:tentative="1">
      <w:start w:val="1"/>
      <w:numFmt w:val="lowerRoman"/>
      <w:lvlText w:val="%6."/>
      <w:lvlJc w:val="right"/>
      <w:pPr>
        <w:ind w:left="4346" w:hanging="180"/>
      </w:pPr>
    </w:lvl>
    <w:lvl w:ilvl="6" w:tplc="0415000F" w:tentative="1">
      <w:start w:val="1"/>
      <w:numFmt w:val="decimal"/>
      <w:lvlText w:val="%7."/>
      <w:lvlJc w:val="left"/>
      <w:pPr>
        <w:ind w:left="5066" w:hanging="360"/>
      </w:pPr>
    </w:lvl>
    <w:lvl w:ilvl="7" w:tplc="04150019" w:tentative="1">
      <w:start w:val="1"/>
      <w:numFmt w:val="lowerLetter"/>
      <w:lvlText w:val="%8."/>
      <w:lvlJc w:val="left"/>
      <w:pPr>
        <w:ind w:left="5786" w:hanging="360"/>
      </w:pPr>
    </w:lvl>
    <w:lvl w:ilvl="8" w:tplc="0415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30" w15:restartNumberingAfterBreak="0">
    <w:nsid w:val="5E9A07EE"/>
    <w:multiLevelType w:val="hybridMultilevel"/>
    <w:tmpl w:val="E174A7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ED4279B"/>
    <w:multiLevelType w:val="hybridMultilevel"/>
    <w:tmpl w:val="58AE705C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2" w15:restartNumberingAfterBreak="0">
    <w:nsid w:val="5F3F4034"/>
    <w:multiLevelType w:val="hybridMultilevel"/>
    <w:tmpl w:val="E1260CE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FED5E79"/>
    <w:multiLevelType w:val="hybridMultilevel"/>
    <w:tmpl w:val="2BDE2EEC"/>
    <w:lvl w:ilvl="0" w:tplc="7FC2A698">
      <w:start w:val="5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2E471A"/>
    <w:multiLevelType w:val="hybridMultilevel"/>
    <w:tmpl w:val="E154FBD0"/>
    <w:lvl w:ilvl="0" w:tplc="3140E5C8">
      <w:start w:val="20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62952BF8"/>
    <w:multiLevelType w:val="multilevel"/>
    <w:tmpl w:val="F52C1CDE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color w:val="000000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hint="default"/>
        <w:color w:val="00000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color w:val="00000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color w:val="00000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color w:val="00000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color w:val="00000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color w:val="00000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hint="default"/>
        <w:color w:val="000000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hint="default"/>
        <w:color w:val="000000"/>
        <w:sz w:val="20"/>
      </w:rPr>
    </w:lvl>
  </w:abstractNum>
  <w:abstractNum w:abstractNumId="36" w15:restartNumberingAfterBreak="0">
    <w:nsid w:val="638E1576"/>
    <w:multiLevelType w:val="hybridMultilevel"/>
    <w:tmpl w:val="E11EE0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37" w15:restartNumberingAfterBreak="0">
    <w:nsid w:val="68C8076B"/>
    <w:multiLevelType w:val="hybridMultilevel"/>
    <w:tmpl w:val="4BBAA710"/>
    <w:lvl w:ilvl="0" w:tplc="842E4958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90657F7"/>
    <w:multiLevelType w:val="hybridMultilevel"/>
    <w:tmpl w:val="DF94B7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6F6F67"/>
    <w:multiLevelType w:val="multilevel"/>
    <w:tmpl w:val="3BD83B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48" w:hanging="1440"/>
      </w:pPr>
      <w:rPr>
        <w:rFonts w:hint="default"/>
      </w:rPr>
    </w:lvl>
  </w:abstractNum>
  <w:abstractNum w:abstractNumId="40" w15:restartNumberingAfterBreak="0">
    <w:nsid w:val="756E4096"/>
    <w:multiLevelType w:val="hybridMultilevel"/>
    <w:tmpl w:val="DF2E8F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EA4A19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23282E"/>
    <w:multiLevelType w:val="hybridMultilevel"/>
    <w:tmpl w:val="90C42DD4"/>
    <w:lvl w:ilvl="0" w:tplc="991C5ECC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E277AB8"/>
    <w:multiLevelType w:val="hybridMultilevel"/>
    <w:tmpl w:val="A564921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98FC7A8A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6"/>
  </w:num>
  <w:num w:numId="2">
    <w:abstractNumId w:val="6"/>
  </w:num>
  <w:num w:numId="3">
    <w:abstractNumId w:val="17"/>
  </w:num>
  <w:num w:numId="4">
    <w:abstractNumId w:val="12"/>
  </w:num>
  <w:num w:numId="5">
    <w:abstractNumId w:val="24"/>
  </w:num>
  <w:num w:numId="6">
    <w:abstractNumId w:val="38"/>
  </w:num>
  <w:num w:numId="7">
    <w:abstractNumId w:val="41"/>
  </w:num>
  <w:num w:numId="8">
    <w:abstractNumId w:val="37"/>
  </w:num>
  <w:num w:numId="9">
    <w:abstractNumId w:val="34"/>
  </w:num>
  <w:num w:numId="10">
    <w:abstractNumId w:val="33"/>
  </w:num>
  <w:num w:numId="11">
    <w:abstractNumId w:val="9"/>
  </w:num>
  <w:num w:numId="12">
    <w:abstractNumId w:val="7"/>
  </w:num>
  <w:num w:numId="13">
    <w:abstractNumId w:val="19"/>
  </w:num>
  <w:num w:numId="14">
    <w:abstractNumId w:val="26"/>
  </w:num>
  <w:num w:numId="15">
    <w:abstractNumId w:val="11"/>
  </w:num>
  <w:num w:numId="16">
    <w:abstractNumId w:val="0"/>
  </w:num>
  <w:num w:numId="17">
    <w:abstractNumId w:val="40"/>
  </w:num>
  <w:num w:numId="18">
    <w:abstractNumId w:val="2"/>
  </w:num>
  <w:num w:numId="19">
    <w:abstractNumId w:val="30"/>
  </w:num>
  <w:num w:numId="20">
    <w:abstractNumId w:val="8"/>
  </w:num>
  <w:num w:numId="21">
    <w:abstractNumId w:val="25"/>
  </w:num>
  <w:num w:numId="22">
    <w:abstractNumId w:val="31"/>
  </w:num>
  <w:num w:numId="23">
    <w:abstractNumId w:val="42"/>
  </w:num>
  <w:num w:numId="24">
    <w:abstractNumId w:val="32"/>
  </w:num>
  <w:num w:numId="25">
    <w:abstractNumId w:val="20"/>
  </w:num>
  <w:num w:numId="26">
    <w:abstractNumId w:val="28"/>
  </w:num>
  <w:num w:numId="27">
    <w:abstractNumId w:val="27"/>
  </w:num>
  <w:num w:numId="28">
    <w:abstractNumId w:val="1"/>
  </w:num>
  <w:num w:numId="29">
    <w:abstractNumId w:val="15"/>
  </w:num>
  <w:num w:numId="30">
    <w:abstractNumId w:val="22"/>
  </w:num>
  <w:num w:numId="31">
    <w:abstractNumId w:val="21"/>
  </w:num>
  <w:num w:numId="32">
    <w:abstractNumId w:val="3"/>
  </w:num>
  <w:num w:numId="33">
    <w:abstractNumId w:val="14"/>
  </w:num>
  <w:num w:numId="34">
    <w:abstractNumId w:val="39"/>
  </w:num>
  <w:num w:numId="35">
    <w:abstractNumId w:val="5"/>
  </w:num>
  <w:num w:numId="36">
    <w:abstractNumId w:val="29"/>
  </w:num>
  <w:num w:numId="37">
    <w:abstractNumId w:val="10"/>
  </w:num>
  <w:num w:numId="38">
    <w:abstractNumId w:val="35"/>
  </w:num>
  <w:num w:numId="39">
    <w:abstractNumId w:val="16"/>
  </w:num>
  <w:num w:numId="40">
    <w:abstractNumId w:val="4"/>
  </w:num>
  <w:num w:numId="41">
    <w:abstractNumId w:val="18"/>
  </w:num>
  <w:num w:numId="42">
    <w:abstractNumId w:val="23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659"/>
    <w:rsid w:val="00002952"/>
    <w:rsid w:val="00004684"/>
    <w:rsid w:val="000062BE"/>
    <w:rsid w:val="00015017"/>
    <w:rsid w:val="0001573A"/>
    <w:rsid w:val="00027729"/>
    <w:rsid w:val="00036610"/>
    <w:rsid w:val="00041D83"/>
    <w:rsid w:val="00047F48"/>
    <w:rsid w:val="00073E5A"/>
    <w:rsid w:val="000756D4"/>
    <w:rsid w:val="0009565F"/>
    <w:rsid w:val="000A602C"/>
    <w:rsid w:val="000C37D6"/>
    <w:rsid w:val="000D209A"/>
    <w:rsid w:val="000D6E8F"/>
    <w:rsid w:val="000E3FE1"/>
    <w:rsid w:val="000F41DB"/>
    <w:rsid w:val="0010000F"/>
    <w:rsid w:val="00121808"/>
    <w:rsid w:val="00126C29"/>
    <w:rsid w:val="001354AD"/>
    <w:rsid w:val="001413F4"/>
    <w:rsid w:val="00147A12"/>
    <w:rsid w:val="00150D9E"/>
    <w:rsid w:val="0018041C"/>
    <w:rsid w:val="00183508"/>
    <w:rsid w:val="00186B5C"/>
    <w:rsid w:val="00193AD7"/>
    <w:rsid w:val="001E734C"/>
    <w:rsid w:val="001F24B1"/>
    <w:rsid w:val="001F49D4"/>
    <w:rsid w:val="00206911"/>
    <w:rsid w:val="0021143E"/>
    <w:rsid w:val="00212380"/>
    <w:rsid w:val="002207D0"/>
    <w:rsid w:val="00222D1A"/>
    <w:rsid w:val="002240D2"/>
    <w:rsid w:val="00232492"/>
    <w:rsid w:val="00242728"/>
    <w:rsid w:val="00244ED4"/>
    <w:rsid w:val="002551E8"/>
    <w:rsid w:val="00260301"/>
    <w:rsid w:val="002639F8"/>
    <w:rsid w:val="0027207C"/>
    <w:rsid w:val="002831A7"/>
    <w:rsid w:val="00286661"/>
    <w:rsid w:val="00286DAA"/>
    <w:rsid w:val="002B3138"/>
    <w:rsid w:val="002B3410"/>
    <w:rsid w:val="002C37A0"/>
    <w:rsid w:val="002E533B"/>
    <w:rsid w:val="00304613"/>
    <w:rsid w:val="00307C83"/>
    <w:rsid w:val="00315E5B"/>
    <w:rsid w:val="003177D7"/>
    <w:rsid w:val="003230E1"/>
    <w:rsid w:val="00323D96"/>
    <w:rsid w:val="003511A5"/>
    <w:rsid w:val="00352893"/>
    <w:rsid w:val="00357D7E"/>
    <w:rsid w:val="003850B9"/>
    <w:rsid w:val="00391659"/>
    <w:rsid w:val="00394CD2"/>
    <w:rsid w:val="003A5310"/>
    <w:rsid w:val="003A6678"/>
    <w:rsid w:val="003B6669"/>
    <w:rsid w:val="003B7FF7"/>
    <w:rsid w:val="003E705E"/>
    <w:rsid w:val="00410408"/>
    <w:rsid w:val="004135BD"/>
    <w:rsid w:val="00434003"/>
    <w:rsid w:val="004445E6"/>
    <w:rsid w:val="0044785A"/>
    <w:rsid w:val="004532F0"/>
    <w:rsid w:val="00464EC7"/>
    <w:rsid w:val="0048356B"/>
    <w:rsid w:val="004B638A"/>
    <w:rsid w:val="004C46E8"/>
    <w:rsid w:val="004C7979"/>
    <w:rsid w:val="004D4FE3"/>
    <w:rsid w:val="00500669"/>
    <w:rsid w:val="00501B40"/>
    <w:rsid w:val="00505839"/>
    <w:rsid w:val="0053442E"/>
    <w:rsid w:val="00555E90"/>
    <w:rsid w:val="00570A23"/>
    <w:rsid w:val="005A1BB7"/>
    <w:rsid w:val="005C418B"/>
    <w:rsid w:val="005E71B0"/>
    <w:rsid w:val="005E72B4"/>
    <w:rsid w:val="005E7FE0"/>
    <w:rsid w:val="005F484B"/>
    <w:rsid w:val="0061414E"/>
    <w:rsid w:val="00635021"/>
    <w:rsid w:val="00635E79"/>
    <w:rsid w:val="00655959"/>
    <w:rsid w:val="00660CB1"/>
    <w:rsid w:val="00664552"/>
    <w:rsid w:val="006A0A09"/>
    <w:rsid w:val="006A63F8"/>
    <w:rsid w:val="006B3D1D"/>
    <w:rsid w:val="006D7488"/>
    <w:rsid w:val="006F04F7"/>
    <w:rsid w:val="006F2A96"/>
    <w:rsid w:val="006F6826"/>
    <w:rsid w:val="00701FC9"/>
    <w:rsid w:val="00706F1F"/>
    <w:rsid w:val="00712715"/>
    <w:rsid w:val="00713D97"/>
    <w:rsid w:val="0071573D"/>
    <w:rsid w:val="007165E1"/>
    <w:rsid w:val="00726173"/>
    <w:rsid w:val="00742CF6"/>
    <w:rsid w:val="00744D43"/>
    <w:rsid w:val="00753573"/>
    <w:rsid w:val="0075468E"/>
    <w:rsid w:val="007554F1"/>
    <w:rsid w:val="00765D5C"/>
    <w:rsid w:val="00770CE5"/>
    <w:rsid w:val="00772CE1"/>
    <w:rsid w:val="00776EFA"/>
    <w:rsid w:val="00783659"/>
    <w:rsid w:val="00795FC9"/>
    <w:rsid w:val="007A794F"/>
    <w:rsid w:val="007B7480"/>
    <w:rsid w:val="007F4601"/>
    <w:rsid w:val="007F58B9"/>
    <w:rsid w:val="008152B2"/>
    <w:rsid w:val="00822A21"/>
    <w:rsid w:val="00825FED"/>
    <w:rsid w:val="0082651F"/>
    <w:rsid w:val="00834F13"/>
    <w:rsid w:val="00844CAC"/>
    <w:rsid w:val="00847EEA"/>
    <w:rsid w:val="00886D0C"/>
    <w:rsid w:val="00891A20"/>
    <w:rsid w:val="008B739C"/>
    <w:rsid w:val="008C4F23"/>
    <w:rsid w:val="008E1B48"/>
    <w:rsid w:val="008E758D"/>
    <w:rsid w:val="00902A9C"/>
    <w:rsid w:val="009150D3"/>
    <w:rsid w:val="00924446"/>
    <w:rsid w:val="00932CC3"/>
    <w:rsid w:val="0094027F"/>
    <w:rsid w:val="009468A7"/>
    <w:rsid w:val="00962B29"/>
    <w:rsid w:val="00990049"/>
    <w:rsid w:val="00990186"/>
    <w:rsid w:val="009A169F"/>
    <w:rsid w:val="009A52C5"/>
    <w:rsid w:val="009B2656"/>
    <w:rsid w:val="009B3097"/>
    <w:rsid w:val="009C0260"/>
    <w:rsid w:val="009C1090"/>
    <w:rsid w:val="009C5735"/>
    <w:rsid w:val="009C61E3"/>
    <w:rsid w:val="00A00543"/>
    <w:rsid w:val="00A00D62"/>
    <w:rsid w:val="00A130F1"/>
    <w:rsid w:val="00A454F5"/>
    <w:rsid w:val="00A46912"/>
    <w:rsid w:val="00A521BB"/>
    <w:rsid w:val="00A62B80"/>
    <w:rsid w:val="00A63C86"/>
    <w:rsid w:val="00A641AE"/>
    <w:rsid w:val="00AC0D72"/>
    <w:rsid w:val="00AD0B53"/>
    <w:rsid w:val="00AD473E"/>
    <w:rsid w:val="00AF2F6B"/>
    <w:rsid w:val="00AF7BD2"/>
    <w:rsid w:val="00B00F7F"/>
    <w:rsid w:val="00B2237D"/>
    <w:rsid w:val="00B3571D"/>
    <w:rsid w:val="00B37914"/>
    <w:rsid w:val="00B4090F"/>
    <w:rsid w:val="00B45CF6"/>
    <w:rsid w:val="00B646CB"/>
    <w:rsid w:val="00B66CEB"/>
    <w:rsid w:val="00B67352"/>
    <w:rsid w:val="00B74059"/>
    <w:rsid w:val="00B83D9B"/>
    <w:rsid w:val="00B87652"/>
    <w:rsid w:val="00B96415"/>
    <w:rsid w:val="00BA5498"/>
    <w:rsid w:val="00BB0ACC"/>
    <w:rsid w:val="00BB4002"/>
    <w:rsid w:val="00BC2E78"/>
    <w:rsid w:val="00BC5F6D"/>
    <w:rsid w:val="00BC62B0"/>
    <w:rsid w:val="00BC6A89"/>
    <w:rsid w:val="00BD0DC3"/>
    <w:rsid w:val="00C03592"/>
    <w:rsid w:val="00C12BCE"/>
    <w:rsid w:val="00C44391"/>
    <w:rsid w:val="00C608A0"/>
    <w:rsid w:val="00C815CC"/>
    <w:rsid w:val="00C816D5"/>
    <w:rsid w:val="00C92A8D"/>
    <w:rsid w:val="00CA2A82"/>
    <w:rsid w:val="00CA4D57"/>
    <w:rsid w:val="00CC2C11"/>
    <w:rsid w:val="00CD1F78"/>
    <w:rsid w:val="00CD720F"/>
    <w:rsid w:val="00CE612B"/>
    <w:rsid w:val="00CF1782"/>
    <w:rsid w:val="00D03D47"/>
    <w:rsid w:val="00D13209"/>
    <w:rsid w:val="00D21E68"/>
    <w:rsid w:val="00D46625"/>
    <w:rsid w:val="00D72DD8"/>
    <w:rsid w:val="00D95878"/>
    <w:rsid w:val="00D96820"/>
    <w:rsid w:val="00DB354B"/>
    <w:rsid w:val="00DC0B18"/>
    <w:rsid w:val="00DD35A9"/>
    <w:rsid w:val="00E053BC"/>
    <w:rsid w:val="00E37DDC"/>
    <w:rsid w:val="00E63CBF"/>
    <w:rsid w:val="00E642B3"/>
    <w:rsid w:val="00E83B53"/>
    <w:rsid w:val="00E9302A"/>
    <w:rsid w:val="00EA1E35"/>
    <w:rsid w:val="00EA5A1E"/>
    <w:rsid w:val="00EB70CD"/>
    <w:rsid w:val="00EC437C"/>
    <w:rsid w:val="00ED0B5E"/>
    <w:rsid w:val="00ED7AF3"/>
    <w:rsid w:val="00EE1F98"/>
    <w:rsid w:val="00EE5558"/>
    <w:rsid w:val="00EF348A"/>
    <w:rsid w:val="00EF6A8A"/>
    <w:rsid w:val="00F051E3"/>
    <w:rsid w:val="00F25480"/>
    <w:rsid w:val="00F477E0"/>
    <w:rsid w:val="00F526B3"/>
    <w:rsid w:val="00F712B7"/>
    <w:rsid w:val="00F72004"/>
    <w:rsid w:val="00F75C89"/>
    <w:rsid w:val="00F764C8"/>
    <w:rsid w:val="00F91B35"/>
    <w:rsid w:val="00FC05B4"/>
    <w:rsid w:val="00FD1745"/>
    <w:rsid w:val="00FD382D"/>
    <w:rsid w:val="00FF5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530E5B-8A54-42C0-AC4D-559674B69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0" w:qFormat="1"/>
    <w:lsdException w:name="heading 2" w:semiHidden="1" w:uiPriority="10" w:unhideWhenUsed="1" w:qFormat="1"/>
    <w:lsdException w:name="heading 3" w:semiHidden="1" w:uiPriority="10" w:unhideWhenUsed="1" w:qFormat="1"/>
    <w:lsdException w:name="heading 4" w:semiHidden="1" w:uiPriority="10" w:unhideWhenUsed="1" w:qFormat="1"/>
    <w:lsdException w:name="heading 5" w:semiHidden="1" w:uiPriority="10" w:unhideWhenUsed="1" w:qFormat="1"/>
    <w:lsdException w:name="heading 6" w:semiHidden="1" w:uiPriority="10" w:unhideWhenUsed="1" w:qFormat="1"/>
    <w:lsdException w:name="heading 7" w:semiHidden="1" w:uiPriority="10" w:unhideWhenUsed="1" w:qFormat="1"/>
    <w:lsdException w:name="heading 8" w:semiHidden="1" w:uiPriority="10" w:unhideWhenUsed="1" w:qFormat="1"/>
    <w:lsdException w:name="heading 9" w:semiHidden="1" w:uiPriority="1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4" w:unhideWhenUsed="1"/>
    <w:lsdException w:name="List Bullet 3" w:semiHidden="1" w:uiPriority="4" w:unhideWhenUsed="1"/>
    <w:lsdException w:name="List Bullet 4" w:semiHidden="1" w:uiPriority="4" w:unhideWhenUsed="1"/>
    <w:lsdException w:name="List Bullet 5" w:semiHidden="1" w:uiPriority="4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3659"/>
    <w:pPr>
      <w:spacing w:after="200" w:line="276" w:lineRule="auto"/>
    </w:pPr>
    <w:rPr>
      <w:rFonts w:ascii="Calibri" w:eastAsia="Calibri" w:hAnsi="Calibri" w:cs="Calibri"/>
      <w:sz w:val="22"/>
    </w:rPr>
  </w:style>
  <w:style w:type="paragraph" w:styleId="Nagwek1">
    <w:name w:val="heading 1"/>
    <w:basedOn w:val="Normalny"/>
    <w:next w:val="Tekstpodstawowy"/>
    <w:link w:val="Nagwek1Znak"/>
    <w:uiPriority w:val="10"/>
    <w:qFormat/>
    <w:rsid w:val="00570A23"/>
    <w:pPr>
      <w:keepNext/>
      <w:keepLines/>
      <w:pageBreakBefore/>
      <w:numPr>
        <w:numId w:val="26"/>
      </w:numPr>
      <w:spacing w:before="720" w:after="360" w:line="360" w:lineRule="auto"/>
      <w:jc w:val="both"/>
      <w:outlineLvl w:val="0"/>
    </w:pPr>
    <w:rPr>
      <w:rFonts w:ascii="Arial" w:eastAsia="Times New Roman" w:hAnsi="Arial" w:cs="Times New Roman"/>
      <w:b/>
      <w:caps/>
      <w:sz w:val="28"/>
      <w:szCs w:val="28"/>
      <w:lang w:bidi="en-US"/>
    </w:rPr>
  </w:style>
  <w:style w:type="paragraph" w:styleId="Nagwek2">
    <w:name w:val="heading 2"/>
    <w:basedOn w:val="Normalny"/>
    <w:next w:val="Tekstpodstawowy"/>
    <w:link w:val="Nagwek2Znak"/>
    <w:uiPriority w:val="10"/>
    <w:qFormat/>
    <w:rsid w:val="00570A23"/>
    <w:pPr>
      <w:keepNext/>
      <w:keepLines/>
      <w:numPr>
        <w:ilvl w:val="1"/>
        <w:numId w:val="26"/>
      </w:numPr>
      <w:spacing w:before="480" w:after="240" w:line="360" w:lineRule="auto"/>
      <w:jc w:val="both"/>
      <w:outlineLvl w:val="1"/>
    </w:pPr>
    <w:rPr>
      <w:rFonts w:ascii="Arial" w:eastAsia="Times New Roman" w:hAnsi="Arial" w:cs="Times New Roman"/>
      <w:b/>
      <w:sz w:val="24"/>
      <w:szCs w:val="26"/>
      <w:lang w:bidi="en-US"/>
    </w:rPr>
  </w:style>
  <w:style w:type="paragraph" w:styleId="Nagwek3">
    <w:name w:val="heading 3"/>
    <w:basedOn w:val="Normalny"/>
    <w:next w:val="Tekstpodstawowy"/>
    <w:link w:val="Nagwek3Znak"/>
    <w:uiPriority w:val="10"/>
    <w:unhideWhenUsed/>
    <w:qFormat/>
    <w:rsid w:val="00570A23"/>
    <w:pPr>
      <w:keepNext/>
      <w:keepLines/>
      <w:numPr>
        <w:ilvl w:val="2"/>
        <w:numId w:val="26"/>
      </w:numPr>
      <w:spacing w:before="480" w:after="120" w:line="360" w:lineRule="auto"/>
      <w:jc w:val="both"/>
      <w:outlineLvl w:val="2"/>
    </w:pPr>
    <w:rPr>
      <w:rFonts w:ascii="Arial" w:eastAsia="Times New Roman" w:hAnsi="Arial" w:cs="Times New Roman"/>
      <w:b/>
      <w:szCs w:val="20"/>
      <w:lang w:bidi="en-US"/>
    </w:rPr>
  </w:style>
  <w:style w:type="paragraph" w:styleId="Nagwek4">
    <w:name w:val="heading 4"/>
    <w:basedOn w:val="Normalny"/>
    <w:next w:val="Tekstpodstawowy"/>
    <w:link w:val="Nagwek4Znak"/>
    <w:uiPriority w:val="10"/>
    <w:unhideWhenUsed/>
    <w:qFormat/>
    <w:rsid w:val="00570A23"/>
    <w:pPr>
      <w:keepNext/>
      <w:keepLines/>
      <w:numPr>
        <w:ilvl w:val="3"/>
        <w:numId w:val="26"/>
      </w:numPr>
      <w:spacing w:before="360" w:after="120" w:line="360" w:lineRule="auto"/>
      <w:jc w:val="both"/>
      <w:outlineLvl w:val="3"/>
    </w:pPr>
    <w:rPr>
      <w:rFonts w:ascii="Arial" w:eastAsia="Times New Roman" w:hAnsi="Arial" w:cs="Times New Roman"/>
      <w:b/>
      <w:iCs/>
      <w:sz w:val="20"/>
      <w:szCs w:val="20"/>
      <w:lang w:bidi="en-US"/>
    </w:rPr>
  </w:style>
  <w:style w:type="paragraph" w:styleId="Nagwek5">
    <w:name w:val="heading 5"/>
    <w:basedOn w:val="Normalny"/>
    <w:next w:val="Tekstpodstawowy"/>
    <w:link w:val="Nagwek5Znak"/>
    <w:uiPriority w:val="10"/>
    <w:unhideWhenUsed/>
    <w:rsid w:val="00570A23"/>
    <w:pPr>
      <w:keepNext/>
      <w:keepLines/>
      <w:numPr>
        <w:ilvl w:val="4"/>
        <w:numId w:val="26"/>
      </w:numPr>
      <w:spacing w:before="200" w:after="0" w:line="360" w:lineRule="auto"/>
      <w:jc w:val="both"/>
      <w:outlineLvl w:val="4"/>
    </w:pPr>
    <w:rPr>
      <w:rFonts w:ascii="Arial" w:eastAsia="Times New Roman" w:hAnsi="Arial" w:cs="Times New Roman"/>
      <w:b/>
      <w:i/>
      <w:sz w:val="20"/>
      <w:szCs w:val="20"/>
      <w:lang w:bidi="en-US"/>
    </w:rPr>
  </w:style>
  <w:style w:type="paragraph" w:styleId="Nagwek6">
    <w:name w:val="heading 6"/>
    <w:basedOn w:val="Normalny"/>
    <w:next w:val="Tekstpodstawowy"/>
    <w:link w:val="Nagwek6Znak"/>
    <w:uiPriority w:val="10"/>
    <w:unhideWhenUsed/>
    <w:rsid w:val="00570A23"/>
    <w:pPr>
      <w:keepNext/>
      <w:keepLines/>
      <w:numPr>
        <w:ilvl w:val="5"/>
        <w:numId w:val="26"/>
      </w:numPr>
      <w:spacing w:before="240" w:after="120" w:line="360" w:lineRule="auto"/>
      <w:jc w:val="both"/>
      <w:outlineLvl w:val="5"/>
    </w:pPr>
    <w:rPr>
      <w:rFonts w:ascii="Arial" w:eastAsia="Times New Roman" w:hAnsi="Arial" w:cs="Times New Roman"/>
      <w:b/>
      <w:iCs/>
      <w:sz w:val="20"/>
      <w:szCs w:val="20"/>
      <w:lang w:bidi="en-US"/>
    </w:rPr>
  </w:style>
  <w:style w:type="paragraph" w:styleId="Nagwek7">
    <w:name w:val="heading 7"/>
    <w:basedOn w:val="Normalny"/>
    <w:next w:val="Tekstpodstawowy"/>
    <w:link w:val="Nagwek7Znak"/>
    <w:uiPriority w:val="10"/>
    <w:unhideWhenUsed/>
    <w:rsid w:val="00570A23"/>
    <w:pPr>
      <w:keepNext/>
      <w:keepLines/>
      <w:numPr>
        <w:ilvl w:val="6"/>
        <w:numId w:val="26"/>
      </w:numPr>
      <w:spacing w:before="240" w:after="120" w:line="360" w:lineRule="auto"/>
      <w:jc w:val="both"/>
      <w:outlineLvl w:val="6"/>
    </w:pPr>
    <w:rPr>
      <w:rFonts w:ascii="Arial" w:eastAsia="Times New Roman" w:hAnsi="Arial" w:cs="Times New Roman"/>
      <w:bCs/>
      <w:i/>
      <w:iCs/>
      <w:sz w:val="20"/>
      <w:szCs w:val="20"/>
      <w:lang w:bidi="en-US"/>
    </w:rPr>
  </w:style>
  <w:style w:type="paragraph" w:styleId="Nagwek8">
    <w:name w:val="heading 8"/>
    <w:basedOn w:val="Normalny"/>
    <w:next w:val="Tekstpodstawowy"/>
    <w:link w:val="Nagwek8Znak"/>
    <w:uiPriority w:val="10"/>
    <w:unhideWhenUsed/>
    <w:rsid w:val="00570A23"/>
    <w:pPr>
      <w:keepNext/>
      <w:keepLines/>
      <w:numPr>
        <w:ilvl w:val="7"/>
        <w:numId w:val="26"/>
      </w:numPr>
      <w:spacing w:before="240" w:after="120" w:line="360" w:lineRule="auto"/>
      <w:jc w:val="both"/>
      <w:outlineLvl w:val="7"/>
    </w:pPr>
    <w:rPr>
      <w:rFonts w:ascii="Arial" w:eastAsia="Times New Roman" w:hAnsi="Arial" w:cs="Times New Roman"/>
      <w:bCs/>
      <w:sz w:val="20"/>
      <w:szCs w:val="20"/>
      <w:lang w:bidi="en-US"/>
    </w:rPr>
  </w:style>
  <w:style w:type="paragraph" w:styleId="Nagwek9">
    <w:name w:val="heading 9"/>
    <w:basedOn w:val="Normalny"/>
    <w:next w:val="Tekstpodstawowy"/>
    <w:link w:val="Nagwek9Znak"/>
    <w:uiPriority w:val="10"/>
    <w:unhideWhenUsed/>
    <w:rsid w:val="00570A23"/>
    <w:pPr>
      <w:keepNext/>
      <w:keepLines/>
      <w:numPr>
        <w:ilvl w:val="8"/>
        <w:numId w:val="26"/>
      </w:numPr>
      <w:spacing w:before="240" w:after="120" w:line="360" w:lineRule="auto"/>
      <w:jc w:val="both"/>
      <w:outlineLvl w:val="8"/>
    </w:pPr>
    <w:rPr>
      <w:rFonts w:ascii="Arial" w:eastAsia="Times New Roman" w:hAnsi="Arial" w:cs="Times New Roman"/>
      <w:bCs/>
      <w:i/>
      <w:iCs/>
      <w:spacing w:val="5"/>
      <w:sz w:val="20"/>
      <w:szCs w:val="20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8365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3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348A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uiPriority w:val="99"/>
    <w:rsid w:val="00222D1A"/>
    <w:pPr>
      <w:widowControl w:val="0"/>
      <w:autoSpaceDE w:val="0"/>
      <w:autoSpaceDN w:val="0"/>
      <w:adjustRightInd w:val="0"/>
      <w:spacing w:after="0" w:line="240" w:lineRule="auto"/>
    </w:pPr>
    <w:rPr>
      <w:rFonts w:ascii="CKBKDC+Arial" w:eastAsia="Times New Roman" w:hAnsi="CKBKDC+Arial" w:cs="CKBKDC+Arial"/>
      <w:color w:val="000000"/>
      <w:szCs w:val="24"/>
      <w:lang w:eastAsia="pl-PL"/>
    </w:rPr>
  </w:style>
  <w:style w:type="paragraph" w:styleId="Tekstpodstawowy">
    <w:name w:val="Body Text"/>
    <w:basedOn w:val="Default"/>
    <w:next w:val="Default"/>
    <w:link w:val="TekstpodstawowyZnak"/>
    <w:unhideWhenUsed/>
    <w:rsid w:val="00222D1A"/>
    <w:pPr>
      <w:widowControl/>
    </w:pPr>
    <w:rPr>
      <w:rFonts w:ascii="Times New Roman" w:hAnsi="Times New Roman" w:cs="Times New Roman"/>
      <w:color w:val="auto"/>
    </w:rPr>
  </w:style>
  <w:style w:type="character" w:customStyle="1" w:styleId="TekstpodstawowyZnak">
    <w:name w:val="Tekst podstawowy Znak"/>
    <w:basedOn w:val="Domylnaczcionkaakapitu"/>
    <w:link w:val="Tekstpodstawowy"/>
    <w:rsid w:val="00222D1A"/>
    <w:rPr>
      <w:rFonts w:eastAsia="Times New Roman" w:cs="Times New Roman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22D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2D1A"/>
    <w:rPr>
      <w:rFonts w:ascii="Calibri" w:eastAsia="Calibri" w:hAnsi="Calibri" w:cs="Calibri"/>
      <w:sz w:val="22"/>
    </w:rPr>
  </w:style>
  <w:style w:type="paragraph" w:styleId="Stopka">
    <w:name w:val="footer"/>
    <w:basedOn w:val="Normalny"/>
    <w:link w:val="StopkaZnak"/>
    <w:uiPriority w:val="99"/>
    <w:unhideWhenUsed/>
    <w:rsid w:val="00222D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2D1A"/>
    <w:rPr>
      <w:rFonts w:ascii="Calibri" w:eastAsia="Calibri" w:hAnsi="Calibri" w:cs="Calibri"/>
      <w:sz w:val="22"/>
    </w:rPr>
  </w:style>
  <w:style w:type="paragraph" w:styleId="Legenda">
    <w:name w:val="caption"/>
    <w:basedOn w:val="Normalny"/>
    <w:link w:val="LegendaZnak"/>
    <w:uiPriority w:val="7"/>
    <w:qFormat/>
    <w:rsid w:val="00570A23"/>
    <w:pPr>
      <w:keepNext/>
      <w:keepLines/>
      <w:spacing w:before="360" w:after="60" w:line="240" w:lineRule="auto"/>
      <w:jc w:val="both"/>
    </w:pPr>
    <w:rPr>
      <w:rFonts w:ascii="Arial" w:eastAsia="Times New Roman" w:hAnsi="Arial" w:cs="Times New Roman"/>
      <w:b/>
      <w:sz w:val="16"/>
      <w:szCs w:val="18"/>
      <w:lang w:bidi="en-US"/>
    </w:rPr>
  </w:style>
  <w:style w:type="paragraph" w:customStyle="1" w:styleId="Tabela-TekstpodstawowyWyrodkowany">
    <w:name w:val="Tabela - Tekst podstawowy Wyśrodkowany"/>
    <w:basedOn w:val="Normalny"/>
    <w:link w:val="Tabela-TekstpodstawowyWyrodkowanyZnak"/>
    <w:uiPriority w:val="7"/>
    <w:qFormat/>
    <w:rsid w:val="00570A23"/>
    <w:pPr>
      <w:spacing w:after="0" w:line="240" w:lineRule="auto"/>
      <w:jc w:val="center"/>
    </w:pPr>
    <w:rPr>
      <w:rFonts w:ascii="Arial" w:eastAsia="Times New Roman" w:hAnsi="Arial" w:cs="Times New Roman"/>
      <w:bCs/>
      <w:sz w:val="16"/>
      <w:szCs w:val="20"/>
      <w:lang w:bidi="en-US"/>
    </w:rPr>
  </w:style>
  <w:style w:type="table" w:customStyle="1" w:styleId="TabelapodstawowaHTA">
    <w:name w:val="Tabela podstawowa HTA"/>
    <w:basedOn w:val="Standardowy"/>
    <w:uiPriority w:val="99"/>
    <w:qFormat/>
    <w:rsid w:val="00570A23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pl-PL"/>
    </w:rPr>
    <w:tblPr>
      <w:jc w:val="center"/>
      <w:tblBorders>
        <w:top w:val="single" w:sz="12" w:space="0" w:color="auto"/>
        <w:bottom w:val="single" w:sz="12" w:space="0" w:color="auto"/>
        <w:insideH w:val="single" w:sz="4" w:space="0" w:color="auto"/>
      </w:tblBorders>
      <w:tblCellMar>
        <w:top w:w="85" w:type="dxa"/>
        <w:left w:w="85" w:type="dxa"/>
        <w:bottom w:w="85" w:type="dxa"/>
        <w:right w:w="85" w:type="dxa"/>
      </w:tblCellMar>
    </w:tblPr>
    <w:trPr>
      <w:cantSplit/>
      <w:jc w:val="center"/>
    </w:trPr>
    <w:tcPr>
      <w:vAlign w:val="center"/>
    </w:tcPr>
    <w:tblStylePr w:type="firstRow">
      <w:pPr>
        <w:jc w:val="center"/>
      </w:pPr>
      <w:rPr>
        <w:color w:val="auto"/>
      </w:rPr>
      <w:tblPr/>
      <w:trPr>
        <w:cantSplit w:val="0"/>
      </w:trPr>
      <w:tcPr>
        <w:shd w:val="clear" w:color="auto" w:fill="4F81BD" w:themeFill="accent1"/>
      </w:tcPr>
    </w:tblStylePr>
    <w:tblStylePr w:type="lastRow">
      <w:tblPr/>
      <w:tcPr>
        <w:shd w:val="clear" w:color="auto" w:fill="FFFFFF"/>
      </w:tcPr>
    </w:tblStylePr>
    <w:tblStylePr w:type="firstCol">
      <w:pPr>
        <w:jc w:val="center"/>
      </w:pPr>
      <w:tblPr/>
      <w:tcPr>
        <w:shd w:val="clear" w:color="auto" w:fill="F2F2F2"/>
      </w:tcPr>
    </w:tblStylePr>
  </w:style>
  <w:style w:type="paragraph" w:customStyle="1" w:styleId="Tabela-TekstnagwekIrzdniebieskieto">
    <w:name w:val="Tabela - Tekst nagłówek I rząd (niebieskie tło)"/>
    <w:basedOn w:val="Normalny"/>
    <w:uiPriority w:val="7"/>
    <w:qFormat/>
    <w:rsid w:val="00570A23"/>
    <w:pPr>
      <w:keepNext/>
      <w:keepLines/>
      <w:spacing w:after="0" w:line="240" w:lineRule="auto"/>
      <w:jc w:val="center"/>
    </w:pPr>
    <w:rPr>
      <w:rFonts w:ascii="Arial" w:eastAsia="Times New Roman" w:hAnsi="Arial" w:cs="Times New Roman"/>
      <w:b/>
      <w:bCs/>
      <w:color w:val="000000"/>
      <w:sz w:val="16"/>
      <w:szCs w:val="20"/>
      <w:lang w:bidi="en-US"/>
    </w:rPr>
  </w:style>
  <w:style w:type="paragraph" w:customStyle="1" w:styleId="Tekstopisupodelementem">
    <w:name w:val="Tekst opisu pod elementem"/>
    <w:basedOn w:val="Normalny"/>
    <w:link w:val="TekstopisupodelementemZnak"/>
    <w:uiPriority w:val="7"/>
    <w:qFormat/>
    <w:rsid w:val="00570A23"/>
    <w:pPr>
      <w:spacing w:before="60" w:after="360" w:line="240" w:lineRule="auto"/>
      <w:contextualSpacing/>
      <w:jc w:val="both"/>
    </w:pPr>
    <w:rPr>
      <w:rFonts w:ascii="Arial" w:eastAsia="Times New Roman" w:hAnsi="Arial" w:cs="Times New Roman"/>
      <w:bCs/>
      <w:sz w:val="14"/>
      <w:szCs w:val="20"/>
      <w:lang w:bidi="en-US"/>
    </w:rPr>
  </w:style>
  <w:style w:type="character" w:customStyle="1" w:styleId="Tabela-TekstpodstawowyWyrodkowanyZnak">
    <w:name w:val="Tabela - Tekst podstawowy Wyśrodkowany Znak"/>
    <w:link w:val="Tabela-TekstpodstawowyWyrodkowany"/>
    <w:uiPriority w:val="7"/>
    <w:rsid w:val="00570A23"/>
    <w:rPr>
      <w:rFonts w:ascii="Arial" w:eastAsia="Times New Roman" w:hAnsi="Arial" w:cs="Times New Roman"/>
      <w:bCs/>
      <w:sz w:val="16"/>
      <w:szCs w:val="20"/>
      <w:lang w:bidi="en-US"/>
    </w:rPr>
  </w:style>
  <w:style w:type="character" w:customStyle="1" w:styleId="TekstopisupodelementemZnak">
    <w:name w:val="Tekst opisu pod elementem Znak"/>
    <w:link w:val="Tekstopisupodelementem"/>
    <w:uiPriority w:val="7"/>
    <w:rsid w:val="00570A23"/>
    <w:rPr>
      <w:rFonts w:ascii="Arial" w:eastAsia="Times New Roman" w:hAnsi="Arial" w:cs="Times New Roman"/>
      <w:bCs/>
      <w:sz w:val="14"/>
      <w:szCs w:val="20"/>
      <w:lang w:bidi="en-US"/>
    </w:rPr>
  </w:style>
  <w:style w:type="character" w:customStyle="1" w:styleId="LegendaZnak">
    <w:name w:val="Legenda Znak"/>
    <w:link w:val="Legenda"/>
    <w:uiPriority w:val="7"/>
    <w:locked/>
    <w:rsid w:val="00570A23"/>
    <w:rPr>
      <w:rFonts w:ascii="Arial" w:eastAsia="Times New Roman" w:hAnsi="Arial" w:cs="Times New Roman"/>
      <w:b/>
      <w:sz w:val="16"/>
      <w:szCs w:val="18"/>
      <w:lang w:bidi="en-US"/>
    </w:rPr>
  </w:style>
  <w:style w:type="character" w:customStyle="1" w:styleId="Nagwek1Znak">
    <w:name w:val="Nagłówek 1 Znak"/>
    <w:basedOn w:val="Domylnaczcionkaakapitu"/>
    <w:link w:val="Nagwek1"/>
    <w:uiPriority w:val="10"/>
    <w:rsid w:val="00570A23"/>
    <w:rPr>
      <w:rFonts w:ascii="Arial" w:eastAsia="Times New Roman" w:hAnsi="Arial" w:cs="Times New Roman"/>
      <w:b/>
      <w:caps/>
      <w:sz w:val="28"/>
      <w:szCs w:val="28"/>
      <w:lang w:bidi="en-US"/>
    </w:rPr>
  </w:style>
  <w:style w:type="character" w:customStyle="1" w:styleId="Nagwek2Znak">
    <w:name w:val="Nagłówek 2 Znak"/>
    <w:basedOn w:val="Domylnaczcionkaakapitu"/>
    <w:link w:val="Nagwek2"/>
    <w:uiPriority w:val="10"/>
    <w:rsid w:val="00570A23"/>
    <w:rPr>
      <w:rFonts w:ascii="Arial" w:eastAsia="Times New Roman" w:hAnsi="Arial" w:cs="Times New Roman"/>
      <w:b/>
      <w:szCs w:val="26"/>
      <w:lang w:bidi="en-US"/>
    </w:rPr>
  </w:style>
  <w:style w:type="character" w:customStyle="1" w:styleId="Nagwek3Znak">
    <w:name w:val="Nagłówek 3 Znak"/>
    <w:basedOn w:val="Domylnaczcionkaakapitu"/>
    <w:link w:val="Nagwek3"/>
    <w:uiPriority w:val="10"/>
    <w:rsid w:val="00570A23"/>
    <w:rPr>
      <w:rFonts w:ascii="Arial" w:eastAsia="Times New Roman" w:hAnsi="Arial" w:cs="Times New Roman"/>
      <w:b/>
      <w:sz w:val="22"/>
      <w:szCs w:val="20"/>
      <w:lang w:bidi="en-US"/>
    </w:rPr>
  </w:style>
  <w:style w:type="character" w:customStyle="1" w:styleId="Nagwek4Znak">
    <w:name w:val="Nagłówek 4 Znak"/>
    <w:basedOn w:val="Domylnaczcionkaakapitu"/>
    <w:link w:val="Nagwek4"/>
    <w:uiPriority w:val="10"/>
    <w:rsid w:val="00570A23"/>
    <w:rPr>
      <w:rFonts w:ascii="Arial" w:eastAsia="Times New Roman" w:hAnsi="Arial" w:cs="Times New Roman"/>
      <w:b/>
      <w:iCs/>
      <w:sz w:val="20"/>
      <w:szCs w:val="20"/>
      <w:lang w:bidi="en-US"/>
    </w:rPr>
  </w:style>
  <w:style w:type="character" w:customStyle="1" w:styleId="Nagwek5Znak">
    <w:name w:val="Nagłówek 5 Znak"/>
    <w:basedOn w:val="Domylnaczcionkaakapitu"/>
    <w:link w:val="Nagwek5"/>
    <w:uiPriority w:val="10"/>
    <w:rsid w:val="00570A23"/>
    <w:rPr>
      <w:rFonts w:ascii="Arial" w:eastAsia="Times New Roman" w:hAnsi="Arial" w:cs="Times New Roman"/>
      <w:b/>
      <w:i/>
      <w:sz w:val="20"/>
      <w:szCs w:val="20"/>
      <w:lang w:bidi="en-US"/>
    </w:rPr>
  </w:style>
  <w:style w:type="character" w:customStyle="1" w:styleId="Nagwek6Znak">
    <w:name w:val="Nagłówek 6 Znak"/>
    <w:basedOn w:val="Domylnaczcionkaakapitu"/>
    <w:link w:val="Nagwek6"/>
    <w:uiPriority w:val="10"/>
    <w:rsid w:val="00570A23"/>
    <w:rPr>
      <w:rFonts w:ascii="Arial" w:eastAsia="Times New Roman" w:hAnsi="Arial" w:cs="Times New Roman"/>
      <w:b/>
      <w:iCs/>
      <w:sz w:val="20"/>
      <w:szCs w:val="20"/>
      <w:lang w:bidi="en-US"/>
    </w:rPr>
  </w:style>
  <w:style w:type="character" w:customStyle="1" w:styleId="Nagwek7Znak">
    <w:name w:val="Nagłówek 7 Znak"/>
    <w:basedOn w:val="Domylnaczcionkaakapitu"/>
    <w:link w:val="Nagwek7"/>
    <w:uiPriority w:val="10"/>
    <w:rsid w:val="00570A23"/>
    <w:rPr>
      <w:rFonts w:ascii="Arial" w:eastAsia="Times New Roman" w:hAnsi="Arial" w:cs="Times New Roman"/>
      <w:bCs/>
      <w:i/>
      <w:iCs/>
      <w:sz w:val="20"/>
      <w:szCs w:val="20"/>
      <w:lang w:bidi="en-US"/>
    </w:rPr>
  </w:style>
  <w:style w:type="character" w:customStyle="1" w:styleId="Nagwek8Znak">
    <w:name w:val="Nagłówek 8 Znak"/>
    <w:basedOn w:val="Domylnaczcionkaakapitu"/>
    <w:link w:val="Nagwek8"/>
    <w:uiPriority w:val="10"/>
    <w:rsid w:val="00570A23"/>
    <w:rPr>
      <w:rFonts w:ascii="Arial" w:eastAsia="Times New Roman" w:hAnsi="Arial" w:cs="Times New Roman"/>
      <w:bCs/>
      <w:sz w:val="20"/>
      <w:szCs w:val="20"/>
      <w:lang w:bidi="en-US"/>
    </w:rPr>
  </w:style>
  <w:style w:type="character" w:customStyle="1" w:styleId="Nagwek9Znak">
    <w:name w:val="Nagłówek 9 Znak"/>
    <w:basedOn w:val="Domylnaczcionkaakapitu"/>
    <w:link w:val="Nagwek9"/>
    <w:uiPriority w:val="10"/>
    <w:rsid w:val="00570A23"/>
    <w:rPr>
      <w:rFonts w:ascii="Arial" w:eastAsia="Times New Roman" w:hAnsi="Arial" w:cs="Times New Roman"/>
      <w:bCs/>
      <w:i/>
      <w:iCs/>
      <w:spacing w:val="5"/>
      <w:sz w:val="20"/>
      <w:szCs w:val="20"/>
      <w:lang w:bidi="en-US"/>
    </w:rPr>
  </w:style>
  <w:style w:type="numbering" w:customStyle="1" w:styleId="HTA-Listanagwkwrozdziaw">
    <w:name w:val="HTA - Lista nagłówków rozdziałów"/>
    <w:uiPriority w:val="99"/>
    <w:rsid w:val="00570A23"/>
    <w:pPr>
      <w:numPr>
        <w:numId w:val="26"/>
      </w:numPr>
    </w:pPr>
  </w:style>
  <w:style w:type="paragraph" w:styleId="Listapunktowana">
    <w:name w:val="List Bullet"/>
    <w:basedOn w:val="Normalny"/>
    <w:uiPriority w:val="4"/>
    <w:qFormat/>
    <w:rsid w:val="00570A23"/>
    <w:pPr>
      <w:numPr>
        <w:numId w:val="28"/>
      </w:numPr>
      <w:spacing w:after="0" w:line="360" w:lineRule="auto"/>
      <w:contextualSpacing/>
      <w:jc w:val="both"/>
    </w:pPr>
    <w:rPr>
      <w:rFonts w:ascii="Arial" w:eastAsia="Times New Roman" w:hAnsi="Arial" w:cs="Times New Roman"/>
      <w:bCs/>
      <w:sz w:val="20"/>
      <w:szCs w:val="20"/>
      <w:lang w:bidi="en-US"/>
    </w:rPr>
  </w:style>
  <w:style w:type="paragraph" w:styleId="Listapunktowana2">
    <w:name w:val="List Bullet 2"/>
    <w:basedOn w:val="Normalny"/>
    <w:uiPriority w:val="4"/>
    <w:unhideWhenUsed/>
    <w:rsid w:val="00570A23"/>
    <w:pPr>
      <w:numPr>
        <w:ilvl w:val="1"/>
        <w:numId w:val="28"/>
      </w:numPr>
      <w:spacing w:after="0" w:line="360" w:lineRule="auto"/>
      <w:contextualSpacing/>
      <w:jc w:val="both"/>
    </w:pPr>
    <w:rPr>
      <w:rFonts w:ascii="Arial" w:eastAsia="Times New Roman" w:hAnsi="Arial" w:cs="Times New Roman"/>
      <w:bCs/>
      <w:sz w:val="20"/>
      <w:szCs w:val="20"/>
      <w:lang w:bidi="en-US"/>
    </w:rPr>
  </w:style>
  <w:style w:type="paragraph" w:styleId="Listapunktowana3">
    <w:name w:val="List Bullet 3"/>
    <w:basedOn w:val="Normalny"/>
    <w:uiPriority w:val="4"/>
    <w:unhideWhenUsed/>
    <w:rsid w:val="00570A23"/>
    <w:pPr>
      <w:numPr>
        <w:ilvl w:val="2"/>
        <w:numId w:val="28"/>
      </w:numPr>
      <w:spacing w:after="0" w:line="360" w:lineRule="auto"/>
      <w:contextualSpacing/>
      <w:jc w:val="both"/>
    </w:pPr>
    <w:rPr>
      <w:rFonts w:ascii="Arial" w:eastAsia="Times New Roman" w:hAnsi="Arial" w:cs="Times New Roman"/>
      <w:bCs/>
      <w:sz w:val="20"/>
      <w:szCs w:val="20"/>
      <w:lang w:bidi="en-US"/>
    </w:rPr>
  </w:style>
  <w:style w:type="paragraph" w:styleId="Listapunktowana4">
    <w:name w:val="List Bullet 4"/>
    <w:basedOn w:val="Normalny"/>
    <w:uiPriority w:val="4"/>
    <w:unhideWhenUsed/>
    <w:rsid w:val="00570A23"/>
    <w:pPr>
      <w:numPr>
        <w:ilvl w:val="3"/>
        <w:numId w:val="28"/>
      </w:numPr>
      <w:spacing w:after="0" w:line="360" w:lineRule="auto"/>
      <w:contextualSpacing/>
      <w:jc w:val="both"/>
    </w:pPr>
    <w:rPr>
      <w:rFonts w:ascii="Arial" w:eastAsia="Times New Roman" w:hAnsi="Arial" w:cs="Times New Roman"/>
      <w:bCs/>
      <w:sz w:val="20"/>
      <w:szCs w:val="20"/>
      <w:lang w:bidi="en-US"/>
    </w:rPr>
  </w:style>
  <w:style w:type="paragraph" w:styleId="Listapunktowana5">
    <w:name w:val="List Bullet 5"/>
    <w:basedOn w:val="Normalny"/>
    <w:uiPriority w:val="4"/>
    <w:unhideWhenUsed/>
    <w:rsid w:val="00570A23"/>
    <w:pPr>
      <w:numPr>
        <w:ilvl w:val="4"/>
        <w:numId w:val="28"/>
      </w:numPr>
      <w:spacing w:after="0" w:line="360" w:lineRule="auto"/>
      <w:contextualSpacing/>
      <w:jc w:val="both"/>
    </w:pPr>
    <w:rPr>
      <w:rFonts w:ascii="Arial" w:eastAsia="Times New Roman" w:hAnsi="Arial" w:cs="Times New Roman"/>
      <w:bCs/>
      <w:sz w:val="20"/>
      <w:szCs w:val="20"/>
      <w:lang w:bidi="en-US"/>
    </w:rPr>
  </w:style>
  <w:style w:type="numbering" w:customStyle="1" w:styleId="HTA-Listapunktowa1">
    <w:name w:val="HTA - Lista punktowa 1"/>
    <w:uiPriority w:val="99"/>
    <w:rsid w:val="00570A23"/>
    <w:pPr>
      <w:numPr>
        <w:numId w:val="27"/>
      </w:numPr>
    </w:pPr>
  </w:style>
  <w:style w:type="paragraph" w:customStyle="1" w:styleId="Tabela-TekstnagwekIIrzdszareto">
    <w:name w:val="Tabela - Tekst nagłówek II rząd (szare tło)"/>
    <w:basedOn w:val="Normalny"/>
    <w:uiPriority w:val="7"/>
    <w:qFormat/>
    <w:rsid w:val="00570A23"/>
    <w:pPr>
      <w:keepLines/>
      <w:spacing w:after="0" w:line="240" w:lineRule="auto"/>
      <w:jc w:val="center"/>
    </w:pPr>
    <w:rPr>
      <w:rFonts w:ascii="Arial" w:eastAsia="Times New Roman" w:hAnsi="Arial" w:cs="Times New Roman"/>
      <w:b/>
      <w:bCs/>
      <w:sz w:val="16"/>
      <w:szCs w:val="20"/>
      <w:lang w:bidi="en-US"/>
    </w:rPr>
  </w:style>
  <w:style w:type="paragraph" w:customStyle="1" w:styleId="Tabela-TekstnagwekIIIrzdbiaeto">
    <w:name w:val="Tabela - Tekst nagłówek III rząd (białe tło)"/>
    <w:basedOn w:val="Normalny"/>
    <w:uiPriority w:val="7"/>
    <w:qFormat/>
    <w:rsid w:val="00570A23"/>
    <w:pPr>
      <w:keepLines/>
      <w:spacing w:after="0" w:line="240" w:lineRule="auto"/>
      <w:jc w:val="center"/>
    </w:pPr>
    <w:rPr>
      <w:rFonts w:ascii="Arial" w:eastAsia="Times New Roman" w:hAnsi="Arial" w:cs="Times New Roman"/>
      <w:b/>
      <w:bCs/>
      <w:sz w:val="16"/>
      <w:szCs w:val="20"/>
      <w:lang w:bidi="en-US"/>
    </w:rPr>
  </w:style>
  <w:style w:type="paragraph" w:customStyle="1" w:styleId="Nagwek4beznumeracji">
    <w:name w:val="Nagłówek 4 (bez numeracji)"/>
    <w:basedOn w:val="Normalny"/>
    <w:next w:val="Tekstpodstawowy"/>
    <w:uiPriority w:val="10"/>
    <w:unhideWhenUsed/>
    <w:qFormat/>
    <w:rsid w:val="00570A23"/>
    <w:pPr>
      <w:keepNext/>
      <w:keepLines/>
      <w:tabs>
        <w:tab w:val="left" w:pos="851"/>
      </w:tabs>
      <w:spacing w:before="360" w:after="120" w:line="360" w:lineRule="auto"/>
      <w:jc w:val="both"/>
    </w:pPr>
    <w:rPr>
      <w:rFonts w:ascii="Arial" w:eastAsia="Times New Roman" w:hAnsi="Arial" w:cs="Times New Roman"/>
      <w:b/>
      <w:bCs/>
      <w:sz w:val="20"/>
      <w:szCs w:val="20"/>
      <w:lang w:bidi="en-US"/>
    </w:rPr>
  </w:style>
  <w:style w:type="character" w:styleId="Pogrubienie">
    <w:name w:val="Strong"/>
    <w:basedOn w:val="Domylnaczcionkaakapitu"/>
    <w:uiPriority w:val="22"/>
    <w:qFormat/>
    <w:rsid w:val="00570A23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7D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7D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DDC"/>
    <w:rPr>
      <w:rFonts w:ascii="Calibri" w:eastAsia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7D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DDC"/>
    <w:rPr>
      <w:rFonts w:ascii="Calibri" w:eastAsia="Calibri" w:hAnsi="Calibri" w:cs="Calibri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1573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1573D"/>
    <w:rPr>
      <w:rFonts w:ascii="Calibri" w:eastAsia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1573D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573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573D"/>
    <w:rPr>
      <w:rFonts w:ascii="Calibri" w:eastAsia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1573D"/>
    <w:rPr>
      <w:vertAlign w:val="superscript"/>
    </w:rPr>
  </w:style>
  <w:style w:type="paragraph" w:styleId="Poprawka">
    <w:name w:val="Revision"/>
    <w:hidden/>
    <w:uiPriority w:val="99"/>
    <w:semiHidden/>
    <w:rsid w:val="002C37A0"/>
    <w:pPr>
      <w:spacing w:after="0" w:line="240" w:lineRule="auto"/>
    </w:pPr>
    <w:rPr>
      <w:rFonts w:ascii="Calibri" w:eastAsia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9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AEF33-7722-4514-9D2B-59B99D23E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705</Words>
  <Characters>4231</Characters>
  <Application>Microsoft Office Word</Application>
  <DocSecurity>0</DocSecurity>
  <Lines>35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Cezary Glogowski</dc:creator>
  <cp:lastModifiedBy>Królak-Buzakowska Joanna</cp:lastModifiedBy>
  <cp:revision>3</cp:revision>
  <cp:lastPrinted>2018-06-27T11:37:00Z</cp:lastPrinted>
  <dcterms:created xsi:type="dcterms:W3CDTF">2018-12-20T15:35:00Z</dcterms:created>
  <dcterms:modified xsi:type="dcterms:W3CDTF">2018-12-20T15:37:00Z</dcterms:modified>
</cp:coreProperties>
</file>