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1E24" w14:textId="59163A61" w:rsidR="009230F5" w:rsidRPr="00F33085" w:rsidRDefault="00301A53">
      <w:pPr>
        <w:pStyle w:val="Teksttreci20"/>
        <w:framePr w:w="1694" w:h="187" w:wrap="none" w:hAnchor="page" w:x="9322" w:y="1"/>
      </w:pPr>
      <w:r w:rsidRPr="00F33085">
        <w:t xml:space="preserve">RADA </w:t>
      </w:r>
      <w:r w:rsidR="00945451" w:rsidRPr="00F33085">
        <w:t>EUROP</w:t>
      </w:r>
      <w:r w:rsidRPr="00F33085">
        <w:t>Y</w:t>
      </w:r>
    </w:p>
    <w:p w14:paraId="4B82BFB4" w14:textId="1A0555C9" w:rsidR="009230F5" w:rsidRPr="00F33085" w:rsidRDefault="00301A53" w:rsidP="00301A53">
      <w:pPr>
        <w:pStyle w:val="Teksttreci30"/>
        <w:framePr w:w="1354" w:h="398" w:wrap="none" w:hAnchor="page" w:x="6111" w:y="193"/>
        <w:spacing w:line="240" w:lineRule="auto"/>
      </w:pPr>
      <w:r w:rsidRPr="00F33085">
        <w:t>K</w:t>
      </w:r>
      <w:r w:rsidR="00945451" w:rsidRPr="00F33085">
        <w:t>OMITE</w:t>
      </w:r>
      <w:r w:rsidRPr="00F33085">
        <w:t>T MINISTRÓW RADY EUROPY</w:t>
      </w:r>
    </w:p>
    <w:p w14:paraId="3F7B88AA" w14:textId="77777777" w:rsidR="009230F5" w:rsidRPr="00F33085" w:rsidRDefault="0094545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3D58DFEA" wp14:editId="1592F0EC">
            <wp:simplePos x="0" y="0"/>
            <wp:positionH relativeFrom="page">
              <wp:posOffset>6172200</wp:posOffset>
            </wp:positionH>
            <wp:positionV relativeFrom="margin">
              <wp:posOffset>176530</wp:posOffset>
            </wp:positionV>
            <wp:extent cx="609600" cy="511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6ABA4" w14:textId="77777777" w:rsidR="009230F5" w:rsidRPr="00F33085" w:rsidRDefault="009230F5">
      <w:pPr>
        <w:spacing w:line="360" w:lineRule="exact"/>
      </w:pPr>
    </w:p>
    <w:p w14:paraId="296369CD" w14:textId="77777777" w:rsidR="009230F5" w:rsidRPr="00F33085" w:rsidRDefault="009230F5">
      <w:pPr>
        <w:spacing w:after="364" w:line="1" w:lineRule="exact"/>
      </w:pPr>
    </w:p>
    <w:p w14:paraId="65DEB24A" w14:textId="77777777" w:rsidR="009230F5" w:rsidRPr="00F33085" w:rsidRDefault="009230F5">
      <w:pPr>
        <w:spacing w:line="1" w:lineRule="exact"/>
        <w:sectPr w:rsidR="009230F5" w:rsidRPr="00F33085">
          <w:headerReference w:type="even" r:id="rId9"/>
          <w:headerReference w:type="default" r:id="rId10"/>
          <w:headerReference w:type="first" r:id="rId11"/>
          <w:pgSz w:w="11900" w:h="16840"/>
          <w:pgMar w:top="591" w:right="880" w:bottom="122" w:left="1157" w:header="0" w:footer="3" w:gutter="0"/>
          <w:pgNumType w:start="1"/>
          <w:cols w:space="720"/>
          <w:noEndnote/>
          <w:titlePg/>
          <w:docGrid w:linePitch="360"/>
        </w:sectPr>
      </w:pPr>
    </w:p>
    <w:p w14:paraId="2B6ABDE7" w14:textId="1102D290" w:rsidR="009230F5" w:rsidRDefault="00945451">
      <w:pPr>
        <w:pStyle w:val="Teksttreci20"/>
        <w:jc w:val="right"/>
      </w:pPr>
      <w:r w:rsidRPr="00F33085">
        <w:rPr>
          <w:color w:val="696969"/>
        </w:rPr>
        <w:t xml:space="preserve">1 9 4 9.2019 </w:t>
      </w:r>
      <w:proofErr w:type="spellStart"/>
      <w:r w:rsidRPr="00F33085">
        <w:t>CONSEIL</w:t>
      </w:r>
      <w:proofErr w:type="spellEnd"/>
      <w:r w:rsidRPr="00F33085">
        <w:t xml:space="preserve"> </w:t>
      </w:r>
      <w:r w:rsidRPr="00F33085">
        <w:rPr>
          <w:color w:val="000000"/>
        </w:rPr>
        <w:t xml:space="preserve">DE </w:t>
      </w:r>
      <w:proofErr w:type="spellStart"/>
      <w:r w:rsidRPr="00F33085">
        <w:t>LEUROPE</w:t>
      </w:r>
      <w:proofErr w:type="spellEnd"/>
    </w:p>
    <w:p w14:paraId="020098E6" w14:textId="77777777" w:rsidR="0082199A" w:rsidRDefault="0082199A">
      <w:pPr>
        <w:pStyle w:val="Teksttreci20"/>
        <w:jc w:val="right"/>
      </w:pPr>
    </w:p>
    <w:p w14:paraId="65508671" w14:textId="4FA89D19" w:rsidR="0082199A" w:rsidRPr="0082199A" w:rsidRDefault="0082199A">
      <w:pPr>
        <w:pStyle w:val="Teksttreci20"/>
        <w:jc w:val="right"/>
        <w:rPr>
          <w:b w:val="0"/>
          <w:bCs w:val="0"/>
          <w:i/>
          <w:iCs/>
          <w:sz w:val="18"/>
          <w:szCs w:val="18"/>
          <w:u w:val="single"/>
        </w:rPr>
      </w:pPr>
      <w:r w:rsidRPr="0082199A">
        <w:rPr>
          <w:b w:val="0"/>
          <w:bCs w:val="0"/>
          <w:i/>
          <w:iCs/>
          <w:sz w:val="18"/>
          <w:szCs w:val="18"/>
          <w:u w:val="single"/>
        </w:rPr>
        <w:t>Nieoficjalne tłumaczenie przygotowane przez Ministerstwo Spraw Zagranicznych</w:t>
      </w:r>
    </w:p>
    <w:p w14:paraId="39041033" w14:textId="34549B88" w:rsidR="009230F5" w:rsidRPr="00F33085" w:rsidRDefault="00945451" w:rsidP="0082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sectPr w:rsidR="009230F5" w:rsidRPr="00F33085">
          <w:type w:val="continuous"/>
          <w:pgSz w:w="11900" w:h="16840"/>
          <w:pgMar w:top="591" w:right="880" w:bottom="122" w:left="115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29565" distB="18415" distL="0" distR="0" simplePos="0" relativeHeight="125829378" behindDoc="0" locked="0" layoutInCell="1" allowOverlap="1" wp14:anchorId="41314A34" wp14:editId="630829E5">
                <wp:simplePos x="0" y="0"/>
                <wp:positionH relativeFrom="page">
                  <wp:posOffset>740410</wp:posOffset>
                </wp:positionH>
                <wp:positionV relativeFrom="paragraph">
                  <wp:posOffset>329565</wp:posOffset>
                </wp:positionV>
                <wp:extent cx="1170305" cy="158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F75B3" w14:textId="50C895A0" w:rsidR="009230F5" w:rsidRDefault="00317053">
                            <w:pPr>
                              <w:pStyle w:val="Teksttreci40"/>
                            </w:pPr>
                            <w:r>
                              <w:t xml:space="preserve">ZASTĘPCY </w:t>
                            </w:r>
                            <w:r w:rsidR="00935BB9">
                              <w:t>MINISTRÓW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314A34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58.3pt;margin-top:25.95pt;width:92.15pt;height:12.5pt;z-index:125829378;visibility:visible;mso-wrap-style:none;mso-wrap-distance-left:0;mso-wrap-distance-top:25.9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" filled="f" stroked="f">
                <v:textbox inset="0,0,0,0">
                  <w:txbxContent>
                    <w:p w14:paraId="227F75B3" w14:textId="50C895A0" w:rsidR="009230F5" w:rsidRDefault="00317053">
                      <w:pPr>
                        <w:pStyle w:val="Teksttreci40"/>
                      </w:pPr>
                      <w:r>
                        <w:t xml:space="preserve">ZASTĘPCY </w:t>
                      </w:r>
                      <w:r w:rsidR="00935BB9">
                        <w:t>MINISTRÓW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7053">
        <w:rPr>
          <w:noProof/>
          <w:lang w:bidi="ar-SA"/>
        </w:rPr>
        <mc:AlternateContent>
          <mc:Choice Requires="wps">
            <w:drawing>
              <wp:anchor distT="329565" distB="18415" distL="0" distR="0" simplePos="0" relativeHeight="125829380" behindDoc="0" locked="0" layoutInCell="1" allowOverlap="1" wp14:anchorId="48F14127" wp14:editId="060D6B4F">
                <wp:simplePos x="0" y="0"/>
                <wp:positionH relativeFrom="page">
                  <wp:posOffset>2550795</wp:posOffset>
                </wp:positionH>
                <wp:positionV relativeFrom="paragraph">
                  <wp:posOffset>329565</wp:posOffset>
                </wp:positionV>
                <wp:extent cx="890270" cy="1587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B47D6" w14:textId="0A5DC5BC" w:rsidR="009230F5" w:rsidRDefault="00317053">
                            <w:pPr>
                              <w:pStyle w:val="Teksttreci4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Zalecenia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F14127" id="Shape 9" o:spid="_x0000_s1027" type="#_x0000_t202" style="position:absolute;margin-left:200.85pt;margin-top:25.95pt;width:70.1pt;height:12.5pt;z-index:125829380;visibility:visible;mso-wrap-style:none;mso-wrap-distance-left:0;mso-wrap-distance-top:25.9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" filled="f" stroked="f">
                <v:textbox inset="0,0,0,0">
                  <w:txbxContent>
                    <w:p w14:paraId="51AB47D6" w14:textId="0A5DC5BC" w:rsidR="009230F5" w:rsidRDefault="00317053">
                      <w:pPr>
                        <w:pStyle w:val="Teksttreci40"/>
                      </w:pPr>
                      <w:r>
                        <w:rPr>
                          <w:b w:val="0"/>
                          <w:bCs w:val="0"/>
                        </w:rPr>
                        <w:t>Zalecenia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0" distL="0" distR="0" simplePos="0" relativeHeight="125829382" behindDoc="0" locked="0" layoutInCell="1" allowOverlap="1" wp14:anchorId="17EC3A11" wp14:editId="5C7C58C5">
                <wp:simplePos x="0" y="0"/>
                <wp:positionH relativeFrom="page">
                  <wp:posOffset>4074795</wp:posOffset>
                </wp:positionH>
                <wp:positionV relativeFrom="paragraph">
                  <wp:posOffset>317500</wp:posOffset>
                </wp:positionV>
                <wp:extent cx="914400" cy="1892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7A854" w14:textId="77777777" w:rsidR="009230F5" w:rsidRDefault="00945451">
                            <w:pPr>
                              <w:pStyle w:val="Teksttreci60"/>
                            </w:pPr>
                            <w:r>
                              <w:t>CM/Rec(2019)6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EC3A11" id="Shape 11" o:spid="_x0000_s1028" type="#_x0000_t202" style="position:absolute;margin-left:320.85pt;margin-top:25pt;width:1in;height:14.9pt;z-index:125829382;visibility:visible;mso-wrap-style:non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" filled="f" stroked="f">
                <v:textbox inset="0,0,0,0">
                  <w:txbxContent>
                    <w:p w14:paraId="30D7A854" w14:textId="77777777" w:rsidR="009230F5" w:rsidRDefault="00945451">
                      <w:pPr>
                        <w:pStyle w:val="Teksttreci60"/>
                      </w:pPr>
                      <w:r>
                        <w:t>CM/Rec(2019)6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4805" distB="33655" distL="0" distR="0" simplePos="0" relativeHeight="125829384" behindDoc="0" locked="0" layoutInCell="1" allowOverlap="1" wp14:anchorId="2966590E" wp14:editId="56733F9B">
                <wp:simplePos x="0" y="0"/>
                <wp:positionH relativeFrom="page">
                  <wp:posOffset>6189980</wp:posOffset>
                </wp:positionH>
                <wp:positionV relativeFrom="paragraph">
                  <wp:posOffset>344805</wp:posOffset>
                </wp:positionV>
                <wp:extent cx="648970" cy="1282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03D6A" w14:textId="77777777" w:rsidR="009230F5" w:rsidRDefault="00945451">
                            <w:pPr>
                              <w:pStyle w:val="Teksttreci50"/>
                            </w:pPr>
                            <w:r>
                              <w:t xml:space="preserve">16 </w:t>
                            </w:r>
                            <w:r w:rsidR="00935BB9">
                              <w:t xml:space="preserve">października </w:t>
                            </w:r>
                            <w:r>
                              <w:t>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66590E" id="Shape 13" o:spid="_x0000_s1029" type="#_x0000_t202" style="position:absolute;margin-left:487.4pt;margin-top:27.15pt;width:51.1pt;height:10.1pt;z-index:125829384;visibility:visible;mso-wrap-style:none;mso-wrap-distance-left:0;mso-wrap-distance-top:27.15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" filled="f" stroked="f">
                <v:textbox inset="0,0,0,0">
                  <w:txbxContent>
                    <w:p w14:paraId="20E03D6A" w14:textId="77777777" w:rsidR="009230F5" w:rsidRDefault="00945451">
                      <w:pPr>
                        <w:pStyle w:val="Teksttreci50"/>
                      </w:pPr>
                      <w:r>
                        <w:t xml:space="preserve">16 </w:t>
                      </w:r>
                      <w:r w:rsidR="00935BB9">
                        <w:t xml:space="preserve">października </w:t>
                      </w:r>
                      <w:r>
                        <w:t>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EE40BA" w14:textId="77777777" w:rsidR="009230F5" w:rsidRPr="00F33085" w:rsidRDefault="009230F5">
      <w:pPr>
        <w:spacing w:before="88" w:after="88" w:line="240" w:lineRule="exact"/>
        <w:rPr>
          <w:sz w:val="19"/>
          <w:szCs w:val="19"/>
        </w:rPr>
      </w:pPr>
    </w:p>
    <w:p w14:paraId="2E36155C" w14:textId="77777777" w:rsidR="009230F5" w:rsidRPr="00F33085" w:rsidRDefault="009230F5">
      <w:pPr>
        <w:spacing w:line="1" w:lineRule="exact"/>
        <w:sectPr w:rsidR="009230F5" w:rsidRPr="00F33085">
          <w:type w:val="continuous"/>
          <w:pgSz w:w="11900" w:h="16840"/>
          <w:pgMar w:top="990" w:right="0" w:bottom="323" w:left="0" w:header="0" w:footer="3" w:gutter="0"/>
          <w:cols w:space="720"/>
          <w:noEndnote/>
          <w:docGrid w:linePitch="360"/>
        </w:sectPr>
      </w:pPr>
    </w:p>
    <w:p w14:paraId="6BDE3293" w14:textId="6A2E1818" w:rsidR="009230F5" w:rsidRPr="00935BB9" w:rsidRDefault="002601F2">
      <w:pPr>
        <w:pStyle w:val="Nagwek10"/>
        <w:keepNext/>
        <w:keepLines/>
        <w:pBdr>
          <w:top w:val="single" w:sz="4" w:space="0" w:color="auto"/>
        </w:pBdr>
      </w:pPr>
      <w:bookmarkStart w:id="0" w:name="bookmark0"/>
      <w:bookmarkStart w:id="1" w:name="bookmark1"/>
      <w:bookmarkStart w:id="2" w:name="bookmark2"/>
      <w:r>
        <w:t>Zalecenie</w:t>
      </w:r>
      <w:r w:rsidR="00945451" w:rsidRPr="00935BB9">
        <w:t xml:space="preserve"> CM/Rec(2019)6 </w:t>
      </w:r>
      <w:r w:rsidR="00935BB9" w:rsidRPr="00935BB9">
        <w:t>Kom</w:t>
      </w:r>
      <w:r w:rsidR="00945451" w:rsidRPr="00935BB9">
        <w:t>it</w:t>
      </w:r>
      <w:r w:rsidR="00935BB9" w:rsidRPr="00935BB9">
        <w:t>etu</w:t>
      </w:r>
      <w:r w:rsidR="00945451" w:rsidRPr="00935BB9">
        <w:t xml:space="preserve"> Minist</w:t>
      </w:r>
      <w:r w:rsidR="00935BB9" w:rsidRPr="00935BB9">
        <w:t>rów Rady Europy dla</w:t>
      </w:r>
      <w:r w:rsidR="00945451" w:rsidRPr="00935BB9">
        <w:t xml:space="preserve"> </w:t>
      </w:r>
      <w:r w:rsidR="00935BB9" w:rsidRPr="00935BB9">
        <w:t xml:space="preserve">państw członkowskich </w:t>
      </w:r>
      <w:r>
        <w:t>w</w:t>
      </w:r>
      <w:r w:rsidR="00585E79">
        <w:t> </w:t>
      </w:r>
      <w:r>
        <w:t>sprawie</w:t>
      </w:r>
      <w:r w:rsidR="00945451" w:rsidRPr="00935BB9">
        <w:t xml:space="preserve"> </w:t>
      </w:r>
      <w:r w:rsidR="00C850DE" w:rsidRPr="00F33085">
        <w:t>rozwoju</w:t>
      </w:r>
      <w:r w:rsidR="00C850DE">
        <w:t xml:space="preserve"> instytucji </w:t>
      </w:r>
      <w:bookmarkEnd w:id="0"/>
      <w:bookmarkEnd w:id="1"/>
      <w:bookmarkEnd w:id="2"/>
      <w:r w:rsidR="00B17495">
        <w:t>R</w:t>
      </w:r>
      <w:r w:rsidR="00F33085">
        <w:t>z</w:t>
      </w:r>
      <w:r w:rsidR="00B17495">
        <w:t>ecznika Praw O</w:t>
      </w:r>
      <w:r w:rsidR="00F33085">
        <w:t>bywatelskich</w:t>
      </w:r>
    </w:p>
    <w:p w14:paraId="46472E88" w14:textId="62CDB991" w:rsidR="009230F5" w:rsidRPr="00C850DE" w:rsidRDefault="00945451">
      <w:pPr>
        <w:pStyle w:val="Nagwek20"/>
        <w:keepNext/>
        <w:keepLines/>
        <w:spacing w:after="0"/>
      </w:pPr>
      <w:bookmarkStart w:id="3" w:name="bookmark3"/>
      <w:bookmarkStart w:id="4" w:name="bookmark4"/>
      <w:bookmarkStart w:id="5" w:name="bookmark5"/>
      <w:r w:rsidRPr="00C850DE">
        <w:t>(</w:t>
      </w:r>
      <w:r w:rsidR="00C850DE" w:rsidRPr="00C850DE">
        <w:t>Przyjęt</w:t>
      </w:r>
      <w:r w:rsidR="002601F2">
        <w:t>e</w:t>
      </w:r>
      <w:r w:rsidR="00C850DE" w:rsidRPr="00C850DE">
        <w:t xml:space="preserve"> przez Komitet Ministrów w dniu</w:t>
      </w:r>
      <w:r w:rsidRPr="00C850DE">
        <w:t xml:space="preserve"> 16 </w:t>
      </w:r>
      <w:r w:rsidR="00C850DE">
        <w:t>października</w:t>
      </w:r>
      <w:r w:rsidRPr="00C850DE">
        <w:t xml:space="preserve"> 2019</w:t>
      </w:r>
      <w:bookmarkEnd w:id="3"/>
      <w:bookmarkEnd w:id="4"/>
      <w:bookmarkEnd w:id="5"/>
      <w:r w:rsidR="00B9079B">
        <w:t xml:space="preserve"> roku</w:t>
      </w:r>
    </w:p>
    <w:p w14:paraId="33D0FE6F" w14:textId="6FE9FBDC" w:rsidR="009230F5" w:rsidRPr="00B9079B" w:rsidRDefault="00B9079B">
      <w:pPr>
        <w:pStyle w:val="Nagwek20"/>
        <w:keepNext/>
        <w:keepLines/>
        <w:pBdr>
          <w:bottom w:val="single" w:sz="4" w:space="0" w:color="auto"/>
        </w:pBdr>
        <w:spacing w:after="680"/>
      </w:pPr>
      <w:bookmarkStart w:id="6" w:name="bookmark6"/>
      <w:bookmarkStart w:id="7" w:name="bookmark7"/>
      <w:bookmarkStart w:id="8" w:name="bookmark8"/>
      <w:r w:rsidRPr="00B9079B">
        <w:t>na 1357</w:t>
      </w:r>
      <w:r w:rsidR="00945451" w:rsidRPr="00B9079B">
        <w:t xml:space="preserve"> </w:t>
      </w:r>
      <w:r w:rsidR="007F12CF">
        <w:t>posiedzeniu Komitetu Zastępc</w:t>
      </w:r>
      <w:r w:rsidRPr="00B9079B">
        <w:t>ów Ministrów</w:t>
      </w:r>
      <w:r w:rsidR="00945451" w:rsidRPr="00B9079B">
        <w:t>)</w:t>
      </w:r>
      <w:bookmarkEnd w:id="6"/>
      <w:bookmarkEnd w:id="7"/>
      <w:bookmarkEnd w:id="8"/>
    </w:p>
    <w:p w14:paraId="73BDB8CB" w14:textId="4B38B8B0" w:rsidR="009230F5" w:rsidRPr="008D757B" w:rsidRDefault="00453920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Komitet Ministrów Rady Europy, </w:t>
      </w:r>
      <w:r w:rsidR="007F12CF">
        <w:rPr>
          <w:sz w:val="32"/>
          <w:szCs w:val="32"/>
        </w:rPr>
        <w:t>działając zgodnie z</w:t>
      </w:r>
      <w:r w:rsidRPr="008D757B">
        <w:rPr>
          <w:sz w:val="32"/>
          <w:szCs w:val="32"/>
        </w:rPr>
        <w:t xml:space="preserve"> art. 15 b) Statutu Rady Europy, </w:t>
      </w:r>
    </w:p>
    <w:p w14:paraId="50674718" w14:textId="6BD6732D" w:rsidR="009230F5" w:rsidRPr="008D757B" w:rsidRDefault="00453920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Mając na uwadze cel Rady Europy, </w:t>
      </w:r>
      <w:r w:rsidR="001F2BC0" w:rsidRPr="008D757B">
        <w:rPr>
          <w:sz w:val="32"/>
          <w:szCs w:val="32"/>
        </w:rPr>
        <w:t>jakim</w:t>
      </w:r>
      <w:r w:rsidRPr="008D757B">
        <w:rPr>
          <w:sz w:val="32"/>
          <w:szCs w:val="32"/>
        </w:rPr>
        <w:t xml:space="preserve"> jest osiągnięcie większej jedności </w:t>
      </w:r>
      <w:r w:rsidR="00684361" w:rsidRPr="008D757B">
        <w:rPr>
          <w:sz w:val="32"/>
          <w:szCs w:val="32"/>
        </w:rPr>
        <w:t>wśród państw członkowskich dla</w:t>
      </w:r>
      <w:r w:rsidR="005F0A96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 xml:space="preserve">ochrony </w:t>
      </w:r>
      <w:r w:rsidR="005F0A96" w:rsidRPr="008D757B">
        <w:rPr>
          <w:sz w:val="32"/>
          <w:szCs w:val="32"/>
        </w:rPr>
        <w:t>oraz</w:t>
      </w:r>
      <w:r w:rsidRPr="008D757B">
        <w:rPr>
          <w:sz w:val="32"/>
          <w:szCs w:val="32"/>
        </w:rPr>
        <w:t xml:space="preserve"> realizacji ideałów i zasad</w:t>
      </w:r>
      <w:r w:rsidR="005F0A96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które są ich wspólnym dziedzictwem, między innymi przez prowadzenie działań w zakresie praw człowieka i podstawowych </w:t>
      </w:r>
      <w:r w:rsidR="005F0A96" w:rsidRPr="008D757B">
        <w:rPr>
          <w:sz w:val="32"/>
          <w:szCs w:val="32"/>
        </w:rPr>
        <w:t>wolności</w:t>
      </w:r>
      <w:r w:rsidRPr="008D757B">
        <w:rPr>
          <w:sz w:val="32"/>
          <w:szCs w:val="32"/>
        </w:rPr>
        <w:t>;</w:t>
      </w:r>
    </w:p>
    <w:p w14:paraId="251F4D98" w14:textId="1D4E6B22" w:rsidR="009230F5" w:rsidRPr="008D757B" w:rsidRDefault="00B11683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>Przyjmując z zadowoleniem znaczący rozwój</w:t>
      </w:r>
      <w:r w:rsidR="007F12CF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</w:t>
      </w:r>
      <w:r w:rsidR="00BB71F4" w:rsidRPr="008D757B">
        <w:rPr>
          <w:sz w:val="32"/>
          <w:szCs w:val="32"/>
        </w:rPr>
        <w:t xml:space="preserve">jaki nastąpił </w:t>
      </w:r>
      <w:r w:rsidR="001C68D4">
        <w:rPr>
          <w:sz w:val="32"/>
          <w:szCs w:val="32"/>
        </w:rPr>
        <w:t>w </w:t>
      </w:r>
      <w:r w:rsidR="00684361" w:rsidRPr="008D757B">
        <w:rPr>
          <w:sz w:val="32"/>
          <w:szCs w:val="32"/>
        </w:rPr>
        <w:t xml:space="preserve">przeważającej </w:t>
      </w:r>
      <w:r w:rsidR="00A64BF4" w:rsidRPr="008D757B">
        <w:rPr>
          <w:sz w:val="32"/>
          <w:szCs w:val="32"/>
        </w:rPr>
        <w:t xml:space="preserve">większości państw członkowskich Rady Europy </w:t>
      </w:r>
      <w:r w:rsidR="008038DD" w:rsidRPr="008D757B">
        <w:rPr>
          <w:sz w:val="32"/>
          <w:szCs w:val="32"/>
        </w:rPr>
        <w:t>od</w:t>
      </w:r>
      <w:r w:rsidR="001C68D4">
        <w:rPr>
          <w:sz w:val="32"/>
          <w:szCs w:val="32"/>
        </w:rPr>
        <w:t> </w:t>
      </w:r>
      <w:r w:rsidR="00BB71F4" w:rsidRPr="008D757B">
        <w:rPr>
          <w:sz w:val="32"/>
          <w:szCs w:val="32"/>
        </w:rPr>
        <w:t>przyjęci</w:t>
      </w:r>
      <w:r w:rsidR="008038DD" w:rsidRPr="008D757B">
        <w:rPr>
          <w:sz w:val="32"/>
          <w:szCs w:val="32"/>
        </w:rPr>
        <w:t>a</w:t>
      </w:r>
      <w:r w:rsidR="00BB71F4" w:rsidRPr="008D757B">
        <w:rPr>
          <w:sz w:val="32"/>
          <w:szCs w:val="32"/>
        </w:rPr>
        <w:t xml:space="preserve"> </w:t>
      </w:r>
      <w:r w:rsidR="004E1CD9" w:rsidRPr="001A26B1">
        <w:rPr>
          <w:sz w:val="32"/>
          <w:szCs w:val="32"/>
        </w:rPr>
        <w:t>Zalecenia</w:t>
      </w:r>
      <w:r w:rsidR="00BB71F4" w:rsidRPr="008D757B">
        <w:rPr>
          <w:sz w:val="32"/>
          <w:szCs w:val="32"/>
        </w:rPr>
        <w:t xml:space="preserve"> Rec(85)13</w:t>
      </w:r>
      <w:r w:rsidR="00752F00" w:rsidRPr="008D757B">
        <w:rPr>
          <w:sz w:val="32"/>
          <w:szCs w:val="32"/>
        </w:rPr>
        <w:t xml:space="preserve"> </w:t>
      </w:r>
      <w:r w:rsidR="002601F2">
        <w:rPr>
          <w:sz w:val="32"/>
          <w:szCs w:val="32"/>
        </w:rPr>
        <w:t>w sprawie</w:t>
      </w:r>
      <w:r w:rsidR="00BB71F4" w:rsidRPr="008D757B">
        <w:rPr>
          <w:sz w:val="32"/>
          <w:szCs w:val="32"/>
        </w:rPr>
        <w:t xml:space="preserve"> instytucji </w:t>
      </w:r>
      <w:r w:rsidR="00B17495" w:rsidRPr="008D757B">
        <w:rPr>
          <w:sz w:val="32"/>
          <w:szCs w:val="32"/>
        </w:rPr>
        <w:t>R</w:t>
      </w:r>
      <w:r w:rsidR="00752F00" w:rsidRPr="008D757B">
        <w:rPr>
          <w:sz w:val="32"/>
          <w:szCs w:val="32"/>
        </w:rPr>
        <w:t xml:space="preserve">zecznika </w:t>
      </w:r>
      <w:r w:rsidR="00B17495" w:rsidRPr="008D757B">
        <w:rPr>
          <w:sz w:val="32"/>
          <w:szCs w:val="32"/>
        </w:rPr>
        <w:t>P</w:t>
      </w:r>
      <w:r w:rsidR="00752F00" w:rsidRPr="008D757B">
        <w:rPr>
          <w:sz w:val="32"/>
          <w:szCs w:val="32"/>
        </w:rPr>
        <w:t xml:space="preserve">raw </w:t>
      </w:r>
      <w:r w:rsidR="00B17495" w:rsidRPr="008D757B">
        <w:rPr>
          <w:sz w:val="32"/>
          <w:szCs w:val="32"/>
        </w:rPr>
        <w:t>O</w:t>
      </w:r>
      <w:r w:rsidR="00752F00" w:rsidRPr="008D757B">
        <w:rPr>
          <w:sz w:val="32"/>
          <w:szCs w:val="32"/>
        </w:rPr>
        <w:t>bywatelskich</w:t>
      </w:r>
      <w:r w:rsidR="004E1CD9">
        <w:rPr>
          <w:sz w:val="32"/>
          <w:szCs w:val="32"/>
        </w:rPr>
        <w:t>,</w:t>
      </w:r>
      <w:r w:rsidR="00BB71F4" w:rsidRPr="008D757B">
        <w:rPr>
          <w:sz w:val="32"/>
          <w:szCs w:val="32"/>
        </w:rPr>
        <w:t xml:space="preserve"> w </w:t>
      </w:r>
      <w:r w:rsidR="001A26B1">
        <w:rPr>
          <w:sz w:val="32"/>
          <w:szCs w:val="32"/>
        </w:rPr>
        <w:t xml:space="preserve">związku z </w:t>
      </w:r>
      <w:r w:rsidR="001A26B1" w:rsidRPr="008D757B">
        <w:rPr>
          <w:sz w:val="32"/>
          <w:szCs w:val="32"/>
        </w:rPr>
        <w:t>ustanowieni</w:t>
      </w:r>
      <w:r w:rsidR="001A26B1">
        <w:rPr>
          <w:sz w:val="32"/>
          <w:szCs w:val="32"/>
        </w:rPr>
        <w:t>em</w:t>
      </w:r>
      <w:r w:rsidR="001A26B1" w:rsidRPr="008D757B">
        <w:rPr>
          <w:sz w:val="32"/>
          <w:szCs w:val="32"/>
        </w:rPr>
        <w:t xml:space="preserve"> </w:t>
      </w:r>
      <w:r w:rsidR="00752F00" w:rsidRPr="008D757B">
        <w:rPr>
          <w:sz w:val="32"/>
          <w:szCs w:val="32"/>
        </w:rPr>
        <w:t xml:space="preserve">instytucji </w:t>
      </w:r>
      <w:r w:rsidR="001C68D4">
        <w:rPr>
          <w:sz w:val="32"/>
          <w:szCs w:val="32"/>
        </w:rPr>
        <w:t>Rzecznika Praw Obywatelskich</w:t>
      </w:r>
      <w:r w:rsidR="00752F00" w:rsidRPr="008D757B">
        <w:rPr>
          <w:sz w:val="32"/>
          <w:szCs w:val="32"/>
          <w:vertAlign w:val="superscript"/>
        </w:rPr>
        <w:footnoteReference w:id="1"/>
      </w:r>
      <w:r w:rsidR="00752F00" w:rsidRPr="008D757B">
        <w:rPr>
          <w:sz w:val="32"/>
          <w:szCs w:val="32"/>
        </w:rPr>
        <w:t xml:space="preserve"> </w:t>
      </w:r>
      <w:r w:rsidR="00BB71F4" w:rsidRPr="008D757B">
        <w:rPr>
          <w:sz w:val="32"/>
          <w:szCs w:val="32"/>
        </w:rPr>
        <w:t xml:space="preserve">na </w:t>
      </w:r>
      <w:r w:rsidR="003916A2" w:rsidRPr="008D757B">
        <w:rPr>
          <w:sz w:val="32"/>
          <w:szCs w:val="32"/>
        </w:rPr>
        <w:t>szczeblu</w:t>
      </w:r>
      <w:r w:rsidR="00BB71F4" w:rsidRPr="008D757B">
        <w:rPr>
          <w:sz w:val="32"/>
          <w:szCs w:val="32"/>
        </w:rPr>
        <w:t xml:space="preserve"> krajowym, regionalnym i </w:t>
      </w:r>
      <w:r w:rsidR="00155C3F">
        <w:rPr>
          <w:sz w:val="32"/>
          <w:szCs w:val="32"/>
        </w:rPr>
        <w:t> </w:t>
      </w:r>
      <w:r w:rsidR="00BB71F4" w:rsidRPr="008D757B">
        <w:rPr>
          <w:sz w:val="32"/>
          <w:szCs w:val="32"/>
        </w:rPr>
        <w:t xml:space="preserve">lokalnym, w tym </w:t>
      </w:r>
      <w:r w:rsidR="004E1765" w:rsidRPr="008D757B">
        <w:rPr>
          <w:sz w:val="32"/>
          <w:szCs w:val="32"/>
        </w:rPr>
        <w:t>urzędów</w:t>
      </w:r>
      <w:r w:rsidR="008038DD" w:rsidRPr="008D757B">
        <w:rPr>
          <w:sz w:val="32"/>
          <w:szCs w:val="32"/>
        </w:rPr>
        <w:t xml:space="preserve"> zajmujących się poszczególnymi </w:t>
      </w:r>
      <w:r w:rsidR="00752F00" w:rsidRPr="008D757B">
        <w:rPr>
          <w:sz w:val="32"/>
          <w:szCs w:val="32"/>
        </w:rPr>
        <w:t xml:space="preserve">zagadnieniami </w:t>
      </w:r>
      <w:r w:rsidR="008038DD" w:rsidRPr="008D757B">
        <w:rPr>
          <w:sz w:val="32"/>
          <w:szCs w:val="32"/>
        </w:rPr>
        <w:t xml:space="preserve">tematycznymi; </w:t>
      </w:r>
    </w:p>
    <w:p w14:paraId="3CF08CF2" w14:textId="54DDDA84" w:rsidR="009230F5" w:rsidRPr="008D757B" w:rsidRDefault="00AB373B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Z zadowoleniem </w:t>
      </w:r>
      <w:r w:rsidR="000578D8" w:rsidRPr="008D757B">
        <w:rPr>
          <w:sz w:val="32"/>
          <w:szCs w:val="32"/>
        </w:rPr>
        <w:t>przyjmując stały rozwój funkcji</w:t>
      </w:r>
      <w:r w:rsidRPr="008D757B">
        <w:rPr>
          <w:sz w:val="32"/>
          <w:szCs w:val="32"/>
        </w:rPr>
        <w:t xml:space="preserve"> </w:t>
      </w:r>
      <w:r w:rsidR="00BD6994" w:rsidRPr="008D757B">
        <w:rPr>
          <w:sz w:val="32"/>
          <w:szCs w:val="32"/>
        </w:rPr>
        <w:t>urzędów</w:t>
      </w:r>
      <w:r w:rsidR="000578D8" w:rsidRPr="008D757B">
        <w:rPr>
          <w:sz w:val="32"/>
          <w:szCs w:val="32"/>
        </w:rPr>
        <w:t xml:space="preserve"> Rzecznika Praw Obywatelskich</w:t>
      </w:r>
      <w:r w:rsidR="005A310E" w:rsidRPr="008D757B">
        <w:rPr>
          <w:sz w:val="32"/>
          <w:szCs w:val="32"/>
        </w:rPr>
        <w:t>,</w:t>
      </w:r>
      <w:r w:rsidR="000578D8" w:rsidRPr="008D757B">
        <w:rPr>
          <w:sz w:val="32"/>
          <w:szCs w:val="32"/>
        </w:rPr>
        <w:t xml:space="preserve"> które wykraczają</w:t>
      </w:r>
      <w:r w:rsidRPr="008D757B">
        <w:rPr>
          <w:sz w:val="32"/>
          <w:szCs w:val="32"/>
        </w:rPr>
        <w:t xml:space="preserve"> poza pierwotny mandat dotyczący </w:t>
      </w:r>
      <w:r w:rsidR="00E17D0A">
        <w:rPr>
          <w:sz w:val="32"/>
          <w:szCs w:val="32"/>
        </w:rPr>
        <w:t>nieudolnej administracji</w:t>
      </w:r>
      <w:r w:rsidR="007046CB" w:rsidRPr="008D757B">
        <w:rPr>
          <w:sz w:val="32"/>
          <w:szCs w:val="32"/>
        </w:rPr>
        <w:t xml:space="preserve"> i </w:t>
      </w:r>
      <w:r w:rsidR="00127C5F">
        <w:rPr>
          <w:sz w:val="32"/>
          <w:szCs w:val="32"/>
        </w:rPr>
        <w:t>braku</w:t>
      </w:r>
      <w:r w:rsidR="00B53A65">
        <w:rPr>
          <w:sz w:val="32"/>
          <w:szCs w:val="32"/>
        </w:rPr>
        <w:t xml:space="preserve"> </w:t>
      </w:r>
      <w:r w:rsidR="007046CB" w:rsidRPr="008D757B">
        <w:rPr>
          <w:sz w:val="32"/>
          <w:szCs w:val="32"/>
        </w:rPr>
        <w:t>praworządności;</w:t>
      </w:r>
    </w:p>
    <w:p w14:paraId="735BF9C0" w14:textId="5CD253DD" w:rsidR="009230F5" w:rsidRPr="008D757B" w:rsidRDefault="00AB373B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Odnotowując z zadowoleniem, że instytucje </w:t>
      </w:r>
      <w:r w:rsidR="000578D8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stanowią obecnie ważną cechę demokratycznych rządów i pełnią kluczową rolę</w:t>
      </w:r>
      <w:r w:rsidR="00EA5E12" w:rsidRPr="008D757B">
        <w:rPr>
          <w:sz w:val="32"/>
          <w:szCs w:val="32"/>
        </w:rPr>
        <w:t xml:space="preserve"> w</w:t>
      </w:r>
      <w:r w:rsidR="001C68D4">
        <w:rPr>
          <w:sz w:val="32"/>
          <w:szCs w:val="32"/>
        </w:rPr>
        <w:t xml:space="preserve"> działaniach na rzecz ochrony i </w:t>
      </w:r>
      <w:r w:rsidR="00EA5E12" w:rsidRPr="008D757B">
        <w:rPr>
          <w:sz w:val="32"/>
          <w:szCs w:val="32"/>
        </w:rPr>
        <w:t>promowania praw człowieka i praworządności w większości państw członkowskich Rady Europy;</w:t>
      </w:r>
    </w:p>
    <w:p w14:paraId="2A8932C9" w14:textId="2B516B9D" w:rsidR="009230F5" w:rsidRPr="008D757B" w:rsidRDefault="00EA5E12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lastRenderedPageBreak/>
        <w:t xml:space="preserve">Podkreślając ogromny potencjał instytucji </w:t>
      </w:r>
      <w:r w:rsidR="000578D8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dla ochrony i pro</w:t>
      </w:r>
      <w:r w:rsidR="00B94EA4" w:rsidRPr="008D757B">
        <w:rPr>
          <w:sz w:val="32"/>
          <w:szCs w:val="32"/>
        </w:rPr>
        <w:t>pagowania</w:t>
      </w:r>
      <w:r w:rsidR="00155C3F">
        <w:rPr>
          <w:sz w:val="32"/>
          <w:szCs w:val="32"/>
        </w:rPr>
        <w:t xml:space="preserve"> praw człowieka w </w:t>
      </w:r>
      <w:r w:rsidRPr="008D757B">
        <w:rPr>
          <w:sz w:val="32"/>
          <w:szCs w:val="32"/>
        </w:rPr>
        <w:t>Europie, zwłaszcza dla efektywnego wdrażania Europejskiej K</w:t>
      </w:r>
      <w:r w:rsidR="00AC3225" w:rsidRPr="008D757B">
        <w:rPr>
          <w:sz w:val="32"/>
          <w:szCs w:val="32"/>
        </w:rPr>
        <w:t>onwencji Praw Czł</w:t>
      </w:r>
      <w:r w:rsidRPr="008D757B">
        <w:rPr>
          <w:sz w:val="32"/>
          <w:szCs w:val="32"/>
        </w:rPr>
        <w:t>owieka (ETS nr 5);</w:t>
      </w:r>
    </w:p>
    <w:p w14:paraId="269A8C4F" w14:textId="3E47C229" w:rsidR="007E5F37" w:rsidRPr="008D757B" w:rsidRDefault="00AC3225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Uznając </w:t>
      </w:r>
      <w:r w:rsidR="007E5F37" w:rsidRPr="008D757B">
        <w:rPr>
          <w:sz w:val="32"/>
          <w:szCs w:val="32"/>
        </w:rPr>
        <w:t xml:space="preserve">wagę dalszego wsparcia </w:t>
      </w:r>
      <w:r w:rsidR="005C412C">
        <w:rPr>
          <w:sz w:val="32"/>
          <w:szCs w:val="32"/>
        </w:rPr>
        <w:t xml:space="preserve">ze strony </w:t>
      </w:r>
      <w:r w:rsidR="007E5F37" w:rsidRPr="008D757B">
        <w:rPr>
          <w:sz w:val="32"/>
          <w:szCs w:val="32"/>
        </w:rPr>
        <w:t xml:space="preserve">Rady Europy i innych podmiotów międzynarodowych dla </w:t>
      </w:r>
      <w:r w:rsidR="00BD6994" w:rsidRPr="008D757B">
        <w:rPr>
          <w:sz w:val="32"/>
          <w:szCs w:val="32"/>
        </w:rPr>
        <w:t>urzędów</w:t>
      </w:r>
      <w:r w:rsidR="007E5F37" w:rsidRPr="008D757B">
        <w:rPr>
          <w:sz w:val="32"/>
          <w:szCs w:val="32"/>
        </w:rPr>
        <w:t xml:space="preserve"> </w:t>
      </w:r>
      <w:r w:rsidR="00B94EA4" w:rsidRPr="008D757B">
        <w:rPr>
          <w:sz w:val="32"/>
          <w:szCs w:val="32"/>
        </w:rPr>
        <w:t>Rzecznika Praw Obywatelskich</w:t>
      </w:r>
      <w:r w:rsidR="007E5F37" w:rsidRPr="008D757B">
        <w:rPr>
          <w:sz w:val="32"/>
          <w:szCs w:val="32"/>
        </w:rPr>
        <w:t xml:space="preserve"> i z zadowoleniem przyjmując ugruntowaną współpracę między Komisarzem </w:t>
      </w:r>
      <w:r w:rsidR="00F3328F" w:rsidRPr="008D757B">
        <w:rPr>
          <w:sz w:val="32"/>
          <w:szCs w:val="32"/>
        </w:rPr>
        <w:t xml:space="preserve">Praw Człowieka </w:t>
      </w:r>
      <w:r w:rsidR="00155C3F">
        <w:rPr>
          <w:sz w:val="32"/>
          <w:szCs w:val="32"/>
        </w:rPr>
        <w:t>Rady Europy a </w:t>
      </w:r>
      <w:r w:rsidR="007E5F37" w:rsidRPr="008D757B">
        <w:rPr>
          <w:sz w:val="32"/>
          <w:szCs w:val="32"/>
        </w:rPr>
        <w:t xml:space="preserve">instytucjami </w:t>
      </w:r>
      <w:r w:rsidR="00155C3F">
        <w:rPr>
          <w:sz w:val="32"/>
          <w:szCs w:val="32"/>
        </w:rPr>
        <w:t>Rzecznika Praw Obywatelskich</w:t>
      </w:r>
      <w:r w:rsidR="007E5F37" w:rsidRPr="008D757B">
        <w:rPr>
          <w:sz w:val="32"/>
          <w:szCs w:val="32"/>
        </w:rPr>
        <w:t xml:space="preserve"> i </w:t>
      </w:r>
      <w:r w:rsidR="00155C3F">
        <w:rPr>
          <w:sz w:val="32"/>
          <w:szCs w:val="32"/>
        </w:rPr>
        <w:t>siecią związanych z </w:t>
      </w:r>
      <w:r w:rsidR="00F60C75">
        <w:rPr>
          <w:sz w:val="32"/>
          <w:szCs w:val="32"/>
        </w:rPr>
        <w:t>nimi podmiotów</w:t>
      </w:r>
      <w:r w:rsidR="007E5F37" w:rsidRPr="008D757B">
        <w:rPr>
          <w:sz w:val="32"/>
          <w:szCs w:val="32"/>
        </w:rPr>
        <w:t>, zgodnie z mandate</w:t>
      </w:r>
      <w:r w:rsidR="00F3328F" w:rsidRPr="008D757B">
        <w:rPr>
          <w:sz w:val="32"/>
          <w:szCs w:val="32"/>
        </w:rPr>
        <w:t>m</w:t>
      </w:r>
      <w:r w:rsidR="007E5F37" w:rsidRPr="008D757B">
        <w:rPr>
          <w:sz w:val="32"/>
          <w:szCs w:val="32"/>
        </w:rPr>
        <w:t xml:space="preserve"> </w:t>
      </w:r>
      <w:r w:rsidR="00F3328F" w:rsidRPr="008D757B">
        <w:rPr>
          <w:sz w:val="32"/>
          <w:szCs w:val="32"/>
        </w:rPr>
        <w:t>K</w:t>
      </w:r>
      <w:r w:rsidR="007E5F37" w:rsidRPr="008D757B">
        <w:rPr>
          <w:sz w:val="32"/>
          <w:szCs w:val="32"/>
        </w:rPr>
        <w:t xml:space="preserve">omisarza </w:t>
      </w:r>
      <w:r w:rsidR="00F3328F" w:rsidRPr="008D757B">
        <w:rPr>
          <w:sz w:val="32"/>
          <w:szCs w:val="32"/>
        </w:rPr>
        <w:t>na podstawie Rezolucji Res(99)50 w sprawie Komisarza Praw Człowieka Rady Europy;</w:t>
      </w:r>
    </w:p>
    <w:p w14:paraId="7A9ED71A" w14:textId="36C67601" w:rsidR="00923C35" w:rsidRPr="008D757B" w:rsidRDefault="00F3328F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Uznając dalej </w:t>
      </w:r>
      <w:r w:rsidR="00923C35" w:rsidRPr="008D757B">
        <w:rPr>
          <w:sz w:val="32"/>
          <w:szCs w:val="32"/>
        </w:rPr>
        <w:t>znaczenie</w:t>
      </w:r>
      <w:r w:rsidRPr="008D757B">
        <w:rPr>
          <w:sz w:val="32"/>
          <w:szCs w:val="32"/>
        </w:rPr>
        <w:t xml:space="preserve"> współpracy między instytucjami </w:t>
      </w:r>
      <w:r w:rsidR="00B94EA4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i </w:t>
      </w:r>
      <w:r w:rsidR="00F60C75">
        <w:rPr>
          <w:sz w:val="32"/>
          <w:szCs w:val="32"/>
        </w:rPr>
        <w:t xml:space="preserve">systemem </w:t>
      </w:r>
      <w:r w:rsidRPr="008D757B">
        <w:rPr>
          <w:sz w:val="32"/>
          <w:szCs w:val="32"/>
        </w:rPr>
        <w:t xml:space="preserve">ich </w:t>
      </w:r>
      <w:r w:rsidR="00F60C75">
        <w:rPr>
          <w:sz w:val="32"/>
          <w:szCs w:val="32"/>
        </w:rPr>
        <w:t>powiązań</w:t>
      </w:r>
      <w:r w:rsidR="00155C3F">
        <w:rPr>
          <w:sz w:val="32"/>
          <w:szCs w:val="32"/>
        </w:rPr>
        <w:t>, oraz ich współpracy z </w:t>
      </w:r>
      <w:r w:rsidRPr="008D757B">
        <w:rPr>
          <w:sz w:val="32"/>
          <w:szCs w:val="32"/>
        </w:rPr>
        <w:t xml:space="preserve">Radą Europy </w:t>
      </w:r>
      <w:r w:rsidR="009F0EB1" w:rsidRPr="008D757B">
        <w:rPr>
          <w:sz w:val="32"/>
          <w:szCs w:val="32"/>
        </w:rPr>
        <w:t>i</w:t>
      </w:r>
      <w:r w:rsidRPr="008D757B">
        <w:rPr>
          <w:sz w:val="32"/>
          <w:szCs w:val="32"/>
        </w:rPr>
        <w:t xml:space="preserve"> innymi </w:t>
      </w:r>
      <w:r w:rsidR="009F0EB1" w:rsidRPr="008D757B">
        <w:rPr>
          <w:sz w:val="32"/>
          <w:szCs w:val="32"/>
        </w:rPr>
        <w:t xml:space="preserve">podmiotami międzynarodowymi; </w:t>
      </w:r>
    </w:p>
    <w:p w14:paraId="5830A41C" w14:textId="62850416" w:rsidR="009230F5" w:rsidRPr="008D757B" w:rsidRDefault="00923C35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>M</w:t>
      </w:r>
      <w:r w:rsidR="009F0EB1" w:rsidRPr="008D757B">
        <w:rPr>
          <w:sz w:val="32"/>
          <w:szCs w:val="32"/>
        </w:rPr>
        <w:t>ając na uwadze stosowne międzynarodowe</w:t>
      </w:r>
      <w:r w:rsidR="00F3328F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 xml:space="preserve">dokumenty </w:t>
      </w:r>
      <w:r w:rsidR="009F0EB1" w:rsidRPr="008D757B">
        <w:rPr>
          <w:sz w:val="32"/>
          <w:szCs w:val="32"/>
        </w:rPr>
        <w:t xml:space="preserve">popierające rozwój i ochronę instytucji </w:t>
      </w:r>
      <w:r w:rsidRPr="008D757B">
        <w:rPr>
          <w:sz w:val="32"/>
          <w:szCs w:val="32"/>
        </w:rPr>
        <w:t>Rzecznika Praw Obywatelskich</w:t>
      </w:r>
      <w:r w:rsidR="00945451" w:rsidRPr="008D757B">
        <w:rPr>
          <w:sz w:val="32"/>
          <w:szCs w:val="32"/>
        </w:rPr>
        <w:t>;</w:t>
      </w:r>
      <w:r w:rsidR="00945451" w:rsidRPr="008D757B">
        <w:rPr>
          <w:sz w:val="32"/>
          <w:szCs w:val="32"/>
          <w:vertAlign w:val="superscript"/>
        </w:rPr>
        <w:footnoteReference w:id="2"/>
      </w:r>
    </w:p>
    <w:p w14:paraId="5D14B032" w14:textId="5ADDA334" w:rsidR="009230F5" w:rsidRPr="008D757B" w:rsidRDefault="00597BDA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Uznając różnorodność </w:t>
      </w:r>
      <w:r w:rsidR="00AA294B" w:rsidRPr="008D757B">
        <w:rPr>
          <w:sz w:val="32"/>
          <w:szCs w:val="32"/>
        </w:rPr>
        <w:t xml:space="preserve">instytucji Rzecznika Praw Obywatelskich, </w:t>
      </w:r>
      <w:r w:rsidR="00F60C75">
        <w:rPr>
          <w:sz w:val="32"/>
          <w:szCs w:val="32"/>
        </w:rPr>
        <w:t>która</w:t>
      </w:r>
      <w:r w:rsidR="00AA294B" w:rsidRPr="008D757B">
        <w:rPr>
          <w:sz w:val="32"/>
          <w:szCs w:val="32"/>
        </w:rPr>
        <w:t xml:space="preserve"> odz</w:t>
      </w:r>
      <w:r w:rsidRPr="008D757B">
        <w:rPr>
          <w:sz w:val="32"/>
          <w:szCs w:val="32"/>
        </w:rPr>
        <w:t>wierciedla różnorodność krajów i regionów</w:t>
      </w:r>
      <w:r w:rsidR="00A30546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jakim te </w:t>
      </w:r>
      <w:r w:rsidR="00AA294B" w:rsidRPr="008D757B">
        <w:rPr>
          <w:sz w:val="32"/>
          <w:szCs w:val="32"/>
        </w:rPr>
        <w:t>instytucje</w:t>
      </w:r>
      <w:r w:rsidRPr="008D757B">
        <w:rPr>
          <w:sz w:val="32"/>
          <w:szCs w:val="32"/>
        </w:rPr>
        <w:t xml:space="preserve"> służą; </w:t>
      </w:r>
    </w:p>
    <w:p w14:paraId="7DB848D3" w14:textId="7A0E6AF9" w:rsidR="009230F5" w:rsidRPr="008D757B" w:rsidRDefault="00597BDA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>Podkreślając niemniej, że niezmiernie ważne jest</w:t>
      </w:r>
      <w:r w:rsidR="005A310E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aby </w:t>
      </w:r>
      <w:r w:rsidR="00AA294B" w:rsidRPr="008D757B">
        <w:rPr>
          <w:sz w:val="32"/>
          <w:szCs w:val="32"/>
        </w:rPr>
        <w:t xml:space="preserve">działalność </w:t>
      </w:r>
      <w:r w:rsidRPr="008D757B">
        <w:rPr>
          <w:sz w:val="32"/>
          <w:szCs w:val="32"/>
        </w:rPr>
        <w:t>taki</w:t>
      </w:r>
      <w:r w:rsidR="00AA294B" w:rsidRPr="008D757B">
        <w:rPr>
          <w:sz w:val="32"/>
          <w:szCs w:val="32"/>
        </w:rPr>
        <w:t xml:space="preserve">ch </w:t>
      </w:r>
      <w:r w:rsidR="00BD6994" w:rsidRPr="008D757B">
        <w:rPr>
          <w:sz w:val="32"/>
          <w:szCs w:val="32"/>
        </w:rPr>
        <w:t>urzędów</w:t>
      </w:r>
      <w:r w:rsidR="00AA294B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>był</w:t>
      </w:r>
      <w:r w:rsidR="00AA294B" w:rsidRPr="008D757B">
        <w:rPr>
          <w:sz w:val="32"/>
          <w:szCs w:val="32"/>
        </w:rPr>
        <w:t>a</w:t>
      </w:r>
      <w:r w:rsidRPr="008D757B">
        <w:rPr>
          <w:sz w:val="32"/>
          <w:szCs w:val="32"/>
        </w:rPr>
        <w:t xml:space="preserve"> regulowan</w:t>
      </w:r>
      <w:r w:rsidR="00AA294B" w:rsidRPr="008D757B">
        <w:rPr>
          <w:sz w:val="32"/>
          <w:szCs w:val="32"/>
        </w:rPr>
        <w:t>a</w:t>
      </w:r>
      <w:r w:rsidRPr="008D757B">
        <w:rPr>
          <w:sz w:val="32"/>
          <w:szCs w:val="32"/>
        </w:rPr>
        <w:t xml:space="preserve"> przez szereg podstawowych zasad, w tym:</w:t>
      </w:r>
    </w:p>
    <w:p w14:paraId="21CEBE9D" w14:textId="51037A81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</w:tabs>
        <w:spacing w:after="0"/>
        <w:rPr>
          <w:sz w:val="32"/>
          <w:szCs w:val="32"/>
        </w:rPr>
      </w:pPr>
      <w:bookmarkStart w:id="9" w:name="bookmark9"/>
      <w:bookmarkEnd w:id="9"/>
      <w:r w:rsidRPr="008D757B">
        <w:rPr>
          <w:sz w:val="32"/>
          <w:szCs w:val="32"/>
        </w:rPr>
        <w:t>niezależnoś</w:t>
      </w:r>
      <w:r w:rsidR="00AA294B" w:rsidRPr="008D757B">
        <w:rPr>
          <w:sz w:val="32"/>
          <w:szCs w:val="32"/>
        </w:rPr>
        <w:t>ci</w:t>
      </w:r>
      <w:r w:rsidRPr="008D757B">
        <w:rPr>
          <w:sz w:val="32"/>
          <w:szCs w:val="32"/>
        </w:rPr>
        <w:t>;</w:t>
      </w:r>
    </w:p>
    <w:p w14:paraId="13735F89" w14:textId="09B8142B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</w:tabs>
        <w:spacing w:after="0"/>
        <w:rPr>
          <w:sz w:val="32"/>
          <w:szCs w:val="32"/>
        </w:rPr>
      </w:pPr>
      <w:bookmarkStart w:id="10" w:name="bookmark10"/>
      <w:bookmarkEnd w:id="10"/>
      <w:r w:rsidRPr="008D757B">
        <w:rPr>
          <w:sz w:val="32"/>
          <w:szCs w:val="32"/>
        </w:rPr>
        <w:t>bezstronnoś</w:t>
      </w:r>
      <w:r w:rsidR="00AA294B" w:rsidRPr="008D757B">
        <w:rPr>
          <w:sz w:val="32"/>
          <w:szCs w:val="32"/>
        </w:rPr>
        <w:t>ci</w:t>
      </w:r>
      <w:r w:rsidRPr="008D757B">
        <w:rPr>
          <w:sz w:val="32"/>
          <w:szCs w:val="32"/>
        </w:rPr>
        <w:t>, obiektywizm</w:t>
      </w:r>
      <w:r w:rsidR="00AA294B" w:rsidRPr="008D757B">
        <w:rPr>
          <w:sz w:val="32"/>
          <w:szCs w:val="32"/>
        </w:rPr>
        <w:t>u</w:t>
      </w:r>
      <w:r w:rsidRPr="008D757B">
        <w:rPr>
          <w:sz w:val="32"/>
          <w:szCs w:val="32"/>
        </w:rPr>
        <w:t xml:space="preserve"> i sprawied</w:t>
      </w:r>
      <w:r w:rsidR="00AA294B" w:rsidRPr="008D757B">
        <w:rPr>
          <w:sz w:val="32"/>
          <w:szCs w:val="32"/>
        </w:rPr>
        <w:t>l</w:t>
      </w:r>
      <w:r w:rsidRPr="008D757B">
        <w:rPr>
          <w:sz w:val="32"/>
          <w:szCs w:val="32"/>
        </w:rPr>
        <w:t>iwoś</w:t>
      </w:r>
      <w:r w:rsidR="00AA294B" w:rsidRPr="008D757B">
        <w:rPr>
          <w:sz w:val="32"/>
          <w:szCs w:val="32"/>
        </w:rPr>
        <w:t>ci</w:t>
      </w:r>
      <w:r w:rsidRPr="008D757B">
        <w:rPr>
          <w:sz w:val="32"/>
          <w:szCs w:val="32"/>
        </w:rPr>
        <w:t>;</w:t>
      </w:r>
    </w:p>
    <w:p w14:paraId="4C24BDB8" w14:textId="5E9E513A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  <w:tab w:val="left" w:pos="2403"/>
          <w:tab w:val="center" w:pos="3240"/>
        </w:tabs>
        <w:spacing w:after="0"/>
        <w:rPr>
          <w:sz w:val="32"/>
          <w:szCs w:val="32"/>
        </w:rPr>
      </w:pPr>
      <w:bookmarkStart w:id="11" w:name="bookmark11"/>
      <w:bookmarkEnd w:id="11"/>
      <w:r w:rsidRPr="008D757B">
        <w:rPr>
          <w:sz w:val="32"/>
          <w:szCs w:val="32"/>
        </w:rPr>
        <w:t>prawoś</w:t>
      </w:r>
      <w:r w:rsidR="00AA294B" w:rsidRPr="008D757B">
        <w:rPr>
          <w:sz w:val="32"/>
          <w:szCs w:val="32"/>
        </w:rPr>
        <w:t>ci i wysokiego</w:t>
      </w:r>
      <w:r w:rsidRPr="008D757B">
        <w:rPr>
          <w:sz w:val="32"/>
          <w:szCs w:val="32"/>
        </w:rPr>
        <w:t xml:space="preserve"> autorytet</w:t>
      </w:r>
      <w:r w:rsidR="00AA294B" w:rsidRPr="008D757B">
        <w:rPr>
          <w:sz w:val="32"/>
          <w:szCs w:val="32"/>
        </w:rPr>
        <w:t>u</w:t>
      </w:r>
      <w:r w:rsidRPr="008D757B">
        <w:rPr>
          <w:sz w:val="32"/>
          <w:szCs w:val="32"/>
        </w:rPr>
        <w:t xml:space="preserve"> moraln</w:t>
      </w:r>
      <w:r w:rsidR="00AA294B" w:rsidRPr="008D757B">
        <w:rPr>
          <w:sz w:val="32"/>
          <w:szCs w:val="32"/>
        </w:rPr>
        <w:t>ego</w:t>
      </w:r>
      <w:r w:rsidRPr="008D757B">
        <w:rPr>
          <w:sz w:val="32"/>
          <w:szCs w:val="32"/>
        </w:rPr>
        <w:t>;</w:t>
      </w:r>
    </w:p>
    <w:p w14:paraId="388F2977" w14:textId="570098C0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  <w:tab w:val="left" w:pos="2408"/>
        </w:tabs>
        <w:spacing w:after="0"/>
        <w:rPr>
          <w:sz w:val="32"/>
          <w:szCs w:val="32"/>
        </w:rPr>
      </w:pPr>
      <w:bookmarkStart w:id="12" w:name="bookmark12"/>
      <w:bookmarkEnd w:id="12"/>
      <w:r w:rsidRPr="008D757B">
        <w:rPr>
          <w:sz w:val="32"/>
          <w:szCs w:val="32"/>
        </w:rPr>
        <w:t>szeroki</w:t>
      </w:r>
      <w:r w:rsidR="00AA294B" w:rsidRPr="008D757B">
        <w:rPr>
          <w:sz w:val="32"/>
          <w:szCs w:val="32"/>
        </w:rPr>
        <w:t>ego</w:t>
      </w:r>
      <w:r w:rsidRPr="008D757B">
        <w:rPr>
          <w:sz w:val="32"/>
          <w:szCs w:val="32"/>
        </w:rPr>
        <w:t xml:space="preserve"> mandat</w:t>
      </w:r>
      <w:r w:rsidR="00AA294B" w:rsidRPr="008D757B">
        <w:rPr>
          <w:sz w:val="32"/>
          <w:szCs w:val="32"/>
        </w:rPr>
        <w:t>u</w:t>
      </w:r>
      <w:r w:rsidRPr="008D757B">
        <w:rPr>
          <w:sz w:val="32"/>
          <w:szCs w:val="32"/>
        </w:rPr>
        <w:t>;</w:t>
      </w:r>
    </w:p>
    <w:p w14:paraId="67368A1A" w14:textId="1AED9FFA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</w:tabs>
        <w:spacing w:after="0"/>
        <w:rPr>
          <w:sz w:val="32"/>
          <w:szCs w:val="32"/>
        </w:rPr>
      </w:pPr>
      <w:bookmarkStart w:id="13" w:name="bookmark13"/>
      <w:bookmarkEnd w:id="13"/>
      <w:r w:rsidRPr="008D757B">
        <w:rPr>
          <w:sz w:val="32"/>
          <w:szCs w:val="32"/>
        </w:rPr>
        <w:lastRenderedPageBreak/>
        <w:t>dostępnoś</w:t>
      </w:r>
      <w:r w:rsidR="00AA294B" w:rsidRPr="008D757B">
        <w:rPr>
          <w:sz w:val="32"/>
          <w:szCs w:val="32"/>
        </w:rPr>
        <w:t>ci</w:t>
      </w:r>
      <w:r w:rsidRPr="008D757B">
        <w:rPr>
          <w:sz w:val="32"/>
          <w:szCs w:val="32"/>
        </w:rPr>
        <w:t>; oraz</w:t>
      </w:r>
    </w:p>
    <w:p w14:paraId="325CF96A" w14:textId="796F9419" w:rsidR="009230F5" w:rsidRPr="008D757B" w:rsidRDefault="00597BDA">
      <w:pPr>
        <w:pStyle w:val="Teksttreci0"/>
        <w:numPr>
          <w:ilvl w:val="0"/>
          <w:numId w:val="2"/>
        </w:numPr>
        <w:tabs>
          <w:tab w:val="left" w:pos="709"/>
        </w:tabs>
        <w:rPr>
          <w:sz w:val="32"/>
          <w:szCs w:val="32"/>
        </w:rPr>
      </w:pPr>
      <w:bookmarkStart w:id="14" w:name="bookmark14"/>
      <w:bookmarkEnd w:id="14"/>
      <w:r w:rsidRPr="008D757B">
        <w:rPr>
          <w:sz w:val="32"/>
          <w:szCs w:val="32"/>
        </w:rPr>
        <w:t>skutecznoś</w:t>
      </w:r>
      <w:r w:rsidR="00AA294B" w:rsidRPr="008D757B">
        <w:rPr>
          <w:sz w:val="32"/>
          <w:szCs w:val="32"/>
        </w:rPr>
        <w:t>ci</w:t>
      </w:r>
      <w:r w:rsidRPr="008D757B">
        <w:rPr>
          <w:sz w:val="32"/>
          <w:szCs w:val="32"/>
        </w:rPr>
        <w:t>;</w:t>
      </w:r>
    </w:p>
    <w:p w14:paraId="33D9158D" w14:textId="519EE4CB" w:rsidR="009230F5" w:rsidRPr="008D757B" w:rsidRDefault="00B36EFC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>Wyrażając poważne zaniepokojenie trudnymi warunkami pracy, groźbami, naciskami i atakami</w:t>
      </w:r>
      <w:r w:rsidR="004C5EC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na jakie czasem narażone są instytucje </w:t>
      </w:r>
      <w:r w:rsidR="00AA294B" w:rsidRPr="008D757B">
        <w:rPr>
          <w:sz w:val="32"/>
          <w:szCs w:val="32"/>
        </w:rPr>
        <w:t>Rzecznika praw Obywatelskich</w:t>
      </w:r>
      <w:r w:rsidR="001635BA">
        <w:rPr>
          <w:sz w:val="32"/>
          <w:szCs w:val="32"/>
        </w:rPr>
        <w:t xml:space="preserve"> i ich pracownicy w </w:t>
      </w:r>
      <w:r w:rsidRPr="008D757B">
        <w:rPr>
          <w:sz w:val="32"/>
          <w:szCs w:val="32"/>
        </w:rPr>
        <w:t>państwach członkowskich;</w:t>
      </w:r>
    </w:p>
    <w:p w14:paraId="2A1C84FC" w14:textId="653BB69D" w:rsidR="009230F5" w:rsidRPr="008D757B" w:rsidRDefault="00B36EFC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 xml:space="preserve">Pragnąc uzupełnić </w:t>
      </w:r>
      <w:r w:rsidR="00B53A65" w:rsidRPr="008D757B">
        <w:rPr>
          <w:sz w:val="32"/>
          <w:szCs w:val="32"/>
        </w:rPr>
        <w:t>swoj</w:t>
      </w:r>
      <w:r w:rsidR="00B53A65">
        <w:rPr>
          <w:sz w:val="32"/>
          <w:szCs w:val="32"/>
        </w:rPr>
        <w:t>e Zalecenie</w:t>
      </w:r>
      <w:r w:rsidRPr="008D757B">
        <w:rPr>
          <w:sz w:val="32"/>
          <w:szCs w:val="32"/>
        </w:rPr>
        <w:t xml:space="preserve"> Rec(85)13 </w:t>
      </w:r>
      <w:r w:rsidR="005F0F3D" w:rsidRPr="008D757B">
        <w:rPr>
          <w:sz w:val="32"/>
          <w:szCs w:val="32"/>
        </w:rPr>
        <w:t>dotycząc</w:t>
      </w:r>
      <w:r w:rsidR="005F0F3D">
        <w:rPr>
          <w:sz w:val="32"/>
          <w:szCs w:val="32"/>
        </w:rPr>
        <w:t>e</w:t>
      </w:r>
      <w:r w:rsidR="005F0F3D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 xml:space="preserve">instytucji </w:t>
      </w:r>
      <w:r w:rsidR="005352FE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, </w:t>
      </w:r>
      <w:r w:rsidR="005352FE" w:rsidRPr="008D757B">
        <w:rPr>
          <w:sz w:val="32"/>
          <w:szCs w:val="32"/>
        </w:rPr>
        <w:t xml:space="preserve">odtąd </w:t>
      </w:r>
      <w:r w:rsidR="005F0F3D" w:rsidRPr="008D757B">
        <w:rPr>
          <w:sz w:val="32"/>
          <w:szCs w:val="32"/>
        </w:rPr>
        <w:t>zastąpion</w:t>
      </w:r>
      <w:r w:rsidR="005F0F3D">
        <w:rPr>
          <w:sz w:val="32"/>
          <w:szCs w:val="32"/>
        </w:rPr>
        <w:t>e</w:t>
      </w:r>
      <w:r w:rsidR="005F0F3D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>przez niniejszy instrument,</w:t>
      </w:r>
    </w:p>
    <w:p w14:paraId="23268B52" w14:textId="0810192B" w:rsidR="009230F5" w:rsidRPr="008D757B" w:rsidRDefault="002214D6">
      <w:pPr>
        <w:pStyle w:val="Teksttreci0"/>
        <w:rPr>
          <w:sz w:val="32"/>
          <w:szCs w:val="32"/>
        </w:rPr>
      </w:pPr>
      <w:r w:rsidRPr="008D757B">
        <w:rPr>
          <w:sz w:val="32"/>
          <w:szCs w:val="32"/>
        </w:rPr>
        <w:t>Zaleca</w:t>
      </w:r>
      <w:r w:rsidR="004C5EC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aby rządy państw członkowskich:</w:t>
      </w:r>
    </w:p>
    <w:p w14:paraId="18BB7F1D" w14:textId="0486C808" w:rsidR="009230F5" w:rsidRPr="008D757B" w:rsidRDefault="002214D6">
      <w:pPr>
        <w:pStyle w:val="Teksttreci0"/>
        <w:numPr>
          <w:ilvl w:val="0"/>
          <w:numId w:val="3"/>
        </w:numPr>
        <w:tabs>
          <w:tab w:val="left" w:pos="709"/>
        </w:tabs>
        <w:rPr>
          <w:sz w:val="32"/>
          <w:szCs w:val="32"/>
        </w:rPr>
      </w:pPr>
      <w:bookmarkStart w:id="15" w:name="bookmark15"/>
      <w:bookmarkEnd w:id="15"/>
      <w:r w:rsidRPr="008D757B">
        <w:rPr>
          <w:sz w:val="32"/>
          <w:szCs w:val="32"/>
        </w:rPr>
        <w:t>zapewn</w:t>
      </w:r>
      <w:r w:rsidR="005352FE" w:rsidRPr="008D757B">
        <w:rPr>
          <w:sz w:val="32"/>
          <w:szCs w:val="32"/>
        </w:rPr>
        <w:t>iły wdrożenie za</w:t>
      </w:r>
      <w:r w:rsidR="001635BA">
        <w:rPr>
          <w:sz w:val="32"/>
          <w:szCs w:val="32"/>
        </w:rPr>
        <w:t>sad określonych w załączniku do </w:t>
      </w:r>
      <w:r w:rsidR="005352FE" w:rsidRPr="008D757B">
        <w:rPr>
          <w:sz w:val="32"/>
          <w:szCs w:val="32"/>
        </w:rPr>
        <w:t>niniejsze</w:t>
      </w:r>
      <w:r w:rsidR="00B53A65">
        <w:rPr>
          <w:sz w:val="32"/>
          <w:szCs w:val="32"/>
        </w:rPr>
        <w:t>go Zalecenia</w:t>
      </w:r>
      <w:r w:rsidRPr="008D757B">
        <w:rPr>
          <w:sz w:val="32"/>
          <w:szCs w:val="32"/>
        </w:rPr>
        <w:t xml:space="preserve"> we właściwym prawie krajowym i praktyce; </w:t>
      </w:r>
    </w:p>
    <w:p w14:paraId="6C084975" w14:textId="1664CCA4" w:rsidR="009230F5" w:rsidRPr="008D757B" w:rsidRDefault="002214D6">
      <w:pPr>
        <w:pStyle w:val="Teksttreci0"/>
        <w:numPr>
          <w:ilvl w:val="0"/>
          <w:numId w:val="3"/>
        </w:numPr>
        <w:tabs>
          <w:tab w:val="left" w:pos="709"/>
        </w:tabs>
        <w:rPr>
          <w:sz w:val="32"/>
          <w:szCs w:val="32"/>
        </w:rPr>
      </w:pPr>
      <w:bookmarkStart w:id="16" w:name="bookmark16"/>
      <w:bookmarkEnd w:id="16"/>
      <w:r w:rsidRPr="008D757B">
        <w:rPr>
          <w:sz w:val="32"/>
          <w:szCs w:val="32"/>
        </w:rPr>
        <w:t xml:space="preserve">wzmocniły instytucje </w:t>
      </w:r>
      <w:r w:rsidR="001635BA">
        <w:rPr>
          <w:sz w:val="32"/>
          <w:szCs w:val="32"/>
        </w:rPr>
        <w:t>Rzecznika P</w:t>
      </w:r>
      <w:r w:rsidR="005352FE" w:rsidRPr="008D757B">
        <w:rPr>
          <w:sz w:val="32"/>
          <w:szCs w:val="32"/>
        </w:rPr>
        <w:t>raw Obywatelskich</w:t>
      </w:r>
      <w:r w:rsidR="00E049D4" w:rsidRPr="008D757B">
        <w:rPr>
          <w:sz w:val="32"/>
          <w:szCs w:val="32"/>
        </w:rPr>
        <w:t xml:space="preserve"> i </w:t>
      </w:r>
      <w:r w:rsidRPr="008D757B">
        <w:rPr>
          <w:sz w:val="32"/>
          <w:szCs w:val="32"/>
        </w:rPr>
        <w:t>unika</w:t>
      </w:r>
      <w:r w:rsidR="00E049D4" w:rsidRPr="008D757B">
        <w:rPr>
          <w:sz w:val="32"/>
          <w:szCs w:val="32"/>
        </w:rPr>
        <w:t xml:space="preserve">ły </w:t>
      </w:r>
      <w:r w:rsidR="00F60C75">
        <w:rPr>
          <w:sz w:val="32"/>
          <w:szCs w:val="32"/>
        </w:rPr>
        <w:t>działań</w:t>
      </w:r>
      <w:r w:rsidR="005352FE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które mogą te instytucje osłabiać, a także regularnie dokonywa</w:t>
      </w:r>
      <w:r w:rsidR="00E049D4" w:rsidRPr="008D757B">
        <w:rPr>
          <w:sz w:val="32"/>
          <w:szCs w:val="32"/>
        </w:rPr>
        <w:t>ły</w:t>
      </w:r>
      <w:r w:rsidRPr="008D757B">
        <w:rPr>
          <w:sz w:val="32"/>
          <w:szCs w:val="32"/>
        </w:rPr>
        <w:t xml:space="preserve"> oceny </w:t>
      </w:r>
      <w:r w:rsidR="00E049D4" w:rsidRPr="008D757B">
        <w:rPr>
          <w:sz w:val="32"/>
          <w:szCs w:val="32"/>
        </w:rPr>
        <w:t>skuteczności podjętych środków;</w:t>
      </w:r>
    </w:p>
    <w:p w14:paraId="14F70A1D" w14:textId="3A544693" w:rsidR="009230F5" w:rsidRPr="008D757B" w:rsidRDefault="00E049D4">
      <w:pPr>
        <w:pStyle w:val="Teksttreci0"/>
        <w:numPr>
          <w:ilvl w:val="0"/>
          <w:numId w:val="3"/>
        </w:numPr>
        <w:tabs>
          <w:tab w:val="left" w:pos="709"/>
        </w:tabs>
        <w:rPr>
          <w:sz w:val="32"/>
          <w:szCs w:val="32"/>
        </w:rPr>
      </w:pPr>
      <w:bookmarkStart w:id="17" w:name="bookmark17"/>
      <w:bookmarkEnd w:id="17"/>
      <w:r w:rsidRPr="008D757B">
        <w:rPr>
          <w:sz w:val="32"/>
          <w:szCs w:val="32"/>
        </w:rPr>
        <w:t>zapewniły, przy użyciu stosowny</w:t>
      </w:r>
      <w:r w:rsidR="001635BA">
        <w:rPr>
          <w:sz w:val="32"/>
          <w:szCs w:val="32"/>
        </w:rPr>
        <w:t>ch środków i działań – w tym, w </w:t>
      </w:r>
      <w:r w:rsidRPr="008D757B">
        <w:rPr>
          <w:sz w:val="32"/>
          <w:szCs w:val="32"/>
        </w:rPr>
        <w:t>odpowiednich przypadkach, tłumaczeń –</w:t>
      </w:r>
      <w:r w:rsidR="00CC747E" w:rsidRPr="008D757B">
        <w:rPr>
          <w:sz w:val="32"/>
          <w:szCs w:val="32"/>
        </w:rPr>
        <w:t xml:space="preserve"> szerokie</w:t>
      </w:r>
      <w:r w:rsidRPr="008D757B">
        <w:rPr>
          <w:sz w:val="32"/>
          <w:szCs w:val="32"/>
        </w:rPr>
        <w:t xml:space="preserve"> rozpowszechniani</w:t>
      </w:r>
      <w:r w:rsidR="00CC747E" w:rsidRPr="008D757B">
        <w:rPr>
          <w:sz w:val="32"/>
          <w:szCs w:val="32"/>
        </w:rPr>
        <w:t>e</w:t>
      </w:r>
      <w:r w:rsidRPr="008D757B">
        <w:rPr>
          <w:sz w:val="32"/>
          <w:szCs w:val="32"/>
        </w:rPr>
        <w:t xml:space="preserve"> </w:t>
      </w:r>
      <w:r w:rsidR="005F0F3D" w:rsidRPr="008D757B">
        <w:rPr>
          <w:sz w:val="32"/>
          <w:szCs w:val="32"/>
        </w:rPr>
        <w:t>niniejsze</w:t>
      </w:r>
      <w:r w:rsidR="005F0F3D">
        <w:rPr>
          <w:sz w:val="32"/>
          <w:szCs w:val="32"/>
        </w:rPr>
        <w:t>go Zalecenia</w:t>
      </w:r>
      <w:r w:rsidRPr="008D757B">
        <w:rPr>
          <w:sz w:val="32"/>
          <w:szCs w:val="32"/>
        </w:rPr>
        <w:t xml:space="preserve"> wśród </w:t>
      </w:r>
      <w:r w:rsidR="00CC747E" w:rsidRPr="008D757B">
        <w:rPr>
          <w:sz w:val="32"/>
          <w:szCs w:val="32"/>
        </w:rPr>
        <w:t>właściwych</w:t>
      </w:r>
      <w:r w:rsidR="001635BA">
        <w:rPr>
          <w:sz w:val="32"/>
          <w:szCs w:val="32"/>
        </w:rPr>
        <w:t xml:space="preserve"> władz i </w:t>
      </w:r>
      <w:r w:rsidR="00CC747E" w:rsidRPr="008D757B">
        <w:rPr>
          <w:sz w:val="32"/>
          <w:szCs w:val="32"/>
        </w:rPr>
        <w:t>podmiotów</w:t>
      </w:r>
      <w:r w:rsidRPr="008D757B">
        <w:rPr>
          <w:sz w:val="32"/>
          <w:szCs w:val="32"/>
        </w:rPr>
        <w:t>;</w:t>
      </w:r>
    </w:p>
    <w:p w14:paraId="644BB0B5" w14:textId="50C703CF" w:rsidR="009230F5" w:rsidRPr="008D757B" w:rsidRDefault="00CC747E">
      <w:pPr>
        <w:pStyle w:val="Teksttreci0"/>
        <w:numPr>
          <w:ilvl w:val="0"/>
          <w:numId w:val="3"/>
        </w:numPr>
        <w:tabs>
          <w:tab w:val="left" w:pos="709"/>
        </w:tabs>
        <w:spacing w:after="680"/>
        <w:rPr>
          <w:sz w:val="32"/>
          <w:szCs w:val="32"/>
        </w:rPr>
      </w:pPr>
      <w:bookmarkStart w:id="18" w:name="bookmark18"/>
      <w:bookmarkEnd w:id="18"/>
      <w:r w:rsidRPr="008D757B">
        <w:rPr>
          <w:sz w:val="32"/>
          <w:szCs w:val="32"/>
        </w:rPr>
        <w:t xml:space="preserve">przeanalizowały w ramach Komitetu Ministrów wdrażanie </w:t>
      </w:r>
      <w:r w:rsidR="005F0F3D" w:rsidRPr="008D757B">
        <w:rPr>
          <w:sz w:val="32"/>
          <w:szCs w:val="32"/>
        </w:rPr>
        <w:t>niniejsze</w:t>
      </w:r>
      <w:r w:rsidR="005F0F3D">
        <w:rPr>
          <w:sz w:val="32"/>
          <w:szCs w:val="32"/>
        </w:rPr>
        <w:t>go Zalecenia</w:t>
      </w:r>
      <w:r w:rsidRPr="008D757B">
        <w:rPr>
          <w:sz w:val="32"/>
          <w:szCs w:val="32"/>
        </w:rPr>
        <w:t xml:space="preserve"> nie później niż w ciągu pięciu lat od daty </w:t>
      </w:r>
      <w:r w:rsidR="005F0F3D" w:rsidRPr="008D757B">
        <w:rPr>
          <w:sz w:val="32"/>
          <w:szCs w:val="32"/>
        </w:rPr>
        <w:t>je</w:t>
      </w:r>
      <w:r w:rsidR="005F0F3D">
        <w:rPr>
          <w:sz w:val="32"/>
          <w:szCs w:val="32"/>
        </w:rPr>
        <w:t>go</w:t>
      </w:r>
      <w:r w:rsidR="005F0F3D" w:rsidRPr="008D757B">
        <w:rPr>
          <w:sz w:val="32"/>
          <w:szCs w:val="32"/>
        </w:rPr>
        <w:t xml:space="preserve"> </w:t>
      </w:r>
      <w:r w:rsidRPr="008D757B">
        <w:rPr>
          <w:sz w:val="32"/>
          <w:szCs w:val="32"/>
        </w:rPr>
        <w:t>przyjęcia.</w:t>
      </w:r>
    </w:p>
    <w:p w14:paraId="46C6F61B" w14:textId="05912FD0" w:rsidR="009230F5" w:rsidRPr="008D757B" w:rsidRDefault="00CC747E">
      <w:pPr>
        <w:pStyle w:val="Teksttreci0"/>
        <w:rPr>
          <w:sz w:val="32"/>
          <w:szCs w:val="32"/>
        </w:rPr>
      </w:pPr>
      <w:r w:rsidRPr="008D757B">
        <w:rPr>
          <w:i/>
          <w:iCs/>
          <w:sz w:val="32"/>
          <w:szCs w:val="32"/>
        </w:rPr>
        <w:t xml:space="preserve">Załącznik do </w:t>
      </w:r>
      <w:r w:rsidR="005F0F3D">
        <w:rPr>
          <w:i/>
          <w:iCs/>
          <w:sz w:val="32"/>
          <w:szCs w:val="32"/>
        </w:rPr>
        <w:t>Zalecenia</w:t>
      </w:r>
      <w:r w:rsidR="005F0F3D" w:rsidRPr="008D757B">
        <w:rPr>
          <w:i/>
          <w:iCs/>
          <w:sz w:val="32"/>
          <w:szCs w:val="32"/>
        </w:rPr>
        <w:t xml:space="preserve"> </w:t>
      </w:r>
      <w:r w:rsidRPr="008D757B">
        <w:rPr>
          <w:i/>
          <w:iCs/>
          <w:sz w:val="32"/>
          <w:szCs w:val="32"/>
        </w:rPr>
        <w:t>CM/Rec(2019)6</w:t>
      </w:r>
    </w:p>
    <w:p w14:paraId="59DC484B" w14:textId="14F76BCF" w:rsidR="009230F5" w:rsidRPr="008D757B" w:rsidRDefault="00CC747E">
      <w:pPr>
        <w:pStyle w:val="Teksttreci0"/>
        <w:rPr>
          <w:sz w:val="32"/>
          <w:szCs w:val="32"/>
        </w:rPr>
      </w:pPr>
      <w:r w:rsidRPr="008D757B">
        <w:rPr>
          <w:b/>
          <w:bCs/>
          <w:sz w:val="32"/>
          <w:szCs w:val="32"/>
        </w:rPr>
        <w:t xml:space="preserve">Zasady rozwoju instytucji </w:t>
      </w:r>
      <w:r w:rsidR="00000ABD" w:rsidRPr="008D757B">
        <w:rPr>
          <w:b/>
          <w:bCs/>
          <w:sz w:val="32"/>
          <w:szCs w:val="32"/>
        </w:rPr>
        <w:t>Rzecznika Praw Obywatelskich</w:t>
      </w:r>
    </w:p>
    <w:p w14:paraId="72CE40F5" w14:textId="483F6537" w:rsidR="009230F5" w:rsidRPr="008D757B" w:rsidRDefault="0072075F">
      <w:pPr>
        <w:pStyle w:val="Teksttreci0"/>
        <w:numPr>
          <w:ilvl w:val="0"/>
          <w:numId w:val="4"/>
        </w:numPr>
        <w:tabs>
          <w:tab w:val="left" w:pos="709"/>
        </w:tabs>
        <w:rPr>
          <w:sz w:val="32"/>
          <w:szCs w:val="32"/>
        </w:rPr>
      </w:pPr>
      <w:bookmarkStart w:id="19" w:name="bookmark19"/>
      <w:bookmarkEnd w:id="19"/>
      <w:r w:rsidRPr="008D757B">
        <w:rPr>
          <w:b/>
          <w:bCs/>
          <w:sz w:val="32"/>
          <w:szCs w:val="32"/>
        </w:rPr>
        <w:t xml:space="preserve">Utworzenie i podstawowe cechy instytucji </w:t>
      </w:r>
      <w:r w:rsidR="00000ABD" w:rsidRPr="008D757B">
        <w:rPr>
          <w:b/>
          <w:bCs/>
          <w:sz w:val="32"/>
          <w:szCs w:val="32"/>
        </w:rPr>
        <w:t>Rzecznika Praw Obywatelskich</w:t>
      </w:r>
    </w:p>
    <w:p w14:paraId="02A1AA7E" w14:textId="4852DAD9" w:rsidR="009230F5" w:rsidRPr="008D757B" w:rsidRDefault="00945451" w:rsidP="00FF4878">
      <w:pPr>
        <w:pStyle w:val="Teksttreci0"/>
        <w:tabs>
          <w:tab w:val="left" w:pos="709"/>
        </w:tabs>
        <w:spacing w:after="0"/>
        <w:rPr>
          <w:sz w:val="32"/>
          <w:szCs w:val="32"/>
        </w:rPr>
      </w:pPr>
      <w:r w:rsidRPr="008D757B">
        <w:rPr>
          <w:sz w:val="32"/>
          <w:szCs w:val="32"/>
        </w:rPr>
        <w:t>1.</w:t>
      </w:r>
      <w:r w:rsidRPr="008D757B">
        <w:rPr>
          <w:sz w:val="32"/>
          <w:szCs w:val="32"/>
        </w:rPr>
        <w:tab/>
      </w:r>
      <w:r w:rsidR="00BD6994" w:rsidRPr="008D757B">
        <w:rPr>
          <w:sz w:val="32"/>
          <w:szCs w:val="32"/>
        </w:rPr>
        <w:t>Urzędy</w:t>
      </w:r>
      <w:r w:rsidR="0072075F" w:rsidRPr="008D757B">
        <w:rPr>
          <w:sz w:val="32"/>
          <w:szCs w:val="32"/>
        </w:rPr>
        <w:t xml:space="preserve"> </w:t>
      </w:r>
      <w:r w:rsidR="00000ABD" w:rsidRPr="008D757B">
        <w:rPr>
          <w:sz w:val="32"/>
          <w:szCs w:val="32"/>
        </w:rPr>
        <w:t>Rzecznika Praw Obywatelskich</w:t>
      </w:r>
      <w:r w:rsidR="0072075F" w:rsidRPr="008D757B">
        <w:rPr>
          <w:sz w:val="32"/>
          <w:szCs w:val="32"/>
        </w:rPr>
        <w:t xml:space="preserve"> powinny funkcjonować we wszystkich państwach członkowskich. Każde państwo powinno dokonać wyboru jednej lub wię</w:t>
      </w:r>
      <w:r w:rsidR="004C5ECB">
        <w:rPr>
          <w:sz w:val="32"/>
          <w:szCs w:val="32"/>
        </w:rPr>
        <w:t>ksz</w:t>
      </w:r>
      <w:r w:rsidR="0072075F" w:rsidRPr="008D757B">
        <w:rPr>
          <w:sz w:val="32"/>
          <w:szCs w:val="32"/>
        </w:rPr>
        <w:t xml:space="preserve">ej </w:t>
      </w:r>
      <w:r w:rsidR="00645B2B">
        <w:rPr>
          <w:sz w:val="32"/>
          <w:szCs w:val="32"/>
        </w:rPr>
        <w:t>liczby</w:t>
      </w:r>
      <w:r w:rsidR="004C5ECB">
        <w:rPr>
          <w:sz w:val="32"/>
          <w:szCs w:val="32"/>
        </w:rPr>
        <w:t xml:space="preserve"> </w:t>
      </w:r>
      <w:r w:rsidR="0072075F" w:rsidRPr="008D757B">
        <w:rPr>
          <w:sz w:val="32"/>
          <w:szCs w:val="32"/>
        </w:rPr>
        <w:t xml:space="preserve">tego typu instytucji, </w:t>
      </w:r>
      <w:r w:rsidR="004C5ECB">
        <w:rPr>
          <w:sz w:val="32"/>
          <w:szCs w:val="32"/>
        </w:rPr>
        <w:t xml:space="preserve">biorąc pod uwagę jego </w:t>
      </w:r>
      <w:r w:rsidR="00331F80">
        <w:rPr>
          <w:sz w:val="32"/>
          <w:szCs w:val="32"/>
        </w:rPr>
        <w:t>struktur</w:t>
      </w:r>
      <w:r w:rsidR="004C5ECB">
        <w:rPr>
          <w:sz w:val="32"/>
          <w:szCs w:val="32"/>
        </w:rPr>
        <w:t>ę</w:t>
      </w:r>
      <w:r w:rsidR="0053756F" w:rsidRPr="008D757B">
        <w:rPr>
          <w:sz w:val="32"/>
          <w:szCs w:val="32"/>
        </w:rPr>
        <w:t>, szczególn</w:t>
      </w:r>
      <w:r w:rsidR="004C5ECB">
        <w:rPr>
          <w:sz w:val="32"/>
          <w:szCs w:val="32"/>
        </w:rPr>
        <w:t>e</w:t>
      </w:r>
      <w:r w:rsidR="0053756F" w:rsidRPr="008D757B">
        <w:rPr>
          <w:sz w:val="32"/>
          <w:szCs w:val="32"/>
        </w:rPr>
        <w:t xml:space="preserve"> cech</w:t>
      </w:r>
      <w:r w:rsidR="004C5ECB">
        <w:rPr>
          <w:sz w:val="32"/>
          <w:szCs w:val="32"/>
        </w:rPr>
        <w:t>y</w:t>
      </w:r>
      <w:r w:rsidR="0053756F" w:rsidRPr="008D757B">
        <w:rPr>
          <w:sz w:val="32"/>
          <w:szCs w:val="32"/>
        </w:rPr>
        <w:t xml:space="preserve"> i potrzeb</w:t>
      </w:r>
      <w:r w:rsidR="004C5ECB">
        <w:rPr>
          <w:sz w:val="32"/>
          <w:szCs w:val="32"/>
        </w:rPr>
        <w:t>y</w:t>
      </w:r>
      <w:r w:rsidR="0053756F" w:rsidRPr="008D757B">
        <w:rPr>
          <w:sz w:val="32"/>
          <w:szCs w:val="32"/>
        </w:rPr>
        <w:t xml:space="preserve">. </w:t>
      </w:r>
      <w:r w:rsidR="00645B2B">
        <w:rPr>
          <w:sz w:val="32"/>
          <w:szCs w:val="32"/>
        </w:rPr>
        <w:t>Każdy</w:t>
      </w:r>
      <w:r w:rsidR="0053756F" w:rsidRPr="008D757B">
        <w:rPr>
          <w:sz w:val="32"/>
          <w:szCs w:val="32"/>
        </w:rPr>
        <w:t xml:space="preserve"> powin</w:t>
      </w:r>
      <w:r w:rsidR="00645B2B">
        <w:rPr>
          <w:sz w:val="32"/>
          <w:szCs w:val="32"/>
        </w:rPr>
        <w:t>ien</w:t>
      </w:r>
      <w:r w:rsidR="0053756F" w:rsidRPr="008D757B">
        <w:rPr>
          <w:sz w:val="32"/>
          <w:szCs w:val="32"/>
        </w:rPr>
        <w:t xml:space="preserve"> mieć bezpośredni i łatwy dostęp do </w:t>
      </w:r>
      <w:r w:rsidR="00867697" w:rsidRPr="008D757B">
        <w:rPr>
          <w:sz w:val="32"/>
          <w:szCs w:val="32"/>
        </w:rPr>
        <w:t xml:space="preserve">wszystkich usług publicznych </w:t>
      </w:r>
      <w:r w:rsidR="00867697">
        <w:rPr>
          <w:sz w:val="32"/>
          <w:szCs w:val="32"/>
        </w:rPr>
        <w:t xml:space="preserve">w ramach </w:t>
      </w:r>
      <w:r w:rsidR="0053756F" w:rsidRPr="008D757B">
        <w:rPr>
          <w:sz w:val="32"/>
          <w:szCs w:val="32"/>
        </w:rPr>
        <w:t xml:space="preserve">tych instytucji, niezależnie od tego jak są one świadczone. Szczególną uwagę należy poświęcić osobom, które mogą nie być świadome </w:t>
      </w:r>
      <w:r w:rsidR="00553DF8" w:rsidRPr="008D757B">
        <w:rPr>
          <w:sz w:val="32"/>
          <w:szCs w:val="32"/>
        </w:rPr>
        <w:t>istnienia</w:t>
      </w:r>
      <w:r w:rsidR="0053756F" w:rsidRPr="008D757B">
        <w:rPr>
          <w:sz w:val="32"/>
          <w:szCs w:val="32"/>
        </w:rPr>
        <w:t xml:space="preserve"> instytucji </w:t>
      </w:r>
      <w:r w:rsidR="00553DF8" w:rsidRPr="008D757B">
        <w:rPr>
          <w:sz w:val="32"/>
          <w:szCs w:val="32"/>
        </w:rPr>
        <w:t xml:space="preserve">Rzecznika Praw </w:t>
      </w:r>
      <w:r w:rsidR="00553DF8" w:rsidRPr="008D757B">
        <w:rPr>
          <w:sz w:val="32"/>
          <w:szCs w:val="32"/>
        </w:rPr>
        <w:lastRenderedPageBreak/>
        <w:t xml:space="preserve">Obywatelskich, </w:t>
      </w:r>
      <w:r w:rsidR="002B0F30">
        <w:rPr>
          <w:sz w:val="32"/>
          <w:szCs w:val="32"/>
        </w:rPr>
        <w:t>mogą mieć</w:t>
      </w:r>
      <w:r w:rsidR="0053756F" w:rsidRPr="008D757B">
        <w:rPr>
          <w:sz w:val="32"/>
          <w:szCs w:val="32"/>
        </w:rPr>
        <w:t xml:space="preserve"> utrudniony </w:t>
      </w:r>
      <w:r w:rsidR="00D534AD" w:rsidRPr="008D757B">
        <w:rPr>
          <w:sz w:val="32"/>
          <w:szCs w:val="32"/>
        </w:rPr>
        <w:t xml:space="preserve">dostęp do </w:t>
      </w:r>
      <w:r w:rsidR="00553DF8" w:rsidRPr="008D757B">
        <w:rPr>
          <w:sz w:val="32"/>
          <w:szCs w:val="32"/>
        </w:rPr>
        <w:t>tych urzędów</w:t>
      </w:r>
      <w:r w:rsidR="00D534AD" w:rsidRPr="008D757B">
        <w:rPr>
          <w:sz w:val="32"/>
          <w:szCs w:val="32"/>
        </w:rPr>
        <w:t xml:space="preserve"> lub </w:t>
      </w:r>
      <w:r w:rsidR="00553DF8" w:rsidRPr="008D757B">
        <w:rPr>
          <w:sz w:val="32"/>
          <w:szCs w:val="32"/>
        </w:rPr>
        <w:t>znajdują się</w:t>
      </w:r>
      <w:r w:rsidR="00D534AD" w:rsidRPr="008D757B">
        <w:rPr>
          <w:sz w:val="32"/>
          <w:szCs w:val="32"/>
        </w:rPr>
        <w:t xml:space="preserve"> w trudnej sytuacji, na przykład migrantom, osobom pozbawionym wolności, niep</w:t>
      </w:r>
      <w:r w:rsidR="001635BA">
        <w:rPr>
          <w:sz w:val="32"/>
          <w:szCs w:val="32"/>
        </w:rPr>
        <w:t>ełnosprawnym, osobom starszym i </w:t>
      </w:r>
      <w:r w:rsidR="00D534AD" w:rsidRPr="008D757B">
        <w:rPr>
          <w:sz w:val="32"/>
          <w:szCs w:val="32"/>
        </w:rPr>
        <w:t>dzieciom.</w:t>
      </w:r>
    </w:p>
    <w:p w14:paraId="319D78FE" w14:textId="77777777" w:rsidR="004E7828" w:rsidRPr="008D757B" w:rsidRDefault="004E7828" w:rsidP="00FF4878">
      <w:pPr>
        <w:pStyle w:val="Teksttreci0"/>
        <w:tabs>
          <w:tab w:val="left" w:pos="709"/>
        </w:tabs>
        <w:spacing w:after="0"/>
        <w:rPr>
          <w:sz w:val="32"/>
          <w:szCs w:val="32"/>
        </w:rPr>
      </w:pPr>
    </w:p>
    <w:p w14:paraId="0F165C0C" w14:textId="18080FF8" w:rsidR="009230F5" w:rsidRPr="008D757B" w:rsidRDefault="00B33136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0" w:name="bookmark20"/>
      <w:bookmarkEnd w:id="20"/>
      <w:r w:rsidRPr="008D757B">
        <w:rPr>
          <w:sz w:val="32"/>
          <w:szCs w:val="32"/>
        </w:rPr>
        <w:t xml:space="preserve">Państwa członkowskie powinny zapewnić solidną podstawę prawną </w:t>
      </w:r>
      <w:r w:rsidR="001635BA">
        <w:rPr>
          <w:sz w:val="32"/>
          <w:szCs w:val="32"/>
        </w:rPr>
        <w:t xml:space="preserve">funkcjonowania </w:t>
      </w:r>
      <w:r w:rsidRPr="008D757B">
        <w:rPr>
          <w:sz w:val="32"/>
          <w:szCs w:val="32"/>
        </w:rPr>
        <w:t xml:space="preserve">instytucji </w:t>
      </w:r>
      <w:r w:rsidR="00DF15C0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, najlepiej na poziomie konstytucyjnym, </w:t>
      </w:r>
      <w:r w:rsidR="001635BA">
        <w:rPr>
          <w:sz w:val="32"/>
          <w:szCs w:val="32"/>
        </w:rPr>
        <w:t>i</w:t>
      </w:r>
      <w:r w:rsidR="00035592" w:rsidRPr="008D757B">
        <w:rPr>
          <w:sz w:val="32"/>
          <w:szCs w:val="32"/>
        </w:rPr>
        <w:t>/lub przepis</w:t>
      </w:r>
      <w:r w:rsidR="00441045">
        <w:rPr>
          <w:sz w:val="32"/>
          <w:szCs w:val="32"/>
        </w:rPr>
        <w:t>ów</w:t>
      </w:r>
      <w:r w:rsidR="002B0F30">
        <w:rPr>
          <w:sz w:val="32"/>
          <w:szCs w:val="32"/>
        </w:rPr>
        <w:t xml:space="preserve"> prawa</w:t>
      </w:r>
      <w:r w:rsidR="00035592" w:rsidRPr="008D757B">
        <w:rPr>
          <w:sz w:val="32"/>
          <w:szCs w:val="32"/>
        </w:rPr>
        <w:t>, któr</w:t>
      </w:r>
      <w:r w:rsidR="004300A7" w:rsidRPr="008D757B">
        <w:rPr>
          <w:sz w:val="32"/>
          <w:szCs w:val="32"/>
        </w:rPr>
        <w:t>e</w:t>
      </w:r>
      <w:r w:rsidR="00035592" w:rsidRPr="008D757B">
        <w:rPr>
          <w:sz w:val="32"/>
          <w:szCs w:val="32"/>
        </w:rPr>
        <w:t xml:space="preserve"> </w:t>
      </w:r>
      <w:r w:rsidR="004E7828" w:rsidRPr="008D757B">
        <w:rPr>
          <w:sz w:val="32"/>
          <w:szCs w:val="32"/>
        </w:rPr>
        <w:t>defini</w:t>
      </w:r>
      <w:r w:rsidR="00167504">
        <w:rPr>
          <w:sz w:val="32"/>
          <w:szCs w:val="32"/>
        </w:rPr>
        <w:t>owałoby</w:t>
      </w:r>
      <w:r w:rsidR="00035592" w:rsidRPr="008D757B">
        <w:rPr>
          <w:sz w:val="32"/>
          <w:szCs w:val="32"/>
        </w:rPr>
        <w:t xml:space="preserve"> główne zadania takie</w:t>
      </w:r>
      <w:r w:rsidR="004E7828" w:rsidRPr="008D757B">
        <w:rPr>
          <w:sz w:val="32"/>
          <w:szCs w:val="32"/>
        </w:rPr>
        <w:t>go</w:t>
      </w:r>
      <w:r w:rsidR="00035592" w:rsidRPr="008D757B">
        <w:rPr>
          <w:sz w:val="32"/>
          <w:szCs w:val="32"/>
        </w:rPr>
        <w:t xml:space="preserve"> </w:t>
      </w:r>
      <w:r w:rsidR="004E7828" w:rsidRPr="008D757B">
        <w:rPr>
          <w:sz w:val="32"/>
          <w:szCs w:val="32"/>
        </w:rPr>
        <w:t>urzędu</w:t>
      </w:r>
      <w:r w:rsidR="00035592" w:rsidRPr="008D757B">
        <w:rPr>
          <w:sz w:val="32"/>
          <w:szCs w:val="32"/>
        </w:rPr>
        <w:t>, gwarantuj</w:t>
      </w:r>
      <w:r w:rsidR="004300A7" w:rsidRPr="008D757B">
        <w:rPr>
          <w:sz w:val="32"/>
          <w:szCs w:val="32"/>
        </w:rPr>
        <w:t>ą</w:t>
      </w:r>
      <w:r w:rsidR="00167504">
        <w:rPr>
          <w:sz w:val="32"/>
          <w:szCs w:val="32"/>
        </w:rPr>
        <w:t>c</w:t>
      </w:r>
      <w:r w:rsidR="00035592" w:rsidRPr="008D757B">
        <w:rPr>
          <w:sz w:val="32"/>
          <w:szCs w:val="32"/>
        </w:rPr>
        <w:t xml:space="preserve"> je</w:t>
      </w:r>
      <w:r w:rsidR="004E7828" w:rsidRPr="008D757B">
        <w:rPr>
          <w:sz w:val="32"/>
          <w:szCs w:val="32"/>
        </w:rPr>
        <w:t>go</w:t>
      </w:r>
      <w:r w:rsidR="00035592" w:rsidRPr="008D757B">
        <w:rPr>
          <w:sz w:val="32"/>
          <w:szCs w:val="32"/>
        </w:rPr>
        <w:t xml:space="preserve"> niezależność i zapewnia</w:t>
      </w:r>
      <w:r w:rsidR="004300A7" w:rsidRPr="008D757B">
        <w:rPr>
          <w:sz w:val="32"/>
          <w:szCs w:val="32"/>
        </w:rPr>
        <w:t>ją</w:t>
      </w:r>
      <w:r w:rsidR="00167504">
        <w:rPr>
          <w:sz w:val="32"/>
          <w:szCs w:val="32"/>
        </w:rPr>
        <w:t>c</w:t>
      </w:r>
      <w:r w:rsidR="00035592" w:rsidRPr="008D757B">
        <w:rPr>
          <w:sz w:val="32"/>
          <w:szCs w:val="32"/>
        </w:rPr>
        <w:t xml:space="preserve"> niezbędne środki dla sprawnego wykonywania je</w:t>
      </w:r>
      <w:r w:rsidR="004E7828" w:rsidRPr="008D757B">
        <w:rPr>
          <w:sz w:val="32"/>
          <w:szCs w:val="32"/>
        </w:rPr>
        <w:t>go</w:t>
      </w:r>
      <w:r w:rsidR="00035592" w:rsidRPr="008D757B">
        <w:rPr>
          <w:sz w:val="32"/>
          <w:szCs w:val="32"/>
        </w:rPr>
        <w:t xml:space="preserve"> zadań, zarówno na poziomie krajowym jak i </w:t>
      </w:r>
      <w:r w:rsidR="001635BA">
        <w:rPr>
          <w:sz w:val="32"/>
          <w:szCs w:val="32"/>
        </w:rPr>
        <w:t> </w:t>
      </w:r>
      <w:r w:rsidR="00035592" w:rsidRPr="008D757B">
        <w:rPr>
          <w:sz w:val="32"/>
          <w:szCs w:val="32"/>
        </w:rPr>
        <w:t xml:space="preserve">międzynarodowym, </w:t>
      </w:r>
      <w:r w:rsidR="00441045">
        <w:rPr>
          <w:sz w:val="32"/>
          <w:szCs w:val="32"/>
        </w:rPr>
        <w:t xml:space="preserve">a także </w:t>
      </w:r>
      <w:r w:rsidR="00035592" w:rsidRPr="008D757B">
        <w:rPr>
          <w:sz w:val="32"/>
          <w:szCs w:val="32"/>
        </w:rPr>
        <w:t xml:space="preserve">mając na uwadze obowiązujące standardy i </w:t>
      </w:r>
      <w:r w:rsidR="005F0F3D">
        <w:rPr>
          <w:sz w:val="32"/>
          <w:szCs w:val="32"/>
        </w:rPr>
        <w:t>zalecenia</w:t>
      </w:r>
      <w:r w:rsidR="005F0F3D" w:rsidRPr="008D757B">
        <w:rPr>
          <w:sz w:val="32"/>
          <w:szCs w:val="32"/>
        </w:rPr>
        <w:t xml:space="preserve"> </w:t>
      </w:r>
      <w:r w:rsidR="00035592" w:rsidRPr="008D757B">
        <w:rPr>
          <w:sz w:val="32"/>
          <w:szCs w:val="32"/>
        </w:rPr>
        <w:t xml:space="preserve">dotyczące </w:t>
      </w:r>
      <w:r w:rsidR="004E7828" w:rsidRPr="008D757B">
        <w:rPr>
          <w:sz w:val="32"/>
          <w:szCs w:val="32"/>
        </w:rPr>
        <w:t xml:space="preserve">urzędów </w:t>
      </w:r>
      <w:r w:rsidR="007046CB" w:rsidRPr="008D757B">
        <w:rPr>
          <w:sz w:val="32"/>
          <w:szCs w:val="32"/>
        </w:rPr>
        <w:t>Rzecznika Praw Obywatelskich</w:t>
      </w:r>
      <w:r w:rsidR="00035592" w:rsidRPr="008D757B">
        <w:rPr>
          <w:sz w:val="32"/>
          <w:szCs w:val="32"/>
        </w:rPr>
        <w:t xml:space="preserve">, zwłaszcza Zasady ochrony i promowania instytucji </w:t>
      </w:r>
      <w:r w:rsidR="004300A7" w:rsidRPr="008D757B">
        <w:rPr>
          <w:sz w:val="32"/>
          <w:szCs w:val="32"/>
        </w:rPr>
        <w:t>R</w:t>
      </w:r>
      <w:r w:rsidR="00035592" w:rsidRPr="008D757B">
        <w:rPr>
          <w:sz w:val="32"/>
          <w:szCs w:val="32"/>
        </w:rPr>
        <w:t xml:space="preserve">zecznika </w:t>
      </w:r>
      <w:r w:rsidR="004300A7" w:rsidRPr="008D757B">
        <w:rPr>
          <w:sz w:val="32"/>
          <w:szCs w:val="32"/>
        </w:rPr>
        <w:t>P</w:t>
      </w:r>
      <w:r w:rsidR="00035592" w:rsidRPr="008D757B">
        <w:rPr>
          <w:sz w:val="32"/>
          <w:szCs w:val="32"/>
        </w:rPr>
        <w:t xml:space="preserve">raw </w:t>
      </w:r>
      <w:r w:rsidR="004300A7" w:rsidRPr="008D757B">
        <w:rPr>
          <w:sz w:val="32"/>
          <w:szCs w:val="32"/>
        </w:rPr>
        <w:t>O</w:t>
      </w:r>
      <w:r w:rsidR="00035592" w:rsidRPr="008D757B">
        <w:rPr>
          <w:sz w:val="32"/>
          <w:szCs w:val="32"/>
        </w:rPr>
        <w:t>bywatelskich, przyjęte przez Europejską Komisję na rzecz Demokracji przez Pr</w:t>
      </w:r>
      <w:r w:rsidR="001635BA">
        <w:rPr>
          <w:sz w:val="32"/>
          <w:szCs w:val="32"/>
        </w:rPr>
        <w:t>awo (Komisja Wenecka) w dniu 15 </w:t>
      </w:r>
      <w:r w:rsidR="00035592" w:rsidRPr="008D757B">
        <w:rPr>
          <w:sz w:val="32"/>
          <w:szCs w:val="32"/>
        </w:rPr>
        <w:t xml:space="preserve">marca 2019 roku i </w:t>
      </w:r>
      <w:r w:rsidR="00261610" w:rsidRPr="008D757B">
        <w:rPr>
          <w:sz w:val="32"/>
          <w:szCs w:val="32"/>
        </w:rPr>
        <w:t>zatwierdzone</w:t>
      </w:r>
      <w:r w:rsidR="00035592" w:rsidRPr="008D757B">
        <w:rPr>
          <w:sz w:val="32"/>
          <w:szCs w:val="32"/>
        </w:rPr>
        <w:t xml:space="preserve"> przez Komitet Ministrów Rady Europy w dniu 2 maja 2019 roku.</w:t>
      </w:r>
    </w:p>
    <w:p w14:paraId="67D5FBA5" w14:textId="69662603" w:rsidR="009230F5" w:rsidRPr="008D757B" w:rsidRDefault="00261610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1" w:name="bookmark21"/>
      <w:bookmarkEnd w:id="21"/>
      <w:r w:rsidRPr="008D757B">
        <w:rPr>
          <w:sz w:val="32"/>
          <w:szCs w:val="32"/>
        </w:rPr>
        <w:t>Proces wyboru i powoł</w:t>
      </w:r>
      <w:r w:rsidR="000127A8" w:rsidRPr="008D757B">
        <w:rPr>
          <w:sz w:val="32"/>
          <w:szCs w:val="32"/>
        </w:rPr>
        <w:t>yw</w:t>
      </w:r>
      <w:r w:rsidRPr="008D757B">
        <w:rPr>
          <w:sz w:val="32"/>
          <w:szCs w:val="32"/>
        </w:rPr>
        <w:t xml:space="preserve">ania </w:t>
      </w:r>
      <w:r w:rsidR="00441045">
        <w:rPr>
          <w:sz w:val="32"/>
          <w:szCs w:val="32"/>
        </w:rPr>
        <w:t>kierującego</w:t>
      </w:r>
      <w:r w:rsidRPr="008D757B">
        <w:rPr>
          <w:sz w:val="32"/>
          <w:szCs w:val="32"/>
        </w:rPr>
        <w:t xml:space="preserve"> </w:t>
      </w:r>
      <w:r w:rsidR="00612CB4" w:rsidRPr="008D757B">
        <w:rPr>
          <w:sz w:val="32"/>
          <w:szCs w:val="32"/>
        </w:rPr>
        <w:t>urzęd</w:t>
      </w:r>
      <w:r w:rsidR="00612CB4">
        <w:rPr>
          <w:sz w:val="32"/>
          <w:szCs w:val="32"/>
        </w:rPr>
        <w:t>em</w:t>
      </w:r>
      <w:r w:rsidR="00612CB4" w:rsidRPr="008D757B">
        <w:rPr>
          <w:sz w:val="32"/>
          <w:szCs w:val="32"/>
        </w:rPr>
        <w:t xml:space="preserve"> </w:t>
      </w:r>
      <w:r w:rsidR="000127A8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powinien promować niezależność tej instytucji. Kandydaci powinni odznaczać się wysokim autoryt</w:t>
      </w:r>
      <w:r w:rsidR="00F83856">
        <w:rPr>
          <w:sz w:val="32"/>
          <w:szCs w:val="32"/>
        </w:rPr>
        <w:t>etem moralnym i </w:t>
      </w:r>
      <w:r w:rsidR="000127A8" w:rsidRPr="008D757B">
        <w:rPr>
          <w:sz w:val="32"/>
          <w:szCs w:val="32"/>
        </w:rPr>
        <w:t>posiadać uznane</w:t>
      </w:r>
      <w:r w:rsidRPr="008D757B">
        <w:rPr>
          <w:sz w:val="32"/>
          <w:szCs w:val="32"/>
        </w:rPr>
        <w:t xml:space="preserve"> kompetencje w zakresie praworządności, </w:t>
      </w:r>
      <w:r w:rsidR="00F83856" w:rsidRPr="008D757B">
        <w:rPr>
          <w:sz w:val="32"/>
          <w:szCs w:val="32"/>
        </w:rPr>
        <w:t xml:space="preserve">rządów </w:t>
      </w:r>
      <w:r w:rsidRPr="008D757B">
        <w:rPr>
          <w:sz w:val="32"/>
          <w:szCs w:val="32"/>
        </w:rPr>
        <w:t xml:space="preserve">demokratycznych i praw człowieka. Należy wprowadzić rozwiązania </w:t>
      </w:r>
      <w:r w:rsidR="00DE1E10" w:rsidRPr="008D757B">
        <w:rPr>
          <w:sz w:val="32"/>
          <w:szCs w:val="32"/>
        </w:rPr>
        <w:t xml:space="preserve">gwarantujące, że stanowisko </w:t>
      </w:r>
      <w:r w:rsidR="00867697" w:rsidRPr="00867697">
        <w:rPr>
          <w:sz w:val="32"/>
          <w:szCs w:val="32"/>
        </w:rPr>
        <w:t>kierującego</w:t>
      </w:r>
      <w:r w:rsidR="00867697" w:rsidRPr="008D757B">
        <w:rPr>
          <w:sz w:val="32"/>
          <w:szCs w:val="32"/>
        </w:rPr>
        <w:t xml:space="preserve"> </w:t>
      </w:r>
      <w:r w:rsidR="00867697">
        <w:rPr>
          <w:sz w:val="32"/>
          <w:szCs w:val="32"/>
        </w:rPr>
        <w:t>jakąkolwiek</w:t>
      </w:r>
      <w:r w:rsidR="00867697" w:rsidRPr="008D757B">
        <w:rPr>
          <w:sz w:val="32"/>
          <w:szCs w:val="32"/>
        </w:rPr>
        <w:t xml:space="preserve"> instytucj</w:t>
      </w:r>
      <w:r w:rsidR="00867697">
        <w:rPr>
          <w:sz w:val="32"/>
          <w:szCs w:val="32"/>
        </w:rPr>
        <w:t>ą</w:t>
      </w:r>
      <w:r w:rsidR="00867697" w:rsidRPr="008D757B">
        <w:rPr>
          <w:sz w:val="32"/>
          <w:szCs w:val="32"/>
        </w:rPr>
        <w:t xml:space="preserve"> </w:t>
      </w:r>
      <w:r w:rsidR="00F83856">
        <w:rPr>
          <w:sz w:val="32"/>
          <w:szCs w:val="32"/>
        </w:rPr>
        <w:t>Rzecznika Praw Obywatelskich</w:t>
      </w:r>
      <w:r w:rsidR="000127A8" w:rsidRPr="008D757B">
        <w:rPr>
          <w:sz w:val="32"/>
          <w:szCs w:val="32"/>
        </w:rPr>
        <w:t xml:space="preserve"> </w:t>
      </w:r>
      <w:r w:rsidR="00DE1E10" w:rsidRPr="008D757B">
        <w:rPr>
          <w:sz w:val="32"/>
          <w:szCs w:val="32"/>
        </w:rPr>
        <w:t xml:space="preserve">nie </w:t>
      </w:r>
      <w:r w:rsidR="000127A8" w:rsidRPr="008D757B">
        <w:rPr>
          <w:sz w:val="32"/>
          <w:szCs w:val="32"/>
        </w:rPr>
        <w:t xml:space="preserve">będzie </w:t>
      </w:r>
      <w:r w:rsidR="00DE1E10" w:rsidRPr="008D757B">
        <w:rPr>
          <w:sz w:val="32"/>
          <w:szCs w:val="32"/>
        </w:rPr>
        <w:t xml:space="preserve">pozostawało nieobsadzone przez </w:t>
      </w:r>
      <w:r w:rsidR="00C269B2">
        <w:rPr>
          <w:sz w:val="32"/>
          <w:szCs w:val="32"/>
        </w:rPr>
        <w:t>dłuższy</w:t>
      </w:r>
      <w:r w:rsidR="00F83856">
        <w:rPr>
          <w:sz w:val="32"/>
          <w:szCs w:val="32"/>
        </w:rPr>
        <w:t xml:space="preserve"> czas.</w:t>
      </w:r>
    </w:p>
    <w:p w14:paraId="1723DE22" w14:textId="65D4A812" w:rsidR="009230F5" w:rsidRPr="008D757B" w:rsidRDefault="00EF68B3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2" w:name="bookmark22"/>
      <w:bookmarkEnd w:id="22"/>
      <w:r w:rsidRPr="008D757B">
        <w:rPr>
          <w:sz w:val="32"/>
          <w:szCs w:val="32"/>
        </w:rPr>
        <w:t>Państwa członkowskie powinny zapewnić instytucj</w:t>
      </w:r>
      <w:r w:rsidR="00293E86" w:rsidRPr="008D757B">
        <w:rPr>
          <w:sz w:val="32"/>
          <w:szCs w:val="32"/>
        </w:rPr>
        <w:t>om</w:t>
      </w:r>
      <w:r w:rsidRPr="008D757B">
        <w:rPr>
          <w:sz w:val="32"/>
          <w:szCs w:val="32"/>
        </w:rPr>
        <w:t xml:space="preserve"> </w:t>
      </w:r>
      <w:r w:rsidR="00CC661C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sprzyjając</w:t>
      </w:r>
      <w:r w:rsidR="00293E86" w:rsidRPr="008D757B">
        <w:rPr>
          <w:sz w:val="32"/>
          <w:szCs w:val="32"/>
        </w:rPr>
        <w:t>e</w:t>
      </w:r>
      <w:r w:rsidRPr="008D757B">
        <w:rPr>
          <w:sz w:val="32"/>
          <w:szCs w:val="32"/>
        </w:rPr>
        <w:t xml:space="preserve"> środowisk</w:t>
      </w:r>
      <w:r w:rsidR="00293E86" w:rsidRPr="008D757B">
        <w:rPr>
          <w:sz w:val="32"/>
          <w:szCs w:val="32"/>
        </w:rPr>
        <w:t>o</w:t>
      </w:r>
      <w:r w:rsidR="00E613AC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które pozwoli im </w:t>
      </w:r>
      <w:r w:rsidR="00293E86" w:rsidRPr="008D757B">
        <w:rPr>
          <w:sz w:val="32"/>
          <w:szCs w:val="32"/>
        </w:rPr>
        <w:t>sprawować</w:t>
      </w:r>
      <w:r w:rsidR="00E613AC" w:rsidRPr="008D757B">
        <w:rPr>
          <w:sz w:val="32"/>
          <w:szCs w:val="32"/>
        </w:rPr>
        <w:t xml:space="preserve"> </w:t>
      </w:r>
      <w:r w:rsidR="00293E86" w:rsidRPr="008D757B">
        <w:rPr>
          <w:sz w:val="32"/>
          <w:szCs w:val="32"/>
        </w:rPr>
        <w:t>swój</w:t>
      </w:r>
      <w:r w:rsidRPr="008D757B">
        <w:rPr>
          <w:sz w:val="32"/>
          <w:szCs w:val="32"/>
        </w:rPr>
        <w:t xml:space="preserve"> mandat niezależn</w:t>
      </w:r>
      <w:r w:rsidR="00293E86" w:rsidRPr="008D757B">
        <w:rPr>
          <w:sz w:val="32"/>
          <w:szCs w:val="32"/>
        </w:rPr>
        <w:t>ie</w:t>
      </w:r>
      <w:r w:rsidRPr="008D757B">
        <w:rPr>
          <w:sz w:val="32"/>
          <w:szCs w:val="32"/>
        </w:rPr>
        <w:t xml:space="preserve"> od wsz</w:t>
      </w:r>
      <w:r w:rsidR="00783ED0" w:rsidRPr="008D757B">
        <w:rPr>
          <w:sz w:val="32"/>
          <w:szCs w:val="32"/>
        </w:rPr>
        <w:t>elkich</w:t>
      </w:r>
      <w:r w:rsidRPr="008D757B">
        <w:rPr>
          <w:sz w:val="32"/>
          <w:szCs w:val="32"/>
        </w:rPr>
        <w:t xml:space="preserve"> </w:t>
      </w:r>
      <w:r w:rsidR="00441045">
        <w:rPr>
          <w:sz w:val="32"/>
          <w:szCs w:val="32"/>
        </w:rPr>
        <w:t xml:space="preserve">podlegających im </w:t>
      </w:r>
      <w:r w:rsidRPr="008D757B">
        <w:rPr>
          <w:sz w:val="32"/>
          <w:szCs w:val="32"/>
        </w:rPr>
        <w:t>publ</w:t>
      </w:r>
      <w:r w:rsidR="00E613AC" w:rsidRPr="008D757B">
        <w:rPr>
          <w:sz w:val="32"/>
          <w:szCs w:val="32"/>
        </w:rPr>
        <w:t>iczn</w:t>
      </w:r>
      <w:r w:rsidR="00D906E0" w:rsidRPr="008D757B">
        <w:rPr>
          <w:sz w:val="32"/>
          <w:szCs w:val="32"/>
        </w:rPr>
        <w:t>ych usługodawców</w:t>
      </w:r>
      <w:r w:rsidR="00783ED0" w:rsidRPr="008D757B">
        <w:rPr>
          <w:sz w:val="32"/>
          <w:szCs w:val="32"/>
        </w:rPr>
        <w:t xml:space="preserve">, w skuteczny sposób </w:t>
      </w:r>
      <w:r w:rsidR="00E613AC" w:rsidRPr="008D757B">
        <w:rPr>
          <w:sz w:val="32"/>
          <w:szCs w:val="32"/>
        </w:rPr>
        <w:t xml:space="preserve">oraz </w:t>
      </w:r>
      <w:r w:rsidR="00783ED0" w:rsidRPr="008D757B">
        <w:rPr>
          <w:sz w:val="32"/>
          <w:szCs w:val="32"/>
        </w:rPr>
        <w:t xml:space="preserve">w atmosferze bezstronności, prawości, </w:t>
      </w:r>
      <w:r w:rsidR="00E613AC" w:rsidRPr="008D757B">
        <w:rPr>
          <w:sz w:val="32"/>
          <w:szCs w:val="32"/>
        </w:rPr>
        <w:t>przejrzystości</w:t>
      </w:r>
      <w:r w:rsidR="007046CB" w:rsidRPr="008D757B">
        <w:rPr>
          <w:sz w:val="32"/>
          <w:szCs w:val="32"/>
        </w:rPr>
        <w:t xml:space="preserve"> i sprawiedliwości.</w:t>
      </w:r>
    </w:p>
    <w:p w14:paraId="560D7520" w14:textId="0C2C2E4A" w:rsidR="009230F5" w:rsidRPr="008D757B" w:rsidRDefault="00E613AC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3" w:name="bookmark23"/>
      <w:bookmarkEnd w:id="23"/>
      <w:r w:rsidRPr="008D757B">
        <w:rPr>
          <w:sz w:val="32"/>
          <w:szCs w:val="32"/>
        </w:rPr>
        <w:t xml:space="preserve">Państwa członkowskie powinny </w:t>
      </w:r>
      <w:r w:rsidR="002A4783" w:rsidRPr="008D757B">
        <w:rPr>
          <w:sz w:val="32"/>
          <w:szCs w:val="32"/>
        </w:rPr>
        <w:t>podjąć skuteczne środki</w:t>
      </w:r>
      <w:r w:rsidR="00C269B2">
        <w:rPr>
          <w:sz w:val="32"/>
          <w:szCs w:val="32"/>
        </w:rPr>
        <w:t>,</w:t>
      </w:r>
      <w:r w:rsidR="002A4783" w:rsidRPr="008D757B">
        <w:rPr>
          <w:sz w:val="32"/>
          <w:szCs w:val="32"/>
        </w:rPr>
        <w:t xml:space="preserve"> aby umożliwić instytucjom </w:t>
      </w:r>
      <w:r w:rsidR="00426948" w:rsidRPr="008D757B">
        <w:rPr>
          <w:sz w:val="32"/>
          <w:szCs w:val="32"/>
        </w:rPr>
        <w:t xml:space="preserve">Rzecznika Praw Obywatelskich </w:t>
      </w:r>
      <w:r w:rsidR="002A4783" w:rsidRPr="008D757B">
        <w:rPr>
          <w:sz w:val="32"/>
          <w:szCs w:val="32"/>
        </w:rPr>
        <w:t>zobowiązanie wszystkich organów administracyjnych i innych właściwych podmiotów do współpracy w ramach ich działań</w:t>
      </w:r>
      <w:r w:rsidR="00F10EAF" w:rsidRPr="008D757B">
        <w:rPr>
          <w:sz w:val="32"/>
          <w:szCs w:val="32"/>
        </w:rPr>
        <w:t xml:space="preserve"> i zapew</w:t>
      </w:r>
      <w:r w:rsidR="002A4783" w:rsidRPr="008D757B">
        <w:rPr>
          <w:sz w:val="32"/>
          <w:szCs w:val="32"/>
        </w:rPr>
        <w:t>ni</w:t>
      </w:r>
      <w:r w:rsidR="00F10EAF" w:rsidRPr="008D757B">
        <w:rPr>
          <w:sz w:val="32"/>
          <w:szCs w:val="32"/>
        </w:rPr>
        <w:t>ć</w:t>
      </w:r>
      <w:r w:rsidR="002A4783" w:rsidRPr="008D757B">
        <w:rPr>
          <w:sz w:val="32"/>
          <w:szCs w:val="32"/>
        </w:rPr>
        <w:t xml:space="preserve"> </w:t>
      </w:r>
      <w:r w:rsidR="00C269B2">
        <w:rPr>
          <w:sz w:val="32"/>
          <w:szCs w:val="32"/>
        </w:rPr>
        <w:t xml:space="preserve">instytucjom </w:t>
      </w:r>
      <w:r w:rsidR="00867697">
        <w:rPr>
          <w:sz w:val="32"/>
          <w:szCs w:val="32"/>
        </w:rPr>
        <w:t>Rzecznika Praw Obywatelskich</w:t>
      </w:r>
      <w:r w:rsidR="00C269B2">
        <w:rPr>
          <w:sz w:val="32"/>
          <w:szCs w:val="32"/>
        </w:rPr>
        <w:t xml:space="preserve"> </w:t>
      </w:r>
      <w:r w:rsidR="002A4783" w:rsidRPr="008D757B">
        <w:rPr>
          <w:sz w:val="32"/>
          <w:szCs w:val="32"/>
        </w:rPr>
        <w:t>nieograniczon</w:t>
      </w:r>
      <w:r w:rsidR="00F10EAF" w:rsidRPr="008D757B">
        <w:rPr>
          <w:sz w:val="32"/>
          <w:szCs w:val="32"/>
        </w:rPr>
        <w:t>y dostęp</w:t>
      </w:r>
      <w:r w:rsidR="002A4783" w:rsidRPr="008D757B">
        <w:rPr>
          <w:sz w:val="32"/>
          <w:szCs w:val="32"/>
        </w:rPr>
        <w:t xml:space="preserve"> do wszystkich </w:t>
      </w:r>
      <w:r w:rsidR="002A4783" w:rsidRPr="00317053">
        <w:rPr>
          <w:sz w:val="32"/>
          <w:szCs w:val="32"/>
        </w:rPr>
        <w:t>odpowiednich</w:t>
      </w:r>
      <w:r w:rsidR="002A4783" w:rsidRPr="008D757B">
        <w:rPr>
          <w:sz w:val="32"/>
          <w:szCs w:val="32"/>
        </w:rPr>
        <w:t xml:space="preserve"> pomieszczeń, w tym </w:t>
      </w:r>
      <w:r w:rsidR="00C269B2">
        <w:rPr>
          <w:sz w:val="32"/>
          <w:szCs w:val="32"/>
        </w:rPr>
        <w:t xml:space="preserve">do </w:t>
      </w:r>
      <w:r w:rsidR="002A4783" w:rsidRPr="008D757B">
        <w:rPr>
          <w:sz w:val="32"/>
          <w:szCs w:val="32"/>
        </w:rPr>
        <w:t xml:space="preserve">miejsc zatrzymań, i do wszystkich </w:t>
      </w:r>
      <w:r w:rsidR="00F83856">
        <w:rPr>
          <w:sz w:val="32"/>
          <w:szCs w:val="32"/>
        </w:rPr>
        <w:t>właściwych</w:t>
      </w:r>
      <w:r w:rsidR="002A4783" w:rsidRPr="008D757B">
        <w:rPr>
          <w:sz w:val="32"/>
          <w:szCs w:val="32"/>
        </w:rPr>
        <w:t xml:space="preserve"> </w:t>
      </w:r>
      <w:r w:rsidR="00222F02" w:rsidRPr="008D757B">
        <w:rPr>
          <w:sz w:val="32"/>
          <w:szCs w:val="32"/>
        </w:rPr>
        <w:t>osób</w:t>
      </w:r>
      <w:r w:rsidR="002A4783" w:rsidRPr="008D757B">
        <w:rPr>
          <w:sz w:val="32"/>
          <w:szCs w:val="32"/>
        </w:rPr>
        <w:t>, tak</w:t>
      </w:r>
      <w:r w:rsidR="00C269B2">
        <w:rPr>
          <w:sz w:val="32"/>
          <w:szCs w:val="32"/>
        </w:rPr>
        <w:t>,</w:t>
      </w:r>
      <w:r w:rsidR="002A4783" w:rsidRPr="008D757B">
        <w:rPr>
          <w:sz w:val="32"/>
          <w:szCs w:val="32"/>
        </w:rPr>
        <w:t xml:space="preserve"> aby instytucje te mogły </w:t>
      </w:r>
      <w:r w:rsidR="00A94008" w:rsidRPr="008D757B">
        <w:rPr>
          <w:sz w:val="32"/>
          <w:szCs w:val="32"/>
        </w:rPr>
        <w:t>dokon</w:t>
      </w:r>
      <w:r w:rsidR="00F10EAF" w:rsidRPr="008D757B">
        <w:rPr>
          <w:sz w:val="32"/>
          <w:szCs w:val="32"/>
        </w:rPr>
        <w:t>yw</w:t>
      </w:r>
      <w:r w:rsidR="002A4783" w:rsidRPr="008D757B">
        <w:rPr>
          <w:sz w:val="32"/>
          <w:szCs w:val="32"/>
        </w:rPr>
        <w:t>ać wiarygodnej analizy</w:t>
      </w:r>
      <w:r w:rsidR="00222F02" w:rsidRPr="008D757B">
        <w:rPr>
          <w:sz w:val="32"/>
          <w:szCs w:val="32"/>
        </w:rPr>
        <w:t xml:space="preserve"> </w:t>
      </w:r>
      <w:r w:rsidR="002A4783" w:rsidRPr="008D757B">
        <w:rPr>
          <w:sz w:val="32"/>
          <w:szCs w:val="32"/>
        </w:rPr>
        <w:t>otrzymanych skarg lub innych kwestii objętych ich mandatem.</w:t>
      </w:r>
      <w:r w:rsidR="00222F02" w:rsidRPr="008D757B">
        <w:rPr>
          <w:sz w:val="32"/>
          <w:szCs w:val="32"/>
        </w:rPr>
        <w:t xml:space="preserve"> </w:t>
      </w:r>
      <w:r w:rsidR="00F83856">
        <w:rPr>
          <w:sz w:val="32"/>
          <w:szCs w:val="32"/>
        </w:rPr>
        <w:t>Instytucje</w:t>
      </w:r>
      <w:r w:rsidR="00A94008" w:rsidRPr="008D757B">
        <w:rPr>
          <w:sz w:val="32"/>
          <w:szCs w:val="32"/>
        </w:rPr>
        <w:t xml:space="preserve"> Rzecznika Praw </w:t>
      </w:r>
      <w:r w:rsidR="00A94008" w:rsidRPr="008D757B">
        <w:rPr>
          <w:sz w:val="32"/>
          <w:szCs w:val="32"/>
        </w:rPr>
        <w:lastRenderedPageBreak/>
        <w:t>Obywatelskich</w:t>
      </w:r>
      <w:r w:rsidR="00222F02" w:rsidRPr="008D757B">
        <w:rPr>
          <w:sz w:val="32"/>
          <w:szCs w:val="32"/>
        </w:rPr>
        <w:t xml:space="preserve"> powinny mieć także dostęp do wszys</w:t>
      </w:r>
      <w:r w:rsidR="00A94008" w:rsidRPr="008D757B">
        <w:rPr>
          <w:sz w:val="32"/>
          <w:szCs w:val="32"/>
        </w:rPr>
        <w:t>tkich informacji potrzebnych do</w:t>
      </w:r>
      <w:r w:rsidR="00222F02" w:rsidRPr="008D757B">
        <w:rPr>
          <w:sz w:val="32"/>
          <w:szCs w:val="32"/>
        </w:rPr>
        <w:t xml:space="preserve"> takiej analizy, z zastrzeżeniem ewentualnych ogranicze</w:t>
      </w:r>
      <w:r w:rsidR="00A94008" w:rsidRPr="008D757B">
        <w:rPr>
          <w:sz w:val="32"/>
          <w:szCs w:val="32"/>
        </w:rPr>
        <w:t>ń</w:t>
      </w:r>
      <w:r w:rsidR="00222F02" w:rsidRPr="008D757B">
        <w:rPr>
          <w:sz w:val="32"/>
          <w:szCs w:val="32"/>
        </w:rPr>
        <w:t xml:space="preserve"> wynikający</w:t>
      </w:r>
      <w:r w:rsidR="00A94008" w:rsidRPr="008D757B">
        <w:rPr>
          <w:sz w:val="32"/>
          <w:szCs w:val="32"/>
        </w:rPr>
        <w:t>ch</w:t>
      </w:r>
      <w:r w:rsidR="00222F02" w:rsidRPr="008D757B">
        <w:rPr>
          <w:sz w:val="32"/>
          <w:szCs w:val="32"/>
        </w:rPr>
        <w:t xml:space="preserve"> z ochrony innych praw i uzasadnionych interesów, oraz </w:t>
      </w:r>
      <w:r w:rsidR="004556D2" w:rsidRPr="008D757B">
        <w:rPr>
          <w:sz w:val="32"/>
          <w:szCs w:val="32"/>
        </w:rPr>
        <w:t xml:space="preserve">powinny </w:t>
      </w:r>
      <w:r w:rsidR="00222F02" w:rsidRPr="008D757B">
        <w:rPr>
          <w:sz w:val="32"/>
          <w:szCs w:val="32"/>
        </w:rPr>
        <w:t>zagwarantowa</w:t>
      </w:r>
      <w:r w:rsidR="004556D2" w:rsidRPr="008D757B">
        <w:rPr>
          <w:sz w:val="32"/>
          <w:szCs w:val="32"/>
        </w:rPr>
        <w:t>ć</w:t>
      </w:r>
      <w:r w:rsidR="00222F02" w:rsidRPr="008D757B">
        <w:rPr>
          <w:sz w:val="32"/>
          <w:szCs w:val="32"/>
        </w:rPr>
        <w:t xml:space="preserve"> poufnoś</w:t>
      </w:r>
      <w:r w:rsidR="004556D2" w:rsidRPr="008D757B">
        <w:rPr>
          <w:sz w:val="32"/>
          <w:szCs w:val="32"/>
        </w:rPr>
        <w:t>ć</w:t>
      </w:r>
      <w:r w:rsidR="00222F02" w:rsidRPr="008D757B">
        <w:rPr>
          <w:sz w:val="32"/>
          <w:szCs w:val="32"/>
        </w:rPr>
        <w:t xml:space="preserve"> danych znajdujących się w ich posiadaniu.</w:t>
      </w:r>
    </w:p>
    <w:p w14:paraId="5D531DFF" w14:textId="437A0080" w:rsidR="009230F5" w:rsidRPr="008D757B" w:rsidRDefault="00865A84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4" w:name="bookmark24"/>
      <w:bookmarkEnd w:id="24"/>
      <w:r w:rsidRPr="008D757B">
        <w:rPr>
          <w:sz w:val="32"/>
          <w:szCs w:val="32"/>
        </w:rPr>
        <w:t xml:space="preserve">Państwa członkowskie powinny zapewnić instytucjom </w:t>
      </w:r>
      <w:r w:rsidR="004556D2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odpowiednie, wystarczające i </w:t>
      </w:r>
      <w:r w:rsidR="00373A0D" w:rsidRPr="008D757B">
        <w:rPr>
          <w:sz w:val="32"/>
          <w:szCs w:val="32"/>
        </w:rPr>
        <w:t>trwałe zasoby</w:t>
      </w:r>
      <w:r w:rsidRPr="008D757B">
        <w:rPr>
          <w:sz w:val="32"/>
          <w:szCs w:val="32"/>
        </w:rPr>
        <w:t>, aby umożliwić im wy</w:t>
      </w:r>
      <w:r w:rsidR="00373A0D" w:rsidRPr="008D757B">
        <w:rPr>
          <w:sz w:val="32"/>
          <w:szCs w:val="32"/>
        </w:rPr>
        <w:t>konywanie</w:t>
      </w:r>
      <w:r w:rsidRPr="008D757B">
        <w:rPr>
          <w:sz w:val="32"/>
          <w:szCs w:val="32"/>
        </w:rPr>
        <w:t xml:space="preserve"> ich mandatu w pełni niezależny sposób. </w:t>
      </w:r>
      <w:r w:rsidR="00F83856">
        <w:rPr>
          <w:sz w:val="32"/>
          <w:szCs w:val="32"/>
        </w:rPr>
        <w:t>Instytucje</w:t>
      </w:r>
      <w:r w:rsidR="00373A0D" w:rsidRPr="008D757B">
        <w:rPr>
          <w:sz w:val="32"/>
          <w:szCs w:val="32"/>
        </w:rPr>
        <w:t xml:space="preserve"> Rzecznika Praw Obywatelskich</w:t>
      </w:r>
      <w:r w:rsidRPr="008D757B">
        <w:rPr>
          <w:sz w:val="32"/>
          <w:szCs w:val="32"/>
        </w:rPr>
        <w:t xml:space="preserve"> powinny mieć możliwość </w:t>
      </w:r>
      <w:r w:rsidR="00E17D0A">
        <w:rPr>
          <w:sz w:val="32"/>
          <w:szCs w:val="32"/>
        </w:rPr>
        <w:t>dobrania</w:t>
      </w:r>
      <w:r w:rsidRPr="008D757B">
        <w:rPr>
          <w:sz w:val="32"/>
          <w:szCs w:val="32"/>
        </w:rPr>
        <w:t xml:space="preserve"> swojego włas</w:t>
      </w:r>
      <w:r w:rsidR="00E17D0A">
        <w:rPr>
          <w:sz w:val="32"/>
          <w:szCs w:val="32"/>
        </w:rPr>
        <w:t xml:space="preserve">nego personelu i zapewnienia mu </w:t>
      </w:r>
      <w:r w:rsidRPr="008D757B">
        <w:rPr>
          <w:sz w:val="32"/>
          <w:szCs w:val="32"/>
        </w:rPr>
        <w:t>odpowiedniego przeszkolenia.</w:t>
      </w:r>
    </w:p>
    <w:p w14:paraId="58B2A384" w14:textId="429A3015" w:rsidR="009230F5" w:rsidRPr="008D757B" w:rsidRDefault="00865A84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5" w:name="bookmark25"/>
      <w:bookmarkEnd w:id="25"/>
      <w:r w:rsidRPr="008D757B">
        <w:rPr>
          <w:sz w:val="32"/>
          <w:szCs w:val="32"/>
        </w:rPr>
        <w:t xml:space="preserve">Państwa członkowskie powinny podjąć wszelkie niezbędne środki </w:t>
      </w:r>
      <w:r w:rsidR="001C4E9E" w:rsidRPr="008D757B">
        <w:rPr>
          <w:sz w:val="32"/>
          <w:szCs w:val="32"/>
        </w:rPr>
        <w:t>w celu</w:t>
      </w:r>
      <w:r w:rsidRPr="008D757B">
        <w:rPr>
          <w:sz w:val="32"/>
          <w:szCs w:val="32"/>
        </w:rPr>
        <w:t xml:space="preserve"> ochron</w:t>
      </w:r>
      <w:r w:rsidR="00373A0D" w:rsidRPr="008D757B">
        <w:rPr>
          <w:sz w:val="32"/>
          <w:szCs w:val="32"/>
        </w:rPr>
        <w:t>y</w:t>
      </w:r>
      <w:r w:rsidRPr="008D757B">
        <w:rPr>
          <w:sz w:val="32"/>
          <w:szCs w:val="32"/>
        </w:rPr>
        <w:t xml:space="preserve"> instytucj</w:t>
      </w:r>
      <w:r w:rsidR="00373A0D" w:rsidRPr="008D757B">
        <w:rPr>
          <w:sz w:val="32"/>
          <w:szCs w:val="32"/>
        </w:rPr>
        <w:t>i</w:t>
      </w:r>
      <w:r w:rsidRPr="008D757B">
        <w:rPr>
          <w:sz w:val="32"/>
          <w:szCs w:val="32"/>
        </w:rPr>
        <w:t xml:space="preserve"> </w:t>
      </w:r>
      <w:r w:rsidR="00373A0D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przed </w:t>
      </w:r>
      <w:r w:rsidR="001C4E9E" w:rsidRPr="008D757B">
        <w:rPr>
          <w:sz w:val="32"/>
          <w:szCs w:val="32"/>
        </w:rPr>
        <w:t>groźbami i nękaniem. W</w:t>
      </w:r>
      <w:r w:rsidR="00373A0D" w:rsidRPr="008D757B">
        <w:rPr>
          <w:sz w:val="32"/>
          <w:szCs w:val="32"/>
        </w:rPr>
        <w:t>szelkie przypadki domniemanego</w:t>
      </w:r>
      <w:r w:rsidR="001C4E9E" w:rsidRPr="008D757B">
        <w:rPr>
          <w:sz w:val="32"/>
          <w:szCs w:val="32"/>
        </w:rPr>
        <w:t xml:space="preserve"> odwetu lub zastraszania wobec </w:t>
      </w:r>
      <w:r w:rsidR="00E17D0A">
        <w:rPr>
          <w:sz w:val="32"/>
          <w:szCs w:val="32"/>
        </w:rPr>
        <w:t>instytucji</w:t>
      </w:r>
      <w:r w:rsidR="003179C6" w:rsidRPr="008D757B">
        <w:rPr>
          <w:sz w:val="32"/>
          <w:szCs w:val="32"/>
        </w:rPr>
        <w:t xml:space="preserve"> Rzecznika Praw Obywatelskich i ich pracowników</w:t>
      </w:r>
      <w:r w:rsidR="001C4E9E" w:rsidRPr="008D757B">
        <w:rPr>
          <w:sz w:val="32"/>
          <w:szCs w:val="32"/>
        </w:rPr>
        <w:t xml:space="preserve">, </w:t>
      </w:r>
      <w:r w:rsidR="003179C6" w:rsidRPr="008D757B">
        <w:rPr>
          <w:sz w:val="32"/>
          <w:szCs w:val="32"/>
        </w:rPr>
        <w:t>albo</w:t>
      </w:r>
      <w:r w:rsidR="001C4E9E" w:rsidRPr="008D757B">
        <w:rPr>
          <w:sz w:val="32"/>
          <w:szCs w:val="32"/>
        </w:rPr>
        <w:t xml:space="preserve"> wobec os</w:t>
      </w:r>
      <w:r w:rsidR="003179C6" w:rsidRPr="008D757B">
        <w:rPr>
          <w:sz w:val="32"/>
          <w:szCs w:val="32"/>
        </w:rPr>
        <w:t>ó</w:t>
      </w:r>
      <w:r w:rsidR="001C4E9E" w:rsidRPr="008D757B">
        <w:rPr>
          <w:sz w:val="32"/>
          <w:szCs w:val="32"/>
        </w:rPr>
        <w:t>b</w:t>
      </w:r>
      <w:r w:rsidR="005A310E" w:rsidRPr="008D757B">
        <w:rPr>
          <w:sz w:val="32"/>
          <w:szCs w:val="32"/>
        </w:rPr>
        <w:t>,</w:t>
      </w:r>
      <w:r w:rsidR="001C4E9E" w:rsidRPr="008D757B">
        <w:rPr>
          <w:sz w:val="32"/>
          <w:szCs w:val="32"/>
        </w:rPr>
        <w:t xml:space="preserve"> które z nimi współpracują lub dążą do </w:t>
      </w:r>
      <w:r w:rsidR="003179C6" w:rsidRPr="008D757B">
        <w:rPr>
          <w:sz w:val="32"/>
          <w:szCs w:val="32"/>
        </w:rPr>
        <w:t xml:space="preserve">takiej </w:t>
      </w:r>
      <w:r w:rsidR="001C4E9E" w:rsidRPr="008D757B">
        <w:rPr>
          <w:sz w:val="32"/>
          <w:szCs w:val="32"/>
        </w:rPr>
        <w:t>współprac</w:t>
      </w:r>
      <w:r w:rsidR="003179C6" w:rsidRPr="008D757B">
        <w:rPr>
          <w:sz w:val="32"/>
          <w:szCs w:val="32"/>
        </w:rPr>
        <w:t>y</w:t>
      </w:r>
      <w:r w:rsidR="00612CB4">
        <w:rPr>
          <w:sz w:val="32"/>
          <w:szCs w:val="32"/>
        </w:rPr>
        <w:t>,</w:t>
      </w:r>
      <w:r w:rsidR="001C4E9E" w:rsidRPr="008D757B">
        <w:rPr>
          <w:sz w:val="32"/>
          <w:szCs w:val="32"/>
        </w:rPr>
        <w:t xml:space="preserve"> powinny być natychmiast i dokładnie zbadane, a sprawcy powinni być pociągnięci do odpowiedzialności. </w:t>
      </w:r>
    </w:p>
    <w:p w14:paraId="5837DDA9" w14:textId="213E699E" w:rsidR="009230F5" w:rsidRPr="008D757B" w:rsidRDefault="001C4E9E">
      <w:pPr>
        <w:pStyle w:val="Teksttreci0"/>
        <w:numPr>
          <w:ilvl w:val="0"/>
          <w:numId w:val="4"/>
        </w:numPr>
        <w:tabs>
          <w:tab w:val="left" w:pos="714"/>
        </w:tabs>
        <w:rPr>
          <w:sz w:val="32"/>
          <w:szCs w:val="32"/>
        </w:rPr>
      </w:pPr>
      <w:bookmarkStart w:id="26" w:name="bookmark26"/>
      <w:bookmarkEnd w:id="26"/>
      <w:r w:rsidRPr="008D757B">
        <w:rPr>
          <w:b/>
          <w:bCs/>
          <w:sz w:val="32"/>
          <w:szCs w:val="32"/>
        </w:rPr>
        <w:t xml:space="preserve">Główne zadania instytucji </w:t>
      </w:r>
      <w:r w:rsidR="00D906E0" w:rsidRPr="008D757B">
        <w:rPr>
          <w:b/>
          <w:bCs/>
          <w:sz w:val="32"/>
          <w:szCs w:val="32"/>
        </w:rPr>
        <w:t>Rzecznika Praw Obywatelskich</w:t>
      </w:r>
    </w:p>
    <w:p w14:paraId="723F8D02" w14:textId="706297CC" w:rsidR="009230F5" w:rsidRPr="008D757B" w:rsidRDefault="0009607D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27" w:name="bookmark27"/>
      <w:bookmarkEnd w:id="27"/>
      <w:r w:rsidRPr="008D757B">
        <w:rPr>
          <w:sz w:val="32"/>
          <w:szCs w:val="32"/>
        </w:rPr>
        <w:t xml:space="preserve">Państwa członkowskie powinny </w:t>
      </w:r>
      <w:r w:rsidR="00923AFF" w:rsidRPr="008D757B">
        <w:rPr>
          <w:sz w:val="32"/>
          <w:szCs w:val="32"/>
        </w:rPr>
        <w:t>zapewnić</w:t>
      </w:r>
      <w:r w:rsidR="00521B71">
        <w:rPr>
          <w:sz w:val="32"/>
          <w:szCs w:val="32"/>
        </w:rPr>
        <w:t>,</w:t>
      </w:r>
      <w:r w:rsidR="000D664A" w:rsidRPr="008D757B">
        <w:rPr>
          <w:sz w:val="32"/>
          <w:szCs w:val="32"/>
        </w:rPr>
        <w:t xml:space="preserve"> ab</w:t>
      </w:r>
      <w:r w:rsidR="00923AFF" w:rsidRPr="008D757B">
        <w:rPr>
          <w:sz w:val="32"/>
          <w:szCs w:val="32"/>
        </w:rPr>
        <w:t>y</w:t>
      </w:r>
      <w:r w:rsidR="000D664A" w:rsidRPr="008D757B">
        <w:rPr>
          <w:sz w:val="32"/>
          <w:szCs w:val="32"/>
        </w:rPr>
        <w:t xml:space="preserve"> mandat udzielony</w:t>
      </w:r>
      <w:r w:rsidR="00923AFF" w:rsidRPr="008D757B">
        <w:rPr>
          <w:sz w:val="32"/>
          <w:szCs w:val="32"/>
        </w:rPr>
        <w:t xml:space="preserve"> instytucjom </w:t>
      </w:r>
      <w:r w:rsidR="000D664A" w:rsidRPr="008D757B">
        <w:rPr>
          <w:sz w:val="32"/>
          <w:szCs w:val="32"/>
        </w:rPr>
        <w:t>Rzecznika Praw Obywatelskich</w:t>
      </w:r>
      <w:r w:rsidR="00923AFF" w:rsidRPr="008D757B">
        <w:rPr>
          <w:sz w:val="32"/>
          <w:szCs w:val="32"/>
        </w:rPr>
        <w:t xml:space="preserve"> uprawnia</w:t>
      </w:r>
      <w:r w:rsidR="000D664A" w:rsidRPr="008D757B">
        <w:rPr>
          <w:sz w:val="32"/>
          <w:szCs w:val="32"/>
        </w:rPr>
        <w:t>ł</w:t>
      </w:r>
      <w:r w:rsidR="00923AFF" w:rsidRPr="008D757B">
        <w:rPr>
          <w:sz w:val="32"/>
          <w:szCs w:val="32"/>
        </w:rPr>
        <w:t xml:space="preserve"> je zwłaszcza do:</w:t>
      </w:r>
    </w:p>
    <w:p w14:paraId="0B118628" w14:textId="694DD627" w:rsidR="009230F5" w:rsidRPr="008D757B" w:rsidRDefault="00923AFF">
      <w:pPr>
        <w:pStyle w:val="Teksttreci0"/>
        <w:numPr>
          <w:ilvl w:val="0"/>
          <w:numId w:val="6"/>
        </w:numPr>
        <w:tabs>
          <w:tab w:val="left" w:pos="714"/>
        </w:tabs>
        <w:rPr>
          <w:sz w:val="32"/>
          <w:szCs w:val="32"/>
        </w:rPr>
      </w:pPr>
      <w:bookmarkStart w:id="28" w:name="bookmark28"/>
      <w:bookmarkEnd w:id="28"/>
      <w:r w:rsidRPr="008D757B">
        <w:rPr>
          <w:sz w:val="32"/>
          <w:szCs w:val="32"/>
        </w:rPr>
        <w:t>podejmowania działań na po</w:t>
      </w:r>
      <w:r w:rsidR="00E17D0A">
        <w:rPr>
          <w:sz w:val="32"/>
          <w:szCs w:val="32"/>
        </w:rPr>
        <w:t>dstawie otrzymanych skarg lub z </w:t>
      </w:r>
      <w:r w:rsidRPr="008D757B">
        <w:rPr>
          <w:sz w:val="32"/>
          <w:szCs w:val="32"/>
        </w:rPr>
        <w:t xml:space="preserve">własnej inicjatywy, w celu ochrony jakiejkolwiek osoby lub grupy osób przed nieudolną administracją, </w:t>
      </w:r>
      <w:r w:rsidR="00521B71">
        <w:rPr>
          <w:sz w:val="32"/>
          <w:szCs w:val="32"/>
        </w:rPr>
        <w:t>naruszeniem</w:t>
      </w:r>
      <w:r w:rsidRPr="008D757B">
        <w:rPr>
          <w:sz w:val="32"/>
          <w:szCs w:val="32"/>
        </w:rPr>
        <w:t xml:space="preserve"> praw, nieuczciwością, nadużyciami, korupcją lub jakąkolwiek formą niesprawiedliwości spowodowaną przez podmioty świadczące usługi publiczne, </w:t>
      </w:r>
      <w:r w:rsidR="004649D4" w:rsidRPr="008D757B">
        <w:rPr>
          <w:sz w:val="32"/>
          <w:szCs w:val="32"/>
        </w:rPr>
        <w:t xml:space="preserve">działające jako </w:t>
      </w:r>
      <w:r w:rsidR="00B97561" w:rsidRPr="008D757B">
        <w:rPr>
          <w:sz w:val="32"/>
          <w:szCs w:val="32"/>
        </w:rPr>
        <w:t xml:space="preserve">jednostki </w:t>
      </w:r>
      <w:r w:rsidRPr="008D757B">
        <w:rPr>
          <w:sz w:val="32"/>
          <w:szCs w:val="32"/>
        </w:rPr>
        <w:t xml:space="preserve">publiczne lub prywatne, </w:t>
      </w:r>
      <w:r w:rsidR="00E17D0A">
        <w:rPr>
          <w:sz w:val="32"/>
          <w:szCs w:val="32"/>
        </w:rPr>
        <w:t>w </w:t>
      </w:r>
      <w:r w:rsidR="00536292" w:rsidRPr="008D757B">
        <w:rPr>
          <w:sz w:val="32"/>
          <w:szCs w:val="32"/>
        </w:rPr>
        <w:t>szczególności</w:t>
      </w:r>
      <w:r w:rsidRPr="008D757B">
        <w:rPr>
          <w:sz w:val="32"/>
          <w:szCs w:val="32"/>
        </w:rPr>
        <w:t xml:space="preserve"> p</w:t>
      </w:r>
      <w:r w:rsidR="00536292" w:rsidRPr="008D757B">
        <w:rPr>
          <w:sz w:val="32"/>
          <w:szCs w:val="32"/>
        </w:rPr>
        <w:t xml:space="preserve">oprzez </w:t>
      </w:r>
      <w:r w:rsidR="004649D4" w:rsidRPr="008D757B">
        <w:rPr>
          <w:sz w:val="32"/>
          <w:szCs w:val="32"/>
        </w:rPr>
        <w:t xml:space="preserve">zapewnienie </w:t>
      </w:r>
      <w:r w:rsidR="007B745F" w:rsidRPr="008D757B">
        <w:rPr>
          <w:sz w:val="32"/>
          <w:szCs w:val="32"/>
        </w:rPr>
        <w:t xml:space="preserve">pozasądowych </w:t>
      </w:r>
      <w:r w:rsidR="004649D4" w:rsidRPr="008D757B">
        <w:rPr>
          <w:sz w:val="32"/>
          <w:szCs w:val="32"/>
        </w:rPr>
        <w:t xml:space="preserve">środków </w:t>
      </w:r>
      <w:r w:rsidR="00326B0C">
        <w:rPr>
          <w:sz w:val="32"/>
          <w:szCs w:val="32"/>
        </w:rPr>
        <w:t>działających na korzyść</w:t>
      </w:r>
      <w:r w:rsidR="004649D4" w:rsidRPr="008D757B">
        <w:rPr>
          <w:sz w:val="32"/>
          <w:szCs w:val="32"/>
        </w:rPr>
        <w:t xml:space="preserve"> </w:t>
      </w:r>
      <w:r w:rsidR="00326B0C" w:rsidRPr="008D757B">
        <w:rPr>
          <w:sz w:val="32"/>
          <w:szCs w:val="32"/>
        </w:rPr>
        <w:t>posiadacz</w:t>
      </w:r>
      <w:r w:rsidR="00326B0C">
        <w:rPr>
          <w:sz w:val="32"/>
          <w:szCs w:val="32"/>
        </w:rPr>
        <w:t>y</w:t>
      </w:r>
      <w:r w:rsidR="00326B0C" w:rsidRPr="008D757B">
        <w:rPr>
          <w:sz w:val="32"/>
          <w:szCs w:val="32"/>
        </w:rPr>
        <w:t xml:space="preserve"> </w:t>
      </w:r>
      <w:r w:rsidR="00536292" w:rsidRPr="008D757B">
        <w:rPr>
          <w:sz w:val="32"/>
          <w:szCs w:val="32"/>
        </w:rPr>
        <w:t>praw</w:t>
      </w:r>
      <w:r w:rsidR="005A310E" w:rsidRPr="008D757B">
        <w:rPr>
          <w:sz w:val="32"/>
          <w:szCs w:val="32"/>
        </w:rPr>
        <w:t>, które</w:t>
      </w:r>
      <w:r w:rsidR="004649D4" w:rsidRPr="008D757B">
        <w:rPr>
          <w:sz w:val="32"/>
          <w:szCs w:val="32"/>
        </w:rPr>
        <w:t xml:space="preserve"> </w:t>
      </w:r>
      <w:r w:rsidR="00536292" w:rsidRPr="008D757B">
        <w:rPr>
          <w:sz w:val="32"/>
          <w:szCs w:val="32"/>
        </w:rPr>
        <w:t>ułatwiają</w:t>
      </w:r>
      <w:r w:rsidR="00B97561" w:rsidRPr="008D757B">
        <w:rPr>
          <w:sz w:val="32"/>
          <w:szCs w:val="32"/>
        </w:rPr>
        <w:t xml:space="preserve"> rozstrzyganie</w:t>
      </w:r>
      <w:r w:rsidR="004649D4" w:rsidRPr="008D757B">
        <w:rPr>
          <w:sz w:val="32"/>
          <w:szCs w:val="32"/>
        </w:rPr>
        <w:t xml:space="preserve"> sporów między </w:t>
      </w:r>
      <w:r w:rsidR="00B97561" w:rsidRPr="008D757B">
        <w:rPr>
          <w:sz w:val="32"/>
          <w:szCs w:val="32"/>
        </w:rPr>
        <w:t>osobami fizycznymi</w:t>
      </w:r>
      <w:r w:rsidR="004649D4" w:rsidRPr="008D757B">
        <w:rPr>
          <w:sz w:val="32"/>
          <w:szCs w:val="32"/>
        </w:rPr>
        <w:t xml:space="preserve"> </w:t>
      </w:r>
      <w:r w:rsidR="00536292" w:rsidRPr="008D757B">
        <w:rPr>
          <w:sz w:val="32"/>
          <w:szCs w:val="32"/>
        </w:rPr>
        <w:t>a</w:t>
      </w:r>
      <w:r w:rsidR="004649D4" w:rsidRPr="008D757B">
        <w:rPr>
          <w:sz w:val="32"/>
          <w:szCs w:val="32"/>
        </w:rPr>
        <w:t xml:space="preserve"> podmiotami świadczącymi usługi publiczne, w tym, w stosownych przypadkach, mediacj</w:t>
      </w:r>
      <w:r w:rsidR="00B97561" w:rsidRPr="008D757B">
        <w:rPr>
          <w:sz w:val="32"/>
          <w:szCs w:val="32"/>
        </w:rPr>
        <w:t>i</w:t>
      </w:r>
      <w:r w:rsidR="004649D4" w:rsidRPr="008D757B">
        <w:rPr>
          <w:sz w:val="32"/>
          <w:szCs w:val="32"/>
        </w:rPr>
        <w:t>;</w:t>
      </w:r>
    </w:p>
    <w:p w14:paraId="3A546CE5" w14:textId="0C16DA60" w:rsidR="009230F5" w:rsidRPr="008D757B" w:rsidRDefault="00536292">
      <w:pPr>
        <w:pStyle w:val="Teksttreci0"/>
        <w:numPr>
          <w:ilvl w:val="0"/>
          <w:numId w:val="6"/>
        </w:numPr>
        <w:tabs>
          <w:tab w:val="left" w:pos="714"/>
        </w:tabs>
        <w:rPr>
          <w:sz w:val="32"/>
          <w:szCs w:val="32"/>
        </w:rPr>
      </w:pPr>
      <w:bookmarkStart w:id="29" w:name="bookmark29"/>
      <w:bookmarkEnd w:id="29"/>
      <w:r w:rsidRPr="008D757B">
        <w:rPr>
          <w:sz w:val="32"/>
          <w:szCs w:val="32"/>
        </w:rPr>
        <w:t>ochrony i promowania praw człowieka i podstawowych wolności, praworządności i demokratycznych rządów, w tym, w stosownych przypadkach, poprzez propozycj</w:t>
      </w:r>
      <w:r w:rsidR="007B745F" w:rsidRPr="008D757B">
        <w:rPr>
          <w:sz w:val="32"/>
          <w:szCs w:val="32"/>
        </w:rPr>
        <w:t>e</w:t>
      </w:r>
      <w:r w:rsidRPr="008D757B">
        <w:rPr>
          <w:sz w:val="32"/>
          <w:szCs w:val="32"/>
        </w:rPr>
        <w:t xml:space="preserve"> zmian ustawodawstwa, spor</w:t>
      </w:r>
      <w:r w:rsidR="007B745F" w:rsidRPr="008D757B">
        <w:rPr>
          <w:sz w:val="32"/>
          <w:szCs w:val="32"/>
        </w:rPr>
        <w:t>y</w:t>
      </w:r>
      <w:r w:rsidRPr="008D757B">
        <w:rPr>
          <w:sz w:val="32"/>
          <w:szCs w:val="32"/>
        </w:rPr>
        <w:t xml:space="preserve"> sądow</w:t>
      </w:r>
      <w:r w:rsidR="007B745F" w:rsidRPr="008D757B">
        <w:rPr>
          <w:sz w:val="32"/>
          <w:szCs w:val="32"/>
        </w:rPr>
        <w:t>e</w:t>
      </w:r>
      <w:r w:rsidRPr="008D757B">
        <w:rPr>
          <w:sz w:val="32"/>
          <w:szCs w:val="32"/>
        </w:rPr>
        <w:t xml:space="preserve"> i inn</w:t>
      </w:r>
      <w:r w:rsidR="007B745F" w:rsidRPr="008D757B">
        <w:rPr>
          <w:sz w:val="32"/>
          <w:szCs w:val="32"/>
        </w:rPr>
        <w:t>e</w:t>
      </w:r>
      <w:r w:rsidRPr="008D757B">
        <w:rPr>
          <w:sz w:val="32"/>
          <w:szCs w:val="32"/>
        </w:rPr>
        <w:t xml:space="preserve"> środk</w:t>
      </w:r>
      <w:r w:rsidR="007B745F" w:rsidRPr="008D757B">
        <w:rPr>
          <w:sz w:val="32"/>
          <w:szCs w:val="32"/>
        </w:rPr>
        <w:t>i</w:t>
      </w:r>
      <w:r w:rsidRPr="008D757B">
        <w:rPr>
          <w:sz w:val="32"/>
          <w:szCs w:val="32"/>
        </w:rPr>
        <w:t>;</w:t>
      </w:r>
    </w:p>
    <w:p w14:paraId="53E26827" w14:textId="4CF289B7" w:rsidR="009230F5" w:rsidRPr="008D757B" w:rsidRDefault="00DC0973">
      <w:pPr>
        <w:pStyle w:val="Teksttreci0"/>
        <w:numPr>
          <w:ilvl w:val="0"/>
          <w:numId w:val="6"/>
        </w:numPr>
        <w:tabs>
          <w:tab w:val="left" w:pos="714"/>
        </w:tabs>
        <w:rPr>
          <w:sz w:val="32"/>
          <w:szCs w:val="32"/>
        </w:rPr>
      </w:pPr>
      <w:bookmarkStart w:id="30" w:name="bookmark30"/>
      <w:bookmarkEnd w:id="30"/>
      <w:r w:rsidRPr="008D757B">
        <w:rPr>
          <w:sz w:val="32"/>
          <w:szCs w:val="32"/>
        </w:rPr>
        <w:t>wydawania zaleceń</w:t>
      </w:r>
      <w:r w:rsidR="004D28A8" w:rsidRPr="008D757B">
        <w:rPr>
          <w:sz w:val="32"/>
          <w:szCs w:val="32"/>
        </w:rPr>
        <w:t xml:space="preserve"> </w:t>
      </w:r>
      <w:r w:rsidR="00456E72" w:rsidRPr="008D757B">
        <w:rPr>
          <w:sz w:val="32"/>
          <w:szCs w:val="32"/>
        </w:rPr>
        <w:t xml:space="preserve">w celu zapobiegania lub </w:t>
      </w:r>
      <w:r w:rsidR="004D28A8" w:rsidRPr="008D757B">
        <w:rPr>
          <w:sz w:val="32"/>
          <w:szCs w:val="32"/>
        </w:rPr>
        <w:t>zaradz</w:t>
      </w:r>
      <w:r w:rsidRPr="008D757B">
        <w:rPr>
          <w:sz w:val="32"/>
          <w:szCs w:val="32"/>
        </w:rPr>
        <w:t>enia</w:t>
      </w:r>
      <w:r w:rsidR="00456E72" w:rsidRPr="008D757B">
        <w:rPr>
          <w:sz w:val="32"/>
          <w:szCs w:val="32"/>
        </w:rPr>
        <w:t xml:space="preserve"> </w:t>
      </w:r>
      <w:r w:rsidR="004D28A8" w:rsidRPr="008D757B">
        <w:rPr>
          <w:sz w:val="32"/>
          <w:szCs w:val="32"/>
        </w:rPr>
        <w:lastRenderedPageBreak/>
        <w:t>wszelkim</w:t>
      </w:r>
      <w:r w:rsidR="00456E72" w:rsidRPr="008D757B">
        <w:rPr>
          <w:sz w:val="32"/>
          <w:szCs w:val="32"/>
        </w:rPr>
        <w:t xml:space="preserve"> </w:t>
      </w:r>
      <w:r w:rsidR="00CE2521" w:rsidRPr="008D757B">
        <w:rPr>
          <w:sz w:val="32"/>
          <w:szCs w:val="32"/>
        </w:rPr>
        <w:t>działaniom</w:t>
      </w:r>
      <w:r w:rsidR="00456E72" w:rsidRPr="008D757B">
        <w:rPr>
          <w:sz w:val="32"/>
          <w:szCs w:val="32"/>
        </w:rPr>
        <w:t xml:space="preserve"> opisanym w </w:t>
      </w:r>
      <w:r w:rsidR="004D28A8" w:rsidRPr="008D757B">
        <w:rPr>
          <w:sz w:val="32"/>
          <w:szCs w:val="32"/>
        </w:rPr>
        <w:t>punkcie</w:t>
      </w:r>
      <w:r w:rsidR="00456E72" w:rsidRPr="008D757B">
        <w:rPr>
          <w:sz w:val="32"/>
          <w:szCs w:val="32"/>
        </w:rPr>
        <w:t xml:space="preserve"> 8.a i,</w:t>
      </w:r>
      <w:r w:rsidRPr="008D757B">
        <w:rPr>
          <w:sz w:val="32"/>
          <w:szCs w:val="32"/>
        </w:rPr>
        <w:t xml:space="preserve"> </w:t>
      </w:r>
      <w:r w:rsidR="00456E72" w:rsidRPr="008D757B">
        <w:rPr>
          <w:sz w:val="32"/>
          <w:szCs w:val="32"/>
        </w:rPr>
        <w:t xml:space="preserve">w stosownych przypadkach, przedstawiania propozycji reform administracyjnych </w:t>
      </w:r>
      <w:r w:rsidR="004D28A8" w:rsidRPr="008D757B">
        <w:rPr>
          <w:sz w:val="32"/>
          <w:szCs w:val="32"/>
        </w:rPr>
        <w:t>i</w:t>
      </w:r>
      <w:r w:rsidR="00456E72" w:rsidRPr="008D757B">
        <w:rPr>
          <w:sz w:val="32"/>
          <w:szCs w:val="32"/>
        </w:rPr>
        <w:t xml:space="preserve"> legislacyjnych</w:t>
      </w:r>
      <w:r w:rsidR="004D28A8" w:rsidRPr="008D757B">
        <w:rPr>
          <w:sz w:val="32"/>
          <w:szCs w:val="32"/>
        </w:rPr>
        <w:t xml:space="preserve"> mających na celu poprawę funkcjonowania podmiotów świadczących usługi publiczne; w przypadku gdy podmioty te nie przyjmą lub nie wdrożą takich zaleceń, państwa członkowskie powinny zapewnić instytucjom </w:t>
      </w:r>
      <w:r w:rsidR="00CE2521" w:rsidRPr="008D757B">
        <w:rPr>
          <w:sz w:val="32"/>
          <w:szCs w:val="32"/>
        </w:rPr>
        <w:t>Rzecznika Praw Obywatelskich</w:t>
      </w:r>
      <w:r w:rsidR="004D28A8" w:rsidRPr="008D757B">
        <w:rPr>
          <w:sz w:val="32"/>
          <w:szCs w:val="32"/>
        </w:rPr>
        <w:t xml:space="preserve"> między innymi prawo do przedłożenia właściwemu wybieranemu organowi, zazwyczaj parlamentowi, raportu dotyczącego </w:t>
      </w:r>
      <w:r w:rsidR="00C919D0" w:rsidRPr="008D757B">
        <w:rPr>
          <w:sz w:val="32"/>
          <w:szCs w:val="32"/>
        </w:rPr>
        <w:t>takiego zaniechania</w:t>
      </w:r>
      <w:r w:rsidR="004D28A8" w:rsidRPr="008D757B">
        <w:rPr>
          <w:sz w:val="32"/>
          <w:szCs w:val="32"/>
        </w:rPr>
        <w:t xml:space="preserve">; </w:t>
      </w:r>
    </w:p>
    <w:p w14:paraId="2FC28DA4" w14:textId="4E60CEF7" w:rsidR="009230F5" w:rsidRPr="008D757B" w:rsidRDefault="00C919D0">
      <w:pPr>
        <w:pStyle w:val="Teksttreci0"/>
        <w:numPr>
          <w:ilvl w:val="0"/>
          <w:numId w:val="6"/>
        </w:numPr>
        <w:tabs>
          <w:tab w:val="left" w:pos="714"/>
        </w:tabs>
        <w:rPr>
          <w:sz w:val="32"/>
          <w:szCs w:val="32"/>
        </w:rPr>
      </w:pPr>
      <w:bookmarkStart w:id="31" w:name="bookmark31"/>
      <w:bookmarkEnd w:id="31"/>
      <w:r w:rsidRPr="008D757B">
        <w:rPr>
          <w:sz w:val="32"/>
          <w:szCs w:val="32"/>
        </w:rPr>
        <w:t xml:space="preserve">współpracy, w ramach swojego mandatu, z lokalnymi, regionalnymi, krajowymi i międzynarodowymi podmiotami i </w:t>
      </w:r>
      <w:r w:rsidRPr="00676E68">
        <w:rPr>
          <w:sz w:val="32"/>
          <w:szCs w:val="32"/>
        </w:rPr>
        <w:t>sieciami</w:t>
      </w:r>
      <w:r w:rsidRPr="008D757B">
        <w:rPr>
          <w:sz w:val="32"/>
          <w:szCs w:val="32"/>
        </w:rPr>
        <w:t xml:space="preserve"> działającymi w </w:t>
      </w:r>
      <w:r w:rsidR="00DC0973" w:rsidRPr="008D757B">
        <w:rPr>
          <w:sz w:val="32"/>
          <w:szCs w:val="32"/>
        </w:rPr>
        <w:t>pokrewnych</w:t>
      </w:r>
      <w:r w:rsidRPr="008D757B">
        <w:rPr>
          <w:sz w:val="32"/>
          <w:szCs w:val="32"/>
        </w:rPr>
        <w:t xml:space="preserve"> </w:t>
      </w:r>
      <w:r w:rsidR="00DC0973" w:rsidRPr="008D757B">
        <w:rPr>
          <w:sz w:val="32"/>
          <w:szCs w:val="32"/>
        </w:rPr>
        <w:t>lub</w:t>
      </w:r>
      <w:r w:rsidRPr="008D757B">
        <w:rPr>
          <w:sz w:val="32"/>
          <w:szCs w:val="32"/>
        </w:rPr>
        <w:t xml:space="preserve"> podobnych obszarach. </w:t>
      </w:r>
    </w:p>
    <w:p w14:paraId="55C08E84" w14:textId="55B2CA35" w:rsidR="009230F5" w:rsidRPr="008D757B" w:rsidRDefault="00B3036E">
      <w:pPr>
        <w:pStyle w:val="Teksttreci0"/>
        <w:numPr>
          <w:ilvl w:val="0"/>
          <w:numId w:val="5"/>
        </w:numPr>
        <w:tabs>
          <w:tab w:val="left" w:pos="714"/>
        </w:tabs>
        <w:rPr>
          <w:sz w:val="32"/>
          <w:szCs w:val="32"/>
        </w:rPr>
      </w:pPr>
      <w:bookmarkStart w:id="32" w:name="bookmark32"/>
      <w:bookmarkEnd w:id="32"/>
      <w:r w:rsidRPr="008D757B">
        <w:rPr>
          <w:sz w:val="32"/>
          <w:szCs w:val="32"/>
        </w:rPr>
        <w:t xml:space="preserve">Państwa członkowskie powinny nałożyć na wszystkich adresatów zaleceń </w:t>
      </w:r>
      <w:r w:rsidR="00CE2521" w:rsidRPr="008D757B">
        <w:rPr>
          <w:sz w:val="32"/>
          <w:szCs w:val="32"/>
        </w:rPr>
        <w:t xml:space="preserve">wydanych przez </w:t>
      </w:r>
      <w:r w:rsidRPr="008D757B">
        <w:rPr>
          <w:sz w:val="32"/>
          <w:szCs w:val="32"/>
        </w:rPr>
        <w:t>instytucj</w:t>
      </w:r>
      <w:r w:rsidR="00CE2521" w:rsidRPr="008D757B">
        <w:rPr>
          <w:sz w:val="32"/>
          <w:szCs w:val="32"/>
        </w:rPr>
        <w:t xml:space="preserve">e Rzecznika Praw Obywatelskich </w:t>
      </w:r>
      <w:r w:rsidRPr="008D757B">
        <w:rPr>
          <w:sz w:val="32"/>
          <w:szCs w:val="32"/>
        </w:rPr>
        <w:t xml:space="preserve">prawny obowiązek przedstawienia uzasadnionej odpowiedzi w </w:t>
      </w:r>
      <w:r w:rsidR="00E765BE">
        <w:rPr>
          <w:sz w:val="32"/>
          <w:szCs w:val="32"/>
        </w:rPr>
        <w:t>określonym</w:t>
      </w:r>
      <w:r w:rsidRPr="008D757B">
        <w:rPr>
          <w:sz w:val="32"/>
          <w:szCs w:val="32"/>
        </w:rPr>
        <w:t xml:space="preserve"> czasie.</w:t>
      </w:r>
    </w:p>
    <w:p w14:paraId="572831CC" w14:textId="565DAD51" w:rsidR="009230F5" w:rsidRPr="008D757B" w:rsidRDefault="00B774DB">
      <w:pPr>
        <w:pStyle w:val="Teksttreci0"/>
        <w:numPr>
          <w:ilvl w:val="0"/>
          <w:numId w:val="5"/>
        </w:numPr>
        <w:tabs>
          <w:tab w:val="left" w:pos="710"/>
        </w:tabs>
        <w:rPr>
          <w:sz w:val="32"/>
          <w:szCs w:val="32"/>
        </w:rPr>
      </w:pPr>
      <w:bookmarkStart w:id="33" w:name="bookmark33"/>
      <w:bookmarkEnd w:id="33"/>
      <w:r w:rsidRPr="008D757B">
        <w:rPr>
          <w:sz w:val="32"/>
          <w:szCs w:val="32"/>
        </w:rPr>
        <w:t xml:space="preserve">Państwa członkowskie powinny rozważyć przyznanie instytucjom </w:t>
      </w:r>
      <w:r w:rsidR="00A511E4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 kompetencji </w:t>
      </w:r>
      <w:r w:rsidR="00FA69D3" w:rsidRPr="008D757B">
        <w:rPr>
          <w:sz w:val="32"/>
          <w:szCs w:val="32"/>
        </w:rPr>
        <w:t xml:space="preserve">umożliwiających </w:t>
      </w:r>
      <w:r w:rsidRPr="008D757B">
        <w:rPr>
          <w:sz w:val="32"/>
          <w:szCs w:val="32"/>
        </w:rPr>
        <w:t>im wyk</w:t>
      </w:r>
      <w:r w:rsidR="00E17D0A">
        <w:rPr>
          <w:sz w:val="32"/>
          <w:szCs w:val="32"/>
        </w:rPr>
        <w:t>onywanie zadań przewidzianych w </w:t>
      </w:r>
      <w:r w:rsidR="00FA69D3" w:rsidRPr="008D757B">
        <w:rPr>
          <w:sz w:val="32"/>
          <w:szCs w:val="32"/>
        </w:rPr>
        <w:t>odpowiednich</w:t>
      </w:r>
      <w:r w:rsidRPr="008D757B">
        <w:rPr>
          <w:sz w:val="32"/>
          <w:szCs w:val="32"/>
        </w:rPr>
        <w:t xml:space="preserve"> </w:t>
      </w:r>
      <w:r w:rsidR="00FA69D3" w:rsidRPr="008D757B">
        <w:rPr>
          <w:sz w:val="32"/>
          <w:szCs w:val="32"/>
        </w:rPr>
        <w:t xml:space="preserve">konwencjach </w:t>
      </w:r>
      <w:r w:rsidRPr="008D757B">
        <w:rPr>
          <w:sz w:val="32"/>
          <w:szCs w:val="32"/>
        </w:rPr>
        <w:t>międzynarodowych z zakresu praw człowieka, takich jak Krajowy Mechanizm Prewencji w ramach Protokołu Fakultatywnego do Konwencji Narodów</w:t>
      </w:r>
      <w:r w:rsidRPr="008D757B">
        <w:rPr>
          <w:sz w:val="32"/>
          <w:szCs w:val="32"/>
        </w:rPr>
        <w:fldChar w:fldCharType="begin"/>
      </w:r>
      <w:r w:rsidRPr="008D757B">
        <w:rPr>
          <w:sz w:val="32"/>
          <w:szCs w:val="32"/>
        </w:rPr>
        <w:instrText xml:space="preserve"> LISTNUM </w:instrText>
      </w:r>
      <w:r w:rsidRPr="008D757B">
        <w:rPr>
          <w:sz w:val="32"/>
          <w:szCs w:val="32"/>
        </w:rPr>
        <w:fldChar w:fldCharType="end"/>
      </w:r>
      <w:r w:rsidR="00E17D0A">
        <w:rPr>
          <w:sz w:val="32"/>
          <w:szCs w:val="32"/>
        </w:rPr>
        <w:t xml:space="preserve"> Zjednoczonych w </w:t>
      </w:r>
      <w:r w:rsidRPr="008D757B">
        <w:rPr>
          <w:sz w:val="32"/>
          <w:szCs w:val="32"/>
        </w:rPr>
        <w:t xml:space="preserve">sprawie zakazu stosowania tortur oraz innego okrutnego, nieludzkiego lub poniżającego traktowania albo karania, i/lub niezależny mechanizm w ramach Konwencji Narodów Zjednoczonych </w:t>
      </w:r>
      <w:r w:rsidR="000C1A30" w:rsidRPr="008D757B">
        <w:rPr>
          <w:sz w:val="32"/>
          <w:szCs w:val="32"/>
        </w:rPr>
        <w:t>o prawach</w:t>
      </w:r>
      <w:r w:rsidR="00E17D0A">
        <w:rPr>
          <w:sz w:val="32"/>
          <w:szCs w:val="32"/>
        </w:rPr>
        <w:t xml:space="preserve"> osób niepełnosprawnych, lub, w </w:t>
      </w:r>
      <w:r w:rsidR="000C1A30" w:rsidRPr="008D757B">
        <w:rPr>
          <w:sz w:val="32"/>
          <w:szCs w:val="32"/>
        </w:rPr>
        <w:t>stosownych przypadkach, wzm</w:t>
      </w:r>
      <w:r w:rsidR="00A66430" w:rsidRPr="008D757B">
        <w:rPr>
          <w:sz w:val="32"/>
          <w:szCs w:val="32"/>
        </w:rPr>
        <w:t>o</w:t>
      </w:r>
      <w:r w:rsidR="000C1A30" w:rsidRPr="008D757B">
        <w:rPr>
          <w:sz w:val="32"/>
          <w:szCs w:val="32"/>
        </w:rPr>
        <w:t>cni</w:t>
      </w:r>
      <w:r w:rsidR="00A66430" w:rsidRPr="008D757B">
        <w:rPr>
          <w:sz w:val="32"/>
          <w:szCs w:val="32"/>
        </w:rPr>
        <w:t>e</w:t>
      </w:r>
      <w:r w:rsidR="000C1A30" w:rsidRPr="008D757B">
        <w:rPr>
          <w:sz w:val="32"/>
          <w:szCs w:val="32"/>
        </w:rPr>
        <w:t xml:space="preserve">nie takich kompetencji. </w:t>
      </w:r>
      <w:r w:rsidR="00E17D0A">
        <w:rPr>
          <w:sz w:val="32"/>
          <w:szCs w:val="32"/>
        </w:rPr>
        <w:t>W </w:t>
      </w:r>
      <w:r w:rsidR="00FA69D3" w:rsidRPr="008D757B">
        <w:rPr>
          <w:sz w:val="32"/>
          <w:szCs w:val="32"/>
        </w:rPr>
        <w:t xml:space="preserve">przypadku gdy </w:t>
      </w:r>
      <w:r w:rsidR="0087240B" w:rsidRPr="008D757B">
        <w:rPr>
          <w:sz w:val="32"/>
          <w:szCs w:val="32"/>
        </w:rPr>
        <w:t>urząd Rzecznika Praw Obywatelskich</w:t>
      </w:r>
      <w:r w:rsidR="00FA69D3" w:rsidRPr="008D757B">
        <w:rPr>
          <w:sz w:val="32"/>
          <w:szCs w:val="32"/>
        </w:rPr>
        <w:t xml:space="preserve"> posiada takie </w:t>
      </w:r>
      <w:r w:rsidR="0087240B" w:rsidRPr="008D757B">
        <w:rPr>
          <w:sz w:val="32"/>
          <w:szCs w:val="32"/>
        </w:rPr>
        <w:t>uprawnienia</w:t>
      </w:r>
      <w:r w:rsidR="00FA69D3" w:rsidRPr="008D757B">
        <w:rPr>
          <w:sz w:val="32"/>
          <w:szCs w:val="32"/>
        </w:rPr>
        <w:t>,</w:t>
      </w:r>
      <w:r w:rsidR="0087240B" w:rsidRPr="008D757B">
        <w:rPr>
          <w:sz w:val="32"/>
          <w:szCs w:val="32"/>
        </w:rPr>
        <w:t xml:space="preserve"> musi on</w:t>
      </w:r>
      <w:r w:rsidR="00FA69D3" w:rsidRPr="008D757B">
        <w:rPr>
          <w:sz w:val="32"/>
          <w:szCs w:val="32"/>
        </w:rPr>
        <w:t xml:space="preserve"> mieć dostęp do wystarczających zasobów</w:t>
      </w:r>
      <w:r w:rsidR="00521B71">
        <w:rPr>
          <w:sz w:val="32"/>
          <w:szCs w:val="32"/>
        </w:rPr>
        <w:t>,</w:t>
      </w:r>
      <w:r w:rsidR="00FA69D3" w:rsidRPr="008D757B">
        <w:rPr>
          <w:sz w:val="32"/>
          <w:szCs w:val="32"/>
        </w:rPr>
        <w:t xml:space="preserve"> aby rozwijać zdolność do sprawnego </w:t>
      </w:r>
      <w:r w:rsidR="00A66430" w:rsidRPr="008D757B">
        <w:rPr>
          <w:sz w:val="32"/>
          <w:szCs w:val="32"/>
        </w:rPr>
        <w:t>wykonywani</w:t>
      </w:r>
      <w:r w:rsidR="0087240B" w:rsidRPr="008D757B">
        <w:rPr>
          <w:sz w:val="32"/>
          <w:szCs w:val="32"/>
        </w:rPr>
        <w:t>a</w:t>
      </w:r>
      <w:r w:rsidR="00A66430" w:rsidRPr="008D757B">
        <w:rPr>
          <w:sz w:val="32"/>
          <w:szCs w:val="32"/>
        </w:rPr>
        <w:t xml:space="preserve"> </w:t>
      </w:r>
      <w:r w:rsidR="0087240B" w:rsidRPr="008D757B">
        <w:rPr>
          <w:sz w:val="32"/>
          <w:szCs w:val="32"/>
        </w:rPr>
        <w:t xml:space="preserve">swoich </w:t>
      </w:r>
      <w:r w:rsidR="00FA69D3" w:rsidRPr="008D757B">
        <w:rPr>
          <w:sz w:val="32"/>
          <w:szCs w:val="32"/>
        </w:rPr>
        <w:t xml:space="preserve">zadań; </w:t>
      </w:r>
      <w:r w:rsidR="008C3B44">
        <w:rPr>
          <w:sz w:val="32"/>
          <w:szCs w:val="32"/>
        </w:rPr>
        <w:t xml:space="preserve">uprawnienia te </w:t>
      </w:r>
      <w:r w:rsidR="00A66430" w:rsidRPr="008D757B">
        <w:rPr>
          <w:sz w:val="32"/>
          <w:szCs w:val="32"/>
        </w:rPr>
        <w:t>powinn</w:t>
      </w:r>
      <w:r w:rsidR="008C3B44">
        <w:rPr>
          <w:sz w:val="32"/>
          <w:szCs w:val="32"/>
        </w:rPr>
        <w:t>y</w:t>
      </w:r>
      <w:r w:rsidR="00A66430" w:rsidRPr="008D757B">
        <w:rPr>
          <w:sz w:val="32"/>
          <w:szCs w:val="32"/>
        </w:rPr>
        <w:t xml:space="preserve"> obejmować </w:t>
      </w:r>
      <w:r w:rsidR="008C3B44">
        <w:rPr>
          <w:sz w:val="32"/>
          <w:szCs w:val="32"/>
        </w:rPr>
        <w:t xml:space="preserve">możliwość </w:t>
      </w:r>
      <w:r w:rsidR="00FA69D3" w:rsidRPr="008D757B">
        <w:rPr>
          <w:sz w:val="32"/>
          <w:szCs w:val="32"/>
        </w:rPr>
        <w:t>zatrudniani</w:t>
      </w:r>
      <w:r w:rsidR="008C3B44">
        <w:rPr>
          <w:sz w:val="32"/>
          <w:szCs w:val="32"/>
        </w:rPr>
        <w:t>a</w:t>
      </w:r>
      <w:r w:rsidR="00FA69D3" w:rsidRPr="008D757B">
        <w:rPr>
          <w:sz w:val="32"/>
          <w:szCs w:val="32"/>
        </w:rPr>
        <w:t xml:space="preserve"> odpowiednio wykwalifikowanego </w:t>
      </w:r>
      <w:r w:rsidR="00A66430" w:rsidRPr="008D757B">
        <w:rPr>
          <w:sz w:val="32"/>
          <w:szCs w:val="32"/>
        </w:rPr>
        <w:t xml:space="preserve">i przeszkolonego </w:t>
      </w:r>
      <w:r w:rsidR="00E3724D" w:rsidRPr="008D757B">
        <w:rPr>
          <w:sz w:val="32"/>
          <w:szCs w:val="32"/>
        </w:rPr>
        <w:t>personelu.</w:t>
      </w:r>
    </w:p>
    <w:p w14:paraId="3C0B42C4" w14:textId="0347D2DB" w:rsidR="009230F5" w:rsidRPr="008D757B" w:rsidRDefault="00B3036E">
      <w:pPr>
        <w:pStyle w:val="Teksttreci0"/>
        <w:numPr>
          <w:ilvl w:val="0"/>
          <w:numId w:val="4"/>
        </w:numPr>
        <w:tabs>
          <w:tab w:val="left" w:pos="710"/>
        </w:tabs>
        <w:rPr>
          <w:sz w:val="32"/>
          <w:szCs w:val="32"/>
        </w:rPr>
      </w:pPr>
      <w:bookmarkStart w:id="34" w:name="bookmark34"/>
      <w:bookmarkEnd w:id="34"/>
      <w:r w:rsidRPr="008D757B">
        <w:rPr>
          <w:b/>
          <w:bCs/>
          <w:sz w:val="32"/>
          <w:szCs w:val="32"/>
        </w:rPr>
        <w:t>Współpraca i dialog</w:t>
      </w:r>
    </w:p>
    <w:p w14:paraId="170D2303" w14:textId="6C8824F8" w:rsidR="009230F5" w:rsidRPr="008D757B" w:rsidRDefault="00A66430">
      <w:pPr>
        <w:pStyle w:val="Teksttreci0"/>
        <w:numPr>
          <w:ilvl w:val="0"/>
          <w:numId w:val="5"/>
        </w:numPr>
        <w:tabs>
          <w:tab w:val="left" w:pos="710"/>
        </w:tabs>
        <w:rPr>
          <w:sz w:val="32"/>
          <w:szCs w:val="32"/>
        </w:rPr>
      </w:pPr>
      <w:bookmarkStart w:id="35" w:name="bookmark35"/>
      <w:bookmarkEnd w:id="35"/>
      <w:r w:rsidRPr="008D757B">
        <w:rPr>
          <w:sz w:val="32"/>
          <w:szCs w:val="32"/>
        </w:rPr>
        <w:t>Państwa członkowskie powinny podjąć skuteczne działania</w:t>
      </w:r>
      <w:r w:rsidR="00AD09C3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aby umożliwić instytucjom </w:t>
      </w:r>
      <w:r w:rsidR="00E3724D" w:rsidRPr="008D757B">
        <w:rPr>
          <w:sz w:val="32"/>
          <w:szCs w:val="32"/>
        </w:rPr>
        <w:t>Rzecznika Praw Obywatelskich</w:t>
      </w:r>
      <w:r w:rsidR="00E17D0A">
        <w:rPr>
          <w:sz w:val="32"/>
          <w:szCs w:val="32"/>
        </w:rPr>
        <w:t xml:space="preserve"> komunikację i </w:t>
      </w:r>
      <w:r w:rsidR="00A77599" w:rsidRPr="008D757B">
        <w:rPr>
          <w:sz w:val="32"/>
          <w:szCs w:val="32"/>
        </w:rPr>
        <w:t>współpracę</w:t>
      </w:r>
      <w:r w:rsidRPr="008D757B">
        <w:rPr>
          <w:sz w:val="32"/>
          <w:szCs w:val="32"/>
        </w:rPr>
        <w:t xml:space="preserve"> na </w:t>
      </w:r>
      <w:r w:rsidR="00E3724D" w:rsidRPr="008D757B">
        <w:rPr>
          <w:sz w:val="32"/>
          <w:szCs w:val="32"/>
        </w:rPr>
        <w:t>szczeblu</w:t>
      </w:r>
      <w:r w:rsidRPr="008D757B">
        <w:rPr>
          <w:sz w:val="32"/>
          <w:szCs w:val="32"/>
        </w:rPr>
        <w:t xml:space="preserve"> krajowym, regionalnym lub lokalnym, zwłaszcza z:</w:t>
      </w:r>
    </w:p>
    <w:p w14:paraId="6E04DA57" w14:textId="2C6158E1" w:rsidR="009230F5" w:rsidRPr="008D757B" w:rsidRDefault="00A66430">
      <w:pPr>
        <w:pStyle w:val="Teksttreci0"/>
        <w:numPr>
          <w:ilvl w:val="0"/>
          <w:numId w:val="7"/>
        </w:numPr>
        <w:tabs>
          <w:tab w:val="left" w:pos="710"/>
        </w:tabs>
        <w:rPr>
          <w:sz w:val="32"/>
          <w:szCs w:val="32"/>
        </w:rPr>
      </w:pPr>
      <w:bookmarkStart w:id="36" w:name="bookmark36"/>
      <w:bookmarkEnd w:id="36"/>
      <w:r w:rsidRPr="008D757B">
        <w:rPr>
          <w:sz w:val="32"/>
          <w:szCs w:val="32"/>
        </w:rPr>
        <w:t xml:space="preserve">ich odpowiednikami, w </w:t>
      </w:r>
      <w:r w:rsidRPr="00676E68">
        <w:rPr>
          <w:sz w:val="32"/>
          <w:szCs w:val="32"/>
        </w:rPr>
        <w:t>stosownych</w:t>
      </w:r>
      <w:r w:rsidRPr="008D757B">
        <w:rPr>
          <w:sz w:val="32"/>
          <w:szCs w:val="32"/>
        </w:rPr>
        <w:t xml:space="preserve"> przypadkach </w:t>
      </w:r>
      <w:r w:rsidR="00326B0C">
        <w:rPr>
          <w:sz w:val="32"/>
          <w:szCs w:val="32"/>
        </w:rPr>
        <w:t xml:space="preserve">w formie </w:t>
      </w:r>
      <w:r w:rsidR="00326B0C">
        <w:rPr>
          <w:sz w:val="32"/>
          <w:szCs w:val="32"/>
        </w:rPr>
        <w:lastRenderedPageBreak/>
        <w:t>elektronicznej</w:t>
      </w:r>
      <w:r w:rsidR="00930175" w:rsidRPr="008D757B">
        <w:rPr>
          <w:sz w:val="32"/>
          <w:szCs w:val="32"/>
        </w:rPr>
        <w:t xml:space="preserve"> </w:t>
      </w:r>
      <w:r w:rsidR="00E3724D" w:rsidRPr="008D757B">
        <w:rPr>
          <w:sz w:val="32"/>
          <w:szCs w:val="32"/>
        </w:rPr>
        <w:t>oraz</w:t>
      </w:r>
      <w:r w:rsidR="00930175" w:rsidRPr="008D757B">
        <w:rPr>
          <w:sz w:val="32"/>
          <w:szCs w:val="32"/>
        </w:rPr>
        <w:t xml:space="preserve"> wymiany info</w:t>
      </w:r>
      <w:r w:rsidR="00E17D0A">
        <w:rPr>
          <w:sz w:val="32"/>
          <w:szCs w:val="32"/>
        </w:rPr>
        <w:t>rmacji i praktyk, jak również w </w:t>
      </w:r>
      <w:r w:rsidR="00930175" w:rsidRPr="008D757B">
        <w:rPr>
          <w:sz w:val="32"/>
          <w:szCs w:val="32"/>
        </w:rPr>
        <w:t>ramach regularnych spotkań;</w:t>
      </w:r>
    </w:p>
    <w:p w14:paraId="4B393AE9" w14:textId="2130D396" w:rsidR="009230F5" w:rsidRPr="008D757B" w:rsidRDefault="002A14AB">
      <w:pPr>
        <w:pStyle w:val="Teksttreci0"/>
        <w:numPr>
          <w:ilvl w:val="0"/>
          <w:numId w:val="7"/>
        </w:numPr>
        <w:tabs>
          <w:tab w:val="left" w:pos="710"/>
        </w:tabs>
        <w:rPr>
          <w:sz w:val="32"/>
          <w:szCs w:val="32"/>
        </w:rPr>
      </w:pPr>
      <w:bookmarkStart w:id="37" w:name="bookmark37"/>
      <w:bookmarkEnd w:id="37"/>
      <w:r w:rsidRPr="008D757B">
        <w:rPr>
          <w:sz w:val="32"/>
          <w:szCs w:val="32"/>
        </w:rPr>
        <w:t xml:space="preserve">podmiotami społeczeństwa obywatelskiego, </w:t>
      </w:r>
      <w:r w:rsidR="00E3724D" w:rsidRPr="008D757B">
        <w:rPr>
          <w:sz w:val="32"/>
          <w:szCs w:val="32"/>
        </w:rPr>
        <w:t>zwłaszcza</w:t>
      </w:r>
      <w:r w:rsidRPr="008D757B">
        <w:rPr>
          <w:sz w:val="32"/>
          <w:szCs w:val="32"/>
        </w:rPr>
        <w:t xml:space="preserve"> organizacjami pozarządowymi</w:t>
      </w:r>
      <w:r w:rsidR="00A77599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które powinny mieć swobodny dostęp do instytucji </w:t>
      </w:r>
      <w:r w:rsidR="00E3724D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>;</w:t>
      </w:r>
    </w:p>
    <w:p w14:paraId="6D95C77F" w14:textId="6FBF4585" w:rsidR="009230F5" w:rsidRPr="008D757B" w:rsidRDefault="002A14AB">
      <w:pPr>
        <w:pStyle w:val="Teksttreci0"/>
        <w:numPr>
          <w:ilvl w:val="0"/>
          <w:numId w:val="7"/>
        </w:numPr>
        <w:tabs>
          <w:tab w:val="left" w:pos="710"/>
        </w:tabs>
        <w:rPr>
          <w:sz w:val="32"/>
          <w:szCs w:val="32"/>
        </w:rPr>
      </w:pPr>
      <w:bookmarkStart w:id="38" w:name="bookmark38"/>
      <w:bookmarkEnd w:id="38"/>
      <w:r w:rsidRPr="008D757B">
        <w:rPr>
          <w:sz w:val="32"/>
          <w:szCs w:val="32"/>
        </w:rPr>
        <w:t xml:space="preserve">innymi strukturami </w:t>
      </w:r>
      <w:r w:rsidR="00F22CAF">
        <w:rPr>
          <w:sz w:val="32"/>
          <w:szCs w:val="32"/>
        </w:rPr>
        <w:t xml:space="preserve">działającymi na rzecz </w:t>
      </w:r>
      <w:r w:rsidRPr="008D757B">
        <w:rPr>
          <w:sz w:val="32"/>
          <w:szCs w:val="32"/>
        </w:rPr>
        <w:t xml:space="preserve">praw człowieka, </w:t>
      </w:r>
      <w:r w:rsidR="00E17D0A">
        <w:rPr>
          <w:sz w:val="32"/>
          <w:szCs w:val="32"/>
        </w:rPr>
        <w:t>w </w:t>
      </w:r>
      <w:r w:rsidR="00D262BF" w:rsidRPr="008D757B">
        <w:rPr>
          <w:sz w:val="32"/>
          <w:szCs w:val="32"/>
        </w:rPr>
        <w:t>szczególności</w:t>
      </w:r>
      <w:r w:rsidRPr="008D757B">
        <w:rPr>
          <w:sz w:val="32"/>
          <w:szCs w:val="32"/>
        </w:rPr>
        <w:t xml:space="preserve"> krajowymi instytucjami praw człowieka i ich </w:t>
      </w:r>
      <w:r w:rsidRPr="00326B0C">
        <w:rPr>
          <w:sz w:val="32"/>
          <w:szCs w:val="32"/>
        </w:rPr>
        <w:t>sieciami</w:t>
      </w:r>
      <w:r w:rsidRPr="008D757B">
        <w:rPr>
          <w:sz w:val="32"/>
          <w:szCs w:val="32"/>
        </w:rPr>
        <w:t>, w stosownych przypadkach poprzez wspólnie organizowane działania;</w:t>
      </w:r>
    </w:p>
    <w:p w14:paraId="26133E96" w14:textId="185FDC29" w:rsidR="009230F5" w:rsidRPr="008D757B" w:rsidRDefault="002A14AB">
      <w:pPr>
        <w:pStyle w:val="Teksttreci0"/>
        <w:numPr>
          <w:ilvl w:val="0"/>
          <w:numId w:val="7"/>
        </w:numPr>
        <w:tabs>
          <w:tab w:val="left" w:pos="710"/>
        </w:tabs>
        <w:rPr>
          <w:sz w:val="32"/>
          <w:szCs w:val="32"/>
        </w:rPr>
      </w:pPr>
      <w:bookmarkStart w:id="39" w:name="bookmark39"/>
      <w:bookmarkEnd w:id="39"/>
      <w:r w:rsidRPr="008D757B">
        <w:rPr>
          <w:sz w:val="32"/>
          <w:szCs w:val="32"/>
        </w:rPr>
        <w:t>międzynarodow</w:t>
      </w:r>
      <w:r w:rsidR="005D5322" w:rsidRPr="008D757B">
        <w:rPr>
          <w:sz w:val="32"/>
          <w:szCs w:val="32"/>
        </w:rPr>
        <w:t>ymi</w:t>
      </w:r>
      <w:r w:rsidRPr="008D757B">
        <w:rPr>
          <w:sz w:val="32"/>
          <w:szCs w:val="32"/>
        </w:rPr>
        <w:t xml:space="preserve"> i regionaln</w:t>
      </w:r>
      <w:r w:rsidR="005D5322" w:rsidRPr="008D757B">
        <w:rPr>
          <w:sz w:val="32"/>
          <w:szCs w:val="32"/>
        </w:rPr>
        <w:t>ymi</w:t>
      </w:r>
      <w:r w:rsidRPr="008D757B">
        <w:rPr>
          <w:sz w:val="32"/>
          <w:szCs w:val="32"/>
        </w:rPr>
        <w:t xml:space="preserve"> organizacj</w:t>
      </w:r>
      <w:r w:rsidR="005D5322" w:rsidRPr="008D757B">
        <w:rPr>
          <w:sz w:val="32"/>
          <w:szCs w:val="32"/>
        </w:rPr>
        <w:t>ami</w:t>
      </w:r>
      <w:r w:rsidR="00A77599" w:rsidRPr="008D757B">
        <w:rPr>
          <w:sz w:val="32"/>
          <w:szCs w:val="32"/>
        </w:rPr>
        <w:t>,</w:t>
      </w:r>
      <w:r w:rsidR="00D262BF" w:rsidRPr="008D757B">
        <w:rPr>
          <w:sz w:val="32"/>
          <w:szCs w:val="32"/>
        </w:rPr>
        <w:t xml:space="preserve"> które działają w pokrewnych lub</w:t>
      </w:r>
      <w:r w:rsidRPr="008D757B">
        <w:rPr>
          <w:sz w:val="32"/>
          <w:szCs w:val="32"/>
        </w:rPr>
        <w:t xml:space="preserve"> podobnych </w:t>
      </w:r>
      <w:r w:rsidR="00E17D0A">
        <w:rPr>
          <w:sz w:val="32"/>
          <w:szCs w:val="32"/>
        </w:rPr>
        <w:t>obszarach, w szczególności z </w:t>
      </w:r>
      <w:r w:rsidR="005D5322" w:rsidRPr="008D757B">
        <w:rPr>
          <w:sz w:val="32"/>
          <w:szCs w:val="32"/>
        </w:rPr>
        <w:t>organami Rady Europy.</w:t>
      </w:r>
    </w:p>
    <w:p w14:paraId="4B54C640" w14:textId="68BF0718" w:rsidR="009230F5" w:rsidRPr="008D757B" w:rsidRDefault="005D5322">
      <w:pPr>
        <w:pStyle w:val="Teksttreci0"/>
        <w:numPr>
          <w:ilvl w:val="0"/>
          <w:numId w:val="5"/>
        </w:numPr>
        <w:tabs>
          <w:tab w:val="left" w:pos="710"/>
        </w:tabs>
        <w:rPr>
          <w:sz w:val="32"/>
          <w:szCs w:val="32"/>
        </w:rPr>
      </w:pPr>
      <w:bookmarkStart w:id="40" w:name="bookmark40"/>
      <w:bookmarkEnd w:id="40"/>
      <w:r w:rsidRPr="008D757B">
        <w:rPr>
          <w:sz w:val="32"/>
          <w:szCs w:val="32"/>
        </w:rPr>
        <w:t>Państwa członkowskie</w:t>
      </w:r>
      <w:r w:rsidR="00283EF5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które utworzyły kilka instytucji </w:t>
      </w:r>
      <w:r w:rsidR="00D262BF" w:rsidRPr="008D757B">
        <w:rPr>
          <w:sz w:val="32"/>
          <w:szCs w:val="32"/>
        </w:rPr>
        <w:t>Rzecznika Praw Obywatelskich</w:t>
      </w:r>
      <w:r w:rsidRPr="008D757B">
        <w:rPr>
          <w:sz w:val="32"/>
          <w:szCs w:val="32"/>
        </w:rPr>
        <w:t xml:space="preserve">, takich jak </w:t>
      </w:r>
      <w:r w:rsidR="00F56554" w:rsidRPr="008D757B">
        <w:rPr>
          <w:sz w:val="32"/>
          <w:szCs w:val="32"/>
        </w:rPr>
        <w:t xml:space="preserve">organy </w:t>
      </w:r>
      <w:r w:rsidRPr="008D757B">
        <w:rPr>
          <w:sz w:val="32"/>
          <w:szCs w:val="32"/>
        </w:rPr>
        <w:t>regionalne, lokalne i/lub wyspecjalizowane</w:t>
      </w:r>
      <w:r w:rsidR="008A348F" w:rsidRPr="008D757B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powinny umożliwić właściwą</w:t>
      </w:r>
      <w:r w:rsidR="00F56554" w:rsidRPr="008D757B">
        <w:rPr>
          <w:sz w:val="32"/>
          <w:szCs w:val="32"/>
        </w:rPr>
        <w:t>, skuteczną koordynację i współpracę między tymi instytucjami</w:t>
      </w:r>
      <w:r w:rsidR="007046CB" w:rsidRPr="008D757B">
        <w:rPr>
          <w:sz w:val="32"/>
          <w:szCs w:val="32"/>
        </w:rPr>
        <w:t>,</w:t>
      </w:r>
      <w:r w:rsidR="00F56554" w:rsidRPr="008D757B">
        <w:rPr>
          <w:sz w:val="32"/>
          <w:szCs w:val="32"/>
        </w:rPr>
        <w:t xml:space="preserve"> aby promować </w:t>
      </w:r>
      <w:r w:rsidR="008A348F" w:rsidRPr="008D757B">
        <w:rPr>
          <w:sz w:val="32"/>
          <w:szCs w:val="32"/>
        </w:rPr>
        <w:t>synergię i uniknąć</w:t>
      </w:r>
      <w:r w:rsidR="00F56554" w:rsidRPr="008D757B">
        <w:rPr>
          <w:sz w:val="32"/>
          <w:szCs w:val="32"/>
        </w:rPr>
        <w:t xml:space="preserve"> </w:t>
      </w:r>
      <w:r w:rsidR="008A348F" w:rsidRPr="008D757B">
        <w:rPr>
          <w:sz w:val="32"/>
          <w:szCs w:val="32"/>
        </w:rPr>
        <w:t>powielania działań</w:t>
      </w:r>
      <w:r w:rsidR="007046CB" w:rsidRPr="008D757B">
        <w:rPr>
          <w:sz w:val="32"/>
          <w:szCs w:val="32"/>
        </w:rPr>
        <w:t>,</w:t>
      </w:r>
      <w:r w:rsidR="00F56554" w:rsidRPr="008D757B">
        <w:rPr>
          <w:sz w:val="32"/>
          <w:szCs w:val="32"/>
        </w:rPr>
        <w:t xml:space="preserve"> poprzez zapewnienie ustawodawstwa dotyczącego instytucji </w:t>
      </w:r>
      <w:r w:rsidR="00283EF5" w:rsidRPr="008D757B">
        <w:rPr>
          <w:sz w:val="32"/>
          <w:szCs w:val="32"/>
        </w:rPr>
        <w:t>Rzecznika Praw Obywatelskich,</w:t>
      </w:r>
      <w:r w:rsidR="00F56554" w:rsidRPr="008D757B">
        <w:rPr>
          <w:sz w:val="32"/>
          <w:szCs w:val="32"/>
        </w:rPr>
        <w:t xml:space="preserve"> które umożliwia i sprzyja takiej współpracy.</w:t>
      </w:r>
      <w:r w:rsidR="00D262BF" w:rsidRPr="008D757B">
        <w:rPr>
          <w:sz w:val="32"/>
          <w:szCs w:val="32"/>
        </w:rPr>
        <w:t xml:space="preserve"> </w:t>
      </w:r>
    </w:p>
    <w:p w14:paraId="0E466337" w14:textId="0674D61A" w:rsidR="009230F5" w:rsidRPr="008D757B" w:rsidRDefault="004D1E6B">
      <w:pPr>
        <w:pStyle w:val="Teksttreci0"/>
        <w:numPr>
          <w:ilvl w:val="0"/>
          <w:numId w:val="5"/>
        </w:numPr>
        <w:tabs>
          <w:tab w:val="left" w:pos="710"/>
        </w:tabs>
        <w:rPr>
          <w:sz w:val="32"/>
          <w:szCs w:val="32"/>
        </w:rPr>
      </w:pPr>
      <w:bookmarkStart w:id="41" w:name="bookmark41"/>
      <w:bookmarkEnd w:id="41"/>
      <w:r w:rsidRPr="008D757B">
        <w:rPr>
          <w:sz w:val="32"/>
          <w:szCs w:val="32"/>
        </w:rPr>
        <w:t>Państwa członkowskie powinny wspierać i finansować rozwój programów współpracy z Radą Europy</w:t>
      </w:r>
      <w:r w:rsidR="00220B7F">
        <w:rPr>
          <w:sz w:val="32"/>
          <w:szCs w:val="32"/>
        </w:rPr>
        <w:t>,</w:t>
      </w:r>
      <w:r w:rsidRPr="008D757B">
        <w:rPr>
          <w:sz w:val="32"/>
          <w:szCs w:val="32"/>
        </w:rPr>
        <w:t xml:space="preserve"> aby zapewnić stałą wymianę wiedzy między instytucjami </w:t>
      </w:r>
      <w:r w:rsidR="007046CB" w:rsidRPr="008D757B">
        <w:rPr>
          <w:sz w:val="32"/>
          <w:szCs w:val="32"/>
        </w:rPr>
        <w:t>Rzecznika Praw Obywatelskich w celu zwiększenia ich udziału</w:t>
      </w:r>
      <w:r w:rsidRPr="008D757B">
        <w:rPr>
          <w:sz w:val="32"/>
          <w:szCs w:val="32"/>
        </w:rPr>
        <w:t xml:space="preserve"> w skuteczn</w:t>
      </w:r>
      <w:r w:rsidR="007046CB" w:rsidRPr="008D757B">
        <w:rPr>
          <w:sz w:val="32"/>
          <w:szCs w:val="32"/>
        </w:rPr>
        <w:t>ym</w:t>
      </w:r>
      <w:r w:rsidRPr="008D757B">
        <w:rPr>
          <w:sz w:val="32"/>
          <w:szCs w:val="32"/>
        </w:rPr>
        <w:t xml:space="preserve"> wdrażani</w:t>
      </w:r>
      <w:r w:rsidR="007046CB" w:rsidRPr="008D757B">
        <w:rPr>
          <w:sz w:val="32"/>
          <w:szCs w:val="32"/>
        </w:rPr>
        <w:t>u</w:t>
      </w:r>
      <w:r w:rsidRPr="008D757B">
        <w:rPr>
          <w:sz w:val="32"/>
          <w:szCs w:val="32"/>
        </w:rPr>
        <w:t xml:space="preserve"> Europejskiej </w:t>
      </w:r>
      <w:r w:rsidR="000E1061" w:rsidRPr="008D757B">
        <w:rPr>
          <w:sz w:val="32"/>
          <w:szCs w:val="32"/>
        </w:rPr>
        <w:t>K</w:t>
      </w:r>
      <w:r w:rsidRPr="008D757B">
        <w:rPr>
          <w:sz w:val="32"/>
          <w:szCs w:val="32"/>
        </w:rPr>
        <w:t xml:space="preserve">onwencji Praw Człowieka i innych </w:t>
      </w:r>
      <w:r w:rsidR="000E1061" w:rsidRPr="008D757B">
        <w:rPr>
          <w:sz w:val="32"/>
          <w:szCs w:val="32"/>
        </w:rPr>
        <w:t>stosownych</w:t>
      </w:r>
      <w:r w:rsidR="007046CB" w:rsidRPr="008D757B">
        <w:rPr>
          <w:sz w:val="32"/>
          <w:szCs w:val="32"/>
        </w:rPr>
        <w:t xml:space="preserve"> instrumentów.</w:t>
      </w:r>
    </w:p>
    <w:sectPr w:rsidR="009230F5" w:rsidRPr="008D757B">
      <w:type w:val="continuous"/>
      <w:pgSz w:w="11900" w:h="16840"/>
      <w:pgMar w:top="990" w:right="1038" w:bottom="323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A1EE" w14:textId="77777777" w:rsidR="00C15A55" w:rsidRDefault="00C15A55">
      <w:r>
        <w:separator/>
      </w:r>
    </w:p>
  </w:endnote>
  <w:endnote w:type="continuationSeparator" w:id="0">
    <w:p w14:paraId="3701B197" w14:textId="77777777" w:rsidR="00C15A55" w:rsidRDefault="00C1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5AB0" w14:textId="77777777" w:rsidR="00C15A55" w:rsidRDefault="00C15A55"/>
  </w:footnote>
  <w:footnote w:type="continuationSeparator" w:id="0">
    <w:p w14:paraId="2548E0C5" w14:textId="77777777" w:rsidR="00C15A55" w:rsidRDefault="00C15A55"/>
  </w:footnote>
  <w:footnote w:id="1">
    <w:p w14:paraId="30D70827" w14:textId="010DECDC" w:rsidR="00752F00" w:rsidRPr="007E5F37" w:rsidRDefault="00752F00" w:rsidP="00752F00">
      <w:pPr>
        <w:pStyle w:val="Stopka1"/>
        <w:spacing w:after="180"/>
      </w:pPr>
      <w:r>
        <w:rPr>
          <w:vertAlign w:val="superscript"/>
        </w:rPr>
        <w:footnoteRef/>
      </w:r>
      <w:r w:rsidRPr="00DC011F">
        <w:t xml:space="preserve"> </w:t>
      </w:r>
      <w:r>
        <w:t>Termin „</w:t>
      </w:r>
      <w:r w:rsidRPr="007E5F37">
        <w:t>instyt</w:t>
      </w:r>
      <w:r>
        <w:t>ucje</w:t>
      </w:r>
      <w:r w:rsidRPr="007E5F37">
        <w:t xml:space="preserve"> </w:t>
      </w:r>
      <w:r w:rsidR="001C68D4">
        <w:t>Rzecznika Praw Obywatelskich</w:t>
      </w:r>
      <w:r w:rsidRPr="007E5F37">
        <w:t>” używany jest w niniejsz</w:t>
      </w:r>
      <w:r w:rsidR="005C412C">
        <w:t>ym</w:t>
      </w:r>
      <w:r w:rsidRPr="007E5F37">
        <w:t xml:space="preserve"> </w:t>
      </w:r>
      <w:r w:rsidR="005C412C" w:rsidRPr="00B53A65">
        <w:t>zaleceniu</w:t>
      </w:r>
      <w:r w:rsidR="00155C3F">
        <w:t xml:space="preserve"> niezależnie </w:t>
      </w:r>
      <w:r w:rsidRPr="007E5F37">
        <w:t xml:space="preserve">od </w:t>
      </w:r>
      <w:r>
        <w:t>ich</w:t>
      </w:r>
      <w:r w:rsidR="00155C3F">
        <w:t xml:space="preserve"> płci</w:t>
      </w:r>
      <w:r w:rsidRPr="007E5F37">
        <w:t xml:space="preserve"> w odniesieniu do </w:t>
      </w:r>
      <w:r w:rsidR="00B17495">
        <w:t>urzędów</w:t>
      </w:r>
      <w:r w:rsidRPr="007E5F37">
        <w:t xml:space="preserve"> takich jak Rzecznik Praw Obywatelskich, Mediator, Komisarz Parlament</w:t>
      </w:r>
      <w:r w:rsidR="00DC011F">
        <w:t>arny</w:t>
      </w:r>
      <w:r w:rsidRPr="007E5F37">
        <w:t xml:space="preserve">, Obrońca </w:t>
      </w:r>
      <w:r w:rsidR="00DC011F">
        <w:t>O</w:t>
      </w:r>
      <w:r w:rsidRPr="007E5F37">
        <w:t>bywateli, Adwokat</w:t>
      </w:r>
      <w:r w:rsidR="00DC011F">
        <w:t xml:space="preserve"> O</w:t>
      </w:r>
      <w:r w:rsidRPr="007E5F37">
        <w:t xml:space="preserve">bywateli, Komisarz ds. Praw </w:t>
      </w:r>
      <w:r w:rsidR="00B17495">
        <w:t>C</w:t>
      </w:r>
      <w:r w:rsidRPr="007E5F37">
        <w:t>złowieka, Rządowy Inspektor Generalny, Publiczny</w:t>
      </w:r>
      <w:r w:rsidR="00DC011F">
        <w:t xml:space="preserve"> Obrońca</w:t>
      </w:r>
      <w:r w:rsidRPr="007E5F37">
        <w:t>, etc.</w:t>
      </w:r>
    </w:p>
    <w:p w14:paraId="44609A4F" w14:textId="50FF3611" w:rsidR="00752F00" w:rsidRDefault="00752F00" w:rsidP="00752F00">
      <w:pPr>
        <w:pStyle w:val="Stopka1"/>
      </w:pPr>
      <w:r w:rsidRPr="007E5F37">
        <w:t>Strona internetowa:</w:t>
      </w:r>
      <w:hyperlink r:id="rId1" w:history="1">
        <w:r w:rsidRPr="007E5F37">
          <w:t xml:space="preserve"> www.coe.int/cm</w:t>
        </w:r>
      </w:hyperlink>
    </w:p>
    <w:p w14:paraId="0D1CA4D5" w14:textId="77777777" w:rsidR="00B80D6C" w:rsidRDefault="00B80D6C" w:rsidP="00752F00">
      <w:pPr>
        <w:pStyle w:val="Stopka1"/>
      </w:pPr>
    </w:p>
    <w:p w14:paraId="6348B485" w14:textId="77777777" w:rsidR="00B80D6C" w:rsidRDefault="00B80D6C" w:rsidP="00B80D6C">
      <w:pPr>
        <w:pStyle w:val="Stopka1"/>
      </w:pPr>
      <w:r>
        <w:t xml:space="preserve">© Copyright for the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by Ministerstwo Spraw Zagranicznych, Warsaw 2020</w:t>
      </w:r>
    </w:p>
    <w:p w14:paraId="1EEC279E" w14:textId="774238D1" w:rsidR="00B80D6C" w:rsidRPr="007E5F37" w:rsidRDefault="00B80D6C" w:rsidP="00B80D6C">
      <w:pPr>
        <w:pStyle w:val="Stopka1"/>
      </w:pPr>
      <w:r>
        <w:t>© Właścicielem praw autorskich do tłumaczenia na język polski jest Ministerstwo Spraw Zagranicznych, Warszawa 2020</w:t>
      </w:r>
    </w:p>
  </w:footnote>
  <w:footnote w:id="2">
    <w:p w14:paraId="78B5CA75" w14:textId="6456163A" w:rsidR="009230F5" w:rsidRPr="00935BB9" w:rsidRDefault="00945451">
      <w:pPr>
        <w:pStyle w:val="Stopka1"/>
        <w:pBdr>
          <w:top w:val="single" w:sz="4" w:space="0" w:color="auto"/>
        </w:pBdr>
        <w:rPr>
          <w:lang w:val="en-GB"/>
        </w:rPr>
      </w:pPr>
      <w:r>
        <w:rPr>
          <w:vertAlign w:val="superscript"/>
        </w:rPr>
        <w:footnoteRef/>
      </w:r>
      <w:r w:rsidRPr="00935BB9">
        <w:rPr>
          <w:lang w:val="en-GB"/>
        </w:rPr>
        <w:t xml:space="preserve"> </w:t>
      </w:r>
      <w:r w:rsidR="009F0EB1" w:rsidRPr="005F0F3D">
        <w:t>Vide zwłaszcza</w:t>
      </w:r>
      <w:r w:rsidRPr="005F0F3D">
        <w:t>:</w:t>
      </w:r>
    </w:p>
    <w:p w14:paraId="7124D832" w14:textId="2B1DA2D1" w:rsidR="009230F5" w:rsidRPr="00923C35" w:rsidRDefault="005F0F3D">
      <w:pPr>
        <w:pStyle w:val="Stopka1"/>
        <w:numPr>
          <w:ilvl w:val="0"/>
          <w:numId w:val="1"/>
        </w:numPr>
        <w:tabs>
          <w:tab w:val="left" w:pos="720"/>
        </w:tabs>
      </w:pPr>
      <w:r>
        <w:t>Zalecenie</w:t>
      </w:r>
      <w:r w:rsidRPr="00923C35">
        <w:t xml:space="preserve"> </w:t>
      </w:r>
      <w:r w:rsidR="009F0EB1" w:rsidRPr="00923C35">
        <w:t xml:space="preserve">Rec(97)14 Komitetu Ministrów Rady Europy dla państw członkowskich </w:t>
      </w:r>
      <w:r>
        <w:t>w sprawie</w:t>
      </w:r>
      <w:r w:rsidRPr="00923C35">
        <w:t xml:space="preserve"> </w:t>
      </w:r>
      <w:r w:rsidR="009F0EB1" w:rsidRPr="00923C35">
        <w:t>ustanowienia niezależnych ins</w:t>
      </w:r>
      <w:r w:rsidR="000F0EA2" w:rsidRPr="00923C35">
        <w:t>t</w:t>
      </w:r>
      <w:r w:rsidR="009F0EB1" w:rsidRPr="00923C35">
        <w:t xml:space="preserve">ytucji </w:t>
      </w:r>
      <w:r w:rsidR="000F0EA2" w:rsidRPr="00923C35">
        <w:t xml:space="preserve">krajowych zajmujących się </w:t>
      </w:r>
      <w:r w:rsidR="00923C35">
        <w:t>promowaniem</w:t>
      </w:r>
      <w:r w:rsidR="009F0EB1" w:rsidRPr="00923C35">
        <w:t xml:space="preserve"> i ochron</w:t>
      </w:r>
      <w:r w:rsidR="005276CE">
        <w:t>ą</w:t>
      </w:r>
      <w:r w:rsidR="009F0EB1" w:rsidRPr="00923C35">
        <w:t xml:space="preserve"> praw człowieka</w:t>
      </w:r>
      <w:r w:rsidR="00923C35">
        <w:t>;</w:t>
      </w:r>
    </w:p>
    <w:p w14:paraId="2D86F35F" w14:textId="637531CF" w:rsidR="009230F5" w:rsidRPr="00577FA0" w:rsidRDefault="005F0F3D">
      <w:pPr>
        <w:pStyle w:val="Stopka1"/>
        <w:numPr>
          <w:ilvl w:val="0"/>
          <w:numId w:val="1"/>
        </w:numPr>
        <w:tabs>
          <w:tab w:val="left" w:pos="720"/>
        </w:tabs>
      </w:pPr>
      <w:r>
        <w:t>Zalecenie</w:t>
      </w:r>
      <w:r w:rsidRPr="00577FA0">
        <w:t xml:space="preserve"> </w:t>
      </w:r>
      <w:r w:rsidR="000F0EA2" w:rsidRPr="00577FA0">
        <w:t xml:space="preserve">CM/Rec(2018)11 Komitetu Ministrów Rady Europy dla państw członkowskich </w:t>
      </w:r>
      <w:r>
        <w:t>w sprawie</w:t>
      </w:r>
      <w:r w:rsidRPr="00577FA0">
        <w:t xml:space="preserve"> </w:t>
      </w:r>
      <w:r w:rsidR="00577FA0" w:rsidRPr="00577FA0">
        <w:t>potrzeby wzmocnienia ochrony i promowa</w:t>
      </w:r>
      <w:r w:rsidR="00B320E7">
        <w:t>nia przestrzeni społ</w:t>
      </w:r>
      <w:r w:rsidR="00577FA0" w:rsidRPr="00577FA0">
        <w:t>eczeństwa obywatelskiego w Europie;</w:t>
      </w:r>
    </w:p>
    <w:p w14:paraId="2D334B12" w14:textId="7CF79C2F" w:rsidR="009230F5" w:rsidRPr="00B320E7" w:rsidRDefault="00577FA0">
      <w:pPr>
        <w:pStyle w:val="Stopka1"/>
        <w:numPr>
          <w:ilvl w:val="0"/>
          <w:numId w:val="1"/>
        </w:numPr>
        <w:tabs>
          <w:tab w:val="left" w:pos="720"/>
        </w:tabs>
      </w:pPr>
      <w:r w:rsidRPr="00B320E7">
        <w:t xml:space="preserve">Rezolucja </w:t>
      </w:r>
      <w:r w:rsidR="00B320E7" w:rsidRPr="00B320E7">
        <w:t xml:space="preserve">1959 (2013) Zgromadzenia Parlamentarnego </w:t>
      </w:r>
      <w:r w:rsidR="00B320E7">
        <w:t>Rady Europy</w:t>
      </w:r>
      <w:r w:rsidR="00B320E7" w:rsidRPr="00B320E7">
        <w:t xml:space="preserve"> dotycząca wzmacniania instytucji </w:t>
      </w:r>
      <w:r w:rsidR="00923C35">
        <w:t>R</w:t>
      </w:r>
      <w:r w:rsidR="00B320E7">
        <w:t>zecznika</w:t>
      </w:r>
      <w:r w:rsidR="00923C35">
        <w:t xml:space="preserve"> P</w:t>
      </w:r>
      <w:r w:rsidR="00B320E7">
        <w:t>raw</w:t>
      </w:r>
      <w:r w:rsidR="00923C35">
        <w:t xml:space="preserve"> O</w:t>
      </w:r>
      <w:r w:rsidR="00B320E7">
        <w:t>bywatelskich</w:t>
      </w:r>
      <w:r w:rsidR="00B320E7" w:rsidRPr="00B320E7">
        <w:t xml:space="preserve"> w Europie;</w:t>
      </w:r>
    </w:p>
    <w:p w14:paraId="23D3B6ED" w14:textId="07E33619" w:rsidR="009230F5" w:rsidRPr="00923C35" w:rsidRDefault="00B320E7">
      <w:pPr>
        <w:pStyle w:val="Stopka1"/>
        <w:numPr>
          <w:ilvl w:val="0"/>
          <w:numId w:val="1"/>
        </w:numPr>
        <w:tabs>
          <w:tab w:val="left" w:pos="715"/>
        </w:tabs>
      </w:pPr>
      <w:r w:rsidRPr="00923C35">
        <w:t xml:space="preserve">Rezolucja 327(2011) Kongresu Władz Lokalnych i Regionalnych Rady Europy dotycząca urzędu </w:t>
      </w:r>
      <w:r w:rsidR="00923C35">
        <w:t>Rzecznika Praw Obywatelskich</w:t>
      </w:r>
      <w:r w:rsidRPr="00923C35">
        <w:t xml:space="preserve"> oraz </w:t>
      </w:r>
      <w:r w:rsidR="00923C35" w:rsidRPr="00923C35">
        <w:t xml:space="preserve">władz </w:t>
      </w:r>
      <w:r w:rsidRPr="00923C35">
        <w:t>lokalnych i regionalnych;</w:t>
      </w:r>
    </w:p>
    <w:p w14:paraId="0C1D5D38" w14:textId="22F4C540" w:rsidR="009230F5" w:rsidRPr="00801ECC" w:rsidRDefault="00B320E7">
      <w:pPr>
        <w:pStyle w:val="Stopka1"/>
        <w:numPr>
          <w:ilvl w:val="0"/>
          <w:numId w:val="1"/>
        </w:numPr>
        <w:tabs>
          <w:tab w:val="left" w:pos="720"/>
        </w:tabs>
      </w:pPr>
      <w:r w:rsidRPr="00801ECC">
        <w:t xml:space="preserve">Zasady ochrony i promowania instytucji </w:t>
      </w:r>
      <w:r w:rsidR="00801ECC" w:rsidRPr="00801ECC">
        <w:t>R</w:t>
      </w:r>
      <w:r w:rsidRPr="00801ECC">
        <w:t xml:space="preserve">zecznika </w:t>
      </w:r>
      <w:r w:rsidR="00801ECC" w:rsidRPr="00801ECC">
        <w:t>P</w:t>
      </w:r>
      <w:r w:rsidRPr="00801ECC">
        <w:t xml:space="preserve">raw </w:t>
      </w:r>
      <w:r w:rsidR="00801ECC" w:rsidRPr="00801ECC">
        <w:t>O</w:t>
      </w:r>
      <w:r w:rsidRPr="00801ECC">
        <w:t>bywatelskich (</w:t>
      </w:r>
      <w:r w:rsidR="00801ECC">
        <w:t>„</w:t>
      </w:r>
      <w:r w:rsidRPr="00801ECC">
        <w:t>Zasady Weneckie</w:t>
      </w:r>
      <w:r w:rsidR="00801ECC">
        <w:t>”</w:t>
      </w:r>
      <w:r w:rsidRPr="00801ECC">
        <w:t xml:space="preserve">) przyjęte przez Europejską Komisję na rzecz Demokracji </w:t>
      </w:r>
      <w:r w:rsidR="00801ECC">
        <w:t xml:space="preserve">przez Prawo (Komisja Wenecka) </w:t>
      </w:r>
      <w:r w:rsidRPr="00801ECC">
        <w:t>na 118 sesji plenarnej (Wenecja, 15-16 marca 2019 roku);</w:t>
      </w:r>
    </w:p>
    <w:p w14:paraId="5D8DECE2" w14:textId="30D1E2E8" w:rsidR="009230F5" w:rsidRPr="00B320E7" w:rsidRDefault="00B320E7">
      <w:pPr>
        <w:pStyle w:val="Stopka1"/>
        <w:numPr>
          <w:ilvl w:val="0"/>
          <w:numId w:val="1"/>
        </w:numPr>
        <w:tabs>
          <w:tab w:val="left" w:pos="720"/>
        </w:tabs>
      </w:pPr>
      <w:r w:rsidRPr="00B320E7">
        <w:t xml:space="preserve">Zalecenie nr 2 (zmienione) dotyczące ogólnej </w:t>
      </w:r>
      <w:r w:rsidR="00187F71" w:rsidRPr="00B320E7">
        <w:t xml:space="preserve">polityki </w:t>
      </w:r>
      <w:r w:rsidRPr="00B320E7">
        <w:t xml:space="preserve">Europejskiej </w:t>
      </w:r>
      <w:r w:rsidR="00187F71">
        <w:t>K</w:t>
      </w:r>
      <w:r w:rsidRPr="00B320E7">
        <w:t xml:space="preserve">omisji przeciwko Rasizmowi i Nietolerancji (ECRI) w sprawie organów ds. równości mających na celu zwalczanie rasizmu </w:t>
      </w:r>
      <w:r>
        <w:t>i</w:t>
      </w:r>
      <w:r w:rsidRPr="00B320E7">
        <w:t xml:space="preserve"> </w:t>
      </w:r>
      <w:r>
        <w:t>nietolerancji na poziomie krajowym, przyjęte w dniu 7 grudnia 2017 roku;</w:t>
      </w:r>
    </w:p>
    <w:p w14:paraId="28C57524" w14:textId="4B63CF4B" w:rsidR="009230F5" w:rsidRPr="00187F71" w:rsidRDefault="00187F71">
      <w:pPr>
        <w:pStyle w:val="Stopka1"/>
        <w:numPr>
          <w:ilvl w:val="0"/>
          <w:numId w:val="1"/>
        </w:numPr>
        <w:tabs>
          <w:tab w:val="left" w:pos="720"/>
        </w:tabs>
      </w:pPr>
      <w:r w:rsidRPr="00187F71">
        <w:t xml:space="preserve">Rezolucja Zgromadzenia Ogólnego ONZ nr 48/134 z dnia 20 grudnia 1993 roku </w:t>
      </w:r>
      <w:r w:rsidR="00801ECC">
        <w:t>w sprawie</w:t>
      </w:r>
      <w:r w:rsidRPr="00187F71">
        <w:t xml:space="preserve"> krajo</w:t>
      </w:r>
      <w:r w:rsidR="00801ECC">
        <w:t>wych instytucji zajmujących się</w:t>
      </w:r>
      <w:r w:rsidRPr="00187F71">
        <w:t xml:space="preserve"> promocj</w:t>
      </w:r>
      <w:r w:rsidR="00801ECC">
        <w:t>ą</w:t>
      </w:r>
      <w:r w:rsidRPr="00187F71">
        <w:t xml:space="preserve"> i ochron</w:t>
      </w:r>
      <w:r w:rsidR="00801ECC">
        <w:t>ą</w:t>
      </w:r>
      <w:r w:rsidRPr="00187F71">
        <w:t xml:space="preserve"> praw człowieka (</w:t>
      </w:r>
      <w:r w:rsidR="00801ECC">
        <w:t>„</w:t>
      </w:r>
      <w:r w:rsidRPr="00187F71">
        <w:t>Zasady Paryskie</w:t>
      </w:r>
      <w:r w:rsidR="00801ECC">
        <w:t>”</w:t>
      </w:r>
      <w:r w:rsidRPr="00187F71">
        <w:t>);</w:t>
      </w:r>
    </w:p>
    <w:p w14:paraId="39AB2059" w14:textId="4E27CFEC" w:rsidR="009230F5" w:rsidRPr="00304202" w:rsidRDefault="00304202" w:rsidP="00304202">
      <w:pPr>
        <w:pStyle w:val="Stopka1"/>
        <w:tabs>
          <w:tab w:val="left" w:pos="720"/>
        </w:tabs>
        <w:rPr>
          <w:highlight w:val="yellow"/>
        </w:rPr>
      </w:pPr>
      <w:r>
        <w:t xml:space="preserve">-              </w:t>
      </w:r>
      <w:r w:rsidR="003D1435" w:rsidRPr="00304202">
        <w:t>Rezo</w:t>
      </w:r>
      <w:r w:rsidR="003D1435" w:rsidRPr="003D1435">
        <w:t xml:space="preserve">lucje Zgromadzenia Ogólnego ONZ nr 65/207 z dnia 21 grudnia 2010 roku, nr 67/163 z dnia 20 grudnia 2012 roku, nr 69/168 z dnia 18 grudnia 2014 roku, nr 71/200 z dnia 19 grudnia 2016 roku i nr 72/186 z dnia 19 grudnia 2017 roku </w:t>
      </w:r>
      <w:r>
        <w:t>w sprawie</w:t>
      </w:r>
      <w:r w:rsidR="003D1435" w:rsidRPr="003D1435">
        <w:t xml:space="preserve"> roli </w:t>
      </w:r>
      <w:r>
        <w:t>R</w:t>
      </w:r>
      <w:r w:rsidR="003D1435" w:rsidRPr="003D1435">
        <w:t xml:space="preserve">zecznika </w:t>
      </w:r>
      <w:r>
        <w:t>P</w:t>
      </w:r>
      <w:r w:rsidR="003D1435" w:rsidRPr="003D1435">
        <w:t xml:space="preserve">raw </w:t>
      </w:r>
      <w:r>
        <w:t>O</w:t>
      </w:r>
      <w:r w:rsidR="003D1435" w:rsidRPr="003D1435">
        <w:t xml:space="preserve">bywatelskich, mediatora </w:t>
      </w:r>
      <w:r w:rsidR="003D1435">
        <w:t>i</w:t>
      </w:r>
      <w:r w:rsidR="003D1435" w:rsidRPr="003D1435">
        <w:t xml:space="preserve"> in</w:t>
      </w:r>
      <w:r w:rsidR="003D1435">
        <w:t>n</w:t>
      </w:r>
      <w:r w:rsidR="003D1435" w:rsidRPr="003D1435">
        <w:t>ych</w:t>
      </w:r>
      <w:r w:rsidR="003D1435">
        <w:t xml:space="preserve"> krajowych</w:t>
      </w:r>
      <w:r w:rsidR="003D1435" w:rsidRPr="003D1435">
        <w:t xml:space="preserve"> instytucji </w:t>
      </w:r>
      <w:r w:rsidR="003D1435">
        <w:t xml:space="preserve">zajmujących się </w:t>
      </w:r>
      <w:r w:rsidR="003D1435" w:rsidRPr="003D1435">
        <w:t>praw</w:t>
      </w:r>
      <w:r w:rsidR="003D1435">
        <w:t>ami</w:t>
      </w:r>
      <w:r w:rsidR="003D1435" w:rsidRPr="003D1435">
        <w:t xml:space="preserve"> człowieka </w:t>
      </w:r>
      <w:r w:rsidR="003D1435">
        <w:t>w promowaniu i ochronie praw człowieka;</w:t>
      </w:r>
    </w:p>
    <w:p w14:paraId="7504CA8C" w14:textId="73EC0A91" w:rsidR="009230F5" w:rsidRPr="003D1435" w:rsidRDefault="0005186A">
      <w:pPr>
        <w:pStyle w:val="Stopka1"/>
        <w:numPr>
          <w:ilvl w:val="0"/>
          <w:numId w:val="1"/>
        </w:numPr>
        <w:tabs>
          <w:tab w:val="left" w:pos="706"/>
        </w:tabs>
        <w:spacing w:line="192" w:lineRule="auto"/>
      </w:pPr>
      <w:r>
        <w:t>Przepisy</w:t>
      </w:r>
      <w:r w:rsidR="003D1435" w:rsidRPr="003D1435">
        <w:t xml:space="preserve"> </w:t>
      </w:r>
      <w:r w:rsidR="00304202">
        <w:t xml:space="preserve">wewnętrzne </w:t>
      </w:r>
      <w:r w:rsidR="003D1435">
        <w:t>M</w:t>
      </w:r>
      <w:r w:rsidR="003D1435" w:rsidRPr="003D1435">
        <w:t xml:space="preserve">iędzynarodowego Instytutu </w:t>
      </w:r>
      <w:r w:rsidR="00304202">
        <w:t>Ombudsmana</w:t>
      </w:r>
      <w:r w:rsidR="003D1435" w:rsidRPr="003D1435">
        <w:t xml:space="preserve">, przyjęte w dniu </w:t>
      </w:r>
      <w:r>
        <w:t>13</w:t>
      </w:r>
      <w:r w:rsidR="003D1435" w:rsidRPr="003D1435">
        <w:t xml:space="preserve"> listopada 2012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FE8" w14:textId="77777777" w:rsidR="009230F5" w:rsidRDefault="009454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85C5CDC" wp14:editId="1A6339A4">
              <wp:simplePos x="0" y="0"/>
              <wp:positionH relativeFrom="page">
                <wp:posOffset>737235</wp:posOffset>
              </wp:positionH>
              <wp:positionV relativeFrom="page">
                <wp:posOffset>314325</wp:posOffset>
              </wp:positionV>
              <wp:extent cx="308165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3E535" w14:textId="2D5A0130" w:rsidR="009230F5" w:rsidRDefault="00945451">
                          <w:pPr>
                            <w:pStyle w:val="Nagweklubstopka20"/>
                            <w:tabs>
                              <w:tab w:val="right" w:pos="485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CM/Rec(2019)6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D6C" w:rsidRPr="00B80D6C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C5CDC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58.05pt;margin-top:24.75pt;width:242.65pt;height:8.4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" filled="f" stroked="f">
              <v:textbox style="mso-fit-shape-to-text:t" inset="0,0,0,0">
                <w:txbxContent>
                  <w:p w14:paraId="68F3E535" w14:textId="2D5A0130" w:rsidR="009230F5" w:rsidRDefault="00945451">
                    <w:pPr>
                      <w:pStyle w:val="Nagweklubstopka20"/>
                      <w:tabs>
                        <w:tab w:val="right" w:pos="485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CM/Rec(2019)6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D6C" w:rsidRPr="00B80D6C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2A25" w14:textId="77777777" w:rsidR="009230F5" w:rsidRDefault="009454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BA71A9F" wp14:editId="04B541FF">
              <wp:simplePos x="0" y="0"/>
              <wp:positionH relativeFrom="page">
                <wp:posOffset>3782060</wp:posOffset>
              </wp:positionH>
              <wp:positionV relativeFrom="page">
                <wp:posOffset>314325</wp:posOffset>
              </wp:positionV>
              <wp:extent cx="302641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6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7A764" w14:textId="6697F4B4" w:rsidR="009230F5" w:rsidRDefault="00945451">
                          <w:pPr>
                            <w:pStyle w:val="Nagweklubstopka20"/>
                            <w:tabs>
                              <w:tab w:val="right" w:pos="476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D6C" w:rsidRPr="00B80D6C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ab/>
                            <w:t>CM/Rec(2019)6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71A9F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297.8pt;margin-top:24.75pt;width:238.3pt;height:8.4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" filled="f" stroked="f">
              <v:textbox style="mso-fit-shape-to-text:t" inset="0,0,0,0">
                <w:txbxContent>
                  <w:p w14:paraId="2D27A764" w14:textId="6697F4B4" w:rsidR="009230F5" w:rsidRDefault="00945451">
                    <w:pPr>
                      <w:pStyle w:val="Nagweklubstopka20"/>
                      <w:tabs>
                        <w:tab w:val="right" w:pos="4766"/>
                      </w:tabs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D6C" w:rsidRPr="00B80D6C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ab/>
                      <w:t>CM/Rec(2019)6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F7A" w14:textId="6137481A" w:rsidR="009230F5" w:rsidRDefault="0082199A">
    <w:pPr>
      <w:spacing w:line="1" w:lineRule="exact"/>
    </w:pPr>
    <w:proofErr w:type="spellStart"/>
    <w:r>
      <w:t>Nieo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3BA1"/>
    <w:multiLevelType w:val="multilevel"/>
    <w:tmpl w:val="98F691E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67011"/>
    <w:multiLevelType w:val="multilevel"/>
    <w:tmpl w:val="13F85F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5D696C"/>
    <w:multiLevelType w:val="multilevel"/>
    <w:tmpl w:val="2132C8E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8C6D3F"/>
    <w:multiLevelType w:val="multilevel"/>
    <w:tmpl w:val="B380D5B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43F2D"/>
    <w:multiLevelType w:val="multilevel"/>
    <w:tmpl w:val="D506C1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4701C"/>
    <w:multiLevelType w:val="multilevel"/>
    <w:tmpl w:val="82FEB3D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B85D75"/>
    <w:multiLevelType w:val="multilevel"/>
    <w:tmpl w:val="232A45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004338">
    <w:abstractNumId w:val="1"/>
  </w:num>
  <w:num w:numId="2" w16cid:durableId="1541749935">
    <w:abstractNumId w:val="6"/>
  </w:num>
  <w:num w:numId="3" w16cid:durableId="1069618270">
    <w:abstractNumId w:val="4"/>
  </w:num>
  <w:num w:numId="4" w16cid:durableId="706560895">
    <w:abstractNumId w:val="0"/>
  </w:num>
  <w:num w:numId="5" w16cid:durableId="1610890213">
    <w:abstractNumId w:val="2"/>
  </w:num>
  <w:num w:numId="6" w16cid:durableId="196476936">
    <w:abstractNumId w:val="5"/>
  </w:num>
  <w:num w:numId="7" w16cid:durableId="1867210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0F5"/>
    <w:rsid w:val="00000ABD"/>
    <w:rsid w:val="000127A8"/>
    <w:rsid w:val="00035592"/>
    <w:rsid w:val="0005186A"/>
    <w:rsid w:val="000578D8"/>
    <w:rsid w:val="0009607D"/>
    <w:rsid w:val="000A2D45"/>
    <w:rsid w:val="000C1A30"/>
    <w:rsid w:val="000D664A"/>
    <w:rsid w:val="000D6CD3"/>
    <w:rsid w:val="000E1061"/>
    <w:rsid w:val="000E692F"/>
    <w:rsid w:val="000F0EA2"/>
    <w:rsid w:val="00127C5F"/>
    <w:rsid w:val="00155C3F"/>
    <w:rsid w:val="001635BA"/>
    <w:rsid w:val="00167504"/>
    <w:rsid w:val="00187F71"/>
    <w:rsid w:val="00190A25"/>
    <w:rsid w:val="00193F1E"/>
    <w:rsid w:val="001943EF"/>
    <w:rsid w:val="001A26B1"/>
    <w:rsid w:val="001C4E9E"/>
    <w:rsid w:val="001C68D4"/>
    <w:rsid w:val="001F2BC0"/>
    <w:rsid w:val="00220B7F"/>
    <w:rsid w:val="002214D6"/>
    <w:rsid w:val="00222F02"/>
    <w:rsid w:val="00252E6F"/>
    <w:rsid w:val="002601F2"/>
    <w:rsid w:val="00261610"/>
    <w:rsid w:val="00283EF5"/>
    <w:rsid w:val="00293E86"/>
    <w:rsid w:val="002A14AB"/>
    <w:rsid w:val="002A4783"/>
    <w:rsid w:val="002B0F30"/>
    <w:rsid w:val="002F2F74"/>
    <w:rsid w:val="00301A53"/>
    <w:rsid w:val="00304202"/>
    <w:rsid w:val="00317053"/>
    <w:rsid w:val="003179C6"/>
    <w:rsid w:val="00326B0C"/>
    <w:rsid w:val="00331F80"/>
    <w:rsid w:val="00373A0D"/>
    <w:rsid w:val="003916A2"/>
    <w:rsid w:val="003B30CB"/>
    <w:rsid w:val="003D1435"/>
    <w:rsid w:val="003D33CF"/>
    <w:rsid w:val="003E1E7B"/>
    <w:rsid w:val="00426948"/>
    <w:rsid w:val="004300A7"/>
    <w:rsid w:val="00441045"/>
    <w:rsid w:val="00453920"/>
    <w:rsid w:val="004542A8"/>
    <w:rsid w:val="004556D2"/>
    <w:rsid w:val="00456E72"/>
    <w:rsid w:val="004649D4"/>
    <w:rsid w:val="004B380D"/>
    <w:rsid w:val="004C5ECB"/>
    <w:rsid w:val="004D1E6B"/>
    <w:rsid w:val="004D28A8"/>
    <w:rsid w:val="004E1765"/>
    <w:rsid w:val="004E1CD9"/>
    <w:rsid w:val="004E7828"/>
    <w:rsid w:val="00521B71"/>
    <w:rsid w:val="005276CE"/>
    <w:rsid w:val="005352FE"/>
    <w:rsid w:val="00536292"/>
    <w:rsid w:val="0053756F"/>
    <w:rsid w:val="00553DF8"/>
    <w:rsid w:val="00577FA0"/>
    <w:rsid w:val="00585E79"/>
    <w:rsid w:val="00597BDA"/>
    <w:rsid w:val="005A310E"/>
    <w:rsid w:val="005C412C"/>
    <w:rsid w:val="005D5322"/>
    <w:rsid w:val="005E3B88"/>
    <w:rsid w:val="005F0A96"/>
    <w:rsid w:val="005F0F3D"/>
    <w:rsid w:val="00612CB4"/>
    <w:rsid w:val="00645B2B"/>
    <w:rsid w:val="00672F99"/>
    <w:rsid w:val="00676E68"/>
    <w:rsid w:val="00684361"/>
    <w:rsid w:val="007046CB"/>
    <w:rsid w:val="00712F02"/>
    <w:rsid w:val="0072075F"/>
    <w:rsid w:val="00745F77"/>
    <w:rsid w:val="00752F00"/>
    <w:rsid w:val="00783ED0"/>
    <w:rsid w:val="007B745F"/>
    <w:rsid w:val="007E5F37"/>
    <w:rsid w:val="007F12CF"/>
    <w:rsid w:val="00801ECC"/>
    <w:rsid w:val="008038DD"/>
    <w:rsid w:val="0082199A"/>
    <w:rsid w:val="00865A84"/>
    <w:rsid w:val="00867697"/>
    <w:rsid w:val="0087240B"/>
    <w:rsid w:val="008A348F"/>
    <w:rsid w:val="008C3B44"/>
    <w:rsid w:val="008D757B"/>
    <w:rsid w:val="009230F5"/>
    <w:rsid w:val="00923AFF"/>
    <w:rsid w:val="00923C35"/>
    <w:rsid w:val="00930175"/>
    <w:rsid w:val="00935BB9"/>
    <w:rsid w:val="00945451"/>
    <w:rsid w:val="009C3FCB"/>
    <w:rsid w:val="009F0EB1"/>
    <w:rsid w:val="00A30546"/>
    <w:rsid w:val="00A511E4"/>
    <w:rsid w:val="00A6435C"/>
    <w:rsid w:val="00A64BF4"/>
    <w:rsid w:val="00A66430"/>
    <w:rsid w:val="00A73B2F"/>
    <w:rsid w:val="00A77599"/>
    <w:rsid w:val="00A94008"/>
    <w:rsid w:val="00AA294B"/>
    <w:rsid w:val="00AB373B"/>
    <w:rsid w:val="00AC3225"/>
    <w:rsid w:val="00AD09C3"/>
    <w:rsid w:val="00B11683"/>
    <w:rsid w:val="00B17495"/>
    <w:rsid w:val="00B3036E"/>
    <w:rsid w:val="00B320E7"/>
    <w:rsid w:val="00B33136"/>
    <w:rsid w:val="00B36EFC"/>
    <w:rsid w:val="00B53A65"/>
    <w:rsid w:val="00B774DB"/>
    <w:rsid w:val="00B80D6C"/>
    <w:rsid w:val="00B9079B"/>
    <w:rsid w:val="00B92C8D"/>
    <w:rsid w:val="00B94EA4"/>
    <w:rsid w:val="00B97561"/>
    <w:rsid w:val="00BB71F4"/>
    <w:rsid w:val="00BD6994"/>
    <w:rsid w:val="00BF227B"/>
    <w:rsid w:val="00C15A55"/>
    <w:rsid w:val="00C269B2"/>
    <w:rsid w:val="00C35D23"/>
    <w:rsid w:val="00C850DE"/>
    <w:rsid w:val="00C919D0"/>
    <w:rsid w:val="00CC661C"/>
    <w:rsid w:val="00CC747E"/>
    <w:rsid w:val="00CE2521"/>
    <w:rsid w:val="00D262BF"/>
    <w:rsid w:val="00D534AD"/>
    <w:rsid w:val="00D549A3"/>
    <w:rsid w:val="00D906E0"/>
    <w:rsid w:val="00DC011F"/>
    <w:rsid w:val="00DC0973"/>
    <w:rsid w:val="00DE1E10"/>
    <w:rsid w:val="00DF15C0"/>
    <w:rsid w:val="00E049D4"/>
    <w:rsid w:val="00E17D0A"/>
    <w:rsid w:val="00E3724D"/>
    <w:rsid w:val="00E613AC"/>
    <w:rsid w:val="00E765BE"/>
    <w:rsid w:val="00EA5E12"/>
    <w:rsid w:val="00EF68B3"/>
    <w:rsid w:val="00F10EAF"/>
    <w:rsid w:val="00F22CAF"/>
    <w:rsid w:val="00F25B9F"/>
    <w:rsid w:val="00F33085"/>
    <w:rsid w:val="00F3328F"/>
    <w:rsid w:val="00F373D3"/>
    <w:rsid w:val="00F56554"/>
    <w:rsid w:val="00F60C75"/>
    <w:rsid w:val="00F83856"/>
    <w:rsid w:val="00FA69D3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0ED8"/>
  <w15:docId w15:val="{31FF40A4-B615-4A38-8AFD-5BDE0284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161616"/>
      <w:sz w:val="14"/>
      <w:szCs w:val="14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b/>
      <w:bCs/>
      <w:color w:val="161616"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pacing w:line="233" w:lineRule="auto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jc w:val="center"/>
    </w:pPr>
    <w:rPr>
      <w:rFonts w:ascii="Arial Narrow" w:eastAsia="Arial Narrow" w:hAnsi="Arial Narrow" w:cs="Arial Narrow"/>
      <w:b/>
      <w:bCs/>
    </w:rPr>
  </w:style>
  <w:style w:type="paragraph" w:customStyle="1" w:styleId="Teksttreci50">
    <w:name w:val="Tekst treści (5)"/>
    <w:basedOn w:val="Normalny"/>
    <w:link w:val="Teksttreci5"/>
    <w:rPr>
      <w:rFonts w:ascii="Arial Narrow" w:eastAsia="Arial Narrow" w:hAnsi="Arial Narrow" w:cs="Arial Narrow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220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340"/>
      <w:outlineLvl w:val="1"/>
    </w:pPr>
    <w:rPr>
      <w:rFonts w:ascii="Arial Narrow" w:eastAsia="Arial Narrow" w:hAnsi="Arial Narrow" w:cs="Arial Narrow"/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5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50D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0D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0DE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850D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3C35"/>
    <w:rPr>
      <w:color w:val="954F72" w:themeColor="followedHyperlink"/>
      <w:u w:val="single"/>
    </w:rPr>
  </w:style>
  <w:style w:type="paragraph" w:styleId="Stopka0">
    <w:name w:val="footer"/>
    <w:basedOn w:val="Normalny"/>
    <w:link w:val="StopkaZnak"/>
    <w:uiPriority w:val="99"/>
    <w:unhideWhenUsed/>
    <w:rsid w:val="00821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8219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34CB-2B5E-4FFE-9BFD-FA5E361A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1768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BUI-THI Regine</dc:creator>
  <cp:lastModifiedBy>Suchożebrska Eliza</cp:lastModifiedBy>
  <cp:revision>4</cp:revision>
  <dcterms:created xsi:type="dcterms:W3CDTF">2020-12-17T17:50:00Z</dcterms:created>
  <dcterms:modified xsi:type="dcterms:W3CDTF">2025-09-11T14:47:00Z</dcterms:modified>
</cp:coreProperties>
</file>