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4348B" w14:textId="77777777" w:rsidR="00A63DFF" w:rsidRDefault="00A63DFF" w:rsidP="00A63DFF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58D0A54A" w14:textId="78111CCA" w:rsidR="00A63DFF" w:rsidRPr="002B50C0" w:rsidRDefault="00A63DFF" w:rsidP="00A63DFF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z</w:t>
      </w:r>
      <w:r w:rsidRPr="002B50C0">
        <w:rPr>
          <w:rFonts w:ascii="Arial" w:hAnsi="Arial" w:cs="Arial"/>
          <w:b/>
          <w:color w:val="auto"/>
          <w:sz w:val="24"/>
          <w:szCs w:val="24"/>
        </w:rPr>
        <w:t>a</w:t>
      </w:r>
      <w:r>
        <w:rPr>
          <w:rFonts w:ascii="Arial" w:hAnsi="Arial" w:cs="Arial"/>
          <w:b/>
          <w:color w:val="auto"/>
          <w:sz w:val="24"/>
          <w:szCs w:val="24"/>
        </w:rPr>
        <w:t xml:space="preserve"> I</w:t>
      </w:r>
      <w:r w:rsidR="00584624">
        <w:rPr>
          <w:rFonts w:ascii="Arial" w:hAnsi="Arial" w:cs="Arial"/>
          <w:b/>
          <w:color w:val="auto"/>
          <w:sz w:val="24"/>
          <w:szCs w:val="24"/>
        </w:rPr>
        <w:t>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5761FE32" w14:textId="77777777" w:rsidR="00A63DFF" w:rsidRDefault="00A63DFF" w:rsidP="00A63DFF">
      <w:pPr>
        <w:spacing w:after="360" w:line="240" w:lineRule="auto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>(dane należy wskazać w zakresie odnoszącym się do okresu sprawozdawczego)</w:t>
      </w:r>
    </w:p>
    <w:p w14:paraId="656196BC" w14:textId="77777777" w:rsidR="00A63DFF" w:rsidRPr="002B50C0" w:rsidRDefault="00A63DFF" w:rsidP="00A63DFF">
      <w:pPr>
        <w:spacing w:after="36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A63DFF" w:rsidRPr="002B50C0" w14:paraId="1B6EB5F4" w14:textId="77777777" w:rsidTr="00BC03A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E08A94" w14:textId="77777777" w:rsidR="00A63DFF" w:rsidRPr="008A332F" w:rsidRDefault="00A63DFF" w:rsidP="00BC03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13944" w14:textId="77777777" w:rsidR="00A63DFF" w:rsidRPr="0088524C" w:rsidRDefault="00A63DFF" w:rsidP="00BC03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24C">
              <w:rPr>
                <w:rFonts w:ascii="Arial" w:hAnsi="Arial" w:cs="Arial"/>
                <w:sz w:val="20"/>
                <w:szCs w:val="20"/>
              </w:rPr>
              <w:t>System operacyjnego gromadzenia, udostępniania i promocji cyfrowej informacji satelitarnej o środowisku (Sat4Envi)</w:t>
            </w:r>
          </w:p>
        </w:tc>
      </w:tr>
      <w:tr w:rsidR="00A63DFF" w:rsidRPr="002B50C0" w14:paraId="0343F874" w14:textId="77777777" w:rsidTr="00BC03A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4719BA" w14:textId="77777777" w:rsidR="00A63DFF" w:rsidRPr="008A332F" w:rsidRDefault="00A63DFF" w:rsidP="00BC03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4775D" w14:textId="7048FBCA" w:rsidR="00A63DFF" w:rsidRPr="0088524C" w:rsidRDefault="00A63DFF" w:rsidP="00BC03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8524C">
              <w:rPr>
                <w:rFonts w:ascii="Arial" w:hAnsi="Arial" w:cs="Arial"/>
                <w:sz w:val="20"/>
                <w:szCs w:val="20"/>
              </w:rPr>
              <w:t>Minister Gospodarki Morskiej i Żeglugi Śródlądowej</w:t>
            </w:r>
          </w:p>
        </w:tc>
      </w:tr>
      <w:tr w:rsidR="00A63DFF" w:rsidRPr="0030196F" w14:paraId="020D80BF" w14:textId="77777777" w:rsidTr="00BC03A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9F24D0" w14:textId="77777777" w:rsidR="00A63DFF" w:rsidRPr="00725708" w:rsidRDefault="00A63DFF" w:rsidP="00BC03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1745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8524C">
              <w:rPr>
                <w:rFonts w:ascii="Arial" w:hAnsi="Arial" w:cs="Arial"/>
                <w:sz w:val="20"/>
                <w:szCs w:val="20"/>
              </w:rPr>
              <w:t>Instytut Meteorologii i Gospodarki Wodnej – Państwowy Instytut Badawczy</w:t>
            </w:r>
          </w:p>
        </w:tc>
      </w:tr>
      <w:tr w:rsidR="00A63DFF" w:rsidRPr="002B50C0" w14:paraId="5140E629" w14:textId="77777777" w:rsidTr="00BC03A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0C839" w14:textId="77777777" w:rsidR="00A63DFF" w:rsidRPr="008A332F" w:rsidRDefault="00A63DFF" w:rsidP="00BC03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E0C53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24C">
              <w:rPr>
                <w:rFonts w:ascii="Arial" w:hAnsi="Arial" w:cs="Arial"/>
                <w:sz w:val="20"/>
                <w:szCs w:val="20"/>
              </w:rPr>
              <w:t>Centrum Badań Kosmicznych Polskiej Akademii Nauk</w:t>
            </w:r>
          </w:p>
          <w:p w14:paraId="3A8B9FEC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24C">
              <w:rPr>
                <w:rFonts w:ascii="Arial" w:hAnsi="Arial" w:cs="Arial"/>
                <w:sz w:val="20"/>
                <w:szCs w:val="20"/>
              </w:rPr>
              <w:t>Polska Agencja Kosmiczna</w:t>
            </w:r>
          </w:p>
          <w:p w14:paraId="1982FD6C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88524C">
              <w:rPr>
                <w:rFonts w:ascii="Arial" w:hAnsi="Arial" w:cs="Arial"/>
                <w:sz w:val="20"/>
                <w:szCs w:val="20"/>
              </w:rPr>
              <w:t>Akademickie Centrum Komputerowe CYFRONET AGH</w:t>
            </w:r>
          </w:p>
        </w:tc>
      </w:tr>
      <w:tr w:rsidR="00A63DFF" w:rsidRPr="002B50C0" w14:paraId="04BB7F32" w14:textId="77777777" w:rsidTr="00BC03A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CA8923" w14:textId="77777777" w:rsidR="00A63DFF" w:rsidRPr="008A332F" w:rsidRDefault="00A63DFF" w:rsidP="00BC03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3FDBC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524C">
              <w:rPr>
                <w:rFonts w:ascii="Arial" w:hAnsi="Arial" w:cs="Arial"/>
                <w:bCs/>
                <w:sz w:val="20"/>
                <w:szCs w:val="20"/>
              </w:rPr>
              <w:t xml:space="preserve">Program Operacyjny Polska Cyfrowa </w:t>
            </w:r>
          </w:p>
          <w:p w14:paraId="0DB9D18B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524C">
              <w:rPr>
                <w:rFonts w:ascii="Arial" w:hAnsi="Arial" w:cs="Arial"/>
                <w:bCs/>
                <w:sz w:val="20"/>
                <w:szCs w:val="20"/>
              </w:rPr>
              <w:t>II E-administracja i otwarty rząd</w:t>
            </w:r>
          </w:p>
          <w:p w14:paraId="2CA87679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524C">
              <w:rPr>
                <w:rFonts w:ascii="Arial" w:hAnsi="Arial" w:cs="Arial"/>
                <w:bCs/>
                <w:sz w:val="20"/>
                <w:szCs w:val="20"/>
              </w:rPr>
              <w:t>2.3 Cyfrowa dostępność i użyteczność informacji sektora publicznego</w:t>
            </w:r>
          </w:p>
          <w:p w14:paraId="347D877D" w14:textId="77777777" w:rsidR="00A63DFF" w:rsidRPr="002D7C74" w:rsidRDefault="00A63DFF" w:rsidP="00395B2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524C">
              <w:rPr>
                <w:rFonts w:ascii="Arial" w:hAnsi="Arial" w:cs="Arial"/>
                <w:sz w:val="20"/>
                <w:szCs w:val="20"/>
              </w:rPr>
              <w:t>2.3.1 Cyfrowe udostępnienie informacji sektora publicznego ze źródeł administr</w:t>
            </w:r>
            <w:r w:rsidRPr="002D7C74">
              <w:rPr>
                <w:rFonts w:ascii="Arial" w:hAnsi="Arial" w:cs="Arial"/>
                <w:bCs/>
                <w:sz w:val="20"/>
                <w:szCs w:val="20"/>
              </w:rPr>
              <w:t>acyjnych i zasobów nauki</w:t>
            </w:r>
          </w:p>
          <w:p w14:paraId="55D5C38B" w14:textId="36F6EF7A" w:rsidR="002D7C74" w:rsidRPr="0088524C" w:rsidRDefault="002D7C74" w:rsidP="0039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zakresie </w:t>
            </w:r>
            <w:r w:rsidRPr="00395B26">
              <w:rPr>
                <w:rFonts w:ascii="Arial" w:hAnsi="Arial" w:cs="Arial"/>
                <w:bCs/>
                <w:sz w:val="20"/>
                <w:szCs w:val="20"/>
              </w:rPr>
              <w:t>środków z budżetu państwa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część 27</w:t>
            </w:r>
          </w:p>
        </w:tc>
      </w:tr>
      <w:tr w:rsidR="00A63DFF" w:rsidRPr="002B50C0" w14:paraId="3A941F4B" w14:textId="77777777" w:rsidTr="00BC03A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0B5085" w14:textId="77777777" w:rsidR="00A63DFF" w:rsidRDefault="00A63DFF" w:rsidP="00BC03A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51CD05D" w14:textId="77777777" w:rsidR="00A63DFF" w:rsidRPr="008A332F" w:rsidRDefault="00A63DFF" w:rsidP="00BC03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CC7A7" w14:textId="77777777" w:rsidR="00A63DFF" w:rsidRPr="0088524C" w:rsidRDefault="00A63DFF" w:rsidP="00BC03A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8524C">
              <w:rPr>
                <w:rFonts w:ascii="Arial" w:hAnsi="Arial" w:cs="Arial"/>
                <w:color w:val="000000" w:themeColor="text1"/>
                <w:sz w:val="20"/>
                <w:szCs w:val="20"/>
              </w:rPr>
              <w:t>17 903 900,00 PLN</w:t>
            </w:r>
          </w:p>
        </w:tc>
      </w:tr>
      <w:tr w:rsidR="00A63DFF" w:rsidRPr="002B50C0" w14:paraId="1660CC35" w14:textId="77777777" w:rsidTr="00BC03A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160FA" w14:textId="77777777" w:rsidR="00A63DFF" w:rsidRDefault="00A63DFF" w:rsidP="00BC03A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017243C5" w14:textId="77777777" w:rsidR="00A63DFF" w:rsidRPr="008A332F" w:rsidRDefault="00A63DFF" w:rsidP="00BC03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1CAF4" w14:textId="72E76364" w:rsidR="00A63DFF" w:rsidRPr="0088524C" w:rsidRDefault="00A63DFF" w:rsidP="00A63D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0" w:hanging="19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8524C">
              <w:rPr>
                <w:rFonts w:ascii="Arial" w:hAnsi="Arial" w:cs="Arial"/>
                <w:color w:val="000000" w:themeColor="text1"/>
                <w:sz w:val="20"/>
                <w:szCs w:val="20"/>
              </w:rPr>
              <w:t>2017.12.</w:t>
            </w:r>
            <w:r w:rsidR="00614143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  <w:p w14:paraId="48C3B0C2" w14:textId="77777777" w:rsidR="00A63DFF" w:rsidRPr="0088524C" w:rsidRDefault="00A63DFF" w:rsidP="00A63D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0" w:hanging="19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88524C">
              <w:rPr>
                <w:rFonts w:ascii="Arial" w:hAnsi="Arial" w:cs="Arial"/>
                <w:color w:val="000000" w:themeColor="text1"/>
                <w:sz w:val="20"/>
                <w:szCs w:val="20"/>
              </w:rPr>
              <w:t>2020.11.30</w:t>
            </w:r>
          </w:p>
        </w:tc>
      </w:tr>
    </w:tbl>
    <w:p w14:paraId="1797E37F" w14:textId="77777777" w:rsidR="00A63DFF" w:rsidRPr="00141A92" w:rsidRDefault="00A63DFF" w:rsidP="00A63DFF">
      <w:pPr>
        <w:pStyle w:val="Nagwek2"/>
        <w:numPr>
          <w:ilvl w:val="0"/>
          <w:numId w:val="2"/>
        </w:numPr>
        <w:spacing w:before="360" w:line="240" w:lineRule="auto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 prawne</w:t>
      </w:r>
    </w:p>
    <w:p w14:paraId="31F1FAF3" w14:textId="7ED48AF7" w:rsidR="00A63DFF" w:rsidRPr="0088524C" w:rsidRDefault="00A63DFF" w:rsidP="0073441F">
      <w:pPr>
        <w:pStyle w:val="Nagwek3"/>
        <w:spacing w:after="360" w:line="240" w:lineRule="auto"/>
        <w:ind w:left="284" w:hanging="284"/>
        <w:rPr>
          <w:color w:val="000000" w:themeColor="text1"/>
          <w:sz w:val="20"/>
          <w:szCs w:val="20"/>
        </w:rPr>
      </w:pPr>
      <w:r w:rsidRPr="002B50C0">
        <w:rPr>
          <w:rFonts w:ascii="Arial" w:hAnsi="Arial" w:cs="Arial"/>
        </w:rPr>
        <w:t xml:space="preserve"> </w:t>
      </w:r>
      <w:r w:rsidRPr="002B50C0">
        <w:rPr>
          <w:rFonts w:ascii="Arial" w:hAnsi="Arial" w:cs="Arial"/>
        </w:rPr>
        <w:tab/>
      </w:r>
      <w:r w:rsidRPr="0088524C">
        <w:rPr>
          <w:rFonts w:ascii="Arial" w:hAnsi="Arial" w:cs="Arial"/>
          <w:color w:val="000000" w:themeColor="text1"/>
          <w:sz w:val="20"/>
          <w:szCs w:val="20"/>
        </w:rPr>
        <w:t>Nie dotyczy</w:t>
      </w:r>
    </w:p>
    <w:p w14:paraId="2B350496" w14:textId="77777777" w:rsidR="00A63DFF" w:rsidRPr="00141A92" w:rsidRDefault="00A63DFF" w:rsidP="00A63DFF">
      <w:pPr>
        <w:pStyle w:val="Nagwek2"/>
        <w:numPr>
          <w:ilvl w:val="0"/>
          <w:numId w:val="2"/>
        </w:numPr>
        <w:spacing w:line="240" w:lineRule="auto"/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 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A63DFF" w:rsidRPr="002B50C0" w14:paraId="564C92D8" w14:textId="77777777" w:rsidTr="00BC03AD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BFDACD6" w14:textId="77777777" w:rsidR="00A63DFF" w:rsidRPr="00141A92" w:rsidRDefault="00A63DFF" w:rsidP="00BC03A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3DDC4604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676CABD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A63DFF" w:rsidRPr="00C01ED6" w14:paraId="688847EE" w14:textId="77777777" w:rsidTr="00BC03AD">
        <w:tc>
          <w:tcPr>
            <w:tcW w:w="2972" w:type="dxa"/>
          </w:tcPr>
          <w:p w14:paraId="4535F68E" w14:textId="39F8F05A" w:rsidR="00A63DFF" w:rsidRPr="00C01ED6" w:rsidRDefault="00584624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0" w:type="dxa"/>
          </w:tcPr>
          <w:p w14:paraId="42408EDC" w14:textId="1E298C62" w:rsidR="00A63DFF" w:rsidRPr="00C01ED6" w:rsidRDefault="0016658C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4,6</w:t>
            </w:r>
            <w:r w:rsidR="00BC207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402" w:type="dxa"/>
          </w:tcPr>
          <w:p w14:paraId="41B56FA1" w14:textId="536D96E9" w:rsidR="00A63DFF" w:rsidRPr="00C01ED6" w:rsidRDefault="007645EB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17,8</w:t>
            </w:r>
            <w:r w:rsidR="00A63DFF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FC6C62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</w:tbl>
    <w:p w14:paraId="4F3C6A80" w14:textId="3E2BACA3" w:rsidR="00A63DFF" w:rsidRPr="00FC6C62" w:rsidRDefault="00FC6C62" w:rsidP="00A63DFF">
      <w:pPr>
        <w:pStyle w:val="Nagwek3"/>
        <w:spacing w:after="200" w:line="240" w:lineRule="auto"/>
        <w:rPr>
          <w:rStyle w:val="Nagwek2Znak"/>
          <w:rFonts w:ascii="Arial" w:eastAsiaTheme="minorHAnsi" w:hAnsi="Arial" w:cs="Arial"/>
          <w:i/>
          <w:color w:val="767171" w:themeColor="background2" w:themeShade="80"/>
          <w:sz w:val="18"/>
          <w:szCs w:val="18"/>
        </w:rPr>
      </w:pPr>
      <w:r w:rsidRPr="00FC6C62">
        <w:rPr>
          <w:rStyle w:val="Nagwek2Znak"/>
          <w:rFonts w:ascii="Arial" w:eastAsiaTheme="minorHAnsi" w:hAnsi="Arial" w:cs="Arial"/>
          <w:i/>
          <w:color w:val="767171" w:themeColor="background2" w:themeShade="80"/>
          <w:sz w:val="18"/>
          <w:szCs w:val="18"/>
        </w:rPr>
        <w:t xml:space="preserve">* zmniejszenie wartości środków zaangażowanych względem III kwartału 2018 wynika w szczególności z konieczności zamknięcia postępowania na system odbioru danych satelitarnych bez zawarcia umowy. Ponowne ogłoszenie postępowania jest spodziewane w I kwartale 2019 r., niemniej na koniec 2018 r. środki nań zaplanowane </w:t>
      </w:r>
      <w:r w:rsidR="00227C49">
        <w:rPr>
          <w:rStyle w:val="Nagwek2Znak"/>
          <w:rFonts w:ascii="Arial" w:eastAsiaTheme="minorHAnsi" w:hAnsi="Arial" w:cs="Arial"/>
          <w:i/>
          <w:color w:val="767171" w:themeColor="background2" w:themeShade="80"/>
          <w:sz w:val="18"/>
          <w:szCs w:val="18"/>
        </w:rPr>
        <w:t xml:space="preserve">tymczasowo </w:t>
      </w:r>
      <w:r w:rsidRPr="00FC6C62">
        <w:rPr>
          <w:rStyle w:val="Nagwek2Znak"/>
          <w:rFonts w:ascii="Arial" w:eastAsiaTheme="minorHAnsi" w:hAnsi="Arial" w:cs="Arial"/>
          <w:i/>
          <w:color w:val="767171" w:themeColor="background2" w:themeShade="80"/>
          <w:sz w:val="18"/>
          <w:szCs w:val="18"/>
        </w:rPr>
        <w:t>nie były zaangażowane.</w:t>
      </w:r>
    </w:p>
    <w:p w14:paraId="5BCE7FB3" w14:textId="77777777" w:rsidR="00A63DFF" w:rsidRPr="002B50C0" w:rsidRDefault="00A63DFF" w:rsidP="00A63DFF">
      <w:pPr>
        <w:pStyle w:val="Nagwek3"/>
        <w:numPr>
          <w:ilvl w:val="0"/>
          <w:numId w:val="2"/>
        </w:numPr>
        <w:spacing w:after="200" w:line="240" w:lineRule="auto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</w:rPr>
        <w:t>Postęp rzeczowy</w:t>
      </w:r>
      <w:r w:rsidRPr="00141A92">
        <w:rPr>
          <w:rFonts w:ascii="Arial" w:hAnsi="Arial" w:cs="Arial"/>
          <w:color w:val="auto"/>
        </w:rPr>
        <w:t xml:space="preserve"> </w:t>
      </w:r>
      <w:r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000 znaków&gt;</w:t>
      </w:r>
    </w:p>
    <w:p w14:paraId="1C05CFA5" w14:textId="77777777" w:rsidR="00A63DFF" w:rsidRPr="00141A92" w:rsidRDefault="00A63DFF" w:rsidP="00A63DF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Kamienie milowe."/>
      </w:tblPr>
      <w:tblGrid>
        <w:gridCol w:w="2124"/>
        <w:gridCol w:w="1958"/>
        <w:gridCol w:w="1418"/>
        <w:gridCol w:w="1346"/>
        <w:gridCol w:w="2793"/>
      </w:tblGrid>
      <w:tr w:rsidR="00A63DFF" w:rsidRPr="002B50C0" w14:paraId="1660748A" w14:textId="77777777" w:rsidTr="00BC03AD">
        <w:trPr>
          <w:tblHeader/>
        </w:trPr>
        <w:tc>
          <w:tcPr>
            <w:tcW w:w="2124" w:type="dxa"/>
            <w:shd w:val="clear" w:color="auto" w:fill="D0CECE" w:themeFill="background2" w:themeFillShade="E6"/>
          </w:tcPr>
          <w:p w14:paraId="25FBA9B6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AA6A82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EC4CA55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7E92CED4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793" w:type="dxa"/>
            <w:shd w:val="clear" w:color="auto" w:fill="D0CECE" w:themeFill="background2" w:themeFillShade="E6"/>
          </w:tcPr>
          <w:p w14:paraId="6115A4CF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A63DFF" w:rsidRPr="00C01ED6" w14:paraId="767A3638" w14:textId="77777777" w:rsidTr="00BC03AD">
        <w:tc>
          <w:tcPr>
            <w:tcW w:w="2124" w:type="dxa"/>
          </w:tcPr>
          <w:p w14:paraId="62ABAFAC" w14:textId="1085D084" w:rsidR="00A63DFF" w:rsidRPr="00C01ED6" w:rsidRDefault="00A63DFF" w:rsidP="00BC03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Budowa wieży antenowej wraz z infrastrukturą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4155" w14:textId="075729DB" w:rsidR="00A63DFF" w:rsidRPr="00C01ED6" w:rsidRDefault="00A63DF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A50A3" w14:textId="2E435418" w:rsidR="00A63DFF" w:rsidRPr="00C01ED6" w:rsidRDefault="005F1ADD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346" w:type="dxa"/>
          </w:tcPr>
          <w:p w14:paraId="40F479AC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7DEC8A15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</w:tc>
      </w:tr>
      <w:tr w:rsidR="00A63DFF" w:rsidRPr="00C01ED6" w14:paraId="36A552DB" w14:textId="77777777" w:rsidTr="00BC03AD">
        <w:tc>
          <w:tcPr>
            <w:tcW w:w="2124" w:type="dxa"/>
          </w:tcPr>
          <w:p w14:paraId="497F0671" w14:textId="789D014F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Postępowanie przetargowe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budowę wieży wraz z infrastrukturą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FFE2" w14:textId="2C797E77" w:rsidR="00A63DFF" w:rsidRPr="00C01ED6" w:rsidRDefault="00A63DF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334AFB" w14:textId="67FDE253" w:rsidR="00A63DFF" w:rsidRPr="00C01ED6" w:rsidRDefault="005F1ADD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03-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346" w:type="dxa"/>
          </w:tcPr>
          <w:p w14:paraId="42D05CC5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4E83C66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  <w:p w14:paraId="0E570E16" w14:textId="77777777" w:rsidR="00D422AC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Konieczne jest uzależnienie przygotowania projektu budowlanego na wieżę (1.1) od szczegółowych parametrów technicznych systemu odbioru danych satelitarnych (1.2), zwłaszcza ostatecznej wielkości i wymagań anteny. Wytyczne dostawcy anteny, który musi zostać najpierw wyłoniony w niezależnym postępowaniu, staną się jednym z podstawowych elementów determinujących opis przedmiotu zamówienia dla budowy wieży. </w:t>
            </w:r>
          </w:p>
          <w:p w14:paraId="22DE1679" w14:textId="00C9CDB0" w:rsidR="00A63DFF" w:rsidRDefault="00F15930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III kwartale 2018 r. zawarto umowę</w:t>
            </w:r>
            <w:r w:rsidR="002E49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422AC"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wykonanie  prac projektowych dla budowy masztu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5F69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Realizacja tej umowy musi jednak zostać zawieszona do czasu wyłonienia dostawcy anteny. </w:t>
            </w:r>
          </w:p>
          <w:p w14:paraId="42F5F600" w14:textId="4F772C37" w:rsidR="00614143" w:rsidRDefault="00614143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433">
              <w:rPr>
                <w:rFonts w:ascii="Arial" w:hAnsi="Arial" w:cs="Arial"/>
                <w:color w:val="000000" w:themeColor="text1"/>
                <w:sz w:val="20"/>
                <w:szCs w:val="20"/>
              </w:rPr>
              <w:t>Przewidywany termin wyłonienia wykonawcy na prace związane z budową wieży antenowej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5F69FC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C6C62">
              <w:rPr>
                <w:rFonts w:ascii="Arial" w:hAnsi="Arial" w:cs="Arial"/>
                <w:color w:val="000000" w:themeColor="text1"/>
                <w:sz w:val="20"/>
                <w:szCs w:val="20"/>
              </w:rPr>
              <w:t>II</w:t>
            </w:r>
            <w:r w:rsidR="005F69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kwartał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2019 r.</w:t>
            </w:r>
            <w:r w:rsid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05E8F1F" w14:textId="04781BBE" w:rsidR="00D422AC" w:rsidRPr="00C01ED6" w:rsidRDefault="00D422AC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71654C60" w14:textId="77777777" w:rsidTr="00BC03AD">
        <w:tc>
          <w:tcPr>
            <w:tcW w:w="2124" w:type="dxa"/>
          </w:tcPr>
          <w:p w14:paraId="7F68770B" w14:textId="44FFD4B8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System do odbioru danych Sentinel 1-3 wraz z jego wdrożeniem do pracy operacyjnej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994C" w14:textId="77777777" w:rsidR="00B7690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1, 3, 5, 6, 7</w:t>
            </w:r>
          </w:p>
          <w:p w14:paraId="65ABD8E1" w14:textId="516ADDC3" w:rsidR="00A63DF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możliwości przypisania wartości docelowej wskaźników do kamienia, ich osiągnięcie zależy łącznie od zrealizowania wszystkich kamieni, z którymi są powiązane</w:t>
            </w:r>
          </w:p>
        </w:tc>
        <w:tc>
          <w:tcPr>
            <w:tcW w:w="1418" w:type="dxa"/>
          </w:tcPr>
          <w:p w14:paraId="0CAC218F" w14:textId="0ECD05EB" w:rsidR="00A63DFF" w:rsidRPr="00C01ED6" w:rsidRDefault="005F1ADD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346" w:type="dxa"/>
          </w:tcPr>
          <w:p w14:paraId="42901B0E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2D6AB317" w14:textId="6A68BD31" w:rsidR="00A63DFF" w:rsidRPr="00C01ED6" w:rsidRDefault="00875CF4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lanowany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3DFF" w:rsidRPr="00C01ED6" w14:paraId="225D657E" w14:textId="77777777" w:rsidTr="00BC03AD">
        <w:tc>
          <w:tcPr>
            <w:tcW w:w="2124" w:type="dxa"/>
          </w:tcPr>
          <w:p w14:paraId="562FE29B" w14:textId="25906AFD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Postępowanie przetargowe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dostawę systemu odbioru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252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3F48FE" w14:textId="4F2F032D" w:rsidR="00A63DFF" w:rsidRPr="00C01ED6" w:rsidRDefault="005F1ADD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03-</w:t>
            </w:r>
            <w:r w:rsidR="00A63DFF" w:rsidRPr="00C01E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46" w:type="dxa"/>
          </w:tcPr>
          <w:p w14:paraId="3AE033D5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46313A1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trakcie realizacji </w:t>
            </w:r>
          </w:p>
          <w:p w14:paraId="612A57AB" w14:textId="67241E9E" w:rsidR="00A63DFF" w:rsidRDefault="00F15930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0722838" w14:textId="4C085951" w:rsidR="00F15930" w:rsidRPr="00F15930" w:rsidRDefault="00490920" w:rsidP="00F159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wrześniu 2018 r. dokonano wyboru oferty najkorzystniejszej w postępowaniu i przystąpiono do czynności mających na celu zawarcie umowy. </w:t>
            </w:r>
            <w:r w:rsidR="00F15930" w:rsidRP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dniu 1 listopada 2018 r. Wykonawca: Kongsberg Spacetec AS, poinformował Zamawiającego o braku możliwości podpisania umowy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15930" w:rsidRP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oświadczył, iż powyższa decyzja podyktowana jest w szczególności brakiem możliwości zmiany zapisów Wzoru umowy. </w:t>
            </w:r>
          </w:p>
          <w:p w14:paraId="267DB1CE" w14:textId="261AB793" w:rsidR="00F15930" w:rsidRPr="00F15930" w:rsidRDefault="00F15930" w:rsidP="00F159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>Tymczasem, zaproponowane przez Wykonawcę zmiany nie mie</w:t>
            </w:r>
            <w:r w:rsidR="00490920">
              <w:rPr>
                <w:rFonts w:ascii="Arial" w:hAnsi="Arial" w:cs="Arial"/>
                <w:color w:val="000000" w:themeColor="text1"/>
                <w:sz w:val="20"/>
                <w:szCs w:val="20"/>
              </w:rPr>
              <w:t>ściły</w:t>
            </w:r>
            <w:r w:rsidRP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się w zakresie odpowiadającym treści Specyfikacji Istotnych Warunków Zamówienia. </w:t>
            </w:r>
          </w:p>
          <w:p w14:paraId="6332791E" w14:textId="00885484" w:rsidR="00F15930" w:rsidRPr="00490920" w:rsidRDefault="00F15930" w:rsidP="00F15930">
            <w:pPr>
              <w:rPr>
                <w:sz w:val="20"/>
                <w:szCs w:val="20"/>
              </w:rPr>
            </w:pPr>
            <w:r w:rsidRP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związku z uchyleniem się przez Wykonawcę od podpisania umowy, Zamawiający </w:t>
            </w:r>
            <w:r w:rsidR="00490920">
              <w:rPr>
                <w:rFonts w:ascii="Arial" w:hAnsi="Arial" w:cs="Arial"/>
                <w:color w:val="000000" w:themeColor="text1"/>
                <w:sz w:val="20"/>
                <w:szCs w:val="20"/>
              </w:rPr>
              <w:t>w dniu 6.12.2018 z</w:t>
            </w:r>
            <w:r w:rsidRP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>awiadomi</w:t>
            </w:r>
            <w:r w:rsidR="00490920"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F159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zakończeniu postępowania o udzielenie zamówienia publicznego bez zawarcia umowy</w:t>
            </w:r>
            <w:r w:rsidR="00490920">
              <w:rPr>
                <w:rFonts w:ascii="Arial" w:hAnsi="Arial" w:cs="Arial"/>
                <w:color w:val="000000" w:themeColor="text1"/>
                <w:sz w:val="20"/>
                <w:szCs w:val="20"/>
              </w:rPr>
              <w:t>. W chwili obecnej trwają prace związane z ponownym ogłoszeniem postępowania, co jest spodziewane w I kwartale 2019 r.</w:t>
            </w:r>
          </w:p>
        </w:tc>
      </w:tr>
      <w:tr w:rsidR="00A63DFF" w:rsidRPr="00C01ED6" w14:paraId="2F887368" w14:textId="77777777" w:rsidTr="00BC03AD">
        <w:tc>
          <w:tcPr>
            <w:tcW w:w="2124" w:type="dxa"/>
          </w:tcPr>
          <w:p w14:paraId="73C75B95" w14:textId="13A0C0B5" w:rsidR="00A63DFF" w:rsidRPr="00C01ED6" w:rsidRDefault="00A63DFF" w:rsidP="00BC03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Utworzenie archiwum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F357" w14:textId="77777777" w:rsidR="00B7690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1, 3, 5, 6, 7</w:t>
            </w:r>
          </w:p>
          <w:p w14:paraId="42114F40" w14:textId="5FB50DBF" w:rsidR="00A63DF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możliwości przypisania wartości docelowej wskaźników do kamienia, ich osiągnięcie zależy łącznie od zrealizowania wszystkich kamieni, z którymi są powiązane</w:t>
            </w:r>
          </w:p>
        </w:tc>
        <w:tc>
          <w:tcPr>
            <w:tcW w:w="1418" w:type="dxa"/>
          </w:tcPr>
          <w:p w14:paraId="2D1A2849" w14:textId="6FB77FF8" w:rsidR="00A63DFF" w:rsidRPr="00C01ED6" w:rsidRDefault="005F1ADD" w:rsidP="00BC03AD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02-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5F8850C9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7B06C089" w14:textId="77777777" w:rsidR="00A63DFF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  <w:p w14:paraId="0B9007D0" w14:textId="64E60134" w:rsidR="00875CF4" w:rsidRPr="00C01ED6" w:rsidRDefault="00875CF4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1B43347F" w14:textId="77777777" w:rsidTr="00BC03AD">
        <w:tc>
          <w:tcPr>
            <w:tcW w:w="2124" w:type="dxa"/>
          </w:tcPr>
          <w:p w14:paraId="661BA348" w14:textId="2C26C886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Zarządzanie bezpieczeństwem informacji i ciągłością działania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E61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AEA72C" w14:textId="5847DF40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02-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154FF9E9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3833189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</w:tc>
      </w:tr>
      <w:tr w:rsidR="00A63DFF" w:rsidRPr="00C01ED6" w14:paraId="1892596E" w14:textId="77777777" w:rsidTr="00BC03AD">
        <w:tc>
          <w:tcPr>
            <w:tcW w:w="2124" w:type="dxa"/>
          </w:tcPr>
          <w:p w14:paraId="7C41A53B" w14:textId="66E78A9A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Postępowanie przetargowe dla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zarządzania bezpieczeństwem informacji i ciągłością działania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B20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F5CE04" w14:textId="584C7CC8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02-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346" w:type="dxa"/>
          </w:tcPr>
          <w:p w14:paraId="69ED60D1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52A82B4F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</w:tc>
      </w:tr>
      <w:tr w:rsidR="00A63DFF" w:rsidRPr="00C01ED6" w14:paraId="35C0EC7F" w14:textId="77777777" w:rsidTr="00BC03AD">
        <w:tc>
          <w:tcPr>
            <w:tcW w:w="2124" w:type="dxa"/>
          </w:tcPr>
          <w:p w14:paraId="44D2F3B4" w14:textId="1F439F03" w:rsidR="00A63DFF" w:rsidRPr="00C01ED6" w:rsidRDefault="00A63DFF" w:rsidP="00BC03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Utworzenie stacjonarnego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1D73" w14:textId="0B98B08D" w:rsidR="00A63DFF" w:rsidRPr="00C01ED6" w:rsidRDefault="00A63DF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62B58B" w14:textId="095BD907" w:rsidR="00A63DFF" w:rsidRPr="00C01ED6" w:rsidRDefault="005F1ADD" w:rsidP="00BC03AD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43DB7D92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566D2F6A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</w:tc>
      </w:tr>
      <w:tr w:rsidR="00A63DFF" w:rsidRPr="00C01ED6" w14:paraId="3FE49405" w14:textId="77777777" w:rsidTr="00BC03AD">
        <w:tc>
          <w:tcPr>
            <w:tcW w:w="2124" w:type="dxa"/>
          </w:tcPr>
          <w:p w14:paraId="453D88B2" w14:textId="0037FD34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Postępowanie przetargowe na roboty budowlane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potrzeby stacjonarnego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F638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3FAF38" w14:textId="23A1A940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04-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46" w:type="dxa"/>
          </w:tcPr>
          <w:p w14:paraId="1831A7E6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3519ACB1" w14:textId="77777777" w:rsidR="00A63DFF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trakcie realizacji </w:t>
            </w:r>
          </w:p>
          <w:p w14:paraId="59E36347" w14:textId="4E5CA372" w:rsidR="008C1091" w:rsidRDefault="00D422AC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22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Zgodnie z harmonogramem stanowiącym załącznik do wniosku o dofinansowanie projektu Beneficjent zamierzał przeprowadzić postępowanie przetargowe na prace budowlane dla centrum w okresie 2 stycznia – 30 kwietnia 2018 r. Plany te były podejmowane w oparciu o założenie zlecenia w ramach jednej umowy prac projektowych i budowlanych. Po przeprowadzeniu analizy tej kwestii Beneficjent ocenił jednak, że bardziej korzystne z perspektywy zachowania bezpośredniego wpływu na zakres prac,  przejrzystości działań, uniezależnienia się od trudnych do przewidzenia okoliczności wewnętrznego konfliktu interesów w sytuacji łączenia realizacji obu tych etapów przez jednego wykonawcę, a przede wszystkim możliwości precyzyjnego opisu przedmiotu zamówienia i wyceny ofert przez Wykonawców, pożądane jest rozbicie zadania na dwa zamówienia: jednego dedykowanego wykonaniu projektów i uzyskaniu dlań niezbędnych prawem pozwoleń, drugiego – stricte budowlanego. W związku z tym w pierwszej kolejności przeprowadzono postępowanie w celu wyłonienia Wykonawcy projektu. </w:t>
            </w:r>
          </w:p>
          <w:p w14:paraId="4402F101" w14:textId="481FF1DA" w:rsidR="00D422AC" w:rsidRPr="00C01ED6" w:rsidRDefault="00D422AC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22AC">
              <w:rPr>
                <w:rFonts w:ascii="Arial" w:hAnsi="Arial" w:cs="Arial"/>
                <w:color w:val="000000" w:themeColor="text1"/>
                <w:sz w:val="20"/>
                <w:szCs w:val="20"/>
              </w:rPr>
              <w:t>Umowę z Wykonawcą projektu podpisano 15.05.2018.</w:t>
            </w:r>
            <w:r w:rsidR="00875C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35E4">
              <w:rPr>
                <w:rFonts w:ascii="Arial" w:hAnsi="Arial" w:cs="Arial"/>
                <w:color w:val="000000" w:themeColor="text1"/>
                <w:sz w:val="20"/>
                <w:szCs w:val="20"/>
              </w:rPr>
              <w:t>W II i III kwartale 2018 r. o</w:t>
            </w:r>
            <w:r w:rsidR="00875C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pracowano projekt koncepcyjny, uzyskano decyzję o braku konieczności </w:t>
            </w:r>
            <w:r w:rsidR="007305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wydawania Warunków Zabudowy dla inwestycji, co skróci proces inwestycyjny, złożono wniosek o pozwolenie na budowę. </w:t>
            </w:r>
            <w:r w:rsidR="008C1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listopadzie 2018 r. na wniosek </w:t>
            </w:r>
            <w:r w:rsidR="00CD35E4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8C1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ykonawcy projektu budowlanego postępowanie urzędowe zostało zawieszone. Beneficjent </w:t>
            </w:r>
            <w:r w:rsidR="00CD35E4">
              <w:rPr>
                <w:rFonts w:ascii="Arial" w:hAnsi="Arial" w:cs="Arial"/>
                <w:color w:val="000000" w:themeColor="text1"/>
                <w:sz w:val="20"/>
                <w:szCs w:val="20"/>
              </w:rPr>
              <w:t>podejmuje kroki w celu</w:t>
            </w:r>
            <w:r w:rsidR="008C1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ustal</w:t>
            </w:r>
            <w:r w:rsidR="00CD35E4">
              <w:rPr>
                <w:rFonts w:ascii="Arial" w:hAnsi="Arial" w:cs="Arial"/>
                <w:color w:val="000000" w:themeColor="text1"/>
                <w:sz w:val="20"/>
                <w:szCs w:val="20"/>
              </w:rPr>
              <w:t>enia faktycznego</w:t>
            </w:r>
            <w:r w:rsidR="008C1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stanu </w:t>
            </w:r>
            <w:r w:rsidR="00CD35E4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realizacji tej części prac przez ich Wykonawcę i w zależności od wyniku podejmie stosowne działania.</w:t>
            </w:r>
            <w:r w:rsidR="008C1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3DFF" w:rsidRPr="00C01ED6" w14:paraId="28436062" w14:textId="77777777" w:rsidTr="00BC03AD">
        <w:tc>
          <w:tcPr>
            <w:tcW w:w="2124" w:type="dxa"/>
          </w:tcPr>
          <w:p w14:paraId="3F0F69CB" w14:textId="40477CD1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Roboty budowlane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potrzeby stacjonarnego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72C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F12012" w14:textId="0C8E225F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09-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346" w:type="dxa"/>
          </w:tcPr>
          <w:p w14:paraId="3A6810BB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4556A6A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</w:tc>
      </w:tr>
      <w:tr w:rsidR="00A63DFF" w:rsidRPr="00C01ED6" w14:paraId="1FE6121B" w14:textId="77777777" w:rsidTr="00BC03AD">
        <w:tc>
          <w:tcPr>
            <w:tcW w:w="2124" w:type="dxa"/>
          </w:tcPr>
          <w:p w14:paraId="3BD546AD" w14:textId="118C4268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Postępowanie przetargowe na wyposażenie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potrzeby stacjonarnego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21BC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EBD654" w14:textId="43C958C0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01-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346" w:type="dxa"/>
          </w:tcPr>
          <w:p w14:paraId="758A34B9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09ADFFD9" w14:textId="4CF5A518" w:rsidR="00A63DFF" w:rsidRDefault="00CD35E4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63DFF"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lanowany</w:t>
            </w:r>
          </w:p>
          <w:p w14:paraId="52158D99" w14:textId="631C05B0" w:rsidR="00CD35E4" w:rsidRPr="00C01ED6" w:rsidRDefault="00CD35E4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68DDF73E" w14:textId="77777777" w:rsidTr="00BC03AD">
        <w:tc>
          <w:tcPr>
            <w:tcW w:w="2124" w:type="dxa"/>
          </w:tcPr>
          <w:p w14:paraId="58516262" w14:textId="4CDC5983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Dostawa i instalacja aparatury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potrzeby stacjonarnego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3BDE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5D8D91" w14:textId="1E5E871B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346" w:type="dxa"/>
          </w:tcPr>
          <w:p w14:paraId="350CA5F4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414756E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</w:tc>
      </w:tr>
      <w:tr w:rsidR="00A63DFF" w:rsidRPr="00C01ED6" w14:paraId="47C96F30" w14:textId="77777777" w:rsidTr="00BC03AD">
        <w:tc>
          <w:tcPr>
            <w:tcW w:w="2124" w:type="dxa"/>
          </w:tcPr>
          <w:p w14:paraId="2662F41F" w14:textId="3C62C63D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Zorganizowanie mobilnego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00A2" w14:textId="0DBA36E7" w:rsidR="00A63DFF" w:rsidRPr="00C01ED6" w:rsidRDefault="00A63DF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F1299B" w14:textId="2B71E9FB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08-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5BD60895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3D141DD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</w:tc>
      </w:tr>
      <w:tr w:rsidR="00A63DFF" w:rsidRPr="00C01ED6" w14:paraId="0CCB6FAE" w14:textId="77777777" w:rsidTr="00BC03AD">
        <w:tc>
          <w:tcPr>
            <w:tcW w:w="2124" w:type="dxa"/>
          </w:tcPr>
          <w:p w14:paraId="15BB531D" w14:textId="4C2A0D7C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Postępowani</w:t>
            </w:r>
            <w:r w:rsidR="00CD35E4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przetargowe na wyposażenie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potrzeby mobilnego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4EBC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895BE9" w14:textId="2EB2BCCC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05-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46" w:type="dxa"/>
          </w:tcPr>
          <w:p w14:paraId="4197DCC6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32D8DCF0" w14:textId="77777777" w:rsidR="00A63DFF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  <w:p w14:paraId="66CDE395" w14:textId="77777777" w:rsidR="00620701" w:rsidRPr="00C42668" w:rsidRDefault="00620701" w:rsidP="006207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668">
              <w:rPr>
                <w:rFonts w:ascii="Arial" w:hAnsi="Arial" w:cs="Arial"/>
                <w:color w:val="000000" w:themeColor="text1"/>
                <w:sz w:val="20"/>
                <w:szCs w:val="20"/>
              </w:rPr>
              <w:t>Pierwsze postępowanie przetargowe na dostawę wyposażenia  w zad. 3.2 zostało zakończone w założonym terminie do 31.05.2018.</w:t>
            </w:r>
          </w:p>
          <w:p w14:paraId="03A0BAED" w14:textId="77777777" w:rsidR="00620701" w:rsidRPr="00C42668" w:rsidRDefault="00620701" w:rsidP="006207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2FC9DF" w14:textId="77777777" w:rsidR="00620701" w:rsidRPr="00C42668" w:rsidRDefault="00620701" w:rsidP="006207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668">
              <w:rPr>
                <w:rFonts w:ascii="Arial" w:hAnsi="Arial" w:cs="Arial"/>
                <w:color w:val="000000" w:themeColor="text1"/>
                <w:sz w:val="20"/>
                <w:szCs w:val="20"/>
              </w:rPr>
              <w:t>Z uwagi na charakter dokonywanych zakupów oraz potrzebę efektywnego dostosowania pożądanego wyposażenia do potrzeb i zadań MCS, pozostałe postępowania przetargowe zaplanowano na kolejne etapy realizacji projektu.</w:t>
            </w:r>
          </w:p>
          <w:p w14:paraId="6C605D8E" w14:textId="77777777" w:rsidR="00620701" w:rsidRPr="00C42668" w:rsidRDefault="00620701" w:rsidP="006207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EFDF12" w14:textId="77777777" w:rsidR="00C42668" w:rsidRDefault="00C42668" w:rsidP="006207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Aktualnie spodziewany termin pełnego osiągnięcia kamienia (wszystkich przewidywanych postępowań) to</w:t>
            </w:r>
            <w:r w:rsidR="002F49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III kwartał </w:t>
            </w:r>
            <w:r w:rsidR="00065E73">
              <w:rPr>
                <w:rFonts w:ascii="Arial" w:hAnsi="Arial" w:cs="Arial"/>
                <w:color w:val="000000" w:themeColor="text1"/>
                <w:sz w:val="20"/>
                <w:szCs w:val="20"/>
              </w:rPr>
              <w:t>2019.</w:t>
            </w:r>
          </w:p>
          <w:p w14:paraId="79FD7DAE" w14:textId="064D96A6" w:rsidR="000E0A55" w:rsidRPr="00C01ED6" w:rsidRDefault="000E0A55" w:rsidP="006207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0A55">
              <w:rPr>
                <w:rFonts w:ascii="Arial" w:hAnsi="Arial" w:cs="Arial"/>
                <w:color w:val="000000" w:themeColor="text1"/>
                <w:sz w:val="20"/>
                <w:szCs w:val="20"/>
              </w:rPr>
              <w:t>W minionym okresie sprawozdawczym uzgodniono z CPPC zmianę terminu realizacji kamienia na 30.09.2019, trwają działania związane z zawarciem stosownego aneksu do umowy o dofinansowanie.</w:t>
            </w:r>
          </w:p>
        </w:tc>
      </w:tr>
      <w:tr w:rsidR="00A63DFF" w:rsidRPr="00C01ED6" w14:paraId="6878F73E" w14:textId="77777777" w:rsidTr="00BC03AD">
        <w:tc>
          <w:tcPr>
            <w:tcW w:w="2124" w:type="dxa"/>
          </w:tcPr>
          <w:p w14:paraId="7388163D" w14:textId="78582790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Dostawa i konfiguracja wyposażenia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na potrzeby mobilnego centrum analizowania i opracowywania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0C8F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50A117" w14:textId="2F2948D2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08-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4040D2B6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11E0646A" w14:textId="78652D0B" w:rsidR="00A63DFF" w:rsidRPr="00C01ED6" w:rsidRDefault="00620701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</w:tc>
      </w:tr>
      <w:tr w:rsidR="00A63DFF" w:rsidRPr="00C01ED6" w14:paraId="17037D32" w14:textId="77777777" w:rsidTr="00BC03AD">
        <w:tc>
          <w:tcPr>
            <w:tcW w:w="2124" w:type="dxa"/>
          </w:tcPr>
          <w:p w14:paraId="03B20355" w14:textId="68F2ADFB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Opracowanie i przeprowadzenie programu szkoleniowego dla użytkowników statutowych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8661" w14:textId="13914FA2" w:rsidR="00A63DFF" w:rsidRPr="00C01ED6" w:rsidRDefault="00A63DF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CE2169" w14:textId="5DDB5AE2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03E4A1C0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751DE5BD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</w:tc>
      </w:tr>
      <w:tr w:rsidR="00A63DFF" w:rsidRPr="00C01ED6" w14:paraId="2C53BE0E" w14:textId="77777777" w:rsidTr="00BC03AD">
        <w:tc>
          <w:tcPr>
            <w:tcW w:w="2124" w:type="dxa"/>
          </w:tcPr>
          <w:p w14:paraId="267428BC" w14:textId="0A3F821D" w:rsidR="00A63DFF" w:rsidRPr="00C01ED6" w:rsidRDefault="00A63DFF" w:rsidP="00BC03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Wyposażenie centrum udostępniania informacji naukowej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71AA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545788" w14:textId="433A6B97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08-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346" w:type="dxa"/>
          </w:tcPr>
          <w:p w14:paraId="7CAECEE6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59444D3B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</w:tc>
      </w:tr>
      <w:tr w:rsidR="00A63DFF" w:rsidRPr="00C01ED6" w14:paraId="261BB1DC" w14:textId="77777777" w:rsidTr="00BC03AD">
        <w:tc>
          <w:tcPr>
            <w:tcW w:w="2124" w:type="dxa"/>
          </w:tcPr>
          <w:p w14:paraId="23AEEEF6" w14:textId="416F3873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Postępowanie przetargowe na zakup wyposażenia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dla centrum udostępniania informacji naukowej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1EF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3AF480" w14:textId="333E5161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08-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346" w:type="dxa"/>
          </w:tcPr>
          <w:p w14:paraId="4BC29543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6AE4085E" w14:textId="77777777" w:rsidR="00A63DFF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  <w:p w14:paraId="02E4FF1D" w14:textId="2D86A487" w:rsidR="00C42668" w:rsidRPr="00C01ED6" w:rsidRDefault="007C101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hd w:val="clear" w:color="auto" w:fill="FFFFFF"/>
              </w:rPr>
              <w:t>O</w:t>
            </w:r>
            <w:r w:rsidR="00C42668">
              <w:rPr>
                <w:rFonts w:cstheme="minorHAnsi"/>
                <w:shd w:val="clear" w:color="auto" w:fill="FFFFFF"/>
              </w:rPr>
              <w:t>głoszenia postępowania przetargowego</w:t>
            </w:r>
            <w:r w:rsidR="00CD35E4">
              <w:rPr>
                <w:rFonts w:cstheme="minorHAnsi"/>
                <w:shd w:val="clear" w:color="auto" w:fill="FFFFFF"/>
              </w:rPr>
              <w:t xml:space="preserve"> spodziewane w I kwartale 2019 r</w:t>
            </w:r>
            <w:r w:rsidR="00C42668">
              <w:rPr>
                <w:rFonts w:cstheme="minorHAnsi"/>
                <w:shd w:val="clear" w:color="auto" w:fill="FFFFFF"/>
              </w:rPr>
              <w:t>. Zauważyć natomiast należy, że d</w:t>
            </w:r>
            <w:r w:rsidR="00C42668" w:rsidRPr="00C5359D">
              <w:rPr>
                <w:rFonts w:cstheme="minorHAnsi"/>
                <w:shd w:val="clear" w:color="auto" w:fill="FFFFFF"/>
              </w:rPr>
              <w:t>at</w:t>
            </w:r>
            <w:r w:rsidR="00C42668">
              <w:rPr>
                <w:rFonts w:cstheme="minorHAnsi"/>
                <w:shd w:val="clear" w:color="auto" w:fill="FFFFFF"/>
              </w:rPr>
              <w:t>a</w:t>
            </w:r>
            <w:r w:rsidR="00C42668" w:rsidRPr="00C5359D">
              <w:rPr>
                <w:rFonts w:cstheme="minorHAnsi"/>
                <w:shd w:val="clear" w:color="auto" w:fill="FFFFFF"/>
              </w:rPr>
              <w:t xml:space="preserve"> osiągnięcia kamienia milowego został</w:t>
            </w:r>
            <w:r w:rsidR="00C42668">
              <w:rPr>
                <w:rFonts w:cstheme="minorHAnsi"/>
                <w:shd w:val="clear" w:color="auto" w:fill="FFFFFF"/>
              </w:rPr>
              <w:t>a pierwotnie</w:t>
            </w:r>
            <w:r w:rsidR="00C42668" w:rsidRPr="00C5359D">
              <w:rPr>
                <w:rFonts w:cstheme="minorHAnsi"/>
                <w:shd w:val="clear" w:color="auto" w:fill="FFFFFF"/>
              </w:rPr>
              <w:t xml:space="preserve"> zaplanowan</w:t>
            </w:r>
            <w:r w:rsidR="00C42668">
              <w:rPr>
                <w:rFonts w:cstheme="minorHAnsi"/>
                <w:shd w:val="clear" w:color="auto" w:fill="FFFFFF"/>
              </w:rPr>
              <w:t>a</w:t>
            </w:r>
            <w:r w:rsidR="00C42668" w:rsidRPr="00C5359D">
              <w:rPr>
                <w:rFonts w:cstheme="minorHAnsi"/>
                <w:shd w:val="clear" w:color="auto" w:fill="FFFFFF"/>
              </w:rPr>
              <w:t xml:space="preserve"> ze zdecydowanie nadmiernym wyprzedzeniem względem oczekiwanych dostaw, co w przypadku zamówień informatycznych warto redukować.</w:t>
            </w:r>
            <w:r w:rsidR="00C42668">
              <w:rPr>
                <w:rFonts w:cstheme="minorHAnsi"/>
                <w:shd w:val="clear" w:color="auto" w:fill="FFFFFF"/>
              </w:rPr>
              <w:t xml:space="preserve"> </w:t>
            </w:r>
            <w:r w:rsidR="00D52FF9">
              <w:rPr>
                <w:rFonts w:cstheme="minorHAnsi"/>
                <w:shd w:val="clear" w:color="auto" w:fill="FFFFFF"/>
              </w:rPr>
              <w:t>T</w:t>
            </w:r>
            <w:r w:rsidR="00C42668">
              <w:rPr>
                <w:rFonts w:cstheme="minorHAnsi"/>
                <w:shd w:val="clear" w:color="auto" w:fill="FFFFFF"/>
              </w:rPr>
              <w:t>ermin osiągnięcia kamienia milowego kończącego etap („</w:t>
            </w:r>
            <w:r w:rsidR="00C42668" w:rsidRPr="00C5359D">
              <w:rPr>
                <w:rFonts w:cstheme="minorHAnsi"/>
                <w:shd w:val="clear" w:color="auto" w:fill="FFFFFF"/>
              </w:rPr>
              <w:t xml:space="preserve">Dostawa i instalacja wyposażenia </w:t>
            </w:r>
            <w:r w:rsidR="00D52FF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dla centrum udostępniania informacji naukowej</w:t>
            </w:r>
            <w:r w:rsidR="00C42668">
              <w:rPr>
                <w:rFonts w:cstheme="minorHAnsi"/>
                <w:shd w:val="clear" w:color="auto" w:fill="FFFFFF"/>
              </w:rPr>
              <w:t>”) nie jest obecnie zagrożony.</w:t>
            </w:r>
          </w:p>
        </w:tc>
      </w:tr>
      <w:tr w:rsidR="00A63DFF" w:rsidRPr="00C01ED6" w14:paraId="6B3F5BB0" w14:textId="77777777" w:rsidTr="00BC03AD">
        <w:tc>
          <w:tcPr>
            <w:tcW w:w="2124" w:type="dxa"/>
          </w:tcPr>
          <w:p w14:paraId="0F8312DA" w14:textId="2B7F665C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Dostawa i instalacja wyposażenia </w:t>
            </w:r>
            <w:r w:rsidR="00CC1F9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dla centrum udostępniania informacji naukowej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FC1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B15EAA" w14:textId="2162AC1B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08-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346" w:type="dxa"/>
          </w:tcPr>
          <w:p w14:paraId="4489599A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643F4B7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Planowany</w:t>
            </w:r>
          </w:p>
        </w:tc>
      </w:tr>
      <w:tr w:rsidR="00A63DFF" w:rsidRPr="00C01ED6" w14:paraId="3B44488D" w14:textId="77777777" w:rsidTr="00BC03AD">
        <w:tc>
          <w:tcPr>
            <w:tcW w:w="2124" w:type="dxa"/>
          </w:tcPr>
          <w:p w14:paraId="78AD5D01" w14:textId="5186ABB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System obsługi klienta – hurtownia danych satelitarnych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DF2F" w14:textId="77777777" w:rsidR="00B7690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6, 7</w:t>
            </w:r>
          </w:p>
          <w:p w14:paraId="48B9DEC6" w14:textId="77777777" w:rsidR="00B7690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możliwości przypisania wartości docelowej wskaźników do kamienia, ich osiągnięcie zależy łącznie od zrealizowania wszystkich kamieni, z którymi są powiązane</w:t>
            </w:r>
          </w:p>
          <w:p w14:paraId="1DA41D76" w14:textId="77777777" w:rsidR="00B7690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D5E920" w14:textId="3C0AEEF1" w:rsidR="00A63DFF" w:rsidRPr="00C01ED6" w:rsidRDefault="00B7690F" w:rsidP="00B769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8:1 500 szt.</w:t>
            </w:r>
          </w:p>
        </w:tc>
        <w:tc>
          <w:tcPr>
            <w:tcW w:w="1418" w:type="dxa"/>
          </w:tcPr>
          <w:p w14:paraId="025D2A8C" w14:textId="61715236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4B35FFFF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71AAA9E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</w:tc>
      </w:tr>
      <w:tr w:rsidR="00A63DFF" w:rsidRPr="00C01ED6" w14:paraId="17400DBA" w14:textId="77777777" w:rsidTr="00BC03AD">
        <w:tc>
          <w:tcPr>
            <w:tcW w:w="2124" w:type="dxa"/>
          </w:tcPr>
          <w:p w14:paraId="6DACCD93" w14:textId="30D553E8" w:rsidR="00A63DFF" w:rsidRPr="00C01ED6" w:rsidRDefault="00A63DFF" w:rsidP="00BC03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Opracowanie studium wykonalności projektu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6B5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BD30C9" w14:textId="536BC99E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346" w:type="dxa"/>
          </w:tcPr>
          <w:p w14:paraId="7A055C7E" w14:textId="692290BB" w:rsidR="00A63DFF" w:rsidRPr="00C01ED6" w:rsidRDefault="005F1ADD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793" w:type="dxa"/>
          </w:tcPr>
          <w:p w14:paraId="3ABA46EF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Osiągnięty</w:t>
            </w:r>
          </w:p>
        </w:tc>
      </w:tr>
      <w:tr w:rsidR="00A63DFF" w:rsidRPr="00C01ED6" w14:paraId="1B9BFA4D" w14:textId="77777777" w:rsidTr="00BC03AD">
        <w:tc>
          <w:tcPr>
            <w:tcW w:w="2124" w:type="dxa"/>
          </w:tcPr>
          <w:p w14:paraId="0F5B5651" w14:textId="0300C14E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Zarządzanie realizacją projektu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085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4AC951" w14:textId="6E174A12" w:rsidR="00A63DFF" w:rsidRPr="00C01ED6" w:rsidRDefault="005F1ADD" w:rsidP="00BC03A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11-</w:t>
            </w:r>
            <w:r w:rsidR="00A63DFF"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46" w:type="dxa"/>
          </w:tcPr>
          <w:p w14:paraId="781A039C" w14:textId="77777777" w:rsidR="00A63DFF" w:rsidRPr="00C01ED6" w:rsidRDefault="00A63DFF" w:rsidP="00BC03AD">
            <w:pPr>
              <w:pStyle w:val="Akapitzlist"/>
              <w:ind w:left="7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</w:tcPr>
          <w:p w14:paraId="19097A0D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W trakcie realizacji</w:t>
            </w:r>
          </w:p>
        </w:tc>
      </w:tr>
    </w:tbl>
    <w:p w14:paraId="398A3070" w14:textId="77777777" w:rsidR="00A63DFF" w:rsidRPr="00141A92" w:rsidRDefault="00A63DFF" w:rsidP="00A63DFF">
      <w:pPr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A63DFF" w:rsidRPr="002B50C0" w14:paraId="31167A95" w14:textId="77777777" w:rsidTr="00BC03AD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057106D7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5C202AE3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591A3CED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EA0309B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2758259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A63DFF" w:rsidRPr="00C01ED6" w14:paraId="45F993EC" w14:textId="77777777" w:rsidTr="00BC03AD">
        <w:tc>
          <w:tcPr>
            <w:tcW w:w="2545" w:type="dxa"/>
          </w:tcPr>
          <w:p w14:paraId="247CD0B1" w14:textId="77777777" w:rsidR="00A63DFF" w:rsidRPr="00C01ED6" w:rsidRDefault="00A63DFF" w:rsidP="00BC03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podmiotów, które udostępniły on-line informacje sektora</w:t>
            </w:r>
          </w:p>
          <w:p w14:paraId="635EE20D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>publicznego</w:t>
            </w:r>
          </w:p>
        </w:tc>
        <w:tc>
          <w:tcPr>
            <w:tcW w:w="1278" w:type="dxa"/>
          </w:tcPr>
          <w:p w14:paraId="4A12FF1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55CFE9B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445262F" w14:textId="19936D09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0BD6AEB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3DFF" w:rsidRPr="00C01ED6" w14:paraId="68C5DB3B" w14:textId="77777777" w:rsidTr="00BC03AD">
        <w:tc>
          <w:tcPr>
            <w:tcW w:w="2545" w:type="dxa"/>
          </w:tcPr>
          <w:p w14:paraId="12AC9EBA" w14:textId="77777777" w:rsidR="00A63DFF" w:rsidRPr="00C01ED6" w:rsidRDefault="00A63DFF" w:rsidP="00BC03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zdigitalizowanych dokumentów zawierających informacje</w:t>
            </w:r>
          </w:p>
          <w:p w14:paraId="0351FED2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 xml:space="preserve">sektora publicznego </w:t>
            </w:r>
          </w:p>
        </w:tc>
        <w:tc>
          <w:tcPr>
            <w:tcW w:w="1278" w:type="dxa"/>
          </w:tcPr>
          <w:p w14:paraId="7BA9691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2D30CCE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430AF87" w14:textId="4608ADC1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1ACA951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3DFF" w:rsidRPr="00C01ED6" w14:paraId="1DA77A0C" w14:textId="77777777" w:rsidTr="00BC03AD">
        <w:tc>
          <w:tcPr>
            <w:tcW w:w="2545" w:type="dxa"/>
          </w:tcPr>
          <w:p w14:paraId="097864C4" w14:textId="77777777" w:rsidR="00A63DFF" w:rsidRPr="00C01ED6" w:rsidRDefault="00A63DFF" w:rsidP="00BC03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udostępnionych on-line dokumentów zawierających</w:t>
            </w:r>
          </w:p>
          <w:p w14:paraId="6ABE701E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 xml:space="preserve">informacje sektora publicznego </w:t>
            </w:r>
          </w:p>
        </w:tc>
        <w:tc>
          <w:tcPr>
            <w:tcW w:w="1278" w:type="dxa"/>
          </w:tcPr>
          <w:p w14:paraId="26E0229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7F9BBFB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26 000 000</w:t>
            </w:r>
          </w:p>
        </w:tc>
        <w:tc>
          <w:tcPr>
            <w:tcW w:w="1701" w:type="dxa"/>
          </w:tcPr>
          <w:p w14:paraId="1516A68D" w14:textId="24D9E02B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2100256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3DFF" w:rsidRPr="00C01ED6" w14:paraId="2C5C9453" w14:textId="77777777" w:rsidTr="00BC03AD">
        <w:tc>
          <w:tcPr>
            <w:tcW w:w="2545" w:type="dxa"/>
          </w:tcPr>
          <w:p w14:paraId="3D01D67B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 xml:space="preserve">Liczba utworzonych API </w:t>
            </w:r>
          </w:p>
        </w:tc>
        <w:tc>
          <w:tcPr>
            <w:tcW w:w="1278" w:type="dxa"/>
          </w:tcPr>
          <w:p w14:paraId="0A8E086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05E4F11F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B02F15A" w14:textId="3338B324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7AF1E14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3DFF" w:rsidRPr="00C01ED6" w14:paraId="05417B5C" w14:textId="77777777" w:rsidTr="00BC03AD">
        <w:tc>
          <w:tcPr>
            <w:tcW w:w="2545" w:type="dxa"/>
          </w:tcPr>
          <w:p w14:paraId="76B2EFB8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 xml:space="preserve">Liczba baz danych udostępnionych on-line poprzez API </w:t>
            </w:r>
          </w:p>
        </w:tc>
        <w:tc>
          <w:tcPr>
            <w:tcW w:w="1278" w:type="dxa"/>
          </w:tcPr>
          <w:p w14:paraId="49A34F3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1921F3A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468C1F62" w14:textId="45D2C400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089CDFC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3DFF" w:rsidRPr="00C01ED6" w14:paraId="750F4754" w14:textId="77777777" w:rsidTr="00BC03AD">
        <w:tc>
          <w:tcPr>
            <w:tcW w:w="2545" w:type="dxa"/>
          </w:tcPr>
          <w:p w14:paraId="3C263663" w14:textId="77777777" w:rsidR="00A63DFF" w:rsidRPr="00C01ED6" w:rsidRDefault="00A63DFF" w:rsidP="00BC03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pobrań/odtworzeń dokumentów zawierających informacje</w:t>
            </w:r>
          </w:p>
          <w:p w14:paraId="21015620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 xml:space="preserve">sektora publicznego </w:t>
            </w:r>
          </w:p>
        </w:tc>
        <w:tc>
          <w:tcPr>
            <w:tcW w:w="1278" w:type="dxa"/>
          </w:tcPr>
          <w:p w14:paraId="4B51BB2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1985A37B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3 000 000</w:t>
            </w:r>
          </w:p>
        </w:tc>
        <w:tc>
          <w:tcPr>
            <w:tcW w:w="1701" w:type="dxa"/>
          </w:tcPr>
          <w:p w14:paraId="36DD7722" w14:textId="01BC1195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2268" w:type="dxa"/>
          </w:tcPr>
          <w:p w14:paraId="693017D5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3DFF" w:rsidRPr="00C01ED6" w14:paraId="39E27E57" w14:textId="77777777" w:rsidTr="00BC03AD">
        <w:tc>
          <w:tcPr>
            <w:tcW w:w="2545" w:type="dxa"/>
          </w:tcPr>
          <w:p w14:paraId="66305281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 xml:space="preserve">Rozmiar udostępnionych on-line informacji sektora publicznego </w:t>
            </w:r>
          </w:p>
        </w:tc>
        <w:tc>
          <w:tcPr>
            <w:tcW w:w="1278" w:type="dxa"/>
          </w:tcPr>
          <w:p w14:paraId="66DA1BC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TB</w:t>
            </w:r>
          </w:p>
        </w:tc>
        <w:tc>
          <w:tcPr>
            <w:tcW w:w="1842" w:type="dxa"/>
          </w:tcPr>
          <w:p w14:paraId="5868268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14:paraId="2E9B4B09" w14:textId="0C6623C6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169A560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3DFF" w:rsidRPr="00C01ED6" w14:paraId="73DEBF68" w14:textId="77777777" w:rsidTr="00BC03AD">
        <w:tc>
          <w:tcPr>
            <w:tcW w:w="2545" w:type="dxa"/>
          </w:tcPr>
          <w:p w14:paraId="4115B3DC" w14:textId="77777777" w:rsidR="00A63DFF" w:rsidRPr="00C01ED6" w:rsidRDefault="00A63DFF" w:rsidP="00BC03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Liczba wygenerowanych kluczy API </w:t>
            </w:r>
          </w:p>
        </w:tc>
        <w:tc>
          <w:tcPr>
            <w:tcW w:w="1278" w:type="dxa"/>
          </w:tcPr>
          <w:p w14:paraId="78A1DA1B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7439402E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1 500</w:t>
            </w:r>
          </w:p>
        </w:tc>
        <w:tc>
          <w:tcPr>
            <w:tcW w:w="1701" w:type="dxa"/>
          </w:tcPr>
          <w:p w14:paraId="53602703" w14:textId="04C5E3E8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F1ADD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2268" w:type="dxa"/>
          </w:tcPr>
          <w:p w14:paraId="2AC5732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4361F3BD" w14:textId="77777777" w:rsidR="00A63DFF" w:rsidRPr="002B50C0" w:rsidRDefault="00A63DFF" w:rsidP="00A63DFF">
      <w:pPr>
        <w:pStyle w:val="Nagwek2"/>
        <w:numPr>
          <w:ilvl w:val="0"/>
          <w:numId w:val="2"/>
        </w:numPr>
        <w:spacing w:before="360" w:after="120" w:line="240" w:lineRule="auto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E-usługi 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Pr="00141A92">
        <w:rPr>
          <w:rFonts w:ascii="Arial" w:hAnsi="Arial" w:cs="Arial"/>
          <w:sz w:val="20"/>
          <w:szCs w:val="20"/>
        </w:rPr>
        <w:t>&lt;</w:t>
      </w:r>
      <w:r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797"/>
        <w:gridCol w:w="1261"/>
        <w:gridCol w:w="1395"/>
        <w:gridCol w:w="4181"/>
      </w:tblGrid>
      <w:tr w:rsidR="00A63DFF" w:rsidRPr="002B50C0" w14:paraId="23DB1239" w14:textId="77777777" w:rsidTr="0073441F">
        <w:trPr>
          <w:tblHeader/>
        </w:trPr>
        <w:tc>
          <w:tcPr>
            <w:tcW w:w="2797" w:type="dxa"/>
            <w:shd w:val="clear" w:color="auto" w:fill="D0CECE" w:themeFill="background2" w:themeFillShade="E6"/>
            <w:vAlign w:val="center"/>
          </w:tcPr>
          <w:p w14:paraId="1FD07659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1B590243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14:paraId="40B87438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181" w:type="dxa"/>
            <w:shd w:val="clear" w:color="auto" w:fill="D0CECE" w:themeFill="background2" w:themeFillShade="E6"/>
            <w:vAlign w:val="center"/>
          </w:tcPr>
          <w:p w14:paraId="7F4F64CD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A63DFF" w:rsidRPr="00C01ED6" w14:paraId="2B106956" w14:textId="77777777" w:rsidTr="0073441F">
        <w:tc>
          <w:tcPr>
            <w:tcW w:w="2797" w:type="dxa"/>
          </w:tcPr>
          <w:p w14:paraId="7E5BEAEC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1261" w:type="dxa"/>
          </w:tcPr>
          <w:p w14:paraId="27504C15" w14:textId="77777777" w:rsidR="00A63DFF" w:rsidRPr="00C01ED6" w:rsidRDefault="00A63DFF" w:rsidP="00BC03AD">
            <w:pPr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</w:tcPr>
          <w:p w14:paraId="4E838E48" w14:textId="77777777" w:rsidR="00A63DFF" w:rsidRPr="00C01ED6" w:rsidRDefault="00A63DFF" w:rsidP="00BC03AD">
            <w:pPr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181" w:type="dxa"/>
          </w:tcPr>
          <w:p w14:paraId="27F6330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A5E142" w14:textId="77777777" w:rsidR="00A63DFF" w:rsidRPr="002B50C0" w:rsidRDefault="00A63DFF" w:rsidP="00A63DFF">
      <w:pPr>
        <w:pStyle w:val="Nagwek2"/>
        <w:numPr>
          <w:ilvl w:val="0"/>
          <w:numId w:val="2"/>
        </w:numPr>
        <w:spacing w:before="360" w:line="240" w:lineRule="auto"/>
        <w:ind w:left="284" w:hanging="284"/>
        <w:rPr>
          <w:rStyle w:val="Nagwek3Znak"/>
          <w:rFonts w:ascii="Arial" w:eastAsiaTheme="minorHAnsi" w:hAnsi="Arial" w:cs="Arial"/>
          <w:b/>
          <w:color w:val="0070C0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zdigitalizowane zasoby 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69"/>
        <w:gridCol w:w="1261"/>
        <w:gridCol w:w="1395"/>
        <w:gridCol w:w="4009"/>
      </w:tblGrid>
      <w:tr w:rsidR="00A63DFF" w:rsidRPr="002B50C0" w14:paraId="2ED6CE7A" w14:textId="77777777" w:rsidTr="0073441F">
        <w:trPr>
          <w:tblHeader/>
        </w:trPr>
        <w:tc>
          <w:tcPr>
            <w:tcW w:w="2969" w:type="dxa"/>
            <w:shd w:val="clear" w:color="auto" w:fill="D0CECE" w:themeFill="background2" w:themeFillShade="E6"/>
            <w:vAlign w:val="center"/>
          </w:tcPr>
          <w:p w14:paraId="09BF72BA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10A10391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14:paraId="0C129BC9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009" w:type="dxa"/>
            <w:shd w:val="clear" w:color="auto" w:fill="D0CECE" w:themeFill="background2" w:themeFillShade="E6"/>
            <w:vAlign w:val="center"/>
          </w:tcPr>
          <w:p w14:paraId="40EF13C9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A63DFF" w:rsidRPr="00C01ED6" w14:paraId="4F0647F5" w14:textId="77777777" w:rsidTr="0073441F">
        <w:tc>
          <w:tcPr>
            <w:tcW w:w="2969" w:type="dxa"/>
          </w:tcPr>
          <w:p w14:paraId="5EA7B3BF" w14:textId="77777777" w:rsidR="00A63DFF" w:rsidRPr="00C01ED6" w:rsidRDefault="00A63DFF" w:rsidP="00BC03A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Meteosat</w:t>
            </w:r>
          </w:p>
        </w:tc>
        <w:tc>
          <w:tcPr>
            <w:tcW w:w="1261" w:type="dxa"/>
          </w:tcPr>
          <w:p w14:paraId="62A79C0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531972C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125481DA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365E76E6" w14:textId="77777777" w:rsidTr="0073441F">
        <w:tc>
          <w:tcPr>
            <w:tcW w:w="2969" w:type="dxa"/>
          </w:tcPr>
          <w:p w14:paraId="3F0371F2" w14:textId="77777777" w:rsidR="00A63DFF" w:rsidRPr="00C01ED6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NOAA/Metop</w:t>
            </w:r>
          </w:p>
        </w:tc>
        <w:tc>
          <w:tcPr>
            <w:tcW w:w="1261" w:type="dxa"/>
          </w:tcPr>
          <w:p w14:paraId="023738FE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1B92273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50F732A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0283096A" w14:textId="77777777" w:rsidTr="0073441F">
        <w:tc>
          <w:tcPr>
            <w:tcW w:w="2969" w:type="dxa"/>
          </w:tcPr>
          <w:p w14:paraId="61042DAB" w14:textId="77777777" w:rsidR="00A63DFF" w:rsidRPr="00C01ED6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Terra/Aqua</w:t>
            </w:r>
          </w:p>
        </w:tc>
        <w:tc>
          <w:tcPr>
            <w:tcW w:w="1261" w:type="dxa"/>
          </w:tcPr>
          <w:p w14:paraId="7858EA5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0622D0B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00ACDC1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7A094BE4" w14:textId="77777777" w:rsidTr="0073441F">
        <w:tc>
          <w:tcPr>
            <w:tcW w:w="2969" w:type="dxa"/>
          </w:tcPr>
          <w:p w14:paraId="780CD271" w14:textId="77777777" w:rsidR="00A63DFF" w:rsidRPr="00C01ED6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Suomi NPP</w:t>
            </w:r>
          </w:p>
        </w:tc>
        <w:tc>
          <w:tcPr>
            <w:tcW w:w="1261" w:type="dxa"/>
          </w:tcPr>
          <w:p w14:paraId="1EF2217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49FA8675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2B05012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077561F8" w14:textId="77777777" w:rsidTr="0073441F">
        <w:tc>
          <w:tcPr>
            <w:tcW w:w="2969" w:type="dxa"/>
          </w:tcPr>
          <w:p w14:paraId="51B1622A" w14:textId="77777777" w:rsidR="00A63DFF" w:rsidRPr="00C01ED6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Sentinel -1</w:t>
            </w:r>
          </w:p>
        </w:tc>
        <w:tc>
          <w:tcPr>
            <w:tcW w:w="1261" w:type="dxa"/>
          </w:tcPr>
          <w:p w14:paraId="1D0FB44F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7E85066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50527C3F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09050B2B" w14:textId="77777777" w:rsidTr="0073441F">
        <w:tc>
          <w:tcPr>
            <w:tcW w:w="2969" w:type="dxa"/>
          </w:tcPr>
          <w:p w14:paraId="3D3C1BD8" w14:textId="77777777" w:rsidR="00A63DFF" w:rsidRPr="00C01ED6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Sentinel -2</w:t>
            </w:r>
          </w:p>
        </w:tc>
        <w:tc>
          <w:tcPr>
            <w:tcW w:w="1261" w:type="dxa"/>
          </w:tcPr>
          <w:p w14:paraId="4605028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493E3BA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738323E5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399C920C" w14:textId="77777777" w:rsidTr="0073441F">
        <w:tc>
          <w:tcPr>
            <w:tcW w:w="2969" w:type="dxa"/>
          </w:tcPr>
          <w:p w14:paraId="218A3795" w14:textId="77777777" w:rsidR="00A63DFF" w:rsidRPr="00C01ED6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Sentinel -3</w:t>
            </w:r>
          </w:p>
        </w:tc>
        <w:tc>
          <w:tcPr>
            <w:tcW w:w="1261" w:type="dxa"/>
          </w:tcPr>
          <w:p w14:paraId="4E83032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131BE51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302FECCF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300F787E" w14:textId="77777777" w:rsidTr="0073441F">
        <w:tc>
          <w:tcPr>
            <w:tcW w:w="2969" w:type="dxa"/>
          </w:tcPr>
          <w:p w14:paraId="469BAFD3" w14:textId="77777777" w:rsidR="00A63DFF" w:rsidRPr="00C01ED6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i produkty z innych satelitów (nie objęte bazami wymienionymi powyżej, a dostępne poprzez system EUMETCast)</w:t>
            </w:r>
          </w:p>
        </w:tc>
        <w:tc>
          <w:tcPr>
            <w:tcW w:w="1261" w:type="dxa"/>
          </w:tcPr>
          <w:p w14:paraId="5DB506D8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04D47A78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666AF395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68BAE111" w14:textId="77777777" w:rsidTr="0073441F">
        <w:tc>
          <w:tcPr>
            <w:tcW w:w="2969" w:type="dxa"/>
          </w:tcPr>
          <w:p w14:paraId="5C8E39B0" w14:textId="77777777" w:rsidR="00A63DFF" w:rsidRPr="00563A50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</w:t>
            </w:r>
            <w:r w:rsidRPr="00563A50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digitalizowan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</w:t>
            </w:r>
            <w:r w:rsidRPr="00563A50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dokument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y</w:t>
            </w:r>
            <w:r w:rsidRPr="00563A50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zawierając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</w:t>
            </w:r>
            <w:r w:rsidRPr="00563A50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informacje</w:t>
            </w:r>
          </w:p>
          <w:p w14:paraId="5747EC74" w14:textId="77777777" w:rsidR="00A63DFF" w:rsidRPr="00563A50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563A50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sektora publicznego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: </w:t>
            </w:r>
          </w:p>
          <w:p w14:paraId="7D46FDF8" w14:textId="77777777" w:rsidR="00A63DFF" w:rsidRPr="00563A50" w:rsidRDefault="00A63DFF" w:rsidP="00BC03AD">
            <w:pPr>
              <w:pStyle w:val="HTML-wstpniesformatowany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Wojewódzkie plany zarządzania kryzysowego</w:t>
            </w:r>
          </w:p>
        </w:tc>
        <w:tc>
          <w:tcPr>
            <w:tcW w:w="1261" w:type="dxa"/>
          </w:tcPr>
          <w:p w14:paraId="278A1F8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395" w:type="dxa"/>
          </w:tcPr>
          <w:p w14:paraId="78E7A75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</w:tcPr>
          <w:p w14:paraId="6A0BFB7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4592509" w14:textId="77777777" w:rsidR="00A63DFF" w:rsidRPr="00F25348" w:rsidRDefault="00A63DFF" w:rsidP="00A63DFF">
      <w:pPr>
        <w:pStyle w:val="Nagwek3"/>
        <w:numPr>
          <w:ilvl w:val="0"/>
          <w:numId w:val="2"/>
        </w:numPr>
        <w:spacing w:before="36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</w:rPr>
        <w:t xml:space="preserve"> (inne niż wskazane w pkt 4 i 5)</w:t>
      </w:r>
      <w:r w:rsidRPr="00141A92">
        <w:rPr>
          <w:rFonts w:ascii="Arial" w:hAnsi="Arial" w:cs="Arial"/>
          <w:color w:val="auto"/>
        </w:rPr>
        <w:t xml:space="preserve"> </w:t>
      </w:r>
      <w:r w:rsidRPr="00F25348">
        <w:rPr>
          <w:rFonts w:ascii="Arial" w:hAnsi="Arial" w:cs="Arial"/>
          <w:color w:val="767171" w:themeColor="background2" w:themeShade="80"/>
          <w:sz w:val="18"/>
          <w:szCs w:val="18"/>
        </w:rPr>
        <w:t>&lt;maksymalnie 2000 znaków&gt;</w:t>
      </w:r>
      <w:r w:rsidRPr="00F25348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A63DFF" w:rsidRPr="002B50C0" w14:paraId="413EF7CF" w14:textId="77777777" w:rsidTr="00BC03AD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4AEEBEA2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4142A10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49E8027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5FA737ED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Komplementarność względem produktów innych projektów </w:t>
            </w:r>
          </w:p>
          <w:p w14:paraId="2D195E2F" w14:textId="77777777" w:rsidR="00A63DFF" w:rsidRPr="00141A92" w:rsidRDefault="00A63DFF" w:rsidP="00BC03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3DFF" w:rsidRPr="00C01ED6" w14:paraId="562AE94C" w14:textId="77777777" w:rsidTr="00BC03AD">
        <w:tc>
          <w:tcPr>
            <w:tcW w:w="2547" w:type="dxa"/>
          </w:tcPr>
          <w:p w14:paraId="616EB44C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Stacja odbioru i przetwarzania danych Sentinel</w:t>
            </w:r>
          </w:p>
        </w:tc>
        <w:tc>
          <w:tcPr>
            <w:tcW w:w="1701" w:type="dxa"/>
          </w:tcPr>
          <w:p w14:paraId="6F07A0EC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843" w:type="dxa"/>
          </w:tcPr>
          <w:p w14:paraId="12B56B5C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54E4520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1095CD52" w14:textId="77777777" w:rsidTr="00BC03AD">
        <w:tc>
          <w:tcPr>
            <w:tcW w:w="2547" w:type="dxa"/>
          </w:tcPr>
          <w:p w14:paraId="4744E8E4" w14:textId="77777777" w:rsidR="00A63DFF" w:rsidRPr="00C01ED6" w:rsidRDefault="00A63DFF" w:rsidP="00BC03A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Archiwum</w:t>
            </w:r>
          </w:p>
        </w:tc>
        <w:tc>
          <w:tcPr>
            <w:tcW w:w="1701" w:type="dxa"/>
          </w:tcPr>
          <w:p w14:paraId="39A75C5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843" w:type="dxa"/>
          </w:tcPr>
          <w:p w14:paraId="648DD2C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2FDB714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193CDFB7" w14:textId="77777777" w:rsidTr="00BC03AD">
        <w:tc>
          <w:tcPr>
            <w:tcW w:w="2547" w:type="dxa"/>
          </w:tcPr>
          <w:p w14:paraId="5DF2876C" w14:textId="77777777" w:rsidR="00A63DFF" w:rsidRPr="00C01ED6" w:rsidRDefault="00A63DFF" w:rsidP="00BC03A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Stacjonarne centrum analizowania i opracowywania danych satelitarnych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wraz z modułami do e-learningu</w:t>
            </w:r>
          </w:p>
        </w:tc>
        <w:tc>
          <w:tcPr>
            <w:tcW w:w="1701" w:type="dxa"/>
          </w:tcPr>
          <w:p w14:paraId="3C4222C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843" w:type="dxa"/>
          </w:tcPr>
          <w:p w14:paraId="503C553A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359E695D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03445CC1" w14:textId="77777777" w:rsidTr="00BC03AD">
        <w:tc>
          <w:tcPr>
            <w:tcW w:w="2547" w:type="dxa"/>
          </w:tcPr>
          <w:p w14:paraId="4F5F3B88" w14:textId="77777777" w:rsidR="00A63DFF" w:rsidRPr="00C01ED6" w:rsidRDefault="00A63DFF" w:rsidP="00BC03A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System wideo-konferencyjny</w:t>
            </w:r>
          </w:p>
        </w:tc>
        <w:tc>
          <w:tcPr>
            <w:tcW w:w="1701" w:type="dxa"/>
          </w:tcPr>
          <w:p w14:paraId="137BB84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08-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843" w:type="dxa"/>
          </w:tcPr>
          <w:p w14:paraId="0C588C6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3C0E14E5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61A9D6AC" w14:textId="77777777" w:rsidTr="00BC03AD">
        <w:tc>
          <w:tcPr>
            <w:tcW w:w="2547" w:type="dxa"/>
          </w:tcPr>
          <w:p w14:paraId="70A6F722" w14:textId="77777777" w:rsidR="00A63DFF" w:rsidRPr="00C01ED6" w:rsidRDefault="00A63DFF" w:rsidP="00BC03A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Mobilne centrum analizowania i opracowywania danych satelitarnych</w:t>
            </w:r>
          </w:p>
        </w:tc>
        <w:tc>
          <w:tcPr>
            <w:tcW w:w="1701" w:type="dxa"/>
          </w:tcPr>
          <w:p w14:paraId="5063B4D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08-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843" w:type="dxa"/>
          </w:tcPr>
          <w:p w14:paraId="1C1D4C49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2B045E7E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74BAB6C0" w14:textId="77777777" w:rsidTr="00BC03AD">
        <w:tc>
          <w:tcPr>
            <w:tcW w:w="2547" w:type="dxa"/>
          </w:tcPr>
          <w:p w14:paraId="4B9D689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Mobilny zespół wsparcia</w:t>
            </w:r>
          </w:p>
        </w:tc>
        <w:tc>
          <w:tcPr>
            <w:tcW w:w="1701" w:type="dxa"/>
          </w:tcPr>
          <w:p w14:paraId="70C2361B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09-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843" w:type="dxa"/>
          </w:tcPr>
          <w:p w14:paraId="65A28E1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2830D72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7ADDE8D8" w14:textId="77777777" w:rsidTr="00BC03AD">
        <w:tc>
          <w:tcPr>
            <w:tcW w:w="2547" w:type="dxa"/>
          </w:tcPr>
          <w:p w14:paraId="3A01DDCF" w14:textId="77777777" w:rsidR="00A63DFF" w:rsidRPr="00C01ED6" w:rsidRDefault="00A63DFF" w:rsidP="00BC03A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 szkoleniowy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dla </w:t>
            </w:r>
            <w:r w:rsidRPr="00666894">
              <w:rPr>
                <w:rFonts w:ascii="Arial" w:hAnsi="Arial" w:cs="Arial"/>
                <w:color w:val="000000" w:themeColor="text1"/>
                <w:sz w:val="20"/>
                <w:szCs w:val="20"/>
              </w:rPr>
              <w:t>użytkowników statutowych z obszaru zarządzania kryzysowego i ratownictwa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wsparcie 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użytkowników w zamawianiu, korzystaniu i interpretacji dostarczanych danych na potrzeby użytkowników, ze szczególnym uwzględnieniem sfery zarządzania kryzysowego i ratownictwa w ramach platformy </w:t>
            </w:r>
            <w:r w:rsidRPr="00C01E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Systemu Obsługi Klienta</w:t>
            </w:r>
          </w:p>
        </w:tc>
        <w:tc>
          <w:tcPr>
            <w:tcW w:w="1701" w:type="dxa"/>
          </w:tcPr>
          <w:p w14:paraId="74A723FD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843" w:type="dxa"/>
          </w:tcPr>
          <w:p w14:paraId="4B1CA04A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243E08A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562139D5" w14:textId="77777777" w:rsidTr="00BC03AD">
        <w:tc>
          <w:tcPr>
            <w:tcW w:w="2547" w:type="dxa"/>
          </w:tcPr>
          <w:p w14:paraId="2E3A96F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rogramy edukacyjno-szkoleniowe (szkolenia ramowe, szkolenia specjalistyczne) ukierunkowane na podnoszenie kompetencji i wiedzy w zakresie wykorzystania danych satelitarnych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dla administracji publicznej</w:t>
            </w:r>
          </w:p>
        </w:tc>
        <w:tc>
          <w:tcPr>
            <w:tcW w:w="1701" w:type="dxa"/>
          </w:tcPr>
          <w:p w14:paraId="18BD416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11-2020</w:t>
            </w:r>
          </w:p>
        </w:tc>
        <w:tc>
          <w:tcPr>
            <w:tcW w:w="1843" w:type="dxa"/>
          </w:tcPr>
          <w:p w14:paraId="2F8268C1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38F97C45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382B009F" w14:textId="77777777" w:rsidTr="00BC03AD">
        <w:tc>
          <w:tcPr>
            <w:tcW w:w="2547" w:type="dxa"/>
          </w:tcPr>
          <w:p w14:paraId="53B48741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hAnsi="Arial" w:cs="Arial"/>
                <w:color w:val="000000" w:themeColor="text1"/>
              </w:rPr>
              <w:t>Publikacja/podręcznik - pod roboczym tytułem „Technologie satelitarne dla potrzeb administracji publicznej”</w:t>
            </w:r>
          </w:p>
        </w:tc>
        <w:tc>
          <w:tcPr>
            <w:tcW w:w="1701" w:type="dxa"/>
          </w:tcPr>
          <w:p w14:paraId="4FB5B18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</w:tcPr>
          <w:p w14:paraId="0867D3D2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1235E1FA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779C3CBE" w14:textId="77777777" w:rsidTr="00BC03AD">
        <w:tc>
          <w:tcPr>
            <w:tcW w:w="2547" w:type="dxa"/>
          </w:tcPr>
          <w:p w14:paraId="64C3B491" w14:textId="77777777" w:rsidR="00A63DFF" w:rsidRPr="00C01ED6" w:rsidRDefault="00A63DFF" w:rsidP="00BC03AD">
            <w:pPr>
              <w:pStyle w:val="Tekstkomentarza"/>
              <w:rPr>
                <w:rFonts w:ascii="Arial" w:hAnsi="Arial" w:cs="Arial"/>
                <w:color w:val="000000" w:themeColor="text1"/>
              </w:rPr>
            </w:pPr>
            <w:r w:rsidRPr="00C01ED6">
              <w:rPr>
                <w:rFonts w:ascii="Arial" w:eastAsia="Arial" w:hAnsi="Arial" w:cs="Arial"/>
                <w:bCs/>
                <w:color w:val="000000" w:themeColor="text1"/>
              </w:rPr>
              <w:t>System obsługi klienta oraz Asystent metada</w:t>
            </w:r>
            <w:r>
              <w:rPr>
                <w:rFonts w:ascii="Arial" w:eastAsia="Arial" w:hAnsi="Arial" w:cs="Arial"/>
                <w:bCs/>
                <w:color w:val="000000" w:themeColor="text1"/>
              </w:rPr>
              <w:t>n</w:t>
            </w:r>
            <w:r w:rsidRPr="00C01ED6">
              <w:rPr>
                <w:rFonts w:ascii="Arial" w:eastAsia="Arial" w:hAnsi="Arial" w:cs="Arial"/>
                <w:bCs/>
                <w:color w:val="000000" w:themeColor="text1"/>
              </w:rPr>
              <w:t>ych</w:t>
            </w:r>
          </w:p>
        </w:tc>
        <w:tc>
          <w:tcPr>
            <w:tcW w:w="1701" w:type="dxa"/>
          </w:tcPr>
          <w:p w14:paraId="42F3129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843" w:type="dxa"/>
          </w:tcPr>
          <w:p w14:paraId="021D04A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2E471277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FD329E1" w14:textId="77777777" w:rsidR="00A63DFF" w:rsidRPr="002B50C0" w:rsidRDefault="00A63DFF" w:rsidP="00A63DFF">
      <w:pPr>
        <w:pStyle w:val="Akapitzlist"/>
        <w:numPr>
          <w:ilvl w:val="0"/>
          <w:numId w:val="2"/>
        </w:numPr>
        <w:spacing w:before="360" w:after="12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sz w:val="24"/>
          <w:szCs w:val="24"/>
        </w:rPr>
        <w:t>Ryzyka</w:t>
      </w:r>
      <w:r w:rsidRPr="00141A92">
        <w:rPr>
          <w:rStyle w:val="Nagwek3Znak"/>
          <w:rFonts w:ascii="Arial" w:hAnsi="Arial" w:cs="Arial"/>
          <w:b/>
        </w:rPr>
        <w:t xml:space="preserve"> </w:t>
      </w:r>
      <w:r w:rsidRPr="002B50C0">
        <w:rPr>
          <w:rFonts w:ascii="Arial" w:hAnsi="Arial" w:cs="Arial"/>
          <w:color w:val="0070C0"/>
        </w:rPr>
        <w:t xml:space="preserve">  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p w14:paraId="22FA6319" w14:textId="77777777" w:rsidR="00A63DFF" w:rsidRPr="00141A92" w:rsidRDefault="00A63DFF" w:rsidP="00A63DF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734" w:type="dxa"/>
        <w:tblInd w:w="-5" w:type="dxa"/>
        <w:tblLayout w:type="fixed"/>
        <w:tblLook w:val="04A0" w:firstRow="1" w:lastRow="0" w:firstColumn="1" w:lastColumn="0" w:noHBand="0" w:noVBand="1"/>
        <w:tblCaption w:val="Ryzyka wpływające na realizację projektu."/>
      </w:tblPr>
      <w:tblGrid>
        <w:gridCol w:w="3232"/>
        <w:gridCol w:w="1559"/>
        <w:gridCol w:w="1559"/>
        <w:gridCol w:w="3384"/>
      </w:tblGrid>
      <w:tr w:rsidR="00A63DFF" w:rsidRPr="002B50C0" w14:paraId="4152E23D" w14:textId="77777777" w:rsidTr="00BC03AD">
        <w:trPr>
          <w:tblHeader/>
        </w:trPr>
        <w:tc>
          <w:tcPr>
            <w:tcW w:w="3232" w:type="dxa"/>
            <w:shd w:val="clear" w:color="auto" w:fill="D0CECE" w:themeFill="background2" w:themeFillShade="E6"/>
            <w:vAlign w:val="center"/>
          </w:tcPr>
          <w:p w14:paraId="7AB87F0F" w14:textId="77777777" w:rsidR="00A63DFF" w:rsidRPr="00141A92" w:rsidRDefault="00A63DFF" w:rsidP="00BC03A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2EF5F82" w14:textId="77777777" w:rsidR="00A63DFF" w:rsidRPr="00141A92" w:rsidRDefault="00A63DFF" w:rsidP="00BC03A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42FB7DA" w14:textId="77777777" w:rsidR="00A63DFF" w:rsidRPr="00141A92" w:rsidRDefault="00A63DFF" w:rsidP="00BC03A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3384" w:type="dxa"/>
            <w:shd w:val="clear" w:color="auto" w:fill="D0CECE" w:themeFill="background2" w:themeFillShade="E6"/>
            <w:vAlign w:val="center"/>
          </w:tcPr>
          <w:p w14:paraId="35ACCD75" w14:textId="77777777" w:rsidR="00A63DFF" w:rsidRPr="00141A92" w:rsidRDefault="00A63DFF" w:rsidP="00BC03A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A63DFF" w:rsidRPr="00C01ED6" w14:paraId="04FB29AF" w14:textId="77777777" w:rsidTr="00BC03AD">
        <w:tc>
          <w:tcPr>
            <w:tcW w:w="3232" w:type="dxa"/>
            <w:vAlign w:val="center"/>
          </w:tcPr>
          <w:p w14:paraId="6C10536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Opóźnienia proceduralne w wyborze dostawcy i podpisywaniu umowy w sprawie zamówienia publicznego</w:t>
            </w:r>
          </w:p>
          <w:p w14:paraId="495C5F2C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Konsekwencje materializacji ryzyka:</w:t>
            </w:r>
          </w:p>
          <w:p w14:paraId="77BC0335" w14:textId="77777777" w:rsidR="00A63DFF" w:rsidRPr="00C01ED6" w:rsidRDefault="00A63DFF" w:rsidP="00A63DFF">
            <w:pPr>
              <w:pStyle w:val="przepis"/>
              <w:numPr>
                <w:ilvl w:val="0"/>
                <w:numId w:val="8"/>
              </w:numPr>
              <w:spacing w:before="0" w:after="0" w:line="240" w:lineRule="auto"/>
              <w:ind w:left="322" w:hanging="284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</w:rPr>
              <w:t>Opóźnienia w realizacji projektu.</w:t>
            </w:r>
          </w:p>
          <w:p w14:paraId="02D3FB7F" w14:textId="77777777" w:rsidR="00A63DFF" w:rsidRPr="00C01ED6" w:rsidRDefault="00A63DFF" w:rsidP="00A63DFF">
            <w:pPr>
              <w:pStyle w:val="przepis"/>
              <w:numPr>
                <w:ilvl w:val="0"/>
                <w:numId w:val="8"/>
              </w:numPr>
              <w:spacing w:before="0" w:after="0" w:line="240" w:lineRule="auto"/>
              <w:ind w:left="322" w:hanging="284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</w:rPr>
              <w:t>Niepełna realizacja zakresu projektu</w:t>
            </w:r>
          </w:p>
        </w:tc>
        <w:tc>
          <w:tcPr>
            <w:tcW w:w="1559" w:type="dxa"/>
          </w:tcPr>
          <w:p w14:paraId="1963F8B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Duża</w:t>
            </w:r>
          </w:p>
        </w:tc>
        <w:tc>
          <w:tcPr>
            <w:tcW w:w="1559" w:type="dxa"/>
          </w:tcPr>
          <w:p w14:paraId="2B48C266" w14:textId="77777777" w:rsidR="00A63DFF" w:rsidRPr="00C01ED6" w:rsidRDefault="00A63DFF" w:rsidP="00BC03A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3384" w:type="dxa"/>
          </w:tcPr>
          <w:p w14:paraId="21568598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Strategia: Zapobieganie</w:t>
            </w:r>
          </w:p>
          <w:p w14:paraId="0CAE541A" w14:textId="77777777" w:rsidR="00A63DFF" w:rsidRDefault="00A63DFF" w:rsidP="00BC03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 Staranne przygotowanie dokumentacji przetargowej, zwłaszcza Opisu Przedmiotu Zamówienia</w:t>
            </w:r>
          </w:p>
          <w:p w14:paraId="0F4FD716" w14:textId="30E6433D" w:rsidR="00D52FF9" w:rsidRPr="00C01ED6" w:rsidRDefault="00D52FF9" w:rsidP="00BC03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043A29F9" w14:textId="77777777" w:rsidTr="00BC03AD">
        <w:tc>
          <w:tcPr>
            <w:tcW w:w="3232" w:type="dxa"/>
            <w:vAlign w:val="center"/>
          </w:tcPr>
          <w:p w14:paraId="327AC503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Brak gotowych rozwiązań dla spełnienia potrzeb podczas budowy lub użytkowania infrastruktury</w:t>
            </w:r>
          </w:p>
          <w:p w14:paraId="2AE4E4E6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Konsekwencje materializacji ryzyka:</w:t>
            </w:r>
          </w:p>
          <w:p w14:paraId="2A2E191B" w14:textId="77777777" w:rsidR="00A63DFF" w:rsidRPr="00C01ED6" w:rsidRDefault="00A63DFF" w:rsidP="00A63DFF">
            <w:pPr>
              <w:pStyle w:val="Kolorowalistaakcent11"/>
              <w:numPr>
                <w:ilvl w:val="0"/>
                <w:numId w:val="9"/>
              </w:numPr>
              <w:spacing w:after="0" w:line="240" w:lineRule="auto"/>
              <w:ind w:left="322" w:hanging="284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eastAsia="Arial" w:cs="Arial"/>
                <w:color w:val="000000" w:themeColor="text1"/>
                <w:sz w:val="20"/>
                <w:szCs w:val="20"/>
              </w:rPr>
              <w:t>Brak możliwości realizacji projektu w pełnym zakresie</w:t>
            </w:r>
          </w:p>
          <w:p w14:paraId="4585FA93" w14:textId="77777777" w:rsidR="00A63DFF" w:rsidRPr="00C01ED6" w:rsidRDefault="00A63DFF" w:rsidP="00A63DFF">
            <w:pPr>
              <w:pStyle w:val="Kolorowalistaakcent11"/>
              <w:numPr>
                <w:ilvl w:val="0"/>
                <w:numId w:val="9"/>
              </w:numPr>
              <w:spacing w:after="0" w:line="240" w:lineRule="auto"/>
              <w:ind w:left="322" w:hanging="284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eastAsia="Arial" w:cs="Arial"/>
                <w:color w:val="000000" w:themeColor="text1"/>
                <w:sz w:val="20"/>
                <w:szCs w:val="20"/>
              </w:rPr>
              <w:t>Ograniczenie pozyskiwanych informacji satelitarnych do tych, które już są przetwarzane przez IMGW-PIB</w:t>
            </w:r>
          </w:p>
        </w:tc>
        <w:tc>
          <w:tcPr>
            <w:tcW w:w="1559" w:type="dxa"/>
          </w:tcPr>
          <w:p w14:paraId="3FEAA41B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Duża</w:t>
            </w:r>
          </w:p>
        </w:tc>
        <w:tc>
          <w:tcPr>
            <w:tcW w:w="1559" w:type="dxa"/>
          </w:tcPr>
          <w:p w14:paraId="27A67D52" w14:textId="77777777" w:rsidR="00A63DFF" w:rsidRPr="00C01ED6" w:rsidRDefault="00A63DFF" w:rsidP="00BC03A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Wysokie</w:t>
            </w:r>
          </w:p>
        </w:tc>
        <w:tc>
          <w:tcPr>
            <w:tcW w:w="3384" w:type="dxa"/>
          </w:tcPr>
          <w:p w14:paraId="392280A4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Strategia: zapobieganie</w:t>
            </w:r>
          </w:p>
          <w:p w14:paraId="7BADE2D9" w14:textId="77777777" w:rsidR="00A63DFF" w:rsidRPr="00C01ED6" w:rsidRDefault="00A63DFF" w:rsidP="00BC03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Precyzyjne określenie rozwiązań, które muszą być zaprojektowane, wykonane i dostarczone na etapie budowy infrastruktury.</w:t>
            </w:r>
          </w:p>
          <w:p w14:paraId="58E4A5C7" w14:textId="77777777" w:rsidR="00A63DFF" w:rsidRPr="00C01ED6" w:rsidRDefault="00A63DFF" w:rsidP="00BC03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B8A260" w14:textId="68553D9D" w:rsidR="00A63DFF" w:rsidRPr="00C01ED6" w:rsidRDefault="00A63DFF" w:rsidP="00BC03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63DFF" w:rsidRPr="00C01ED6" w14:paraId="3C30753B" w14:textId="77777777" w:rsidTr="00BC03AD">
        <w:tc>
          <w:tcPr>
            <w:tcW w:w="3232" w:type="dxa"/>
            <w:vAlign w:val="center"/>
          </w:tcPr>
          <w:p w14:paraId="3093D5BB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Opóźnienia w uzyskiwaniu pozwoleń na budowę</w:t>
            </w:r>
          </w:p>
          <w:p w14:paraId="327B3948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Konsekwencje materializacji ryzyka:</w:t>
            </w:r>
          </w:p>
          <w:p w14:paraId="3C514A89" w14:textId="77777777" w:rsidR="00A63DFF" w:rsidRPr="00C01ED6" w:rsidRDefault="00A63DFF" w:rsidP="00A63DFF">
            <w:pPr>
              <w:pStyle w:val="Kolorowalistaakcent11"/>
              <w:numPr>
                <w:ilvl w:val="0"/>
                <w:numId w:val="15"/>
              </w:numPr>
              <w:spacing w:after="0" w:line="240" w:lineRule="auto"/>
              <w:ind w:left="322" w:hanging="284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eastAsia="Arial" w:cs="Arial"/>
                <w:color w:val="000000" w:themeColor="text1"/>
                <w:sz w:val="20"/>
                <w:szCs w:val="20"/>
              </w:rPr>
              <w:t>Opóźnienia w realizacji projektu</w:t>
            </w:r>
          </w:p>
          <w:p w14:paraId="15A53945" w14:textId="77777777" w:rsidR="00A63DFF" w:rsidRPr="00C01ED6" w:rsidRDefault="00A63DFF" w:rsidP="00A63DFF">
            <w:pPr>
              <w:pStyle w:val="Kolorowalistaakcent11"/>
              <w:numPr>
                <w:ilvl w:val="0"/>
                <w:numId w:val="15"/>
              </w:numPr>
              <w:spacing w:after="0" w:line="240" w:lineRule="auto"/>
              <w:ind w:left="322" w:hanging="284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eastAsia="Arial" w:cs="Arial"/>
                <w:color w:val="000000" w:themeColor="text1"/>
                <w:sz w:val="20"/>
                <w:szCs w:val="20"/>
              </w:rPr>
              <w:t>Zwiększenie kosztów realizacji projektu</w:t>
            </w:r>
          </w:p>
        </w:tc>
        <w:tc>
          <w:tcPr>
            <w:tcW w:w="1559" w:type="dxa"/>
          </w:tcPr>
          <w:p w14:paraId="7E92DB30" w14:textId="77777777" w:rsidR="00A63DFF" w:rsidRPr="00C01ED6" w:rsidRDefault="00A63DFF" w:rsidP="00BC0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hAnsi="Arial" w:cs="Arial"/>
                <w:color w:val="000000" w:themeColor="text1"/>
                <w:sz w:val="20"/>
                <w:szCs w:val="20"/>
              </w:rPr>
              <w:t>Duża</w:t>
            </w:r>
          </w:p>
        </w:tc>
        <w:tc>
          <w:tcPr>
            <w:tcW w:w="1559" w:type="dxa"/>
          </w:tcPr>
          <w:p w14:paraId="62EFB972" w14:textId="77777777" w:rsidR="00A63DFF" w:rsidRPr="00C01ED6" w:rsidRDefault="00A63DFF" w:rsidP="00BC03A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3384" w:type="dxa"/>
          </w:tcPr>
          <w:p w14:paraId="21AA31BE" w14:textId="77777777" w:rsidR="00A63DFF" w:rsidRPr="00C01ED6" w:rsidRDefault="00A63DFF" w:rsidP="00BC03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Strategia: zapobieganie</w:t>
            </w:r>
          </w:p>
          <w:p w14:paraId="19430C02" w14:textId="77777777" w:rsidR="00A63DFF" w:rsidRPr="00C01ED6" w:rsidRDefault="00A63DFF" w:rsidP="00BC03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Precyzyjne określenie warunków realizacji prac budowlanych przez wykonawcę</w:t>
            </w:r>
          </w:p>
        </w:tc>
      </w:tr>
    </w:tbl>
    <w:p w14:paraId="7A897D2E" w14:textId="77777777" w:rsidR="00A63DFF" w:rsidRDefault="00A63DFF" w:rsidP="00A63DFF">
      <w:pPr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530"/>
        <w:gridCol w:w="1559"/>
        <w:gridCol w:w="3430"/>
      </w:tblGrid>
      <w:tr w:rsidR="00A63DFF" w:rsidRPr="006334BF" w14:paraId="19680679" w14:textId="77777777" w:rsidTr="00BC03AD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944C58" w14:textId="77777777" w:rsidR="00A63DFF" w:rsidRPr="0091332C" w:rsidRDefault="00A63DFF" w:rsidP="00BC03AD">
            <w:pPr>
              <w:spacing w:line="240" w:lineRule="auto"/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F417E8B" w14:textId="77777777" w:rsidR="00A63DFF" w:rsidRPr="0091332C" w:rsidRDefault="00A63DFF" w:rsidP="00BC03A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EA08BA3" w14:textId="77777777" w:rsidR="00A63DFF" w:rsidRPr="0091332C" w:rsidRDefault="00A63DFF" w:rsidP="00BC03AD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2019D0B2" w14:textId="77777777" w:rsidR="00A63DFF" w:rsidRPr="006334BF" w:rsidRDefault="00A63DFF" w:rsidP="00BC03A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A63DFF" w:rsidRPr="00C01ED6" w14:paraId="335D4388" w14:textId="77777777" w:rsidTr="00BC03AD">
        <w:trPr>
          <w:trHeight w:val="724"/>
        </w:trPr>
        <w:tc>
          <w:tcPr>
            <w:tcW w:w="3261" w:type="dxa"/>
            <w:shd w:val="clear" w:color="auto" w:fill="auto"/>
          </w:tcPr>
          <w:p w14:paraId="52F549A9" w14:textId="77777777" w:rsidR="00A63DFF" w:rsidRPr="00C01ED6" w:rsidRDefault="00A63DFF" w:rsidP="00BC03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Rozwój danej branży</w:t>
            </w:r>
          </w:p>
          <w:p w14:paraId="2717B156" w14:textId="77777777" w:rsidR="00A63DFF" w:rsidRPr="00C01ED6" w:rsidRDefault="00A63DFF" w:rsidP="00BC03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Konsekwencje materializacji ryzyka:</w:t>
            </w:r>
          </w:p>
          <w:p w14:paraId="52FAFB05" w14:textId="77777777" w:rsidR="00A63DFF" w:rsidRPr="00C01ED6" w:rsidRDefault="00A63DFF" w:rsidP="00BC03AD">
            <w:pPr>
              <w:pStyle w:val="Kolorowalistaakcent11"/>
              <w:spacing w:after="0" w:line="240" w:lineRule="auto"/>
              <w:ind w:left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eastAsia="Arial" w:cs="Arial"/>
                <w:color w:val="000000" w:themeColor="text1"/>
                <w:sz w:val="20"/>
                <w:szCs w:val="20"/>
              </w:rPr>
              <w:t>Brak możliwości dostępu do nowych formatów danych przy użyciu istniejącej infrastruktury</w:t>
            </w:r>
          </w:p>
          <w:p w14:paraId="017CD34D" w14:textId="77777777" w:rsidR="00A63DFF" w:rsidRPr="00C01ED6" w:rsidRDefault="00A63DFF" w:rsidP="00BC03A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shd w:val="clear" w:color="auto" w:fill="FFFFFF"/>
          </w:tcPr>
          <w:p w14:paraId="2CC2D457" w14:textId="77777777" w:rsidR="00A63DFF" w:rsidRPr="00C01ED6" w:rsidRDefault="00A63DFF" w:rsidP="00BC03A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  <w:t>Mała</w:t>
            </w:r>
          </w:p>
        </w:tc>
        <w:tc>
          <w:tcPr>
            <w:tcW w:w="1559" w:type="dxa"/>
            <w:shd w:val="clear" w:color="auto" w:fill="FFFFFF"/>
          </w:tcPr>
          <w:p w14:paraId="4958DD41" w14:textId="77777777" w:rsidR="00A63DFF" w:rsidRPr="00C01ED6" w:rsidRDefault="00A63DFF" w:rsidP="00BC03A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  <w:t>Wysokie</w:t>
            </w:r>
          </w:p>
        </w:tc>
        <w:tc>
          <w:tcPr>
            <w:tcW w:w="3430" w:type="dxa"/>
            <w:shd w:val="clear" w:color="auto" w:fill="FFFFFF"/>
          </w:tcPr>
          <w:p w14:paraId="712CEF2C" w14:textId="77777777" w:rsidR="00A63DFF" w:rsidRPr="00C01ED6" w:rsidRDefault="00A63DFF" w:rsidP="00BC03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Strategia: zapobieganie i redukowanie</w:t>
            </w:r>
          </w:p>
          <w:p w14:paraId="63E06A5C" w14:textId="77777777" w:rsidR="00A63DFF" w:rsidRPr="00C01ED6" w:rsidRDefault="00A63DFF" w:rsidP="00BC03A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Arial" w:hAnsi="Arial" w:cs="Arial"/>
                <w:b w:val="0"/>
                <w:color w:val="000000" w:themeColor="text1"/>
                <w:sz w:val="20"/>
                <w:szCs w:val="20"/>
              </w:rPr>
              <w:t>Przeprowadzenie modernizacji infrastruktury przewidzianej w ramach projektu w sposób zapewniający możliwie jak najdłuższe funkcjonowanie w obliczu stale rozwijanych technik satelitarnych</w:t>
            </w:r>
          </w:p>
        </w:tc>
      </w:tr>
      <w:tr w:rsidR="00A63DFF" w:rsidRPr="00C01ED6" w14:paraId="3BE72851" w14:textId="77777777" w:rsidTr="00BC03AD">
        <w:trPr>
          <w:trHeight w:val="724"/>
        </w:trPr>
        <w:tc>
          <w:tcPr>
            <w:tcW w:w="3261" w:type="dxa"/>
            <w:shd w:val="clear" w:color="auto" w:fill="auto"/>
          </w:tcPr>
          <w:p w14:paraId="1EB8FE75" w14:textId="77777777" w:rsidR="00A63DFF" w:rsidRPr="00C01ED6" w:rsidRDefault="00A63DFF" w:rsidP="00BC03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Zainteresowanie społeczne inne niż przewidywano</w:t>
            </w:r>
          </w:p>
          <w:p w14:paraId="3A06A2CD" w14:textId="77777777" w:rsidR="00A63DFF" w:rsidRPr="00C01ED6" w:rsidRDefault="00A63DFF" w:rsidP="00BC03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Konsekwencje materializacji ryzyka:</w:t>
            </w:r>
          </w:p>
          <w:p w14:paraId="2BA05336" w14:textId="77777777" w:rsidR="00A63DFF" w:rsidRPr="00C01ED6" w:rsidRDefault="00A63DFF" w:rsidP="00BC03AD">
            <w:pPr>
              <w:spacing w:after="0" w:line="240" w:lineRule="auto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Mała liczba podmiotów korzystających z produktów projektu</w:t>
            </w:r>
          </w:p>
        </w:tc>
        <w:tc>
          <w:tcPr>
            <w:tcW w:w="1530" w:type="dxa"/>
            <w:shd w:val="clear" w:color="auto" w:fill="FFFFFF"/>
          </w:tcPr>
          <w:p w14:paraId="40A5160F" w14:textId="77777777" w:rsidR="00A63DFF" w:rsidRPr="00C01ED6" w:rsidRDefault="00A63DFF" w:rsidP="00BC03A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1559" w:type="dxa"/>
            <w:shd w:val="clear" w:color="auto" w:fill="FFFFFF"/>
          </w:tcPr>
          <w:p w14:paraId="184C1651" w14:textId="77777777" w:rsidR="00A63DFF" w:rsidRPr="00C01ED6" w:rsidRDefault="00A63DFF" w:rsidP="00BC03A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</w:pPr>
            <w:r w:rsidRPr="00C01ED6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3430" w:type="dxa"/>
            <w:shd w:val="clear" w:color="auto" w:fill="FFFFFF"/>
          </w:tcPr>
          <w:p w14:paraId="3A00E53D" w14:textId="77777777" w:rsidR="00A63DFF" w:rsidRPr="00C01ED6" w:rsidRDefault="00A63DFF" w:rsidP="00BC03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Strategia: zapobieganie</w:t>
            </w:r>
          </w:p>
          <w:p w14:paraId="4F671765" w14:textId="77777777" w:rsidR="00A63DFF" w:rsidRPr="00C01ED6" w:rsidRDefault="00A63DFF" w:rsidP="00A63D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Akcja promocyjna przygotowana we współpracy z wyspecjalizowaną firmą</w:t>
            </w:r>
          </w:p>
          <w:p w14:paraId="40F96D69" w14:textId="77777777" w:rsidR="00A63DFF" w:rsidRPr="00C01ED6" w:rsidRDefault="00A63DFF" w:rsidP="00A63DFF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01E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Działania edukacyjne skierowane do użytkowników statutowych</w:t>
            </w:r>
          </w:p>
        </w:tc>
      </w:tr>
    </w:tbl>
    <w:p w14:paraId="7A4448CF" w14:textId="7CF4BD5A" w:rsidR="00A63DFF" w:rsidRPr="00A44A5B" w:rsidRDefault="00A63DFF" w:rsidP="00A63DFF">
      <w:pPr>
        <w:pStyle w:val="Akapitzlist"/>
        <w:numPr>
          <w:ilvl w:val="0"/>
          <w:numId w:val="2"/>
        </w:numPr>
        <w:spacing w:before="360" w:line="240" w:lineRule="auto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sz w:val="24"/>
          <w:szCs w:val="24"/>
        </w:rPr>
        <w:t>Dane kontaktowe</w:t>
      </w:r>
      <w:r w:rsidR="0073441F">
        <w:rPr>
          <w:rStyle w:val="Nagwek2Znak"/>
          <w:rFonts w:ascii="Arial" w:hAnsi="Arial" w:cs="Arial"/>
          <w:b/>
          <w:sz w:val="24"/>
          <w:szCs w:val="24"/>
        </w:rPr>
        <w:t>:</w:t>
      </w:r>
      <w:bookmarkStart w:id="1" w:name="_GoBack"/>
      <w:bookmarkEnd w:id="1"/>
    </w:p>
    <w:p w14:paraId="28AA320D" w14:textId="77777777" w:rsidR="00A63DFF" w:rsidRPr="00CF77C4" w:rsidRDefault="00A63DFF" w:rsidP="00A63DFF">
      <w:pPr>
        <w:pStyle w:val="Akapitzlist"/>
        <w:spacing w:before="360" w:line="240" w:lineRule="auto"/>
        <w:ind w:left="1004"/>
        <w:jc w:val="both"/>
        <w:rPr>
          <w:rStyle w:val="Nagwek2Znak"/>
          <w:rFonts w:ascii="Arial" w:hAnsi="Arial" w:cs="Arial"/>
          <w:color w:val="000000" w:themeColor="text1"/>
          <w:sz w:val="20"/>
          <w:szCs w:val="20"/>
        </w:rPr>
      </w:pPr>
      <w:r w:rsidRPr="00CF77C4">
        <w:rPr>
          <w:rStyle w:val="Nagwek2Znak"/>
          <w:rFonts w:ascii="Arial" w:hAnsi="Arial" w:cs="Arial"/>
          <w:color w:val="000000" w:themeColor="text1"/>
          <w:sz w:val="20"/>
          <w:szCs w:val="20"/>
        </w:rPr>
        <w:t>Joanna Harasiewicz</w:t>
      </w:r>
    </w:p>
    <w:p w14:paraId="244ED226" w14:textId="36C4E338" w:rsidR="00A63DFF" w:rsidRPr="00CF77C4" w:rsidRDefault="00A63DFF" w:rsidP="00A63DFF">
      <w:pPr>
        <w:pStyle w:val="Akapitzlist"/>
        <w:spacing w:before="360" w:line="240" w:lineRule="auto"/>
        <w:ind w:left="1004"/>
        <w:jc w:val="both"/>
        <w:rPr>
          <w:rStyle w:val="Nagwek2Znak"/>
          <w:rFonts w:ascii="Arial" w:hAnsi="Arial" w:cs="Arial"/>
          <w:color w:val="000000" w:themeColor="text1"/>
          <w:sz w:val="20"/>
          <w:szCs w:val="20"/>
        </w:rPr>
      </w:pPr>
      <w:r w:rsidRPr="00CF77C4">
        <w:rPr>
          <w:rStyle w:val="Nagwek2Znak"/>
          <w:rFonts w:ascii="Arial" w:hAnsi="Arial" w:cs="Arial"/>
          <w:color w:val="000000" w:themeColor="text1"/>
          <w:sz w:val="20"/>
          <w:szCs w:val="20"/>
        </w:rPr>
        <w:t xml:space="preserve">Pion Organizacyjny – </w:t>
      </w:r>
      <w:r w:rsidR="00D52FF9">
        <w:rPr>
          <w:rStyle w:val="Nagwek2Znak"/>
          <w:rFonts w:ascii="Arial" w:hAnsi="Arial" w:cs="Arial"/>
          <w:color w:val="000000" w:themeColor="text1"/>
          <w:sz w:val="20"/>
          <w:szCs w:val="20"/>
        </w:rPr>
        <w:t>Centrum</w:t>
      </w:r>
      <w:r w:rsidR="00D52FF9" w:rsidRPr="00CF77C4">
        <w:rPr>
          <w:rStyle w:val="Nagwek2Znak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F77C4">
        <w:rPr>
          <w:rStyle w:val="Nagwek2Znak"/>
          <w:rFonts w:ascii="Arial" w:hAnsi="Arial" w:cs="Arial"/>
          <w:color w:val="000000" w:themeColor="text1"/>
          <w:sz w:val="20"/>
          <w:szCs w:val="20"/>
        </w:rPr>
        <w:t>Informatyki</w:t>
      </w:r>
    </w:p>
    <w:p w14:paraId="7EE0C2D5" w14:textId="77777777" w:rsidR="00A63DFF" w:rsidRPr="00C01ED6" w:rsidRDefault="008A5D8F" w:rsidP="00A63DFF">
      <w:pPr>
        <w:pStyle w:val="Akapitzlist"/>
        <w:spacing w:before="36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hyperlink r:id="rId7" w:history="1">
        <w:r w:rsidR="00A63DFF" w:rsidRPr="00C01ED6">
          <w:rPr>
            <w:rStyle w:val="Hipercze"/>
            <w:rFonts w:ascii="Arial" w:eastAsiaTheme="majorEastAsia" w:hAnsi="Arial" w:cs="Arial"/>
            <w:sz w:val="20"/>
            <w:szCs w:val="20"/>
          </w:rPr>
          <w:t>joanna.</w:t>
        </w:r>
        <w:r w:rsidR="00A63DFF" w:rsidRPr="00C01ED6">
          <w:rPr>
            <w:rStyle w:val="Hipercze"/>
            <w:rFonts w:ascii="Arial" w:hAnsi="Arial" w:cs="Arial"/>
            <w:sz w:val="20"/>
            <w:szCs w:val="20"/>
          </w:rPr>
          <w:t>harasiewicz@imgw.pl</w:t>
        </w:r>
      </w:hyperlink>
    </w:p>
    <w:p w14:paraId="0F9F6D14" w14:textId="14F8678D" w:rsidR="00A63DFF" w:rsidRPr="00C01ED6" w:rsidRDefault="00A63DFF" w:rsidP="00A63DFF">
      <w:pPr>
        <w:pStyle w:val="Akapitzlist"/>
        <w:spacing w:before="360" w:line="240" w:lineRule="auto"/>
        <w:ind w:left="1004"/>
        <w:jc w:val="both"/>
        <w:rPr>
          <w:rFonts w:ascii="Arial" w:hAnsi="Arial" w:cs="Arial"/>
          <w:color w:val="0070C0"/>
          <w:sz w:val="20"/>
          <w:szCs w:val="20"/>
        </w:rPr>
      </w:pPr>
      <w:r w:rsidRPr="00C01ED6">
        <w:rPr>
          <w:rFonts w:ascii="Arial" w:hAnsi="Arial" w:cs="Arial"/>
          <w:sz w:val="20"/>
          <w:szCs w:val="20"/>
        </w:rPr>
        <w:t>22 56 94</w:t>
      </w:r>
      <w:r>
        <w:rPr>
          <w:rFonts w:ascii="Arial" w:hAnsi="Arial" w:cs="Arial"/>
          <w:sz w:val="20"/>
          <w:szCs w:val="20"/>
        </w:rPr>
        <w:t> </w:t>
      </w:r>
      <w:r w:rsidRPr="00C01ED6">
        <w:rPr>
          <w:rFonts w:ascii="Arial" w:hAnsi="Arial" w:cs="Arial"/>
          <w:sz w:val="20"/>
          <w:szCs w:val="20"/>
        </w:rPr>
        <w:t>117</w:t>
      </w:r>
    </w:p>
    <w:p w14:paraId="41EFCA5A" w14:textId="77777777" w:rsidR="00BC03AD" w:rsidRDefault="00BC03AD"/>
    <w:sectPr w:rsidR="00BC03AD" w:rsidSect="00BC03AD">
      <w:headerReference w:type="default" r:id="rId8"/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5799B" w14:textId="77777777" w:rsidR="008A5D8F" w:rsidRDefault="008A5D8F" w:rsidP="00A63DFF">
      <w:pPr>
        <w:spacing w:after="0" w:line="240" w:lineRule="auto"/>
      </w:pPr>
      <w:r>
        <w:separator/>
      </w:r>
    </w:p>
  </w:endnote>
  <w:endnote w:type="continuationSeparator" w:id="0">
    <w:p w14:paraId="570F8F59" w14:textId="77777777" w:rsidR="008A5D8F" w:rsidRDefault="008A5D8F" w:rsidP="00A6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54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5278D5" w14:textId="77777777" w:rsidR="008A5D8F" w:rsidRDefault="008A5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F255A6" w14:textId="77777777" w:rsidR="008A5D8F" w:rsidRDefault="008A5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CC458" w14:textId="77777777" w:rsidR="008A5D8F" w:rsidRDefault="008A5D8F" w:rsidP="00A63DFF">
      <w:pPr>
        <w:spacing w:after="0" w:line="240" w:lineRule="auto"/>
      </w:pPr>
      <w:r>
        <w:separator/>
      </w:r>
    </w:p>
  </w:footnote>
  <w:footnote w:type="continuationSeparator" w:id="0">
    <w:p w14:paraId="2CF61DE0" w14:textId="77777777" w:rsidR="008A5D8F" w:rsidRDefault="008A5D8F" w:rsidP="00A63DFF">
      <w:pPr>
        <w:spacing w:after="0" w:line="240" w:lineRule="auto"/>
      </w:pPr>
      <w:r>
        <w:continuationSeparator/>
      </w:r>
    </w:p>
  </w:footnote>
  <w:footnote w:id="1">
    <w:p w14:paraId="129B6130" w14:textId="77777777" w:rsidR="008A5D8F" w:rsidRDefault="008A5D8F" w:rsidP="00A63DFF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39BD" w14:textId="77777777" w:rsidR="008A5D8F" w:rsidRDefault="008A5D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54F"/>
    <w:multiLevelType w:val="multilevel"/>
    <w:tmpl w:val="8E78179C"/>
    <w:lvl w:ilvl="0">
      <w:start w:val="1"/>
      <w:numFmt w:val="decimal"/>
      <w:pStyle w:val="prze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493870"/>
    <w:multiLevelType w:val="hybridMultilevel"/>
    <w:tmpl w:val="573E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59E1"/>
    <w:multiLevelType w:val="hybridMultilevel"/>
    <w:tmpl w:val="8E500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1FAE"/>
    <w:multiLevelType w:val="hybridMultilevel"/>
    <w:tmpl w:val="467C5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6878"/>
    <w:multiLevelType w:val="hybridMultilevel"/>
    <w:tmpl w:val="4D7A9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6B67"/>
    <w:multiLevelType w:val="hybridMultilevel"/>
    <w:tmpl w:val="171AB3F2"/>
    <w:lvl w:ilvl="0" w:tplc="1B1A30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D7B88"/>
    <w:multiLevelType w:val="hybridMultilevel"/>
    <w:tmpl w:val="09E6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D6DA6"/>
    <w:multiLevelType w:val="hybridMultilevel"/>
    <w:tmpl w:val="5282B80C"/>
    <w:lvl w:ilvl="0" w:tplc="32763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E5344"/>
    <w:multiLevelType w:val="hybridMultilevel"/>
    <w:tmpl w:val="2B5AAB6A"/>
    <w:lvl w:ilvl="0" w:tplc="B010D97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B066A"/>
    <w:multiLevelType w:val="hybridMultilevel"/>
    <w:tmpl w:val="9170D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B5227"/>
    <w:multiLevelType w:val="hybridMultilevel"/>
    <w:tmpl w:val="92FE9C92"/>
    <w:lvl w:ilvl="0" w:tplc="2A3E1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D686D"/>
    <w:multiLevelType w:val="hybridMultilevel"/>
    <w:tmpl w:val="250A6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77803E60"/>
    <w:multiLevelType w:val="hybridMultilevel"/>
    <w:tmpl w:val="CD6C2F66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0F033F"/>
    <w:multiLevelType w:val="hybridMultilevel"/>
    <w:tmpl w:val="581EEB2C"/>
    <w:lvl w:ilvl="0" w:tplc="32763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4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12"/>
  </w:num>
  <w:num w:numId="10">
    <w:abstractNumId w:val="8"/>
  </w:num>
  <w:num w:numId="11">
    <w:abstractNumId w:val="15"/>
  </w:num>
  <w:num w:numId="12">
    <w:abstractNumId w:val="2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FD"/>
    <w:rsid w:val="00003818"/>
    <w:rsid w:val="00065E73"/>
    <w:rsid w:val="000E0A55"/>
    <w:rsid w:val="0016658C"/>
    <w:rsid w:val="001738BF"/>
    <w:rsid w:val="00212306"/>
    <w:rsid w:val="00227C49"/>
    <w:rsid w:val="00271D48"/>
    <w:rsid w:val="00284038"/>
    <w:rsid w:val="002D7C74"/>
    <w:rsid w:val="002E4919"/>
    <w:rsid w:val="002F4973"/>
    <w:rsid w:val="00303489"/>
    <w:rsid w:val="00325EFD"/>
    <w:rsid w:val="00395B26"/>
    <w:rsid w:val="00490920"/>
    <w:rsid w:val="00497D7A"/>
    <w:rsid w:val="005213C3"/>
    <w:rsid w:val="00584624"/>
    <w:rsid w:val="005A3C2C"/>
    <w:rsid w:val="005F0D45"/>
    <w:rsid w:val="005F1ADD"/>
    <w:rsid w:val="005F69FC"/>
    <w:rsid w:val="00614143"/>
    <w:rsid w:val="00620701"/>
    <w:rsid w:val="006A5885"/>
    <w:rsid w:val="007106BC"/>
    <w:rsid w:val="0073052E"/>
    <w:rsid w:val="0073441F"/>
    <w:rsid w:val="007645EB"/>
    <w:rsid w:val="0078025A"/>
    <w:rsid w:val="00785D54"/>
    <w:rsid w:val="007C101F"/>
    <w:rsid w:val="007F6248"/>
    <w:rsid w:val="008201DB"/>
    <w:rsid w:val="00875CF4"/>
    <w:rsid w:val="008A5D8F"/>
    <w:rsid w:val="008C1091"/>
    <w:rsid w:val="008F74B6"/>
    <w:rsid w:val="00950CA5"/>
    <w:rsid w:val="009B2527"/>
    <w:rsid w:val="00A63DFF"/>
    <w:rsid w:val="00B33FF7"/>
    <w:rsid w:val="00B70BB7"/>
    <w:rsid w:val="00B7690F"/>
    <w:rsid w:val="00BC03AD"/>
    <w:rsid w:val="00BC03ED"/>
    <w:rsid w:val="00BC207C"/>
    <w:rsid w:val="00BC5BFD"/>
    <w:rsid w:val="00C42668"/>
    <w:rsid w:val="00C457F0"/>
    <w:rsid w:val="00C8723C"/>
    <w:rsid w:val="00CC1F97"/>
    <w:rsid w:val="00CD35E4"/>
    <w:rsid w:val="00CF77C4"/>
    <w:rsid w:val="00D341F6"/>
    <w:rsid w:val="00D422AC"/>
    <w:rsid w:val="00D52FF9"/>
    <w:rsid w:val="00D940F4"/>
    <w:rsid w:val="00DD1B4E"/>
    <w:rsid w:val="00E76595"/>
    <w:rsid w:val="00F15930"/>
    <w:rsid w:val="00F46300"/>
    <w:rsid w:val="00F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09FD"/>
  <w15:chartTrackingRefBased/>
  <w15:docId w15:val="{BB9D20BD-8B7B-4DAB-BF8E-823884C8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FF"/>
  </w:style>
  <w:style w:type="paragraph" w:styleId="Nagwek1">
    <w:name w:val="heading 1"/>
    <w:basedOn w:val="Normalny"/>
    <w:next w:val="Normalny"/>
    <w:link w:val="Nagwek1Znak"/>
    <w:uiPriority w:val="9"/>
    <w:qFormat/>
    <w:rsid w:val="00A6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3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3D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63D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63D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63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D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DFF"/>
    <w:rPr>
      <w:sz w:val="20"/>
      <w:szCs w:val="20"/>
    </w:rPr>
  </w:style>
  <w:style w:type="table" w:styleId="Tabela-Siatka">
    <w:name w:val="Table Grid"/>
    <w:basedOn w:val="Standardowy"/>
    <w:uiPriority w:val="39"/>
    <w:rsid w:val="00A6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D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D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D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DFF"/>
  </w:style>
  <w:style w:type="paragraph" w:styleId="Stopka">
    <w:name w:val="footer"/>
    <w:basedOn w:val="Normalny"/>
    <w:link w:val="StopkaZnak"/>
    <w:uiPriority w:val="99"/>
    <w:unhideWhenUsed/>
    <w:rsid w:val="00A6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DFF"/>
  </w:style>
  <w:style w:type="paragraph" w:customStyle="1" w:styleId="Bodytext1blueitalic">
    <w:name w:val="Body text 1 + blue + italic"/>
    <w:basedOn w:val="Normalny"/>
    <w:autoRedefine/>
    <w:qFormat/>
    <w:rsid w:val="00A63DFF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A63DFF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A63DFF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A63DFF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A63DFF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A63DF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63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480" w:lineRule="atLeast"/>
      <w:jc w:val="both"/>
      <w:textAlignment w:val="center"/>
    </w:pPr>
    <w:rPr>
      <w:rFonts w:ascii="Courier New" w:eastAsia="Times New Roman" w:hAnsi="Courier New" w:cs="Times New Roman"/>
      <w:sz w:val="24"/>
      <w:szCs w:val="24"/>
      <w:lang w:val="x-none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63DFF"/>
    <w:rPr>
      <w:rFonts w:ascii="Courier New" w:eastAsia="Times New Roman" w:hAnsi="Courier New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A63DFF"/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63DFF"/>
    <w:pPr>
      <w:spacing w:after="200" w:line="276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Kolorowalistaakcent1Znak">
    <w:name w:val="Kolorowa lista — akcent 1 Znak"/>
    <w:link w:val="Kolorowalistaakcent11"/>
    <w:uiPriority w:val="34"/>
    <w:rsid w:val="00A63DFF"/>
    <w:rPr>
      <w:rFonts w:ascii="Arial" w:eastAsia="Calibri" w:hAnsi="Arial" w:cs="Times New Roman"/>
    </w:rPr>
  </w:style>
  <w:style w:type="paragraph" w:customStyle="1" w:styleId="przepis">
    <w:name w:val="przepis"/>
    <w:basedOn w:val="Normalny"/>
    <w:rsid w:val="00A63DFF"/>
    <w:pPr>
      <w:numPr>
        <w:numId w:val="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3D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D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8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4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anna.harasiewicz@img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1989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Harasiewicz</dc:creator>
  <cp:keywords/>
  <dc:description/>
  <cp:lastModifiedBy>Joanna Harasiewicz</cp:lastModifiedBy>
  <cp:revision>2</cp:revision>
  <cp:lastPrinted>2018-06-26T09:24:00Z</cp:lastPrinted>
  <dcterms:created xsi:type="dcterms:W3CDTF">2019-02-19T12:30:00Z</dcterms:created>
  <dcterms:modified xsi:type="dcterms:W3CDTF">2019-02-19T12:30:00Z</dcterms:modified>
</cp:coreProperties>
</file>