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468630</wp:posOffset>
            </wp:positionH>
            <wp:positionV relativeFrom="paragraph">
              <wp:posOffset>-50800</wp:posOffset>
            </wp:positionV>
            <wp:extent cx="719455" cy="78041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9455" cy="7804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10"/>
        </w:rPr>
        <w:t>Minister</w:t>
      </w:r>
      <w:bookmarkEnd w:id="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380" w:line="216" w:lineRule="auto"/>
        <w:ind w:left="0" w:right="0" w:firstLine="0"/>
        <w:jc w:val="left"/>
      </w:pPr>
      <w:r>
        <w:rPr>
          <w:rStyle w:val="CharStyle10"/>
        </w:rPr>
        <w:t>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Style w:val="CharStyle12"/>
        </w:rPr>
        <w:t xml:space="preserve">DGL-WOP.053.2.2026.MB </w:t>
      </w:r>
      <w:r>
        <w:rPr>
          <w:rStyle w:val="CharStyle12"/>
          <w:sz w:val="18"/>
          <w:szCs w:val="18"/>
        </w:rPr>
        <w:t xml:space="preserve">4125945.17145276.13910425 </w:t>
      </w:r>
      <w:r>
        <w:rPr>
          <w:rStyle w:val="CharStyle12"/>
        </w:rPr>
        <w:t>Warszawa, 20-02-2026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4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2"/>
          <w:b/>
          <w:bCs/>
          <w:sz w:val="22"/>
          <w:szCs w:val="22"/>
        </w:rPr>
        <w:t>Odpowiedź na petycję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2"/>
        </w:rPr>
        <w:t>Odpowiadając na petycję z 5 grudnia 2025 r., w sprawie ponownego przeanalizowania skutków decyzji Marszałka Województwa Dolnośląskiego numer 6/E/2025 z 30 września 2025 r., znak: DOW-G.I.7422.70.2024.WK, w przedmiocie udzielenia koncesji na wydobywanie porfiru i kruszywa naturalnego ze złoża „Olszyny I”</w:t>
      </w:r>
      <w:r>
        <w:rPr>
          <w:rStyle w:val="CharStyle12"/>
          <w:vertAlign w:val="superscript"/>
        </w:rPr>
        <w:footnoteReference w:id="2"/>
      </w:r>
      <w:r>
        <w:rPr>
          <w:rStyle w:val="CharStyle12"/>
        </w:rPr>
        <w:t>, informuję, co następuje.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12"/>
        </w:rPr>
        <w:t>Na wstępie zaznaczyć należy, że od opisanej wyżej decyzji wpłynęło odwołanie, co oznacza, że decyzja ta nie jest ostateczna i prawomocna. Oznacza to również, że sprawa jest rozpoznawana w całokształcie, w tym z uwzględnieniem przesłanek dotyczących wad merytorycznych albo formalnych postępowania pierwszoinstancyjnego przemawiających za uchyleniem decyzji wydanej w I instancji. W zależności od wyniku tego rozpatrzenia koncesja ta może zostać wyeliminowana z obrotu prawnego, utrzymana w mocy albo częściowo zmieniona.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left"/>
      </w:pPr>
      <w:r>
        <w:rPr>
          <w:rStyle w:val="CharStyle12"/>
        </w:rPr>
        <w:t>Wspomnieć dodatkowo należy, że wniesienie odwołania wstrzymało wykonanie tej koncesji. Zgodnie bowiem z art. 130 § 2 k.p.a.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rStyle w:val="CharStyle12"/>
          <w:i/>
          <w:iCs/>
        </w:rPr>
        <w:t>wniesienie odwołania w terminie wstrzymuje wykonanie decyzji.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319" w:lineRule="auto"/>
        <w:ind w:left="0" w:right="0" w:firstLine="0"/>
        <w:jc w:val="left"/>
      </w:pPr>
      <w:r>
        <w:rPr>
          <w:rStyle w:val="CharStyle12"/>
        </w:rPr>
        <w:t>Tym samym mimo wydania decyzji (koncesji), wskutek wniesienia odwołania, nie jest możliwe obecnie jej wykonywanie, czyli wydobywanie kopaliny z wyżej opisanego złoża.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12"/>
        </w:rPr>
        <w:t>W petycji zaakcentowano cztery kluczowe argumenty: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86" w:val="left"/>
        </w:tabs>
        <w:bidi w:val="0"/>
        <w:spacing w:before="0" w:after="480" w:line="322" w:lineRule="auto"/>
        <w:ind w:left="900" w:right="0" w:hanging="360"/>
        <w:jc w:val="left"/>
      </w:pPr>
      <w:r>
        <w:rPr>
          <w:rStyle w:val="CharStyle12"/>
        </w:rPr>
        <w:t>sprzeciw społeczności lokalnej i ryzyko naruszenia strategicznych kierunków rozwoju Gminy Lubawka;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80" w:line="252" w:lineRule="auto"/>
        <w:ind w:left="0" w:right="0" w:firstLine="0"/>
        <w:jc w:val="lef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812" w:right="1955" w:bottom="487" w:left="1933" w:header="384" w:footer="5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647700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51.pt;width:138.70000000000002pt;height:19.6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1016000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80.pt;width:218.65000000000001pt;height:9.0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12"/>
          <w:vertAlign w:val="superscript"/>
        </w:rPr>
        <w:t>1</w:t>
      </w:r>
      <w:r>
        <w:rPr>
          <w:rStyle w:val="CharStyle12"/>
        </w:rPr>
        <w:t xml:space="preserve"> złoże „</w:t>
      </w:r>
      <w:r>
        <w:rPr>
          <w:rStyle w:val="CharStyle12"/>
          <w:i/>
          <w:iCs/>
        </w:rPr>
        <w:t>Olszyny I</w:t>
      </w:r>
      <w:r>
        <w:rPr>
          <w:rStyle w:val="CharStyle12"/>
        </w:rPr>
        <w:t>” jest położone w miejscowości Olszyny, gm. Kamienna Góra, powiat kamiennogórski, woj. dolnośląskie.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6" w:val="left"/>
        </w:tabs>
        <w:bidi w:val="0"/>
        <w:spacing w:before="0" w:after="0"/>
        <w:ind w:left="880" w:right="0" w:hanging="360"/>
        <w:jc w:val="left"/>
      </w:pPr>
      <w:r>
        <w:rPr>
          <w:rStyle w:val="CharStyle12"/>
        </w:rPr>
        <w:t>brak analizy oddziaływania skumulowanego Zakładów Górniczych „Olszyny I” i „Okrzeszyn II”, także w kontekście transportu ciężkiego przez teren Gminy Lubawka;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6" w:val="left"/>
        </w:tabs>
        <w:bidi w:val="0"/>
        <w:spacing w:before="0" w:after="0"/>
        <w:ind w:left="880" w:right="0" w:hanging="360"/>
        <w:jc w:val="left"/>
      </w:pPr>
      <w:r>
        <w:rPr>
          <w:rStyle w:val="CharStyle12"/>
        </w:rPr>
        <w:t>zagrożenie dla odtwarzanej w regionie populacji niepylaka apollo Parnassius apollo;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6" w:val="left"/>
        </w:tabs>
        <w:bidi w:val="0"/>
        <w:spacing w:before="0"/>
        <w:ind w:left="0" w:right="0" w:firstLine="520"/>
        <w:jc w:val="left"/>
      </w:pPr>
      <w:r>
        <w:rPr>
          <w:rStyle w:val="CharStyle12"/>
        </w:rPr>
        <w:t>ryzyka dla infrastruktury zabytkowej i kulturowej.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</w:rPr>
        <w:t>Jednak przedstawione wyżej argumenty wykraczają poza zakres postępowania koncesyjnego. Dotyczą one aspektów, które są rozstrzygane w decyzji o środowiskowych uwarunkowaniach poprzedzonej oceną oddziaływania przedsięwzięcia na środowisko</w:t>
      </w:r>
      <w:r>
        <w:rPr>
          <w:rStyle w:val="CharStyle12"/>
          <w:vertAlign w:val="superscript"/>
        </w:rPr>
        <w:footnoteReference w:id="3"/>
      </w:r>
      <w:r>
        <w:rPr>
          <w:rStyle w:val="CharStyle12"/>
        </w:rPr>
        <w:t>. Z kolei kwestia zezwoleń na transport urobku po drogach publicznych, w tym po drodze powiatowej przebiegającej przez teren Gminy Lubawka, pozostaje w kompetencjach zarządcy drogi i jest regulowana przepisami Prawa ruchu drogowego</w:t>
      </w:r>
      <w:r>
        <w:rPr>
          <w:rStyle w:val="CharStyle12"/>
          <w:vertAlign w:val="superscript"/>
        </w:rPr>
        <w:footnoteReference w:id="4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2"/>
        </w:rPr>
        <w:t>Innymi słowy ww. argumenty wskazane w petycji powinny być brane pod uwagę na wcześniejszym etapie zamierzonej inwestycji tj. w toku postępowania środowiskowego.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2"/>
        </w:rPr>
        <w:t>Podkreślić należy, że choć zgoda na wydobywanie kopalin ze złóż jest udzielana w koncesji, to nie można przyjąć, że postępowanie to służy skorygowaniu wadliwych – zdaniem autora petycji – ustaleń postępowania środowiskowego albo uwzględnieniu braku zgody społeczeństwa na transport urobku drogami publicznymi. Każdy organ administracji publicznej – w tym także Marszałek Województwa Dolnośląskiego, jak i Minister Klimatu i Środowiska – jest obowiązany przestrzegać swojej właściwości i przyznanych mu w danej sprawie kompetencji. Nie może on poza nie wykraczać. W administracji publicznej obowiązuje bowiem zasada: „dozwolone jest tylko to, co znajduje wyraźną podstawę prawną</w:t>
      </w:r>
      <w:r>
        <w:rPr>
          <w:rStyle w:val="CharStyle12"/>
          <w:vertAlign w:val="superscript"/>
        </w:rPr>
        <w:footnoteReference w:id="5"/>
      </w:r>
      <w:r>
        <w:rPr>
          <w:rStyle w:val="CharStyle12"/>
          <w:i/>
          <w:iCs/>
        </w:rPr>
        <w:t>”</w:t>
      </w:r>
      <w:r>
        <w:rPr>
          <w:rStyle w:val="CharStyle12"/>
        </w:rPr>
        <w:t>. Powyższa zasada wynika z przepisu art. 7 Konstytucji RP</w:t>
      </w:r>
      <w:r>
        <w:rPr>
          <w:rStyle w:val="CharStyle12"/>
          <w:vertAlign w:val="superscript"/>
        </w:rPr>
        <w:footnoteReference w:id="6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left"/>
      </w:pPr>
      <w:r>
        <w:rPr>
          <w:rStyle w:val="CharStyle12"/>
        </w:rPr>
        <w:t>Zgodnie z nim: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80"/>
        <w:jc w:val="left"/>
      </w:pPr>
      <w:r>
        <w:rPr>
          <w:rStyle w:val="CharStyle12"/>
          <w:i/>
          <w:iCs/>
        </w:rPr>
        <w:t>organy władzy publicznej działają na podstawie i w granicach prawa.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</w:rPr>
        <w:t>Na gruncie przepisów k.p.a. powtarza ją art. 6 tej ustawy.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left"/>
      </w:pPr>
      <w:r>
        <w:rPr>
          <w:rStyle w:val="CharStyle12"/>
        </w:rPr>
        <w:t>Tymczasem kwestie podniesione w petycji wykraczają poza kompetencje organu koncesyjnego i Ministra Klimatu i Środowiska – jako organu odwoławczego od decyzji organu koncesyjnego. Nie wynikają one wprost z przepisów ustawy - Prawo geologiczne i górnicze</w:t>
      </w:r>
      <w:r>
        <w:rPr>
          <w:rStyle w:val="CharStyle12"/>
          <w:vertAlign w:val="superscript"/>
        </w:rPr>
        <w:footnoteReference w:id="7"/>
      </w:r>
      <w:r>
        <w:rPr>
          <w:rStyle w:val="CharStyle12"/>
        </w:rPr>
        <w:t xml:space="preserve"> – stanowiącego źródło przepisów prawa materialnego dla organów udzielających koncesji na wydobywanie kopalin ze złóż. Wynikają one natomiast bezpośrednio z przepisów ustawy z dnia 3 października 2008 r. – o udostępnianiu informacji o środowisku i jego ochronie, udziale społeczeństwa w ochronie środowiska oraz o ocenach oddziaływania na środowisko</w:t>
      </w:r>
      <w:r>
        <w:rPr>
          <w:rStyle w:val="CharStyle12"/>
          <w:vertAlign w:val="superscript"/>
        </w:rPr>
        <w:footnoteReference w:id="8"/>
      </w:r>
      <w:r>
        <w:rPr>
          <w:rStyle w:val="CharStyle12"/>
        </w:rPr>
        <w:t xml:space="preserve"> i pozostają we właściwości wymienionych tam organów. Tym samym argumenty te pozostają poza właściwością organu koncesyjnego i organu odwoławczego – Ministra Klimatu i Środowiska. Dodatkowo wspomnieć należy, że oddziaływanie ww. działalności koncesyjnej na środowisko zostało ocenione w toku postępowania środowiskowego zakończonego decyzją</w:t>
      </w:r>
      <w:r>
        <w:rPr>
          <w:rStyle w:val="CharStyle12"/>
          <w:vertAlign w:val="superscript"/>
        </w:rPr>
        <w:footnoteReference w:id="9"/>
      </w:r>
      <w:r>
        <w:rPr>
          <w:rStyle w:val="CharStyle12"/>
        </w:rPr>
        <w:t xml:space="preserve"> Wójta Gminy Kamienna Góra z 30 listopada 2023 r. w przedmiocie środowiskowych uwarunkowań dla przedsięwzięcia polegającego na „eksploatacji i przeróbce kopaliny (porfiru oraz kruszywa naturalnego) z udokumentowanego złoża „Olszyny I” (w granicach jego udokumentowania poziomego i pionowego) – miejscowość Olszyny, gmina Kamienna Góra, powiat kamiennogórski, województwo dolnośląskie. Z kolei organem wyższego stopnia w stosunku do organów samorządu terytorialnego (w tym Wójta Gminy Kamienna Góra) jest właściwe miejscowo samorządowe kolegium odwoławcze (art. 17 pkt 1 k.p.a.). Tym samym Minister Klimatu i Środowiska nie jest organem właściwym rzeczowo i instancyjnie do ponownej oceny oddziaływania ww. działalności na środowisko.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left"/>
      </w:pPr>
      <w:r>
        <w:rPr>
          <w:rStyle w:val="CharStyle12"/>
        </w:rPr>
        <w:t>Z up. Ministra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12"/>
        </w:rPr>
        <w:t>Departament Geologii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80" w:line="252" w:lineRule="auto"/>
        <w:ind w:left="0" w:right="0" w:firstLine="0"/>
        <w:jc w:val="left"/>
      </w:pPr>
      <w:r>
        <w:rPr>
          <w:rStyle w:val="CharStyle12"/>
        </w:rPr>
        <w:t>Ministerstwo Klimatu i Środowiska / – podpisany cyfrowo/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  <w:u w:val="single"/>
        </w:rPr>
        <w:t>Otrzymują: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adresat;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aa.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127" w:right="1972" w:bottom="1754" w:left="1941" w:header="169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3747135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7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05000000000001pt;margin-top:789.39999999999998pt;width:3.85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7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6"/>
          <w:szCs w:val="16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na podstawie art. 82 ustawy z dnia 3 października 2008 r. – o udostępnianiu informacji o środowisku i jego ochronie, udziale społeczeństwa w ochronie środowiska oraz ocenach oddziaływania na środowisko (Dz.U. z 2024 r. poz. 1112 z późn. zm.).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ustawa z dnia 20 czerwca – Prawo o ruchu drogowym (Dz.U. z 2024 r. poz. 1251 z późn. zm.).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por. postanowienie Naczelnego Sądu Administracyjnego z dnia 23 sierpnia 2011 r., sygn. akt: II FSK 476/11.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Konstytucja Rzeczypospolitej Polskiej z dnia 2 kwietnia 1997 r. (Dz.U. Nr 78, poz. 483 z późn. zm.).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ustawa z dnia 9 czerwca 2011 r. – Prawo geologiczne i górnicze (Dz.U. z 2026 r. poz. 69).</w:t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Dz.U. 2024 r. poz. 1112 z późn. zm.</w:t>
      </w:r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znak: KROŚ.6220.1.2022.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Body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Body text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Heading #1_"/>
    <w:basedOn w:val="DefaultParagraphFont"/>
    <w:link w:val="Style9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2">
    <w:name w:val="Body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Header or footer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9">
    <w:name w:val="Heading #1"/>
    <w:basedOn w:val="Normal"/>
    <w:link w:val="CharStyle10"/>
    <w:pPr>
      <w:widowControl w:val="0"/>
      <w:shd w:val="clear" w:color="auto" w:fill="auto"/>
      <w:spacing w:after="190" w:line="228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styleId="Style11">
    <w:name w:val="Body text"/>
    <w:basedOn w:val="Normal"/>
    <w:link w:val="CharStyle12"/>
    <w:qFormat/>
    <w:pPr>
      <w:widowControl w:val="0"/>
      <w:shd w:val="clear" w:color="auto" w:fill="auto"/>
      <w:spacing w:after="280" w:line="31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Header or footer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departament_kolor</dc:title>
  <dc:subject/>
  <dc:creator/>
  <cp:keywords>PL, KOLOR</cp:keywords>
</cp:coreProperties>
</file>