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7203" w14:textId="77777777" w:rsidR="0057425E" w:rsidRPr="00BD2901" w:rsidRDefault="0057425E" w:rsidP="000C2B32">
      <w:pPr>
        <w:spacing w:after="120" w:line="276" w:lineRule="auto"/>
        <w:rPr>
          <w:b/>
          <w:bCs/>
        </w:rPr>
      </w:pPr>
    </w:p>
    <w:p w14:paraId="5855274F" w14:textId="17496B2B" w:rsidR="00A8774F" w:rsidRPr="009576D8" w:rsidRDefault="00BD2901" w:rsidP="009576D8">
      <w:pPr>
        <w:spacing w:after="120" w:line="276" w:lineRule="auto"/>
        <w:ind w:left="5664"/>
        <w:rPr>
          <w:sz w:val="24"/>
          <w:szCs w:val="24"/>
        </w:rPr>
      </w:pPr>
      <w:r w:rsidRPr="009576D8">
        <w:rPr>
          <w:sz w:val="24"/>
          <w:szCs w:val="24"/>
        </w:rPr>
        <w:t xml:space="preserve">Załącznik do uchwały nr … Rady Ministrów z dnia … (M.P. poz. …) </w:t>
      </w:r>
    </w:p>
    <w:p w14:paraId="6EA0E8A6" w14:textId="77777777" w:rsidR="00A8774F" w:rsidRPr="00BD2901" w:rsidRDefault="00A8774F" w:rsidP="000C2B32">
      <w:pPr>
        <w:spacing w:after="120" w:line="276" w:lineRule="auto"/>
        <w:rPr>
          <w:b/>
          <w:bCs/>
        </w:rPr>
      </w:pPr>
    </w:p>
    <w:p w14:paraId="1A6BB65A" w14:textId="77777777" w:rsidR="00A8774F" w:rsidRPr="00BD2901" w:rsidRDefault="00A8774F" w:rsidP="000C2B32">
      <w:pPr>
        <w:spacing w:after="120" w:line="276" w:lineRule="auto"/>
        <w:rPr>
          <w:b/>
          <w:bCs/>
        </w:rPr>
      </w:pPr>
    </w:p>
    <w:p w14:paraId="275EF0FB" w14:textId="77777777" w:rsidR="001B7C19" w:rsidRPr="009576D8" w:rsidRDefault="001B7C19" w:rsidP="000C2B32">
      <w:pPr>
        <w:spacing w:after="120" w:line="276" w:lineRule="auto"/>
        <w:rPr>
          <w:b/>
          <w:bCs/>
        </w:rPr>
      </w:pPr>
    </w:p>
    <w:p w14:paraId="5319AF2F" w14:textId="77777777" w:rsidR="0041390D" w:rsidRPr="00BD2901" w:rsidRDefault="0041390D" w:rsidP="000C2B32">
      <w:pPr>
        <w:spacing w:after="120" w:line="276" w:lineRule="auto"/>
        <w:rPr>
          <w:b/>
          <w:bCs/>
        </w:rPr>
      </w:pPr>
    </w:p>
    <w:p w14:paraId="6A70022D" w14:textId="77777777" w:rsidR="001B7C19" w:rsidRPr="00BD2901" w:rsidRDefault="001B7C19" w:rsidP="000C2B32">
      <w:pPr>
        <w:spacing w:after="120" w:line="276" w:lineRule="auto"/>
        <w:rPr>
          <w:b/>
          <w:bCs/>
        </w:rPr>
      </w:pPr>
    </w:p>
    <w:p w14:paraId="7CC7538D" w14:textId="77777777" w:rsidR="001B7C19" w:rsidRPr="00BD2901" w:rsidRDefault="001B7C19" w:rsidP="000C2B32">
      <w:pPr>
        <w:spacing w:after="120" w:line="276" w:lineRule="auto"/>
        <w:rPr>
          <w:b/>
          <w:bCs/>
        </w:rPr>
      </w:pPr>
    </w:p>
    <w:p w14:paraId="0BFF2FC9" w14:textId="2095005B" w:rsidR="00CB4D74" w:rsidRPr="009576D8" w:rsidRDefault="00A8774F" w:rsidP="00A8774F">
      <w:pPr>
        <w:pStyle w:val="Cytatintensywny"/>
        <w:spacing w:before="0" w:after="120" w:line="276" w:lineRule="auto"/>
        <w:rPr>
          <w:rFonts w:cs="Times New Roman"/>
          <w:b/>
          <w:bCs/>
          <w:i w:val="0"/>
          <w:iCs w:val="0"/>
          <w:color w:val="156082" w:themeColor="accent1"/>
          <w:sz w:val="40"/>
          <w:szCs w:val="40"/>
        </w:rPr>
      </w:pPr>
      <w:r w:rsidRPr="009576D8">
        <w:rPr>
          <w:rFonts w:cs="Times New Roman"/>
          <w:b/>
          <w:bCs/>
          <w:i w:val="0"/>
          <w:iCs w:val="0"/>
          <w:color w:val="156082" w:themeColor="accent1"/>
          <w:sz w:val="40"/>
          <w:szCs w:val="40"/>
        </w:rPr>
        <w:t>Program regulacyjny</w:t>
      </w:r>
      <w:r w:rsidR="0041390D" w:rsidRPr="009576D8">
        <w:rPr>
          <w:rFonts w:cs="Times New Roman"/>
          <w:b/>
          <w:bCs/>
          <w:i w:val="0"/>
          <w:iCs w:val="0"/>
          <w:color w:val="156082" w:themeColor="accent1"/>
          <w:sz w:val="40"/>
          <w:szCs w:val="40"/>
        </w:rPr>
        <w:t xml:space="preserve"> </w:t>
      </w:r>
      <w:r w:rsidR="00C819B1">
        <w:rPr>
          <w:rFonts w:cs="Times New Roman"/>
          <w:b/>
          <w:bCs/>
          <w:i w:val="0"/>
          <w:iCs w:val="0"/>
          <w:color w:val="156082" w:themeColor="accent1"/>
          <w:sz w:val="40"/>
          <w:szCs w:val="40"/>
        </w:rPr>
        <w:t>na lata 2026-</w:t>
      </w:r>
      <w:r w:rsidR="0041390D" w:rsidRPr="009576D8">
        <w:rPr>
          <w:rFonts w:cs="Times New Roman"/>
          <w:b/>
          <w:bCs/>
          <w:i w:val="0"/>
          <w:iCs w:val="0"/>
          <w:color w:val="156082" w:themeColor="accent1"/>
          <w:sz w:val="40"/>
          <w:szCs w:val="40"/>
        </w:rPr>
        <w:t>2028</w:t>
      </w:r>
    </w:p>
    <w:p w14:paraId="5BC5E528" w14:textId="302A28C0" w:rsidR="00BD2901" w:rsidRPr="009576D8" w:rsidRDefault="00BD2901" w:rsidP="009576D8">
      <w:pPr>
        <w:jc w:val="center"/>
        <w:rPr>
          <w:i/>
          <w:iCs/>
          <w:sz w:val="16"/>
          <w:szCs w:val="16"/>
        </w:rPr>
      </w:pPr>
      <w:r w:rsidRPr="009576D8">
        <w:rPr>
          <w:rFonts w:cs="Times New Roman"/>
          <w:b/>
          <w:bCs/>
          <w:sz w:val="24"/>
          <w:szCs w:val="24"/>
        </w:rPr>
        <w:t xml:space="preserve">[Projekt z dnia </w:t>
      </w:r>
      <w:r w:rsidR="00B908E0">
        <w:rPr>
          <w:rFonts w:cs="Times New Roman"/>
          <w:b/>
          <w:bCs/>
          <w:sz w:val="24"/>
          <w:szCs w:val="24"/>
        </w:rPr>
        <w:t>1</w:t>
      </w:r>
      <w:r w:rsidR="007F4713">
        <w:rPr>
          <w:rFonts w:cs="Times New Roman"/>
          <w:b/>
          <w:bCs/>
          <w:sz w:val="24"/>
          <w:szCs w:val="24"/>
        </w:rPr>
        <w:t>4</w:t>
      </w:r>
      <w:r w:rsidR="00B908E0">
        <w:rPr>
          <w:rFonts w:cs="Times New Roman"/>
          <w:b/>
          <w:bCs/>
          <w:sz w:val="24"/>
          <w:szCs w:val="24"/>
        </w:rPr>
        <w:t xml:space="preserve">.01.2026 </w:t>
      </w:r>
      <w:r w:rsidRPr="009576D8">
        <w:rPr>
          <w:rFonts w:cs="Times New Roman"/>
          <w:b/>
          <w:bCs/>
          <w:sz w:val="24"/>
          <w:szCs w:val="24"/>
        </w:rPr>
        <w:t>r.]</w:t>
      </w:r>
    </w:p>
    <w:p w14:paraId="39B20793" w14:textId="77777777" w:rsidR="00A8774F" w:rsidRPr="00BD2901" w:rsidRDefault="00A8774F" w:rsidP="000C2B32">
      <w:pPr>
        <w:spacing w:after="120" w:line="276" w:lineRule="auto"/>
        <w:rPr>
          <w:b/>
          <w:bCs/>
        </w:rPr>
      </w:pPr>
    </w:p>
    <w:p w14:paraId="6894D264" w14:textId="77777777" w:rsidR="00A8774F" w:rsidRPr="009576D8" w:rsidRDefault="00A8774F" w:rsidP="000C2B32">
      <w:pPr>
        <w:spacing w:after="120" w:line="276" w:lineRule="auto"/>
        <w:rPr>
          <w:b/>
          <w:bCs/>
        </w:rPr>
      </w:pPr>
    </w:p>
    <w:p w14:paraId="4567EB47" w14:textId="77777777" w:rsidR="0041390D" w:rsidRPr="009576D8" w:rsidRDefault="0041390D" w:rsidP="000C2B32">
      <w:pPr>
        <w:spacing w:after="120" w:line="276" w:lineRule="auto"/>
        <w:rPr>
          <w:b/>
          <w:bCs/>
        </w:rPr>
      </w:pPr>
    </w:p>
    <w:p w14:paraId="2679B083" w14:textId="77777777" w:rsidR="0041390D" w:rsidRPr="009576D8" w:rsidRDefault="0041390D" w:rsidP="000C2B32">
      <w:pPr>
        <w:spacing w:after="120" w:line="276" w:lineRule="auto"/>
        <w:rPr>
          <w:b/>
          <w:bCs/>
        </w:rPr>
      </w:pPr>
    </w:p>
    <w:p w14:paraId="71A763E9" w14:textId="77777777" w:rsidR="0041390D" w:rsidRPr="009576D8" w:rsidRDefault="0041390D" w:rsidP="000C2B32">
      <w:pPr>
        <w:spacing w:after="120" w:line="276" w:lineRule="auto"/>
        <w:rPr>
          <w:b/>
          <w:bCs/>
        </w:rPr>
      </w:pPr>
    </w:p>
    <w:p w14:paraId="7F488712" w14:textId="77777777" w:rsidR="0041390D" w:rsidRPr="009576D8" w:rsidRDefault="0041390D" w:rsidP="000C2B32">
      <w:pPr>
        <w:spacing w:after="120" w:line="276" w:lineRule="auto"/>
        <w:rPr>
          <w:b/>
          <w:bCs/>
        </w:rPr>
      </w:pPr>
    </w:p>
    <w:p w14:paraId="692A2879" w14:textId="77777777" w:rsidR="0041390D" w:rsidRPr="009576D8" w:rsidRDefault="0041390D" w:rsidP="000C2B32">
      <w:pPr>
        <w:spacing w:after="120" w:line="276" w:lineRule="auto"/>
        <w:rPr>
          <w:b/>
          <w:bCs/>
        </w:rPr>
      </w:pPr>
    </w:p>
    <w:p w14:paraId="40667D2D" w14:textId="77777777" w:rsidR="0041390D" w:rsidRPr="009576D8" w:rsidRDefault="0041390D" w:rsidP="000C2B32">
      <w:pPr>
        <w:spacing w:after="120" w:line="276" w:lineRule="auto"/>
        <w:rPr>
          <w:b/>
          <w:bCs/>
        </w:rPr>
      </w:pPr>
    </w:p>
    <w:p w14:paraId="54BD60F7" w14:textId="77777777" w:rsidR="0041390D" w:rsidRPr="009576D8" w:rsidRDefault="0041390D" w:rsidP="000C2B32">
      <w:pPr>
        <w:spacing w:after="120" w:line="276" w:lineRule="auto"/>
        <w:rPr>
          <w:b/>
          <w:bCs/>
        </w:rPr>
      </w:pPr>
    </w:p>
    <w:p w14:paraId="03643047" w14:textId="77777777" w:rsidR="0041390D" w:rsidRPr="009576D8" w:rsidRDefault="0041390D" w:rsidP="000C2B32">
      <w:pPr>
        <w:spacing w:after="120" w:line="276" w:lineRule="auto"/>
        <w:rPr>
          <w:b/>
          <w:bCs/>
        </w:rPr>
      </w:pPr>
    </w:p>
    <w:p w14:paraId="4CAC9D18" w14:textId="77777777" w:rsidR="0041390D" w:rsidRPr="009576D8" w:rsidRDefault="0041390D" w:rsidP="000C2B32">
      <w:pPr>
        <w:spacing w:after="120" w:line="276" w:lineRule="auto"/>
        <w:rPr>
          <w:b/>
          <w:bCs/>
        </w:rPr>
      </w:pPr>
    </w:p>
    <w:p w14:paraId="528F1485" w14:textId="77777777" w:rsidR="0041390D" w:rsidRPr="009576D8" w:rsidRDefault="0041390D" w:rsidP="000C2B32">
      <w:pPr>
        <w:spacing w:after="120" w:line="276" w:lineRule="auto"/>
        <w:rPr>
          <w:b/>
          <w:bCs/>
        </w:rPr>
      </w:pPr>
    </w:p>
    <w:p w14:paraId="5DE2B43D" w14:textId="77777777" w:rsidR="0041390D" w:rsidRPr="009576D8" w:rsidRDefault="0041390D" w:rsidP="000C2B32">
      <w:pPr>
        <w:spacing w:after="120" w:line="276" w:lineRule="auto"/>
        <w:rPr>
          <w:b/>
          <w:bCs/>
        </w:rPr>
      </w:pPr>
    </w:p>
    <w:p w14:paraId="41F1DFDD" w14:textId="77777777" w:rsidR="0041390D" w:rsidRPr="009576D8" w:rsidRDefault="0041390D" w:rsidP="000C2B32">
      <w:pPr>
        <w:spacing w:after="120" w:line="276" w:lineRule="auto"/>
        <w:rPr>
          <w:b/>
          <w:bCs/>
        </w:rPr>
      </w:pPr>
    </w:p>
    <w:p w14:paraId="2590C169" w14:textId="77777777" w:rsidR="0041390D" w:rsidRPr="009576D8" w:rsidRDefault="0041390D" w:rsidP="000C2B32">
      <w:pPr>
        <w:spacing w:after="120" w:line="276" w:lineRule="auto"/>
        <w:rPr>
          <w:b/>
          <w:bCs/>
        </w:rPr>
      </w:pPr>
    </w:p>
    <w:p w14:paraId="078AC6CD" w14:textId="77777777" w:rsidR="00BD2901" w:rsidRPr="009576D8" w:rsidRDefault="00BD2901" w:rsidP="000C2B32">
      <w:pPr>
        <w:spacing w:after="120" w:line="276" w:lineRule="auto"/>
        <w:rPr>
          <w:b/>
          <w:bCs/>
        </w:rPr>
      </w:pPr>
    </w:p>
    <w:p w14:paraId="711BBB80" w14:textId="77777777" w:rsidR="00BD2901" w:rsidRPr="009576D8" w:rsidRDefault="00BD2901" w:rsidP="000C2B32">
      <w:pPr>
        <w:spacing w:after="120" w:line="276" w:lineRule="auto"/>
        <w:rPr>
          <w:b/>
          <w:bCs/>
        </w:rPr>
      </w:pPr>
    </w:p>
    <w:p w14:paraId="5FF3C632" w14:textId="5C6A1E26" w:rsidR="00BD2901" w:rsidRPr="009576D8" w:rsidRDefault="00597917">
      <w:pPr>
        <w:spacing w:after="120" w:line="276" w:lineRule="auto"/>
        <w:jc w:val="center"/>
        <w:rPr>
          <w:b/>
          <w:bCs/>
          <w:sz w:val="24"/>
          <w:szCs w:val="24"/>
        </w:rPr>
      </w:pPr>
      <w:r>
        <w:rPr>
          <w:b/>
          <w:bCs/>
          <w:sz w:val="24"/>
          <w:szCs w:val="24"/>
        </w:rPr>
        <w:t>Styczeń 2026</w:t>
      </w:r>
    </w:p>
    <w:p w14:paraId="7DA8B513" w14:textId="42A4EDB3" w:rsidR="00BD2901" w:rsidRPr="009576D8" w:rsidRDefault="00BD2901">
      <w:pPr>
        <w:rPr>
          <w:b/>
          <w:bCs/>
        </w:rPr>
      </w:pPr>
    </w:p>
    <w:p w14:paraId="3A2CAB3F" w14:textId="77777777" w:rsidR="0041390D" w:rsidRPr="00BD2901" w:rsidRDefault="0041390D" w:rsidP="000C2B32">
      <w:pPr>
        <w:spacing w:after="120" w:line="276" w:lineRule="auto"/>
        <w:rPr>
          <w:b/>
          <w:bCs/>
        </w:rPr>
      </w:pPr>
    </w:p>
    <w:sdt>
      <w:sdtPr>
        <w:rPr>
          <w:rFonts w:asciiTheme="minorHAnsi" w:eastAsiaTheme="minorHAnsi" w:hAnsiTheme="minorHAnsi" w:cstheme="minorBidi"/>
          <w:color w:val="auto"/>
          <w:kern w:val="2"/>
          <w:sz w:val="22"/>
          <w:szCs w:val="22"/>
          <w:lang w:eastAsia="en-US"/>
          <w14:ligatures w14:val="standardContextual"/>
        </w:rPr>
        <w:id w:val="-2141712067"/>
        <w:docPartObj>
          <w:docPartGallery w:val="Table of Contents"/>
          <w:docPartUnique/>
        </w:docPartObj>
      </w:sdtPr>
      <w:sdtEndPr>
        <w:rPr>
          <w:b/>
          <w:bCs/>
        </w:rPr>
      </w:sdtEndPr>
      <w:sdtContent>
        <w:p w14:paraId="7D3AA991" w14:textId="56E5925B" w:rsidR="009B1450" w:rsidRPr="009576D8" w:rsidRDefault="009B1450" w:rsidP="00124F38">
          <w:pPr>
            <w:pStyle w:val="Nagwekspisutreci"/>
            <w:rPr>
              <w:rFonts w:asciiTheme="minorHAnsi" w:hAnsiTheme="minorHAnsi"/>
            </w:rPr>
          </w:pPr>
          <w:r w:rsidRPr="009576D8">
            <w:rPr>
              <w:rFonts w:asciiTheme="minorHAnsi" w:hAnsiTheme="minorHAnsi"/>
            </w:rPr>
            <w:t>Spis treści</w:t>
          </w:r>
        </w:p>
        <w:p w14:paraId="078C2DA7" w14:textId="499CDAC2" w:rsidR="007123DB" w:rsidRDefault="009B1450" w:rsidP="00124F38">
          <w:pPr>
            <w:pStyle w:val="Spistreci1"/>
            <w:tabs>
              <w:tab w:val="left" w:pos="440"/>
              <w:tab w:val="right" w:leader="dot" w:pos="9062"/>
            </w:tabs>
            <w:rPr>
              <w:rFonts w:eastAsiaTheme="minorEastAsia"/>
              <w:noProof/>
              <w:sz w:val="24"/>
              <w:szCs w:val="24"/>
              <w:lang w:eastAsia="pl-PL"/>
            </w:rPr>
          </w:pPr>
          <w:r w:rsidRPr="000C3FEC">
            <w:fldChar w:fldCharType="begin"/>
          </w:r>
          <w:r w:rsidRPr="000C3FEC">
            <w:instrText xml:space="preserve"> TOC \o "1-3" \h \z \u </w:instrText>
          </w:r>
          <w:r w:rsidRPr="000C3FEC">
            <w:fldChar w:fldCharType="separate"/>
          </w:r>
          <w:hyperlink w:anchor="_Toc219276853" w:history="1">
            <w:r w:rsidR="007123DB" w:rsidRPr="009E4358">
              <w:rPr>
                <w:rStyle w:val="Hipercze"/>
                <w:b/>
                <w:bCs/>
                <w:noProof/>
              </w:rPr>
              <w:t>I.</w:t>
            </w:r>
            <w:r w:rsidR="007123DB">
              <w:rPr>
                <w:rFonts w:eastAsiaTheme="minorEastAsia"/>
                <w:noProof/>
                <w:sz w:val="24"/>
                <w:szCs w:val="24"/>
                <w:lang w:eastAsia="pl-PL"/>
              </w:rPr>
              <w:tab/>
            </w:r>
            <w:r w:rsidR="007123DB" w:rsidRPr="009E4358">
              <w:rPr>
                <w:rStyle w:val="Hipercze"/>
                <w:b/>
                <w:bCs/>
                <w:noProof/>
              </w:rPr>
              <w:t>Wprowadzenie</w:t>
            </w:r>
            <w:r w:rsidR="007123DB">
              <w:rPr>
                <w:noProof/>
                <w:webHidden/>
              </w:rPr>
              <w:tab/>
            </w:r>
            <w:r w:rsidR="007123DB">
              <w:rPr>
                <w:noProof/>
                <w:webHidden/>
              </w:rPr>
              <w:fldChar w:fldCharType="begin"/>
            </w:r>
            <w:r w:rsidR="007123DB">
              <w:rPr>
                <w:noProof/>
                <w:webHidden/>
              </w:rPr>
              <w:instrText xml:space="preserve"> PAGEREF _Toc219276853 \h </w:instrText>
            </w:r>
            <w:r w:rsidR="007123DB">
              <w:rPr>
                <w:noProof/>
                <w:webHidden/>
              </w:rPr>
            </w:r>
            <w:r w:rsidR="007123DB">
              <w:rPr>
                <w:noProof/>
                <w:webHidden/>
              </w:rPr>
              <w:fldChar w:fldCharType="separate"/>
            </w:r>
            <w:r w:rsidR="007123DB">
              <w:rPr>
                <w:noProof/>
                <w:webHidden/>
              </w:rPr>
              <w:t>4</w:t>
            </w:r>
            <w:r w:rsidR="007123DB">
              <w:rPr>
                <w:noProof/>
                <w:webHidden/>
              </w:rPr>
              <w:fldChar w:fldCharType="end"/>
            </w:r>
          </w:hyperlink>
        </w:p>
        <w:p w14:paraId="27C01817" w14:textId="70D3E256"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4" w:history="1">
            <w:r w:rsidRPr="009E4358">
              <w:rPr>
                <w:rStyle w:val="Hipercze"/>
                <w:noProof/>
              </w:rPr>
              <w:t>1.</w:t>
            </w:r>
            <w:r>
              <w:rPr>
                <w:rFonts w:eastAsiaTheme="minorEastAsia"/>
                <w:noProof/>
                <w:sz w:val="24"/>
                <w:szCs w:val="24"/>
                <w:lang w:eastAsia="pl-PL"/>
              </w:rPr>
              <w:tab/>
            </w:r>
            <w:r w:rsidRPr="009E4358">
              <w:rPr>
                <w:rStyle w:val="Hipercze"/>
                <w:noProof/>
              </w:rPr>
              <w:t>Podstawowe informacje o Programie</w:t>
            </w:r>
            <w:r>
              <w:rPr>
                <w:noProof/>
                <w:webHidden/>
              </w:rPr>
              <w:tab/>
            </w:r>
            <w:r>
              <w:rPr>
                <w:noProof/>
                <w:webHidden/>
              </w:rPr>
              <w:fldChar w:fldCharType="begin"/>
            </w:r>
            <w:r>
              <w:rPr>
                <w:noProof/>
                <w:webHidden/>
              </w:rPr>
              <w:instrText xml:space="preserve"> PAGEREF _Toc219276854 \h </w:instrText>
            </w:r>
            <w:r>
              <w:rPr>
                <w:noProof/>
                <w:webHidden/>
              </w:rPr>
            </w:r>
            <w:r>
              <w:rPr>
                <w:noProof/>
                <w:webHidden/>
              </w:rPr>
              <w:fldChar w:fldCharType="separate"/>
            </w:r>
            <w:r>
              <w:rPr>
                <w:noProof/>
                <w:webHidden/>
              </w:rPr>
              <w:t>4</w:t>
            </w:r>
            <w:r>
              <w:rPr>
                <w:noProof/>
                <w:webHidden/>
              </w:rPr>
              <w:fldChar w:fldCharType="end"/>
            </w:r>
          </w:hyperlink>
        </w:p>
        <w:p w14:paraId="0F68FB95" w14:textId="6D738FE6"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5" w:history="1">
            <w:r w:rsidRPr="009E4358">
              <w:rPr>
                <w:rStyle w:val="Hipercze"/>
                <w:noProof/>
              </w:rPr>
              <w:t>2.</w:t>
            </w:r>
            <w:r>
              <w:rPr>
                <w:rFonts w:eastAsiaTheme="minorEastAsia"/>
                <w:noProof/>
                <w:sz w:val="24"/>
                <w:szCs w:val="24"/>
                <w:lang w:eastAsia="pl-PL"/>
              </w:rPr>
              <w:tab/>
            </w:r>
            <w:r w:rsidRPr="009E4358">
              <w:rPr>
                <w:rStyle w:val="Hipercze"/>
                <w:noProof/>
              </w:rPr>
              <w:t>Znaczenie Programu w kontekście polskiej gospodarki</w:t>
            </w:r>
            <w:r>
              <w:rPr>
                <w:noProof/>
                <w:webHidden/>
              </w:rPr>
              <w:tab/>
            </w:r>
            <w:r>
              <w:rPr>
                <w:noProof/>
                <w:webHidden/>
              </w:rPr>
              <w:fldChar w:fldCharType="begin"/>
            </w:r>
            <w:r>
              <w:rPr>
                <w:noProof/>
                <w:webHidden/>
              </w:rPr>
              <w:instrText xml:space="preserve"> PAGEREF _Toc219276855 \h </w:instrText>
            </w:r>
            <w:r>
              <w:rPr>
                <w:noProof/>
                <w:webHidden/>
              </w:rPr>
            </w:r>
            <w:r>
              <w:rPr>
                <w:noProof/>
                <w:webHidden/>
              </w:rPr>
              <w:fldChar w:fldCharType="separate"/>
            </w:r>
            <w:r>
              <w:rPr>
                <w:noProof/>
                <w:webHidden/>
              </w:rPr>
              <w:t>4</w:t>
            </w:r>
            <w:r>
              <w:rPr>
                <w:noProof/>
                <w:webHidden/>
              </w:rPr>
              <w:fldChar w:fldCharType="end"/>
            </w:r>
          </w:hyperlink>
        </w:p>
        <w:p w14:paraId="498832B5" w14:textId="781E491F"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6" w:history="1">
            <w:r w:rsidRPr="009E4358">
              <w:rPr>
                <w:rStyle w:val="Hipercze"/>
                <w:noProof/>
              </w:rPr>
              <w:t>3.</w:t>
            </w:r>
            <w:r>
              <w:rPr>
                <w:rFonts w:eastAsiaTheme="minorEastAsia"/>
                <w:noProof/>
                <w:sz w:val="24"/>
                <w:szCs w:val="24"/>
                <w:lang w:eastAsia="pl-PL"/>
              </w:rPr>
              <w:tab/>
            </w:r>
            <w:r w:rsidRPr="009E4358">
              <w:rPr>
                <w:rStyle w:val="Hipercze"/>
                <w:noProof/>
              </w:rPr>
              <w:t>Geneza Programu</w:t>
            </w:r>
            <w:r>
              <w:rPr>
                <w:noProof/>
                <w:webHidden/>
              </w:rPr>
              <w:tab/>
            </w:r>
            <w:r>
              <w:rPr>
                <w:noProof/>
                <w:webHidden/>
              </w:rPr>
              <w:fldChar w:fldCharType="begin"/>
            </w:r>
            <w:r>
              <w:rPr>
                <w:noProof/>
                <w:webHidden/>
              </w:rPr>
              <w:instrText xml:space="preserve"> PAGEREF _Toc219276856 \h </w:instrText>
            </w:r>
            <w:r>
              <w:rPr>
                <w:noProof/>
                <w:webHidden/>
              </w:rPr>
            </w:r>
            <w:r>
              <w:rPr>
                <w:noProof/>
                <w:webHidden/>
              </w:rPr>
              <w:fldChar w:fldCharType="separate"/>
            </w:r>
            <w:r>
              <w:rPr>
                <w:noProof/>
                <w:webHidden/>
              </w:rPr>
              <w:t>5</w:t>
            </w:r>
            <w:r>
              <w:rPr>
                <w:noProof/>
                <w:webHidden/>
              </w:rPr>
              <w:fldChar w:fldCharType="end"/>
            </w:r>
          </w:hyperlink>
        </w:p>
        <w:p w14:paraId="090E30B6" w14:textId="2E95ACE0"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7" w:history="1">
            <w:r w:rsidRPr="009E4358">
              <w:rPr>
                <w:rStyle w:val="Hipercze"/>
                <w:noProof/>
              </w:rPr>
              <w:t>4.</w:t>
            </w:r>
            <w:r>
              <w:rPr>
                <w:rFonts w:eastAsiaTheme="minorEastAsia"/>
                <w:noProof/>
                <w:sz w:val="24"/>
                <w:szCs w:val="24"/>
                <w:lang w:eastAsia="pl-PL"/>
              </w:rPr>
              <w:tab/>
            </w:r>
            <w:r w:rsidRPr="009E4358">
              <w:rPr>
                <w:rStyle w:val="Hipercze"/>
                <w:noProof/>
              </w:rPr>
              <w:t>Program i inne dokumenty strategiczne</w:t>
            </w:r>
            <w:r>
              <w:rPr>
                <w:noProof/>
                <w:webHidden/>
              </w:rPr>
              <w:tab/>
            </w:r>
            <w:r>
              <w:rPr>
                <w:noProof/>
                <w:webHidden/>
              </w:rPr>
              <w:fldChar w:fldCharType="begin"/>
            </w:r>
            <w:r>
              <w:rPr>
                <w:noProof/>
                <w:webHidden/>
              </w:rPr>
              <w:instrText xml:space="preserve"> PAGEREF _Toc219276857 \h </w:instrText>
            </w:r>
            <w:r>
              <w:rPr>
                <w:noProof/>
                <w:webHidden/>
              </w:rPr>
            </w:r>
            <w:r>
              <w:rPr>
                <w:noProof/>
                <w:webHidden/>
              </w:rPr>
              <w:fldChar w:fldCharType="separate"/>
            </w:r>
            <w:r>
              <w:rPr>
                <w:noProof/>
                <w:webHidden/>
              </w:rPr>
              <w:t>6</w:t>
            </w:r>
            <w:r>
              <w:rPr>
                <w:noProof/>
                <w:webHidden/>
              </w:rPr>
              <w:fldChar w:fldCharType="end"/>
            </w:r>
          </w:hyperlink>
        </w:p>
        <w:p w14:paraId="006F5943" w14:textId="46F2138A"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8" w:history="1">
            <w:r w:rsidRPr="009E4358">
              <w:rPr>
                <w:rStyle w:val="Hipercze"/>
                <w:noProof/>
              </w:rPr>
              <w:t>5.</w:t>
            </w:r>
            <w:r>
              <w:rPr>
                <w:rFonts w:eastAsiaTheme="minorEastAsia"/>
                <w:noProof/>
                <w:sz w:val="24"/>
                <w:szCs w:val="24"/>
                <w:lang w:eastAsia="pl-PL"/>
              </w:rPr>
              <w:tab/>
            </w:r>
            <w:r w:rsidRPr="009E4358">
              <w:rPr>
                <w:rStyle w:val="Hipercze"/>
                <w:noProof/>
              </w:rPr>
              <w:t>Cel i zakres Programu</w:t>
            </w:r>
            <w:r>
              <w:rPr>
                <w:noProof/>
                <w:webHidden/>
              </w:rPr>
              <w:tab/>
            </w:r>
            <w:r>
              <w:rPr>
                <w:noProof/>
                <w:webHidden/>
              </w:rPr>
              <w:fldChar w:fldCharType="begin"/>
            </w:r>
            <w:r>
              <w:rPr>
                <w:noProof/>
                <w:webHidden/>
              </w:rPr>
              <w:instrText xml:space="preserve"> PAGEREF _Toc219276858 \h </w:instrText>
            </w:r>
            <w:r>
              <w:rPr>
                <w:noProof/>
                <w:webHidden/>
              </w:rPr>
            </w:r>
            <w:r>
              <w:rPr>
                <w:noProof/>
                <w:webHidden/>
              </w:rPr>
              <w:fldChar w:fldCharType="separate"/>
            </w:r>
            <w:r>
              <w:rPr>
                <w:noProof/>
                <w:webHidden/>
              </w:rPr>
              <w:t>7</w:t>
            </w:r>
            <w:r>
              <w:rPr>
                <w:noProof/>
                <w:webHidden/>
              </w:rPr>
              <w:fldChar w:fldCharType="end"/>
            </w:r>
          </w:hyperlink>
        </w:p>
        <w:p w14:paraId="4AC01A15" w14:textId="09F7F2D5" w:rsidR="007123DB" w:rsidRDefault="007123DB" w:rsidP="00124F38">
          <w:pPr>
            <w:pStyle w:val="Spistreci2"/>
            <w:tabs>
              <w:tab w:val="left" w:pos="720"/>
              <w:tab w:val="right" w:leader="dot" w:pos="9062"/>
            </w:tabs>
            <w:rPr>
              <w:rFonts w:eastAsiaTheme="minorEastAsia"/>
              <w:noProof/>
              <w:sz w:val="24"/>
              <w:szCs w:val="24"/>
              <w:lang w:eastAsia="pl-PL"/>
            </w:rPr>
          </w:pPr>
          <w:hyperlink w:anchor="_Toc219276859" w:history="1">
            <w:r w:rsidRPr="009E4358">
              <w:rPr>
                <w:rStyle w:val="Hipercze"/>
                <w:noProof/>
              </w:rPr>
              <w:t>6.</w:t>
            </w:r>
            <w:r>
              <w:rPr>
                <w:rFonts w:eastAsiaTheme="minorEastAsia"/>
                <w:noProof/>
                <w:sz w:val="24"/>
                <w:szCs w:val="24"/>
                <w:lang w:eastAsia="pl-PL"/>
              </w:rPr>
              <w:tab/>
            </w:r>
            <w:r w:rsidRPr="009E4358">
              <w:rPr>
                <w:rStyle w:val="Hipercze"/>
                <w:noProof/>
              </w:rPr>
              <w:t>Adresaci i beneficjenci Programu</w:t>
            </w:r>
            <w:r>
              <w:rPr>
                <w:noProof/>
                <w:webHidden/>
              </w:rPr>
              <w:tab/>
            </w:r>
            <w:r>
              <w:rPr>
                <w:noProof/>
                <w:webHidden/>
              </w:rPr>
              <w:fldChar w:fldCharType="begin"/>
            </w:r>
            <w:r>
              <w:rPr>
                <w:noProof/>
                <w:webHidden/>
              </w:rPr>
              <w:instrText xml:space="preserve"> PAGEREF _Toc219276859 \h </w:instrText>
            </w:r>
            <w:r>
              <w:rPr>
                <w:noProof/>
                <w:webHidden/>
              </w:rPr>
            </w:r>
            <w:r>
              <w:rPr>
                <w:noProof/>
                <w:webHidden/>
              </w:rPr>
              <w:fldChar w:fldCharType="separate"/>
            </w:r>
            <w:r>
              <w:rPr>
                <w:noProof/>
                <w:webHidden/>
              </w:rPr>
              <w:t>7</w:t>
            </w:r>
            <w:r>
              <w:rPr>
                <w:noProof/>
                <w:webHidden/>
              </w:rPr>
              <w:fldChar w:fldCharType="end"/>
            </w:r>
          </w:hyperlink>
        </w:p>
        <w:p w14:paraId="46B5810E" w14:textId="06C9C6C8" w:rsidR="007123DB" w:rsidRDefault="007123DB" w:rsidP="00124F38">
          <w:pPr>
            <w:pStyle w:val="Spistreci1"/>
            <w:tabs>
              <w:tab w:val="left" w:pos="440"/>
              <w:tab w:val="right" w:leader="dot" w:pos="9062"/>
            </w:tabs>
            <w:rPr>
              <w:rFonts w:eastAsiaTheme="minorEastAsia"/>
              <w:noProof/>
              <w:sz w:val="24"/>
              <w:szCs w:val="24"/>
              <w:lang w:eastAsia="pl-PL"/>
            </w:rPr>
          </w:pPr>
          <w:hyperlink w:anchor="_Toc219276860" w:history="1">
            <w:r w:rsidRPr="009E4358">
              <w:rPr>
                <w:rStyle w:val="Hipercze"/>
                <w:b/>
                <w:bCs/>
                <w:noProof/>
              </w:rPr>
              <w:t>II.</w:t>
            </w:r>
            <w:r>
              <w:rPr>
                <w:rFonts w:eastAsiaTheme="minorEastAsia"/>
                <w:noProof/>
                <w:sz w:val="24"/>
                <w:szCs w:val="24"/>
                <w:lang w:eastAsia="pl-PL"/>
              </w:rPr>
              <w:tab/>
            </w:r>
            <w:r w:rsidRPr="009E4358">
              <w:rPr>
                <w:rStyle w:val="Hipercze"/>
                <w:b/>
                <w:bCs/>
                <w:noProof/>
              </w:rPr>
              <w:t>Obszar 1. Zmniejszanie obciążeń administracyjnych</w:t>
            </w:r>
            <w:r>
              <w:rPr>
                <w:noProof/>
                <w:webHidden/>
              </w:rPr>
              <w:tab/>
            </w:r>
            <w:r>
              <w:rPr>
                <w:noProof/>
                <w:webHidden/>
              </w:rPr>
              <w:fldChar w:fldCharType="begin"/>
            </w:r>
            <w:r>
              <w:rPr>
                <w:noProof/>
                <w:webHidden/>
              </w:rPr>
              <w:instrText xml:space="preserve"> PAGEREF _Toc219276860 \h </w:instrText>
            </w:r>
            <w:r>
              <w:rPr>
                <w:noProof/>
                <w:webHidden/>
              </w:rPr>
            </w:r>
            <w:r>
              <w:rPr>
                <w:noProof/>
                <w:webHidden/>
              </w:rPr>
              <w:fldChar w:fldCharType="separate"/>
            </w:r>
            <w:r>
              <w:rPr>
                <w:noProof/>
                <w:webHidden/>
              </w:rPr>
              <w:t>9</w:t>
            </w:r>
            <w:r>
              <w:rPr>
                <w:noProof/>
                <w:webHidden/>
              </w:rPr>
              <w:fldChar w:fldCharType="end"/>
            </w:r>
          </w:hyperlink>
        </w:p>
        <w:p w14:paraId="3C24CAD5" w14:textId="53F444B0" w:rsidR="007123DB" w:rsidRDefault="007123DB" w:rsidP="00124F38">
          <w:pPr>
            <w:pStyle w:val="Spistreci2"/>
            <w:tabs>
              <w:tab w:val="right" w:leader="dot" w:pos="9062"/>
            </w:tabs>
            <w:rPr>
              <w:rFonts w:eastAsiaTheme="minorEastAsia"/>
              <w:noProof/>
              <w:sz w:val="24"/>
              <w:szCs w:val="24"/>
              <w:lang w:eastAsia="pl-PL"/>
            </w:rPr>
          </w:pPr>
          <w:hyperlink w:anchor="_Toc219276861" w:history="1">
            <w:r w:rsidRPr="009E4358">
              <w:rPr>
                <w:rStyle w:val="Hipercze"/>
                <w:b/>
                <w:bCs/>
                <w:noProof/>
              </w:rPr>
              <w:t>Priorytet 1 – Dalsze działania deregulacyjne</w:t>
            </w:r>
            <w:r>
              <w:rPr>
                <w:noProof/>
                <w:webHidden/>
              </w:rPr>
              <w:tab/>
            </w:r>
            <w:r>
              <w:rPr>
                <w:noProof/>
                <w:webHidden/>
              </w:rPr>
              <w:fldChar w:fldCharType="begin"/>
            </w:r>
            <w:r>
              <w:rPr>
                <w:noProof/>
                <w:webHidden/>
              </w:rPr>
              <w:instrText xml:space="preserve"> PAGEREF _Toc219276861 \h </w:instrText>
            </w:r>
            <w:r>
              <w:rPr>
                <w:noProof/>
                <w:webHidden/>
              </w:rPr>
            </w:r>
            <w:r>
              <w:rPr>
                <w:noProof/>
                <w:webHidden/>
              </w:rPr>
              <w:fldChar w:fldCharType="separate"/>
            </w:r>
            <w:r>
              <w:rPr>
                <w:noProof/>
                <w:webHidden/>
              </w:rPr>
              <w:t>10</w:t>
            </w:r>
            <w:r>
              <w:rPr>
                <w:noProof/>
                <w:webHidden/>
              </w:rPr>
              <w:fldChar w:fldCharType="end"/>
            </w:r>
          </w:hyperlink>
        </w:p>
        <w:p w14:paraId="6A861190" w14:textId="48EED0AE" w:rsidR="007123DB" w:rsidRDefault="007123DB" w:rsidP="00124F38">
          <w:pPr>
            <w:pStyle w:val="Spistreci2"/>
            <w:tabs>
              <w:tab w:val="right" w:leader="dot" w:pos="9062"/>
            </w:tabs>
            <w:rPr>
              <w:rFonts w:eastAsiaTheme="minorEastAsia"/>
              <w:noProof/>
              <w:sz w:val="24"/>
              <w:szCs w:val="24"/>
              <w:lang w:eastAsia="pl-PL"/>
            </w:rPr>
          </w:pPr>
          <w:hyperlink w:anchor="_Toc219276862" w:history="1">
            <w:r w:rsidRPr="009E4358">
              <w:rPr>
                <w:rStyle w:val="Hipercze"/>
                <w:noProof/>
              </w:rPr>
              <w:t>Działanie 1.1. Deregulacja jako stały mechanizm rządowy</w:t>
            </w:r>
            <w:r>
              <w:rPr>
                <w:noProof/>
                <w:webHidden/>
              </w:rPr>
              <w:tab/>
            </w:r>
            <w:r>
              <w:rPr>
                <w:noProof/>
                <w:webHidden/>
              </w:rPr>
              <w:fldChar w:fldCharType="begin"/>
            </w:r>
            <w:r>
              <w:rPr>
                <w:noProof/>
                <w:webHidden/>
              </w:rPr>
              <w:instrText xml:space="preserve"> PAGEREF _Toc219276862 \h </w:instrText>
            </w:r>
            <w:r>
              <w:rPr>
                <w:noProof/>
                <w:webHidden/>
              </w:rPr>
            </w:r>
            <w:r>
              <w:rPr>
                <w:noProof/>
                <w:webHidden/>
              </w:rPr>
              <w:fldChar w:fldCharType="separate"/>
            </w:r>
            <w:r>
              <w:rPr>
                <w:noProof/>
                <w:webHidden/>
              </w:rPr>
              <w:t>11</w:t>
            </w:r>
            <w:r>
              <w:rPr>
                <w:noProof/>
                <w:webHidden/>
              </w:rPr>
              <w:fldChar w:fldCharType="end"/>
            </w:r>
          </w:hyperlink>
        </w:p>
        <w:p w14:paraId="345CA664" w14:textId="01331BC1" w:rsidR="007123DB" w:rsidRDefault="007123DB" w:rsidP="00124F38">
          <w:pPr>
            <w:pStyle w:val="Spistreci2"/>
            <w:tabs>
              <w:tab w:val="right" w:leader="dot" w:pos="9062"/>
            </w:tabs>
            <w:rPr>
              <w:rFonts w:eastAsiaTheme="minorEastAsia"/>
              <w:noProof/>
              <w:sz w:val="24"/>
              <w:szCs w:val="24"/>
              <w:lang w:eastAsia="pl-PL"/>
            </w:rPr>
          </w:pPr>
          <w:hyperlink w:anchor="_Toc219276863" w:history="1">
            <w:r w:rsidRPr="009E4358">
              <w:rPr>
                <w:rStyle w:val="Hipercze"/>
                <w:noProof/>
              </w:rPr>
              <w:t>Działanie 1.2. Systemowe zmiany deregulacyjne</w:t>
            </w:r>
            <w:r>
              <w:rPr>
                <w:noProof/>
                <w:webHidden/>
              </w:rPr>
              <w:tab/>
            </w:r>
            <w:r>
              <w:rPr>
                <w:noProof/>
                <w:webHidden/>
              </w:rPr>
              <w:fldChar w:fldCharType="begin"/>
            </w:r>
            <w:r>
              <w:rPr>
                <w:noProof/>
                <w:webHidden/>
              </w:rPr>
              <w:instrText xml:space="preserve"> PAGEREF _Toc219276863 \h </w:instrText>
            </w:r>
            <w:r>
              <w:rPr>
                <w:noProof/>
                <w:webHidden/>
              </w:rPr>
            </w:r>
            <w:r>
              <w:rPr>
                <w:noProof/>
                <w:webHidden/>
              </w:rPr>
              <w:fldChar w:fldCharType="separate"/>
            </w:r>
            <w:r>
              <w:rPr>
                <w:noProof/>
                <w:webHidden/>
              </w:rPr>
              <w:t>11</w:t>
            </w:r>
            <w:r>
              <w:rPr>
                <w:noProof/>
                <w:webHidden/>
              </w:rPr>
              <w:fldChar w:fldCharType="end"/>
            </w:r>
          </w:hyperlink>
        </w:p>
        <w:p w14:paraId="61682570" w14:textId="776A0E58" w:rsidR="007123DB" w:rsidRDefault="007123DB" w:rsidP="00124F38">
          <w:pPr>
            <w:pStyle w:val="Spistreci2"/>
            <w:tabs>
              <w:tab w:val="right" w:leader="dot" w:pos="9062"/>
            </w:tabs>
            <w:rPr>
              <w:rFonts w:eastAsiaTheme="minorEastAsia"/>
              <w:noProof/>
              <w:sz w:val="24"/>
              <w:szCs w:val="24"/>
              <w:lang w:eastAsia="pl-PL"/>
            </w:rPr>
          </w:pPr>
          <w:hyperlink w:anchor="_Toc219276864" w:history="1">
            <w:r w:rsidRPr="009E4358">
              <w:rPr>
                <w:rStyle w:val="Hipercze"/>
                <w:noProof/>
              </w:rPr>
              <w:t>Działanie 1.3. Kontynuacja działań deregulacyjnych o charakterze punktowym przez ministerstwa</w:t>
            </w:r>
            <w:r>
              <w:rPr>
                <w:noProof/>
                <w:webHidden/>
              </w:rPr>
              <w:tab/>
            </w:r>
            <w:r>
              <w:rPr>
                <w:noProof/>
                <w:webHidden/>
              </w:rPr>
              <w:fldChar w:fldCharType="begin"/>
            </w:r>
            <w:r>
              <w:rPr>
                <w:noProof/>
                <w:webHidden/>
              </w:rPr>
              <w:instrText xml:space="preserve"> PAGEREF _Toc219276864 \h </w:instrText>
            </w:r>
            <w:r>
              <w:rPr>
                <w:noProof/>
                <w:webHidden/>
              </w:rPr>
            </w:r>
            <w:r>
              <w:rPr>
                <w:noProof/>
                <w:webHidden/>
              </w:rPr>
              <w:fldChar w:fldCharType="separate"/>
            </w:r>
            <w:r>
              <w:rPr>
                <w:noProof/>
                <w:webHidden/>
              </w:rPr>
              <w:t>11</w:t>
            </w:r>
            <w:r>
              <w:rPr>
                <w:noProof/>
                <w:webHidden/>
              </w:rPr>
              <w:fldChar w:fldCharType="end"/>
            </w:r>
          </w:hyperlink>
        </w:p>
        <w:p w14:paraId="73713517" w14:textId="58057F9C" w:rsidR="007123DB" w:rsidRDefault="007123DB" w:rsidP="00124F38">
          <w:pPr>
            <w:pStyle w:val="Spistreci2"/>
            <w:tabs>
              <w:tab w:val="right" w:leader="dot" w:pos="9062"/>
            </w:tabs>
            <w:rPr>
              <w:rFonts w:eastAsiaTheme="minorEastAsia"/>
              <w:noProof/>
              <w:sz w:val="24"/>
              <w:szCs w:val="24"/>
              <w:lang w:eastAsia="pl-PL"/>
            </w:rPr>
          </w:pPr>
          <w:hyperlink w:anchor="_Toc219276865" w:history="1">
            <w:r w:rsidRPr="009E4358">
              <w:rPr>
                <w:rStyle w:val="Hipercze"/>
                <w:b/>
                <w:bCs/>
                <w:noProof/>
              </w:rPr>
              <w:t>Priorytet 2 – Upowszechnianie zasady równoważenia obowiązków administracyjnych</w:t>
            </w:r>
            <w:r>
              <w:rPr>
                <w:noProof/>
                <w:webHidden/>
              </w:rPr>
              <w:tab/>
            </w:r>
            <w:r>
              <w:rPr>
                <w:noProof/>
                <w:webHidden/>
              </w:rPr>
              <w:fldChar w:fldCharType="begin"/>
            </w:r>
            <w:r>
              <w:rPr>
                <w:noProof/>
                <w:webHidden/>
              </w:rPr>
              <w:instrText xml:space="preserve"> PAGEREF _Toc219276865 \h </w:instrText>
            </w:r>
            <w:r>
              <w:rPr>
                <w:noProof/>
                <w:webHidden/>
              </w:rPr>
            </w:r>
            <w:r>
              <w:rPr>
                <w:noProof/>
                <w:webHidden/>
              </w:rPr>
              <w:fldChar w:fldCharType="separate"/>
            </w:r>
            <w:r>
              <w:rPr>
                <w:noProof/>
                <w:webHidden/>
              </w:rPr>
              <w:t>16</w:t>
            </w:r>
            <w:r>
              <w:rPr>
                <w:noProof/>
                <w:webHidden/>
              </w:rPr>
              <w:fldChar w:fldCharType="end"/>
            </w:r>
          </w:hyperlink>
        </w:p>
        <w:p w14:paraId="590EB9C7" w14:textId="4612C414" w:rsidR="007123DB" w:rsidRDefault="007123DB" w:rsidP="00124F38">
          <w:pPr>
            <w:pStyle w:val="Spistreci2"/>
            <w:tabs>
              <w:tab w:val="right" w:leader="dot" w:pos="9062"/>
            </w:tabs>
            <w:rPr>
              <w:rFonts w:eastAsiaTheme="minorEastAsia"/>
              <w:noProof/>
              <w:sz w:val="24"/>
              <w:szCs w:val="24"/>
              <w:lang w:eastAsia="pl-PL"/>
            </w:rPr>
          </w:pPr>
          <w:hyperlink w:anchor="_Toc219276866" w:history="1">
            <w:r w:rsidRPr="009E4358">
              <w:rPr>
                <w:rStyle w:val="Hipercze"/>
                <w:noProof/>
              </w:rPr>
              <w:t>Działanie 2.1. Rozwój metodyki szacowania kosztów wynikających z obowiązków administracyjnych i budowa wspólnoty praktyków</w:t>
            </w:r>
            <w:r>
              <w:rPr>
                <w:noProof/>
                <w:webHidden/>
              </w:rPr>
              <w:tab/>
            </w:r>
            <w:r>
              <w:rPr>
                <w:noProof/>
                <w:webHidden/>
              </w:rPr>
              <w:fldChar w:fldCharType="begin"/>
            </w:r>
            <w:r>
              <w:rPr>
                <w:noProof/>
                <w:webHidden/>
              </w:rPr>
              <w:instrText xml:space="preserve"> PAGEREF _Toc219276866 \h </w:instrText>
            </w:r>
            <w:r>
              <w:rPr>
                <w:noProof/>
                <w:webHidden/>
              </w:rPr>
            </w:r>
            <w:r>
              <w:rPr>
                <w:noProof/>
                <w:webHidden/>
              </w:rPr>
              <w:fldChar w:fldCharType="separate"/>
            </w:r>
            <w:r>
              <w:rPr>
                <w:noProof/>
                <w:webHidden/>
              </w:rPr>
              <w:t>16</w:t>
            </w:r>
            <w:r>
              <w:rPr>
                <w:noProof/>
                <w:webHidden/>
              </w:rPr>
              <w:fldChar w:fldCharType="end"/>
            </w:r>
          </w:hyperlink>
        </w:p>
        <w:p w14:paraId="24F9DC0A" w14:textId="64E5FD13" w:rsidR="007123DB" w:rsidRDefault="007123DB" w:rsidP="00124F38">
          <w:pPr>
            <w:pStyle w:val="Spistreci2"/>
            <w:tabs>
              <w:tab w:val="right" w:leader="dot" w:pos="9062"/>
            </w:tabs>
            <w:rPr>
              <w:rFonts w:eastAsiaTheme="minorEastAsia"/>
              <w:noProof/>
              <w:sz w:val="24"/>
              <w:szCs w:val="24"/>
              <w:lang w:eastAsia="pl-PL"/>
            </w:rPr>
          </w:pPr>
          <w:hyperlink w:anchor="_Toc219276867" w:history="1">
            <w:r w:rsidRPr="009E4358">
              <w:rPr>
                <w:rStyle w:val="Hipercze"/>
                <w:noProof/>
              </w:rPr>
              <w:t>Działanie 2.2. Monitoring stosowania zasady równoważenia obowiązków administracyjnych</w:t>
            </w:r>
            <w:r>
              <w:rPr>
                <w:noProof/>
                <w:webHidden/>
              </w:rPr>
              <w:tab/>
            </w:r>
            <w:r>
              <w:rPr>
                <w:noProof/>
                <w:webHidden/>
              </w:rPr>
              <w:fldChar w:fldCharType="begin"/>
            </w:r>
            <w:r>
              <w:rPr>
                <w:noProof/>
                <w:webHidden/>
              </w:rPr>
              <w:instrText xml:space="preserve"> PAGEREF _Toc219276867 \h </w:instrText>
            </w:r>
            <w:r>
              <w:rPr>
                <w:noProof/>
                <w:webHidden/>
              </w:rPr>
            </w:r>
            <w:r>
              <w:rPr>
                <w:noProof/>
                <w:webHidden/>
              </w:rPr>
              <w:fldChar w:fldCharType="separate"/>
            </w:r>
            <w:r>
              <w:rPr>
                <w:noProof/>
                <w:webHidden/>
              </w:rPr>
              <w:t>17</w:t>
            </w:r>
            <w:r>
              <w:rPr>
                <w:noProof/>
                <w:webHidden/>
              </w:rPr>
              <w:fldChar w:fldCharType="end"/>
            </w:r>
          </w:hyperlink>
        </w:p>
        <w:p w14:paraId="207B2FD2" w14:textId="0E549ACA" w:rsidR="007123DB" w:rsidRDefault="007123DB" w:rsidP="00124F38">
          <w:pPr>
            <w:pStyle w:val="Spistreci2"/>
            <w:tabs>
              <w:tab w:val="right" w:leader="dot" w:pos="9062"/>
            </w:tabs>
            <w:rPr>
              <w:rFonts w:eastAsiaTheme="minorEastAsia"/>
              <w:noProof/>
              <w:sz w:val="24"/>
              <w:szCs w:val="24"/>
              <w:lang w:eastAsia="pl-PL"/>
            </w:rPr>
          </w:pPr>
          <w:hyperlink w:anchor="_Toc219276868" w:history="1">
            <w:r w:rsidRPr="009E4358">
              <w:rPr>
                <w:rStyle w:val="Hipercze"/>
                <w:b/>
                <w:bCs/>
                <w:noProof/>
              </w:rPr>
              <w:t>Priorytet 3 – Ograniczenie obciążeń poprzez stosowanie zasady „domyślnie cyfrowo”</w:t>
            </w:r>
            <w:r>
              <w:rPr>
                <w:noProof/>
                <w:webHidden/>
              </w:rPr>
              <w:tab/>
            </w:r>
            <w:r>
              <w:rPr>
                <w:noProof/>
                <w:webHidden/>
              </w:rPr>
              <w:fldChar w:fldCharType="begin"/>
            </w:r>
            <w:r>
              <w:rPr>
                <w:noProof/>
                <w:webHidden/>
              </w:rPr>
              <w:instrText xml:space="preserve"> PAGEREF _Toc219276868 \h </w:instrText>
            </w:r>
            <w:r>
              <w:rPr>
                <w:noProof/>
                <w:webHidden/>
              </w:rPr>
            </w:r>
            <w:r>
              <w:rPr>
                <w:noProof/>
                <w:webHidden/>
              </w:rPr>
              <w:fldChar w:fldCharType="separate"/>
            </w:r>
            <w:r>
              <w:rPr>
                <w:noProof/>
                <w:webHidden/>
              </w:rPr>
              <w:t>17</w:t>
            </w:r>
            <w:r>
              <w:rPr>
                <w:noProof/>
                <w:webHidden/>
              </w:rPr>
              <w:fldChar w:fldCharType="end"/>
            </w:r>
          </w:hyperlink>
        </w:p>
        <w:p w14:paraId="30E64A01" w14:textId="788796C5" w:rsidR="007123DB" w:rsidRDefault="007123DB" w:rsidP="00124F38">
          <w:pPr>
            <w:pStyle w:val="Spistreci2"/>
            <w:tabs>
              <w:tab w:val="right" w:leader="dot" w:pos="9062"/>
            </w:tabs>
            <w:rPr>
              <w:rFonts w:eastAsiaTheme="minorEastAsia"/>
              <w:noProof/>
              <w:sz w:val="24"/>
              <w:szCs w:val="24"/>
              <w:lang w:eastAsia="pl-PL"/>
            </w:rPr>
          </w:pPr>
          <w:hyperlink w:anchor="_Toc219276869" w:history="1">
            <w:r w:rsidRPr="009E4358">
              <w:rPr>
                <w:rStyle w:val="Hipercze"/>
                <w:noProof/>
              </w:rPr>
              <w:t>Działanie 3.1. Nowe narzędzia cyfrowe dla przedsiębiorców i obywateli</w:t>
            </w:r>
            <w:r>
              <w:rPr>
                <w:noProof/>
                <w:webHidden/>
              </w:rPr>
              <w:tab/>
            </w:r>
            <w:r>
              <w:rPr>
                <w:noProof/>
                <w:webHidden/>
              </w:rPr>
              <w:fldChar w:fldCharType="begin"/>
            </w:r>
            <w:r>
              <w:rPr>
                <w:noProof/>
                <w:webHidden/>
              </w:rPr>
              <w:instrText xml:space="preserve"> PAGEREF _Toc219276869 \h </w:instrText>
            </w:r>
            <w:r>
              <w:rPr>
                <w:noProof/>
                <w:webHidden/>
              </w:rPr>
            </w:r>
            <w:r>
              <w:rPr>
                <w:noProof/>
                <w:webHidden/>
              </w:rPr>
              <w:fldChar w:fldCharType="separate"/>
            </w:r>
            <w:r>
              <w:rPr>
                <w:noProof/>
                <w:webHidden/>
              </w:rPr>
              <w:t>18</w:t>
            </w:r>
            <w:r>
              <w:rPr>
                <w:noProof/>
                <w:webHidden/>
              </w:rPr>
              <w:fldChar w:fldCharType="end"/>
            </w:r>
          </w:hyperlink>
        </w:p>
        <w:p w14:paraId="0DB1E37B" w14:textId="6DCA22B1" w:rsidR="007123DB" w:rsidRDefault="007123DB" w:rsidP="00124F38">
          <w:pPr>
            <w:pStyle w:val="Spistreci2"/>
            <w:tabs>
              <w:tab w:val="right" w:leader="dot" w:pos="9062"/>
            </w:tabs>
            <w:rPr>
              <w:rFonts w:eastAsiaTheme="minorEastAsia"/>
              <w:noProof/>
              <w:sz w:val="24"/>
              <w:szCs w:val="24"/>
              <w:lang w:eastAsia="pl-PL"/>
            </w:rPr>
          </w:pPr>
          <w:hyperlink w:anchor="_Toc219276870" w:history="1">
            <w:r w:rsidRPr="009E4358">
              <w:rPr>
                <w:rStyle w:val="Hipercze"/>
                <w:b/>
                <w:bCs/>
                <w:noProof/>
              </w:rPr>
              <w:t>Priorytet 4 – Przeciwdziałanie implementacji zwiększającej obciążenia regulacyjne</w:t>
            </w:r>
            <w:r>
              <w:rPr>
                <w:noProof/>
                <w:webHidden/>
              </w:rPr>
              <w:tab/>
            </w:r>
            <w:r>
              <w:rPr>
                <w:noProof/>
                <w:webHidden/>
              </w:rPr>
              <w:fldChar w:fldCharType="begin"/>
            </w:r>
            <w:r>
              <w:rPr>
                <w:noProof/>
                <w:webHidden/>
              </w:rPr>
              <w:instrText xml:space="preserve"> PAGEREF _Toc219276870 \h </w:instrText>
            </w:r>
            <w:r>
              <w:rPr>
                <w:noProof/>
                <w:webHidden/>
              </w:rPr>
            </w:r>
            <w:r>
              <w:rPr>
                <w:noProof/>
                <w:webHidden/>
              </w:rPr>
              <w:fldChar w:fldCharType="separate"/>
            </w:r>
            <w:r>
              <w:rPr>
                <w:noProof/>
                <w:webHidden/>
              </w:rPr>
              <w:t>20</w:t>
            </w:r>
            <w:r>
              <w:rPr>
                <w:noProof/>
                <w:webHidden/>
              </w:rPr>
              <w:fldChar w:fldCharType="end"/>
            </w:r>
          </w:hyperlink>
        </w:p>
        <w:p w14:paraId="7C70945C" w14:textId="1EADDA8C" w:rsidR="007123DB" w:rsidRDefault="007123DB" w:rsidP="00124F38">
          <w:pPr>
            <w:pStyle w:val="Spistreci2"/>
            <w:tabs>
              <w:tab w:val="right" w:leader="dot" w:pos="9062"/>
            </w:tabs>
            <w:rPr>
              <w:rFonts w:eastAsiaTheme="minorEastAsia"/>
              <w:noProof/>
              <w:sz w:val="24"/>
              <w:szCs w:val="24"/>
              <w:lang w:eastAsia="pl-PL"/>
            </w:rPr>
          </w:pPr>
          <w:hyperlink w:anchor="_Toc219276871" w:history="1">
            <w:r w:rsidRPr="009E4358">
              <w:rPr>
                <w:rStyle w:val="Hipercze"/>
                <w:noProof/>
              </w:rPr>
              <w:t>Działanie 4.1. Przygotowanie wskazówek w zakresie przeciwdziałania zwiększaniu obciążeń regulacyjnych przy implementacji prawa UE</w:t>
            </w:r>
            <w:r>
              <w:rPr>
                <w:noProof/>
                <w:webHidden/>
              </w:rPr>
              <w:tab/>
            </w:r>
            <w:r>
              <w:rPr>
                <w:noProof/>
                <w:webHidden/>
              </w:rPr>
              <w:fldChar w:fldCharType="begin"/>
            </w:r>
            <w:r>
              <w:rPr>
                <w:noProof/>
                <w:webHidden/>
              </w:rPr>
              <w:instrText xml:space="preserve"> PAGEREF _Toc219276871 \h </w:instrText>
            </w:r>
            <w:r>
              <w:rPr>
                <w:noProof/>
                <w:webHidden/>
              </w:rPr>
            </w:r>
            <w:r>
              <w:rPr>
                <w:noProof/>
                <w:webHidden/>
              </w:rPr>
              <w:fldChar w:fldCharType="separate"/>
            </w:r>
            <w:r>
              <w:rPr>
                <w:noProof/>
                <w:webHidden/>
              </w:rPr>
              <w:t>21</w:t>
            </w:r>
            <w:r>
              <w:rPr>
                <w:noProof/>
                <w:webHidden/>
              </w:rPr>
              <w:fldChar w:fldCharType="end"/>
            </w:r>
          </w:hyperlink>
        </w:p>
        <w:p w14:paraId="05F893D9" w14:textId="0F147877" w:rsidR="007123DB" w:rsidRDefault="007123DB" w:rsidP="00124F38">
          <w:pPr>
            <w:pStyle w:val="Spistreci1"/>
            <w:tabs>
              <w:tab w:val="left" w:pos="720"/>
              <w:tab w:val="right" w:leader="dot" w:pos="9062"/>
            </w:tabs>
            <w:rPr>
              <w:rFonts w:eastAsiaTheme="minorEastAsia"/>
              <w:noProof/>
              <w:sz w:val="24"/>
              <w:szCs w:val="24"/>
              <w:lang w:eastAsia="pl-PL"/>
            </w:rPr>
          </w:pPr>
          <w:hyperlink w:anchor="_Toc219276872" w:history="1">
            <w:r w:rsidRPr="009E4358">
              <w:rPr>
                <w:rStyle w:val="Hipercze"/>
                <w:b/>
                <w:bCs/>
                <w:noProof/>
              </w:rPr>
              <w:t>III.</w:t>
            </w:r>
            <w:r>
              <w:rPr>
                <w:rFonts w:eastAsiaTheme="minorEastAsia"/>
                <w:noProof/>
                <w:sz w:val="24"/>
                <w:szCs w:val="24"/>
                <w:lang w:eastAsia="pl-PL"/>
              </w:rPr>
              <w:tab/>
            </w:r>
            <w:r w:rsidRPr="009E4358">
              <w:rPr>
                <w:rStyle w:val="Hipercze"/>
                <w:b/>
                <w:bCs/>
                <w:noProof/>
              </w:rPr>
              <w:t>Obszar 2. System ewaluacji prawa</w:t>
            </w:r>
            <w:r>
              <w:rPr>
                <w:noProof/>
                <w:webHidden/>
              </w:rPr>
              <w:tab/>
            </w:r>
            <w:r>
              <w:rPr>
                <w:noProof/>
                <w:webHidden/>
              </w:rPr>
              <w:fldChar w:fldCharType="begin"/>
            </w:r>
            <w:r>
              <w:rPr>
                <w:noProof/>
                <w:webHidden/>
              </w:rPr>
              <w:instrText xml:space="preserve"> PAGEREF _Toc219276872 \h </w:instrText>
            </w:r>
            <w:r>
              <w:rPr>
                <w:noProof/>
                <w:webHidden/>
              </w:rPr>
            </w:r>
            <w:r>
              <w:rPr>
                <w:noProof/>
                <w:webHidden/>
              </w:rPr>
              <w:fldChar w:fldCharType="separate"/>
            </w:r>
            <w:r>
              <w:rPr>
                <w:noProof/>
                <w:webHidden/>
              </w:rPr>
              <w:t>23</w:t>
            </w:r>
            <w:r>
              <w:rPr>
                <w:noProof/>
                <w:webHidden/>
              </w:rPr>
              <w:fldChar w:fldCharType="end"/>
            </w:r>
          </w:hyperlink>
        </w:p>
        <w:p w14:paraId="2C4C9A37" w14:textId="7B24B9E3" w:rsidR="007123DB" w:rsidRDefault="007123DB" w:rsidP="00124F38">
          <w:pPr>
            <w:pStyle w:val="Spistreci2"/>
            <w:tabs>
              <w:tab w:val="right" w:leader="dot" w:pos="9062"/>
            </w:tabs>
            <w:rPr>
              <w:rFonts w:eastAsiaTheme="minorEastAsia"/>
              <w:noProof/>
              <w:sz w:val="24"/>
              <w:szCs w:val="24"/>
              <w:lang w:eastAsia="pl-PL"/>
            </w:rPr>
          </w:pPr>
          <w:hyperlink w:anchor="_Toc219276873" w:history="1">
            <w:r w:rsidRPr="009E4358">
              <w:rPr>
                <w:rStyle w:val="Hipercze"/>
                <w:b/>
                <w:bCs/>
                <w:noProof/>
              </w:rPr>
              <w:t>Priorytet 1 – Podnoszenie jakości oceny wpływu</w:t>
            </w:r>
            <w:r>
              <w:rPr>
                <w:noProof/>
                <w:webHidden/>
              </w:rPr>
              <w:tab/>
            </w:r>
            <w:r>
              <w:rPr>
                <w:noProof/>
                <w:webHidden/>
              </w:rPr>
              <w:fldChar w:fldCharType="begin"/>
            </w:r>
            <w:r>
              <w:rPr>
                <w:noProof/>
                <w:webHidden/>
              </w:rPr>
              <w:instrText xml:space="preserve"> PAGEREF _Toc219276873 \h </w:instrText>
            </w:r>
            <w:r>
              <w:rPr>
                <w:noProof/>
                <w:webHidden/>
              </w:rPr>
            </w:r>
            <w:r>
              <w:rPr>
                <w:noProof/>
                <w:webHidden/>
              </w:rPr>
              <w:fldChar w:fldCharType="separate"/>
            </w:r>
            <w:r>
              <w:rPr>
                <w:noProof/>
                <w:webHidden/>
              </w:rPr>
              <w:t>25</w:t>
            </w:r>
            <w:r>
              <w:rPr>
                <w:noProof/>
                <w:webHidden/>
              </w:rPr>
              <w:fldChar w:fldCharType="end"/>
            </w:r>
          </w:hyperlink>
        </w:p>
        <w:p w14:paraId="11C4F42B" w14:textId="46014C1D" w:rsidR="007123DB" w:rsidRDefault="007123DB" w:rsidP="00124F38">
          <w:pPr>
            <w:pStyle w:val="Spistreci2"/>
            <w:tabs>
              <w:tab w:val="right" w:leader="dot" w:pos="9062"/>
            </w:tabs>
            <w:rPr>
              <w:rFonts w:eastAsiaTheme="minorEastAsia"/>
              <w:noProof/>
              <w:sz w:val="24"/>
              <w:szCs w:val="24"/>
              <w:lang w:eastAsia="pl-PL"/>
            </w:rPr>
          </w:pPr>
          <w:hyperlink w:anchor="_Toc219276874" w:history="1">
            <w:r w:rsidRPr="009E4358">
              <w:rPr>
                <w:rStyle w:val="Hipercze"/>
                <w:noProof/>
              </w:rPr>
              <w:t>Działanie 1.1. Przygotowanie nowych formularzy oceny wpływu regulacji</w:t>
            </w:r>
            <w:r>
              <w:rPr>
                <w:noProof/>
                <w:webHidden/>
              </w:rPr>
              <w:tab/>
            </w:r>
            <w:r>
              <w:rPr>
                <w:noProof/>
                <w:webHidden/>
              </w:rPr>
              <w:fldChar w:fldCharType="begin"/>
            </w:r>
            <w:r>
              <w:rPr>
                <w:noProof/>
                <w:webHidden/>
              </w:rPr>
              <w:instrText xml:space="preserve"> PAGEREF _Toc219276874 \h </w:instrText>
            </w:r>
            <w:r>
              <w:rPr>
                <w:noProof/>
                <w:webHidden/>
              </w:rPr>
            </w:r>
            <w:r>
              <w:rPr>
                <w:noProof/>
                <w:webHidden/>
              </w:rPr>
              <w:fldChar w:fldCharType="separate"/>
            </w:r>
            <w:r>
              <w:rPr>
                <w:noProof/>
                <w:webHidden/>
              </w:rPr>
              <w:t>26</w:t>
            </w:r>
            <w:r>
              <w:rPr>
                <w:noProof/>
                <w:webHidden/>
              </w:rPr>
              <w:fldChar w:fldCharType="end"/>
            </w:r>
          </w:hyperlink>
        </w:p>
        <w:p w14:paraId="4BD7D456" w14:textId="1E852370" w:rsidR="007123DB" w:rsidRDefault="007123DB" w:rsidP="00124F38">
          <w:pPr>
            <w:pStyle w:val="Spistreci2"/>
            <w:tabs>
              <w:tab w:val="right" w:leader="dot" w:pos="9062"/>
            </w:tabs>
            <w:rPr>
              <w:rFonts w:eastAsiaTheme="minorEastAsia"/>
              <w:noProof/>
              <w:sz w:val="24"/>
              <w:szCs w:val="24"/>
              <w:lang w:eastAsia="pl-PL"/>
            </w:rPr>
          </w:pPr>
          <w:hyperlink w:anchor="_Toc219276875" w:history="1">
            <w:r w:rsidRPr="009E4358">
              <w:rPr>
                <w:rStyle w:val="Hipercze"/>
                <w:noProof/>
              </w:rPr>
              <w:t>Działanie 1.2. Aktualizacja wytycznych do przeprowadzania oceny wpływu i konsultacji publicznych w ramach rządowego procesu legislacyjnego</w:t>
            </w:r>
            <w:r>
              <w:rPr>
                <w:noProof/>
                <w:webHidden/>
              </w:rPr>
              <w:tab/>
            </w:r>
            <w:r>
              <w:rPr>
                <w:noProof/>
                <w:webHidden/>
              </w:rPr>
              <w:fldChar w:fldCharType="begin"/>
            </w:r>
            <w:r>
              <w:rPr>
                <w:noProof/>
                <w:webHidden/>
              </w:rPr>
              <w:instrText xml:space="preserve"> PAGEREF _Toc219276875 \h </w:instrText>
            </w:r>
            <w:r>
              <w:rPr>
                <w:noProof/>
                <w:webHidden/>
              </w:rPr>
            </w:r>
            <w:r>
              <w:rPr>
                <w:noProof/>
                <w:webHidden/>
              </w:rPr>
              <w:fldChar w:fldCharType="separate"/>
            </w:r>
            <w:r>
              <w:rPr>
                <w:noProof/>
                <w:webHidden/>
              </w:rPr>
              <w:t>26</w:t>
            </w:r>
            <w:r>
              <w:rPr>
                <w:noProof/>
                <w:webHidden/>
              </w:rPr>
              <w:fldChar w:fldCharType="end"/>
            </w:r>
          </w:hyperlink>
        </w:p>
        <w:p w14:paraId="31F9C25B" w14:textId="34067EA1" w:rsidR="007123DB" w:rsidRDefault="007123DB" w:rsidP="00124F38">
          <w:pPr>
            <w:pStyle w:val="Spistreci2"/>
            <w:tabs>
              <w:tab w:val="right" w:leader="dot" w:pos="9062"/>
            </w:tabs>
            <w:rPr>
              <w:rFonts w:eastAsiaTheme="minorEastAsia"/>
              <w:noProof/>
              <w:sz w:val="24"/>
              <w:szCs w:val="24"/>
              <w:lang w:eastAsia="pl-PL"/>
            </w:rPr>
          </w:pPr>
          <w:hyperlink w:anchor="_Toc219276876" w:history="1">
            <w:r w:rsidRPr="009E4358">
              <w:rPr>
                <w:rStyle w:val="Hipercze"/>
                <w:noProof/>
              </w:rPr>
              <w:t>Działanie 1.3. Efektywne zaangażowanie interesariuszy w proces legislacyjny, w tym w ocenę funkcjonowania aktów normatywnych</w:t>
            </w:r>
            <w:r>
              <w:rPr>
                <w:noProof/>
                <w:webHidden/>
              </w:rPr>
              <w:tab/>
            </w:r>
            <w:r>
              <w:rPr>
                <w:noProof/>
                <w:webHidden/>
              </w:rPr>
              <w:fldChar w:fldCharType="begin"/>
            </w:r>
            <w:r>
              <w:rPr>
                <w:noProof/>
                <w:webHidden/>
              </w:rPr>
              <w:instrText xml:space="preserve"> PAGEREF _Toc219276876 \h </w:instrText>
            </w:r>
            <w:r>
              <w:rPr>
                <w:noProof/>
                <w:webHidden/>
              </w:rPr>
            </w:r>
            <w:r>
              <w:rPr>
                <w:noProof/>
                <w:webHidden/>
              </w:rPr>
              <w:fldChar w:fldCharType="separate"/>
            </w:r>
            <w:r>
              <w:rPr>
                <w:noProof/>
                <w:webHidden/>
              </w:rPr>
              <w:t>28</w:t>
            </w:r>
            <w:r>
              <w:rPr>
                <w:noProof/>
                <w:webHidden/>
              </w:rPr>
              <w:fldChar w:fldCharType="end"/>
            </w:r>
          </w:hyperlink>
        </w:p>
        <w:p w14:paraId="55A1F21A" w14:textId="1861C39B" w:rsidR="007123DB" w:rsidRDefault="007123DB" w:rsidP="00124F38">
          <w:pPr>
            <w:pStyle w:val="Spistreci2"/>
            <w:tabs>
              <w:tab w:val="right" w:leader="dot" w:pos="9062"/>
            </w:tabs>
            <w:rPr>
              <w:rFonts w:eastAsiaTheme="minorEastAsia"/>
              <w:noProof/>
              <w:sz w:val="24"/>
              <w:szCs w:val="24"/>
              <w:lang w:eastAsia="pl-PL"/>
            </w:rPr>
          </w:pPr>
          <w:hyperlink w:anchor="_Toc219276877" w:history="1">
            <w:r w:rsidRPr="009E4358">
              <w:rPr>
                <w:rStyle w:val="Hipercze"/>
                <w:noProof/>
              </w:rPr>
              <w:t>Działanie 1.4. Obowiązkowe konsultacje projektów ocen funkcjonowania aktów normatywnych</w:t>
            </w:r>
            <w:r>
              <w:rPr>
                <w:noProof/>
                <w:webHidden/>
              </w:rPr>
              <w:tab/>
            </w:r>
            <w:r>
              <w:rPr>
                <w:noProof/>
                <w:webHidden/>
              </w:rPr>
              <w:fldChar w:fldCharType="begin"/>
            </w:r>
            <w:r>
              <w:rPr>
                <w:noProof/>
                <w:webHidden/>
              </w:rPr>
              <w:instrText xml:space="preserve"> PAGEREF _Toc219276877 \h </w:instrText>
            </w:r>
            <w:r>
              <w:rPr>
                <w:noProof/>
                <w:webHidden/>
              </w:rPr>
            </w:r>
            <w:r>
              <w:rPr>
                <w:noProof/>
                <w:webHidden/>
              </w:rPr>
              <w:fldChar w:fldCharType="separate"/>
            </w:r>
            <w:r>
              <w:rPr>
                <w:noProof/>
                <w:webHidden/>
              </w:rPr>
              <w:t>29</w:t>
            </w:r>
            <w:r>
              <w:rPr>
                <w:noProof/>
                <w:webHidden/>
              </w:rPr>
              <w:fldChar w:fldCharType="end"/>
            </w:r>
          </w:hyperlink>
        </w:p>
        <w:p w14:paraId="40D1AF81" w14:textId="1F85F1FF" w:rsidR="007123DB" w:rsidRDefault="007123DB" w:rsidP="00124F38">
          <w:pPr>
            <w:pStyle w:val="Spistreci2"/>
            <w:tabs>
              <w:tab w:val="right" w:leader="dot" w:pos="9062"/>
            </w:tabs>
            <w:rPr>
              <w:rFonts w:eastAsiaTheme="minorEastAsia"/>
              <w:noProof/>
              <w:sz w:val="24"/>
              <w:szCs w:val="24"/>
              <w:lang w:eastAsia="pl-PL"/>
            </w:rPr>
          </w:pPr>
          <w:hyperlink w:anchor="_Toc219276878" w:history="1">
            <w:r w:rsidRPr="009E4358">
              <w:rPr>
                <w:rStyle w:val="Hipercze"/>
                <w:noProof/>
              </w:rPr>
              <w:t>Działanie 1.5. Ewaluacja wieloletnich przepisów dotyczących działalności gospodarczej</w:t>
            </w:r>
            <w:r>
              <w:rPr>
                <w:noProof/>
                <w:webHidden/>
              </w:rPr>
              <w:tab/>
            </w:r>
            <w:r>
              <w:rPr>
                <w:noProof/>
                <w:webHidden/>
              </w:rPr>
              <w:fldChar w:fldCharType="begin"/>
            </w:r>
            <w:r>
              <w:rPr>
                <w:noProof/>
                <w:webHidden/>
              </w:rPr>
              <w:instrText xml:space="preserve"> PAGEREF _Toc219276878 \h </w:instrText>
            </w:r>
            <w:r>
              <w:rPr>
                <w:noProof/>
                <w:webHidden/>
              </w:rPr>
            </w:r>
            <w:r>
              <w:rPr>
                <w:noProof/>
                <w:webHidden/>
              </w:rPr>
              <w:fldChar w:fldCharType="separate"/>
            </w:r>
            <w:r>
              <w:rPr>
                <w:noProof/>
                <w:webHidden/>
              </w:rPr>
              <w:t>29</w:t>
            </w:r>
            <w:r>
              <w:rPr>
                <w:noProof/>
                <w:webHidden/>
              </w:rPr>
              <w:fldChar w:fldCharType="end"/>
            </w:r>
          </w:hyperlink>
        </w:p>
        <w:p w14:paraId="4746BC75" w14:textId="0276AAC1" w:rsidR="007123DB" w:rsidRDefault="007123DB" w:rsidP="00124F38">
          <w:pPr>
            <w:pStyle w:val="Spistreci2"/>
            <w:tabs>
              <w:tab w:val="right" w:leader="dot" w:pos="9062"/>
            </w:tabs>
            <w:rPr>
              <w:rFonts w:eastAsiaTheme="minorEastAsia"/>
              <w:noProof/>
              <w:sz w:val="24"/>
              <w:szCs w:val="24"/>
              <w:lang w:eastAsia="pl-PL"/>
            </w:rPr>
          </w:pPr>
          <w:hyperlink w:anchor="_Toc219276879" w:history="1">
            <w:r w:rsidRPr="009E4358">
              <w:rPr>
                <w:rStyle w:val="Hipercze"/>
                <w:noProof/>
              </w:rPr>
              <w:t>Działanie 1.6. Przegląd w sektorach i testy prawa w rzeczywistości z inicjatywy własnej resortów</w:t>
            </w:r>
            <w:r>
              <w:rPr>
                <w:noProof/>
                <w:webHidden/>
              </w:rPr>
              <w:tab/>
            </w:r>
            <w:r>
              <w:rPr>
                <w:noProof/>
                <w:webHidden/>
              </w:rPr>
              <w:fldChar w:fldCharType="begin"/>
            </w:r>
            <w:r>
              <w:rPr>
                <w:noProof/>
                <w:webHidden/>
              </w:rPr>
              <w:instrText xml:space="preserve"> PAGEREF _Toc219276879 \h </w:instrText>
            </w:r>
            <w:r>
              <w:rPr>
                <w:noProof/>
                <w:webHidden/>
              </w:rPr>
            </w:r>
            <w:r>
              <w:rPr>
                <w:noProof/>
                <w:webHidden/>
              </w:rPr>
              <w:fldChar w:fldCharType="separate"/>
            </w:r>
            <w:r>
              <w:rPr>
                <w:noProof/>
                <w:webHidden/>
              </w:rPr>
              <w:t>30</w:t>
            </w:r>
            <w:r>
              <w:rPr>
                <w:noProof/>
                <w:webHidden/>
              </w:rPr>
              <w:fldChar w:fldCharType="end"/>
            </w:r>
          </w:hyperlink>
        </w:p>
        <w:p w14:paraId="7FB8B11D" w14:textId="0A0D9290" w:rsidR="007123DB" w:rsidRDefault="007123DB" w:rsidP="00124F38">
          <w:pPr>
            <w:pStyle w:val="Spistreci2"/>
            <w:tabs>
              <w:tab w:val="right" w:leader="dot" w:pos="9062"/>
            </w:tabs>
            <w:rPr>
              <w:rFonts w:eastAsiaTheme="minorEastAsia"/>
              <w:noProof/>
              <w:sz w:val="24"/>
              <w:szCs w:val="24"/>
              <w:lang w:eastAsia="pl-PL"/>
            </w:rPr>
          </w:pPr>
          <w:hyperlink w:anchor="_Toc219276880" w:history="1">
            <w:r w:rsidRPr="009E4358">
              <w:rPr>
                <w:rStyle w:val="Hipercze"/>
                <w:noProof/>
              </w:rPr>
              <w:t>Działanie 1.7. Rozwój narzędzi do monitorowania ewaluacji</w:t>
            </w:r>
            <w:r>
              <w:rPr>
                <w:noProof/>
                <w:webHidden/>
              </w:rPr>
              <w:tab/>
            </w:r>
            <w:r>
              <w:rPr>
                <w:noProof/>
                <w:webHidden/>
              </w:rPr>
              <w:fldChar w:fldCharType="begin"/>
            </w:r>
            <w:r>
              <w:rPr>
                <w:noProof/>
                <w:webHidden/>
              </w:rPr>
              <w:instrText xml:space="preserve"> PAGEREF _Toc219276880 \h </w:instrText>
            </w:r>
            <w:r>
              <w:rPr>
                <w:noProof/>
                <w:webHidden/>
              </w:rPr>
            </w:r>
            <w:r>
              <w:rPr>
                <w:noProof/>
                <w:webHidden/>
              </w:rPr>
              <w:fldChar w:fldCharType="separate"/>
            </w:r>
            <w:r>
              <w:rPr>
                <w:noProof/>
                <w:webHidden/>
              </w:rPr>
              <w:t>31</w:t>
            </w:r>
            <w:r>
              <w:rPr>
                <w:noProof/>
                <w:webHidden/>
              </w:rPr>
              <w:fldChar w:fldCharType="end"/>
            </w:r>
          </w:hyperlink>
        </w:p>
        <w:p w14:paraId="6B6F92DA" w14:textId="679FC144" w:rsidR="007123DB" w:rsidRDefault="007123DB" w:rsidP="00124F38">
          <w:pPr>
            <w:pStyle w:val="Spistreci2"/>
            <w:tabs>
              <w:tab w:val="right" w:leader="dot" w:pos="9062"/>
            </w:tabs>
            <w:rPr>
              <w:rFonts w:eastAsiaTheme="minorEastAsia"/>
              <w:noProof/>
              <w:sz w:val="24"/>
              <w:szCs w:val="24"/>
              <w:lang w:eastAsia="pl-PL"/>
            </w:rPr>
          </w:pPr>
          <w:hyperlink w:anchor="_Toc219276881" w:history="1">
            <w:r w:rsidRPr="009E4358">
              <w:rPr>
                <w:rStyle w:val="Hipercze"/>
                <w:b/>
                <w:bCs/>
                <w:noProof/>
              </w:rPr>
              <w:t>Priorytet 2 – Usprawnienie przeglądu funkcjonowania aktów normatywnych wynikającego z ustawy Prawo przedsiębiorców</w:t>
            </w:r>
            <w:r>
              <w:rPr>
                <w:noProof/>
                <w:webHidden/>
              </w:rPr>
              <w:tab/>
            </w:r>
            <w:r>
              <w:rPr>
                <w:noProof/>
                <w:webHidden/>
              </w:rPr>
              <w:fldChar w:fldCharType="begin"/>
            </w:r>
            <w:r>
              <w:rPr>
                <w:noProof/>
                <w:webHidden/>
              </w:rPr>
              <w:instrText xml:space="preserve"> PAGEREF _Toc219276881 \h </w:instrText>
            </w:r>
            <w:r>
              <w:rPr>
                <w:noProof/>
                <w:webHidden/>
              </w:rPr>
            </w:r>
            <w:r>
              <w:rPr>
                <w:noProof/>
                <w:webHidden/>
              </w:rPr>
              <w:fldChar w:fldCharType="separate"/>
            </w:r>
            <w:r>
              <w:rPr>
                <w:noProof/>
                <w:webHidden/>
              </w:rPr>
              <w:t>32</w:t>
            </w:r>
            <w:r>
              <w:rPr>
                <w:noProof/>
                <w:webHidden/>
              </w:rPr>
              <w:fldChar w:fldCharType="end"/>
            </w:r>
          </w:hyperlink>
        </w:p>
        <w:p w14:paraId="3261B600" w14:textId="2B6EEB17" w:rsidR="007123DB" w:rsidRDefault="007123DB" w:rsidP="00124F38">
          <w:pPr>
            <w:pStyle w:val="Spistreci2"/>
            <w:tabs>
              <w:tab w:val="right" w:leader="dot" w:pos="9062"/>
            </w:tabs>
            <w:rPr>
              <w:rFonts w:eastAsiaTheme="minorEastAsia"/>
              <w:noProof/>
              <w:sz w:val="24"/>
              <w:szCs w:val="24"/>
              <w:lang w:eastAsia="pl-PL"/>
            </w:rPr>
          </w:pPr>
          <w:hyperlink w:anchor="_Toc219276882" w:history="1">
            <w:r w:rsidRPr="009E4358">
              <w:rPr>
                <w:rStyle w:val="Hipercze"/>
                <w:noProof/>
              </w:rPr>
              <w:t>Działanie 2.1. Opracowanie „Wytycznych do przeglądu prawa gospodarczego”</w:t>
            </w:r>
            <w:r>
              <w:rPr>
                <w:noProof/>
                <w:webHidden/>
              </w:rPr>
              <w:tab/>
            </w:r>
            <w:r>
              <w:rPr>
                <w:noProof/>
                <w:webHidden/>
              </w:rPr>
              <w:fldChar w:fldCharType="begin"/>
            </w:r>
            <w:r>
              <w:rPr>
                <w:noProof/>
                <w:webHidden/>
              </w:rPr>
              <w:instrText xml:space="preserve"> PAGEREF _Toc219276882 \h </w:instrText>
            </w:r>
            <w:r>
              <w:rPr>
                <w:noProof/>
                <w:webHidden/>
              </w:rPr>
            </w:r>
            <w:r>
              <w:rPr>
                <w:noProof/>
                <w:webHidden/>
              </w:rPr>
              <w:fldChar w:fldCharType="separate"/>
            </w:r>
            <w:r>
              <w:rPr>
                <w:noProof/>
                <w:webHidden/>
              </w:rPr>
              <w:t>33</w:t>
            </w:r>
            <w:r>
              <w:rPr>
                <w:noProof/>
                <w:webHidden/>
              </w:rPr>
              <w:fldChar w:fldCharType="end"/>
            </w:r>
          </w:hyperlink>
        </w:p>
        <w:p w14:paraId="698FDAC4" w14:textId="2D8732B8" w:rsidR="007123DB" w:rsidRDefault="007123DB" w:rsidP="00124F38">
          <w:pPr>
            <w:pStyle w:val="Spistreci2"/>
            <w:tabs>
              <w:tab w:val="right" w:leader="dot" w:pos="9062"/>
            </w:tabs>
            <w:rPr>
              <w:rFonts w:eastAsiaTheme="minorEastAsia"/>
              <w:noProof/>
              <w:sz w:val="24"/>
              <w:szCs w:val="24"/>
              <w:lang w:eastAsia="pl-PL"/>
            </w:rPr>
          </w:pPr>
          <w:hyperlink w:anchor="_Toc219276883" w:history="1">
            <w:r w:rsidRPr="009E4358">
              <w:rPr>
                <w:rStyle w:val="Hipercze"/>
                <w:noProof/>
              </w:rPr>
              <w:t>Działanie 2.2. Opracowanie metodyki i narzędzi oznaczania norm prawnych metadanymi związanymi z oceną wpływu regulacji na gospodarkę</w:t>
            </w:r>
            <w:r>
              <w:rPr>
                <w:noProof/>
                <w:webHidden/>
              </w:rPr>
              <w:tab/>
            </w:r>
            <w:r>
              <w:rPr>
                <w:noProof/>
                <w:webHidden/>
              </w:rPr>
              <w:fldChar w:fldCharType="begin"/>
            </w:r>
            <w:r>
              <w:rPr>
                <w:noProof/>
                <w:webHidden/>
              </w:rPr>
              <w:instrText xml:space="preserve"> PAGEREF _Toc219276883 \h </w:instrText>
            </w:r>
            <w:r>
              <w:rPr>
                <w:noProof/>
                <w:webHidden/>
              </w:rPr>
            </w:r>
            <w:r>
              <w:rPr>
                <w:noProof/>
                <w:webHidden/>
              </w:rPr>
              <w:fldChar w:fldCharType="separate"/>
            </w:r>
            <w:r>
              <w:rPr>
                <w:noProof/>
                <w:webHidden/>
              </w:rPr>
              <w:t>33</w:t>
            </w:r>
            <w:r>
              <w:rPr>
                <w:noProof/>
                <w:webHidden/>
              </w:rPr>
              <w:fldChar w:fldCharType="end"/>
            </w:r>
          </w:hyperlink>
        </w:p>
        <w:p w14:paraId="4EC876F5" w14:textId="51653D7E" w:rsidR="007123DB" w:rsidRDefault="007123DB" w:rsidP="00124F38">
          <w:pPr>
            <w:pStyle w:val="Spistreci2"/>
            <w:tabs>
              <w:tab w:val="right" w:leader="dot" w:pos="9062"/>
            </w:tabs>
            <w:rPr>
              <w:rFonts w:eastAsiaTheme="minorEastAsia"/>
              <w:noProof/>
              <w:sz w:val="24"/>
              <w:szCs w:val="24"/>
              <w:lang w:eastAsia="pl-PL"/>
            </w:rPr>
          </w:pPr>
          <w:hyperlink w:anchor="_Toc219276884" w:history="1">
            <w:r w:rsidRPr="009E4358">
              <w:rPr>
                <w:rStyle w:val="Hipercze"/>
                <w:noProof/>
              </w:rPr>
              <w:t>Działanie 2.3. Opracowanie założeń i planu wdrożenia/pilotażu systemu monitorowania obciążeń administracyjnych</w:t>
            </w:r>
            <w:r>
              <w:rPr>
                <w:noProof/>
                <w:webHidden/>
              </w:rPr>
              <w:tab/>
            </w:r>
            <w:r>
              <w:rPr>
                <w:noProof/>
                <w:webHidden/>
              </w:rPr>
              <w:fldChar w:fldCharType="begin"/>
            </w:r>
            <w:r>
              <w:rPr>
                <w:noProof/>
                <w:webHidden/>
              </w:rPr>
              <w:instrText xml:space="preserve"> PAGEREF _Toc219276884 \h </w:instrText>
            </w:r>
            <w:r>
              <w:rPr>
                <w:noProof/>
                <w:webHidden/>
              </w:rPr>
            </w:r>
            <w:r>
              <w:rPr>
                <w:noProof/>
                <w:webHidden/>
              </w:rPr>
              <w:fldChar w:fldCharType="separate"/>
            </w:r>
            <w:r>
              <w:rPr>
                <w:noProof/>
                <w:webHidden/>
              </w:rPr>
              <w:t>34</w:t>
            </w:r>
            <w:r>
              <w:rPr>
                <w:noProof/>
                <w:webHidden/>
              </w:rPr>
              <w:fldChar w:fldCharType="end"/>
            </w:r>
          </w:hyperlink>
        </w:p>
        <w:p w14:paraId="7B88621A" w14:textId="572C5319" w:rsidR="007123DB" w:rsidRDefault="007123DB" w:rsidP="00124F38">
          <w:pPr>
            <w:pStyle w:val="Spistreci2"/>
            <w:tabs>
              <w:tab w:val="right" w:leader="dot" w:pos="9062"/>
            </w:tabs>
            <w:rPr>
              <w:rFonts w:eastAsiaTheme="minorEastAsia"/>
              <w:noProof/>
              <w:sz w:val="24"/>
              <w:szCs w:val="24"/>
              <w:lang w:eastAsia="pl-PL"/>
            </w:rPr>
          </w:pPr>
          <w:hyperlink w:anchor="_Toc219276885" w:history="1">
            <w:r w:rsidRPr="009E4358">
              <w:rPr>
                <w:rStyle w:val="Hipercze"/>
                <w:noProof/>
              </w:rPr>
              <w:t>Działanie 2.4. Wykorzystanie metainformacji do monitorowania systemu prawa gospodarczego</w:t>
            </w:r>
            <w:r>
              <w:rPr>
                <w:noProof/>
                <w:webHidden/>
              </w:rPr>
              <w:tab/>
            </w:r>
            <w:r>
              <w:rPr>
                <w:noProof/>
                <w:webHidden/>
              </w:rPr>
              <w:fldChar w:fldCharType="begin"/>
            </w:r>
            <w:r>
              <w:rPr>
                <w:noProof/>
                <w:webHidden/>
              </w:rPr>
              <w:instrText xml:space="preserve"> PAGEREF _Toc219276885 \h </w:instrText>
            </w:r>
            <w:r>
              <w:rPr>
                <w:noProof/>
                <w:webHidden/>
              </w:rPr>
            </w:r>
            <w:r>
              <w:rPr>
                <w:noProof/>
                <w:webHidden/>
              </w:rPr>
              <w:fldChar w:fldCharType="separate"/>
            </w:r>
            <w:r>
              <w:rPr>
                <w:noProof/>
                <w:webHidden/>
              </w:rPr>
              <w:t>35</w:t>
            </w:r>
            <w:r>
              <w:rPr>
                <w:noProof/>
                <w:webHidden/>
              </w:rPr>
              <w:fldChar w:fldCharType="end"/>
            </w:r>
          </w:hyperlink>
        </w:p>
        <w:p w14:paraId="3A287C20" w14:textId="02FD62D1" w:rsidR="007123DB" w:rsidRDefault="007123DB" w:rsidP="00124F38">
          <w:pPr>
            <w:pStyle w:val="Spistreci2"/>
            <w:tabs>
              <w:tab w:val="right" w:leader="dot" w:pos="9062"/>
            </w:tabs>
            <w:rPr>
              <w:rFonts w:eastAsiaTheme="minorEastAsia"/>
              <w:noProof/>
              <w:sz w:val="24"/>
              <w:szCs w:val="24"/>
              <w:lang w:eastAsia="pl-PL"/>
            </w:rPr>
          </w:pPr>
          <w:hyperlink w:anchor="_Toc219276886" w:history="1">
            <w:r w:rsidRPr="009E4358">
              <w:rPr>
                <w:rStyle w:val="Hipercze"/>
                <w:b/>
                <w:bCs/>
                <w:noProof/>
              </w:rPr>
              <w:t>Priorytet 3 – Ocena wpływu do projektów europejskich</w:t>
            </w:r>
            <w:r>
              <w:rPr>
                <w:noProof/>
                <w:webHidden/>
              </w:rPr>
              <w:tab/>
            </w:r>
            <w:r>
              <w:rPr>
                <w:noProof/>
                <w:webHidden/>
              </w:rPr>
              <w:fldChar w:fldCharType="begin"/>
            </w:r>
            <w:r>
              <w:rPr>
                <w:noProof/>
                <w:webHidden/>
              </w:rPr>
              <w:instrText xml:space="preserve"> PAGEREF _Toc219276886 \h </w:instrText>
            </w:r>
            <w:r>
              <w:rPr>
                <w:noProof/>
                <w:webHidden/>
              </w:rPr>
            </w:r>
            <w:r>
              <w:rPr>
                <w:noProof/>
                <w:webHidden/>
              </w:rPr>
              <w:fldChar w:fldCharType="separate"/>
            </w:r>
            <w:r>
              <w:rPr>
                <w:noProof/>
                <w:webHidden/>
              </w:rPr>
              <w:t>36</w:t>
            </w:r>
            <w:r>
              <w:rPr>
                <w:noProof/>
                <w:webHidden/>
              </w:rPr>
              <w:fldChar w:fldCharType="end"/>
            </w:r>
          </w:hyperlink>
        </w:p>
        <w:p w14:paraId="3E2EBB0E" w14:textId="0DC4A5D5" w:rsidR="007123DB" w:rsidRDefault="007123DB" w:rsidP="00124F38">
          <w:pPr>
            <w:pStyle w:val="Spistreci2"/>
            <w:tabs>
              <w:tab w:val="right" w:leader="dot" w:pos="9062"/>
            </w:tabs>
            <w:rPr>
              <w:rFonts w:eastAsiaTheme="minorEastAsia"/>
              <w:noProof/>
              <w:sz w:val="24"/>
              <w:szCs w:val="24"/>
              <w:lang w:eastAsia="pl-PL"/>
            </w:rPr>
          </w:pPr>
          <w:hyperlink w:anchor="_Toc219276887" w:history="1">
            <w:r w:rsidRPr="009E4358">
              <w:rPr>
                <w:rStyle w:val="Hipercze"/>
                <w:noProof/>
              </w:rPr>
              <w:t>Działanie 3.1. Przygotowanie mechanizmu zwiększania wpływu na kształt inicjatyw UE</w:t>
            </w:r>
            <w:r>
              <w:rPr>
                <w:noProof/>
                <w:webHidden/>
              </w:rPr>
              <w:tab/>
            </w:r>
            <w:r>
              <w:rPr>
                <w:noProof/>
                <w:webHidden/>
              </w:rPr>
              <w:fldChar w:fldCharType="begin"/>
            </w:r>
            <w:r>
              <w:rPr>
                <w:noProof/>
                <w:webHidden/>
              </w:rPr>
              <w:instrText xml:space="preserve"> PAGEREF _Toc219276887 \h </w:instrText>
            </w:r>
            <w:r>
              <w:rPr>
                <w:noProof/>
                <w:webHidden/>
              </w:rPr>
            </w:r>
            <w:r>
              <w:rPr>
                <w:noProof/>
                <w:webHidden/>
              </w:rPr>
              <w:fldChar w:fldCharType="separate"/>
            </w:r>
            <w:r>
              <w:rPr>
                <w:noProof/>
                <w:webHidden/>
              </w:rPr>
              <w:t>37</w:t>
            </w:r>
            <w:r>
              <w:rPr>
                <w:noProof/>
                <w:webHidden/>
              </w:rPr>
              <w:fldChar w:fldCharType="end"/>
            </w:r>
          </w:hyperlink>
        </w:p>
        <w:p w14:paraId="21CAE35A" w14:textId="34A5985B" w:rsidR="007123DB" w:rsidRDefault="007123DB" w:rsidP="00124F38">
          <w:pPr>
            <w:pStyle w:val="Spistreci2"/>
            <w:tabs>
              <w:tab w:val="right" w:leader="dot" w:pos="9062"/>
            </w:tabs>
            <w:rPr>
              <w:rFonts w:eastAsiaTheme="minorEastAsia"/>
              <w:noProof/>
              <w:sz w:val="24"/>
              <w:szCs w:val="24"/>
              <w:lang w:eastAsia="pl-PL"/>
            </w:rPr>
          </w:pPr>
          <w:hyperlink w:anchor="_Toc219276888" w:history="1">
            <w:r w:rsidRPr="009E4358">
              <w:rPr>
                <w:rStyle w:val="Hipercze"/>
                <w:b/>
                <w:bCs/>
                <w:noProof/>
              </w:rPr>
              <w:t>Priorytet 4 – Tworzenie piaskownic regulacyjnych</w:t>
            </w:r>
            <w:r>
              <w:rPr>
                <w:noProof/>
                <w:webHidden/>
              </w:rPr>
              <w:tab/>
            </w:r>
            <w:r>
              <w:rPr>
                <w:noProof/>
                <w:webHidden/>
              </w:rPr>
              <w:fldChar w:fldCharType="begin"/>
            </w:r>
            <w:r>
              <w:rPr>
                <w:noProof/>
                <w:webHidden/>
              </w:rPr>
              <w:instrText xml:space="preserve"> PAGEREF _Toc219276888 \h </w:instrText>
            </w:r>
            <w:r>
              <w:rPr>
                <w:noProof/>
                <w:webHidden/>
              </w:rPr>
            </w:r>
            <w:r>
              <w:rPr>
                <w:noProof/>
                <w:webHidden/>
              </w:rPr>
              <w:fldChar w:fldCharType="separate"/>
            </w:r>
            <w:r>
              <w:rPr>
                <w:noProof/>
                <w:webHidden/>
              </w:rPr>
              <w:t>38</w:t>
            </w:r>
            <w:r>
              <w:rPr>
                <w:noProof/>
                <w:webHidden/>
              </w:rPr>
              <w:fldChar w:fldCharType="end"/>
            </w:r>
          </w:hyperlink>
        </w:p>
        <w:p w14:paraId="7F80B04F" w14:textId="627281B7" w:rsidR="007123DB" w:rsidRDefault="007123DB" w:rsidP="00124F38">
          <w:pPr>
            <w:pStyle w:val="Spistreci2"/>
            <w:tabs>
              <w:tab w:val="right" w:leader="dot" w:pos="9062"/>
            </w:tabs>
            <w:rPr>
              <w:rFonts w:eastAsiaTheme="minorEastAsia"/>
              <w:noProof/>
              <w:sz w:val="24"/>
              <w:szCs w:val="24"/>
              <w:lang w:eastAsia="pl-PL"/>
            </w:rPr>
          </w:pPr>
          <w:hyperlink w:anchor="_Toc219276889" w:history="1">
            <w:r w:rsidRPr="009E4358">
              <w:rPr>
                <w:rStyle w:val="Hipercze"/>
                <w:noProof/>
              </w:rPr>
              <w:t>Działanie 4.1. Rozwój systemu piaskownic regulacyjnych dla innowacji technologicznych</w:t>
            </w:r>
            <w:r>
              <w:rPr>
                <w:noProof/>
                <w:webHidden/>
              </w:rPr>
              <w:tab/>
            </w:r>
            <w:r>
              <w:rPr>
                <w:noProof/>
                <w:webHidden/>
              </w:rPr>
              <w:fldChar w:fldCharType="begin"/>
            </w:r>
            <w:r>
              <w:rPr>
                <w:noProof/>
                <w:webHidden/>
              </w:rPr>
              <w:instrText xml:space="preserve"> PAGEREF _Toc219276889 \h </w:instrText>
            </w:r>
            <w:r>
              <w:rPr>
                <w:noProof/>
                <w:webHidden/>
              </w:rPr>
            </w:r>
            <w:r>
              <w:rPr>
                <w:noProof/>
                <w:webHidden/>
              </w:rPr>
              <w:fldChar w:fldCharType="separate"/>
            </w:r>
            <w:r>
              <w:rPr>
                <w:noProof/>
                <w:webHidden/>
              </w:rPr>
              <w:t>38</w:t>
            </w:r>
            <w:r>
              <w:rPr>
                <w:noProof/>
                <w:webHidden/>
              </w:rPr>
              <w:fldChar w:fldCharType="end"/>
            </w:r>
          </w:hyperlink>
        </w:p>
        <w:p w14:paraId="06F8C4E2" w14:textId="09B85624" w:rsidR="007123DB" w:rsidRDefault="007123DB" w:rsidP="00124F38">
          <w:pPr>
            <w:pStyle w:val="Spistreci2"/>
            <w:tabs>
              <w:tab w:val="right" w:leader="dot" w:pos="9062"/>
            </w:tabs>
            <w:rPr>
              <w:rFonts w:eastAsiaTheme="minorEastAsia"/>
              <w:noProof/>
              <w:sz w:val="24"/>
              <w:szCs w:val="24"/>
              <w:lang w:eastAsia="pl-PL"/>
            </w:rPr>
          </w:pPr>
          <w:hyperlink w:anchor="_Toc219276890" w:history="1">
            <w:r w:rsidRPr="009E4358">
              <w:rPr>
                <w:rStyle w:val="Hipercze"/>
                <w:noProof/>
              </w:rPr>
              <w:t>Działanie 4.2. Przygotowanie systemu piaskownic regulacyjnych dla sztucznej inteligencji</w:t>
            </w:r>
            <w:r>
              <w:rPr>
                <w:noProof/>
                <w:webHidden/>
              </w:rPr>
              <w:tab/>
            </w:r>
            <w:r>
              <w:rPr>
                <w:noProof/>
                <w:webHidden/>
              </w:rPr>
              <w:fldChar w:fldCharType="begin"/>
            </w:r>
            <w:r>
              <w:rPr>
                <w:noProof/>
                <w:webHidden/>
              </w:rPr>
              <w:instrText xml:space="preserve"> PAGEREF _Toc219276890 \h </w:instrText>
            </w:r>
            <w:r>
              <w:rPr>
                <w:noProof/>
                <w:webHidden/>
              </w:rPr>
            </w:r>
            <w:r>
              <w:rPr>
                <w:noProof/>
                <w:webHidden/>
              </w:rPr>
              <w:fldChar w:fldCharType="separate"/>
            </w:r>
            <w:r>
              <w:rPr>
                <w:noProof/>
                <w:webHidden/>
              </w:rPr>
              <w:t>39</w:t>
            </w:r>
            <w:r>
              <w:rPr>
                <w:noProof/>
                <w:webHidden/>
              </w:rPr>
              <w:fldChar w:fldCharType="end"/>
            </w:r>
          </w:hyperlink>
        </w:p>
        <w:p w14:paraId="10A5C116" w14:textId="0627989D" w:rsidR="007123DB" w:rsidRDefault="007123DB" w:rsidP="00124F38">
          <w:pPr>
            <w:pStyle w:val="Spistreci1"/>
            <w:tabs>
              <w:tab w:val="left" w:pos="720"/>
              <w:tab w:val="right" w:leader="dot" w:pos="9062"/>
            </w:tabs>
            <w:rPr>
              <w:rFonts w:eastAsiaTheme="minorEastAsia"/>
              <w:noProof/>
              <w:sz w:val="24"/>
              <w:szCs w:val="24"/>
              <w:lang w:eastAsia="pl-PL"/>
            </w:rPr>
          </w:pPr>
          <w:hyperlink w:anchor="_Toc219276891" w:history="1">
            <w:r w:rsidRPr="009E4358">
              <w:rPr>
                <w:rStyle w:val="Hipercze"/>
                <w:b/>
                <w:bCs/>
                <w:noProof/>
              </w:rPr>
              <w:t>IV.</w:t>
            </w:r>
            <w:r>
              <w:rPr>
                <w:rFonts w:eastAsiaTheme="minorEastAsia"/>
                <w:noProof/>
                <w:sz w:val="24"/>
                <w:szCs w:val="24"/>
                <w:lang w:eastAsia="pl-PL"/>
              </w:rPr>
              <w:tab/>
            </w:r>
            <w:r w:rsidRPr="009E4358">
              <w:rPr>
                <w:rStyle w:val="Hipercze"/>
                <w:b/>
                <w:bCs/>
                <w:noProof/>
              </w:rPr>
              <w:t>Monitorowanie realizacji programu</w:t>
            </w:r>
            <w:r>
              <w:rPr>
                <w:noProof/>
                <w:webHidden/>
              </w:rPr>
              <w:tab/>
            </w:r>
            <w:r>
              <w:rPr>
                <w:noProof/>
                <w:webHidden/>
              </w:rPr>
              <w:fldChar w:fldCharType="begin"/>
            </w:r>
            <w:r>
              <w:rPr>
                <w:noProof/>
                <w:webHidden/>
              </w:rPr>
              <w:instrText xml:space="preserve"> PAGEREF _Toc219276891 \h </w:instrText>
            </w:r>
            <w:r>
              <w:rPr>
                <w:noProof/>
                <w:webHidden/>
              </w:rPr>
            </w:r>
            <w:r>
              <w:rPr>
                <w:noProof/>
                <w:webHidden/>
              </w:rPr>
              <w:fldChar w:fldCharType="separate"/>
            </w:r>
            <w:r>
              <w:rPr>
                <w:noProof/>
                <w:webHidden/>
              </w:rPr>
              <w:t>40</w:t>
            </w:r>
            <w:r>
              <w:rPr>
                <w:noProof/>
                <w:webHidden/>
              </w:rPr>
              <w:fldChar w:fldCharType="end"/>
            </w:r>
          </w:hyperlink>
        </w:p>
        <w:p w14:paraId="41ED1832" w14:textId="4D81FC4D" w:rsidR="007123DB" w:rsidRDefault="007123DB" w:rsidP="00124F38">
          <w:pPr>
            <w:pStyle w:val="Spistreci1"/>
            <w:tabs>
              <w:tab w:val="right" w:leader="dot" w:pos="9062"/>
            </w:tabs>
            <w:rPr>
              <w:rFonts w:eastAsiaTheme="minorEastAsia"/>
              <w:noProof/>
              <w:sz w:val="24"/>
              <w:szCs w:val="24"/>
              <w:lang w:eastAsia="pl-PL"/>
            </w:rPr>
          </w:pPr>
          <w:hyperlink w:anchor="_Toc219276892" w:history="1">
            <w:r w:rsidRPr="009E4358">
              <w:rPr>
                <w:rStyle w:val="Hipercze"/>
                <w:noProof/>
              </w:rPr>
              <w:t>Wykaz skrótów</w:t>
            </w:r>
            <w:r>
              <w:rPr>
                <w:noProof/>
                <w:webHidden/>
              </w:rPr>
              <w:tab/>
            </w:r>
            <w:r>
              <w:rPr>
                <w:noProof/>
                <w:webHidden/>
              </w:rPr>
              <w:fldChar w:fldCharType="begin"/>
            </w:r>
            <w:r>
              <w:rPr>
                <w:noProof/>
                <w:webHidden/>
              </w:rPr>
              <w:instrText xml:space="preserve"> PAGEREF _Toc219276892 \h </w:instrText>
            </w:r>
            <w:r>
              <w:rPr>
                <w:noProof/>
                <w:webHidden/>
              </w:rPr>
            </w:r>
            <w:r>
              <w:rPr>
                <w:noProof/>
                <w:webHidden/>
              </w:rPr>
              <w:fldChar w:fldCharType="separate"/>
            </w:r>
            <w:r>
              <w:rPr>
                <w:noProof/>
                <w:webHidden/>
              </w:rPr>
              <w:t>41</w:t>
            </w:r>
            <w:r>
              <w:rPr>
                <w:noProof/>
                <w:webHidden/>
              </w:rPr>
              <w:fldChar w:fldCharType="end"/>
            </w:r>
          </w:hyperlink>
        </w:p>
        <w:p w14:paraId="4E8822A6" w14:textId="3FC620A3" w:rsidR="009B1450" w:rsidRPr="00BD2901" w:rsidRDefault="009B1450" w:rsidP="00124F38">
          <w:r w:rsidRPr="000C3FEC">
            <w:rPr>
              <w:b/>
              <w:bCs/>
            </w:rPr>
            <w:fldChar w:fldCharType="end"/>
          </w:r>
        </w:p>
      </w:sdtContent>
    </w:sdt>
    <w:p w14:paraId="00838CBB" w14:textId="5875E77F" w:rsidR="000D616A" w:rsidRPr="009576D8" w:rsidRDefault="00065881" w:rsidP="00124F38">
      <w:pPr>
        <w:pStyle w:val="Nagwek1"/>
        <w:pageBreakBefore/>
        <w:numPr>
          <w:ilvl w:val="0"/>
          <w:numId w:val="4"/>
        </w:numPr>
        <w:ind w:left="1077"/>
        <w:rPr>
          <w:rFonts w:asciiTheme="minorHAnsi" w:hAnsiTheme="minorHAnsi"/>
          <w:b/>
          <w:bCs/>
          <w:sz w:val="36"/>
          <w:szCs w:val="36"/>
        </w:rPr>
      </w:pPr>
      <w:bookmarkStart w:id="0" w:name="_Toc217927133"/>
      <w:bookmarkStart w:id="1" w:name="_Toc219276853"/>
      <w:r w:rsidRPr="009576D8">
        <w:rPr>
          <w:rFonts w:asciiTheme="minorHAnsi" w:hAnsiTheme="minorHAnsi"/>
          <w:b/>
          <w:bCs/>
          <w:sz w:val="36"/>
          <w:szCs w:val="36"/>
        </w:rPr>
        <w:lastRenderedPageBreak/>
        <w:t>Wprowadzenie</w:t>
      </w:r>
      <w:bookmarkEnd w:id="0"/>
      <w:bookmarkEnd w:id="1"/>
    </w:p>
    <w:p w14:paraId="7F1E1A78" w14:textId="008D448E" w:rsidR="006D5374" w:rsidRPr="009576D8" w:rsidRDefault="00560D14" w:rsidP="00124F38">
      <w:pPr>
        <w:pStyle w:val="Nagwek2"/>
        <w:numPr>
          <w:ilvl w:val="0"/>
          <w:numId w:val="5"/>
        </w:numPr>
        <w:rPr>
          <w:rFonts w:asciiTheme="minorHAnsi" w:hAnsiTheme="minorHAnsi"/>
        </w:rPr>
      </w:pPr>
      <w:bookmarkStart w:id="2" w:name="_Toc217927134"/>
      <w:bookmarkStart w:id="3" w:name="_Toc219276854"/>
      <w:r w:rsidRPr="009576D8">
        <w:rPr>
          <w:rFonts w:asciiTheme="minorHAnsi" w:hAnsiTheme="minorHAnsi"/>
        </w:rPr>
        <w:t>Podstawowe informacje o Programie</w:t>
      </w:r>
      <w:bookmarkEnd w:id="2"/>
      <w:bookmarkEnd w:id="3"/>
    </w:p>
    <w:p w14:paraId="1C0FCB9F" w14:textId="00B34110" w:rsidR="00B426C4" w:rsidRPr="009576D8" w:rsidRDefault="00B426C4" w:rsidP="00124F38">
      <w:pPr>
        <w:spacing w:after="120" w:line="276" w:lineRule="auto"/>
        <w:rPr>
          <w:b/>
          <w:bCs/>
          <w:sz w:val="24"/>
          <w:szCs w:val="24"/>
        </w:rPr>
      </w:pPr>
      <w:r w:rsidRPr="009576D8">
        <w:rPr>
          <w:sz w:val="24"/>
          <w:szCs w:val="24"/>
        </w:rPr>
        <w:t xml:space="preserve">„Program regulacyjny </w:t>
      </w:r>
      <w:r w:rsidR="00C819B1">
        <w:rPr>
          <w:sz w:val="24"/>
          <w:szCs w:val="24"/>
        </w:rPr>
        <w:t>na lata 2026-</w:t>
      </w:r>
      <w:r w:rsidRPr="009576D8">
        <w:rPr>
          <w:sz w:val="24"/>
          <w:szCs w:val="24"/>
        </w:rPr>
        <w:t xml:space="preserve">2028” (dalej „Program”) </w:t>
      </w:r>
      <w:r w:rsidR="009934C5" w:rsidRPr="009576D8">
        <w:rPr>
          <w:sz w:val="24"/>
          <w:szCs w:val="24"/>
        </w:rPr>
        <w:t xml:space="preserve">realizuje obowiązek wynikający z </w:t>
      </w:r>
      <w:r w:rsidR="00303C02" w:rsidRPr="009576D8">
        <w:rPr>
          <w:sz w:val="24"/>
          <w:szCs w:val="24"/>
        </w:rPr>
        <w:t xml:space="preserve">art. 71a ustawy </w:t>
      </w:r>
      <w:r w:rsidR="00D16B4E" w:rsidRPr="009576D8">
        <w:rPr>
          <w:sz w:val="24"/>
          <w:szCs w:val="24"/>
        </w:rPr>
        <w:t xml:space="preserve">z dnia 6 marca 2018 r. – </w:t>
      </w:r>
      <w:r w:rsidR="009934C5" w:rsidRPr="009576D8">
        <w:rPr>
          <w:sz w:val="24"/>
          <w:szCs w:val="24"/>
        </w:rPr>
        <w:t>Praw</w:t>
      </w:r>
      <w:r w:rsidR="00D16B4E" w:rsidRPr="009576D8">
        <w:rPr>
          <w:sz w:val="24"/>
          <w:szCs w:val="24"/>
        </w:rPr>
        <w:t>o</w:t>
      </w:r>
      <w:r w:rsidR="009934C5" w:rsidRPr="009576D8">
        <w:rPr>
          <w:sz w:val="24"/>
          <w:szCs w:val="24"/>
        </w:rPr>
        <w:t xml:space="preserve"> przedsiębiorców</w:t>
      </w:r>
      <w:r w:rsidR="00D16B4E" w:rsidRPr="009576D8">
        <w:rPr>
          <w:sz w:val="24"/>
          <w:szCs w:val="24"/>
        </w:rPr>
        <w:t xml:space="preserve"> (dalej „Prawo przedsiębiorców</w:t>
      </w:r>
      <w:r w:rsidR="003F5251" w:rsidRPr="009576D8">
        <w:rPr>
          <w:sz w:val="24"/>
          <w:szCs w:val="24"/>
        </w:rPr>
        <w:t>”</w:t>
      </w:r>
      <w:r w:rsidR="00D16B4E" w:rsidRPr="009576D8">
        <w:rPr>
          <w:sz w:val="24"/>
          <w:szCs w:val="24"/>
        </w:rPr>
        <w:t>)</w:t>
      </w:r>
      <w:r w:rsidR="00B71E92" w:rsidRPr="009576D8">
        <w:rPr>
          <w:sz w:val="24"/>
          <w:szCs w:val="24"/>
        </w:rPr>
        <w:t xml:space="preserve"> </w:t>
      </w:r>
      <w:r w:rsidR="000C3FEC" w:rsidRPr="009576D8">
        <w:rPr>
          <w:sz w:val="24"/>
          <w:szCs w:val="24"/>
        </w:rPr>
        <w:t>i</w:t>
      </w:r>
      <w:r w:rsidR="000C3FEC">
        <w:rPr>
          <w:sz w:val="24"/>
          <w:szCs w:val="24"/>
        </w:rPr>
        <w:t> </w:t>
      </w:r>
      <w:r w:rsidRPr="009576D8">
        <w:rPr>
          <w:sz w:val="24"/>
          <w:szCs w:val="24"/>
        </w:rPr>
        <w:t xml:space="preserve">stanowi narzędzie polityki regulacyjnej rządu. </w:t>
      </w:r>
      <w:r w:rsidR="00687B2B" w:rsidRPr="009576D8">
        <w:rPr>
          <w:sz w:val="24"/>
          <w:szCs w:val="24"/>
        </w:rPr>
        <w:t>Jest to pierwszy tego typu d</w:t>
      </w:r>
      <w:r w:rsidRPr="009576D8">
        <w:rPr>
          <w:sz w:val="24"/>
          <w:szCs w:val="24"/>
        </w:rPr>
        <w:t>okument</w:t>
      </w:r>
      <w:r w:rsidR="00687B2B" w:rsidRPr="009576D8">
        <w:rPr>
          <w:sz w:val="24"/>
          <w:szCs w:val="24"/>
        </w:rPr>
        <w:t xml:space="preserve">, który </w:t>
      </w:r>
      <w:r w:rsidRPr="009576D8">
        <w:rPr>
          <w:b/>
          <w:bCs/>
          <w:sz w:val="24"/>
          <w:szCs w:val="24"/>
        </w:rPr>
        <w:t>określa priorytetowe działania Rady Ministrów w</w:t>
      </w:r>
      <w:r w:rsidR="00007BA8">
        <w:rPr>
          <w:b/>
          <w:bCs/>
          <w:sz w:val="24"/>
          <w:szCs w:val="24"/>
        </w:rPr>
        <w:t> </w:t>
      </w:r>
      <w:r w:rsidRPr="009576D8">
        <w:rPr>
          <w:b/>
          <w:bCs/>
          <w:sz w:val="24"/>
          <w:szCs w:val="24"/>
        </w:rPr>
        <w:t xml:space="preserve">zakresie kształtowania otoczenia prawnego wykonywania działalności gospodarczej </w:t>
      </w:r>
      <w:r w:rsidR="000C3FEC" w:rsidRPr="009576D8">
        <w:rPr>
          <w:b/>
          <w:bCs/>
          <w:sz w:val="24"/>
          <w:szCs w:val="24"/>
        </w:rPr>
        <w:t>w</w:t>
      </w:r>
      <w:r w:rsidR="000C3FEC">
        <w:rPr>
          <w:b/>
          <w:bCs/>
          <w:sz w:val="24"/>
          <w:szCs w:val="24"/>
        </w:rPr>
        <w:t> </w:t>
      </w:r>
      <w:r w:rsidRPr="009576D8">
        <w:rPr>
          <w:b/>
          <w:bCs/>
          <w:sz w:val="24"/>
          <w:szCs w:val="24"/>
        </w:rPr>
        <w:t>trzyletniej perspektywie.</w:t>
      </w:r>
      <w:r w:rsidR="00AE5B5B" w:rsidRPr="009576D8">
        <w:rPr>
          <w:b/>
          <w:bCs/>
          <w:sz w:val="24"/>
          <w:szCs w:val="24"/>
        </w:rPr>
        <w:t xml:space="preserve"> </w:t>
      </w:r>
    </w:p>
    <w:p w14:paraId="51C7A896" w14:textId="67103D94" w:rsidR="00065881" w:rsidRPr="009576D8" w:rsidRDefault="00560D14" w:rsidP="00124F38">
      <w:pPr>
        <w:pStyle w:val="Nagwek2"/>
        <w:numPr>
          <w:ilvl w:val="0"/>
          <w:numId w:val="5"/>
        </w:numPr>
        <w:rPr>
          <w:rFonts w:asciiTheme="minorHAnsi" w:hAnsiTheme="minorHAnsi"/>
        </w:rPr>
      </w:pPr>
      <w:bookmarkStart w:id="4" w:name="_Toc217927135"/>
      <w:bookmarkStart w:id="5" w:name="_Toc219276855"/>
      <w:r w:rsidRPr="009576D8">
        <w:rPr>
          <w:rFonts w:asciiTheme="minorHAnsi" w:hAnsiTheme="minorHAnsi"/>
        </w:rPr>
        <w:t xml:space="preserve">Znaczenie </w:t>
      </w:r>
      <w:r w:rsidR="00EF21BA" w:rsidRPr="009576D8">
        <w:rPr>
          <w:rFonts w:asciiTheme="minorHAnsi" w:hAnsiTheme="minorHAnsi"/>
        </w:rPr>
        <w:t>Program</w:t>
      </w:r>
      <w:r w:rsidRPr="009576D8">
        <w:rPr>
          <w:rFonts w:asciiTheme="minorHAnsi" w:hAnsiTheme="minorHAnsi"/>
        </w:rPr>
        <w:t>u</w:t>
      </w:r>
      <w:r w:rsidR="00EF21BA" w:rsidRPr="009576D8">
        <w:rPr>
          <w:rFonts w:asciiTheme="minorHAnsi" w:hAnsiTheme="minorHAnsi"/>
        </w:rPr>
        <w:t xml:space="preserve"> w kontekście polskiej gospodarki</w:t>
      </w:r>
      <w:bookmarkEnd w:id="4"/>
      <w:bookmarkEnd w:id="5"/>
    </w:p>
    <w:p w14:paraId="1CEA3738" w14:textId="76B863C1" w:rsidR="00C250F4" w:rsidRPr="009576D8" w:rsidRDefault="00A94EA7" w:rsidP="00124F38">
      <w:pPr>
        <w:spacing w:after="120" w:line="276" w:lineRule="auto"/>
        <w:rPr>
          <w:sz w:val="24"/>
          <w:szCs w:val="24"/>
        </w:rPr>
      </w:pPr>
      <w:r w:rsidRPr="009576D8">
        <w:rPr>
          <w:sz w:val="24"/>
          <w:szCs w:val="24"/>
        </w:rPr>
        <w:t>Kwestie związane ze zbędnymi obowiązkami regulacyjnymi czy niestabilnością prawa wciąż wskazywane są przez przedsiębiorców jako jedne z istotniejszych barier w</w:t>
      </w:r>
      <w:r w:rsidR="000C3FEC">
        <w:rPr>
          <w:sz w:val="24"/>
          <w:szCs w:val="24"/>
        </w:rPr>
        <w:t> </w:t>
      </w:r>
      <w:r w:rsidRPr="009576D8">
        <w:rPr>
          <w:sz w:val="24"/>
          <w:szCs w:val="24"/>
        </w:rPr>
        <w:t>prowadzeniu działalności gospodarczej. Przykładowo, z badania „Bariery w biznesie. Edycja 2025</w:t>
      </w:r>
      <w:r w:rsidR="00737B53">
        <w:rPr>
          <w:rStyle w:val="Odwoanieprzypisudolnego"/>
          <w:sz w:val="24"/>
          <w:szCs w:val="24"/>
        </w:rPr>
        <w:footnoteReference w:id="1"/>
      </w:r>
      <w:r w:rsidRPr="009576D8">
        <w:rPr>
          <w:sz w:val="24"/>
          <w:szCs w:val="24"/>
        </w:rPr>
        <w:t>” (w ramach International Business Report prowadzonego przez Grant Thornton) wynika, że biurokracja to silna bądź bardzo silna bariera w rozwoju dla ponad połowy ankietowanych firm.</w:t>
      </w:r>
      <w:r w:rsidR="003C60D3">
        <w:rPr>
          <w:sz w:val="24"/>
          <w:szCs w:val="24"/>
        </w:rPr>
        <w:t xml:space="preserve"> </w:t>
      </w:r>
      <w:r w:rsidR="00C250F4" w:rsidRPr="009576D8">
        <w:rPr>
          <w:sz w:val="24"/>
          <w:szCs w:val="24"/>
        </w:rPr>
        <w:t xml:space="preserve">Z kolei na podstawie cyklicznego badania </w:t>
      </w:r>
      <w:r w:rsidR="000C2B32">
        <w:rPr>
          <w:sz w:val="24"/>
          <w:szCs w:val="24"/>
        </w:rPr>
        <w:t>Głównego Urzędu Statystycznego</w:t>
      </w:r>
      <w:r w:rsidR="000C2B32" w:rsidRPr="009576D8">
        <w:rPr>
          <w:sz w:val="24"/>
          <w:szCs w:val="24"/>
        </w:rPr>
        <w:t xml:space="preserve"> </w:t>
      </w:r>
      <w:r w:rsidR="00C250F4" w:rsidRPr="009576D8">
        <w:rPr>
          <w:sz w:val="24"/>
          <w:szCs w:val="24"/>
        </w:rPr>
        <w:t>„Koniunktura gospodarcza” niejasne, niespójne i niestabilne przepisy prawne są wskazywane jako jedna z głównych barier w</w:t>
      </w:r>
      <w:r w:rsidR="00C250F4">
        <w:rPr>
          <w:sz w:val="24"/>
          <w:szCs w:val="24"/>
        </w:rPr>
        <w:t> </w:t>
      </w:r>
      <w:r w:rsidR="00C250F4" w:rsidRPr="009576D8">
        <w:rPr>
          <w:sz w:val="24"/>
          <w:szCs w:val="24"/>
        </w:rPr>
        <w:t>działalności gospodarczej</w:t>
      </w:r>
      <w:r w:rsidR="00737B53">
        <w:rPr>
          <w:rStyle w:val="Odwoanieprzypisudolnego"/>
          <w:sz w:val="24"/>
          <w:szCs w:val="24"/>
        </w:rPr>
        <w:footnoteReference w:id="2"/>
      </w:r>
      <w:r w:rsidR="00C250F4" w:rsidRPr="009576D8">
        <w:rPr>
          <w:sz w:val="24"/>
          <w:szCs w:val="24"/>
        </w:rPr>
        <w:t>. Według badania GEM</w:t>
      </w:r>
      <w:r w:rsidR="00737B53">
        <w:rPr>
          <w:rStyle w:val="Odwoanieprzypisudolnego"/>
          <w:sz w:val="24"/>
          <w:szCs w:val="24"/>
        </w:rPr>
        <w:footnoteReference w:id="3"/>
      </w:r>
      <w:r w:rsidR="00C250F4" w:rsidRPr="009576D8">
        <w:rPr>
          <w:sz w:val="24"/>
          <w:szCs w:val="24"/>
        </w:rPr>
        <w:t xml:space="preserve"> (w ramach raportu z badania przedsiębiorczości Polskiej Agencji Rozwoju Przedsiębiorczości z</w:t>
      </w:r>
      <w:r w:rsidR="00C517AD">
        <w:rPr>
          <w:sz w:val="24"/>
          <w:szCs w:val="24"/>
        </w:rPr>
        <w:t> </w:t>
      </w:r>
      <w:r w:rsidR="00C250F4" w:rsidRPr="009576D8">
        <w:rPr>
          <w:sz w:val="24"/>
          <w:szCs w:val="24"/>
        </w:rPr>
        <w:t>2024</w:t>
      </w:r>
      <w:r w:rsidR="00C517AD">
        <w:rPr>
          <w:sz w:val="24"/>
          <w:szCs w:val="24"/>
        </w:rPr>
        <w:t> </w:t>
      </w:r>
      <w:r w:rsidR="00C250F4" w:rsidRPr="009576D8">
        <w:rPr>
          <w:sz w:val="24"/>
          <w:szCs w:val="24"/>
        </w:rPr>
        <w:t>r.) zmienność prawa bardzo utrudnia rozwój prowadzonej działalności w opinii 30% przedsiębiorców.</w:t>
      </w:r>
    </w:p>
    <w:p w14:paraId="481173B6" w14:textId="019F4C6B" w:rsidR="00A94EA7" w:rsidRPr="009576D8" w:rsidRDefault="00A94EA7" w:rsidP="00124F38">
      <w:pPr>
        <w:spacing w:after="120" w:line="276" w:lineRule="auto"/>
        <w:rPr>
          <w:sz w:val="24"/>
          <w:szCs w:val="24"/>
        </w:rPr>
      </w:pPr>
      <w:r w:rsidRPr="009576D8">
        <w:rPr>
          <w:sz w:val="24"/>
          <w:szCs w:val="24"/>
        </w:rPr>
        <w:t>Według</w:t>
      </w:r>
      <w:r w:rsidR="003C60D3">
        <w:rPr>
          <w:sz w:val="24"/>
          <w:szCs w:val="24"/>
        </w:rPr>
        <w:t xml:space="preserve"> Polskiego Instytutu Ekonomicznego</w:t>
      </w:r>
      <w:r w:rsidRPr="009576D8">
        <w:rPr>
          <w:rStyle w:val="Odwoanieprzypisudolnego"/>
          <w:sz w:val="24"/>
          <w:szCs w:val="24"/>
        </w:rPr>
        <w:footnoteReference w:id="4"/>
      </w:r>
      <w:r w:rsidR="003C60D3">
        <w:rPr>
          <w:sz w:val="24"/>
          <w:szCs w:val="24"/>
        </w:rPr>
        <w:t xml:space="preserve">, </w:t>
      </w:r>
      <w:r w:rsidRPr="009576D8">
        <w:rPr>
          <w:sz w:val="24"/>
          <w:szCs w:val="24"/>
        </w:rPr>
        <w:t>52% przedsiębiorstw uważa, że mniejsze obciążenia biurokratyczne obniżą koszty prowadzenia działalności, ponieważ obecne wymogi zmuszają firmy, zwłaszcza mikroprzedsiębiorstwa, do ponoszenia wydatków na</w:t>
      </w:r>
      <w:r w:rsidR="00F014A2">
        <w:rPr>
          <w:sz w:val="24"/>
          <w:szCs w:val="24"/>
        </w:rPr>
        <w:t> </w:t>
      </w:r>
      <w:r w:rsidRPr="009576D8">
        <w:rPr>
          <w:sz w:val="24"/>
          <w:szCs w:val="24"/>
        </w:rPr>
        <w:t>księgowość i specjalistyczne oprogramowanie</w:t>
      </w:r>
      <w:r w:rsidR="000C3FEC">
        <w:rPr>
          <w:sz w:val="24"/>
          <w:szCs w:val="24"/>
        </w:rPr>
        <w:t>.</w:t>
      </w:r>
      <w:r w:rsidRPr="009576D8">
        <w:rPr>
          <w:sz w:val="24"/>
          <w:szCs w:val="24"/>
        </w:rPr>
        <w:t xml:space="preserve"> 48% firm liczy na skrócenie czasu oczekiwania na decyzje administracyjne, co w dynamicznym otoczeniu biznesowym jest kluczowe dla zachowania przewagi konkurencyjnej</w:t>
      </w:r>
      <w:r w:rsidR="000C3FEC">
        <w:rPr>
          <w:sz w:val="24"/>
          <w:szCs w:val="24"/>
        </w:rPr>
        <w:t>. O</w:t>
      </w:r>
      <w:r w:rsidRPr="009576D8">
        <w:rPr>
          <w:sz w:val="24"/>
          <w:szCs w:val="24"/>
        </w:rPr>
        <w:t>koło 40% przedsiębiorstw wskazuje, że deregulacja może zwiększyć konkurencyjność i poprawić warunki inwestowania, co potwierdzają analizy Banku Światowego</w:t>
      </w:r>
      <w:r w:rsidR="000C3FEC">
        <w:rPr>
          <w:sz w:val="24"/>
          <w:szCs w:val="24"/>
        </w:rPr>
        <w:t>.</w:t>
      </w:r>
      <w:r w:rsidRPr="009576D8">
        <w:rPr>
          <w:sz w:val="24"/>
          <w:szCs w:val="24"/>
        </w:rPr>
        <w:t xml:space="preserve"> 39% firm spodziewa się</w:t>
      </w:r>
      <w:r w:rsidR="00F014A2">
        <w:rPr>
          <w:sz w:val="24"/>
          <w:szCs w:val="24"/>
        </w:rPr>
        <w:t> </w:t>
      </w:r>
      <w:r w:rsidRPr="009576D8">
        <w:rPr>
          <w:sz w:val="24"/>
          <w:szCs w:val="24"/>
        </w:rPr>
        <w:t>łatwiejszego dostępu do kredytów, zwłaszcza w branży budowlanej i usługowej, zgodnie z</w:t>
      </w:r>
      <w:r w:rsidR="003C60D3">
        <w:rPr>
          <w:sz w:val="24"/>
          <w:szCs w:val="24"/>
        </w:rPr>
        <w:t> </w:t>
      </w:r>
      <w:r w:rsidRPr="009576D8">
        <w:rPr>
          <w:sz w:val="24"/>
          <w:szCs w:val="24"/>
        </w:rPr>
        <w:t>oceną Europejskiego Banku Inwestycyjnego podkreślającego, że złożone procedury utrudniają pozyskiwanie finansowania</w:t>
      </w:r>
      <w:r w:rsidR="00B24544">
        <w:rPr>
          <w:sz w:val="24"/>
          <w:szCs w:val="24"/>
        </w:rPr>
        <w:t>. O</w:t>
      </w:r>
      <w:r w:rsidRPr="009576D8">
        <w:rPr>
          <w:sz w:val="24"/>
          <w:szCs w:val="24"/>
        </w:rPr>
        <w:t xml:space="preserve">koło 40% przedsiębiorców oczekuje, </w:t>
      </w:r>
      <w:r w:rsidRPr="009576D8">
        <w:rPr>
          <w:sz w:val="24"/>
          <w:szCs w:val="24"/>
        </w:rPr>
        <w:lastRenderedPageBreak/>
        <w:t>że</w:t>
      </w:r>
      <w:r w:rsidR="00F014A2">
        <w:rPr>
          <w:sz w:val="24"/>
          <w:szCs w:val="24"/>
        </w:rPr>
        <w:t> </w:t>
      </w:r>
      <w:r w:rsidRPr="009576D8">
        <w:rPr>
          <w:sz w:val="24"/>
          <w:szCs w:val="24"/>
        </w:rPr>
        <w:t>mniejsze obciążenia administracyjne zwiększą ich zdolność do szybkiego reagowania na zmiany gospodarcze</w:t>
      </w:r>
      <w:r w:rsidR="000C3FEC" w:rsidRPr="009576D8">
        <w:rPr>
          <w:sz w:val="24"/>
          <w:szCs w:val="24"/>
        </w:rPr>
        <w:t xml:space="preserve">. </w:t>
      </w:r>
      <w:r w:rsidR="00B24544">
        <w:rPr>
          <w:sz w:val="24"/>
          <w:szCs w:val="24"/>
        </w:rPr>
        <w:t>O</w:t>
      </w:r>
      <w:r w:rsidR="000C3FEC" w:rsidRPr="009576D8">
        <w:rPr>
          <w:sz w:val="24"/>
          <w:szCs w:val="24"/>
        </w:rPr>
        <w:t>czekiwan</w:t>
      </w:r>
      <w:r w:rsidR="006E4FEF">
        <w:rPr>
          <w:sz w:val="24"/>
          <w:szCs w:val="24"/>
        </w:rPr>
        <w:t>e</w:t>
      </w:r>
      <w:r w:rsidR="000C3FEC" w:rsidRPr="009576D8">
        <w:rPr>
          <w:sz w:val="24"/>
          <w:szCs w:val="24"/>
        </w:rPr>
        <w:t xml:space="preserve"> efekt</w:t>
      </w:r>
      <w:r w:rsidR="006E4FEF">
        <w:rPr>
          <w:sz w:val="24"/>
          <w:szCs w:val="24"/>
        </w:rPr>
        <w:t>y reform deregulacyjnych</w:t>
      </w:r>
      <w:r w:rsidRPr="009576D8">
        <w:rPr>
          <w:sz w:val="24"/>
          <w:szCs w:val="24"/>
        </w:rPr>
        <w:t xml:space="preserve"> potwierdzają analizy OECD wskazujące, że </w:t>
      </w:r>
      <w:r w:rsidRPr="009576D8">
        <w:rPr>
          <w:b/>
          <w:bCs/>
          <w:sz w:val="24"/>
          <w:szCs w:val="24"/>
        </w:rPr>
        <w:t>poprawa jakości regulacji może podnieść tempo wzrostu gospodarczego o 0,5–1 pkt proc. rocznie</w:t>
      </w:r>
      <w:r w:rsidRPr="009576D8">
        <w:rPr>
          <w:sz w:val="24"/>
          <w:szCs w:val="24"/>
        </w:rPr>
        <w:t>.</w:t>
      </w:r>
    </w:p>
    <w:p w14:paraId="1BB069E6" w14:textId="68A8AEBD" w:rsidR="006D5374" w:rsidRPr="009576D8" w:rsidRDefault="005F7909" w:rsidP="00124F38">
      <w:pPr>
        <w:spacing w:after="120" w:line="276" w:lineRule="auto"/>
        <w:rPr>
          <w:sz w:val="24"/>
          <w:szCs w:val="24"/>
        </w:rPr>
      </w:pPr>
      <w:r w:rsidRPr="009576D8">
        <w:rPr>
          <w:sz w:val="24"/>
          <w:szCs w:val="24"/>
        </w:rPr>
        <w:t xml:space="preserve">Mając </w:t>
      </w:r>
      <w:r w:rsidR="00A94EA7" w:rsidRPr="009576D8">
        <w:rPr>
          <w:sz w:val="24"/>
          <w:szCs w:val="24"/>
        </w:rPr>
        <w:t>na uwadze powyższe</w:t>
      </w:r>
      <w:r w:rsidR="002C25EF" w:rsidRPr="009576D8">
        <w:rPr>
          <w:sz w:val="24"/>
          <w:szCs w:val="24"/>
        </w:rPr>
        <w:t>,</w:t>
      </w:r>
      <w:r w:rsidR="00505C94" w:rsidRPr="009576D8">
        <w:rPr>
          <w:sz w:val="24"/>
          <w:szCs w:val="24"/>
        </w:rPr>
        <w:t xml:space="preserve"> należy dołożyć wszelkich starań </w:t>
      </w:r>
      <w:r w:rsidR="00024515" w:rsidRPr="009576D8">
        <w:rPr>
          <w:sz w:val="24"/>
          <w:szCs w:val="24"/>
        </w:rPr>
        <w:t xml:space="preserve">aby </w:t>
      </w:r>
      <w:r w:rsidR="00505C94" w:rsidRPr="009576D8">
        <w:rPr>
          <w:sz w:val="24"/>
          <w:szCs w:val="24"/>
        </w:rPr>
        <w:t>ogranicz</w:t>
      </w:r>
      <w:r w:rsidR="00024515" w:rsidRPr="009576D8">
        <w:rPr>
          <w:sz w:val="24"/>
          <w:szCs w:val="24"/>
        </w:rPr>
        <w:t>yć</w:t>
      </w:r>
      <w:r w:rsidR="00505C94" w:rsidRPr="009576D8">
        <w:rPr>
          <w:sz w:val="24"/>
          <w:szCs w:val="24"/>
        </w:rPr>
        <w:t xml:space="preserve"> </w:t>
      </w:r>
      <w:r w:rsidR="007A0C35" w:rsidRPr="009576D8">
        <w:rPr>
          <w:sz w:val="24"/>
          <w:szCs w:val="24"/>
        </w:rPr>
        <w:t>niepotrzebn</w:t>
      </w:r>
      <w:r w:rsidR="00024515" w:rsidRPr="009576D8">
        <w:rPr>
          <w:sz w:val="24"/>
          <w:szCs w:val="24"/>
        </w:rPr>
        <w:t>ą</w:t>
      </w:r>
      <w:r w:rsidR="007A0C35" w:rsidRPr="009576D8">
        <w:rPr>
          <w:sz w:val="24"/>
          <w:szCs w:val="24"/>
        </w:rPr>
        <w:t xml:space="preserve"> </w:t>
      </w:r>
      <w:r w:rsidR="00505C94" w:rsidRPr="009576D8">
        <w:rPr>
          <w:sz w:val="24"/>
          <w:szCs w:val="24"/>
        </w:rPr>
        <w:t>presj</w:t>
      </w:r>
      <w:r w:rsidR="00024515" w:rsidRPr="009576D8">
        <w:rPr>
          <w:sz w:val="24"/>
          <w:szCs w:val="24"/>
        </w:rPr>
        <w:t>ę</w:t>
      </w:r>
      <w:r w:rsidR="00505C94" w:rsidRPr="009576D8">
        <w:rPr>
          <w:sz w:val="24"/>
          <w:szCs w:val="24"/>
        </w:rPr>
        <w:t xml:space="preserve"> na polskie firmy, która wynika </w:t>
      </w:r>
      <w:r w:rsidR="006B2298" w:rsidRPr="009576D8">
        <w:rPr>
          <w:sz w:val="24"/>
          <w:szCs w:val="24"/>
        </w:rPr>
        <w:t xml:space="preserve">z nieefektywnych przepisów. Poprawa </w:t>
      </w:r>
      <w:r w:rsidR="007C6D9E" w:rsidRPr="009576D8">
        <w:rPr>
          <w:sz w:val="24"/>
          <w:szCs w:val="24"/>
        </w:rPr>
        <w:t>jakości procesu stanowienia prawa</w:t>
      </w:r>
      <w:r w:rsidR="007A0C35" w:rsidRPr="009576D8">
        <w:rPr>
          <w:sz w:val="24"/>
          <w:szCs w:val="24"/>
        </w:rPr>
        <w:t xml:space="preserve"> i jego </w:t>
      </w:r>
      <w:r w:rsidR="007C6D9E" w:rsidRPr="009576D8">
        <w:rPr>
          <w:sz w:val="24"/>
          <w:szCs w:val="24"/>
        </w:rPr>
        <w:t xml:space="preserve">monitorowanie, a także ewaluacja </w:t>
      </w:r>
      <w:r w:rsidR="007A0C35" w:rsidRPr="009576D8">
        <w:rPr>
          <w:sz w:val="24"/>
          <w:szCs w:val="24"/>
        </w:rPr>
        <w:t xml:space="preserve">obowiązujących aktów normatywnych </w:t>
      </w:r>
      <w:r w:rsidR="00065881" w:rsidRPr="009576D8">
        <w:rPr>
          <w:sz w:val="24"/>
          <w:szCs w:val="24"/>
        </w:rPr>
        <w:t xml:space="preserve">mogą w znacznym stopniu przyczynić się do </w:t>
      </w:r>
      <w:r w:rsidR="007A0C35" w:rsidRPr="009576D8">
        <w:rPr>
          <w:sz w:val="24"/>
          <w:szCs w:val="24"/>
        </w:rPr>
        <w:t>eliminacji zbędnych obowiązków i ograniczania wynikających z nich obciążeń</w:t>
      </w:r>
      <w:r w:rsidR="00065881" w:rsidRPr="009576D8">
        <w:rPr>
          <w:sz w:val="24"/>
          <w:szCs w:val="24"/>
        </w:rPr>
        <w:t>.</w:t>
      </w:r>
    </w:p>
    <w:p w14:paraId="37C43F9E" w14:textId="4CBF6813" w:rsidR="00EF21BA" w:rsidRPr="009576D8" w:rsidRDefault="00401F7A" w:rsidP="00124F38">
      <w:pPr>
        <w:pStyle w:val="Nagwek2"/>
        <w:numPr>
          <w:ilvl w:val="0"/>
          <w:numId w:val="5"/>
        </w:numPr>
        <w:rPr>
          <w:rFonts w:asciiTheme="minorHAnsi" w:hAnsiTheme="minorHAnsi"/>
        </w:rPr>
      </w:pPr>
      <w:bookmarkStart w:id="6" w:name="_Toc217927136"/>
      <w:bookmarkStart w:id="7" w:name="_Toc219276856"/>
      <w:r w:rsidRPr="009576D8">
        <w:rPr>
          <w:rFonts w:asciiTheme="minorHAnsi" w:hAnsiTheme="minorHAnsi"/>
        </w:rPr>
        <w:t>Geneza Programu</w:t>
      </w:r>
      <w:bookmarkEnd w:id="6"/>
      <w:bookmarkEnd w:id="7"/>
    </w:p>
    <w:p w14:paraId="4C416891" w14:textId="6C09467B" w:rsidR="009A4440" w:rsidRPr="009576D8" w:rsidRDefault="009A4440" w:rsidP="00124F38">
      <w:pPr>
        <w:spacing w:after="120" w:line="276" w:lineRule="auto"/>
        <w:rPr>
          <w:sz w:val="24"/>
          <w:szCs w:val="24"/>
        </w:rPr>
      </w:pPr>
      <w:r w:rsidRPr="009576D8">
        <w:rPr>
          <w:sz w:val="24"/>
          <w:szCs w:val="24"/>
        </w:rPr>
        <w:t xml:space="preserve">Program </w:t>
      </w:r>
      <w:r w:rsidRPr="009576D8">
        <w:rPr>
          <w:b/>
          <w:bCs/>
          <w:sz w:val="24"/>
          <w:szCs w:val="24"/>
        </w:rPr>
        <w:t>jest</w:t>
      </w:r>
      <w:r w:rsidRPr="009576D8">
        <w:rPr>
          <w:sz w:val="24"/>
          <w:szCs w:val="24"/>
        </w:rPr>
        <w:t xml:space="preserve"> </w:t>
      </w:r>
      <w:r w:rsidRPr="009576D8">
        <w:rPr>
          <w:b/>
          <w:bCs/>
          <w:sz w:val="24"/>
          <w:szCs w:val="24"/>
        </w:rPr>
        <w:t xml:space="preserve">formą wdrażania rekomendacji </w:t>
      </w:r>
      <w:r w:rsidR="00546951" w:rsidRPr="009576D8">
        <w:rPr>
          <w:b/>
          <w:bCs/>
          <w:sz w:val="24"/>
          <w:szCs w:val="24"/>
        </w:rPr>
        <w:t>OECD</w:t>
      </w:r>
      <w:r w:rsidR="00024515" w:rsidRPr="009576D8">
        <w:rPr>
          <w:b/>
          <w:bCs/>
          <w:sz w:val="24"/>
          <w:szCs w:val="24"/>
        </w:rPr>
        <w:t xml:space="preserve"> w zakresie polityki regulacyjnej i</w:t>
      </w:r>
      <w:r w:rsidR="006E4FEF" w:rsidRPr="009576D8">
        <w:rPr>
          <w:b/>
          <w:bCs/>
          <w:sz w:val="24"/>
          <w:szCs w:val="24"/>
        </w:rPr>
        <w:t> </w:t>
      </w:r>
      <w:r w:rsidR="00024515" w:rsidRPr="009576D8">
        <w:rPr>
          <w:b/>
          <w:bCs/>
          <w:sz w:val="24"/>
          <w:szCs w:val="24"/>
        </w:rPr>
        <w:t>zarządzania</w:t>
      </w:r>
      <w:r w:rsidRPr="009576D8">
        <w:rPr>
          <w:rStyle w:val="Odwoanieprzypisudolnego"/>
          <w:sz w:val="24"/>
          <w:szCs w:val="24"/>
        </w:rPr>
        <w:footnoteReference w:id="5"/>
      </w:r>
      <w:r w:rsidRPr="00C517AD">
        <w:rPr>
          <w:sz w:val="24"/>
          <w:szCs w:val="24"/>
        </w:rPr>
        <w:t>,</w:t>
      </w:r>
      <w:r w:rsidRPr="009576D8">
        <w:rPr>
          <w:sz w:val="24"/>
          <w:szCs w:val="24"/>
        </w:rPr>
        <w:t xml:space="preserve"> w których zaleca </w:t>
      </w:r>
      <w:r w:rsidR="00546951" w:rsidRPr="009576D8">
        <w:rPr>
          <w:sz w:val="24"/>
          <w:szCs w:val="24"/>
        </w:rPr>
        <w:t xml:space="preserve">się </w:t>
      </w:r>
      <w:r w:rsidR="00402AE3" w:rsidRPr="009576D8">
        <w:rPr>
          <w:sz w:val="24"/>
          <w:szCs w:val="24"/>
        </w:rPr>
        <w:t xml:space="preserve">m.in. </w:t>
      </w:r>
      <w:r w:rsidRPr="009576D8">
        <w:rPr>
          <w:sz w:val="24"/>
          <w:szCs w:val="24"/>
        </w:rPr>
        <w:t>systematyczne prowadzenie przeglądów obowiązujących przepisów oraz przygotowywanie planów ich upraszczania</w:t>
      </w:r>
      <w:r w:rsidR="00FF280A" w:rsidRPr="009576D8">
        <w:rPr>
          <w:rStyle w:val="Odwoanieprzypisudolnego"/>
          <w:sz w:val="24"/>
          <w:szCs w:val="24"/>
        </w:rPr>
        <w:footnoteReference w:id="6"/>
      </w:r>
      <w:r w:rsidR="00E91BC7" w:rsidRPr="009576D8">
        <w:rPr>
          <w:sz w:val="24"/>
          <w:szCs w:val="24"/>
        </w:rPr>
        <w:t>.</w:t>
      </w:r>
      <w:r w:rsidR="00916876" w:rsidRPr="009576D8">
        <w:rPr>
          <w:sz w:val="24"/>
          <w:szCs w:val="24"/>
        </w:rPr>
        <w:t xml:space="preserve"> </w:t>
      </w:r>
      <w:r w:rsidR="001E4F7A" w:rsidRPr="009576D8">
        <w:rPr>
          <w:sz w:val="24"/>
          <w:szCs w:val="24"/>
        </w:rPr>
        <w:t xml:space="preserve">W ostatnim czasie </w:t>
      </w:r>
      <w:r w:rsidR="00916876" w:rsidRPr="009576D8">
        <w:rPr>
          <w:sz w:val="24"/>
          <w:szCs w:val="24"/>
        </w:rPr>
        <w:t>uproszczenia stały się</w:t>
      </w:r>
      <w:r w:rsidR="00C14B2E">
        <w:rPr>
          <w:sz w:val="24"/>
          <w:szCs w:val="24"/>
        </w:rPr>
        <w:t>,</w:t>
      </w:r>
      <w:r w:rsidR="00916876" w:rsidRPr="009576D8">
        <w:rPr>
          <w:sz w:val="24"/>
          <w:szCs w:val="24"/>
        </w:rPr>
        <w:t xml:space="preserve"> obok </w:t>
      </w:r>
      <w:r w:rsidR="00024515" w:rsidRPr="009576D8">
        <w:rPr>
          <w:sz w:val="24"/>
          <w:szCs w:val="24"/>
        </w:rPr>
        <w:t>zasad lepszego stanowienia prawa, które pomagają tworzyć przepisy oparte na dowodach, skuteczne w osiąganiu celów i dostosowane do</w:t>
      </w:r>
      <w:r w:rsidR="00F014A2">
        <w:rPr>
          <w:sz w:val="24"/>
          <w:szCs w:val="24"/>
        </w:rPr>
        <w:t> </w:t>
      </w:r>
      <w:r w:rsidR="00024515" w:rsidRPr="009576D8">
        <w:rPr>
          <w:sz w:val="24"/>
          <w:szCs w:val="24"/>
        </w:rPr>
        <w:t xml:space="preserve">potrzeb obywateli i przedsiębiorstw, </w:t>
      </w:r>
      <w:r w:rsidR="00916876" w:rsidRPr="009576D8">
        <w:rPr>
          <w:sz w:val="24"/>
          <w:szCs w:val="24"/>
        </w:rPr>
        <w:t xml:space="preserve">tematem przewodnim </w:t>
      </w:r>
      <w:r w:rsidR="001E4F7A" w:rsidRPr="009576D8">
        <w:rPr>
          <w:sz w:val="24"/>
          <w:szCs w:val="24"/>
        </w:rPr>
        <w:t xml:space="preserve">w Unii Europejskiej, krajach członkowskich i na forum OECD </w:t>
      </w:r>
      <w:r w:rsidR="00B70C6E" w:rsidRPr="009576D8">
        <w:rPr>
          <w:sz w:val="24"/>
          <w:szCs w:val="24"/>
        </w:rPr>
        <w:t xml:space="preserve">w </w:t>
      </w:r>
      <w:r w:rsidR="00916876" w:rsidRPr="009576D8">
        <w:rPr>
          <w:sz w:val="24"/>
          <w:szCs w:val="24"/>
        </w:rPr>
        <w:t>kontekście polityki regulacyjnej</w:t>
      </w:r>
      <w:r w:rsidR="00FF280A" w:rsidRPr="009576D8">
        <w:rPr>
          <w:rStyle w:val="Odwoanieprzypisudolnego"/>
          <w:sz w:val="24"/>
          <w:szCs w:val="24"/>
        </w:rPr>
        <w:footnoteReference w:id="7"/>
      </w:r>
      <w:r w:rsidR="00916876" w:rsidRPr="009576D8">
        <w:rPr>
          <w:sz w:val="24"/>
          <w:szCs w:val="24"/>
        </w:rPr>
        <w:t>.</w:t>
      </w:r>
    </w:p>
    <w:p w14:paraId="3D7E98A5" w14:textId="023C6F1F" w:rsidR="00632A34" w:rsidRPr="009576D8" w:rsidRDefault="00632A34" w:rsidP="00124F38">
      <w:pPr>
        <w:spacing w:after="120" w:line="276" w:lineRule="auto"/>
        <w:rPr>
          <w:sz w:val="24"/>
          <w:szCs w:val="24"/>
        </w:rPr>
      </w:pPr>
      <w:r w:rsidRPr="009576D8">
        <w:rPr>
          <w:sz w:val="24"/>
          <w:szCs w:val="24"/>
        </w:rPr>
        <w:t xml:space="preserve">Program </w:t>
      </w:r>
      <w:r w:rsidRPr="009576D8">
        <w:rPr>
          <w:b/>
          <w:bCs/>
          <w:sz w:val="24"/>
          <w:szCs w:val="24"/>
        </w:rPr>
        <w:t xml:space="preserve">wpisuje się w wyraźny, obserwowany </w:t>
      </w:r>
      <w:r w:rsidR="006D7E52" w:rsidRPr="009576D8">
        <w:rPr>
          <w:b/>
          <w:bCs/>
          <w:sz w:val="24"/>
          <w:szCs w:val="24"/>
        </w:rPr>
        <w:t xml:space="preserve">również </w:t>
      </w:r>
      <w:r w:rsidRPr="009576D8">
        <w:rPr>
          <w:b/>
          <w:bCs/>
          <w:sz w:val="24"/>
          <w:szCs w:val="24"/>
        </w:rPr>
        <w:t>na arenie międzynarodowej trend upraszczania otoczenia regulacyjnego</w:t>
      </w:r>
      <w:r w:rsidRPr="009576D8">
        <w:rPr>
          <w:sz w:val="24"/>
          <w:szCs w:val="24"/>
        </w:rPr>
        <w:t>. W Unii Europejskiej impuls do</w:t>
      </w:r>
      <w:r w:rsidR="00F014A2">
        <w:rPr>
          <w:sz w:val="24"/>
          <w:szCs w:val="24"/>
        </w:rPr>
        <w:t> </w:t>
      </w:r>
      <w:r w:rsidRPr="009576D8">
        <w:rPr>
          <w:sz w:val="24"/>
          <w:szCs w:val="24"/>
        </w:rPr>
        <w:t>intensyfikacji prac deregulacyjnych został nadany wraz z rozpoczęciem polskiej prezydencji w Radzie UE w</w:t>
      </w:r>
      <w:r w:rsidR="006E4FEF">
        <w:rPr>
          <w:sz w:val="24"/>
          <w:szCs w:val="24"/>
        </w:rPr>
        <w:t> </w:t>
      </w:r>
      <w:r w:rsidRPr="009576D8">
        <w:rPr>
          <w:sz w:val="24"/>
          <w:szCs w:val="24"/>
        </w:rPr>
        <w:t>pierwszej połowie 2025 r., kiedy to Polska podkreśliła konieczność szybkiego i</w:t>
      </w:r>
      <w:r w:rsidR="006E4FEF">
        <w:rPr>
          <w:sz w:val="24"/>
          <w:szCs w:val="24"/>
        </w:rPr>
        <w:t> </w:t>
      </w:r>
      <w:r w:rsidRPr="009576D8">
        <w:rPr>
          <w:sz w:val="24"/>
          <w:szCs w:val="24"/>
        </w:rPr>
        <w:t>ambitnego podejścia do uproszczeń</w:t>
      </w:r>
      <w:r w:rsidR="006E4FEF">
        <w:rPr>
          <w:sz w:val="24"/>
          <w:szCs w:val="24"/>
        </w:rPr>
        <w:t xml:space="preserve"> prawa</w:t>
      </w:r>
      <w:r w:rsidRPr="009576D8">
        <w:rPr>
          <w:sz w:val="24"/>
          <w:szCs w:val="24"/>
        </w:rPr>
        <w:t>. Kierunek ten jest kontynuowany przez kolejne prezydencje. Ważnym przykładem są działania Komisji Europejskiej, która w celu wzmocnienia konkurencyjności unijnej gospodarki prowadzi redukcję obciążeń administracyjnych, przygotowanie nowych pakietów uproszczeń typu Omnibus, testowanie prawodawstwa UE w warunkach skrajnych, weryfikację praktycznego stosowania przepisów, wzmocnienie oceny wpływu regulacji na MŚP i</w:t>
      </w:r>
      <w:r w:rsidR="00E12C16">
        <w:rPr>
          <w:sz w:val="24"/>
          <w:szCs w:val="24"/>
        </w:rPr>
        <w:t> </w:t>
      </w:r>
      <w:r w:rsidRPr="009576D8">
        <w:rPr>
          <w:sz w:val="24"/>
          <w:szCs w:val="24"/>
        </w:rPr>
        <w:t xml:space="preserve">konkurencyjność, inwestycje w dane i narzędzia cyfrowe oraz skuteczniejsze angażowanie interesariuszy. </w:t>
      </w:r>
    </w:p>
    <w:p w14:paraId="335D1C87" w14:textId="4AEF3F0B" w:rsidR="00632A34" w:rsidRPr="009576D8" w:rsidRDefault="00632A34" w:rsidP="00124F38">
      <w:pPr>
        <w:spacing w:after="120" w:line="276" w:lineRule="auto"/>
        <w:rPr>
          <w:sz w:val="24"/>
          <w:szCs w:val="24"/>
        </w:rPr>
      </w:pPr>
      <w:r w:rsidRPr="009576D8">
        <w:rPr>
          <w:sz w:val="24"/>
          <w:szCs w:val="24"/>
        </w:rPr>
        <w:t xml:space="preserve">Polskie </w:t>
      </w:r>
      <w:r w:rsidRPr="009576D8">
        <w:rPr>
          <w:b/>
          <w:bCs/>
          <w:sz w:val="24"/>
          <w:szCs w:val="24"/>
        </w:rPr>
        <w:t>inicjatywy deregulacyjne</w:t>
      </w:r>
      <w:r w:rsidR="006E4FEF" w:rsidRPr="009576D8">
        <w:rPr>
          <w:b/>
          <w:bCs/>
          <w:sz w:val="24"/>
          <w:szCs w:val="24"/>
        </w:rPr>
        <w:t>, które nabrały szczególnego znaczenia i</w:t>
      </w:r>
      <w:r w:rsidR="00E12C16">
        <w:rPr>
          <w:b/>
          <w:bCs/>
          <w:sz w:val="24"/>
          <w:szCs w:val="24"/>
        </w:rPr>
        <w:t> </w:t>
      </w:r>
      <w:r w:rsidR="006E4FEF" w:rsidRPr="009576D8">
        <w:rPr>
          <w:b/>
          <w:bCs/>
          <w:sz w:val="24"/>
          <w:szCs w:val="24"/>
        </w:rPr>
        <w:t>intensyfikacji w</w:t>
      </w:r>
      <w:r w:rsidR="004B4E09" w:rsidRPr="009576D8">
        <w:rPr>
          <w:b/>
          <w:bCs/>
          <w:sz w:val="24"/>
          <w:szCs w:val="24"/>
        </w:rPr>
        <w:t> </w:t>
      </w:r>
      <w:r w:rsidR="006E4FEF" w:rsidRPr="009576D8">
        <w:rPr>
          <w:b/>
          <w:bCs/>
          <w:sz w:val="24"/>
          <w:szCs w:val="24"/>
        </w:rPr>
        <w:t>2025 r. dzięki współpracy ze stroną społeczną</w:t>
      </w:r>
      <w:r w:rsidR="006E4FEF">
        <w:rPr>
          <w:rStyle w:val="Odwoanieprzypisudolnego"/>
          <w:sz w:val="24"/>
          <w:szCs w:val="24"/>
        </w:rPr>
        <w:footnoteReference w:id="8"/>
      </w:r>
      <w:r w:rsidR="006E4FEF">
        <w:rPr>
          <w:sz w:val="24"/>
          <w:szCs w:val="24"/>
        </w:rPr>
        <w:t xml:space="preserve">, </w:t>
      </w:r>
      <w:r w:rsidRPr="009576D8">
        <w:rPr>
          <w:sz w:val="24"/>
          <w:szCs w:val="24"/>
        </w:rPr>
        <w:t>spotkały się z dużym zainteresowaniem Komisji Europejskiej, OECD oraz wielu państw członkowskich</w:t>
      </w:r>
      <w:r w:rsidR="00C517AD">
        <w:rPr>
          <w:sz w:val="24"/>
          <w:szCs w:val="24"/>
        </w:rPr>
        <w:t xml:space="preserve"> </w:t>
      </w:r>
      <w:r w:rsidR="00C517AD">
        <w:rPr>
          <w:sz w:val="24"/>
          <w:szCs w:val="24"/>
        </w:rPr>
        <w:lastRenderedPageBreak/>
        <w:t>UE</w:t>
      </w:r>
      <w:r w:rsidR="00F014A2">
        <w:rPr>
          <w:sz w:val="24"/>
          <w:szCs w:val="24"/>
        </w:rPr>
        <w:t> </w:t>
      </w:r>
      <w:r w:rsidR="00C517AD">
        <w:rPr>
          <w:sz w:val="24"/>
          <w:szCs w:val="24"/>
        </w:rPr>
        <w:t>i OECD</w:t>
      </w:r>
      <w:r w:rsidRPr="009576D8">
        <w:rPr>
          <w:sz w:val="24"/>
          <w:szCs w:val="24"/>
        </w:rPr>
        <w:t>. Z</w:t>
      </w:r>
      <w:r w:rsidR="00B01DC9">
        <w:rPr>
          <w:sz w:val="24"/>
          <w:szCs w:val="24"/>
        </w:rPr>
        <w:t xml:space="preserve"> </w:t>
      </w:r>
      <w:r w:rsidRPr="009576D8">
        <w:rPr>
          <w:sz w:val="24"/>
          <w:szCs w:val="24"/>
        </w:rPr>
        <w:t>polskiej inicjatywy rozpoczęła się w UE szersza dyskusja nie tylko o</w:t>
      </w:r>
      <w:r w:rsidR="00C517AD">
        <w:rPr>
          <w:sz w:val="24"/>
          <w:szCs w:val="24"/>
        </w:rPr>
        <w:t> </w:t>
      </w:r>
      <w:r w:rsidRPr="009576D8">
        <w:rPr>
          <w:sz w:val="24"/>
          <w:szCs w:val="24"/>
        </w:rPr>
        <w:t>uproszczeniach, lecz także o deregulacji rozumianej jako przegląd i (w razie potrzeby) uchylanie lub wycofywanie regulacji, które nie odpowiadają współczesnym potrzebom gospodarczym czy strategicznym.</w:t>
      </w:r>
    </w:p>
    <w:p w14:paraId="18D0A777" w14:textId="5EFA3EB8" w:rsidR="00632A34" w:rsidRPr="009576D8" w:rsidRDefault="00632A34" w:rsidP="00124F38">
      <w:pPr>
        <w:spacing w:after="120" w:line="276" w:lineRule="auto"/>
        <w:rPr>
          <w:sz w:val="24"/>
          <w:szCs w:val="24"/>
        </w:rPr>
      </w:pPr>
      <w:r w:rsidRPr="009576D8">
        <w:rPr>
          <w:sz w:val="24"/>
          <w:szCs w:val="24"/>
        </w:rPr>
        <w:t>Polskie działania zarówno na poziomie krajowym, jak i europejskim</w:t>
      </w:r>
      <w:r w:rsidR="004B4E09">
        <w:rPr>
          <w:sz w:val="24"/>
          <w:szCs w:val="24"/>
        </w:rPr>
        <w:t>,</w:t>
      </w:r>
      <w:r w:rsidRPr="009576D8">
        <w:rPr>
          <w:sz w:val="24"/>
          <w:szCs w:val="24"/>
        </w:rPr>
        <w:t xml:space="preserve"> wyznaczyły kierunek, który zyskuje coraz szersze uznanie i jest naśladowany przez inne państwa. Dotychczasowe doświadczenia pokazują, że podejście oparte na systematycznej redukcji barier przynosi wymierne efekty, a skala zainteresowania potwierdza jego wartość. Dlatego kluczowe jest utrzymanie tempa i kontynuacja tych działań, aby dalej </w:t>
      </w:r>
      <w:r w:rsidR="004B4E09" w:rsidRPr="006D6F1D">
        <w:rPr>
          <w:sz w:val="24"/>
          <w:szCs w:val="24"/>
        </w:rPr>
        <w:t>podnosić jakość stanowionego prawa</w:t>
      </w:r>
      <w:r w:rsidR="004B4E09" w:rsidRPr="004B4E09">
        <w:rPr>
          <w:sz w:val="24"/>
          <w:szCs w:val="24"/>
        </w:rPr>
        <w:t xml:space="preserve"> </w:t>
      </w:r>
      <w:r w:rsidR="004B4E09">
        <w:rPr>
          <w:sz w:val="24"/>
          <w:szCs w:val="24"/>
        </w:rPr>
        <w:t xml:space="preserve">i dzięki temu </w:t>
      </w:r>
      <w:r w:rsidRPr="009576D8">
        <w:rPr>
          <w:sz w:val="24"/>
          <w:szCs w:val="24"/>
        </w:rPr>
        <w:t>wzmacniać konkurencyjność gospodarki.</w:t>
      </w:r>
    </w:p>
    <w:p w14:paraId="71992900" w14:textId="112F866F" w:rsidR="00401F7A" w:rsidRPr="009576D8" w:rsidRDefault="00401F7A" w:rsidP="00124F38">
      <w:pPr>
        <w:spacing w:after="120" w:line="276" w:lineRule="auto"/>
        <w:rPr>
          <w:sz w:val="24"/>
          <w:szCs w:val="24"/>
        </w:rPr>
      </w:pPr>
      <w:r w:rsidRPr="009576D8">
        <w:rPr>
          <w:sz w:val="24"/>
          <w:szCs w:val="24"/>
        </w:rPr>
        <w:t xml:space="preserve">Program </w:t>
      </w:r>
      <w:r w:rsidRPr="009576D8">
        <w:rPr>
          <w:b/>
          <w:bCs/>
          <w:sz w:val="24"/>
          <w:szCs w:val="24"/>
        </w:rPr>
        <w:t>nawiązuje</w:t>
      </w:r>
      <w:r w:rsidR="004B4E09" w:rsidRPr="009576D8">
        <w:rPr>
          <w:b/>
          <w:bCs/>
          <w:sz w:val="24"/>
          <w:szCs w:val="24"/>
        </w:rPr>
        <w:t xml:space="preserve"> również</w:t>
      </w:r>
      <w:r w:rsidRPr="009576D8">
        <w:rPr>
          <w:b/>
          <w:bCs/>
          <w:sz w:val="24"/>
          <w:szCs w:val="24"/>
        </w:rPr>
        <w:t xml:space="preserve"> do zaleceń Rady UE</w:t>
      </w:r>
      <w:r w:rsidRPr="009576D8">
        <w:rPr>
          <w:sz w:val="24"/>
          <w:szCs w:val="24"/>
        </w:rPr>
        <w:t xml:space="preserve"> w sprawie polityki gospodarczej, polityki społecznej, polityki zatrudnienia, polityki strukturalnej i polityki budżetowej Polski </w:t>
      </w:r>
      <w:r w:rsidR="00E12C16" w:rsidRPr="009576D8">
        <w:rPr>
          <w:sz w:val="24"/>
          <w:szCs w:val="24"/>
        </w:rPr>
        <w:t>z</w:t>
      </w:r>
      <w:r w:rsidR="00E12C16">
        <w:rPr>
          <w:sz w:val="24"/>
          <w:szCs w:val="24"/>
        </w:rPr>
        <w:t> </w:t>
      </w:r>
      <w:r w:rsidRPr="009576D8">
        <w:rPr>
          <w:sz w:val="24"/>
          <w:szCs w:val="24"/>
        </w:rPr>
        <w:t>2025</w:t>
      </w:r>
      <w:r w:rsidRPr="009576D8">
        <w:rPr>
          <w:rStyle w:val="Odwoanieprzypisudolnego"/>
          <w:sz w:val="24"/>
          <w:szCs w:val="24"/>
        </w:rPr>
        <w:footnoteReference w:id="9"/>
      </w:r>
      <w:r w:rsidRPr="009576D8">
        <w:rPr>
          <w:sz w:val="24"/>
          <w:szCs w:val="24"/>
        </w:rPr>
        <w:t>, wśród których znalazły się:</w:t>
      </w:r>
    </w:p>
    <w:p w14:paraId="1BC6CB0E" w14:textId="0F0B18E4" w:rsidR="00401F7A" w:rsidRPr="009576D8" w:rsidRDefault="00401F7A" w:rsidP="00124F38">
      <w:pPr>
        <w:pStyle w:val="Akapitzlist"/>
        <w:numPr>
          <w:ilvl w:val="0"/>
          <w:numId w:val="1"/>
        </w:numPr>
        <w:spacing w:after="120" w:line="276" w:lineRule="auto"/>
        <w:contextualSpacing w:val="0"/>
        <w:rPr>
          <w:sz w:val="24"/>
          <w:szCs w:val="24"/>
        </w:rPr>
      </w:pPr>
      <w:r w:rsidRPr="009576D8">
        <w:rPr>
          <w:sz w:val="24"/>
          <w:szCs w:val="24"/>
        </w:rPr>
        <w:t>uproszczenie regulacji, usprawnienie narzędzi regulacyjnych i zapewnienie, aby</w:t>
      </w:r>
      <w:r w:rsidR="00F014A2">
        <w:rPr>
          <w:sz w:val="24"/>
          <w:szCs w:val="24"/>
        </w:rPr>
        <w:t> </w:t>
      </w:r>
      <w:r w:rsidRPr="009576D8">
        <w:rPr>
          <w:sz w:val="24"/>
          <w:szCs w:val="24"/>
        </w:rPr>
        <w:t>ramy prawne były stabilne i jasne dla sektora biznesu,</w:t>
      </w:r>
    </w:p>
    <w:p w14:paraId="34689AD9" w14:textId="77777777" w:rsidR="00401F7A" w:rsidRPr="009576D8" w:rsidRDefault="00401F7A" w:rsidP="00124F38">
      <w:pPr>
        <w:pStyle w:val="Akapitzlist"/>
        <w:numPr>
          <w:ilvl w:val="0"/>
          <w:numId w:val="1"/>
        </w:numPr>
        <w:spacing w:after="120" w:line="276" w:lineRule="auto"/>
        <w:contextualSpacing w:val="0"/>
        <w:rPr>
          <w:sz w:val="24"/>
          <w:szCs w:val="24"/>
        </w:rPr>
      </w:pPr>
      <w:r w:rsidRPr="009576D8">
        <w:rPr>
          <w:sz w:val="24"/>
          <w:szCs w:val="24"/>
        </w:rPr>
        <w:t>wprowadzenie środków mających ograniczyć obciążenie administracyjne spoczywające na przedsiębiorstwach.</w:t>
      </w:r>
    </w:p>
    <w:p w14:paraId="26AFE462" w14:textId="1B2B2A54" w:rsidR="00D000B6" w:rsidRPr="009576D8" w:rsidRDefault="00320506" w:rsidP="00124F38">
      <w:pPr>
        <w:spacing w:after="120" w:line="276" w:lineRule="auto"/>
        <w:rPr>
          <w:sz w:val="24"/>
          <w:szCs w:val="24"/>
        </w:rPr>
      </w:pPr>
      <w:r w:rsidRPr="009576D8">
        <w:rPr>
          <w:sz w:val="24"/>
          <w:szCs w:val="24"/>
        </w:rPr>
        <w:t xml:space="preserve">Program </w:t>
      </w:r>
      <w:r w:rsidRPr="009576D8">
        <w:rPr>
          <w:b/>
          <w:bCs/>
          <w:sz w:val="24"/>
          <w:szCs w:val="24"/>
        </w:rPr>
        <w:t xml:space="preserve">zakłada poprawę w </w:t>
      </w:r>
      <w:r w:rsidR="00737B53">
        <w:rPr>
          <w:b/>
          <w:bCs/>
          <w:sz w:val="24"/>
          <w:szCs w:val="24"/>
        </w:rPr>
        <w:t>obszarze</w:t>
      </w:r>
      <w:r w:rsidR="00737B53" w:rsidRPr="009576D8">
        <w:rPr>
          <w:b/>
          <w:bCs/>
          <w:sz w:val="24"/>
          <w:szCs w:val="24"/>
        </w:rPr>
        <w:t xml:space="preserve"> </w:t>
      </w:r>
      <w:r w:rsidRPr="009576D8">
        <w:rPr>
          <w:b/>
          <w:bCs/>
          <w:sz w:val="24"/>
          <w:szCs w:val="24"/>
        </w:rPr>
        <w:t>objętym</w:t>
      </w:r>
      <w:r w:rsidRPr="009576D8">
        <w:rPr>
          <w:sz w:val="24"/>
          <w:szCs w:val="24"/>
        </w:rPr>
        <w:t xml:space="preserve"> </w:t>
      </w:r>
      <w:r w:rsidRPr="009576D8">
        <w:rPr>
          <w:b/>
          <w:bCs/>
          <w:sz w:val="24"/>
          <w:szCs w:val="24"/>
        </w:rPr>
        <w:t>kontrolą</w:t>
      </w:r>
      <w:r w:rsidR="00500D93" w:rsidRPr="009576D8">
        <w:rPr>
          <w:b/>
          <w:bCs/>
          <w:sz w:val="24"/>
          <w:szCs w:val="24"/>
        </w:rPr>
        <w:t xml:space="preserve"> </w:t>
      </w:r>
      <w:r w:rsidR="00E12C16" w:rsidRPr="009576D8">
        <w:rPr>
          <w:b/>
          <w:bCs/>
          <w:sz w:val="24"/>
          <w:szCs w:val="24"/>
        </w:rPr>
        <w:t xml:space="preserve">Najwyższej Izby Kontroli </w:t>
      </w:r>
      <w:r w:rsidR="00737B53">
        <w:rPr>
          <w:b/>
          <w:bCs/>
          <w:sz w:val="24"/>
          <w:szCs w:val="24"/>
        </w:rPr>
        <w:t>dotyczącą</w:t>
      </w:r>
      <w:r w:rsidR="00E12C16" w:rsidRPr="009576D8">
        <w:rPr>
          <w:b/>
          <w:bCs/>
          <w:sz w:val="24"/>
          <w:szCs w:val="24"/>
        </w:rPr>
        <w:t xml:space="preserve"> </w:t>
      </w:r>
      <w:r w:rsidR="00781BA2" w:rsidRPr="009576D8">
        <w:rPr>
          <w:b/>
          <w:bCs/>
          <w:sz w:val="24"/>
          <w:szCs w:val="24"/>
        </w:rPr>
        <w:t>funkcjonowania</w:t>
      </w:r>
      <w:r w:rsidR="00401F7A" w:rsidRPr="009576D8">
        <w:rPr>
          <w:b/>
          <w:bCs/>
          <w:sz w:val="24"/>
          <w:szCs w:val="24"/>
        </w:rPr>
        <w:t xml:space="preserve"> systemu oceny wpływu w rządowym procesie legislacyjnym</w:t>
      </w:r>
      <w:r w:rsidR="00FC486F" w:rsidRPr="009576D8">
        <w:rPr>
          <w:sz w:val="24"/>
          <w:szCs w:val="24"/>
        </w:rPr>
        <w:t xml:space="preserve"> w latach 2019-2024</w:t>
      </w:r>
      <w:r w:rsidR="00E12C16" w:rsidRPr="00C364E0">
        <w:rPr>
          <w:rStyle w:val="Odwoanieprzypisudolnego"/>
          <w:sz w:val="24"/>
          <w:szCs w:val="24"/>
        </w:rPr>
        <w:footnoteReference w:id="10"/>
      </w:r>
      <w:r w:rsidR="00E91BC7" w:rsidRPr="009576D8">
        <w:rPr>
          <w:sz w:val="24"/>
          <w:szCs w:val="24"/>
        </w:rPr>
        <w:t>.</w:t>
      </w:r>
      <w:r w:rsidR="00362837" w:rsidRPr="009576D8">
        <w:rPr>
          <w:sz w:val="24"/>
          <w:szCs w:val="24"/>
        </w:rPr>
        <w:t xml:space="preserve"> </w:t>
      </w:r>
      <w:r w:rsidR="00FC486F" w:rsidRPr="009576D8">
        <w:rPr>
          <w:sz w:val="24"/>
          <w:szCs w:val="24"/>
        </w:rPr>
        <w:t>Według</w:t>
      </w:r>
      <w:r w:rsidR="007E757D" w:rsidRPr="009576D8">
        <w:rPr>
          <w:sz w:val="24"/>
          <w:szCs w:val="24"/>
        </w:rPr>
        <w:t xml:space="preserve"> </w:t>
      </w:r>
      <w:r w:rsidR="00E12C16">
        <w:rPr>
          <w:sz w:val="24"/>
          <w:szCs w:val="24"/>
        </w:rPr>
        <w:t xml:space="preserve">NIK </w:t>
      </w:r>
      <w:r w:rsidR="007E757D" w:rsidRPr="009576D8">
        <w:rPr>
          <w:sz w:val="24"/>
          <w:szCs w:val="24"/>
        </w:rPr>
        <w:t xml:space="preserve">ocena skutków regulacji </w:t>
      </w:r>
      <w:r w:rsidR="007E757D" w:rsidRPr="007123DB">
        <w:rPr>
          <w:i/>
          <w:iCs/>
          <w:sz w:val="24"/>
          <w:szCs w:val="24"/>
        </w:rPr>
        <w:t xml:space="preserve">ex ante </w:t>
      </w:r>
      <w:r w:rsidR="007E757D" w:rsidRPr="00597917">
        <w:rPr>
          <w:sz w:val="24"/>
          <w:szCs w:val="24"/>
        </w:rPr>
        <w:t>i</w:t>
      </w:r>
      <w:r w:rsidR="007E757D" w:rsidRPr="007123DB">
        <w:rPr>
          <w:i/>
          <w:iCs/>
          <w:sz w:val="24"/>
          <w:szCs w:val="24"/>
        </w:rPr>
        <w:t xml:space="preserve"> ex post</w:t>
      </w:r>
      <w:r w:rsidR="007E757D" w:rsidRPr="009576D8">
        <w:rPr>
          <w:sz w:val="24"/>
          <w:szCs w:val="24"/>
        </w:rPr>
        <w:t xml:space="preserve"> </w:t>
      </w:r>
      <w:r w:rsidR="00FC486F" w:rsidRPr="009576D8">
        <w:rPr>
          <w:sz w:val="24"/>
          <w:szCs w:val="24"/>
        </w:rPr>
        <w:t>nie wspomaga</w:t>
      </w:r>
      <w:r w:rsidRPr="009576D8">
        <w:rPr>
          <w:sz w:val="24"/>
          <w:szCs w:val="24"/>
        </w:rPr>
        <w:t>ła</w:t>
      </w:r>
      <w:r w:rsidR="00FC486F" w:rsidRPr="009576D8">
        <w:rPr>
          <w:sz w:val="24"/>
          <w:szCs w:val="24"/>
        </w:rPr>
        <w:t xml:space="preserve"> decydentów </w:t>
      </w:r>
      <w:r w:rsidR="004B4E09" w:rsidRPr="009576D8">
        <w:rPr>
          <w:sz w:val="24"/>
          <w:szCs w:val="24"/>
        </w:rPr>
        <w:t>w</w:t>
      </w:r>
      <w:r w:rsidR="004B4E09">
        <w:rPr>
          <w:sz w:val="24"/>
          <w:szCs w:val="24"/>
        </w:rPr>
        <w:t> </w:t>
      </w:r>
      <w:r w:rsidR="00FC486F" w:rsidRPr="009576D8">
        <w:rPr>
          <w:sz w:val="24"/>
          <w:szCs w:val="24"/>
        </w:rPr>
        <w:t>podejmowaniu decyzji</w:t>
      </w:r>
      <w:r w:rsidR="004B4E09">
        <w:rPr>
          <w:sz w:val="24"/>
          <w:szCs w:val="24"/>
        </w:rPr>
        <w:t xml:space="preserve"> w wystarczający sposób</w:t>
      </w:r>
      <w:r w:rsidR="00FC486F" w:rsidRPr="009576D8">
        <w:rPr>
          <w:sz w:val="24"/>
          <w:szCs w:val="24"/>
        </w:rPr>
        <w:t xml:space="preserve">, </w:t>
      </w:r>
      <w:r w:rsidR="00E12C16" w:rsidRPr="009576D8">
        <w:rPr>
          <w:sz w:val="24"/>
          <w:szCs w:val="24"/>
        </w:rPr>
        <w:t>a</w:t>
      </w:r>
      <w:r w:rsidR="00E12C16">
        <w:rPr>
          <w:sz w:val="24"/>
          <w:szCs w:val="24"/>
        </w:rPr>
        <w:t> </w:t>
      </w:r>
      <w:r w:rsidR="00FC486F" w:rsidRPr="009576D8">
        <w:rPr>
          <w:sz w:val="24"/>
          <w:szCs w:val="24"/>
        </w:rPr>
        <w:t xml:space="preserve">więc </w:t>
      </w:r>
      <w:r w:rsidR="007E757D" w:rsidRPr="009576D8">
        <w:rPr>
          <w:sz w:val="24"/>
          <w:szCs w:val="24"/>
        </w:rPr>
        <w:t>nie pełni</w:t>
      </w:r>
      <w:r w:rsidRPr="009576D8">
        <w:rPr>
          <w:sz w:val="24"/>
          <w:szCs w:val="24"/>
        </w:rPr>
        <w:t>ła</w:t>
      </w:r>
      <w:r w:rsidR="007E757D" w:rsidRPr="009576D8">
        <w:rPr>
          <w:sz w:val="24"/>
          <w:szCs w:val="24"/>
        </w:rPr>
        <w:t xml:space="preserve"> funkcji i roli określonej w Regulaminie pracy Rady Ministrów </w:t>
      </w:r>
      <w:r w:rsidR="00E12C16" w:rsidRPr="009576D8">
        <w:rPr>
          <w:sz w:val="24"/>
          <w:szCs w:val="24"/>
        </w:rPr>
        <w:t>i</w:t>
      </w:r>
      <w:r w:rsidR="00E12C16">
        <w:rPr>
          <w:sz w:val="24"/>
          <w:szCs w:val="24"/>
        </w:rPr>
        <w:t> </w:t>
      </w:r>
      <w:r w:rsidR="00362837" w:rsidRPr="009576D8">
        <w:rPr>
          <w:sz w:val="24"/>
          <w:szCs w:val="24"/>
        </w:rPr>
        <w:t>„Wytycznych do</w:t>
      </w:r>
      <w:r w:rsidR="00F014A2">
        <w:rPr>
          <w:sz w:val="24"/>
          <w:szCs w:val="24"/>
        </w:rPr>
        <w:t> </w:t>
      </w:r>
      <w:r w:rsidR="00362837" w:rsidRPr="009576D8">
        <w:rPr>
          <w:sz w:val="24"/>
          <w:szCs w:val="24"/>
        </w:rPr>
        <w:t>przeprowadzania oceny wpływu oraz konsultacji publicznych w</w:t>
      </w:r>
      <w:r w:rsidR="00ED272B">
        <w:rPr>
          <w:sz w:val="24"/>
          <w:szCs w:val="24"/>
        </w:rPr>
        <w:t> </w:t>
      </w:r>
      <w:r w:rsidR="00362837" w:rsidRPr="009576D8">
        <w:rPr>
          <w:sz w:val="24"/>
          <w:szCs w:val="24"/>
        </w:rPr>
        <w:t>ramach rządowego procesu legislacyjnego”</w:t>
      </w:r>
      <w:r w:rsidR="00E12C16">
        <w:rPr>
          <w:rStyle w:val="Odwoanieprzypisudolnego"/>
          <w:sz w:val="24"/>
          <w:szCs w:val="24"/>
        </w:rPr>
        <w:footnoteReference w:id="11"/>
      </w:r>
      <w:r w:rsidRPr="009576D8">
        <w:rPr>
          <w:sz w:val="24"/>
          <w:szCs w:val="24"/>
        </w:rPr>
        <w:t>.</w:t>
      </w:r>
    </w:p>
    <w:p w14:paraId="20171205" w14:textId="105FE2DE" w:rsidR="00916876" w:rsidRPr="009576D8" w:rsidRDefault="00916876" w:rsidP="00124F38">
      <w:pPr>
        <w:pStyle w:val="Nagwek2"/>
        <w:numPr>
          <w:ilvl w:val="0"/>
          <w:numId w:val="5"/>
        </w:numPr>
        <w:rPr>
          <w:rFonts w:asciiTheme="minorHAnsi" w:hAnsiTheme="minorHAnsi"/>
        </w:rPr>
      </w:pPr>
      <w:bookmarkStart w:id="8" w:name="_Toc217927137"/>
      <w:bookmarkStart w:id="9" w:name="_Toc219276857"/>
      <w:r w:rsidRPr="009576D8">
        <w:rPr>
          <w:rFonts w:asciiTheme="minorHAnsi" w:hAnsiTheme="minorHAnsi"/>
        </w:rPr>
        <w:t>Program i inne dokumenty strategiczne</w:t>
      </w:r>
      <w:bookmarkEnd w:id="8"/>
      <w:bookmarkEnd w:id="9"/>
    </w:p>
    <w:p w14:paraId="4C5277EF" w14:textId="1EA5C2D9" w:rsidR="00E12C16" w:rsidRPr="009576D8" w:rsidRDefault="00DF7781" w:rsidP="00124F38">
      <w:pPr>
        <w:spacing w:after="120" w:line="276" w:lineRule="auto"/>
        <w:rPr>
          <w:sz w:val="24"/>
          <w:szCs w:val="24"/>
        </w:rPr>
      </w:pPr>
      <w:r w:rsidRPr="009576D8">
        <w:rPr>
          <w:sz w:val="24"/>
          <w:szCs w:val="24"/>
        </w:rPr>
        <w:t xml:space="preserve">Program jest zgodny z innymi </w:t>
      </w:r>
      <w:r w:rsidR="00B70C6E" w:rsidRPr="009576D8">
        <w:rPr>
          <w:sz w:val="24"/>
          <w:szCs w:val="24"/>
        </w:rPr>
        <w:t xml:space="preserve">krajowymi </w:t>
      </w:r>
      <w:r w:rsidRPr="009576D8">
        <w:rPr>
          <w:sz w:val="24"/>
          <w:szCs w:val="24"/>
        </w:rPr>
        <w:t xml:space="preserve">dokumentami o charakterze strategicznym, </w:t>
      </w:r>
      <w:r w:rsidR="00E12C16" w:rsidRPr="009576D8">
        <w:rPr>
          <w:sz w:val="24"/>
          <w:szCs w:val="24"/>
        </w:rPr>
        <w:t>w</w:t>
      </w:r>
      <w:r w:rsidR="00E12C16">
        <w:rPr>
          <w:sz w:val="24"/>
          <w:szCs w:val="24"/>
        </w:rPr>
        <w:t> </w:t>
      </w:r>
      <w:r w:rsidRPr="009576D8">
        <w:rPr>
          <w:sz w:val="24"/>
          <w:szCs w:val="24"/>
        </w:rPr>
        <w:t xml:space="preserve">tym </w:t>
      </w:r>
      <w:r w:rsidR="008C5729" w:rsidRPr="009576D8">
        <w:rPr>
          <w:sz w:val="24"/>
          <w:szCs w:val="24"/>
        </w:rPr>
        <w:t>z</w:t>
      </w:r>
      <w:r w:rsidR="00D07B38" w:rsidRPr="009576D8">
        <w:rPr>
          <w:sz w:val="24"/>
          <w:szCs w:val="24"/>
        </w:rPr>
        <w:t xml:space="preserve">e </w:t>
      </w:r>
      <w:bookmarkStart w:id="10" w:name="_Hlk213935853"/>
      <w:r w:rsidR="008C5729" w:rsidRPr="009576D8">
        <w:rPr>
          <w:sz w:val="24"/>
          <w:szCs w:val="24"/>
        </w:rPr>
        <w:t>„Strategi</w:t>
      </w:r>
      <w:r w:rsidR="00D07B38" w:rsidRPr="009576D8">
        <w:rPr>
          <w:sz w:val="24"/>
          <w:szCs w:val="24"/>
        </w:rPr>
        <w:t>ą</w:t>
      </w:r>
      <w:r w:rsidR="008C5729" w:rsidRPr="009576D8">
        <w:rPr>
          <w:sz w:val="24"/>
          <w:szCs w:val="24"/>
        </w:rPr>
        <w:t xml:space="preserve"> Rozwoju Polski do 2035”</w:t>
      </w:r>
      <w:bookmarkEnd w:id="10"/>
      <w:r w:rsidR="00E12C16" w:rsidRPr="009576D8">
        <w:rPr>
          <w:sz w:val="24"/>
          <w:szCs w:val="24"/>
        </w:rPr>
        <w:t>,</w:t>
      </w:r>
      <w:r w:rsidR="008C5729" w:rsidRPr="009576D8">
        <w:rPr>
          <w:sz w:val="24"/>
          <w:szCs w:val="24"/>
        </w:rPr>
        <w:t xml:space="preserve"> </w:t>
      </w:r>
      <w:r w:rsidR="00E45CBD" w:rsidRPr="009576D8">
        <w:rPr>
          <w:sz w:val="24"/>
          <w:szCs w:val="24"/>
        </w:rPr>
        <w:t>„Strategi</w:t>
      </w:r>
      <w:r w:rsidR="00D07B38" w:rsidRPr="009576D8">
        <w:rPr>
          <w:sz w:val="24"/>
          <w:szCs w:val="24"/>
        </w:rPr>
        <w:t>ą</w:t>
      </w:r>
      <w:r w:rsidR="00E45CBD" w:rsidRPr="009576D8">
        <w:rPr>
          <w:sz w:val="24"/>
          <w:szCs w:val="24"/>
        </w:rPr>
        <w:t xml:space="preserve"> Cyfryzacji Państwa do 2035” oraz</w:t>
      </w:r>
      <w:r w:rsidR="008C5729" w:rsidRPr="009576D8">
        <w:rPr>
          <w:sz w:val="24"/>
          <w:szCs w:val="24"/>
        </w:rPr>
        <w:t xml:space="preserve"> „Strategią produktywności 2030”</w:t>
      </w:r>
      <w:r w:rsidR="001C7211" w:rsidRPr="009576D8">
        <w:rPr>
          <w:sz w:val="24"/>
          <w:szCs w:val="24"/>
        </w:rPr>
        <w:t xml:space="preserve">. </w:t>
      </w:r>
      <w:r w:rsidR="00795D6C" w:rsidRPr="009576D8">
        <w:rPr>
          <w:sz w:val="24"/>
          <w:szCs w:val="24"/>
        </w:rPr>
        <w:t>Priorytety określone w Programie są</w:t>
      </w:r>
      <w:r w:rsidR="0062144E" w:rsidRPr="009576D8">
        <w:rPr>
          <w:sz w:val="24"/>
          <w:szCs w:val="24"/>
        </w:rPr>
        <w:t xml:space="preserve"> też</w:t>
      </w:r>
      <w:r w:rsidR="00795D6C" w:rsidRPr="009576D8">
        <w:rPr>
          <w:sz w:val="24"/>
          <w:szCs w:val="24"/>
        </w:rPr>
        <w:t xml:space="preserve"> spójne </w:t>
      </w:r>
      <w:r w:rsidR="00E12C16" w:rsidRPr="009576D8">
        <w:rPr>
          <w:sz w:val="24"/>
          <w:szCs w:val="24"/>
        </w:rPr>
        <w:t>z</w:t>
      </w:r>
      <w:r w:rsidR="00E12C16">
        <w:rPr>
          <w:sz w:val="24"/>
          <w:szCs w:val="24"/>
        </w:rPr>
        <w:t> </w:t>
      </w:r>
      <w:r w:rsidR="00D94A88" w:rsidRPr="009576D8">
        <w:rPr>
          <w:sz w:val="24"/>
          <w:szCs w:val="24"/>
        </w:rPr>
        <w:t>„Polityk</w:t>
      </w:r>
      <w:r w:rsidR="00D07B38" w:rsidRPr="009576D8">
        <w:rPr>
          <w:sz w:val="24"/>
          <w:szCs w:val="24"/>
        </w:rPr>
        <w:t>ą</w:t>
      </w:r>
      <w:r w:rsidR="00D94A88" w:rsidRPr="009576D8">
        <w:rPr>
          <w:sz w:val="24"/>
          <w:szCs w:val="24"/>
        </w:rPr>
        <w:t xml:space="preserve"> rozwoju sztucznej inteligencji do 2030 r</w:t>
      </w:r>
      <w:r w:rsidR="00806520" w:rsidRPr="009576D8">
        <w:rPr>
          <w:sz w:val="24"/>
          <w:szCs w:val="24"/>
        </w:rPr>
        <w:t xml:space="preserve">.”, </w:t>
      </w:r>
      <w:r w:rsidR="00795D6C" w:rsidRPr="009576D8">
        <w:rPr>
          <w:sz w:val="24"/>
          <w:szCs w:val="24"/>
        </w:rPr>
        <w:t>„</w:t>
      </w:r>
      <w:r w:rsidR="006E36D3" w:rsidRPr="009576D8">
        <w:rPr>
          <w:sz w:val="24"/>
          <w:szCs w:val="24"/>
        </w:rPr>
        <w:t>Programem otwierania danych na</w:t>
      </w:r>
      <w:r w:rsidR="00F014A2">
        <w:rPr>
          <w:sz w:val="24"/>
          <w:szCs w:val="24"/>
        </w:rPr>
        <w:t> </w:t>
      </w:r>
      <w:r w:rsidR="006E36D3" w:rsidRPr="009576D8">
        <w:rPr>
          <w:sz w:val="24"/>
          <w:szCs w:val="24"/>
        </w:rPr>
        <w:t>lata 2021-2027</w:t>
      </w:r>
      <w:r w:rsidR="00795D6C" w:rsidRPr="009576D8">
        <w:rPr>
          <w:sz w:val="24"/>
          <w:szCs w:val="24"/>
        </w:rPr>
        <w:t>” czy „</w:t>
      </w:r>
      <w:r w:rsidR="006E36D3" w:rsidRPr="009576D8">
        <w:rPr>
          <w:sz w:val="24"/>
          <w:szCs w:val="24"/>
        </w:rPr>
        <w:t xml:space="preserve">Programem </w:t>
      </w:r>
      <w:r w:rsidR="00795D6C" w:rsidRPr="009576D8">
        <w:rPr>
          <w:sz w:val="24"/>
          <w:szCs w:val="24"/>
        </w:rPr>
        <w:t>Z</w:t>
      </w:r>
      <w:r w:rsidR="006E36D3" w:rsidRPr="009576D8">
        <w:rPr>
          <w:sz w:val="24"/>
          <w:szCs w:val="24"/>
        </w:rPr>
        <w:t xml:space="preserve">integrowanej </w:t>
      </w:r>
      <w:r w:rsidR="00795D6C" w:rsidRPr="009576D8">
        <w:rPr>
          <w:sz w:val="24"/>
          <w:szCs w:val="24"/>
        </w:rPr>
        <w:t>I</w:t>
      </w:r>
      <w:r w:rsidR="006E36D3" w:rsidRPr="009576D8">
        <w:rPr>
          <w:sz w:val="24"/>
          <w:szCs w:val="24"/>
        </w:rPr>
        <w:t xml:space="preserve">nformatyzacji </w:t>
      </w:r>
      <w:r w:rsidR="00795D6C" w:rsidRPr="009576D8">
        <w:rPr>
          <w:sz w:val="24"/>
          <w:szCs w:val="24"/>
        </w:rPr>
        <w:t>P</w:t>
      </w:r>
      <w:r w:rsidR="006E36D3" w:rsidRPr="009576D8">
        <w:rPr>
          <w:sz w:val="24"/>
          <w:szCs w:val="24"/>
        </w:rPr>
        <w:t>aństwa</w:t>
      </w:r>
      <w:r w:rsidR="00795D6C" w:rsidRPr="009576D8">
        <w:rPr>
          <w:sz w:val="24"/>
          <w:szCs w:val="24"/>
        </w:rPr>
        <w:t>”.</w:t>
      </w:r>
      <w:r w:rsidR="00D94A88" w:rsidRPr="009576D8">
        <w:rPr>
          <w:sz w:val="24"/>
          <w:szCs w:val="24"/>
        </w:rPr>
        <w:t xml:space="preserve"> </w:t>
      </w:r>
    </w:p>
    <w:p w14:paraId="4A49C71F" w14:textId="5EB705F6" w:rsidR="004A752C" w:rsidRPr="009576D8" w:rsidRDefault="004A752C" w:rsidP="00124F38">
      <w:pPr>
        <w:pStyle w:val="Nagwek2"/>
        <w:numPr>
          <w:ilvl w:val="0"/>
          <w:numId w:val="5"/>
        </w:numPr>
        <w:rPr>
          <w:rFonts w:asciiTheme="minorHAnsi" w:hAnsiTheme="minorHAnsi"/>
        </w:rPr>
      </w:pPr>
      <w:bookmarkStart w:id="11" w:name="_Toc214639193"/>
      <w:bookmarkStart w:id="12" w:name="_Toc214639213"/>
      <w:bookmarkStart w:id="13" w:name="_Toc214639486"/>
      <w:bookmarkStart w:id="14" w:name="_Toc214639546"/>
      <w:bookmarkStart w:id="15" w:name="_Toc214871551"/>
      <w:bookmarkStart w:id="16" w:name="_Toc214875564"/>
      <w:bookmarkStart w:id="17" w:name="_Toc214639195"/>
      <w:bookmarkStart w:id="18" w:name="_Toc214639215"/>
      <w:bookmarkStart w:id="19" w:name="_Toc214639488"/>
      <w:bookmarkStart w:id="20" w:name="_Toc214639548"/>
      <w:bookmarkStart w:id="21" w:name="_Toc214871553"/>
      <w:bookmarkStart w:id="22" w:name="_Toc214875566"/>
      <w:bookmarkStart w:id="23" w:name="_Toc214639196"/>
      <w:bookmarkStart w:id="24" w:name="_Toc214639216"/>
      <w:bookmarkStart w:id="25" w:name="_Toc214639489"/>
      <w:bookmarkStart w:id="26" w:name="_Toc214639549"/>
      <w:bookmarkStart w:id="27" w:name="_Toc214871554"/>
      <w:bookmarkStart w:id="28" w:name="_Toc214875567"/>
      <w:bookmarkStart w:id="29" w:name="_Toc217927138"/>
      <w:bookmarkStart w:id="30" w:name="_Toc21927685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576D8">
        <w:rPr>
          <w:rFonts w:asciiTheme="minorHAnsi" w:hAnsiTheme="minorHAnsi"/>
        </w:rPr>
        <w:lastRenderedPageBreak/>
        <w:t>Cel i zakres Programu</w:t>
      </w:r>
      <w:bookmarkEnd w:id="29"/>
      <w:bookmarkEnd w:id="30"/>
    </w:p>
    <w:p w14:paraId="0D578E4A" w14:textId="03C84C59" w:rsidR="002E7A5E" w:rsidRPr="009576D8" w:rsidRDefault="004A752C" w:rsidP="00124F38">
      <w:pPr>
        <w:spacing w:after="120" w:line="276" w:lineRule="auto"/>
        <w:rPr>
          <w:sz w:val="24"/>
          <w:szCs w:val="24"/>
        </w:rPr>
      </w:pPr>
      <w:r w:rsidRPr="009576D8">
        <w:rPr>
          <w:sz w:val="24"/>
          <w:szCs w:val="24"/>
        </w:rPr>
        <w:t>Program wpisuje się w realizację celu poprawy otoczenia prawnego wykonywania działalności gospodarczej. Dokument</w:t>
      </w:r>
      <w:r w:rsidR="002E7A5E" w:rsidRPr="009576D8">
        <w:rPr>
          <w:sz w:val="24"/>
          <w:szCs w:val="24"/>
        </w:rPr>
        <w:t xml:space="preserve"> prezentuje</w:t>
      </w:r>
      <w:r w:rsidRPr="009576D8">
        <w:rPr>
          <w:sz w:val="24"/>
          <w:szCs w:val="24"/>
        </w:rPr>
        <w:t xml:space="preserve"> </w:t>
      </w:r>
      <w:r w:rsidR="002E7A5E" w:rsidRPr="009576D8">
        <w:rPr>
          <w:sz w:val="24"/>
          <w:szCs w:val="24"/>
        </w:rPr>
        <w:t xml:space="preserve">planowane działania rządu </w:t>
      </w:r>
      <w:r w:rsidR="00936723" w:rsidRPr="009576D8">
        <w:rPr>
          <w:sz w:val="24"/>
          <w:szCs w:val="24"/>
        </w:rPr>
        <w:t xml:space="preserve">dotyczące warunków </w:t>
      </w:r>
      <w:r w:rsidR="002E7A5E" w:rsidRPr="009576D8">
        <w:rPr>
          <w:sz w:val="24"/>
          <w:szCs w:val="24"/>
        </w:rPr>
        <w:t xml:space="preserve">podejmowania, wykonywania lub zakończenia działalności gospodarczej </w:t>
      </w:r>
      <w:r w:rsidR="00E12C16" w:rsidRPr="009576D8">
        <w:rPr>
          <w:sz w:val="24"/>
          <w:szCs w:val="24"/>
        </w:rPr>
        <w:t>w</w:t>
      </w:r>
      <w:r w:rsidR="00E12C16">
        <w:rPr>
          <w:sz w:val="24"/>
          <w:szCs w:val="24"/>
        </w:rPr>
        <w:t> </w:t>
      </w:r>
      <w:r w:rsidR="002E7A5E" w:rsidRPr="009576D8">
        <w:rPr>
          <w:sz w:val="24"/>
          <w:szCs w:val="24"/>
        </w:rPr>
        <w:t>rozumieniu art. 1 Prawa przedsiębiorców, w podziale na określone priorytety w dwóch kluczowych obszarach.</w:t>
      </w:r>
    </w:p>
    <w:p w14:paraId="13439A94" w14:textId="5B1DA17A" w:rsidR="00ED462B" w:rsidRPr="009576D8" w:rsidRDefault="002E7A5E" w:rsidP="00124F38">
      <w:pPr>
        <w:spacing w:after="120" w:line="276" w:lineRule="auto"/>
        <w:rPr>
          <w:sz w:val="24"/>
          <w:szCs w:val="24"/>
        </w:rPr>
      </w:pPr>
      <w:r w:rsidRPr="009576D8">
        <w:rPr>
          <w:b/>
          <w:bCs/>
          <w:sz w:val="24"/>
          <w:szCs w:val="24"/>
        </w:rPr>
        <w:t xml:space="preserve">Obszar </w:t>
      </w:r>
      <w:r w:rsidR="00E12C16">
        <w:rPr>
          <w:b/>
          <w:bCs/>
          <w:sz w:val="24"/>
          <w:szCs w:val="24"/>
        </w:rPr>
        <w:t>pierwszy</w:t>
      </w:r>
      <w:r w:rsidRPr="009576D8">
        <w:rPr>
          <w:sz w:val="24"/>
          <w:szCs w:val="24"/>
        </w:rPr>
        <w:t xml:space="preserve"> dotyczy </w:t>
      </w:r>
      <w:r w:rsidR="002D4C7C" w:rsidRPr="009576D8">
        <w:rPr>
          <w:sz w:val="24"/>
          <w:szCs w:val="24"/>
        </w:rPr>
        <w:t>zmniejszania obciążeń administracyjnych</w:t>
      </w:r>
      <w:r w:rsidR="00BE2116" w:rsidRPr="009576D8">
        <w:rPr>
          <w:sz w:val="24"/>
          <w:szCs w:val="24"/>
        </w:rPr>
        <w:t xml:space="preserve">, które wynikają </w:t>
      </w:r>
      <w:r w:rsidR="00E12C16" w:rsidRPr="009576D8">
        <w:rPr>
          <w:sz w:val="24"/>
          <w:szCs w:val="24"/>
        </w:rPr>
        <w:t>z</w:t>
      </w:r>
      <w:r w:rsidR="00E12C16">
        <w:rPr>
          <w:sz w:val="24"/>
          <w:szCs w:val="24"/>
        </w:rPr>
        <w:t> </w:t>
      </w:r>
      <w:r w:rsidR="00BE2116" w:rsidRPr="009576D8">
        <w:rPr>
          <w:sz w:val="24"/>
          <w:szCs w:val="24"/>
        </w:rPr>
        <w:t xml:space="preserve">nakładanych </w:t>
      </w:r>
      <w:r w:rsidR="00152DAC" w:rsidRPr="009576D8">
        <w:rPr>
          <w:sz w:val="24"/>
          <w:szCs w:val="24"/>
        </w:rPr>
        <w:t xml:space="preserve">na przedsiębiorców na mocy przepisów </w:t>
      </w:r>
      <w:r w:rsidR="00BE2116" w:rsidRPr="009576D8">
        <w:rPr>
          <w:sz w:val="24"/>
          <w:szCs w:val="24"/>
        </w:rPr>
        <w:t xml:space="preserve">obowiązków informacyjnych, </w:t>
      </w:r>
      <w:r w:rsidR="00152DAC" w:rsidRPr="009576D8">
        <w:rPr>
          <w:sz w:val="24"/>
          <w:szCs w:val="24"/>
        </w:rPr>
        <w:t>czyli wymogów</w:t>
      </w:r>
      <w:r w:rsidR="00BE2116" w:rsidRPr="009576D8">
        <w:rPr>
          <w:sz w:val="24"/>
          <w:szCs w:val="24"/>
        </w:rPr>
        <w:t xml:space="preserve"> </w:t>
      </w:r>
      <w:r w:rsidR="00152DAC" w:rsidRPr="009576D8">
        <w:rPr>
          <w:sz w:val="24"/>
          <w:szCs w:val="24"/>
        </w:rPr>
        <w:t xml:space="preserve">gromadzenia i dostarczania informacji dla sektora publicznego lub stron trzecich, </w:t>
      </w:r>
      <w:r w:rsidR="00BE2116" w:rsidRPr="009576D8">
        <w:rPr>
          <w:sz w:val="24"/>
          <w:szCs w:val="24"/>
        </w:rPr>
        <w:t xml:space="preserve">np. </w:t>
      </w:r>
      <w:r w:rsidR="00880772" w:rsidRPr="009576D8">
        <w:rPr>
          <w:sz w:val="24"/>
          <w:szCs w:val="24"/>
        </w:rPr>
        <w:t>konsumentom</w:t>
      </w:r>
      <w:r w:rsidR="00FF280A" w:rsidRPr="009576D8">
        <w:rPr>
          <w:rStyle w:val="Odwoanieprzypisudolnego"/>
          <w:sz w:val="24"/>
          <w:szCs w:val="24"/>
        </w:rPr>
        <w:footnoteReference w:id="12"/>
      </w:r>
      <w:r w:rsidR="00FC27A5" w:rsidRPr="009576D8">
        <w:rPr>
          <w:sz w:val="24"/>
          <w:szCs w:val="24"/>
        </w:rPr>
        <w:t>.</w:t>
      </w:r>
    </w:p>
    <w:p w14:paraId="2756B69E" w14:textId="6456F744" w:rsidR="00FC27A5" w:rsidRPr="009576D8" w:rsidRDefault="00401F7A" w:rsidP="00124F38">
      <w:pPr>
        <w:spacing w:after="120" w:line="276" w:lineRule="auto"/>
        <w:rPr>
          <w:sz w:val="24"/>
          <w:szCs w:val="24"/>
        </w:rPr>
      </w:pPr>
      <w:r w:rsidRPr="009576D8">
        <w:rPr>
          <w:b/>
          <w:bCs/>
          <w:sz w:val="24"/>
          <w:szCs w:val="24"/>
        </w:rPr>
        <w:t xml:space="preserve">Obszar </w:t>
      </w:r>
      <w:r w:rsidR="00E12C16" w:rsidRPr="009576D8">
        <w:rPr>
          <w:b/>
          <w:bCs/>
          <w:sz w:val="24"/>
          <w:szCs w:val="24"/>
        </w:rPr>
        <w:t>drugi</w:t>
      </w:r>
      <w:r w:rsidR="00E12C16" w:rsidRPr="009576D8">
        <w:rPr>
          <w:sz w:val="24"/>
          <w:szCs w:val="24"/>
        </w:rPr>
        <w:t xml:space="preserve"> </w:t>
      </w:r>
      <w:r w:rsidRPr="009576D8">
        <w:rPr>
          <w:sz w:val="24"/>
          <w:szCs w:val="24"/>
        </w:rPr>
        <w:t xml:space="preserve">poświęcono systemowi ewaluacji prawa. </w:t>
      </w:r>
      <w:r w:rsidR="00F97235" w:rsidRPr="009576D8">
        <w:rPr>
          <w:sz w:val="24"/>
          <w:szCs w:val="24"/>
        </w:rPr>
        <w:t xml:space="preserve">Program </w:t>
      </w:r>
      <w:r w:rsidR="00F97235" w:rsidRPr="009576D8">
        <w:rPr>
          <w:rFonts w:eastAsia="Calibri" w:cs="Calibri"/>
          <w:kern w:val="0"/>
          <w:sz w:val="24"/>
          <w:szCs w:val="24"/>
          <w14:ligatures w14:val="none"/>
        </w:rPr>
        <w:t>przewiduje działania na</w:t>
      </w:r>
      <w:r w:rsidR="00F014A2">
        <w:rPr>
          <w:rFonts w:eastAsia="Calibri" w:cs="Calibri"/>
          <w:kern w:val="0"/>
          <w:sz w:val="24"/>
          <w:szCs w:val="24"/>
          <w14:ligatures w14:val="none"/>
        </w:rPr>
        <w:t> </w:t>
      </w:r>
      <w:r w:rsidR="00F97235" w:rsidRPr="009576D8">
        <w:rPr>
          <w:rFonts w:eastAsia="Calibri" w:cs="Calibri"/>
          <w:kern w:val="0"/>
          <w:sz w:val="24"/>
          <w:szCs w:val="24"/>
          <w14:ligatures w14:val="none"/>
        </w:rPr>
        <w:t>rzecz zwiększenia liczby dokonywanych ocen funkcjonowania aktów normatywnych, poprawy ich jakości i usprawnienia dla całego systemu monitoringu i ewaluacji.</w:t>
      </w:r>
    </w:p>
    <w:p w14:paraId="1F16FBD5" w14:textId="6694BA2A" w:rsidR="00494165" w:rsidRPr="009576D8" w:rsidRDefault="002D4C7C" w:rsidP="00124F38">
      <w:pPr>
        <w:spacing w:after="120" w:line="276" w:lineRule="auto"/>
        <w:rPr>
          <w:sz w:val="24"/>
          <w:szCs w:val="24"/>
        </w:rPr>
      </w:pPr>
      <w:r w:rsidRPr="009576D8">
        <w:rPr>
          <w:sz w:val="24"/>
          <w:szCs w:val="24"/>
        </w:rPr>
        <w:t>Dokument uwzględnia t</w:t>
      </w:r>
      <w:r w:rsidR="00E12C16">
        <w:rPr>
          <w:sz w:val="24"/>
          <w:szCs w:val="24"/>
        </w:rPr>
        <w:t>akże</w:t>
      </w:r>
      <w:r w:rsidRPr="009576D8">
        <w:rPr>
          <w:sz w:val="24"/>
          <w:szCs w:val="24"/>
        </w:rPr>
        <w:t xml:space="preserve"> wyniki przeglądu funkcjonowania aktów normatywnych, </w:t>
      </w:r>
      <w:r w:rsidR="00E12C16" w:rsidRPr="009576D8">
        <w:rPr>
          <w:sz w:val="24"/>
          <w:szCs w:val="24"/>
        </w:rPr>
        <w:t>o</w:t>
      </w:r>
      <w:r w:rsidR="00E12C16">
        <w:rPr>
          <w:sz w:val="24"/>
          <w:szCs w:val="24"/>
        </w:rPr>
        <w:t> </w:t>
      </w:r>
      <w:r w:rsidRPr="009576D8">
        <w:rPr>
          <w:sz w:val="24"/>
          <w:szCs w:val="24"/>
        </w:rPr>
        <w:t>którym mowa w art. 70 Prawa przedsiębiorców.</w:t>
      </w:r>
      <w:r w:rsidR="00ED462B" w:rsidRPr="009576D8">
        <w:rPr>
          <w:sz w:val="24"/>
          <w:szCs w:val="24"/>
        </w:rPr>
        <w:t xml:space="preserve"> Ocena procesu</w:t>
      </w:r>
      <w:r w:rsidR="00494165" w:rsidRPr="009576D8">
        <w:rPr>
          <w:sz w:val="24"/>
          <w:szCs w:val="24"/>
        </w:rPr>
        <w:t xml:space="preserve"> przygotowywania </w:t>
      </w:r>
      <w:r w:rsidR="00E12C16" w:rsidRPr="009576D8">
        <w:rPr>
          <w:sz w:val="24"/>
          <w:szCs w:val="24"/>
        </w:rPr>
        <w:t>i</w:t>
      </w:r>
      <w:r w:rsidR="00E12C16">
        <w:rPr>
          <w:sz w:val="24"/>
          <w:szCs w:val="24"/>
        </w:rPr>
        <w:t> </w:t>
      </w:r>
      <w:r w:rsidR="00494165" w:rsidRPr="009576D8">
        <w:rPr>
          <w:sz w:val="24"/>
          <w:szCs w:val="24"/>
        </w:rPr>
        <w:t xml:space="preserve">przekazywania informacji doprowadziła do zidentyfikowania szeregu </w:t>
      </w:r>
      <w:r w:rsidR="00ED462B" w:rsidRPr="009576D8">
        <w:rPr>
          <w:sz w:val="24"/>
          <w:szCs w:val="24"/>
        </w:rPr>
        <w:t xml:space="preserve">wyzwań, </w:t>
      </w:r>
      <w:r w:rsidR="00494165" w:rsidRPr="009576D8">
        <w:rPr>
          <w:sz w:val="24"/>
          <w:szCs w:val="24"/>
        </w:rPr>
        <w:t xml:space="preserve">związanych z </w:t>
      </w:r>
      <w:r w:rsidR="00ED462B" w:rsidRPr="009576D8">
        <w:rPr>
          <w:sz w:val="24"/>
          <w:szCs w:val="24"/>
        </w:rPr>
        <w:t xml:space="preserve">oceną funkcjonowania </w:t>
      </w:r>
      <w:r w:rsidR="00494165" w:rsidRPr="009576D8">
        <w:rPr>
          <w:sz w:val="24"/>
          <w:szCs w:val="24"/>
        </w:rPr>
        <w:t>aktów normatywnych</w:t>
      </w:r>
      <w:r w:rsidR="00ED462B" w:rsidRPr="009576D8">
        <w:rPr>
          <w:sz w:val="24"/>
          <w:szCs w:val="24"/>
        </w:rPr>
        <w:t xml:space="preserve">, analizą obciążeń administracyjnych </w:t>
      </w:r>
      <w:r w:rsidR="00DF49E3" w:rsidRPr="009576D8">
        <w:rPr>
          <w:sz w:val="24"/>
          <w:szCs w:val="24"/>
        </w:rPr>
        <w:t>i</w:t>
      </w:r>
      <w:r w:rsidR="00ED462B" w:rsidRPr="009576D8">
        <w:rPr>
          <w:sz w:val="24"/>
          <w:szCs w:val="24"/>
        </w:rPr>
        <w:t xml:space="preserve"> wpływu na </w:t>
      </w:r>
      <w:r w:rsidR="00650236" w:rsidRPr="009576D8">
        <w:rPr>
          <w:sz w:val="24"/>
          <w:szCs w:val="24"/>
        </w:rPr>
        <w:t xml:space="preserve">mikro-, małych i średnich przedsiębiorców </w:t>
      </w:r>
      <w:r w:rsidR="00ED462B" w:rsidRPr="009576D8">
        <w:rPr>
          <w:sz w:val="24"/>
          <w:szCs w:val="24"/>
        </w:rPr>
        <w:t>czy brakiem systemu umożl</w:t>
      </w:r>
      <w:r w:rsidR="00AD01C6" w:rsidRPr="009576D8">
        <w:rPr>
          <w:sz w:val="24"/>
          <w:szCs w:val="24"/>
        </w:rPr>
        <w:t>i</w:t>
      </w:r>
      <w:r w:rsidR="00ED462B" w:rsidRPr="009576D8">
        <w:rPr>
          <w:sz w:val="24"/>
          <w:szCs w:val="24"/>
        </w:rPr>
        <w:t xml:space="preserve">wiającego stały monitoring i ewaluację prawa. Niniejszy </w:t>
      </w:r>
      <w:r w:rsidR="00DF49E3" w:rsidRPr="009576D8">
        <w:rPr>
          <w:sz w:val="24"/>
          <w:szCs w:val="24"/>
        </w:rPr>
        <w:t>Program</w:t>
      </w:r>
      <w:r w:rsidR="00ED462B" w:rsidRPr="009576D8">
        <w:rPr>
          <w:sz w:val="24"/>
          <w:szCs w:val="24"/>
        </w:rPr>
        <w:t xml:space="preserve"> jest próbą </w:t>
      </w:r>
      <w:r w:rsidR="00B70C6E" w:rsidRPr="009576D8">
        <w:rPr>
          <w:sz w:val="24"/>
          <w:szCs w:val="24"/>
        </w:rPr>
        <w:t>podjęcia</w:t>
      </w:r>
      <w:r w:rsidR="00ED462B" w:rsidRPr="009576D8">
        <w:rPr>
          <w:sz w:val="24"/>
          <w:szCs w:val="24"/>
        </w:rPr>
        <w:t xml:space="preserve"> tych kwestii.</w:t>
      </w:r>
    </w:p>
    <w:p w14:paraId="492A349E" w14:textId="52B80B85" w:rsidR="00EB2CA2" w:rsidRPr="009576D8" w:rsidRDefault="00EB2CA2" w:rsidP="00124F38">
      <w:pPr>
        <w:pStyle w:val="Nagwek2"/>
        <w:numPr>
          <w:ilvl w:val="0"/>
          <w:numId w:val="5"/>
        </w:numPr>
        <w:rPr>
          <w:rFonts w:asciiTheme="minorHAnsi" w:hAnsiTheme="minorHAnsi"/>
        </w:rPr>
      </w:pPr>
      <w:bookmarkStart w:id="31" w:name="_Toc217927139"/>
      <w:bookmarkStart w:id="32" w:name="_Toc219276859"/>
      <w:r w:rsidRPr="009576D8">
        <w:rPr>
          <w:rFonts w:asciiTheme="minorHAnsi" w:hAnsiTheme="minorHAnsi"/>
        </w:rPr>
        <w:t>Adresaci</w:t>
      </w:r>
      <w:r w:rsidR="00A53D86" w:rsidRPr="009576D8">
        <w:rPr>
          <w:rFonts w:asciiTheme="minorHAnsi" w:hAnsiTheme="minorHAnsi"/>
        </w:rPr>
        <w:t xml:space="preserve"> i beneficjenci </w:t>
      </w:r>
      <w:r w:rsidRPr="009576D8">
        <w:rPr>
          <w:rFonts w:asciiTheme="minorHAnsi" w:hAnsiTheme="minorHAnsi"/>
        </w:rPr>
        <w:t>Programu</w:t>
      </w:r>
      <w:bookmarkEnd w:id="31"/>
      <w:bookmarkEnd w:id="32"/>
    </w:p>
    <w:p w14:paraId="3CE5B25C" w14:textId="0CE6B450" w:rsidR="00EB2CA2" w:rsidRPr="009576D8" w:rsidRDefault="00665CEC" w:rsidP="00124F38">
      <w:pPr>
        <w:spacing w:after="120" w:line="276" w:lineRule="auto"/>
        <w:rPr>
          <w:sz w:val="24"/>
          <w:szCs w:val="24"/>
        </w:rPr>
      </w:pPr>
      <w:r w:rsidRPr="009576D8">
        <w:rPr>
          <w:sz w:val="24"/>
          <w:szCs w:val="24"/>
        </w:rPr>
        <w:t xml:space="preserve">Adresatami Programu są </w:t>
      </w:r>
      <w:r w:rsidR="00801768" w:rsidRPr="009576D8">
        <w:rPr>
          <w:sz w:val="24"/>
          <w:szCs w:val="24"/>
        </w:rPr>
        <w:t xml:space="preserve">organy centralnej administracji publicznej i inne instytucje </w:t>
      </w:r>
      <w:r w:rsidR="001A4A19" w:rsidRPr="009576D8">
        <w:rPr>
          <w:sz w:val="24"/>
          <w:szCs w:val="24"/>
        </w:rPr>
        <w:t>publiczne</w:t>
      </w:r>
      <w:r w:rsidR="001A4A19" w:rsidRPr="009576D8">
        <w:rPr>
          <w:rStyle w:val="Odwoaniedokomentarza"/>
          <w:sz w:val="24"/>
          <w:szCs w:val="24"/>
        </w:rPr>
        <w:t xml:space="preserve"> </w:t>
      </w:r>
      <w:r w:rsidR="001A4A19" w:rsidRPr="009576D8">
        <w:rPr>
          <w:sz w:val="24"/>
          <w:szCs w:val="24"/>
        </w:rPr>
        <w:t>biorące udział w procesie legislacyjnym. Szczególną</w:t>
      </w:r>
      <w:r w:rsidR="007B45A5" w:rsidRPr="009576D8">
        <w:rPr>
          <w:sz w:val="24"/>
          <w:szCs w:val="24"/>
        </w:rPr>
        <w:t xml:space="preserve"> rolę dla Programu pełni minister właściwy do spraw gospodarki, który opracowuje dokument i koordynuje jego realizację</w:t>
      </w:r>
      <w:r w:rsidR="007B45A5" w:rsidRPr="009576D8">
        <w:rPr>
          <w:rStyle w:val="Odwoanieprzypisudolnego"/>
          <w:sz w:val="24"/>
          <w:szCs w:val="24"/>
        </w:rPr>
        <w:footnoteReference w:id="13"/>
      </w:r>
      <w:r w:rsidR="007B45A5" w:rsidRPr="009576D8">
        <w:rPr>
          <w:sz w:val="24"/>
          <w:szCs w:val="24"/>
        </w:rPr>
        <w:t>.</w:t>
      </w:r>
      <w:r w:rsidR="00AD163A" w:rsidRPr="009576D8">
        <w:rPr>
          <w:sz w:val="24"/>
          <w:szCs w:val="24"/>
        </w:rPr>
        <w:t xml:space="preserve"> </w:t>
      </w:r>
    </w:p>
    <w:p w14:paraId="74FDA3CE" w14:textId="77777777" w:rsidR="00A43D1A" w:rsidRPr="009576D8" w:rsidRDefault="00B70C6E" w:rsidP="00124F38">
      <w:pPr>
        <w:spacing w:after="120" w:line="276" w:lineRule="auto"/>
        <w:rPr>
          <w:sz w:val="24"/>
          <w:szCs w:val="24"/>
        </w:rPr>
      </w:pPr>
      <w:r w:rsidRPr="009576D8">
        <w:rPr>
          <w:sz w:val="24"/>
          <w:szCs w:val="24"/>
        </w:rPr>
        <w:t>Beneficjentami programu będą</w:t>
      </w:r>
      <w:r w:rsidR="00A43D1A" w:rsidRPr="009576D8">
        <w:rPr>
          <w:sz w:val="24"/>
          <w:szCs w:val="24"/>
        </w:rPr>
        <w:t>:</w:t>
      </w:r>
    </w:p>
    <w:p w14:paraId="0B19A619" w14:textId="28C69BCF" w:rsidR="00B70C6E" w:rsidRPr="009576D8" w:rsidRDefault="00B70C6E" w:rsidP="00124F38">
      <w:pPr>
        <w:pStyle w:val="Akapitzlist"/>
        <w:numPr>
          <w:ilvl w:val="0"/>
          <w:numId w:val="7"/>
        </w:numPr>
        <w:spacing w:after="120" w:line="276" w:lineRule="auto"/>
        <w:contextualSpacing w:val="0"/>
        <w:rPr>
          <w:sz w:val="24"/>
          <w:szCs w:val="24"/>
        </w:rPr>
      </w:pPr>
      <w:r w:rsidRPr="009576D8">
        <w:rPr>
          <w:b/>
          <w:bCs/>
          <w:sz w:val="24"/>
          <w:szCs w:val="24"/>
        </w:rPr>
        <w:t>przedsiębiorcy</w:t>
      </w:r>
      <w:r w:rsidRPr="009576D8">
        <w:rPr>
          <w:sz w:val="24"/>
          <w:szCs w:val="24"/>
        </w:rPr>
        <w:t xml:space="preserve">, którzy poprzez zmniejszenie wynikających z krajowych regulacji obciążeń administracyjnych, w szczególności związanych z gromadzeniem </w:t>
      </w:r>
      <w:r w:rsidR="00AE1FE3" w:rsidRPr="009576D8">
        <w:rPr>
          <w:sz w:val="24"/>
          <w:szCs w:val="24"/>
        </w:rPr>
        <w:t>i</w:t>
      </w:r>
      <w:r w:rsidR="00AE1FE3">
        <w:rPr>
          <w:sz w:val="24"/>
          <w:szCs w:val="24"/>
        </w:rPr>
        <w:t> </w:t>
      </w:r>
      <w:r w:rsidRPr="009576D8">
        <w:rPr>
          <w:sz w:val="24"/>
          <w:szCs w:val="24"/>
        </w:rPr>
        <w:t>dostarczaniem informacji, będą mogli skupić się na rozwoju swojej działalności gospodarczej. Zmniejszenie tych obciążeń pozwoli im również na oszczędność czasu i zasobów, co może przyczynić się do zwiększenia ich konkurencyjności na</w:t>
      </w:r>
      <w:r w:rsidR="00F014A2">
        <w:rPr>
          <w:sz w:val="24"/>
          <w:szCs w:val="24"/>
        </w:rPr>
        <w:t> </w:t>
      </w:r>
      <w:r w:rsidRPr="009576D8">
        <w:rPr>
          <w:sz w:val="24"/>
          <w:szCs w:val="24"/>
        </w:rPr>
        <w:t>rynku europejskim i światowym</w:t>
      </w:r>
      <w:r w:rsidR="00A43D1A" w:rsidRPr="009576D8">
        <w:rPr>
          <w:sz w:val="24"/>
          <w:szCs w:val="24"/>
        </w:rPr>
        <w:t>;</w:t>
      </w:r>
    </w:p>
    <w:p w14:paraId="7205D636" w14:textId="3BBADA85" w:rsidR="00B70C6E" w:rsidRPr="009576D8" w:rsidRDefault="00B70C6E" w:rsidP="00124F38">
      <w:pPr>
        <w:pStyle w:val="Akapitzlist"/>
        <w:numPr>
          <w:ilvl w:val="0"/>
          <w:numId w:val="7"/>
        </w:numPr>
        <w:spacing w:after="120" w:line="276" w:lineRule="auto"/>
        <w:contextualSpacing w:val="0"/>
        <w:rPr>
          <w:sz w:val="24"/>
          <w:szCs w:val="24"/>
        </w:rPr>
      </w:pPr>
      <w:r w:rsidRPr="009576D8">
        <w:rPr>
          <w:b/>
          <w:bCs/>
          <w:sz w:val="24"/>
          <w:szCs w:val="24"/>
        </w:rPr>
        <w:lastRenderedPageBreak/>
        <w:t>konsumenci oraz ogół społeczeństwa</w:t>
      </w:r>
      <w:r w:rsidR="00C517AD">
        <w:rPr>
          <w:sz w:val="24"/>
          <w:szCs w:val="24"/>
        </w:rPr>
        <w:t xml:space="preserve"> – również </w:t>
      </w:r>
      <w:r w:rsidRPr="009576D8">
        <w:rPr>
          <w:sz w:val="24"/>
          <w:szCs w:val="24"/>
        </w:rPr>
        <w:t xml:space="preserve">skorzystają na poprawie jakości </w:t>
      </w:r>
      <w:r w:rsidR="00AE1FE3" w:rsidRPr="009576D8">
        <w:rPr>
          <w:sz w:val="24"/>
          <w:szCs w:val="24"/>
        </w:rPr>
        <w:t>i</w:t>
      </w:r>
      <w:r w:rsidR="00AE1FE3">
        <w:rPr>
          <w:sz w:val="24"/>
          <w:szCs w:val="24"/>
        </w:rPr>
        <w:t> </w:t>
      </w:r>
      <w:r w:rsidRPr="009576D8">
        <w:rPr>
          <w:sz w:val="24"/>
          <w:szCs w:val="24"/>
        </w:rPr>
        <w:t>efektywności systemu ewaluacji prawa. Dzięki zwiększonej liczbie ocen funkcjonowania aktów normatywnych oraz usprawnieniu monitoringu i ewaluacji, możliwe będzie wprowadzanie bardziej skutecznych regulacji, które będą odpowiadać potrzebom społeczeństwa i gospodarki</w:t>
      </w:r>
      <w:r w:rsidR="00A43D1A" w:rsidRPr="009576D8">
        <w:rPr>
          <w:sz w:val="24"/>
          <w:szCs w:val="24"/>
        </w:rPr>
        <w:t>;</w:t>
      </w:r>
    </w:p>
    <w:p w14:paraId="64F7BA3E" w14:textId="50D0CAC2" w:rsidR="00B70C6E" w:rsidRPr="009576D8" w:rsidRDefault="00B70C6E" w:rsidP="00124F38">
      <w:pPr>
        <w:pStyle w:val="Akapitzlist"/>
        <w:numPr>
          <w:ilvl w:val="0"/>
          <w:numId w:val="7"/>
        </w:numPr>
        <w:spacing w:after="120" w:line="276" w:lineRule="auto"/>
        <w:contextualSpacing w:val="0"/>
        <w:rPr>
          <w:sz w:val="24"/>
          <w:szCs w:val="24"/>
        </w:rPr>
      </w:pPr>
      <w:r w:rsidRPr="009576D8">
        <w:rPr>
          <w:b/>
          <w:bCs/>
          <w:sz w:val="24"/>
          <w:szCs w:val="24"/>
        </w:rPr>
        <w:t>instytucje administracji publicznej, w tym administracja rządowa</w:t>
      </w:r>
      <w:r w:rsidR="00A43D1A" w:rsidRPr="009576D8">
        <w:rPr>
          <w:sz w:val="24"/>
          <w:szCs w:val="24"/>
        </w:rPr>
        <w:t xml:space="preserve"> </w:t>
      </w:r>
      <w:r w:rsidR="00C517AD">
        <w:rPr>
          <w:sz w:val="24"/>
          <w:szCs w:val="24"/>
        </w:rPr>
        <w:t>–</w:t>
      </w:r>
      <w:r w:rsidR="00A43D1A" w:rsidRPr="009576D8">
        <w:rPr>
          <w:sz w:val="24"/>
          <w:szCs w:val="24"/>
        </w:rPr>
        <w:t xml:space="preserve"> d</w:t>
      </w:r>
      <w:r w:rsidRPr="009576D8">
        <w:rPr>
          <w:sz w:val="24"/>
          <w:szCs w:val="24"/>
        </w:rPr>
        <w:t xml:space="preserve">zięki programowi administracja zyska narzędzia do skutecznego prowadzenia polityki gospodarczej oraz monitorowania stopnia jej realizacji. Poprawa systemu </w:t>
      </w:r>
      <w:r w:rsidR="00AE1FE3">
        <w:rPr>
          <w:sz w:val="24"/>
          <w:szCs w:val="24"/>
        </w:rPr>
        <w:t>oceny wpływu regulacji</w:t>
      </w:r>
      <w:r w:rsidRPr="009576D8">
        <w:rPr>
          <w:sz w:val="24"/>
          <w:szCs w:val="24"/>
        </w:rPr>
        <w:t xml:space="preserve"> pozwoli na lepsze rozpoznanie potrzeb i wyzwań stojących przed gospodarką, co umożliwi wdrożenie bardziej skutecznych rozwiązań. Ponadto, redukcja obciążeń administracyjnych dla przedsiębiorców może przyczynić się do</w:t>
      </w:r>
      <w:r w:rsidR="00F014A2">
        <w:rPr>
          <w:sz w:val="24"/>
          <w:szCs w:val="24"/>
        </w:rPr>
        <w:t> </w:t>
      </w:r>
      <w:r w:rsidRPr="009576D8">
        <w:rPr>
          <w:sz w:val="24"/>
          <w:szCs w:val="24"/>
        </w:rPr>
        <w:t>zwiększenia ich zaufania do instytucji publicznych i poprawy relacji między biznesem a administracją</w:t>
      </w:r>
      <w:r w:rsidR="00E20EE2">
        <w:rPr>
          <w:sz w:val="24"/>
          <w:szCs w:val="24"/>
        </w:rPr>
        <w:t>;</w:t>
      </w:r>
    </w:p>
    <w:p w14:paraId="03B7DA0C" w14:textId="3780864F" w:rsidR="00A43D1A" w:rsidRPr="009576D8" w:rsidRDefault="009B1450" w:rsidP="00124F38">
      <w:pPr>
        <w:pStyle w:val="Akapitzlist"/>
        <w:numPr>
          <w:ilvl w:val="0"/>
          <w:numId w:val="7"/>
        </w:numPr>
        <w:spacing w:after="120" w:line="276" w:lineRule="auto"/>
        <w:contextualSpacing w:val="0"/>
        <w:rPr>
          <w:sz w:val="24"/>
          <w:szCs w:val="24"/>
        </w:rPr>
      </w:pPr>
      <w:r w:rsidRPr="009576D8">
        <w:rPr>
          <w:b/>
          <w:bCs/>
          <w:sz w:val="24"/>
          <w:szCs w:val="24"/>
        </w:rPr>
        <w:t xml:space="preserve">parlamentarzyści </w:t>
      </w:r>
      <w:r w:rsidR="00C517AD" w:rsidRPr="00C517AD">
        <w:rPr>
          <w:sz w:val="24"/>
          <w:szCs w:val="24"/>
        </w:rPr>
        <w:t xml:space="preserve">– </w:t>
      </w:r>
      <w:r w:rsidR="00B70C6E" w:rsidRPr="009576D8">
        <w:rPr>
          <w:sz w:val="24"/>
          <w:szCs w:val="24"/>
        </w:rPr>
        <w:t>Program zosta</w:t>
      </w:r>
      <w:r w:rsidRPr="009576D8">
        <w:rPr>
          <w:sz w:val="24"/>
          <w:szCs w:val="24"/>
        </w:rPr>
        <w:t>ni</w:t>
      </w:r>
      <w:r w:rsidR="00B70C6E" w:rsidRPr="009576D8">
        <w:rPr>
          <w:sz w:val="24"/>
          <w:szCs w:val="24"/>
        </w:rPr>
        <w:t>e przedstawiony Sejmowi i Senatowi</w:t>
      </w:r>
      <w:r w:rsidRPr="009576D8">
        <w:rPr>
          <w:sz w:val="24"/>
          <w:szCs w:val="24"/>
        </w:rPr>
        <w:t xml:space="preserve"> przez Radę Ministrów</w:t>
      </w:r>
      <w:r w:rsidR="00AE1FE3" w:rsidRPr="0055216F">
        <w:rPr>
          <w:rStyle w:val="Odwoanieprzypisudolnego"/>
          <w:sz w:val="24"/>
          <w:szCs w:val="24"/>
        </w:rPr>
        <w:footnoteReference w:id="14"/>
      </w:r>
      <w:r w:rsidRPr="009576D8">
        <w:rPr>
          <w:sz w:val="24"/>
          <w:szCs w:val="24"/>
        </w:rPr>
        <w:t>, a w wyniku działań zaplanowanych w Programie, do Parlamentu powinny trafiać projekty ustaw z propozycjami znaczących ułatwień dla adresatów regulacji, wypracowane na podstawie szczegółowych analiz i we współpracy ze</w:t>
      </w:r>
      <w:r w:rsidR="00F014A2">
        <w:rPr>
          <w:sz w:val="24"/>
          <w:szCs w:val="24"/>
        </w:rPr>
        <w:t> </w:t>
      </w:r>
      <w:r w:rsidRPr="009576D8">
        <w:rPr>
          <w:sz w:val="24"/>
          <w:szCs w:val="24"/>
        </w:rPr>
        <w:t>stroną społeczną</w:t>
      </w:r>
      <w:r w:rsidR="0039484E" w:rsidRPr="009576D8">
        <w:rPr>
          <w:sz w:val="24"/>
          <w:szCs w:val="24"/>
        </w:rPr>
        <w:t xml:space="preserve">. </w:t>
      </w:r>
      <w:r w:rsidR="00E54F91" w:rsidRPr="009576D8">
        <w:rPr>
          <w:sz w:val="24"/>
          <w:szCs w:val="24"/>
        </w:rPr>
        <w:t>Parlamentarzystom łatw</w:t>
      </w:r>
      <w:r w:rsidR="00AE1FE3">
        <w:rPr>
          <w:sz w:val="24"/>
          <w:szCs w:val="24"/>
        </w:rPr>
        <w:t>i</w:t>
      </w:r>
      <w:r w:rsidR="00E54F91" w:rsidRPr="009576D8">
        <w:rPr>
          <w:sz w:val="24"/>
          <w:szCs w:val="24"/>
        </w:rPr>
        <w:t xml:space="preserve">ej będzie </w:t>
      </w:r>
      <w:r w:rsidR="00AE1FE3">
        <w:rPr>
          <w:sz w:val="24"/>
          <w:szCs w:val="24"/>
        </w:rPr>
        <w:t>rozpatrywać</w:t>
      </w:r>
      <w:r w:rsidR="00E54F91" w:rsidRPr="009576D8">
        <w:rPr>
          <w:sz w:val="24"/>
          <w:szCs w:val="24"/>
        </w:rPr>
        <w:t xml:space="preserve"> projekty przygotowane w oparciu o </w:t>
      </w:r>
      <w:r w:rsidR="00AE1FE3">
        <w:rPr>
          <w:sz w:val="24"/>
          <w:szCs w:val="24"/>
        </w:rPr>
        <w:t xml:space="preserve">pogłębione </w:t>
      </w:r>
      <w:r w:rsidR="00E54F91" w:rsidRPr="009576D8">
        <w:rPr>
          <w:sz w:val="24"/>
          <w:szCs w:val="24"/>
        </w:rPr>
        <w:t>analizy i ograniczające nadmierne obciążenia regulacyjne. Dodatkowo, program odpowiada na postulaty sformułowane w Dezyderacie nr 1 Komisji Gospodarki i Rozwoju do Ministra Rozwoju i Technologii w</w:t>
      </w:r>
      <w:r w:rsidR="00C517AD">
        <w:rPr>
          <w:sz w:val="24"/>
          <w:szCs w:val="24"/>
        </w:rPr>
        <w:t xml:space="preserve"> </w:t>
      </w:r>
      <w:r w:rsidR="00E54F91" w:rsidRPr="009576D8">
        <w:rPr>
          <w:sz w:val="24"/>
          <w:szCs w:val="24"/>
        </w:rPr>
        <w:t>sprawie zmian w systemie stanowienia prawa dotyczącego przedsiębiorców i pracodawców</w:t>
      </w:r>
      <w:r w:rsidR="006D7E52" w:rsidRPr="009576D8">
        <w:rPr>
          <w:rStyle w:val="Odwoanieprzypisudolnego"/>
          <w:sz w:val="24"/>
          <w:szCs w:val="24"/>
        </w:rPr>
        <w:footnoteReference w:id="15"/>
      </w:r>
      <w:r w:rsidR="00E20EE2">
        <w:rPr>
          <w:sz w:val="24"/>
          <w:szCs w:val="24"/>
        </w:rPr>
        <w:t>;</w:t>
      </w:r>
    </w:p>
    <w:p w14:paraId="553337A8" w14:textId="78D1FF4E" w:rsidR="00B70C6E" w:rsidRPr="009576D8" w:rsidRDefault="00B70C6E" w:rsidP="00124F38">
      <w:pPr>
        <w:pStyle w:val="Akapitzlist"/>
        <w:numPr>
          <w:ilvl w:val="0"/>
          <w:numId w:val="7"/>
        </w:numPr>
        <w:spacing w:after="120" w:line="276" w:lineRule="auto"/>
        <w:contextualSpacing w:val="0"/>
        <w:rPr>
          <w:sz w:val="24"/>
          <w:szCs w:val="24"/>
        </w:rPr>
      </w:pPr>
      <w:r w:rsidRPr="009576D8">
        <w:rPr>
          <w:b/>
          <w:bCs/>
          <w:sz w:val="24"/>
          <w:szCs w:val="24"/>
        </w:rPr>
        <w:t>organizacje trzeciego sektora</w:t>
      </w:r>
      <w:r w:rsidR="00A43D1A" w:rsidRPr="00E20EE2">
        <w:rPr>
          <w:sz w:val="24"/>
          <w:szCs w:val="24"/>
        </w:rPr>
        <w:t>,</w:t>
      </w:r>
      <w:r w:rsidRPr="009576D8">
        <w:rPr>
          <w:sz w:val="24"/>
          <w:szCs w:val="24"/>
        </w:rPr>
        <w:t xml:space="preserve"> zainteresowane polskim systemem prawnym, </w:t>
      </w:r>
      <w:r w:rsidR="00AE1FE3" w:rsidRPr="009576D8">
        <w:rPr>
          <w:sz w:val="24"/>
          <w:szCs w:val="24"/>
        </w:rPr>
        <w:t>w</w:t>
      </w:r>
      <w:r w:rsidR="00AE1FE3">
        <w:rPr>
          <w:sz w:val="24"/>
          <w:szCs w:val="24"/>
        </w:rPr>
        <w:t> </w:t>
      </w:r>
      <w:r w:rsidRPr="009576D8">
        <w:rPr>
          <w:sz w:val="24"/>
          <w:szCs w:val="24"/>
        </w:rPr>
        <w:t xml:space="preserve">tym te, które reprezentują interes przedsiębiorców </w:t>
      </w:r>
      <w:r w:rsidR="00E54F91" w:rsidRPr="009576D8">
        <w:rPr>
          <w:sz w:val="24"/>
          <w:szCs w:val="24"/>
        </w:rPr>
        <w:t>i bi</w:t>
      </w:r>
      <w:r w:rsidR="006D7E52" w:rsidRPr="009576D8">
        <w:rPr>
          <w:sz w:val="24"/>
          <w:szCs w:val="24"/>
        </w:rPr>
        <w:t>o</w:t>
      </w:r>
      <w:r w:rsidR="00E54F91" w:rsidRPr="009576D8">
        <w:rPr>
          <w:sz w:val="24"/>
          <w:szCs w:val="24"/>
        </w:rPr>
        <w:t>r</w:t>
      </w:r>
      <w:r w:rsidR="006D7E52" w:rsidRPr="009576D8">
        <w:rPr>
          <w:sz w:val="24"/>
          <w:szCs w:val="24"/>
        </w:rPr>
        <w:t>ą</w:t>
      </w:r>
      <w:r w:rsidR="00E54F91" w:rsidRPr="009576D8">
        <w:rPr>
          <w:sz w:val="24"/>
          <w:szCs w:val="24"/>
        </w:rPr>
        <w:t xml:space="preserve"> udział w konsultacjach publicznych projektów legislacyjnych. </w:t>
      </w:r>
    </w:p>
    <w:p w14:paraId="2FF77279" w14:textId="4D3B58EE" w:rsidR="0057425E" w:rsidRPr="009576D8" w:rsidRDefault="0057425E" w:rsidP="00124F38">
      <w:pPr>
        <w:pStyle w:val="Nagwek1"/>
        <w:pageBreakBefore/>
        <w:numPr>
          <w:ilvl w:val="0"/>
          <w:numId w:val="4"/>
        </w:numPr>
        <w:ind w:left="1077"/>
        <w:rPr>
          <w:rFonts w:asciiTheme="minorHAnsi" w:hAnsiTheme="minorHAnsi"/>
          <w:b/>
          <w:bCs/>
          <w:sz w:val="36"/>
          <w:szCs w:val="36"/>
        </w:rPr>
      </w:pPr>
      <w:bookmarkStart w:id="33" w:name="_Toc211522735"/>
      <w:bookmarkStart w:id="34" w:name="_Toc217927140"/>
      <w:bookmarkStart w:id="35" w:name="_Toc219276860"/>
      <w:r w:rsidRPr="009576D8">
        <w:rPr>
          <w:rFonts w:asciiTheme="minorHAnsi" w:hAnsiTheme="minorHAnsi"/>
          <w:b/>
          <w:bCs/>
          <w:sz w:val="36"/>
          <w:szCs w:val="36"/>
        </w:rPr>
        <w:lastRenderedPageBreak/>
        <w:t>Obszar 1. Zmniejszanie obciążeń administracyjnych</w:t>
      </w:r>
      <w:bookmarkEnd w:id="33"/>
      <w:bookmarkEnd w:id="34"/>
      <w:bookmarkEnd w:id="35"/>
    </w:p>
    <w:p w14:paraId="38BC41F6" w14:textId="3B68169D" w:rsidR="0057425E" w:rsidRPr="009576D8" w:rsidRDefault="0057425E" w:rsidP="00124F38">
      <w:pPr>
        <w:spacing w:after="120" w:line="276" w:lineRule="auto"/>
        <w:rPr>
          <w:sz w:val="24"/>
          <w:szCs w:val="24"/>
        </w:rPr>
      </w:pPr>
      <w:r w:rsidRPr="009576D8">
        <w:rPr>
          <w:sz w:val="24"/>
          <w:szCs w:val="24"/>
        </w:rPr>
        <w:t xml:space="preserve">Niedostateczna polityka regulacyjna (w obszarze oceny skutków regulacji, ewaluacji, </w:t>
      </w:r>
      <w:r w:rsidR="00AE1FE3" w:rsidRPr="009576D8">
        <w:rPr>
          <w:sz w:val="24"/>
          <w:szCs w:val="24"/>
        </w:rPr>
        <w:t>a </w:t>
      </w:r>
      <w:r w:rsidRPr="009576D8">
        <w:rPr>
          <w:sz w:val="24"/>
          <w:szCs w:val="24"/>
        </w:rPr>
        <w:t>także w kontekście konsultacji publicznych) powoduje niskie zaufanie do władz publicznych. Zdaniem OECD</w:t>
      </w:r>
      <w:r w:rsidR="008C7820" w:rsidRPr="009576D8">
        <w:rPr>
          <w:sz w:val="24"/>
          <w:szCs w:val="24"/>
          <w:vertAlign w:val="superscript"/>
        </w:rPr>
        <w:footnoteReference w:id="16"/>
      </w:r>
      <w:r w:rsidRPr="009576D8">
        <w:rPr>
          <w:sz w:val="24"/>
          <w:szCs w:val="24"/>
        </w:rPr>
        <w:t xml:space="preserve"> ten brak zaufania objawia się:</w:t>
      </w:r>
    </w:p>
    <w:p w14:paraId="293B43F3" w14:textId="2F1698C4" w:rsidR="0057425E" w:rsidRPr="009576D8" w:rsidRDefault="0057425E" w:rsidP="00124F38">
      <w:pPr>
        <w:pStyle w:val="Akapitzlist"/>
        <w:numPr>
          <w:ilvl w:val="0"/>
          <w:numId w:val="3"/>
        </w:numPr>
        <w:spacing w:after="120" w:line="276" w:lineRule="auto"/>
        <w:contextualSpacing w:val="0"/>
        <w:rPr>
          <w:sz w:val="24"/>
          <w:szCs w:val="24"/>
        </w:rPr>
      </w:pPr>
      <w:r w:rsidRPr="009576D8">
        <w:rPr>
          <w:sz w:val="24"/>
          <w:szCs w:val="24"/>
        </w:rPr>
        <w:t>wyższymi kosztami transakcyjnymi (koszty gromadzenia informacji o rynku, koszty zarządzania i zawierania kontraktów, koszty monitorowania i realizacji kontraktów, a także straty wynikające z nieudanych transakcji i zmarnowanych szans)</w:t>
      </w:r>
      <w:r w:rsidR="008C7820" w:rsidRPr="009576D8">
        <w:rPr>
          <w:sz w:val="24"/>
          <w:szCs w:val="24"/>
        </w:rPr>
        <w:t>,</w:t>
      </w:r>
    </w:p>
    <w:p w14:paraId="61AA82FD" w14:textId="10EF6B80" w:rsidR="0057425E" w:rsidRPr="009576D8" w:rsidRDefault="0057425E" w:rsidP="00124F38">
      <w:pPr>
        <w:pStyle w:val="Akapitzlist"/>
        <w:numPr>
          <w:ilvl w:val="0"/>
          <w:numId w:val="3"/>
        </w:numPr>
        <w:spacing w:after="120" w:line="276" w:lineRule="auto"/>
        <w:contextualSpacing w:val="0"/>
        <w:rPr>
          <w:sz w:val="24"/>
          <w:szCs w:val="24"/>
        </w:rPr>
      </w:pPr>
      <w:r w:rsidRPr="009576D8">
        <w:rPr>
          <w:sz w:val="24"/>
          <w:szCs w:val="24"/>
        </w:rPr>
        <w:t>ostrożnością inwestorów krajowych i zagranicznych</w:t>
      </w:r>
      <w:r w:rsidR="008C7820" w:rsidRPr="009576D8">
        <w:rPr>
          <w:sz w:val="24"/>
          <w:szCs w:val="24"/>
        </w:rPr>
        <w:t>,</w:t>
      </w:r>
    </w:p>
    <w:p w14:paraId="65700936" w14:textId="41BD0524" w:rsidR="0057425E" w:rsidRPr="009576D8" w:rsidRDefault="0057425E" w:rsidP="00124F38">
      <w:pPr>
        <w:pStyle w:val="Akapitzlist"/>
        <w:numPr>
          <w:ilvl w:val="0"/>
          <w:numId w:val="3"/>
        </w:numPr>
        <w:spacing w:after="120" w:line="276" w:lineRule="auto"/>
        <w:contextualSpacing w:val="0"/>
        <w:rPr>
          <w:sz w:val="24"/>
          <w:szCs w:val="24"/>
        </w:rPr>
      </w:pPr>
      <w:r w:rsidRPr="009576D8">
        <w:rPr>
          <w:sz w:val="24"/>
          <w:szCs w:val="24"/>
        </w:rPr>
        <w:t>nieprzestrzeganiem prawa i trudnością w jego egzekwowaniu.</w:t>
      </w:r>
    </w:p>
    <w:p w14:paraId="161E4CA3" w14:textId="3907563C" w:rsidR="0057425E" w:rsidRPr="009576D8" w:rsidRDefault="00D264C5" w:rsidP="00124F38">
      <w:pPr>
        <w:spacing w:after="120" w:line="276" w:lineRule="auto"/>
        <w:rPr>
          <w:sz w:val="24"/>
          <w:szCs w:val="24"/>
        </w:rPr>
      </w:pPr>
      <w:r w:rsidRPr="009576D8">
        <w:rPr>
          <w:sz w:val="24"/>
          <w:szCs w:val="24"/>
        </w:rPr>
        <w:t>P</w:t>
      </w:r>
      <w:r w:rsidR="0057425E" w:rsidRPr="009576D8">
        <w:rPr>
          <w:sz w:val="24"/>
          <w:szCs w:val="24"/>
        </w:rPr>
        <w:t xml:space="preserve">rzedsiębiorcy chcący inwestować w Polsce przyglądają się różnego rodzaju analizom porównawczym. </w:t>
      </w:r>
      <w:r w:rsidR="0057425E" w:rsidRPr="007123DB">
        <w:rPr>
          <w:sz w:val="24"/>
          <w:szCs w:val="24"/>
        </w:rPr>
        <w:t>World Competitiveness Ranking</w:t>
      </w:r>
      <w:r w:rsidR="0057425E" w:rsidRPr="009576D8">
        <w:rPr>
          <w:sz w:val="24"/>
          <w:szCs w:val="24"/>
        </w:rPr>
        <w:t xml:space="preserve"> ocenia m.in. efektywność działania rządu, w tym otoczenie instytucjonalne (np. przejrzystość polityki rządu, poziom biurokracji) i otoczenie prawne wykonywania działalności gospodarczej (liczbę procedur i dni potrzebnych do założenia działalności gospodarczej, wsparcie dla rozpoczynających działalność gospodarczą)</w:t>
      </w:r>
      <w:r w:rsidR="0057425E" w:rsidRPr="009576D8">
        <w:rPr>
          <w:sz w:val="24"/>
          <w:szCs w:val="24"/>
          <w:vertAlign w:val="superscript"/>
        </w:rPr>
        <w:footnoteReference w:id="17"/>
      </w:r>
      <w:r w:rsidR="00FF280A" w:rsidRPr="009576D8">
        <w:rPr>
          <w:sz w:val="24"/>
          <w:szCs w:val="24"/>
        </w:rPr>
        <w:t>.</w:t>
      </w:r>
      <w:r w:rsidR="0057425E" w:rsidRPr="009576D8">
        <w:rPr>
          <w:sz w:val="24"/>
          <w:szCs w:val="24"/>
        </w:rPr>
        <w:t xml:space="preserve"> Podobne czynniki brane są pod uwagę przez </w:t>
      </w:r>
      <w:r w:rsidR="0057425E" w:rsidRPr="007123DB">
        <w:rPr>
          <w:sz w:val="24"/>
          <w:szCs w:val="24"/>
        </w:rPr>
        <w:t>Global Innovation Index</w:t>
      </w:r>
      <w:r w:rsidR="0057425E" w:rsidRPr="009576D8">
        <w:rPr>
          <w:sz w:val="24"/>
          <w:szCs w:val="24"/>
          <w:vertAlign w:val="superscript"/>
        </w:rPr>
        <w:footnoteReference w:id="18"/>
      </w:r>
      <w:r w:rsidR="0057425E" w:rsidRPr="009576D8">
        <w:rPr>
          <w:sz w:val="24"/>
          <w:szCs w:val="24"/>
        </w:rPr>
        <w:t xml:space="preserve">. W przypadku pierwszego badania </w:t>
      </w:r>
      <w:r w:rsidRPr="009576D8">
        <w:rPr>
          <w:sz w:val="24"/>
          <w:szCs w:val="24"/>
        </w:rPr>
        <w:t xml:space="preserve">w ostatniej jego edycji </w:t>
      </w:r>
      <w:r w:rsidR="0057425E" w:rsidRPr="009576D8">
        <w:rPr>
          <w:sz w:val="24"/>
          <w:szCs w:val="24"/>
        </w:rPr>
        <w:t>Polska plasuje się na 52</w:t>
      </w:r>
      <w:r w:rsidR="002D55B2">
        <w:rPr>
          <w:sz w:val="24"/>
          <w:szCs w:val="24"/>
        </w:rPr>
        <w:t>.</w:t>
      </w:r>
      <w:r w:rsidR="0057425E" w:rsidRPr="009576D8">
        <w:rPr>
          <w:sz w:val="24"/>
          <w:szCs w:val="24"/>
        </w:rPr>
        <w:t xml:space="preserve"> miejscu (spadek z 41</w:t>
      </w:r>
      <w:r w:rsidR="00414D7C">
        <w:rPr>
          <w:sz w:val="24"/>
          <w:szCs w:val="24"/>
        </w:rPr>
        <w:t>.</w:t>
      </w:r>
      <w:r w:rsidR="0057425E" w:rsidRPr="009576D8">
        <w:rPr>
          <w:sz w:val="24"/>
          <w:szCs w:val="24"/>
        </w:rPr>
        <w:t xml:space="preserve"> w porównaniu z 2024 </w:t>
      </w:r>
      <w:r w:rsidR="00C14610" w:rsidRPr="009576D8">
        <w:rPr>
          <w:sz w:val="24"/>
          <w:szCs w:val="24"/>
        </w:rPr>
        <w:t>r.</w:t>
      </w:r>
      <w:r w:rsidR="0057425E" w:rsidRPr="009576D8">
        <w:rPr>
          <w:sz w:val="24"/>
          <w:szCs w:val="24"/>
        </w:rPr>
        <w:t xml:space="preserve">). W drugiej klasyfikacji przyznano </w:t>
      </w:r>
      <w:r w:rsidRPr="009576D8">
        <w:rPr>
          <w:sz w:val="24"/>
          <w:szCs w:val="24"/>
        </w:rPr>
        <w:t xml:space="preserve">Polsce </w:t>
      </w:r>
      <w:r w:rsidR="0057425E" w:rsidRPr="009576D8">
        <w:rPr>
          <w:sz w:val="24"/>
          <w:szCs w:val="24"/>
        </w:rPr>
        <w:t>dopiero 39</w:t>
      </w:r>
      <w:r w:rsidR="002D55B2">
        <w:rPr>
          <w:sz w:val="24"/>
          <w:szCs w:val="24"/>
        </w:rPr>
        <w:t>.</w:t>
      </w:r>
      <w:r w:rsidR="0057425E" w:rsidRPr="009576D8">
        <w:rPr>
          <w:sz w:val="24"/>
          <w:szCs w:val="24"/>
        </w:rPr>
        <w:t xml:space="preserve"> miejsce (36 wśród 54 gospodarek </w:t>
      </w:r>
      <w:r w:rsidR="00AE1FE3" w:rsidRPr="009576D8">
        <w:rPr>
          <w:sz w:val="24"/>
          <w:szCs w:val="24"/>
        </w:rPr>
        <w:t>o</w:t>
      </w:r>
      <w:r w:rsidR="00AE1FE3">
        <w:rPr>
          <w:sz w:val="24"/>
          <w:szCs w:val="24"/>
        </w:rPr>
        <w:t> </w:t>
      </w:r>
      <w:r w:rsidR="0057425E" w:rsidRPr="009576D8">
        <w:rPr>
          <w:sz w:val="24"/>
          <w:szCs w:val="24"/>
        </w:rPr>
        <w:t>wysokim dochodzie).</w:t>
      </w:r>
      <w:r w:rsidRPr="009576D8">
        <w:rPr>
          <w:sz w:val="24"/>
          <w:szCs w:val="24"/>
        </w:rPr>
        <w:t xml:space="preserve"> </w:t>
      </w:r>
    </w:p>
    <w:p w14:paraId="236ED1E6" w14:textId="5C825306" w:rsidR="0057425E" w:rsidRPr="009576D8" w:rsidRDefault="0057425E" w:rsidP="00124F38">
      <w:pPr>
        <w:rPr>
          <w:sz w:val="24"/>
          <w:szCs w:val="24"/>
        </w:rPr>
      </w:pPr>
      <w:r w:rsidRPr="009576D8">
        <w:rPr>
          <w:sz w:val="24"/>
          <w:szCs w:val="24"/>
        </w:rPr>
        <w:t>Zidentyfikowane przez Radę Unii Europejskiej</w:t>
      </w:r>
      <w:r w:rsidRPr="009576D8">
        <w:rPr>
          <w:rStyle w:val="Odwoanieprzypisudolnego"/>
          <w:sz w:val="24"/>
          <w:szCs w:val="24"/>
        </w:rPr>
        <w:footnoteReference w:id="19"/>
      </w:r>
      <w:r w:rsidRPr="009576D8">
        <w:rPr>
          <w:sz w:val="24"/>
          <w:szCs w:val="24"/>
        </w:rPr>
        <w:t xml:space="preserve"> wyzwania dla polskiej gospodarki dotyczą m.in. zmienności i złożoności prawa. Polscy przedsiębiorcy za największe problemy, </w:t>
      </w:r>
      <w:r w:rsidR="00AE1FE3" w:rsidRPr="009576D8">
        <w:rPr>
          <w:sz w:val="24"/>
          <w:szCs w:val="24"/>
        </w:rPr>
        <w:t>z</w:t>
      </w:r>
      <w:r w:rsidR="00AE1FE3">
        <w:rPr>
          <w:sz w:val="24"/>
          <w:szCs w:val="24"/>
        </w:rPr>
        <w:t> </w:t>
      </w:r>
      <w:r w:rsidRPr="009576D8">
        <w:rPr>
          <w:sz w:val="24"/>
          <w:szCs w:val="24"/>
        </w:rPr>
        <w:t>którymi borykają się prowadząc swoją działalność gospodarczą uznają: szybkie tempo zmian przepisów (76%), wysokość stawek podatkowych (70%) i złożoność procedur administracyjnych (66%)</w:t>
      </w:r>
      <w:r w:rsidRPr="009576D8">
        <w:rPr>
          <w:rStyle w:val="Odwoanieprzypisudolnego"/>
          <w:sz w:val="24"/>
          <w:szCs w:val="24"/>
        </w:rPr>
        <w:footnoteReference w:id="20"/>
      </w:r>
      <w:r w:rsidR="00FF280A" w:rsidRPr="009576D8">
        <w:rPr>
          <w:sz w:val="24"/>
          <w:szCs w:val="24"/>
        </w:rPr>
        <w:t>.</w:t>
      </w:r>
      <w:r w:rsidRPr="009576D8">
        <w:rPr>
          <w:sz w:val="24"/>
          <w:szCs w:val="24"/>
        </w:rPr>
        <w:t xml:space="preserve"> Zgodnie z</w:t>
      </w:r>
      <w:r w:rsidR="00463ED1" w:rsidRPr="009576D8">
        <w:rPr>
          <w:sz w:val="24"/>
          <w:szCs w:val="24"/>
        </w:rPr>
        <w:t> </w:t>
      </w:r>
      <w:r w:rsidRPr="009576D8">
        <w:rPr>
          <w:sz w:val="24"/>
          <w:szCs w:val="24"/>
        </w:rPr>
        <w:t xml:space="preserve">analizą Europejskiego Banku Centralnego zdecydowana większość polskich przedsiębiorców zatrudnia pracowników </w:t>
      </w:r>
      <w:r w:rsidRPr="009576D8">
        <w:rPr>
          <w:sz w:val="24"/>
          <w:szCs w:val="24"/>
        </w:rPr>
        <w:lastRenderedPageBreak/>
        <w:t xml:space="preserve">zajmujących się przestrzeganiem przepisów. Wśród 38% </w:t>
      </w:r>
      <w:r w:rsidR="008F3ED5" w:rsidRPr="009576D8">
        <w:rPr>
          <w:sz w:val="24"/>
          <w:szCs w:val="24"/>
        </w:rPr>
        <w:t>MŚP</w:t>
      </w:r>
      <w:r w:rsidRPr="009576D8">
        <w:rPr>
          <w:sz w:val="24"/>
          <w:szCs w:val="24"/>
        </w:rPr>
        <w:t xml:space="preserve"> specjaliści do spraw zgodności stanowią ponad 10% wszystkich zatrudnionych</w:t>
      </w:r>
      <w:r w:rsidRPr="009576D8">
        <w:rPr>
          <w:rStyle w:val="Odwoanieprzypisudolnego"/>
          <w:sz w:val="24"/>
          <w:szCs w:val="24"/>
        </w:rPr>
        <w:footnoteReference w:id="21"/>
      </w:r>
      <w:r w:rsidR="00FF280A" w:rsidRPr="009576D8">
        <w:rPr>
          <w:sz w:val="24"/>
          <w:szCs w:val="24"/>
        </w:rPr>
        <w:t>.</w:t>
      </w:r>
      <w:r w:rsidRPr="009576D8">
        <w:rPr>
          <w:sz w:val="24"/>
          <w:szCs w:val="24"/>
        </w:rPr>
        <w:t xml:space="preserve"> </w:t>
      </w:r>
    </w:p>
    <w:p w14:paraId="6D771F5F" w14:textId="5DFE3DAD" w:rsidR="0057425E" w:rsidRPr="009576D8" w:rsidRDefault="0057425E" w:rsidP="00124F38">
      <w:pPr>
        <w:spacing w:after="120" w:line="276" w:lineRule="auto"/>
        <w:rPr>
          <w:sz w:val="24"/>
          <w:szCs w:val="24"/>
        </w:rPr>
      </w:pPr>
      <w:r w:rsidRPr="009576D8">
        <w:rPr>
          <w:sz w:val="24"/>
          <w:szCs w:val="24"/>
        </w:rPr>
        <w:t>Dane te potwierdzają opracowania Głównego Urzędu Statystycznego, według których przedsiębiorcy jako najpoważniejsze podażowe bariery w prowadzeniu działalności gospodarczej traktują pozapłacowe koszty pracy (71%), obciążenia na rzecz budżetu (70%), a także niejasne, niespójne, niestabilne przepisy prawne (66%)</w:t>
      </w:r>
      <w:r w:rsidRPr="009576D8">
        <w:rPr>
          <w:rStyle w:val="Odwoanieprzypisudolnego"/>
          <w:sz w:val="24"/>
          <w:szCs w:val="24"/>
        </w:rPr>
        <w:footnoteReference w:id="22"/>
      </w:r>
      <w:r w:rsidR="00FF280A" w:rsidRPr="009576D8">
        <w:rPr>
          <w:sz w:val="24"/>
          <w:szCs w:val="24"/>
        </w:rPr>
        <w:t>.</w:t>
      </w:r>
      <w:r w:rsidRPr="009576D8">
        <w:rPr>
          <w:sz w:val="24"/>
          <w:szCs w:val="24"/>
        </w:rPr>
        <w:t xml:space="preserve"> Z </w:t>
      </w:r>
      <w:r w:rsidR="008C5A12" w:rsidRPr="009576D8">
        <w:rPr>
          <w:sz w:val="24"/>
          <w:szCs w:val="24"/>
        </w:rPr>
        <w:t xml:space="preserve">ostatniego </w:t>
      </w:r>
      <w:r w:rsidRPr="009576D8">
        <w:rPr>
          <w:sz w:val="24"/>
          <w:szCs w:val="24"/>
        </w:rPr>
        <w:t xml:space="preserve">raportu „Barometr prawa” wynika, że w 2024 </w:t>
      </w:r>
      <w:r w:rsidR="00C14610" w:rsidRPr="009576D8">
        <w:rPr>
          <w:sz w:val="24"/>
          <w:szCs w:val="24"/>
        </w:rPr>
        <w:t xml:space="preserve">r. </w:t>
      </w:r>
      <w:r w:rsidRPr="009576D8">
        <w:rPr>
          <w:sz w:val="24"/>
          <w:szCs w:val="24"/>
        </w:rPr>
        <w:t xml:space="preserve">uchwalono 14 tys. stron nowego prawa </w:t>
      </w:r>
      <w:r w:rsidR="005F5163" w:rsidRPr="009576D8">
        <w:rPr>
          <w:sz w:val="24"/>
          <w:szCs w:val="24"/>
        </w:rPr>
        <w:t>i</w:t>
      </w:r>
      <w:r w:rsidR="005F5163">
        <w:rPr>
          <w:sz w:val="24"/>
          <w:szCs w:val="24"/>
        </w:rPr>
        <w:t> </w:t>
      </w:r>
      <w:r w:rsidRPr="009576D8">
        <w:rPr>
          <w:sz w:val="24"/>
          <w:szCs w:val="24"/>
        </w:rPr>
        <w:t xml:space="preserve">jest to najniższy wynik od 2008 </w:t>
      </w:r>
      <w:r w:rsidR="00C14610" w:rsidRPr="009576D8">
        <w:rPr>
          <w:sz w:val="24"/>
          <w:szCs w:val="24"/>
        </w:rPr>
        <w:t>r</w:t>
      </w:r>
      <w:r w:rsidRPr="009576D8">
        <w:rPr>
          <w:sz w:val="24"/>
          <w:szCs w:val="24"/>
        </w:rPr>
        <w:t xml:space="preserve">. Zdaniem ekspertów spadek ten nie przekłada się </w:t>
      </w:r>
      <w:r w:rsidR="008C5A12" w:rsidRPr="009576D8">
        <w:rPr>
          <w:sz w:val="24"/>
          <w:szCs w:val="24"/>
        </w:rPr>
        <w:t xml:space="preserve">jednak </w:t>
      </w:r>
      <w:r w:rsidRPr="009576D8">
        <w:rPr>
          <w:sz w:val="24"/>
          <w:szCs w:val="24"/>
        </w:rPr>
        <w:t>na wyższą ocenę rzetelności procesu legislacyjnego ani jakości przepisów</w:t>
      </w:r>
      <w:r w:rsidRPr="009576D8">
        <w:rPr>
          <w:rStyle w:val="Odwoanieprzypisudolnego"/>
          <w:sz w:val="24"/>
          <w:szCs w:val="24"/>
        </w:rPr>
        <w:footnoteReference w:id="23"/>
      </w:r>
      <w:r w:rsidR="00FF280A" w:rsidRPr="009576D8">
        <w:rPr>
          <w:sz w:val="24"/>
          <w:szCs w:val="24"/>
        </w:rPr>
        <w:t>.</w:t>
      </w:r>
    </w:p>
    <w:p w14:paraId="6E48A2DE" w14:textId="3F0B24CC" w:rsidR="008C5A12" w:rsidRPr="009576D8" w:rsidRDefault="008C5A12" w:rsidP="00124F38">
      <w:pPr>
        <w:autoSpaceDE w:val="0"/>
        <w:autoSpaceDN w:val="0"/>
        <w:adjustRightInd w:val="0"/>
        <w:spacing w:after="120"/>
        <w:rPr>
          <w:sz w:val="24"/>
          <w:szCs w:val="24"/>
        </w:rPr>
      </w:pPr>
      <w:r w:rsidRPr="009576D8">
        <w:rPr>
          <w:sz w:val="24"/>
          <w:szCs w:val="24"/>
        </w:rPr>
        <w:t xml:space="preserve">Powyższe dane </w:t>
      </w:r>
      <w:r w:rsidR="005C763D" w:rsidRPr="009576D8">
        <w:rPr>
          <w:sz w:val="24"/>
          <w:szCs w:val="24"/>
        </w:rPr>
        <w:t>wskazują na konieczność</w:t>
      </w:r>
      <w:r w:rsidRPr="009576D8">
        <w:rPr>
          <w:sz w:val="24"/>
          <w:szCs w:val="24"/>
        </w:rPr>
        <w:t xml:space="preserve"> </w:t>
      </w:r>
      <w:r w:rsidR="005C763D" w:rsidRPr="009576D8">
        <w:rPr>
          <w:sz w:val="24"/>
          <w:szCs w:val="24"/>
        </w:rPr>
        <w:t>dalszego podejmowania</w:t>
      </w:r>
      <w:r w:rsidRPr="009576D8">
        <w:rPr>
          <w:sz w:val="24"/>
          <w:szCs w:val="24"/>
        </w:rPr>
        <w:t xml:space="preserve"> działań </w:t>
      </w:r>
      <w:r w:rsidR="005C763D" w:rsidRPr="009576D8">
        <w:rPr>
          <w:sz w:val="24"/>
          <w:szCs w:val="24"/>
        </w:rPr>
        <w:t>zmierzających do</w:t>
      </w:r>
      <w:r w:rsidRPr="009576D8">
        <w:rPr>
          <w:sz w:val="24"/>
          <w:szCs w:val="24"/>
        </w:rPr>
        <w:t xml:space="preserve"> ograniczania obciążeń regulacyjnych </w:t>
      </w:r>
      <w:r w:rsidR="005C763D" w:rsidRPr="009576D8">
        <w:rPr>
          <w:sz w:val="24"/>
          <w:szCs w:val="24"/>
        </w:rPr>
        <w:t xml:space="preserve">nakładanych na </w:t>
      </w:r>
      <w:r w:rsidRPr="009576D8">
        <w:rPr>
          <w:sz w:val="24"/>
          <w:szCs w:val="24"/>
        </w:rPr>
        <w:t>przedsiębiorców</w:t>
      </w:r>
      <w:r w:rsidR="005C763D" w:rsidRPr="009576D8">
        <w:rPr>
          <w:sz w:val="24"/>
          <w:szCs w:val="24"/>
        </w:rPr>
        <w:t>, tak aby</w:t>
      </w:r>
      <w:r w:rsidRPr="009576D8">
        <w:rPr>
          <w:sz w:val="24"/>
          <w:szCs w:val="24"/>
        </w:rPr>
        <w:t xml:space="preserve"> zmniejsza</w:t>
      </w:r>
      <w:r w:rsidR="005C763D" w:rsidRPr="009576D8">
        <w:rPr>
          <w:sz w:val="24"/>
          <w:szCs w:val="24"/>
        </w:rPr>
        <w:t xml:space="preserve">ć </w:t>
      </w:r>
      <w:r w:rsidRPr="009576D8">
        <w:rPr>
          <w:sz w:val="24"/>
          <w:szCs w:val="24"/>
        </w:rPr>
        <w:t>koszt</w:t>
      </w:r>
      <w:r w:rsidR="005C763D" w:rsidRPr="009576D8">
        <w:rPr>
          <w:sz w:val="24"/>
          <w:szCs w:val="24"/>
        </w:rPr>
        <w:t>y związane z</w:t>
      </w:r>
      <w:r w:rsidRPr="009576D8">
        <w:rPr>
          <w:sz w:val="24"/>
          <w:szCs w:val="24"/>
        </w:rPr>
        <w:t xml:space="preserve"> przestrzegani</w:t>
      </w:r>
      <w:r w:rsidR="005C763D" w:rsidRPr="009576D8">
        <w:rPr>
          <w:sz w:val="24"/>
          <w:szCs w:val="24"/>
        </w:rPr>
        <w:t>em</w:t>
      </w:r>
      <w:r w:rsidRPr="009576D8">
        <w:rPr>
          <w:sz w:val="24"/>
          <w:szCs w:val="24"/>
        </w:rPr>
        <w:t xml:space="preserve"> przepisów. </w:t>
      </w:r>
      <w:r w:rsidR="005C763D" w:rsidRPr="009576D8">
        <w:rPr>
          <w:sz w:val="24"/>
          <w:szCs w:val="24"/>
        </w:rPr>
        <w:t>Inicjatywy tego typu są</w:t>
      </w:r>
      <w:r w:rsidR="006C207B">
        <w:rPr>
          <w:sz w:val="24"/>
          <w:szCs w:val="24"/>
        </w:rPr>
        <w:t> </w:t>
      </w:r>
      <w:r w:rsidR="005C763D" w:rsidRPr="009576D8">
        <w:rPr>
          <w:sz w:val="24"/>
          <w:szCs w:val="24"/>
        </w:rPr>
        <w:t>zazwyczaj</w:t>
      </w:r>
      <w:r w:rsidRPr="009576D8">
        <w:rPr>
          <w:sz w:val="24"/>
          <w:szCs w:val="24"/>
        </w:rPr>
        <w:t xml:space="preserve"> </w:t>
      </w:r>
      <w:r w:rsidR="005C763D" w:rsidRPr="009576D8">
        <w:rPr>
          <w:sz w:val="24"/>
          <w:szCs w:val="24"/>
        </w:rPr>
        <w:t>bezkosztowe</w:t>
      </w:r>
      <w:r w:rsidRPr="009576D8">
        <w:rPr>
          <w:sz w:val="24"/>
          <w:szCs w:val="24"/>
        </w:rPr>
        <w:t xml:space="preserve">, </w:t>
      </w:r>
      <w:r w:rsidR="005C763D" w:rsidRPr="009576D8">
        <w:rPr>
          <w:sz w:val="24"/>
          <w:szCs w:val="24"/>
        </w:rPr>
        <w:t>a jednocześnie znacząco poprawiają</w:t>
      </w:r>
      <w:r w:rsidRPr="009576D8">
        <w:rPr>
          <w:sz w:val="24"/>
          <w:szCs w:val="24"/>
        </w:rPr>
        <w:t xml:space="preserve"> konkurencyjnoś</w:t>
      </w:r>
      <w:r w:rsidR="005C763D" w:rsidRPr="009576D8">
        <w:rPr>
          <w:sz w:val="24"/>
          <w:szCs w:val="24"/>
        </w:rPr>
        <w:t>ć</w:t>
      </w:r>
      <w:r w:rsidRPr="009576D8">
        <w:rPr>
          <w:sz w:val="24"/>
          <w:szCs w:val="24"/>
        </w:rPr>
        <w:t xml:space="preserve"> i</w:t>
      </w:r>
      <w:r w:rsidR="00AE1FE3">
        <w:rPr>
          <w:sz w:val="24"/>
          <w:szCs w:val="24"/>
        </w:rPr>
        <w:t> </w:t>
      </w:r>
      <w:r w:rsidRPr="009576D8">
        <w:rPr>
          <w:sz w:val="24"/>
          <w:szCs w:val="24"/>
        </w:rPr>
        <w:t>płynnoś</w:t>
      </w:r>
      <w:r w:rsidR="005C763D" w:rsidRPr="009576D8">
        <w:rPr>
          <w:sz w:val="24"/>
          <w:szCs w:val="24"/>
        </w:rPr>
        <w:t>ć</w:t>
      </w:r>
      <w:r w:rsidRPr="009576D8">
        <w:rPr>
          <w:sz w:val="24"/>
          <w:szCs w:val="24"/>
        </w:rPr>
        <w:t xml:space="preserve"> finansow</w:t>
      </w:r>
      <w:r w:rsidR="005C763D" w:rsidRPr="009576D8">
        <w:rPr>
          <w:sz w:val="24"/>
          <w:szCs w:val="24"/>
        </w:rPr>
        <w:t>ą</w:t>
      </w:r>
      <w:r w:rsidRPr="009576D8">
        <w:rPr>
          <w:sz w:val="24"/>
          <w:szCs w:val="24"/>
        </w:rPr>
        <w:t xml:space="preserve"> </w:t>
      </w:r>
      <w:r w:rsidR="005C763D" w:rsidRPr="009576D8">
        <w:rPr>
          <w:sz w:val="24"/>
          <w:szCs w:val="24"/>
        </w:rPr>
        <w:t>firm</w:t>
      </w:r>
      <w:r w:rsidRPr="009576D8">
        <w:rPr>
          <w:sz w:val="24"/>
          <w:szCs w:val="24"/>
        </w:rPr>
        <w:t xml:space="preserve"> oraz ułatwi</w:t>
      </w:r>
      <w:r w:rsidR="005C763D" w:rsidRPr="009576D8">
        <w:rPr>
          <w:sz w:val="24"/>
          <w:szCs w:val="24"/>
        </w:rPr>
        <w:t>ają</w:t>
      </w:r>
      <w:r w:rsidRPr="009576D8">
        <w:rPr>
          <w:sz w:val="24"/>
          <w:szCs w:val="24"/>
        </w:rPr>
        <w:t xml:space="preserve"> im </w:t>
      </w:r>
      <w:r w:rsidR="005C763D" w:rsidRPr="009576D8">
        <w:rPr>
          <w:sz w:val="24"/>
          <w:szCs w:val="24"/>
        </w:rPr>
        <w:t xml:space="preserve">prowadzenie </w:t>
      </w:r>
      <w:r w:rsidRPr="009576D8">
        <w:rPr>
          <w:sz w:val="24"/>
          <w:szCs w:val="24"/>
        </w:rPr>
        <w:t xml:space="preserve">działalności gospodarczej. </w:t>
      </w:r>
    </w:p>
    <w:p w14:paraId="637F798A" w14:textId="660F0D9C" w:rsidR="00494165" w:rsidRPr="009576D8" w:rsidRDefault="005B7502" w:rsidP="00AE1FE3">
      <w:pPr>
        <w:pStyle w:val="Nagwek2"/>
        <w:rPr>
          <w:b/>
          <w:bCs/>
        </w:rPr>
      </w:pPr>
      <w:bookmarkStart w:id="36" w:name="_Toc217927141"/>
      <w:bookmarkStart w:id="37" w:name="_Toc219276861"/>
      <w:r w:rsidRPr="009576D8">
        <w:rPr>
          <w:b/>
          <w:bCs/>
        </w:rPr>
        <w:t xml:space="preserve">Priorytet </w:t>
      </w:r>
      <w:r w:rsidRPr="009576D8">
        <w:rPr>
          <w:b/>
          <w:bCs/>
        </w:rPr>
        <w:fldChar w:fldCharType="begin"/>
      </w:r>
      <w:r w:rsidRPr="009576D8">
        <w:rPr>
          <w:b/>
          <w:bCs/>
        </w:rPr>
        <w:instrText xml:space="preserve"> SEQ Priorytet \* ARABIC </w:instrText>
      </w:r>
      <w:r w:rsidRPr="009576D8">
        <w:rPr>
          <w:b/>
          <w:bCs/>
        </w:rPr>
        <w:fldChar w:fldCharType="separate"/>
      </w:r>
      <w:r w:rsidR="003B392D" w:rsidRPr="009576D8">
        <w:rPr>
          <w:b/>
          <w:bCs/>
        </w:rPr>
        <w:t>1</w:t>
      </w:r>
      <w:r w:rsidRPr="009576D8">
        <w:rPr>
          <w:b/>
          <w:bCs/>
        </w:rPr>
        <w:fldChar w:fldCharType="end"/>
      </w:r>
      <w:r w:rsidR="00365B66">
        <w:rPr>
          <w:b/>
          <w:bCs/>
        </w:rPr>
        <w:t xml:space="preserve"> </w:t>
      </w:r>
      <w:r w:rsidR="00494165" w:rsidRPr="009576D8">
        <w:rPr>
          <w:b/>
          <w:bCs/>
        </w:rPr>
        <w:t>– Dalsze działania de</w:t>
      </w:r>
      <w:r w:rsidR="001B7C19" w:rsidRPr="009576D8">
        <w:rPr>
          <w:b/>
          <w:bCs/>
        </w:rPr>
        <w:t>re</w:t>
      </w:r>
      <w:r w:rsidR="00494165" w:rsidRPr="009576D8">
        <w:rPr>
          <w:b/>
          <w:bCs/>
        </w:rPr>
        <w:t>gulacyjne</w:t>
      </w:r>
      <w:bookmarkEnd w:id="36"/>
      <w:bookmarkEnd w:id="37"/>
    </w:p>
    <w:p w14:paraId="37A0EB57" w14:textId="38736601" w:rsidR="005132B6" w:rsidRPr="009576D8" w:rsidRDefault="00494165" w:rsidP="00124F38">
      <w:pPr>
        <w:shd w:val="clear" w:color="auto" w:fill="FFFFFF" w:themeFill="background1"/>
        <w:spacing w:after="120" w:line="276" w:lineRule="auto"/>
        <w:rPr>
          <w:sz w:val="24"/>
          <w:szCs w:val="24"/>
        </w:rPr>
      </w:pPr>
      <w:r w:rsidRPr="009576D8">
        <w:rPr>
          <w:sz w:val="24"/>
          <w:szCs w:val="24"/>
        </w:rPr>
        <w:t xml:space="preserve">Prostsze regulacje i zmniejszanie </w:t>
      </w:r>
      <w:r w:rsidR="00463ED1" w:rsidRPr="009576D8">
        <w:rPr>
          <w:sz w:val="24"/>
          <w:szCs w:val="24"/>
        </w:rPr>
        <w:t>obciążeń</w:t>
      </w:r>
      <w:r w:rsidRPr="009576D8">
        <w:rPr>
          <w:sz w:val="24"/>
          <w:szCs w:val="24"/>
        </w:rPr>
        <w:t xml:space="preserve"> </w:t>
      </w:r>
      <w:r w:rsidR="00463ED1" w:rsidRPr="009576D8">
        <w:rPr>
          <w:sz w:val="24"/>
          <w:szCs w:val="24"/>
        </w:rPr>
        <w:t>administracyjnych</w:t>
      </w:r>
      <w:r w:rsidRPr="009576D8">
        <w:rPr>
          <w:sz w:val="24"/>
          <w:szCs w:val="24"/>
        </w:rPr>
        <w:t xml:space="preserve"> są kluczowe</w:t>
      </w:r>
      <w:r w:rsidR="00463ED1" w:rsidRPr="009576D8">
        <w:rPr>
          <w:sz w:val="24"/>
          <w:szCs w:val="24"/>
        </w:rPr>
        <w:t xml:space="preserve"> dla</w:t>
      </w:r>
      <w:r w:rsidR="006C207B">
        <w:rPr>
          <w:sz w:val="24"/>
          <w:szCs w:val="24"/>
        </w:rPr>
        <w:t> </w:t>
      </w:r>
      <w:r w:rsidR="00463ED1" w:rsidRPr="009576D8">
        <w:rPr>
          <w:sz w:val="24"/>
          <w:szCs w:val="24"/>
        </w:rPr>
        <w:t>podniesienia</w:t>
      </w:r>
      <w:r w:rsidRPr="009576D8">
        <w:rPr>
          <w:sz w:val="24"/>
          <w:szCs w:val="24"/>
        </w:rPr>
        <w:t xml:space="preserve"> </w:t>
      </w:r>
      <w:r w:rsidR="00463ED1" w:rsidRPr="009576D8">
        <w:rPr>
          <w:sz w:val="24"/>
          <w:szCs w:val="24"/>
        </w:rPr>
        <w:t>konkurencyjności</w:t>
      </w:r>
      <w:r w:rsidRPr="009576D8">
        <w:rPr>
          <w:sz w:val="24"/>
          <w:szCs w:val="24"/>
        </w:rPr>
        <w:t xml:space="preserve"> </w:t>
      </w:r>
      <w:r w:rsidR="00B70C6E" w:rsidRPr="009576D8">
        <w:rPr>
          <w:sz w:val="24"/>
          <w:szCs w:val="24"/>
        </w:rPr>
        <w:t xml:space="preserve">polskiej gospodarki </w:t>
      </w:r>
      <w:r w:rsidRPr="009576D8">
        <w:rPr>
          <w:sz w:val="24"/>
          <w:szCs w:val="24"/>
        </w:rPr>
        <w:t xml:space="preserve">oraz </w:t>
      </w:r>
      <w:r w:rsidR="00C14610" w:rsidRPr="009576D8">
        <w:rPr>
          <w:sz w:val="24"/>
          <w:szCs w:val="24"/>
        </w:rPr>
        <w:t xml:space="preserve">poprawy sytuacji </w:t>
      </w:r>
      <w:r w:rsidRPr="009576D8">
        <w:rPr>
          <w:sz w:val="24"/>
          <w:szCs w:val="24"/>
        </w:rPr>
        <w:t>polskich</w:t>
      </w:r>
      <w:r w:rsidR="00463ED1" w:rsidRPr="009576D8">
        <w:rPr>
          <w:sz w:val="24"/>
          <w:szCs w:val="24"/>
        </w:rPr>
        <w:t xml:space="preserve"> przedsiębiorców.</w:t>
      </w:r>
      <w:r w:rsidR="00463ED1" w:rsidRPr="009576D8">
        <w:rPr>
          <w:sz w:val="28"/>
          <w:szCs w:val="28"/>
        </w:rPr>
        <w:t xml:space="preserve"> </w:t>
      </w:r>
      <w:r w:rsidR="00463ED1" w:rsidRPr="009576D8">
        <w:rPr>
          <w:sz w:val="24"/>
          <w:szCs w:val="24"/>
        </w:rPr>
        <w:t xml:space="preserve">Rada Ministrów powołała </w:t>
      </w:r>
      <w:r w:rsidR="00AD1807" w:rsidRPr="009576D8">
        <w:rPr>
          <w:sz w:val="24"/>
          <w:szCs w:val="24"/>
        </w:rPr>
        <w:t>specjalny</w:t>
      </w:r>
      <w:r w:rsidR="005D37E0" w:rsidRPr="009576D8">
        <w:rPr>
          <w:sz w:val="24"/>
          <w:szCs w:val="24"/>
        </w:rPr>
        <w:t xml:space="preserve"> zespół</w:t>
      </w:r>
      <w:r w:rsidR="005D37E0" w:rsidRPr="009576D8">
        <w:rPr>
          <w:rStyle w:val="Odwoanieprzypisudolnego"/>
          <w:sz w:val="24"/>
          <w:szCs w:val="24"/>
        </w:rPr>
        <w:footnoteReference w:id="24"/>
      </w:r>
      <w:r w:rsidR="005D37E0" w:rsidRPr="009576D8">
        <w:rPr>
          <w:sz w:val="24"/>
          <w:szCs w:val="24"/>
        </w:rPr>
        <w:t xml:space="preserve"> </w:t>
      </w:r>
      <w:r w:rsidR="00272FC2" w:rsidRPr="009576D8">
        <w:rPr>
          <w:sz w:val="24"/>
          <w:szCs w:val="24"/>
        </w:rPr>
        <w:t>odpowiedzialny za</w:t>
      </w:r>
      <w:r w:rsidR="006C207B">
        <w:rPr>
          <w:sz w:val="24"/>
          <w:szCs w:val="24"/>
        </w:rPr>
        <w:t> </w:t>
      </w:r>
      <w:r w:rsidR="00463ED1" w:rsidRPr="009576D8">
        <w:rPr>
          <w:sz w:val="24"/>
          <w:szCs w:val="24"/>
        </w:rPr>
        <w:t>identyfikacj</w:t>
      </w:r>
      <w:r w:rsidR="00272FC2" w:rsidRPr="009576D8">
        <w:rPr>
          <w:sz w:val="24"/>
          <w:szCs w:val="24"/>
        </w:rPr>
        <w:t>ę</w:t>
      </w:r>
      <w:r w:rsidR="00463ED1" w:rsidRPr="009576D8">
        <w:rPr>
          <w:sz w:val="24"/>
          <w:szCs w:val="24"/>
        </w:rPr>
        <w:t xml:space="preserve"> i eliminacj</w:t>
      </w:r>
      <w:r w:rsidR="00272FC2" w:rsidRPr="009576D8">
        <w:rPr>
          <w:sz w:val="24"/>
          <w:szCs w:val="24"/>
        </w:rPr>
        <w:t>ę</w:t>
      </w:r>
      <w:r w:rsidR="00463ED1" w:rsidRPr="009576D8">
        <w:rPr>
          <w:sz w:val="24"/>
          <w:szCs w:val="24"/>
        </w:rPr>
        <w:t xml:space="preserve"> zbędnych regulacji, aby ułatwić życie Polaków i obrót gospodarczy.</w:t>
      </w:r>
      <w:r w:rsidR="00312AB8" w:rsidRPr="009576D8">
        <w:rPr>
          <w:sz w:val="24"/>
          <w:szCs w:val="24"/>
        </w:rPr>
        <w:t xml:space="preserve"> </w:t>
      </w:r>
      <w:r w:rsidR="00272FC2" w:rsidRPr="009576D8">
        <w:rPr>
          <w:sz w:val="24"/>
          <w:szCs w:val="24"/>
        </w:rPr>
        <w:t xml:space="preserve">Powodzenie tej inicjatywy zależało od znaczącego zaangażowania </w:t>
      </w:r>
      <w:r w:rsidR="0041390D" w:rsidRPr="009576D8">
        <w:rPr>
          <w:sz w:val="24"/>
          <w:szCs w:val="24"/>
        </w:rPr>
        <w:t>strony społecznej</w:t>
      </w:r>
      <w:r w:rsidR="00C12D5D" w:rsidRPr="009576D8">
        <w:rPr>
          <w:rStyle w:val="Odwoanieprzypisudolnego"/>
          <w:sz w:val="24"/>
          <w:szCs w:val="24"/>
        </w:rPr>
        <w:footnoteReference w:id="25"/>
      </w:r>
      <w:r w:rsidR="00FF280A" w:rsidRPr="009576D8">
        <w:rPr>
          <w:sz w:val="24"/>
          <w:szCs w:val="24"/>
        </w:rPr>
        <w:t>.</w:t>
      </w:r>
    </w:p>
    <w:p w14:paraId="5D8C4A70" w14:textId="7821BBD0" w:rsidR="007C4C03" w:rsidRPr="009576D8" w:rsidRDefault="00CC449D" w:rsidP="00124F38">
      <w:pPr>
        <w:spacing w:after="120" w:line="276" w:lineRule="auto"/>
        <w:rPr>
          <w:sz w:val="24"/>
          <w:szCs w:val="24"/>
        </w:rPr>
      </w:pPr>
      <w:r w:rsidRPr="009576D8">
        <w:rPr>
          <w:sz w:val="24"/>
          <w:szCs w:val="24"/>
        </w:rPr>
        <w:t>Z</w:t>
      </w:r>
      <w:r w:rsidR="007C4C03" w:rsidRPr="009576D8">
        <w:rPr>
          <w:sz w:val="24"/>
          <w:szCs w:val="24"/>
        </w:rPr>
        <w:t xml:space="preserve">godnie z </w:t>
      </w:r>
      <w:r w:rsidR="003F7EEE" w:rsidRPr="009576D8">
        <w:rPr>
          <w:sz w:val="24"/>
          <w:szCs w:val="24"/>
        </w:rPr>
        <w:t>postanowieniem</w:t>
      </w:r>
      <w:r w:rsidR="007C4C03" w:rsidRPr="009576D8">
        <w:rPr>
          <w:sz w:val="24"/>
          <w:szCs w:val="24"/>
        </w:rPr>
        <w:t xml:space="preserve"> </w:t>
      </w:r>
      <w:r w:rsidR="003F7EEE" w:rsidRPr="009576D8">
        <w:rPr>
          <w:sz w:val="24"/>
          <w:szCs w:val="24"/>
        </w:rPr>
        <w:t>ministra do spraw nadzoru nad wdrażaniem polityki rządu</w:t>
      </w:r>
      <w:r w:rsidR="007C4C03" w:rsidRPr="009576D8">
        <w:rPr>
          <w:sz w:val="24"/>
          <w:szCs w:val="24"/>
        </w:rPr>
        <w:t xml:space="preserve">, </w:t>
      </w:r>
      <w:r w:rsidR="003F7EEE" w:rsidRPr="009576D8">
        <w:rPr>
          <w:sz w:val="24"/>
          <w:szCs w:val="24"/>
        </w:rPr>
        <w:t>do</w:t>
      </w:r>
      <w:r w:rsidR="006C207B">
        <w:rPr>
          <w:sz w:val="24"/>
          <w:szCs w:val="24"/>
        </w:rPr>
        <w:t> </w:t>
      </w:r>
      <w:r w:rsidR="003F7EEE" w:rsidRPr="009576D8">
        <w:rPr>
          <w:sz w:val="24"/>
          <w:szCs w:val="24"/>
        </w:rPr>
        <w:t xml:space="preserve">końca II kwartału 2026 r. zaplanowano przyjęcie </w:t>
      </w:r>
      <w:r w:rsidR="007C4C03" w:rsidRPr="009576D8">
        <w:rPr>
          <w:sz w:val="24"/>
          <w:szCs w:val="24"/>
        </w:rPr>
        <w:t>przez Radę Ministrów</w:t>
      </w:r>
      <w:r w:rsidR="003F7EEE" w:rsidRPr="009576D8">
        <w:rPr>
          <w:sz w:val="24"/>
          <w:szCs w:val="24"/>
        </w:rPr>
        <w:t xml:space="preserve"> </w:t>
      </w:r>
      <w:r w:rsidR="007C4C03" w:rsidRPr="009576D8">
        <w:rPr>
          <w:sz w:val="24"/>
          <w:szCs w:val="24"/>
        </w:rPr>
        <w:t>co najmniej 200 zmian deregulacyjnych</w:t>
      </w:r>
      <w:r w:rsidR="003F7EEE" w:rsidRPr="009576D8">
        <w:rPr>
          <w:sz w:val="24"/>
          <w:szCs w:val="24"/>
        </w:rPr>
        <w:t xml:space="preserve">, </w:t>
      </w:r>
      <w:r w:rsidR="007C4C03" w:rsidRPr="009576D8">
        <w:rPr>
          <w:sz w:val="24"/>
          <w:szCs w:val="24"/>
        </w:rPr>
        <w:t xml:space="preserve">ułatwiających prowadzenie działalności gospodarczej </w:t>
      </w:r>
      <w:r w:rsidR="00365B66" w:rsidRPr="009576D8">
        <w:rPr>
          <w:sz w:val="24"/>
          <w:szCs w:val="24"/>
        </w:rPr>
        <w:t>i</w:t>
      </w:r>
      <w:r w:rsidR="00365B66">
        <w:rPr>
          <w:sz w:val="24"/>
          <w:szCs w:val="24"/>
        </w:rPr>
        <w:t> </w:t>
      </w:r>
      <w:r w:rsidR="007C4C03" w:rsidRPr="009576D8">
        <w:rPr>
          <w:sz w:val="24"/>
          <w:szCs w:val="24"/>
        </w:rPr>
        <w:t>uproszczenie formalności dla obywateli, poprzez ograniczenie zbędnych obciążeń, przyspieszenie procedur i tworzenie przejrzystego, efektywnego prawa.</w:t>
      </w:r>
    </w:p>
    <w:p w14:paraId="34DC3F59" w14:textId="5B86F6B4" w:rsidR="00CC449D" w:rsidRPr="00BD2901" w:rsidRDefault="00CC449D" w:rsidP="007C4C03">
      <w:pPr>
        <w:spacing w:after="120" w:line="276" w:lineRule="auto"/>
        <w:jc w:val="both"/>
      </w:pPr>
    </w:p>
    <w:p w14:paraId="53DCCE45" w14:textId="51DC1B59" w:rsidR="00323954" w:rsidRPr="009576D8" w:rsidRDefault="005B7502" w:rsidP="00124F38">
      <w:pPr>
        <w:pStyle w:val="Nagwek2"/>
      </w:pPr>
      <w:bookmarkStart w:id="38" w:name="_Toc217927142"/>
      <w:bookmarkStart w:id="39" w:name="_Toc219276862"/>
      <w:r w:rsidRPr="00365B66">
        <w:lastRenderedPageBreak/>
        <w:t>Działanie 1.</w:t>
      </w:r>
      <w:r w:rsidR="002D675B">
        <w:t>1</w:t>
      </w:r>
      <w:r w:rsidR="00491558">
        <w:t>.</w:t>
      </w:r>
      <w:r w:rsidR="002D675B">
        <w:t xml:space="preserve"> </w:t>
      </w:r>
      <w:r w:rsidR="00323954" w:rsidRPr="009576D8">
        <w:t>Deregulacja jako stały mechanizm rządowy</w:t>
      </w:r>
      <w:bookmarkEnd w:id="38"/>
      <w:bookmarkEnd w:id="39"/>
      <w:r w:rsidR="00323954" w:rsidRPr="009576D8">
        <w:t xml:space="preserve"> </w:t>
      </w:r>
    </w:p>
    <w:p w14:paraId="1D134C02" w14:textId="2D7F4456" w:rsidR="002F755E" w:rsidRPr="009576D8" w:rsidRDefault="00175704" w:rsidP="00124F38">
      <w:pPr>
        <w:spacing w:after="120" w:line="276" w:lineRule="auto"/>
        <w:rPr>
          <w:sz w:val="24"/>
          <w:szCs w:val="24"/>
        </w:rPr>
      </w:pPr>
      <w:r w:rsidRPr="009576D8">
        <w:rPr>
          <w:sz w:val="24"/>
          <w:szCs w:val="24"/>
        </w:rPr>
        <w:t>Bazując na wcześniejszych doświadczeniach i d</w:t>
      </w:r>
      <w:r w:rsidR="00D930E8" w:rsidRPr="009576D8">
        <w:rPr>
          <w:sz w:val="24"/>
          <w:szCs w:val="24"/>
        </w:rPr>
        <w:t>ążąc do realizacji wyznaczonego celu redukcyjnego,</w:t>
      </w:r>
      <w:r w:rsidR="000E1331" w:rsidRPr="009576D8">
        <w:rPr>
          <w:sz w:val="24"/>
          <w:szCs w:val="24"/>
        </w:rPr>
        <w:t xml:space="preserve"> </w:t>
      </w:r>
      <w:r w:rsidR="00F267B6" w:rsidRPr="009576D8">
        <w:rPr>
          <w:sz w:val="24"/>
          <w:szCs w:val="24"/>
        </w:rPr>
        <w:t>rząd</w:t>
      </w:r>
      <w:r w:rsidR="000E1331" w:rsidRPr="009576D8">
        <w:rPr>
          <w:sz w:val="24"/>
          <w:szCs w:val="24"/>
        </w:rPr>
        <w:t xml:space="preserve"> </w:t>
      </w:r>
      <w:r w:rsidR="00FF317C" w:rsidRPr="009576D8">
        <w:rPr>
          <w:sz w:val="24"/>
          <w:szCs w:val="24"/>
        </w:rPr>
        <w:t>będzie kontynuował</w:t>
      </w:r>
      <w:r w:rsidR="007C4C03" w:rsidRPr="009576D8">
        <w:rPr>
          <w:sz w:val="24"/>
          <w:szCs w:val="24"/>
        </w:rPr>
        <w:t xml:space="preserve"> proces deregulacji jako </w:t>
      </w:r>
      <w:r w:rsidR="00FF317C" w:rsidRPr="009576D8">
        <w:rPr>
          <w:sz w:val="24"/>
          <w:szCs w:val="24"/>
        </w:rPr>
        <w:t>stały</w:t>
      </w:r>
      <w:r w:rsidR="007C4C03" w:rsidRPr="009576D8">
        <w:rPr>
          <w:sz w:val="24"/>
          <w:szCs w:val="24"/>
        </w:rPr>
        <w:t xml:space="preserve"> mechanizm punktowego upraszczania przepisów, usuwania barier i budowy przyjaznego dla</w:t>
      </w:r>
      <w:r w:rsidR="006C207B">
        <w:rPr>
          <w:sz w:val="24"/>
          <w:szCs w:val="24"/>
        </w:rPr>
        <w:t> </w:t>
      </w:r>
      <w:r w:rsidR="007C4C03" w:rsidRPr="009576D8">
        <w:rPr>
          <w:sz w:val="24"/>
          <w:szCs w:val="24"/>
        </w:rPr>
        <w:t>przedsiębiorców i obywateli</w:t>
      </w:r>
      <w:r w:rsidR="00796877" w:rsidRPr="009576D8">
        <w:rPr>
          <w:sz w:val="24"/>
          <w:szCs w:val="24"/>
        </w:rPr>
        <w:t xml:space="preserve"> prawa</w:t>
      </w:r>
      <w:r w:rsidR="007C4C03" w:rsidRPr="009576D8">
        <w:rPr>
          <w:sz w:val="24"/>
          <w:szCs w:val="24"/>
        </w:rPr>
        <w:t xml:space="preserve">. Propozycje </w:t>
      </w:r>
      <w:r w:rsidR="00FF317C" w:rsidRPr="009576D8">
        <w:rPr>
          <w:sz w:val="24"/>
          <w:szCs w:val="24"/>
        </w:rPr>
        <w:t>konkretnych</w:t>
      </w:r>
      <w:r w:rsidR="007C4C03" w:rsidRPr="009576D8">
        <w:rPr>
          <w:sz w:val="24"/>
          <w:szCs w:val="24"/>
        </w:rPr>
        <w:t xml:space="preserve"> zmian deregulacyjnych zgłaszan</w:t>
      </w:r>
      <w:r w:rsidR="00BE4831" w:rsidRPr="009576D8">
        <w:rPr>
          <w:sz w:val="24"/>
          <w:szCs w:val="24"/>
        </w:rPr>
        <w:t>ych</w:t>
      </w:r>
      <w:r w:rsidR="007C4C03" w:rsidRPr="009576D8">
        <w:rPr>
          <w:sz w:val="24"/>
          <w:szCs w:val="24"/>
        </w:rPr>
        <w:t xml:space="preserve"> przez </w:t>
      </w:r>
      <w:r w:rsidR="0041390D" w:rsidRPr="009576D8">
        <w:rPr>
          <w:sz w:val="24"/>
          <w:szCs w:val="24"/>
        </w:rPr>
        <w:t>stronę społeczną</w:t>
      </w:r>
      <w:r w:rsidR="00D930E8" w:rsidRPr="009576D8">
        <w:rPr>
          <w:sz w:val="24"/>
          <w:szCs w:val="24"/>
        </w:rPr>
        <w:t xml:space="preserve"> </w:t>
      </w:r>
      <w:r w:rsidR="00BE4831" w:rsidRPr="009576D8">
        <w:rPr>
          <w:sz w:val="24"/>
          <w:szCs w:val="24"/>
        </w:rPr>
        <w:t>będ</w:t>
      </w:r>
      <w:r w:rsidR="0041390D" w:rsidRPr="009576D8">
        <w:rPr>
          <w:sz w:val="24"/>
          <w:szCs w:val="24"/>
        </w:rPr>
        <w:t>ą poddawane szczegółowej analizie przez właściwe organy, a prace w tym zakresie będzie koordynował</w:t>
      </w:r>
      <w:r w:rsidR="00BE4831" w:rsidRPr="009576D8">
        <w:rPr>
          <w:sz w:val="24"/>
          <w:szCs w:val="24"/>
        </w:rPr>
        <w:t xml:space="preserve"> minister właściwy do spraw gospodarki.</w:t>
      </w:r>
      <w:r w:rsidR="002F755E" w:rsidRPr="009576D8">
        <w:rPr>
          <w:sz w:val="24"/>
          <w:szCs w:val="24"/>
        </w:rPr>
        <w:t xml:space="preserve"> </w:t>
      </w:r>
      <w:r w:rsidR="009B1450" w:rsidRPr="009576D8">
        <w:rPr>
          <w:sz w:val="24"/>
          <w:szCs w:val="24"/>
        </w:rPr>
        <w:t>W celu ułatwienia zgłaszania</w:t>
      </w:r>
      <w:r w:rsidR="005D37E0" w:rsidRPr="009576D8">
        <w:rPr>
          <w:sz w:val="24"/>
          <w:szCs w:val="24"/>
        </w:rPr>
        <w:t xml:space="preserve"> postulatów </w:t>
      </w:r>
      <w:r w:rsidR="009B1450" w:rsidRPr="009576D8">
        <w:rPr>
          <w:sz w:val="24"/>
          <w:szCs w:val="24"/>
        </w:rPr>
        <w:t xml:space="preserve">deregulacyjnych </w:t>
      </w:r>
      <w:r w:rsidR="005D37E0" w:rsidRPr="009576D8">
        <w:rPr>
          <w:sz w:val="24"/>
          <w:szCs w:val="24"/>
        </w:rPr>
        <w:t>zostanie u</w:t>
      </w:r>
      <w:r w:rsidR="009B1450" w:rsidRPr="009576D8">
        <w:rPr>
          <w:sz w:val="24"/>
          <w:szCs w:val="24"/>
        </w:rPr>
        <w:t>dostępniony dedykowany formularz</w:t>
      </w:r>
      <w:r w:rsidR="005D37E0" w:rsidRPr="009576D8">
        <w:rPr>
          <w:sz w:val="24"/>
          <w:szCs w:val="24"/>
        </w:rPr>
        <w:t xml:space="preserve">. </w:t>
      </w:r>
      <w:r w:rsidR="0041390D" w:rsidRPr="009576D8">
        <w:rPr>
          <w:sz w:val="24"/>
          <w:szCs w:val="24"/>
        </w:rPr>
        <w:t>Ocena dotychczasowego stanu prawnego i</w:t>
      </w:r>
      <w:r w:rsidR="00365B66">
        <w:rPr>
          <w:sz w:val="24"/>
          <w:szCs w:val="24"/>
        </w:rPr>
        <w:t> </w:t>
      </w:r>
      <w:r w:rsidR="0041390D" w:rsidRPr="009576D8">
        <w:rPr>
          <w:sz w:val="24"/>
          <w:szCs w:val="24"/>
        </w:rPr>
        <w:t>identyfikacja barier rozwoju przedsiębiorczości będzie następowała w ścisłej współpracy z</w:t>
      </w:r>
      <w:r w:rsidR="005D37E0" w:rsidRPr="009576D8">
        <w:rPr>
          <w:sz w:val="24"/>
          <w:szCs w:val="24"/>
        </w:rPr>
        <w:t> </w:t>
      </w:r>
      <w:r w:rsidR="002F755E" w:rsidRPr="009576D8">
        <w:rPr>
          <w:sz w:val="24"/>
          <w:szCs w:val="24"/>
        </w:rPr>
        <w:t>organizacj</w:t>
      </w:r>
      <w:r w:rsidR="0041390D" w:rsidRPr="009576D8">
        <w:rPr>
          <w:sz w:val="24"/>
          <w:szCs w:val="24"/>
        </w:rPr>
        <w:t>ami</w:t>
      </w:r>
      <w:r w:rsidR="002F755E" w:rsidRPr="009576D8">
        <w:rPr>
          <w:sz w:val="24"/>
          <w:szCs w:val="24"/>
        </w:rPr>
        <w:t xml:space="preserve"> </w:t>
      </w:r>
      <w:r w:rsidR="0041390D" w:rsidRPr="009576D8">
        <w:rPr>
          <w:sz w:val="24"/>
          <w:szCs w:val="24"/>
        </w:rPr>
        <w:t xml:space="preserve">biznesowymi </w:t>
      </w:r>
      <w:r w:rsidR="002F755E" w:rsidRPr="009576D8">
        <w:rPr>
          <w:sz w:val="24"/>
          <w:szCs w:val="24"/>
        </w:rPr>
        <w:t>i przedsiębiorc</w:t>
      </w:r>
      <w:r w:rsidR="0041390D" w:rsidRPr="009576D8">
        <w:rPr>
          <w:sz w:val="24"/>
          <w:szCs w:val="24"/>
        </w:rPr>
        <w:t>ami</w:t>
      </w:r>
      <w:r w:rsidR="002F755E" w:rsidRPr="009576D8">
        <w:rPr>
          <w:sz w:val="24"/>
          <w:szCs w:val="24"/>
        </w:rPr>
        <w:t>.</w:t>
      </w:r>
      <w:r w:rsidR="005D37E0" w:rsidRPr="009576D8">
        <w:rPr>
          <w:sz w:val="24"/>
          <w:szCs w:val="24"/>
        </w:rPr>
        <w:t xml:space="preserve"> Wyniki analiz propozycji deregulacyjnych będą przedkładane zespołowi </w:t>
      </w:r>
      <w:r w:rsidR="00D42B5C">
        <w:rPr>
          <w:sz w:val="24"/>
          <w:szCs w:val="24"/>
        </w:rPr>
        <w:t>do spraw</w:t>
      </w:r>
      <w:r w:rsidR="005D37E0" w:rsidRPr="009576D8">
        <w:rPr>
          <w:sz w:val="24"/>
          <w:szCs w:val="24"/>
        </w:rPr>
        <w:t xml:space="preserve"> koordynacji procesu legislacyjnego wdrażającego deregulację.</w:t>
      </w:r>
    </w:p>
    <w:p w14:paraId="70580CFC" w14:textId="32586CC2" w:rsidR="00323954" w:rsidRPr="009576D8" w:rsidRDefault="0032395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Wskaźnik</w:t>
      </w:r>
      <w:r w:rsidRPr="009576D8">
        <w:rPr>
          <w:i/>
          <w:iCs/>
          <w:sz w:val="24"/>
          <w:szCs w:val="24"/>
        </w:rPr>
        <w:t xml:space="preserve">: </w:t>
      </w:r>
      <w:r w:rsidR="0041390D" w:rsidRPr="009576D8">
        <w:rPr>
          <w:i/>
          <w:iCs/>
          <w:sz w:val="24"/>
          <w:szCs w:val="24"/>
        </w:rPr>
        <w:t>P</w:t>
      </w:r>
      <w:r w:rsidR="002F755E" w:rsidRPr="009576D8">
        <w:rPr>
          <w:i/>
          <w:iCs/>
          <w:sz w:val="24"/>
          <w:szCs w:val="24"/>
        </w:rPr>
        <w:t>rzygotowanie</w:t>
      </w:r>
      <w:r w:rsidR="00647DDB" w:rsidRPr="009576D8">
        <w:rPr>
          <w:i/>
          <w:iCs/>
          <w:sz w:val="24"/>
          <w:szCs w:val="24"/>
        </w:rPr>
        <w:t xml:space="preserve"> </w:t>
      </w:r>
      <w:r w:rsidR="0041390D" w:rsidRPr="009576D8">
        <w:rPr>
          <w:i/>
          <w:iCs/>
          <w:sz w:val="24"/>
          <w:szCs w:val="24"/>
        </w:rPr>
        <w:t xml:space="preserve">co najmniej </w:t>
      </w:r>
      <w:r w:rsidR="00647DDB" w:rsidRPr="009576D8">
        <w:rPr>
          <w:i/>
          <w:iCs/>
          <w:sz w:val="24"/>
          <w:szCs w:val="24"/>
        </w:rPr>
        <w:t>30 propozycji deregulacyjnych rocznie</w:t>
      </w:r>
      <w:r w:rsidR="0041390D" w:rsidRPr="009576D8">
        <w:rPr>
          <w:i/>
          <w:iCs/>
          <w:sz w:val="24"/>
          <w:szCs w:val="24"/>
        </w:rPr>
        <w:t xml:space="preserve"> w formie projektu lub projektów ustaw</w:t>
      </w:r>
    </w:p>
    <w:p w14:paraId="4FF0114B" w14:textId="5C0F6E4E" w:rsidR="0041390D" w:rsidRPr="009576D8" w:rsidRDefault="0032395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Realizacja</w:t>
      </w:r>
      <w:r w:rsidR="000368DC" w:rsidRPr="009576D8">
        <w:rPr>
          <w:i/>
          <w:iCs/>
          <w:sz w:val="24"/>
          <w:szCs w:val="24"/>
        </w:rPr>
        <w:t>:</w:t>
      </w:r>
      <w:r w:rsidRPr="009576D8">
        <w:rPr>
          <w:i/>
          <w:iCs/>
          <w:sz w:val="24"/>
          <w:szCs w:val="24"/>
        </w:rPr>
        <w:t xml:space="preserve"> </w:t>
      </w:r>
      <w:r w:rsidR="000368DC" w:rsidRPr="009576D8">
        <w:rPr>
          <w:i/>
          <w:iCs/>
          <w:sz w:val="24"/>
          <w:szCs w:val="24"/>
        </w:rPr>
        <w:t>minister właściwy do spraw gospodarki</w:t>
      </w:r>
      <w:r w:rsidR="005D37E0" w:rsidRPr="009576D8">
        <w:rPr>
          <w:i/>
          <w:iCs/>
          <w:sz w:val="24"/>
          <w:szCs w:val="24"/>
        </w:rPr>
        <w:t>,</w:t>
      </w:r>
      <w:r w:rsidR="002F755E" w:rsidRPr="009576D8">
        <w:rPr>
          <w:i/>
          <w:iCs/>
          <w:sz w:val="24"/>
          <w:szCs w:val="24"/>
        </w:rPr>
        <w:t xml:space="preserve"> Zespół do spraw Deregulacji </w:t>
      </w:r>
      <w:r w:rsidR="00365B66" w:rsidRPr="009576D8">
        <w:rPr>
          <w:i/>
          <w:iCs/>
          <w:sz w:val="24"/>
          <w:szCs w:val="24"/>
        </w:rPr>
        <w:t>i</w:t>
      </w:r>
      <w:r w:rsidR="00365B66">
        <w:rPr>
          <w:i/>
          <w:iCs/>
          <w:sz w:val="24"/>
          <w:szCs w:val="24"/>
        </w:rPr>
        <w:t> </w:t>
      </w:r>
      <w:r w:rsidR="002F755E" w:rsidRPr="009576D8">
        <w:rPr>
          <w:i/>
          <w:iCs/>
          <w:sz w:val="24"/>
          <w:szCs w:val="24"/>
        </w:rPr>
        <w:t>Dialogu Gospodarczego</w:t>
      </w:r>
      <w:r w:rsidR="002F755E" w:rsidRPr="009576D8" w:rsidDel="000368DC">
        <w:rPr>
          <w:i/>
          <w:iCs/>
          <w:sz w:val="24"/>
          <w:szCs w:val="24"/>
        </w:rPr>
        <w:t xml:space="preserve"> </w:t>
      </w:r>
    </w:p>
    <w:p w14:paraId="183B38BA" w14:textId="5C47F788" w:rsidR="00323954" w:rsidRPr="009576D8" w:rsidRDefault="0032395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sz w:val="24"/>
          <w:szCs w:val="24"/>
        </w:rPr>
      </w:pPr>
      <w:r w:rsidRPr="009576D8">
        <w:rPr>
          <w:b/>
          <w:bCs/>
          <w:i/>
          <w:iCs/>
          <w:sz w:val="24"/>
          <w:szCs w:val="24"/>
        </w:rPr>
        <w:t>Termin</w:t>
      </w:r>
      <w:r w:rsidRPr="009576D8">
        <w:rPr>
          <w:i/>
          <w:iCs/>
          <w:sz w:val="24"/>
          <w:szCs w:val="24"/>
        </w:rPr>
        <w:t xml:space="preserve">: działanie </w:t>
      </w:r>
      <w:r w:rsidR="00624FDB" w:rsidRPr="009576D8">
        <w:rPr>
          <w:i/>
          <w:iCs/>
          <w:sz w:val="24"/>
          <w:szCs w:val="24"/>
        </w:rPr>
        <w:t>ciągłe</w:t>
      </w:r>
      <w:r w:rsidRPr="009576D8">
        <w:rPr>
          <w:i/>
          <w:iCs/>
          <w:color w:val="156082" w:themeColor="accent1"/>
          <w:sz w:val="24"/>
          <w:szCs w:val="24"/>
        </w:rPr>
        <w:t xml:space="preserve"> </w:t>
      </w:r>
    </w:p>
    <w:p w14:paraId="404A467C" w14:textId="04120CD0" w:rsidR="00323954" w:rsidRPr="009576D8" w:rsidRDefault="005B7502" w:rsidP="009576D8">
      <w:pPr>
        <w:pStyle w:val="Nagwek2"/>
      </w:pPr>
      <w:bookmarkStart w:id="40" w:name="_Toc217927143"/>
      <w:bookmarkStart w:id="41" w:name="_Toc219276863"/>
      <w:r w:rsidRPr="00365B66">
        <w:t>Działanie 1.</w:t>
      </w:r>
      <w:r w:rsidR="002D675B">
        <w:t>2</w:t>
      </w:r>
      <w:r w:rsidR="00491558">
        <w:t>.</w:t>
      </w:r>
      <w:r w:rsidR="002D675B">
        <w:t xml:space="preserve"> </w:t>
      </w:r>
      <w:r w:rsidR="00323954" w:rsidRPr="009576D8">
        <w:t>Systemowe zmiany deregulacyjne</w:t>
      </w:r>
      <w:bookmarkEnd w:id="40"/>
      <w:bookmarkEnd w:id="41"/>
      <w:r w:rsidR="00323954" w:rsidRPr="009576D8">
        <w:t xml:space="preserve"> </w:t>
      </w:r>
    </w:p>
    <w:p w14:paraId="379E547F" w14:textId="0D5B0A80" w:rsidR="007C4C03" w:rsidRPr="009576D8" w:rsidRDefault="00323954" w:rsidP="00124F38">
      <w:pPr>
        <w:spacing w:after="120" w:line="276" w:lineRule="auto"/>
        <w:rPr>
          <w:sz w:val="24"/>
          <w:szCs w:val="24"/>
        </w:rPr>
      </w:pPr>
      <w:r w:rsidRPr="009576D8">
        <w:rPr>
          <w:sz w:val="24"/>
          <w:szCs w:val="24"/>
        </w:rPr>
        <w:t xml:space="preserve">W </w:t>
      </w:r>
      <w:r w:rsidR="007C4C03" w:rsidRPr="009576D8">
        <w:rPr>
          <w:sz w:val="24"/>
          <w:szCs w:val="24"/>
        </w:rPr>
        <w:t xml:space="preserve">ramach rządowego </w:t>
      </w:r>
      <w:r w:rsidR="000E1331" w:rsidRPr="009576D8">
        <w:rPr>
          <w:sz w:val="24"/>
          <w:szCs w:val="24"/>
        </w:rPr>
        <w:t>Zesp</w:t>
      </w:r>
      <w:r w:rsidR="00BE4831" w:rsidRPr="009576D8">
        <w:rPr>
          <w:sz w:val="24"/>
          <w:szCs w:val="24"/>
        </w:rPr>
        <w:t>ołu</w:t>
      </w:r>
      <w:r w:rsidR="000E1331" w:rsidRPr="009576D8">
        <w:rPr>
          <w:sz w:val="24"/>
          <w:szCs w:val="24"/>
        </w:rPr>
        <w:t xml:space="preserve"> do spraw koordynacji procesu legislacyjnego wdrażającego deregulację</w:t>
      </w:r>
      <w:r w:rsidR="007C4C03" w:rsidRPr="009576D8">
        <w:rPr>
          <w:sz w:val="24"/>
          <w:szCs w:val="24"/>
        </w:rPr>
        <w:t xml:space="preserve"> </w:t>
      </w:r>
      <w:r w:rsidR="00CF27A8" w:rsidRPr="009576D8">
        <w:rPr>
          <w:sz w:val="24"/>
          <w:szCs w:val="24"/>
        </w:rPr>
        <w:t>zaplanowano</w:t>
      </w:r>
      <w:r w:rsidR="007C4C03" w:rsidRPr="009576D8">
        <w:rPr>
          <w:sz w:val="24"/>
          <w:szCs w:val="24"/>
        </w:rPr>
        <w:t xml:space="preserve"> </w:t>
      </w:r>
      <w:r w:rsidR="002E2CC2" w:rsidRPr="009576D8">
        <w:rPr>
          <w:sz w:val="24"/>
          <w:szCs w:val="24"/>
        </w:rPr>
        <w:t>prace</w:t>
      </w:r>
      <w:r w:rsidR="007C4C03" w:rsidRPr="009576D8">
        <w:rPr>
          <w:sz w:val="24"/>
          <w:szCs w:val="24"/>
        </w:rPr>
        <w:t xml:space="preserve"> nad systemowymi, pogłębionymi zmianami deregulacyjnymi, z udziałem </w:t>
      </w:r>
      <w:r w:rsidRPr="009576D8">
        <w:rPr>
          <w:sz w:val="24"/>
          <w:szCs w:val="24"/>
        </w:rPr>
        <w:t xml:space="preserve">szerszej grupy partnerów publicznych. </w:t>
      </w:r>
      <w:r w:rsidR="007C4C03" w:rsidRPr="009576D8">
        <w:rPr>
          <w:sz w:val="24"/>
          <w:szCs w:val="24"/>
        </w:rPr>
        <w:t xml:space="preserve">Prace będą dotyczyły </w:t>
      </w:r>
      <w:r w:rsidR="002E2CC2" w:rsidRPr="009576D8">
        <w:rPr>
          <w:sz w:val="24"/>
          <w:szCs w:val="24"/>
        </w:rPr>
        <w:t>trzech</w:t>
      </w:r>
      <w:r w:rsidR="007C4C03" w:rsidRPr="009576D8">
        <w:rPr>
          <w:sz w:val="24"/>
          <w:szCs w:val="24"/>
        </w:rPr>
        <w:t xml:space="preserve"> obszarów, zidentyfikowanych jako kluczowe</w:t>
      </w:r>
      <w:r w:rsidR="00756C79" w:rsidRPr="009576D8">
        <w:rPr>
          <w:sz w:val="24"/>
          <w:szCs w:val="24"/>
        </w:rPr>
        <w:t>,</w:t>
      </w:r>
      <w:r w:rsidR="007C4C03" w:rsidRPr="009576D8">
        <w:rPr>
          <w:sz w:val="24"/>
          <w:szCs w:val="24"/>
        </w:rPr>
        <w:t xml:space="preserve"> tj. uproszczenia systemu podatkowego, wsparcia komponentu krajowego w kluczowych procesach inwestycyjnych </w:t>
      </w:r>
      <w:r w:rsidR="003618DB" w:rsidRPr="009576D8">
        <w:rPr>
          <w:sz w:val="24"/>
          <w:szCs w:val="24"/>
        </w:rPr>
        <w:t>s</w:t>
      </w:r>
      <w:r w:rsidR="007C4C03" w:rsidRPr="009576D8">
        <w:rPr>
          <w:sz w:val="24"/>
          <w:szCs w:val="24"/>
        </w:rPr>
        <w:t>półek z udziałem Skarbu Państwa, a także przyspieszenia spraw sądowych.</w:t>
      </w:r>
    </w:p>
    <w:p w14:paraId="54DB233A" w14:textId="57C41963" w:rsidR="00323954" w:rsidRPr="009576D8" w:rsidRDefault="0032395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2E2CC2" w:rsidRPr="009576D8">
        <w:rPr>
          <w:i/>
          <w:iCs/>
          <w:sz w:val="24"/>
          <w:szCs w:val="24"/>
        </w:rPr>
        <w:t>P</w:t>
      </w:r>
      <w:r w:rsidRPr="009576D8">
        <w:rPr>
          <w:i/>
          <w:iCs/>
          <w:sz w:val="24"/>
          <w:szCs w:val="24"/>
        </w:rPr>
        <w:t>rzygotowanie projektów zmian legislacyjnych we wskazanych obszarach</w:t>
      </w:r>
      <w:r w:rsidRPr="009576D8">
        <w:rPr>
          <w:b/>
          <w:bCs/>
          <w:i/>
          <w:iCs/>
          <w:sz w:val="24"/>
          <w:szCs w:val="24"/>
        </w:rPr>
        <w:t xml:space="preserve"> </w:t>
      </w:r>
    </w:p>
    <w:p w14:paraId="2DE43C2D" w14:textId="484A9EAC" w:rsidR="009B1450" w:rsidRPr="009576D8" w:rsidRDefault="0032395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Zespół</w:t>
      </w:r>
      <w:r w:rsidR="00D930E8" w:rsidRPr="009576D8">
        <w:rPr>
          <w:i/>
          <w:iCs/>
          <w:sz w:val="24"/>
          <w:szCs w:val="24"/>
        </w:rPr>
        <w:t xml:space="preserve"> do spraw koordynacji procesu legislacyjnego wdrażającego deregulację, </w:t>
      </w:r>
      <w:r w:rsidR="005369BD" w:rsidRPr="009576D8">
        <w:rPr>
          <w:i/>
          <w:iCs/>
          <w:sz w:val="24"/>
          <w:szCs w:val="24"/>
        </w:rPr>
        <w:t>minist</w:t>
      </w:r>
      <w:r w:rsidR="009B1450" w:rsidRPr="009576D8">
        <w:rPr>
          <w:i/>
          <w:iCs/>
          <w:sz w:val="24"/>
          <w:szCs w:val="24"/>
        </w:rPr>
        <w:t>e</w:t>
      </w:r>
      <w:r w:rsidR="005369BD" w:rsidRPr="009576D8">
        <w:rPr>
          <w:i/>
          <w:iCs/>
          <w:sz w:val="24"/>
          <w:szCs w:val="24"/>
        </w:rPr>
        <w:t>r</w:t>
      </w:r>
      <w:r w:rsidR="009B1450" w:rsidRPr="009576D8">
        <w:rPr>
          <w:i/>
          <w:iCs/>
          <w:sz w:val="24"/>
          <w:szCs w:val="24"/>
        </w:rPr>
        <w:t xml:space="preserve"> właściwy </w:t>
      </w:r>
      <w:r w:rsidR="000F318F" w:rsidRPr="000F318F">
        <w:rPr>
          <w:i/>
          <w:iCs/>
          <w:sz w:val="24"/>
          <w:szCs w:val="24"/>
        </w:rPr>
        <w:t>do spraw budżetu państwa, finansów publicznych oraz instytucji finansowych</w:t>
      </w:r>
      <w:r w:rsidR="009B1450" w:rsidRPr="009576D8">
        <w:rPr>
          <w:i/>
          <w:iCs/>
          <w:sz w:val="24"/>
          <w:szCs w:val="24"/>
        </w:rPr>
        <w:t>, minister</w:t>
      </w:r>
      <w:r w:rsidR="00E55C8C" w:rsidRPr="009576D8">
        <w:rPr>
          <w:i/>
          <w:iCs/>
          <w:sz w:val="24"/>
          <w:szCs w:val="24"/>
        </w:rPr>
        <w:t xml:space="preserve"> właściwy</w:t>
      </w:r>
      <w:r w:rsidR="009B1450" w:rsidRPr="009576D8">
        <w:rPr>
          <w:i/>
          <w:iCs/>
          <w:sz w:val="24"/>
          <w:szCs w:val="24"/>
        </w:rPr>
        <w:t xml:space="preserve"> do spraw aktywów </w:t>
      </w:r>
      <w:r w:rsidR="00E55C8C" w:rsidRPr="009576D8">
        <w:rPr>
          <w:i/>
          <w:iCs/>
          <w:sz w:val="24"/>
          <w:szCs w:val="24"/>
        </w:rPr>
        <w:t>p</w:t>
      </w:r>
      <w:r w:rsidR="009B1450" w:rsidRPr="009576D8">
        <w:rPr>
          <w:i/>
          <w:iCs/>
          <w:sz w:val="24"/>
          <w:szCs w:val="24"/>
        </w:rPr>
        <w:t>aństwowych</w:t>
      </w:r>
      <w:r w:rsidR="000F318F">
        <w:rPr>
          <w:i/>
          <w:iCs/>
          <w:sz w:val="24"/>
          <w:szCs w:val="24"/>
        </w:rPr>
        <w:t xml:space="preserve"> </w:t>
      </w:r>
      <w:r w:rsidR="00E55C8C" w:rsidRPr="009576D8">
        <w:rPr>
          <w:i/>
          <w:iCs/>
          <w:sz w:val="24"/>
          <w:szCs w:val="24"/>
        </w:rPr>
        <w:t>Minister Sprawiedliwości</w:t>
      </w:r>
    </w:p>
    <w:p w14:paraId="0DB8C1DA" w14:textId="5A4377AB" w:rsidR="00323954" w:rsidRPr="009576D8" w:rsidRDefault="00D930E8"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sz w:val="24"/>
          <w:szCs w:val="24"/>
        </w:rPr>
        <w:t>2027</w:t>
      </w:r>
    </w:p>
    <w:p w14:paraId="19599F6E" w14:textId="46CCE4A1" w:rsidR="00170777" w:rsidRPr="009576D8" w:rsidRDefault="005B7502" w:rsidP="00507E99">
      <w:pPr>
        <w:pStyle w:val="Nagwek2"/>
        <w:jc w:val="both"/>
      </w:pPr>
      <w:bookmarkStart w:id="42" w:name="_Toc217927144"/>
      <w:bookmarkStart w:id="43" w:name="_Toc219276864"/>
      <w:r w:rsidRPr="00365B66">
        <w:t>Działanie 1.</w:t>
      </w:r>
      <w:r w:rsidR="002D675B">
        <w:t>3</w:t>
      </w:r>
      <w:r w:rsidR="00987616">
        <w:t>.</w:t>
      </w:r>
      <w:r w:rsidR="002D675B">
        <w:t xml:space="preserve"> </w:t>
      </w:r>
      <w:r w:rsidR="00B66153" w:rsidRPr="009576D8">
        <w:t xml:space="preserve">Kontynuacja </w:t>
      </w:r>
      <w:r w:rsidR="00170777" w:rsidRPr="009576D8">
        <w:t>działa</w:t>
      </w:r>
      <w:r w:rsidR="00B66153" w:rsidRPr="009576D8">
        <w:t>ń</w:t>
      </w:r>
      <w:r w:rsidR="00170777" w:rsidRPr="009576D8">
        <w:t xml:space="preserve"> deregulacyjn</w:t>
      </w:r>
      <w:r w:rsidR="00B66153" w:rsidRPr="009576D8">
        <w:t>ych o charakterze punktowym</w:t>
      </w:r>
      <w:r w:rsidR="00170777" w:rsidRPr="009576D8">
        <w:t xml:space="preserve"> przez ministerstwa</w:t>
      </w:r>
      <w:bookmarkEnd w:id="42"/>
      <w:bookmarkEnd w:id="43"/>
    </w:p>
    <w:p w14:paraId="59EAA21A" w14:textId="51775E5C" w:rsidR="00170777" w:rsidRPr="009576D8" w:rsidRDefault="00D930E8" w:rsidP="00124F38">
      <w:pPr>
        <w:spacing w:after="120" w:line="276" w:lineRule="auto"/>
        <w:rPr>
          <w:sz w:val="24"/>
          <w:szCs w:val="24"/>
        </w:rPr>
      </w:pPr>
      <w:r w:rsidRPr="009576D8">
        <w:rPr>
          <w:sz w:val="24"/>
          <w:szCs w:val="24"/>
        </w:rPr>
        <w:t xml:space="preserve">Działania deregulacyjne </w:t>
      </w:r>
      <w:r w:rsidR="00585376" w:rsidRPr="009576D8">
        <w:rPr>
          <w:sz w:val="24"/>
          <w:szCs w:val="24"/>
        </w:rPr>
        <w:t>będą</w:t>
      </w:r>
      <w:r w:rsidRPr="009576D8">
        <w:rPr>
          <w:sz w:val="24"/>
          <w:szCs w:val="24"/>
        </w:rPr>
        <w:t xml:space="preserve"> </w:t>
      </w:r>
      <w:r w:rsidR="00585376" w:rsidRPr="009576D8">
        <w:rPr>
          <w:sz w:val="24"/>
          <w:szCs w:val="24"/>
        </w:rPr>
        <w:t>kontynuowane przez</w:t>
      </w:r>
      <w:r w:rsidRPr="009576D8">
        <w:rPr>
          <w:sz w:val="24"/>
          <w:szCs w:val="24"/>
        </w:rPr>
        <w:t xml:space="preserve"> </w:t>
      </w:r>
      <w:r w:rsidR="00585376" w:rsidRPr="009576D8">
        <w:rPr>
          <w:sz w:val="24"/>
          <w:szCs w:val="24"/>
        </w:rPr>
        <w:t>poszczególnych ministrów</w:t>
      </w:r>
      <w:r w:rsidR="008E33E1">
        <w:rPr>
          <w:sz w:val="24"/>
          <w:szCs w:val="24"/>
        </w:rPr>
        <w:t>.</w:t>
      </w:r>
    </w:p>
    <w:p w14:paraId="39E1D25D" w14:textId="77777777" w:rsidR="00365B66" w:rsidRDefault="00756C79" w:rsidP="00124F38">
      <w:pPr>
        <w:spacing w:after="120" w:line="276" w:lineRule="auto"/>
        <w:rPr>
          <w:sz w:val="24"/>
          <w:szCs w:val="24"/>
        </w:rPr>
      </w:pPr>
      <w:r w:rsidRPr="009576D8">
        <w:rPr>
          <w:b/>
          <w:bCs/>
          <w:sz w:val="24"/>
          <w:szCs w:val="24"/>
        </w:rPr>
        <w:lastRenderedPageBreak/>
        <w:t>Minister właściwy do spraw budżetu państwa, finansów publicznych oraz instytucji finansowych</w:t>
      </w:r>
      <w:r w:rsidRPr="009576D8">
        <w:rPr>
          <w:sz w:val="24"/>
          <w:szCs w:val="24"/>
        </w:rPr>
        <w:t xml:space="preserve"> </w:t>
      </w:r>
      <w:r w:rsidR="00F254BA" w:rsidRPr="009576D8">
        <w:rPr>
          <w:sz w:val="24"/>
          <w:szCs w:val="24"/>
        </w:rPr>
        <w:t>planuje</w:t>
      </w:r>
      <w:r w:rsidR="00365B66">
        <w:rPr>
          <w:sz w:val="24"/>
          <w:szCs w:val="24"/>
        </w:rPr>
        <w:t>:</w:t>
      </w:r>
    </w:p>
    <w:p w14:paraId="5182E1E5" w14:textId="7D2F663A" w:rsidR="00365B66" w:rsidRPr="009576D8" w:rsidRDefault="00F254BA" w:rsidP="00124F38">
      <w:pPr>
        <w:pStyle w:val="Akapitzlist"/>
        <w:numPr>
          <w:ilvl w:val="0"/>
          <w:numId w:val="8"/>
        </w:numPr>
        <w:spacing w:after="120" w:line="276" w:lineRule="auto"/>
        <w:contextualSpacing w:val="0"/>
        <w:rPr>
          <w:sz w:val="24"/>
          <w:szCs w:val="24"/>
        </w:rPr>
      </w:pPr>
      <w:r w:rsidRPr="009576D8">
        <w:rPr>
          <w:sz w:val="24"/>
          <w:szCs w:val="24"/>
        </w:rPr>
        <w:t>realizacj</w:t>
      </w:r>
      <w:r w:rsidR="00647DDB" w:rsidRPr="009576D8">
        <w:rPr>
          <w:sz w:val="24"/>
          <w:szCs w:val="24"/>
        </w:rPr>
        <w:t>ę</w:t>
      </w:r>
      <w:r w:rsidRPr="009576D8">
        <w:rPr>
          <w:sz w:val="24"/>
          <w:szCs w:val="24"/>
        </w:rPr>
        <w:t xml:space="preserve"> postulatów deregulacyjnych w zakresie cen transferowych</w:t>
      </w:r>
      <w:r w:rsidR="00365B66" w:rsidRPr="009576D8">
        <w:rPr>
          <w:sz w:val="24"/>
          <w:szCs w:val="24"/>
        </w:rPr>
        <w:t xml:space="preserve"> (w związku z</w:t>
      </w:r>
      <w:r w:rsidR="00365B66">
        <w:rPr>
          <w:sz w:val="24"/>
          <w:szCs w:val="24"/>
        </w:rPr>
        <w:t> </w:t>
      </w:r>
      <w:r w:rsidR="00365B66" w:rsidRPr="009576D8">
        <w:rPr>
          <w:sz w:val="24"/>
          <w:szCs w:val="24"/>
        </w:rPr>
        <w:t>postulatami zgłoszonymi przez inicjatywę SprawdzaMY)</w:t>
      </w:r>
      <w:r w:rsidRPr="009576D8">
        <w:rPr>
          <w:sz w:val="24"/>
          <w:szCs w:val="24"/>
        </w:rPr>
        <w:t>.</w:t>
      </w:r>
      <w:r w:rsidR="00365B66" w:rsidRPr="009576D8">
        <w:rPr>
          <w:sz w:val="24"/>
          <w:szCs w:val="24"/>
        </w:rPr>
        <w:t xml:space="preserve"> </w:t>
      </w:r>
      <w:r w:rsidRPr="009576D8">
        <w:rPr>
          <w:sz w:val="24"/>
          <w:szCs w:val="24"/>
        </w:rPr>
        <w:t xml:space="preserve">Zmiany legislacyjne </w:t>
      </w:r>
      <w:r w:rsidR="00365B66" w:rsidRPr="009576D8">
        <w:rPr>
          <w:sz w:val="24"/>
          <w:szCs w:val="24"/>
        </w:rPr>
        <w:t>w</w:t>
      </w:r>
      <w:r w:rsidR="00365B66">
        <w:rPr>
          <w:sz w:val="24"/>
          <w:szCs w:val="24"/>
        </w:rPr>
        <w:t> </w:t>
      </w:r>
      <w:r w:rsidRPr="009576D8">
        <w:rPr>
          <w:sz w:val="24"/>
          <w:szCs w:val="24"/>
        </w:rPr>
        <w:t xml:space="preserve">ustawie o podatku dochodowych od osób fizycznych oraz ustawie o podatku dochodowym od osób prawnych </w:t>
      </w:r>
      <w:r w:rsidR="00365B66" w:rsidRPr="009576D8">
        <w:rPr>
          <w:sz w:val="24"/>
          <w:szCs w:val="24"/>
        </w:rPr>
        <w:t>będą miały</w:t>
      </w:r>
      <w:r w:rsidRPr="009576D8">
        <w:rPr>
          <w:sz w:val="24"/>
          <w:szCs w:val="24"/>
        </w:rPr>
        <w:t xml:space="preserve"> na celu zmniejszenie obciążeń </w:t>
      </w:r>
      <w:r w:rsidR="00365B66" w:rsidRPr="009576D8">
        <w:rPr>
          <w:sz w:val="24"/>
          <w:szCs w:val="24"/>
        </w:rPr>
        <w:t>w </w:t>
      </w:r>
      <w:r w:rsidR="00180CED" w:rsidRPr="009576D8">
        <w:rPr>
          <w:sz w:val="24"/>
          <w:szCs w:val="24"/>
        </w:rPr>
        <w:t xml:space="preserve">stosunku do </w:t>
      </w:r>
      <w:r w:rsidRPr="009576D8">
        <w:rPr>
          <w:sz w:val="24"/>
          <w:szCs w:val="24"/>
        </w:rPr>
        <w:t>podatników</w:t>
      </w:r>
      <w:r w:rsidR="00180CED" w:rsidRPr="009576D8">
        <w:rPr>
          <w:sz w:val="24"/>
          <w:szCs w:val="24"/>
        </w:rPr>
        <w:t>, a w rezultacie ułatwienie dla prowadzących</w:t>
      </w:r>
      <w:r w:rsidRPr="009576D8">
        <w:rPr>
          <w:sz w:val="24"/>
          <w:szCs w:val="24"/>
        </w:rPr>
        <w:t xml:space="preserve"> </w:t>
      </w:r>
      <w:r w:rsidR="00180CED" w:rsidRPr="009576D8">
        <w:rPr>
          <w:sz w:val="24"/>
          <w:szCs w:val="24"/>
        </w:rPr>
        <w:t>działalność</w:t>
      </w:r>
      <w:r w:rsidRPr="009576D8">
        <w:rPr>
          <w:sz w:val="24"/>
          <w:szCs w:val="24"/>
        </w:rPr>
        <w:t xml:space="preserve"> gospodarcz</w:t>
      </w:r>
      <w:r w:rsidR="00180CED" w:rsidRPr="009576D8">
        <w:rPr>
          <w:sz w:val="24"/>
          <w:szCs w:val="24"/>
        </w:rPr>
        <w:t>ą</w:t>
      </w:r>
      <w:r w:rsidRPr="009576D8">
        <w:rPr>
          <w:sz w:val="24"/>
          <w:szCs w:val="24"/>
        </w:rPr>
        <w:t xml:space="preserve">, uproszczenie formalności dla obywateli, a także </w:t>
      </w:r>
      <w:r w:rsidR="00180CED" w:rsidRPr="009576D8">
        <w:rPr>
          <w:sz w:val="24"/>
          <w:szCs w:val="24"/>
        </w:rPr>
        <w:t xml:space="preserve">podniesienie sprawności </w:t>
      </w:r>
      <w:r w:rsidRPr="009576D8">
        <w:rPr>
          <w:sz w:val="24"/>
          <w:szCs w:val="24"/>
        </w:rPr>
        <w:t>działania organów podatkowych</w:t>
      </w:r>
      <w:r w:rsidR="006E0012">
        <w:rPr>
          <w:sz w:val="24"/>
          <w:szCs w:val="24"/>
        </w:rPr>
        <w:t>;</w:t>
      </w:r>
    </w:p>
    <w:p w14:paraId="792870D7" w14:textId="7E7FEFE4" w:rsidR="00F254BA" w:rsidRPr="009576D8" w:rsidRDefault="00F254BA" w:rsidP="00124F38">
      <w:pPr>
        <w:pStyle w:val="Akapitzlist"/>
        <w:numPr>
          <w:ilvl w:val="0"/>
          <w:numId w:val="8"/>
        </w:numPr>
        <w:spacing w:after="120" w:line="276" w:lineRule="auto"/>
        <w:contextualSpacing w:val="0"/>
        <w:rPr>
          <w:sz w:val="24"/>
          <w:szCs w:val="24"/>
        </w:rPr>
      </w:pPr>
      <w:r w:rsidRPr="009576D8">
        <w:rPr>
          <w:sz w:val="24"/>
          <w:szCs w:val="24"/>
        </w:rPr>
        <w:t>liberalizację zasad nakładania dodatkowej opłaty (sankcyjnej) za niewypełnienie obowiązku złożenia informacji i zapłaty w terminie opłaty za zezwolenie na obrót hurtowy napojami alkoholowymi oraz za zezwolenie na wyprzedaż posiadanych zapasów napojów alkoholowych, dotyczącej dokonanego zaopatrzenia w napoje alkoholowe w opakowaniach jednostkowych o ilości nominalnej napoju nieprzekraczającej 300 ml</w:t>
      </w:r>
      <w:r w:rsidR="00474F61" w:rsidRPr="009576D8">
        <w:rPr>
          <w:rStyle w:val="Odwoanieprzypisudolnego"/>
          <w:sz w:val="24"/>
          <w:szCs w:val="24"/>
        </w:rPr>
        <w:footnoteReference w:id="26"/>
      </w:r>
      <w:r w:rsidR="00474F61" w:rsidRPr="009576D8">
        <w:rPr>
          <w:sz w:val="24"/>
          <w:szCs w:val="24"/>
        </w:rPr>
        <w:t>.</w:t>
      </w:r>
    </w:p>
    <w:p w14:paraId="2D639253" w14:textId="77777777" w:rsidR="00365B66" w:rsidRDefault="008603A8" w:rsidP="00124F38">
      <w:pPr>
        <w:spacing w:after="120" w:line="276" w:lineRule="auto"/>
        <w:rPr>
          <w:sz w:val="24"/>
          <w:szCs w:val="24"/>
        </w:rPr>
      </w:pPr>
      <w:r w:rsidRPr="009576D8">
        <w:rPr>
          <w:b/>
          <w:bCs/>
          <w:sz w:val="24"/>
          <w:szCs w:val="24"/>
        </w:rPr>
        <w:t>Minister właściwy do spraw klimatu i środowiska</w:t>
      </w:r>
      <w:r w:rsidR="00365B66">
        <w:rPr>
          <w:sz w:val="24"/>
          <w:szCs w:val="24"/>
        </w:rPr>
        <w:t>:</w:t>
      </w:r>
    </w:p>
    <w:p w14:paraId="548FD8B3" w14:textId="7A71EFE1" w:rsidR="008603A8" w:rsidRPr="009576D8" w:rsidRDefault="008603A8" w:rsidP="00124F38">
      <w:pPr>
        <w:pStyle w:val="Akapitzlist"/>
        <w:numPr>
          <w:ilvl w:val="0"/>
          <w:numId w:val="9"/>
        </w:numPr>
        <w:spacing w:after="120" w:line="276" w:lineRule="auto"/>
        <w:contextualSpacing w:val="0"/>
        <w:rPr>
          <w:sz w:val="24"/>
          <w:szCs w:val="24"/>
        </w:rPr>
      </w:pPr>
      <w:r w:rsidRPr="009576D8">
        <w:rPr>
          <w:sz w:val="24"/>
          <w:szCs w:val="24"/>
        </w:rPr>
        <w:t>wdroży przepisy upraszczające procedury związane z zielonymi inwestycjami, które wprowadzają surowsze kryteria zrównoważonego rozwoju dla biomasy i</w:t>
      </w:r>
      <w:r w:rsidR="00456308">
        <w:rPr>
          <w:sz w:val="24"/>
          <w:szCs w:val="24"/>
        </w:rPr>
        <w:t> </w:t>
      </w:r>
      <w:r w:rsidRPr="009576D8">
        <w:rPr>
          <w:sz w:val="24"/>
          <w:szCs w:val="24"/>
        </w:rPr>
        <w:t>mają na celu przyspieszenie dekarbonizacji</w:t>
      </w:r>
      <w:r w:rsidR="00365B66">
        <w:rPr>
          <w:rStyle w:val="Odwoanieprzypisudolnego"/>
          <w:sz w:val="24"/>
          <w:szCs w:val="24"/>
        </w:rPr>
        <w:footnoteReference w:id="27"/>
      </w:r>
      <w:r w:rsidRPr="009576D8">
        <w:rPr>
          <w:sz w:val="24"/>
          <w:szCs w:val="24"/>
        </w:rPr>
        <w:t xml:space="preserve">. Kluczowym celem regulacji </w:t>
      </w:r>
      <w:r w:rsidR="00365B66">
        <w:rPr>
          <w:sz w:val="24"/>
          <w:szCs w:val="24"/>
        </w:rPr>
        <w:t>będzie</w:t>
      </w:r>
      <w:r w:rsidRPr="009576D8">
        <w:rPr>
          <w:sz w:val="24"/>
          <w:szCs w:val="24"/>
        </w:rPr>
        <w:t xml:space="preserve"> znaczący wzrost udziału odnawialnych źródeł energii w końcowym zużyciu energii brutto do co najmniej 42,5% do 2030 r. </w:t>
      </w:r>
      <w:r w:rsidR="00E2145A">
        <w:rPr>
          <w:sz w:val="24"/>
          <w:szCs w:val="24"/>
        </w:rPr>
        <w:t>–</w:t>
      </w:r>
      <w:r w:rsidRPr="009576D8">
        <w:rPr>
          <w:sz w:val="24"/>
          <w:szCs w:val="24"/>
        </w:rPr>
        <w:t xml:space="preserve"> w transporcie (do 29%), budownictwie (do</w:t>
      </w:r>
      <w:r w:rsidR="006C207B">
        <w:rPr>
          <w:sz w:val="24"/>
          <w:szCs w:val="24"/>
        </w:rPr>
        <w:t> </w:t>
      </w:r>
      <w:r w:rsidRPr="009576D8">
        <w:rPr>
          <w:sz w:val="24"/>
          <w:szCs w:val="24"/>
        </w:rPr>
        <w:t>49%), a także w ciepłownictwie i chłodnictwie</w:t>
      </w:r>
      <w:r w:rsidR="006E0012">
        <w:rPr>
          <w:sz w:val="24"/>
          <w:szCs w:val="24"/>
        </w:rPr>
        <w:t>;</w:t>
      </w:r>
    </w:p>
    <w:p w14:paraId="47763501" w14:textId="672A1F1A" w:rsidR="008603A8" w:rsidRPr="009576D8" w:rsidRDefault="008603A8" w:rsidP="00124F38">
      <w:pPr>
        <w:pStyle w:val="Akapitzlist"/>
        <w:numPr>
          <w:ilvl w:val="0"/>
          <w:numId w:val="9"/>
        </w:numPr>
        <w:spacing w:after="120" w:line="276" w:lineRule="auto"/>
        <w:contextualSpacing w:val="0"/>
        <w:rPr>
          <w:sz w:val="24"/>
          <w:szCs w:val="24"/>
        </w:rPr>
      </w:pPr>
      <w:r w:rsidRPr="009576D8">
        <w:rPr>
          <w:sz w:val="24"/>
          <w:szCs w:val="24"/>
        </w:rPr>
        <w:t>uzupełni ramy regulacyjne dotyczące wychwytu, transportu i składowania dwutlenku węgla, które ułatwią realizację projektów inwestycyjnych w tym obszarze w celu wsparcia dekarbonizacji przemysłów trudnych do</w:t>
      </w:r>
      <w:r w:rsidR="006C207B">
        <w:rPr>
          <w:sz w:val="24"/>
          <w:szCs w:val="24"/>
        </w:rPr>
        <w:t> </w:t>
      </w:r>
      <w:r w:rsidRPr="009576D8">
        <w:rPr>
          <w:sz w:val="24"/>
          <w:szCs w:val="24"/>
        </w:rPr>
        <w:t>zdekarbonizowania (</w:t>
      </w:r>
      <w:r w:rsidR="00E2145A">
        <w:rPr>
          <w:sz w:val="24"/>
          <w:szCs w:val="24"/>
        </w:rPr>
        <w:t>ang. „</w:t>
      </w:r>
      <w:r w:rsidRPr="009576D8">
        <w:rPr>
          <w:sz w:val="24"/>
          <w:szCs w:val="24"/>
        </w:rPr>
        <w:t>hard-to-abate</w:t>
      </w:r>
      <w:r w:rsidR="00E2145A">
        <w:rPr>
          <w:sz w:val="24"/>
          <w:szCs w:val="24"/>
        </w:rPr>
        <w:t>”</w:t>
      </w:r>
      <w:r w:rsidRPr="009576D8">
        <w:rPr>
          <w:sz w:val="24"/>
          <w:szCs w:val="24"/>
        </w:rPr>
        <w:t>)</w:t>
      </w:r>
      <w:r w:rsidR="00365B66">
        <w:rPr>
          <w:rStyle w:val="Odwoanieprzypisudolnego"/>
          <w:sz w:val="24"/>
          <w:szCs w:val="24"/>
        </w:rPr>
        <w:footnoteReference w:id="28"/>
      </w:r>
      <w:r w:rsidR="00365B66">
        <w:rPr>
          <w:sz w:val="24"/>
          <w:szCs w:val="24"/>
        </w:rPr>
        <w:t xml:space="preserve">. </w:t>
      </w:r>
      <w:r w:rsidRPr="009576D8">
        <w:rPr>
          <w:sz w:val="24"/>
          <w:szCs w:val="24"/>
        </w:rPr>
        <w:t xml:space="preserve">Przedsięwzięcie zakłada stworzenie jednolitego systemu transportu CO₂ i efektywnego wdrożenia technologii wychwytywania, transportu i składowania dwutlenku węgla. Pozwoli to efektywnie zaplanować sieć rurociągów, zoptymalizować koszty i zapewnić równy dostęp wielu emitentom do usług przesyłu CO₂. Projekt zakłada kompleksowe uregulowanie zasad rynku wychwytywania i składowania </w:t>
      </w:r>
      <w:r w:rsidRPr="009576D8">
        <w:rPr>
          <w:sz w:val="24"/>
          <w:szCs w:val="24"/>
        </w:rPr>
        <w:lastRenderedPageBreak/>
        <w:t>dwutlenku węgla, w tym zapewnienie równego, niedyskryminacyjnego dostępu stron trzecich do sieci transportowych CO₂, wzorowanych na rozwiązaniach stosowanych w</w:t>
      </w:r>
      <w:r w:rsidR="0010394F">
        <w:rPr>
          <w:sz w:val="24"/>
          <w:szCs w:val="24"/>
        </w:rPr>
        <w:t> </w:t>
      </w:r>
      <w:r w:rsidRPr="009576D8">
        <w:rPr>
          <w:sz w:val="24"/>
          <w:szCs w:val="24"/>
        </w:rPr>
        <w:t>sektorze gazu ziemnego.</w:t>
      </w:r>
      <w:r w:rsidR="00062DD2" w:rsidRPr="009576D8">
        <w:rPr>
          <w:sz w:val="24"/>
          <w:szCs w:val="24"/>
        </w:rPr>
        <w:t xml:space="preserve"> </w:t>
      </w:r>
      <w:r w:rsidRPr="009576D8">
        <w:rPr>
          <w:sz w:val="24"/>
          <w:szCs w:val="24"/>
        </w:rPr>
        <w:t xml:space="preserve">W odpowiedzi na postulaty interesariuszy, wspomniany projekt </w:t>
      </w:r>
      <w:r w:rsidR="00365B66">
        <w:rPr>
          <w:sz w:val="24"/>
          <w:szCs w:val="24"/>
        </w:rPr>
        <w:t xml:space="preserve">będzie </w:t>
      </w:r>
      <w:r w:rsidRPr="009576D8">
        <w:rPr>
          <w:sz w:val="24"/>
          <w:szCs w:val="24"/>
        </w:rPr>
        <w:t>przewid</w:t>
      </w:r>
      <w:r w:rsidR="00365B66">
        <w:rPr>
          <w:sz w:val="24"/>
          <w:szCs w:val="24"/>
        </w:rPr>
        <w:t>ywał</w:t>
      </w:r>
      <w:r w:rsidRPr="009576D8">
        <w:rPr>
          <w:sz w:val="24"/>
          <w:szCs w:val="24"/>
        </w:rPr>
        <w:t xml:space="preserve"> umożliwienie transportu CO₂ do składowiska w inny sposób niż tylko rurociągami, przy wykorzystaniu różnego rodzaju transportu: drogowego, kolejowego, morskiego i wodnego śródlądowego.</w:t>
      </w:r>
      <w:r w:rsidR="00062DD2" w:rsidRPr="009576D8">
        <w:rPr>
          <w:sz w:val="24"/>
          <w:szCs w:val="24"/>
        </w:rPr>
        <w:t xml:space="preserve"> </w:t>
      </w:r>
      <w:r w:rsidRPr="009576D8">
        <w:rPr>
          <w:sz w:val="24"/>
          <w:szCs w:val="24"/>
        </w:rPr>
        <w:t>W projekcie przewiduje się</w:t>
      </w:r>
      <w:r w:rsidR="006C207B">
        <w:rPr>
          <w:sz w:val="24"/>
          <w:szCs w:val="24"/>
        </w:rPr>
        <w:t> </w:t>
      </w:r>
      <w:r w:rsidRPr="009576D8">
        <w:rPr>
          <w:sz w:val="24"/>
          <w:szCs w:val="24"/>
        </w:rPr>
        <w:t>również m.in. skrócenie czasu przewidzianego prawem na wydawanie niektórych decyzji oraz pozwoleń administracyjnych dot</w:t>
      </w:r>
      <w:r w:rsidR="00BD571A">
        <w:rPr>
          <w:sz w:val="24"/>
          <w:szCs w:val="24"/>
        </w:rPr>
        <w:t>yczących</w:t>
      </w:r>
      <w:r w:rsidRPr="009576D8">
        <w:rPr>
          <w:sz w:val="24"/>
          <w:szCs w:val="24"/>
        </w:rPr>
        <w:t xml:space="preserve"> realizacji projektów wychwytywania i magazynowania oraz wykorzystania CO₂, jak również wprowadzenie odpowiednich procedur weryfikacji i nadzoru nad projektami strategicznymi dla tej technologii</w:t>
      </w:r>
      <w:r w:rsidR="00365B66">
        <w:rPr>
          <w:rStyle w:val="Odwoanieprzypisudolnego"/>
          <w:sz w:val="24"/>
          <w:szCs w:val="24"/>
        </w:rPr>
        <w:footnoteReference w:id="29"/>
      </w:r>
      <w:r w:rsidRPr="009576D8">
        <w:rPr>
          <w:sz w:val="24"/>
          <w:szCs w:val="24"/>
        </w:rPr>
        <w:t>.</w:t>
      </w:r>
    </w:p>
    <w:p w14:paraId="5FF4999B" w14:textId="3C45783E" w:rsidR="00365B66" w:rsidRDefault="00003371" w:rsidP="00507E99">
      <w:pPr>
        <w:spacing w:after="120" w:line="276" w:lineRule="auto"/>
        <w:jc w:val="both"/>
        <w:rPr>
          <w:sz w:val="24"/>
          <w:szCs w:val="24"/>
        </w:rPr>
      </w:pPr>
      <w:r w:rsidRPr="009576D8">
        <w:rPr>
          <w:b/>
          <w:bCs/>
          <w:sz w:val="24"/>
          <w:szCs w:val="24"/>
        </w:rPr>
        <w:t>Minister właściwy do spraw gospodarki</w:t>
      </w:r>
      <w:r w:rsidR="00365B66">
        <w:rPr>
          <w:b/>
          <w:bCs/>
          <w:sz w:val="24"/>
          <w:szCs w:val="24"/>
        </w:rPr>
        <w:t xml:space="preserve"> oraz </w:t>
      </w:r>
      <w:r w:rsidR="00365B66" w:rsidRPr="00365B66">
        <w:rPr>
          <w:b/>
          <w:bCs/>
          <w:sz w:val="24"/>
          <w:szCs w:val="24"/>
        </w:rPr>
        <w:t>budownictw</w:t>
      </w:r>
      <w:r w:rsidR="00365B66">
        <w:rPr>
          <w:b/>
          <w:bCs/>
          <w:sz w:val="24"/>
          <w:szCs w:val="24"/>
        </w:rPr>
        <w:t>a</w:t>
      </w:r>
      <w:r w:rsidR="00365B66" w:rsidRPr="00365B66">
        <w:rPr>
          <w:b/>
          <w:bCs/>
          <w:sz w:val="24"/>
          <w:szCs w:val="24"/>
        </w:rPr>
        <w:t>, planowani</w:t>
      </w:r>
      <w:r w:rsidR="00365B66">
        <w:rPr>
          <w:b/>
          <w:bCs/>
          <w:sz w:val="24"/>
          <w:szCs w:val="24"/>
        </w:rPr>
        <w:t>a</w:t>
      </w:r>
      <w:r w:rsidR="00365B66" w:rsidRPr="00365B66">
        <w:rPr>
          <w:b/>
          <w:bCs/>
          <w:sz w:val="24"/>
          <w:szCs w:val="24"/>
        </w:rPr>
        <w:t> i</w:t>
      </w:r>
      <w:r w:rsidR="00365B66">
        <w:rPr>
          <w:b/>
          <w:bCs/>
          <w:sz w:val="24"/>
          <w:szCs w:val="24"/>
        </w:rPr>
        <w:t> </w:t>
      </w:r>
      <w:r w:rsidR="00365B66" w:rsidRPr="00365B66">
        <w:rPr>
          <w:b/>
          <w:bCs/>
          <w:sz w:val="24"/>
          <w:szCs w:val="24"/>
        </w:rPr>
        <w:t>zagospodarowani</w:t>
      </w:r>
      <w:r w:rsidR="00365B66">
        <w:rPr>
          <w:b/>
          <w:bCs/>
          <w:sz w:val="24"/>
          <w:szCs w:val="24"/>
        </w:rPr>
        <w:t>a</w:t>
      </w:r>
      <w:r w:rsidR="00365B66" w:rsidRPr="00365B66">
        <w:rPr>
          <w:b/>
          <w:bCs/>
          <w:sz w:val="24"/>
          <w:szCs w:val="24"/>
        </w:rPr>
        <w:t> przestrzenne</w:t>
      </w:r>
      <w:r w:rsidR="00365B66">
        <w:rPr>
          <w:b/>
          <w:bCs/>
          <w:sz w:val="24"/>
          <w:szCs w:val="24"/>
        </w:rPr>
        <w:t>go</w:t>
      </w:r>
      <w:r w:rsidR="00365B66" w:rsidRPr="00365B66">
        <w:rPr>
          <w:b/>
          <w:bCs/>
          <w:sz w:val="24"/>
          <w:szCs w:val="24"/>
        </w:rPr>
        <w:t> oraz mieszkalnictw</w:t>
      </w:r>
      <w:r w:rsidR="00365B66">
        <w:rPr>
          <w:b/>
          <w:bCs/>
          <w:sz w:val="24"/>
          <w:szCs w:val="24"/>
        </w:rPr>
        <w:t>a</w:t>
      </w:r>
      <w:r w:rsidR="009D3BE4" w:rsidRPr="009576D8">
        <w:rPr>
          <w:sz w:val="24"/>
          <w:szCs w:val="24"/>
        </w:rPr>
        <w:t xml:space="preserve"> </w:t>
      </w:r>
      <w:r w:rsidR="00365B66">
        <w:rPr>
          <w:sz w:val="24"/>
          <w:szCs w:val="24"/>
        </w:rPr>
        <w:t>planuje:</w:t>
      </w:r>
    </w:p>
    <w:p w14:paraId="0B375CD9" w14:textId="0B20FB1B" w:rsidR="009C6C2F" w:rsidRPr="009576D8" w:rsidRDefault="009D3BE4" w:rsidP="00124F38">
      <w:pPr>
        <w:pStyle w:val="Akapitzlist"/>
        <w:numPr>
          <w:ilvl w:val="0"/>
          <w:numId w:val="10"/>
        </w:numPr>
        <w:spacing w:after="120" w:line="276" w:lineRule="auto"/>
        <w:contextualSpacing w:val="0"/>
        <w:rPr>
          <w:sz w:val="24"/>
          <w:szCs w:val="24"/>
        </w:rPr>
      </w:pPr>
      <w:r w:rsidRPr="009576D8">
        <w:rPr>
          <w:sz w:val="24"/>
          <w:szCs w:val="24"/>
        </w:rPr>
        <w:t>likwidacj</w:t>
      </w:r>
      <w:r w:rsidR="00BB7BF9" w:rsidRPr="009576D8">
        <w:rPr>
          <w:sz w:val="24"/>
          <w:szCs w:val="24"/>
        </w:rPr>
        <w:t>ę</w:t>
      </w:r>
      <w:r w:rsidRPr="009576D8">
        <w:rPr>
          <w:sz w:val="24"/>
          <w:szCs w:val="24"/>
        </w:rPr>
        <w:t xml:space="preserve"> obowiązku dołączania wydruków komputerowych z Krajowego Rejestru Sądowego oraz zaświadczeń o wpisie do Centralnej Ewidencji i</w:t>
      </w:r>
      <w:r w:rsidR="00C23D73">
        <w:rPr>
          <w:sz w:val="24"/>
          <w:szCs w:val="24"/>
        </w:rPr>
        <w:t> </w:t>
      </w:r>
      <w:r w:rsidRPr="009576D8">
        <w:rPr>
          <w:sz w:val="24"/>
          <w:szCs w:val="24"/>
        </w:rPr>
        <w:t xml:space="preserve">Informacji </w:t>
      </w:r>
      <w:r w:rsidR="009C6C2F" w:rsidRPr="009576D8">
        <w:rPr>
          <w:sz w:val="24"/>
          <w:szCs w:val="24"/>
        </w:rPr>
        <w:t>o</w:t>
      </w:r>
      <w:r w:rsidR="009C6C2F">
        <w:rPr>
          <w:sz w:val="24"/>
          <w:szCs w:val="24"/>
        </w:rPr>
        <w:t> </w:t>
      </w:r>
      <w:r w:rsidRPr="009576D8">
        <w:rPr>
          <w:sz w:val="24"/>
          <w:szCs w:val="24"/>
        </w:rPr>
        <w:t>Działalności Gospodarczej do pism i wniosków kierowanych do organów administracji publicznej oraz innych podmiotów</w:t>
      </w:r>
      <w:r w:rsidR="00725909" w:rsidRPr="009576D8">
        <w:rPr>
          <w:rStyle w:val="Odwoanieprzypisudolnego"/>
          <w:sz w:val="24"/>
          <w:szCs w:val="24"/>
        </w:rPr>
        <w:footnoteReference w:id="30"/>
      </w:r>
      <w:r w:rsidR="00365B66" w:rsidRPr="009C6C2F">
        <w:rPr>
          <w:sz w:val="24"/>
          <w:szCs w:val="24"/>
        </w:rPr>
        <w:t>;</w:t>
      </w:r>
    </w:p>
    <w:p w14:paraId="72B89A6D" w14:textId="03F65C76" w:rsidR="009C6C2F" w:rsidRPr="009576D8" w:rsidRDefault="00062DD2" w:rsidP="00124F38">
      <w:pPr>
        <w:pStyle w:val="Akapitzlist"/>
        <w:numPr>
          <w:ilvl w:val="0"/>
          <w:numId w:val="10"/>
        </w:numPr>
        <w:spacing w:after="120" w:line="276" w:lineRule="auto"/>
        <w:contextualSpacing w:val="0"/>
        <w:rPr>
          <w:sz w:val="24"/>
          <w:szCs w:val="24"/>
        </w:rPr>
      </w:pPr>
      <w:r w:rsidRPr="009576D8">
        <w:rPr>
          <w:sz w:val="24"/>
          <w:szCs w:val="24"/>
        </w:rPr>
        <w:t>uregul</w:t>
      </w:r>
      <w:r w:rsidR="00365B66" w:rsidRPr="009576D8">
        <w:rPr>
          <w:sz w:val="24"/>
          <w:szCs w:val="24"/>
        </w:rPr>
        <w:t>owanie</w:t>
      </w:r>
      <w:r w:rsidR="009D3BE4" w:rsidRPr="009576D8">
        <w:rPr>
          <w:sz w:val="24"/>
          <w:szCs w:val="24"/>
        </w:rPr>
        <w:t xml:space="preserve"> </w:t>
      </w:r>
      <w:r w:rsidRPr="009576D8">
        <w:rPr>
          <w:sz w:val="24"/>
          <w:szCs w:val="24"/>
        </w:rPr>
        <w:t>stosunk</w:t>
      </w:r>
      <w:r w:rsidR="00365B66" w:rsidRPr="009576D8">
        <w:rPr>
          <w:sz w:val="24"/>
          <w:szCs w:val="24"/>
        </w:rPr>
        <w:t>ów</w:t>
      </w:r>
      <w:r w:rsidRPr="009576D8">
        <w:rPr>
          <w:sz w:val="24"/>
          <w:szCs w:val="24"/>
        </w:rPr>
        <w:t xml:space="preserve"> własnościow</w:t>
      </w:r>
      <w:r w:rsidR="00365B66" w:rsidRPr="009576D8">
        <w:rPr>
          <w:sz w:val="24"/>
          <w:szCs w:val="24"/>
        </w:rPr>
        <w:t>ych</w:t>
      </w:r>
      <w:r w:rsidRPr="009576D8">
        <w:rPr>
          <w:sz w:val="24"/>
          <w:szCs w:val="24"/>
        </w:rPr>
        <w:t xml:space="preserve"> </w:t>
      </w:r>
      <w:r w:rsidR="009D3BE4" w:rsidRPr="009576D8">
        <w:rPr>
          <w:sz w:val="24"/>
          <w:szCs w:val="24"/>
        </w:rPr>
        <w:t>gruntów pod budynkami należącymi do</w:t>
      </w:r>
      <w:r w:rsidR="006C207B">
        <w:rPr>
          <w:sz w:val="24"/>
          <w:szCs w:val="24"/>
        </w:rPr>
        <w:t> </w:t>
      </w:r>
      <w:r w:rsidR="009D3BE4" w:rsidRPr="009576D8">
        <w:rPr>
          <w:sz w:val="24"/>
          <w:szCs w:val="24"/>
        </w:rPr>
        <w:t>spółdzielni</w:t>
      </w:r>
      <w:r w:rsidR="00A76DCD" w:rsidRPr="009576D8">
        <w:rPr>
          <w:sz w:val="24"/>
          <w:szCs w:val="24"/>
        </w:rPr>
        <w:t>,</w:t>
      </w:r>
      <w:r w:rsidR="009D3BE4" w:rsidRPr="009576D8">
        <w:rPr>
          <w:sz w:val="24"/>
          <w:szCs w:val="24"/>
        </w:rPr>
        <w:t xml:space="preserve"> co umożliwi racjonalną politykę remontową i inwestycyjną </w:t>
      </w:r>
      <w:r w:rsidR="00A76DCD" w:rsidRPr="009576D8">
        <w:rPr>
          <w:sz w:val="24"/>
          <w:szCs w:val="24"/>
        </w:rPr>
        <w:t>w</w:t>
      </w:r>
      <w:r w:rsidR="009D3BE4" w:rsidRPr="009576D8">
        <w:rPr>
          <w:sz w:val="24"/>
          <w:szCs w:val="24"/>
        </w:rPr>
        <w:t xml:space="preserve"> tych nieruchomościach</w:t>
      </w:r>
      <w:r w:rsidR="009C6C2F">
        <w:rPr>
          <w:rStyle w:val="Odwoanieprzypisudolnego"/>
          <w:sz w:val="24"/>
          <w:szCs w:val="24"/>
        </w:rPr>
        <w:footnoteReference w:id="31"/>
      </w:r>
      <w:r w:rsidR="009C6C2F" w:rsidRPr="009576D8">
        <w:rPr>
          <w:sz w:val="24"/>
          <w:szCs w:val="24"/>
        </w:rPr>
        <w:t>;</w:t>
      </w:r>
    </w:p>
    <w:p w14:paraId="19C060F5" w14:textId="77777777" w:rsidR="007D121C" w:rsidRDefault="00062DD2" w:rsidP="00124F38">
      <w:pPr>
        <w:pStyle w:val="Akapitzlist"/>
        <w:numPr>
          <w:ilvl w:val="0"/>
          <w:numId w:val="10"/>
        </w:numPr>
        <w:spacing w:after="120" w:line="276" w:lineRule="auto"/>
        <w:contextualSpacing w:val="0"/>
        <w:rPr>
          <w:sz w:val="24"/>
          <w:szCs w:val="24"/>
        </w:rPr>
      </w:pPr>
      <w:r w:rsidRPr="009576D8">
        <w:rPr>
          <w:sz w:val="24"/>
          <w:szCs w:val="24"/>
        </w:rPr>
        <w:t>przeprowadz</w:t>
      </w:r>
      <w:r w:rsidR="009C6C2F" w:rsidRPr="009576D8">
        <w:rPr>
          <w:sz w:val="24"/>
          <w:szCs w:val="24"/>
        </w:rPr>
        <w:t>enie</w:t>
      </w:r>
      <w:r w:rsidR="008977D2" w:rsidRPr="009576D8">
        <w:rPr>
          <w:sz w:val="24"/>
          <w:szCs w:val="24"/>
        </w:rPr>
        <w:t xml:space="preserve"> </w:t>
      </w:r>
      <w:r w:rsidR="009D3BE4" w:rsidRPr="009576D8">
        <w:rPr>
          <w:sz w:val="24"/>
          <w:szCs w:val="24"/>
        </w:rPr>
        <w:t>punktow</w:t>
      </w:r>
      <w:r w:rsidR="009C6C2F" w:rsidRPr="009576D8">
        <w:rPr>
          <w:sz w:val="24"/>
          <w:szCs w:val="24"/>
        </w:rPr>
        <w:t>ych</w:t>
      </w:r>
      <w:r w:rsidR="009D3BE4" w:rsidRPr="009576D8">
        <w:rPr>
          <w:sz w:val="24"/>
          <w:szCs w:val="24"/>
        </w:rPr>
        <w:t xml:space="preserve"> zmian przepisów dotyczących działalności wykonywanej przez osoby działające na rynku nieruchomości,</w:t>
      </w:r>
      <w:r w:rsidR="00647DDB" w:rsidRPr="009576D8">
        <w:rPr>
          <w:sz w:val="24"/>
          <w:szCs w:val="24"/>
        </w:rPr>
        <w:t xml:space="preserve"> w tym</w:t>
      </w:r>
      <w:r w:rsidR="009D3BE4" w:rsidRPr="009576D8">
        <w:rPr>
          <w:sz w:val="24"/>
          <w:szCs w:val="24"/>
        </w:rPr>
        <w:t xml:space="preserve"> dedykowan</w:t>
      </w:r>
      <w:r w:rsidR="008977D2" w:rsidRPr="009576D8">
        <w:rPr>
          <w:sz w:val="24"/>
          <w:szCs w:val="24"/>
        </w:rPr>
        <w:t>ych</w:t>
      </w:r>
      <w:r w:rsidR="009D3BE4" w:rsidRPr="009576D8">
        <w:rPr>
          <w:sz w:val="24"/>
          <w:szCs w:val="24"/>
        </w:rPr>
        <w:t xml:space="preserve"> rzeczoznawcom majątkowy</w:t>
      </w:r>
      <w:r w:rsidR="00647DDB" w:rsidRPr="009576D8">
        <w:rPr>
          <w:sz w:val="24"/>
          <w:szCs w:val="24"/>
        </w:rPr>
        <w:t>m</w:t>
      </w:r>
      <w:r w:rsidR="009D3BE4" w:rsidRPr="009576D8">
        <w:rPr>
          <w:sz w:val="24"/>
          <w:szCs w:val="24"/>
        </w:rPr>
        <w:t xml:space="preserve">, pośrednikom w obrocie nieruchomościami oraz zarządcom nieruchomości, które powinny przyczynić </w:t>
      </w:r>
      <w:r w:rsidR="009D3BE4" w:rsidRPr="009576D8">
        <w:rPr>
          <w:sz w:val="24"/>
          <w:szCs w:val="24"/>
        </w:rPr>
        <w:lastRenderedPageBreak/>
        <w:t>się</w:t>
      </w:r>
      <w:r w:rsidR="006C207B">
        <w:rPr>
          <w:sz w:val="24"/>
          <w:szCs w:val="24"/>
        </w:rPr>
        <w:t> </w:t>
      </w:r>
      <w:r w:rsidR="009D3BE4" w:rsidRPr="009576D8">
        <w:rPr>
          <w:sz w:val="24"/>
          <w:szCs w:val="24"/>
        </w:rPr>
        <w:t>do usprawnienia działalności wykonywanej przez przedstawicieli tych profesji</w:t>
      </w:r>
      <w:r w:rsidR="009C6C2F">
        <w:rPr>
          <w:rStyle w:val="Odwoanieprzypisudolnego"/>
          <w:sz w:val="24"/>
          <w:szCs w:val="24"/>
        </w:rPr>
        <w:footnoteReference w:id="32"/>
      </w:r>
      <w:r w:rsidR="007D121C">
        <w:rPr>
          <w:sz w:val="24"/>
          <w:szCs w:val="24"/>
        </w:rPr>
        <w:t>;</w:t>
      </w:r>
    </w:p>
    <w:p w14:paraId="294E743D" w14:textId="0BF1E955" w:rsidR="00E76EE7" w:rsidRDefault="00E76EE7" w:rsidP="00124F38">
      <w:pPr>
        <w:pStyle w:val="Akapitzlist"/>
        <w:numPr>
          <w:ilvl w:val="0"/>
          <w:numId w:val="10"/>
        </w:numPr>
        <w:spacing w:after="120" w:line="276" w:lineRule="auto"/>
        <w:contextualSpacing w:val="0"/>
        <w:rPr>
          <w:sz w:val="24"/>
          <w:szCs w:val="24"/>
        </w:rPr>
      </w:pPr>
      <w:r w:rsidRPr="00E76EE7">
        <w:rPr>
          <w:sz w:val="24"/>
          <w:szCs w:val="24"/>
        </w:rPr>
        <w:t xml:space="preserve">wprowadzenie do systemu prawa gospodarczego „prawa do aklimatyzacji”, polegającego na ustanowieniu dodatkowego czasu dla </w:t>
      </w:r>
      <w:r w:rsidR="00412815">
        <w:rPr>
          <w:sz w:val="24"/>
          <w:szCs w:val="24"/>
        </w:rPr>
        <w:t>MŚP</w:t>
      </w:r>
      <w:r w:rsidRPr="00E76EE7">
        <w:rPr>
          <w:sz w:val="24"/>
          <w:szCs w:val="24"/>
        </w:rPr>
        <w:t xml:space="preserve"> na oswojenie się z</w:t>
      </w:r>
      <w:r w:rsidR="00412815">
        <w:rPr>
          <w:sz w:val="24"/>
          <w:szCs w:val="24"/>
        </w:rPr>
        <w:t> </w:t>
      </w:r>
      <w:r w:rsidRPr="00E76EE7">
        <w:rPr>
          <w:sz w:val="24"/>
          <w:szCs w:val="24"/>
        </w:rPr>
        <w:t>nową regulacją</w:t>
      </w:r>
      <w:r w:rsidR="001C6A63">
        <w:rPr>
          <w:sz w:val="24"/>
          <w:szCs w:val="24"/>
        </w:rPr>
        <w:t xml:space="preserve"> i na</w:t>
      </w:r>
      <w:r w:rsidRPr="00E76EE7">
        <w:rPr>
          <w:sz w:val="24"/>
          <w:szCs w:val="24"/>
        </w:rPr>
        <w:t xml:space="preserve"> wytworzeni</w:t>
      </w:r>
      <w:r w:rsidR="001C6A63">
        <w:rPr>
          <w:sz w:val="24"/>
          <w:szCs w:val="24"/>
        </w:rPr>
        <w:t>e</w:t>
      </w:r>
      <w:r w:rsidRPr="00E76EE7">
        <w:rPr>
          <w:sz w:val="24"/>
          <w:szCs w:val="24"/>
        </w:rPr>
        <w:t xml:space="preserve"> się praktyki stosowania przepisu</w:t>
      </w:r>
      <w:r w:rsidR="006E0012">
        <w:rPr>
          <w:sz w:val="24"/>
          <w:szCs w:val="24"/>
        </w:rPr>
        <w:t>;</w:t>
      </w:r>
    </w:p>
    <w:p w14:paraId="423AD82C" w14:textId="36ABD7FF" w:rsidR="00226B14" w:rsidRDefault="00226B14" w:rsidP="00124F38">
      <w:pPr>
        <w:pStyle w:val="Akapitzlist"/>
        <w:numPr>
          <w:ilvl w:val="0"/>
          <w:numId w:val="10"/>
        </w:numPr>
        <w:suppressAutoHyphens/>
        <w:autoSpaceDN w:val="0"/>
        <w:spacing w:after="120" w:line="276" w:lineRule="auto"/>
        <w:contextualSpacing w:val="0"/>
        <w:textAlignment w:val="baseline"/>
        <w:rPr>
          <w:rFonts w:cs="Arial"/>
          <w:bCs/>
          <w:sz w:val="24"/>
          <w:szCs w:val="24"/>
        </w:rPr>
      </w:pPr>
      <w:r>
        <w:rPr>
          <w:rFonts w:cs="Arial"/>
          <w:bCs/>
          <w:sz w:val="24"/>
          <w:szCs w:val="24"/>
        </w:rPr>
        <w:t>rozszerzenie dopuszczalności postaci elektronicznej oraz formy dokumentowej dla zawierania umów i prowadzenia dokumentacji w obrocie gospodarczym, w</w:t>
      </w:r>
      <w:r w:rsidR="00456308">
        <w:rPr>
          <w:rFonts w:cs="Arial"/>
          <w:bCs/>
          <w:sz w:val="24"/>
          <w:szCs w:val="24"/>
        </w:rPr>
        <w:t> </w:t>
      </w:r>
      <w:r>
        <w:rPr>
          <w:rFonts w:cs="Arial"/>
          <w:bCs/>
          <w:sz w:val="24"/>
          <w:szCs w:val="24"/>
        </w:rPr>
        <w:t>celu uproszczenia wymogów prawnych, zwiększenia efektywności procedur i</w:t>
      </w:r>
      <w:r w:rsidR="00456308">
        <w:rPr>
          <w:rFonts w:cs="Arial"/>
          <w:bCs/>
          <w:sz w:val="24"/>
          <w:szCs w:val="24"/>
        </w:rPr>
        <w:t> </w:t>
      </w:r>
      <w:r>
        <w:rPr>
          <w:rFonts w:cs="Arial"/>
          <w:bCs/>
          <w:sz w:val="24"/>
          <w:szCs w:val="24"/>
        </w:rPr>
        <w:t>dostosowania regulacji do realiów cyfrowych;</w:t>
      </w:r>
    </w:p>
    <w:p w14:paraId="4BE73632" w14:textId="0C5FE50D" w:rsidR="00B908E0" w:rsidRDefault="00226B14" w:rsidP="00124F38">
      <w:pPr>
        <w:pStyle w:val="Akapitzlist"/>
        <w:numPr>
          <w:ilvl w:val="0"/>
          <w:numId w:val="10"/>
        </w:numPr>
        <w:suppressAutoHyphens/>
        <w:autoSpaceDN w:val="0"/>
        <w:spacing w:after="120" w:line="276" w:lineRule="auto"/>
        <w:contextualSpacing w:val="0"/>
        <w:textAlignment w:val="baseline"/>
        <w:rPr>
          <w:rFonts w:cs="Arial"/>
          <w:bCs/>
          <w:sz w:val="24"/>
          <w:szCs w:val="24"/>
        </w:rPr>
      </w:pPr>
      <w:r>
        <w:rPr>
          <w:rFonts w:cs="Arial"/>
          <w:bCs/>
          <w:sz w:val="24"/>
          <w:szCs w:val="24"/>
        </w:rPr>
        <w:t>uelastycznienie wybranych sankcji administracyjnych poprzez wprowadzenie rozwiązań ograniczających ich sztywność i automatyzm, tak aby stosowane środki były bardziej adekwatne do charakteru naruszenia i zapewniały proporcjonalność ich stosowania</w:t>
      </w:r>
      <w:r w:rsidR="006E0012">
        <w:rPr>
          <w:rFonts w:cs="Arial"/>
          <w:bCs/>
          <w:sz w:val="24"/>
          <w:szCs w:val="24"/>
        </w:rPr>
        <w:t>;</w:t>
      </w:r>
    </w:p>
    <w:p w14:paraId="6FC3D0EB" w14:textId="55E2DC38" w:rsidR="00226B14" w:rsidRPr="00456308" w:rsidRDefault="00B908E0" w:rsidP="00124F38">
      <w:pPr>
        <w:pStyle w:val="Akapitzlist"/>
        <w:numPr>
          <w:ilvl w:val="0"/>
          <w:numId w:val="10"/>
        </w:numPr>
        <w:suppressAutoHyphens/>
        <w:autoSpaceDN w:val="0"/>
        <w:spacing w:after="120" w:line="276" w:lineRule="auto"/>
        <w:contextualSpacing w:val="0"/>
        <w:textAlignment w:val="baseline"/>
        <w:rPr>
          <w:rFonts w:cs="Arial"/>
          <w:bCs/>
          <w:sz w:val="24"/>
          <w:szCs w:val="24"/>
        </w:rPr>
      </w:pPr>
      <w:r w:rsidRPr="00B908E0">
        <w:rPr>
          <w:rFonts w:cs="Arial"/>
          <w:bCs/>
          <w:sz w:val="24"/>
          <w:szCs w:val="24"/>
        </w:rPr>
        <w:t>zapewnienie publikowania przystępnych informacji o nowych obowiązkach związanych z prowadzeniem działalności gospodarczej przed rozpoczęciem obowiązywania przepisów w tym zakresie, w celu zapewnienia bardziej przewidywalnego i przyjaznego otoczenia prawnego dla przedsiębiorców</w:t>
      </w:r>
      <w:r w:rsidR="006E0012">
        <w:rPr>
          <w:rFonts w:cs="Arial"/>
          <w:bCs/>
          <w:sz w:val="24"/>
          <w:szCs w:val="24"/>
        </w:rPr>
        <w:t>.</w:t>
      </w:r>
    </w:p>
    <w:p w14:paraId="28588A16" w14:textId="77777777" w:rsidR="00FF43A8" w:rsidRDefault="00AF4739" w:rsidP="00507E99">
      <w:pPr>
        <w:spacing w:after="120" w:line="276" w:lineRule="auto"/>
        <w:jc w:val="both"/>
        <w:rPr>
          <w:sz w:val="24"/>
          <w:szCs w:val="24"/>
        </w:rPr>
      </w:pPr>
      <w:r w:rsidRPr="009576D8">
        <w:rPr>
          <w:b/>
          <w:bCs/>
          <w:sz w:val="24"/>
          <w:szCs w:val="24"/>
        </w:rPr>
        <w:t>Minister właściwy do spraw rolnictwa, rozwoju wsi, rynków rolnych i rybołówstwa</w:t>
      </w:r>
      <w:r w:rsidR="009D3BE4" w:rsidRPr="009576D8">
        <w:rPr>
          <w:sz w:val="24"/>
          <w:szCs w:val="24"/>
        </w:rPr>
        <w:t xml:space="preserve"> </w:t>
      </w:r>
    </w:p>
    <w:p w14:paraId="59F0FE9C" w14:textId="40701EC0" w:rsidR="009D3BE4" w:rsidRPr="007123DB" w:rsidRDefault="00062DD2" w:rsidP="00124F38">
      <w:pPr>
        <w:pStyle w:val="Akapitzlist"/>
        <w:numPr>
          <w:ilvl w:val="0"/>
          <w:numId w:val="15"/>
        </w:numPr>
        <w:spacing w:after="120" w:line="276" w:lineRule="auto"/>
        <w:rPr>
          <w:sz w:val="24"/>
          <w:szCs w:val="24"/>
        </w:rPr>
      </w:pPr>
      <w:r w:rsidRPr="007123DB">
        <w:rPr>
          <w:sz w:val="24"/>
          <w:szCs w:val="24"/>
        </w:rPr>
        <w:t>zamieni</w:t>
      </w:r>
      <w:r w:rsidR="009D3BE4" w:rsidRPr="007123DB">
        <w:rPr>
          <w:sz w:val="24"/>
          <w:szCs w:val="24"/>
        </w:rPr>
        <w:t xml:space="preserve"> </w:t>
      </w:r>
      <w:r w:rsidRPr="007123DB">
        <w:rPr>
          <w:sz w:val="24"/>
          <w:szCs w:val="24"/>
        </w:rPr>
        <w:t xml:space="preserve">obowiązujące </w:t>
      </w:r>
      <w:r w:rsidR="009C6C2F" w:rsidRPr="007123DB">
        <w:rPr>
          <w:sz w:val="24"/>
          <w:szCs w:val="24"/>
        </w:rPr>
        <w:t xml:space="preserve">przepisy karne </w:t>
      </w:r>
      <w:r w:rsidR="009D3BE4" w:rsidRPr="007123DB">
        <w:rPr>
          <w:sz w:val="24"/>
          <w:szCs w:val="24"/>
        </w:rPr>
        <w:t>o charakterze kryminalnym na administracyjne kary pieniężne w obszarze art. 27 i wybranych przepisów art. 27a ustawy o rybactwie</w:t>
      </w:r>
      <w:r w:rsidR="00E6075B" w:rsidRPr="007123DB">
        <w:rPr>
          <w:sz w:val="24"/>
          <w:szCs w:val="24"/>
        </w:rPr>
        <w:t xml:space="preserve"> śródlądowym</w:t>
      </w:r>
      <w:r w:rsidR="00E6075B" w:rsidRPr="009576D8">
        <w:rPr>
          <w:rStyle w:val="Odwoanieprzypisudolnego"/>
          <w:sz w:val="24"/>
          <w:szCs w:val="24"/>
        </w:rPr>
        <w:footnoteReference w:id="33"/>
      </w:r>
      <w:r w:rsidR="009D3BE4" w:rsidRPr="007123DB">
        <w:rPr>
          <w:sz w:val="24"/>
          <w:szCs w:val="24"/>
        </w:rPr>
        <w:t>.</w:t>
      </w:r>
    </w:p>
    <w:p w14:paraId="4A49EFF5" w14:textId="120A5D12" w:rsidR="009C6C2F" w:rsidRDefault="007431A1" w:rsidP="00507E99">
      <w:pPr>
        <w:spacing w:after="120" w:line="276" w:lineRule="auto"/>
        <w:jc w:val="both"/>
        <w:rPr>
          <w:sz w:val="24"/>
          <w:szCs w:val="24"/>
        </w:rPr>
      </w:pPr>
      <w:r>
        <w:rPr>
          <w:b/>
          <w:bCs/>
          <w:sz w:val="24"/>
          <w:szCs w:val="24"/>
        </w:rPr>
        <w:t>Minister</w:t>
      </w:r>
      <w:r w:rsidRPr="009576D8">
        <w:rPr>
          <w:b/>
          <w:bCs/>
          <w:sz w:val="24"/>
          <w:szCs w:val="24"/>
        </w:rPr>
        <w:t xml:space="preserve"> </w:t>
      </w:r>
      <w:r w:rsidR="005369BD" w:rsidRPr="009576D8">
        <w:rPr>
          <w:b/>
          <w:bCs/>
          <w:sz w:val="24"/>
          <w:szCs w:val="24"/>
        </w:rPr>
        <w:t>właściwy do spraw</w:t>
      </w:r>
      <w:r w:rsidR="00D365B9" w:rsidRPr="009576D8">
        <w:rPr>
          <w:b/>
          <w:bCs/>
          <w:sz w:val="24"/>
          <w:szCs w:val="24"/>
        </w:rPr>
        <w:t xml:space="preserve"> </w:t>
      </w:r>
      <w:r w:rsidR="00E04AA9" w:rsidRPr="009576D8">
        <w:rPr>
          <w:b/>
          <w:bCs/>
          <w:sz w:val="24"/>
          <w:szCs w:val="24"/>
        </w:rPr>
        <w:t>zabezpieczenia społecznego, rodziny i pracy</w:t>
      </w:r>
      <w:r w:rsidR="009C6C2F">
        <w:rPr>
          <w:sz w:val="24"/>
          <w:szCs w:val="24"/>
        </w:rPr>
        <w:t>:</w:t>
      </w:r>
    </w:p>
    <w:p w14:paraId="71F8A19D" w14:textId="6A550825" w:rsidR="00D365B9" w:rsidRPr="009576D8" w:rsidRDefault="00E04AA9" w:rsidP="00124F38">
      <w:pPr>
        <w:pStyle w:val="Akapitzlist"/>
        <w:numPr>
          <w:ilvl w:val="0"/>
          <w:numId w:val="11"/>
        </w:numPr>
        <w:spacing w:after="120" w:line="276" w:lineRule="auto"/>
        <w:contextualSpacing w:val="0"/>
        <w:rPr>
          <w:sz w:val="24"/>
          <w:szCs w:val="24"/>
        </w:rPr>
      </w:pPr>
      <w:r w:rsidRPr="009576D8">
        <w:rPr>
          <w:sz w:val="24"/>
          <w:szCs w:val="24"/>
        </w:rPr>
        <w:t>przygotuje</w:t>
      </w:r>
      <w:r w:rsidR="00D365B9" w:rsidRPr="009576D8">
        <w:rPr>
          <w:sz w:val="24"/>
          <w:szCs w:val="24"/>
        </w:rPr>
        <w:t xml:space="preserve"> </w:t>
      </w:r>
      <w:r w:rsidRPr="009576D8">
        <w:rPr>
          <w:sz w:val="24"/>
          <w:szCs w:val="24"/>
        </w:rPr>
        <w:t>nowelizację</w:t>
      </w:r>
      <w:r w:rsidR="00D365B9" w:rsidRPr="009576D8">
        <w:rPr>
          <w:sz w:val="24"/>
          <w:szCs w:val="24"/>
        </w:rPr>
        <w:t xml:space="preserve"> ustawy o świadczeniach pieniężnych z ubezpieczenia społecznego w razie choroby i macierzyństwa</w:t>
      </w:r>
      <w:r w:rsidRPr="009576D8">
        <w:rPr>
          <w:rStyle w:val="Odwoanieprzypisudolnego"/>
          <w:sz w:val="24"/>
          <w:szCs w:val="24"/>
        </w:rPr>
        <w:footnoteReference w:id="34"/>
      </w:r>
      <w:r w:rsidRPr="009576D8">
        <w:rPr>
          <w:sz w:val="24"/>
          <w:szCs w:val="24"/>
        </w:rPr>
        <w:t xml:space="preserve">, </w:t>
      </w:r>
      <w:r w:rsidR="00AE0513" w:rsidRPr="009576D8">
        <w:rPr>
          <w:sz w:val="24"/>
          <w:szCs w:val="24"/>
        </w:rPr>
        <w:t xml:space="preserve">prowadzącą do </w:t>
      </w:r>
      <w:r w:rsidR="00D365B9" w:rsidRPr="009576D8">
        <w:rPr>
          <w:sz w:val="24"/>
          <w:szCs w:val="24"/>
        </w:rPr>
        <w:t xml:space="preserve">elektronizacji </w:t>
      </w:r>
      <w:r w:rsidR="009C6C2F" w:rsidRPr="009576D8">
        <w:rPr>
          <w:sz w:val="24"/>
          <w:szCs w:val="24"/>
        </w:rPr>
        <w:t>i</w:t>
      </w:r>
      <w:r w:rsidR="009C6C2F">
        <w:rPr>
          <w:sz w:val="24"/>
          <w:szCs w:val="24"/>
        </w:rPr>
        <w:t> </w:t>
      </w:r>
      <w:r w:rsidR="00D365B9" w:rsidRPr="009576D8">
        <w:rPr>
          <w:sz w:val="24"/>
          <w:szCs w:val="24"/>
        </w:rPr>
        <w:t xml:space="preserve">uproszczenia zasad w zakresie składania wniosków o zasiłki z ubezpieczenia chorobowego, a także </w:t>
      </w:r>
      <w:r w:rsidR="00AE0513" w:rsidRPr="009576D8">
        <w:rPr>
          <w:sz w:val="24"/>
          <w:szCs w:val="24"/>
        </w:rPr>
        <w:t>doprecyzowującą</w:t>
      </w:r>
      <w:r w:rsidR="00D365B9" w:rsidRPr="009576D8">
        <w:rPr>
          <w:sz w:val="24"/>
          <w:szCs w:val="24"/>
        </w:rPr>
        <w:t xml:space="preserve"> formę składania załączników do</w:t>
      </w:r>
      <w:r w:rsidR="006C207B">
        <w:rPr>
          <w:sz w:val="24"/>
          <w:szCs w:val="24"/>
        </w:rPr>
        <w:t> </w:t>
      </w:r>
      <w:r w:rsidR="00D365B9" w:rsidRPr="009576D8">
        <w:rPr>
          <w:sz w:val="24"/>
          <w:szCs w:val="24"/>
        </w:rPr>
        <w:t>wniosków o zasiłki</w:t>
      </w:r>
      <w:r w:rsidR="009C6C2F" w:rsidRPr="009576D8">
        <w:rPr>
          <w:sz w:val="24"/>
          <w:szCs w:val="24"/>
        </w:rPr>
        <w:t>;</w:t>
      </w:r>
      <w:r w:rsidR="00D365B9" w:rsidRPr="009576D8">
        <w:rPr>
          <w:sz w:val="24"/>
          <w:szCs w:val="24"/>
        </w:rPr>
        <w:t xml:space="preserve"> </w:t>
      </w:r>
    </w:p>
    <w:p w14:paraId="1099B0D2" w14:textId="2BD4BEA2" w:rsidR="00EE6260" w:rsidRDefault="00062DD2" w:rsidP="00124F38">
      <w:pPr>
        <w:pStyle w:val="Akapitzlist"/>
        <w:numPr>
          <w:ilvl w:val="0"/>
          <w:numId w:val="11"/>
        </w:numPr>
        <w:spacing w:after="120" w:line="276" w:lineRule="auto"/>
        <w:contextualSpacing w:val="0"/>
        <w:rPr>
          <w:sz w:val="24"/>
          <w:szCs w:val="24"/>
        </w:rPr>
      </w:pPr>
      <w:r w:rsidRPr="009576D8">
        <w:rPr>
          <w:sz w:val="24"/>
          <w:szCs w:val="24"/>
        </w:rPr>
        <w:t xml:space="preserve">ograniczy obowiązki </w:t>
      </w:r>
      <w:r w:rsidR="00FC3B1E" w:rsidRPr="009576D8">
        <w:rPr>
          <w:sz w:val="24"/>
          <w:szCs w:val="24"/>
        </w:rPr>
        <w:t xml:space="preserve">płatników składek, w tym przedsiębiorców, </w:t>
      </w:r>
      <w:r w:rsidR="00D4793B" w:rsidRPr="009576D8">
        <w:rPr>
          <w:sz w:val="24"/>
          <w:szCs w:val="24"/>
        </w:rPr>
        <w:t>w stosunku do</w:t>
      </w:r>
      <w:r w:rsidR="006C207B">
        <w:rPr>
          <w:sz w:val="24"/>
          <w:szCs w:val="24"/>
        </w:rPr>
        <w:t> </w:t>
      </w:r>
      <w:r w:rsidR="00D4793B" w:rsidRPr="009576D8">
        <w:rPr>
          <w:sz w:val="24"/>
          <w:szCs w:val="24"/>
        </w:rPr>
        <w:t xml:space="preserve">Zakładu Ubezpieczeń Społecznych, a także </w:t>
      </w:r>
      <w:r w:rsidR="00FC3B1E" w:rsidRPr="009576D8">
        <w:rPr>
          <w:sz w:val="24"/>
          <w:szCs w:val="24"/>
        </w:rPr>
        <w:t>upr</w:t>
      </w:r>
      <w:r w:rsidRPr="009576D8">
        <w:rPr>
          <w:sz w:val="24"/>
          <w:szCs w:val="24"/>
        </w:rPr>
        <w:t xml:space="preserve">ości </w:t>
      </w:r>
      <w:r w:rsidR="00FC3B1E" w:rsidRPr="009576D8">
        <w:rPr>
          <w:sz w:val="24"/>
          <w:szCs w:val="24"/>
        </w:rPr>
        <w:t>procedur</w:t>
      </w:r>
      <w:r w:rsidRPr="009576D8">
        <w:rPr>
          <w:sz w:val="24"/>
          <w:szCs w:val="24"/>
        </w:rPr>
        <w:t xml:space="preserve">y związane </w:t>
      </w:r>
      <w:r w:rsidR="00FC3B1E" w:rsidRPr="009576D8">
        <w:rPr>
          <w:sz w:val="24"/>
          <w:szCs w:val="24"/>
        </w:rPr>
        <w:t>ze</w:t>
      </w:r>
      <w:r w:rsidR="006C207B">
        <w:rPr>
          <w:sz w:val="24"/>
          <w:szCs w:val="24"/>
        </w:rPr>
        <w:t> </w:t>
      </w:r>
      <w:r w:rsidR="00FC3B1E" w:rsidRPr="009576D8">
        <w:rPr>
          <w:sz w:val="24"/>
          <w:szCs w:val="24"/>
        </w:rPr>
        <w:t xml:space="preserve">sporządzaniem i przekazywaniem do ZUS dokumentów ubezpieczeniowych </w:t>
      </w:r>
      <w:r w:rsidR="00FC3B1E" w:rsidRPr="009576D8">
        <w:rPr>
          <w:sz w:val="24"/>
          <w:szCs w:val="24"/>
        </w:rPr>
        <w:lastRenderedPageBreak/>
        <w:t>oraz eliminacj</w:t>
      </w:r>
      <w:r w:rsidR="00BC636F" w:rsidRPr="009576D8">
        <w:rPr>
          <w:sz w:val="24"/>
          <w:szCs w:val="24"/>
        </w:rPr>
        <w:t>ę</w:t>
      </w:r>
      <w:r w:rsidR="00FC3B1E" w:rsidRPr="009576D8">
        <w:rPr>
          <w:sz w:val="24"/>
          <w:szCs w:val="24"/>
        </w:rPr>
        <w:t xml:space="preserve"> powielania danych, które są już dostępne w systemie informatycznym ZUS</w:t>
      </w:r>
      <w:r w:rsidR="00BC636F" w:rsidRPr="009576D8">
        <w:rPr>
          <w:rStyle w:val="Odwoanieprzypisudolnego"/>
          <w:sz w:val="24"/>
          <w:szCs w:val="24"/>
        </w:rPr>
        <w:footnoteReference w:id="35"/>
      </w:r>
      <w:r w:rsidR="000D5756">
        <w:rPr>
          <w:sz w:val="24"/>
          <w:szCs w:val="24"/>
        </w:rPr>
        <w:t>.</w:t>
      </w:r>
    </w:p>
    <w:p w14:paraId="2032BBEC" w14:textId="04B58A0F" w:rsidR="009C6C2F" w:rsidRDefault="006C42E5" w:rsidP="00507E99">
      <w:pPr>
        <w:spacing w:after="120" w:line="276" w:lineRule="auto"/>
        <w:jc w:val="both"/>
        <w:rPr>
          <w:sz w:val="24"/>
          <w:szCs w:val="24"/>
        </w:rPr>
      </w:pPr>
      <w:r w:rsidRPr="009576D8">
        <w:rPr>
          <w:b/>
          <w:bCs/>
          <w:sz w:val="24"/>
          <w:szCs w:val="24"/>
        </w:rPr>
        <w:t xml:space="preserve">Minister </w:t>
      </w:r>
      <w:r w:rsidR="009C6C2F" w:rsidRPr="009576D8">
        <w:rPr>
          <w:b/>
          <w:bCs/>
          <w:sz w:val="24"/>
          <w:szCs w:val="24"/>
        </w:rPr>
        <w:t>S</w:t>
      </w:r>
      <w:r w:rsidR="008603A8" w:rsidRPr="009576D8">
        <w:rPr>
          <w:b/>
          <w:bCs/>
          <w:sz w:val="24"/>
          <w:szCs w:val="24"/>
        </w:rPr>
        <w:t>prawiedliwości</w:t>
      </w:r>
      <w:r w:rsidR="008603A8" w:rsidRPr="009576D8">
        <w:rPr>
          <w:sz w:val="24"/>
          <w:szCs w:val="24"/>
        </w:rPr>
        <w:t xml:space="preserve"> </w:t>
      </w:r>
      <w:r w:rsidR="00980A3D" w:rsidRPr="009576D8">
        <w:rPr>
          <w:sz w:val="24"/>
          <w:szCs w:val="24"/>
        </w:rPr>
        <w:t>przygotuje</w:t>
      </w:r>
      <w:r w:rsidR="009C6C2F">
        <w:rPr>
          <w:sz w:val="24"/>
          <w:szCs w:val="24"/>
        </w:rPr>
        <w:t>:</w:t>
      </w:r>
    </w:p>
    <w:p w14:paraId="7E163BD6" w14:textId="150D82B0" w:rsidR="00E76023" w:rsidRPr="009576D8" w:rsidRDefault="00980A3D" w:rsidP="00124F38">
      <w:pPr>
        <w:pStyle w:val="Akapitzlist"/>
        <w:numPr>
          <w:ilvl w:val="0"/>
          <w:numId w:val="12"/>
        </w:numPr>
        <w:spacing w:after="120" w:line="276" w:lineRule="auto"/>
        <w:contextualSpacing w:val="0"/>
        <w:rPr>
          <w:sz w:val="24"/>
          <w:szCs w:val="24"/>
        </w:rPr>
      </w:pPr>
      <w:r w:rsidRPr="009576D8">
        <w:rPr>
          <w:sz w:val="24"/>
          <w:szCs w:val="24"/>
        </w:rPr>
        <w:t>nowelizację ustawy o</w:t>
      </w:r>
      <w:r w:rsidR="00E76023" w:rsidRPr="009576D8">
        <w:rPr>
          <w:sz w:val="24"/>
          <w:szCs w:val="24"/>
        </w:rPr>
        <w:t xml:space="preserve"> Krajowym Rejestrze Sądowym</w:t>
      </w:r>
      <w:r w:rsidRPr="009576D8">
        <w:rPr>
          <w:rStyle w:val="Odwoanieprzypisudolnego"/>
          <w:sz w:val="24"/>
          <w:szCs w:val="24"/>
        </w:rPr>
        <w:footnoteReference w:id="36"/>
      </w:r>
      <w:r w:rsidR="006F4381" w:rsidRPr="009576D8">
        <w:rPr>
          <w:sz w:val="24"/>
          <w:szCs w:val="24"/>
        </w:rPr>
        <w:t>, która</w:t>
      </w:r>
      <w:r w:rsidR="00E76023" w:rsidRPr="009576D8">
        <w:rPr>
          <w:sz w:val="24"/>
          <w:szCs w:val="24"/>
        </w:rPr>
        <w:t xml:space="preserve"> </w:t>
      </w:r>
      <w:r w:rsidR="006F4381" w:rsidRPr="009576D8">
        <w:rPr>
          <w:sz w:val="24"/>
          <w:szCs w:val="24"/>
        </w:rPr>
        <w:t>wprowadzi unijny certyfikat</w:t>
      </w:r>
      <w:r w:rsidR="00E76023" w:rsidRPr="009576D8">
        <w:rPr>
          <w:sz w:val="24"/>
          <w:szCs w:val="24"/>
        </w:rPr>
        <w:t xml:space="preserve"> spółki</w:t>
      </w:r>
      <w:r w:rsidR="006F4381" w:rsidRPr="009576D8">
        <w:rPr>
          <w:sz w:val="24"/>
          <w:szCs w:val="24"/>
        </w:rPr>
        <w:t xml:space="preserve"> oraz </w:t>
      </w:r>
      <w:r w:rsidR="00E76023" w:rsidRPr="009576D8">
        <w:rPr>
          <w:sz w:val="24"/>
          <w:szCs w:val="24"/>
        </w:rPr>
        <w:t>unijne cyfrowe pełnomocnictw</w:t>
      </w:r>
      <w:r w:rsidR="006F4381" w:rsidRPr="009576D8">
        <w:rPr>
          <w:sz w:val="24"/>
          <w:szCs w:val="24"/>
        </w:rPr>
        <w:t>o</w:t>
      </w:r>
      <w:r w:rsidR="00E76023" w:rsidRPr="009576D8">
        <w:rPr>
          <w:sz w:val="24"/>
          <w:szCs w:val="24"/>
        </w:rPr>
        <w:t xml:space="preserve"> w celu tworzenia spółek, rejestracj</w:t>
      </w:r>
      <w:r w:rsidR="006F4381" w:rsidRPr="009576D8">
        <w:rPr>
          <w:sz w:val="24"/>
          <w:szCs w:val="24"/>
        </w:rPr>
        <w:t>i</w:t>
      </w:r>
      <w:r w:rsidR="00E76023" w:rsidRPr="009576D8">
        <w:rPr>
          <w:sz w:val="24"/>
          <w:szCs w:val="24"/>
        </w:rPr>
        <w:t xml:space="preserve"> lub zamykania oddziałów w innych państwach członkowskich UE oraz przeprowadzania transgranicznego przekształcania, łączenia i podziału spółek, </w:t>
      </w:r>
      <w:r w:rsidR="009C6C2F" w:rsidRPr="009576D8">
        <w:rPr>
          <w:sz w:val="24"/>
          <w:szCs w:val="24"/>
        </w:rPr>
        <w:t>a</w:t>
      </w:r>
      <w:r w:rsidR="009C6C2F">
        <w:rPr>
          <w:sz w:val="24"/>
          <w:szCs w:val="24"/>
        </w:rPr>
        <w:t> </w:t>
      </w:r>
      <w:r w:rsidR="006F4381" w:rsidRPr="009576D8">
        <w:rPr>
          <w:sz w:val="24"/>
          <w:szCs w:val="24"/>
        </w:rPr>
        <w:t xml:space="preserve">także </w:t>
      </w:r>
      <w:r w:rsidR="00E76023" w:rsidRPr="009576D8">
        <w:rPr>
          <w:sz w:val="24"/>
          <w:szCs w:val="24"/>
        </w:rPr>
        <w:t>uproszczeni</w:t>
      </w:r>
      <w:r w:rsidR="006F4381" w:rsidRPr="009576D8">
        <w:rPr>
          <w:sz w:val="24"/>
          <w:szCs w:val="24"/>
        </w:rPr>
        <w:t>a</w:t>
      </w:r>
      <w:r w:rsidR="00E76023" w:rsidRPr="009576D8">
        <w:rPr>
          <w:sz w:val="24"/>
          <w:szCs w:val="24"/>
        </w:rPr>
        <w:t xml:space="preserve"> działań spółek w wymiarze transgranicznym poprzez eliminację konieczności przedstawiania dodatkowych dokumentów przy zakładani</w:t>
      </w:r>
      <w:r w:rsidR="006F4381" w:rsidRPr="009576D8">
        <w:rPr>
          <w:sz w:val="24"/>
          <w:szCs w:val="24"/>
        </w:rPr>
        <w:t>u</w:t>
      </w:r>
      <w:r w:rsidR="00E76023" w:rsidRPr="009576D8">
        <w:rPr>
          <w:sz w:val="24"/>
          <w:szCs w:val="24"/>
        </w:rPr>
        <w:t xml:space="preserve"> oddziałów czy przenoszeni</w:t>
      </w:r>
      <w:r w:rsidR="006F4381" w:rsidRPr="009576D8">
        <w:rPr>
          <w:sz w:val="24"/>
          <w:szCs w:val="24"/>
        </w:rPr>
        <w:t>u</w:t>
      </w:r>
      <w:r w:rsidR="00E76023" w:rsidRPr="009576D8">
        <w:rPr>
          <w:sz w:val="24"/>
          <w:szCs w:val="24"/>
        </w:rPr>
        <w:t xml:space="preserve"> siedziby do innego państwa członkowskiego UE</w:t>
      </w:r>
      <w:r w:rsidR="000451FD">
        <w:rPr>
          <w:sz w:val="24"/>
          <w:szCs w:val="24"/>
        </w:rPr>
        <w:t>;</w:t>
      </w:r>
    </w:p>
    <w:p w14:paraId="3BEF4481" w14:textId="0877D49B" w:rsidR="002C0334" w:rsidRPr="009576D8" w:rsidRDefault="00062DD2" w:rsidP="00124F38">
      <w:pPr>
        <w:pStyle w:val="Akapitzlist"/>
        <w:numPr>
          <w:ilvl w:val="0"/>
          <w:numId w:val="12"/>
        </w:numPr>
        <w:spacing w:after="120" w:line="276" w:lineRule="auto"/>
        <w:contextualSpacing w:val="0"/>
        <w:rPr>
          <w:sz w:val="24"/>
          <w:szCs w:val="24"/>
        </w:rPr>
      </w:pPr>
      <w:r w:rsidRPr="009576D8">
        <w:rPr>
          <w:sz w:val="24"/>
          <w:szCs w:val="24"/>
        </w:rPr>
        <w:t>opracuje</w:t>
      </w:r>
      <w:r w:rsidR="00E76023" w:rsidRPr="009576D8">
        <w:rPr>
          <w:sz w:val="24"/>
          <w:szCs w:val="24"/>
        </w:rPr>
        <w:t xml:space="preserve"> zmian</w:t>
      </w:r>
      <w:r w:rsidRPr="009576D8">
        <w:rPr>
          <w:sz w:val="24"/>
          <w:szCs w:val="24"/>
        </w:rPr>
        <w:t>y</w:t>
      </w:r>
      <w:r w:rsidR="00E76023" w:rsidRPr="009576D8">
        <w:rPr>
          <w:sz w:val="24"/>
          <w:szCs w:val="24"/>
        </w:rPr>
        <w:t xml:space="preserve"> </w:t>
      </w:r>
      <w:r w:rsidR="0054508F" w:rsidRPr="009576D8">
        <w:rPr>
          <w:sz w:val="24"/>
          <w:szCs w:val="24"/>
        </w:rPr>
        <w:t>do</w:t>
      </w:r>
      <w:r w:rsidR="00E76023" w:rsidRPr="009576D8">
        <w:rPr>
          <w:sz w:val="24"/>
          <w:szCs w:val="24"/>
        </w:rPr>
        <w:t xml:space="preserve"> Kodeks</w:t>
      </w:r>
      <w:r w:rsidR="0054508F" w:rsidRPr="009576D8">
        <w:rPr>
          <w:sz w:val="24"/>
          <w:szCs w:val="24"/>
        </w:rPr>
        <w:t>u</w:t>
      </w:r>
      <w:r w:rsidR="00E76023" w:rsidRPr="009576D8">
        <w:rPr>
          <w:sz w:val="24"/>
          <w:szCs w:val="24"/>
        </w:rPr>
        <w:t xml:space="preserve"> spółek handlowych</w:t>
      </w:r>
      <w:r w:rsidR="0054508F" w:rsidRPr="009576D8">
        <w:rPr>
          <w:rStyle w:val="Odwoanieprzypisudolnego"/>
          <w:sz w:val="24"/>
          <w:szCs w:val="24"/>
        </w:rPr>
        <w:footnoteReference w:id="37"/>
      </w:r>
      <w:r w:rsidR="00E76023" w:rsidRPr="009576D8">
        <w:rPr>
          <w:sz w:val="24"/>
          <w:szCs w:val="24"/>
        </w:rPr>
        <w:t xml:space="preserve">, które zwiększą maksymalną liczbę głosów przypadających na akcję uprzywilejowaną z dotychczasowych 2 do 5 głosów, a także umożliwią </w:t>
      </w:r>
      <w:r w:rsidR="00EE6C0A">
        <w:rPr>
          <w:sz w:val="24"/>
          <w:szCs w:val="24"/>
        </w:rPr>
        <w:t>u</w:t>
      </w:r>
      <w:r w:rsidR="00E76023" w:rsidRPr="009576D8">
        <w:rPr>
          <w:sz w:val="24"/>
          <w:szCs w:val="24"/>
        </w:rPr>
        <w:t>przywilejowanie głosu w zakresie akcjonariuszy spółek publicznych. Zmiany te mają na celu zapewnienie większej przejrzystości (dla inwestorów i kontrahentów) w zakresie prospektów emisyjnych, jak i</w:t>
      </w:r>
      <w:r w:rsidR="00C23D73">
        <w:rPr>
          <w:sz w:val="24"/>
          <w:szCs w:val="24"/>
        </w:rPr>
        <w:t> </w:t>
      </w:r>
      <w:r w:rsidR="00E76023" w:rsidRPr="009576D8">
        <w:rPr>
          <w:sz w:val="24"/>
          <w:szCs w:val="24"/>
        </w:rPr>
        <w:t>stosownych informacji zawieranych w sprawozdaniach finansowych spółki.</w:t>
      </w:r>
    </w:p>
    <w:p w14:paraId="26A16E72" w14:textId="77777777" w:rsidR="00FF43A8" w:rsidRDefault="002C0334" w:rsidP="00507E99">
      <w:pPr>
        <w:spacing w:after="120" w:line="276" w:lineRule="auto"/>
        <w:jc w:val="both"/>
        <w:rPr>
          <w:sz w:val="24"/>
          <w:szCs w:val="24"/>
        </w:rPr>
      </w:pPr>
      <w:r w:rsidRPr="009576D8">
        <w:rPr>
          <w:b/>
          <w:bCs/>
          <w:sz w:val="24"/>
          <w:szCs w:val="24"/>
        </w:rPr>
        <w:t>Minister właściwy do spraw zdrowia</w:t>
      </w:r>
      <w:r w:rsidR="00F02CE9" w:rsidRPr="009576D8">
        <w:rPr>
          <w:sz w:val="24"/>
          <w:szCs w:val="24"/>
        </w:rPr>
        <w:t xml:space="preserve"> </w:t>
      </w:r>
    </w:p>
    <w:p w14:paraId="18BEA536" w14:textId="53029F2D" w:rsidR="00F02CE9" w:rsidRPr="007123DB" w:rsidRDefault="00062DD2" w:rsidP="00124F38">
      <w:pPr>
        <w:pStyle w:val="Akapitzlist"/>
        <w:numPr>
          <w:ilvl w:val="0"/>
          <w:numId w:val="16"/>
        </w:numPr>
        <w:spacing w:after="120" w:line="276" w:lineRule="auto"/>
        <w:rPr>
          <w:sz w:val="24"/>
          <w:szCs w:val="24"/>
        </w:rPr>
      </w:pPr>
      <w:r w:rsidRPr="007123DB">
        <w:rPr>
          <w:sz w:val="24"/>
          <w:szCs w:val="24"/>
        </w:rPr>
        <w:t>zaproponuje</w:t>
      </w:r>
      <w:r w:rsidR="00F254BA" w:rsidRPr="007123DB">
        <w:rPr>
          <w:sz w:val="24"/>
          <w:szCs w:val="24"/>
        </w:rPr>
        <w:t xml:space="preserve"> katalog zwolnień w zakresie obowiązku uzyskania zezwolenia Prezesa Biura do spraw Substancji Chemicznych</w:t>
      </w:r>
      <w:r w:rsidR="00FF6801" w:rsidRPr="009576D8">
        <w:rPr>
          <w:rStyle w:val="Odwoanieprzypisudolnego"/>
          <w:sz w:val="24"/>
          <w:szCs w:val="24"/>
        </w:rPr>
        <w:footnoteReference w:id="38"/>
      </w:r>
      <w:r w:rsidR="00F254BA" w:rsidRPr="007123DB">
        <w:rPr>
          <w:sz w:val="24"/>
          <w:szCs w:val="24"/>
        </w:rPr>
        <w:t xml:space="preserve"> dla poszczególnych rodzajów produktów w</w:t>
      </w:r>
      <w:r w:rsidR="004831D4" w:rsidRPr="007123DB">
        <w:rPr>
          <w:sz w:val="24"/>
          <w:szCs w:val="24"/>
        </w:rPr>
        <w:t xml:space="preserve"> </w:t>
      </w:r>
      <w:r w:rsidR="00F254BA" w:rsidRPr="007123DB">
        <w:rPr>
          <w:sz w:val="24"/>
          <w:szCs w:val="24"/>
        </w:rPr>
        <w:t>zakresie nowych substancji psychoaktywnych.</w:t>
      </w:r>
    </w:p>
    <w:p w14:paraId="4444954C" w14:textId="4E57CAF9" w:rsidR="004831D4" w:rsidRPr="009576D8" w:rsidRDefault="004831D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3517EB" w:rsidRPr="009576D8">
        <w:rPr>
          <w:i/>
          <w:iCs/>
          <w:sz w:val="24"/>
          <w:szCs w:val="24"/>
        </w:rPr>
        <w:t>P</w:t>
      </w:r>
      <w:r w:rsidRPr="009576D8">
        <w:rPr>
          <w:i/>
          <w:iCs/>
          <w:sz w:val="24"/>
          <w:szCs w:val="24"/>
        </w:rPr>
        <w:t xml:space="preserve">rzygotowanie projektów </w:t>
      </w:r>
      <w:r w:rsidR="00955328" w:rsidRPr="009576D8">
        <w:rPr>
          <w:i/>
          <w:iCs/>
          <w:sz w:val="24"/>
          <w:szCs w:val="24"/>
        </w:rPr>
        <w:t>aktów prawnych</w:t>
      </w:r>
      <w:r w:rsidRPr="009576D8">
        <w:rPr>
          <w:i/>
          <w:iCs/>
          <w:sz w:val="24"/>
          <w:szCs w:val="24"/>
        </w:rPr>
        <w:t xml:space="preserve"> we wskazanych obszarach</w:t>
      </w:r>
      <w:r w:rsidRPr="009576D8">
        <w:rPr>
          <w:b/>
          <w:bCs/>
          <w:i/>
          <w:iCs/>
          <w:sz w:val="24"/>
          <w:szCs w:val="24"/>
        </w:rPr>
        <w:t xml:space="preserve"> </w:t>
      </w:r>
    </w:p>
    <w:p w14:paraId="0F7CF13F" w14:textId="77777777" w:rsidR="00494CE1" w:rsidRPr="009576D8" w:rsidRDefault="004831D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Realizacja: </w:t>
      </w:r>
      <w:r w:rsidR="00CC0130" w:rsidRPr="009576D8">
        <w:rPr>
          <w:i/>
          <w:iCs/>
          <w:sz w:val="24"/>
          <w:szCs w:val="24"/>
        </w:rPr>
        <w:t>właściwi ministrowie</w:t>
      </w:r>
    </w:p>
    <w:p w14:paraId="3E79F891" w14:textId="1912A433" w:rsidR="004831D4" w:rsidRPr="009576D8" w:rsidRDefault="004831D4" w:rsidP="00456308">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2028</w:t>
      </w:r>
    </w:p>
    <w:p w14:paraId="77B1D621" w14:textId="496AC3AB" w:rsidR="00494165" w:rsidRPr="009576D8" w:rsidRDefault="005B7502" w:rsidP="00124F38">
      <w:pPr>
        <w:pStyle w:val="Nagwek2"/>
        <w:rPr>
          <w:b/>
          <w:bCs/>
        </w:rPr>
      </w:pPr>
      <w:bookmarkStart w:id="44" w:name="_Toc217927145"/>
      <w:bookmarkStart w:id="45" w:name="_Toc219276865"/>
      <w:r w:rsidRPr="009576D8">
        <w:rPr>
          <w:b/>
          <w:bCs/>
        </w:rPr>
        <w:lastRenderedPageBreak/>
        <w:t xml:space="preserve">Priorytet </w:t>
      </w:r>
      <w:r w:rsidRPr="009576D8">
        <w:rPr>
          <w:b/>
          <w:bCs/>
        </w:rPr>
        <w:fldChar w:fldCharType="begin"/>
      </w:r>
      <w:r w:rsidRPr="009576D8">
        <w:rPr>
          <w:b/>
          <w:bCs/>
        </w:rPr>
        <w:instrText xml:space="preserve"> SEQ Priorytet \* ARABIC </w:instrText>
      </w:r>
      <w:r w:rsidRPr="009576D8">
        <w:rPr>
          <w:b/>
          <w:bCs/>
        </w:rPr>
        <w:fldChar w:fldCharType="separate"/>
      </w:r>
      <w:r w:rsidR="003B392D" w:rsidRPr="009576D8">
        <w:rPr>
          <w:b/>
          <w:bCs/>
        </w:rPr>
        <w:t>2</w:t>
      </w:r>
      <w:r w:rsidRPr="009576D8">
        <w:rPr>
          <w:b/>
          <w:bCs/>
        </w:rPr>
        <w:fldChar w:fldCharType="end"/>
      </w:r>
      <w:r w:rsidR="00365B66">
        <w:rPr>
          <w:b/>
          <w:bCs/>
        </w:rPr>
        <w:t xml:space="preserve"> </w:t>
      </w:r>
      <w:r w:rsidR="001B7C19" w:rsidRPr="009576D8">
        <w:rPr>
          <w:b/>
          <w:bCs/>
        </w:rPr>
        <w:t>–</w:t>
      </w:r>
      <w:r w:rsidR="00494165" w:rsidRPr="009576D8">
        <w:rPr>
          <w:b/>
          <w:bCs/>
        </w:rPr>
        <w:t xml:space="preserve"> Upowszechnianie zasady równoważenia obowiązków administracyjnych</w:t>
      </w:r>
      <w:bookmarkEnd w:id="44"/>
      <w:bookmarkEnd w:id="45"/>
    </w:p>
    <w:p w14:paraId="2F441E43" w14:textId="6A4A785D" w:rsidR="00266A17" w:rsidRPr="009576D8" w:rsidRDefault="00494165" w:rsidP="00124F38">
      <w:pPr>
        <w:spacing w:after="120" w:line="276" w:lineRule="auto"/>
        <w:rPr>
          <w:sz w:val="24"/>
          <w:szCs w:val="24"/>
        </w:rPr>
      </w:pPr>
      <w:r w:rsidRPr="009576D8">
        <w:rPr>
          <w:sz w:val="24"/>
          <w:szCs w:val="24"/>
        </w:rPr>
        <w:t xml:space="preserve">Zasada równoważenia obowiązków administracyjnych </w:t>
      </w:r>
      <w:r w:rsidR="00494CE1" w:rsidRPr="009576D8">
        <w:rPr>
          <w:sz w:val="24"/>
          <w:szCs w:val="24"/>
        </w:rPr>
        <w:t xml:space="preserve">(zwana zasadą „jeden za jeden”) </w:t>
      </w:r>
      <w:r w:rsidRPr="009576D8">
        <w:rPr>
          <w:sz w:val="24"/>
          <w:szCs w:val="24"/>
        </w:rPr>
        <w:t>została wprowadzona nowelizacją Praw</w:t>
      </w:r>
      <w:r w:rsidR="00D14E18" w:rsidRPr="009576D8">
        <w:rPr>
          <w:sz w:val="24"/>
          <w:szCs w:val="24"/>
        </w:rPr>
        <w:t>a</w:t>
      </w:r>
      <w:r w:rsidRPr="009576D8">
        <w:rPr>
          <w:sz w:val="24"/>
          <w:szCs w:val="24"/>
        </w:rPr>
        <w:t xml:space="preserve"> </w:t>
      </w:r>
      <w:r w:rsidR="00D14E18" w:rsidRPr="009576D8">
        <w:rPr>
          <w:sz w:val="24"/>
          <w:szCs w:val="24"/>
        </w:rPr>
        <w:t>przedsiębiorców</w:t>
      </w:r>
      <w:r w:rsidR="00A73BC6" w:rsidRPr="009576D8">
        <w:rPr>
          <w:rStyle w:val="Odwoanieprzypisudolnego"/>
          <w:sz w:val="24"/>
          <w:szCs w:val="24"/>
        </w:rPr>
        <w:footnoteReference w:id="39"/>
      </w:r>
      <w:r w:rsidR="00D14E18" w:rsidRPr="009576D8">
        <w:rPr>
          <w:sz w:val="24"/>
          <w:szCs w:val="24"/>
        </w:rPr>
        <w:t xml:space="preserve">. </w:t>
      </w:r>
      <w:r w:rsidR="00266A17" w:rsidRPr="009576D8">
        <w:rPr>
          <w:sz w:val="24"/>
          <w:szCs w:val="24"/>
        </w:rPr>
        <w:t>Oznacza, że przy tworzeniu nowych przepisów określających zasady podejmowania, wykonywania lub zakończenia działalności gospodarczej należy dążyć do tego, by nie nakładać dodatkowych obowiązków na przedsiębiorców. Jeśli jednak takie obowiązki są niezbędne, powinny być one ograniczone do minimum koniecznego do osiągnięcia celu danego aktu. Równocześnie należy szukać możliwości równoważnego zmniejszenia lub usunięcia innych, już istniejących obciążeń administracyjnych w tej samej dziedzinie życia społeczno-gospodarczego</w:t>
      </w:r>
      <w:r w:rsidR="002C78F8" w:rsidRPr="009576D8">
        <w:rPr>
          <w:rStyle w:val="Odwoanieprzypisudolnego"/>
          <w:sz w:val="24"/>
          <w:szCs w:val="24"/>
        </w:rPr>
        <w:footnoteReference w:id="40"/>
      </w:r>
      <w:r w:rsidR="00266A17" w:rsidRPr="009576D8">
        <w:rPr>
          <w:sz w:val="24"/>
          <w:szCs w:val="24"/>
        </w:rPr>
        <w:t xml:space="preserve">. </w:t>
      </w:r>
    </w:p>
    <w:p w14:paraId="7C709C08" w14:textId="39FE20BA" w:rsidR="00494165" w:rsidRPr="009576D8" w:rsidRDefault="005A0C83" w:rsidP="00124F38">
      <w:pPr>
        <w:spacing w:after="120" w:line="276" w:lineRule="auto"/>
        <w:rPr>
          <w:sz w:val="24"/>
          <w:szCs w:val="24"/>
        </w:rPr>
      </w:pPr>
      <w:r w:rsidRPr="009576D8">
        <w:rPr>
          <w:sz w:val="24"/>
          <w:szCs w:val="24"/>
        </w:rPr>
        <w:t xml:space="preserve">Zasada </w:t>
      </w:r>
      <w:r w:rsidR="00EE6C0A" w:rsidRPr="009576D8">
        <w:rPr>
          <w:sz w:val="24"/>
          <w:szCs w:val="24"/>
        </w:rPr>
        <w:t>„jeden za jeden”</w:t>
      </w:r>
      <w:r w:rsidR="00EE6C0A">
        <w:rPr>
          <w:sz w:val="24"/>
          <w:szCs w:val="24"/>
        </w:rPr>
        <w:t xml:space="preserve"> </w:t>
      </w:r>
      <w:r w:rsidRPr="009576D8">
        <w:rPr>
          <w:sz w:val="24"/>
          <w:szCs w:val="24"/>
        </w:rPr>
        <w:t>j</w:t>
      </w:r>
      <w:r w:rsidR="00494165" w:rsidRPr="009576D8">
        <w:rPr>
          <w:sz w:val="24"/>
          <w:szCs w:val="24"/>
        </w:rPr>
        <w:t xml:space="preserve">ako </w:t>
      </w:r>
      <w:r w:rsidRPr="009576D8">
        <w:rPr>
          <w:sz w:val="24"/>
          <w:szCs w:val="24"/>
        </w:rPr>
        <w:t xml:space="preserve">stosunkowo </w:t>
      </w:r>
      <w:r w:rsidR="00494165" w:rsidRPr="009576D8">
        <w:rPr>
          <w:sz w:val="24"/>
          <w:szCs w:val="24"/>
        </w:rPr>
        <w:t xml:space="preserve">nowy instrument w </w:t>
      </w:r>
      <w:r w:rsidRPr="009576D8">
        <w:rPr>
          <w:sz w:val="24"/>
          <w:szCs w:val="24"/>
        </w:rPr>
        <w:t xml:space="preserve">rządowym procesie legislacyjnym </w:t>
      </w:r>
      <w:r w:rsidR="00494165" w:rsidRPr="009576D8">
        <w:rPr>
          <w:sz w:val="24"/>
          <w:szCs w:val="24"/>
        </w:rPr>
        <w:t>wymaga dodatkowych działań</w:t>
      </w:r>
      <w:r w:rsidRPr="009576D8">
        <w:rPr>
          <w:sz w:val="24"/>
          <w:szCs w:val="24"/>
        </w:rPr>
        <w:t>,</w:t>
      </w:r>
      <w:r w:rsidR="00494165" w:rsidRPr="009576D8">
        <w:rPr>
          <w:sz w:val="24"/>
          <w:szCs w:val="24"/>
        </w:rPr>
        <w:t xml:space="preserve"> aby przedsiębiorcy </w:t>
      </w:r>
      <w:r w:rsidRPr="009576D8">
        <w:rPr>
          <w:sz w:val="24"/>
          <w:szCs w:val="24"/>
        </w:rPr>
        <w:t>odczuli</w:t>
      </w:r>
      <w:r w:rsidR="00494165" w:rsidRPr="009576D8">
        <w:rPr>
          <w:sz w:val="24"/>
          <w:szCs w:val="24"/>
        </w:rPr>
        <w:t xml:space="preserve"> </w:t>
      </w:r>
      <w:r w:rsidRPr="009576D8">
        <w:rPr>
          <w:sz w:val="24"/>
          <w:szCs w:val="24"/>
        </w:rPr>
        <w:t>poprawę w</w:t>
      </w:r>
      <w:r w:rsidR="000451FD">
        <w:rPr>
          <w:sz w:val="24"/>
          <w:szCs w:val="24"/>
        </w:rPr>
        <w:t> </w:t>
      </w:r>
      <w:r w:rsidRPr="009576D8">
        <w:rPr>
          <w:sz w:val="24"/>
          <w:szCs w:val="24"/>
        </w:rPr>
        <w:t>związku z jej stosowaniem</w:t>
      </w:r>
      <w:r w:rsidR="00494165" w:rsidRPr="009576D8">
        <w:rPr>
          <w:sz w:val="24"/>
          <w:szCs w:val="24"/>
        </w:rPr>
        <w:t xml:space="preserve">. </w:t>
      </w:r>
      <w:r w:rsidRPr="009576D8">
        <w:rPr>
          <w:sz w:val="24"/>
          <w:szCs w:val="24"/>
        </w:rPr>
        <w:t>Podobne instrumenty</w:t>
      </w:r>
      <w:r w:rsidR="002838C0" w:rsidRPr="009576D8">
        <w:rPr>
          <w:sz w:val="24"/>
          <w:szCs w:val="24"/>
        </w:rPr>
        <w:t xml:space="preserve"> </w:t>
      </w:r>
      <w:r w:rsidR="00266A17" w:rsidRPr="009576D8">
        <w:rPr>
          <w:sz w:val="24"/>
          <w:szCs w:val="24"/>
        </w:rPr>
        <w:t xml:space="preserve">(ang. </w:t>
      </w:r>
      <w:r w:rsidR="00822720">
        <w:rPr>
          <w:sz w:val="24"/>
          <w:szCs w:val="24"/>
        </w:rPr>
        <w:t>„</w:t>
      </w:r>
      <w:r w:rsidR="00266A17" w:rsidRPr="009576D8">
        <w:rPr>
          <w:sz w:val="24"/>
          <w:szCs w:val="24"/>
        </w:rPr>
        <w:t>one in, one out</w:t>
      </w:r>
      <w:r w:rsidR="00822720">
        <w:rPr>
          <w:sz w:val="24"/>
          <w:szCs w:val="24"/>
        </w:rPr>
        <w:t>”</w:t>
      </w:r>
      <w:r w:rsidR="00266A17" w:rsidRPr="009576D8">
        <w:rPr>
          <w:sz w:val="24"/>
          <w:szCs w:val="24"/>
        </w:rPr>
        <w:t>)</w:t>
      </w:r>
      <w:r w:rsidR="00494165" w:rsidRPr="009576D8">
        <w:rPr>
          <w:sz w:val="24"/>
          <w:szCs w:val="24"/>
        </w:rPr>
        <w:t xml:space="preserve"> funkcjonuj</w:t>
      </w:r>
      <w:r w:rsidRPr="009576D8">
        <w:rPr>
          <w:sz w:val="24"/>
          <w:szCs w:val="24"/>
        </w:rPr>
        <w:t>ą</w:t>
      </w:r>
      <w:r w:rsidR="00494165" w:rsidRPr="009576D8">
        <w:rPr>
          <w:sz w:val="24"/>
          <w:szCs w:val="24"/>
        </w:rPr>
        <w:t xml:space="preserve"> w</w:t>
      </w:r>
      <w:r w:rsidR="007123DB">
        <w:rPr>
          <w:sz w:val="24"/>
          <w:szCs w:val="24"/>
        </w:rPr>
        <w:t> </w:t>
      </w:r>
      <w:r w:rsidR="00494165" w:rsidRPr="009576D8">
        <w:rPr>
          <w:sz w:val="24"/>
          <w:szCs w:val="24"/>
        </w:rPr>
        <w:t xml:space="preserve">różnych </w:t>
      </w:r>
      <w:r w:rsidR="00266A17" w:rsidRPr="009576D8">
        <w:rPr>
          <w:sz w:val="24"/>
          <w:szCs w:val="24"/>
        </w:rPr>
        <w:t xml:space="preserve">państwach </w:t>
      </w:r>
      <w:r w:rsidR="00494165" w:rsidRPr="009576D8">
        <w:rPr>
          <w:sz w:val="24"/>
          <w:szCs w:val="24"/>
        </w:rPr>
        <w:t>UE</w:t>
      </w:r>
      <w:r w:rsidRPr="009576D8">
        <w:rPr>
          <w:sz w:val="24"/>
          <w:szCs w:val="24"/>
        </w:rPr>
        <w:t xml:space="preserve">, </w:t>
      </w:r>
      <w:r w:rsidR="00494165" w:rsidRPr="009576D8">
        <w:rPr>
          <w:sz w:val="24"/>
          <w:szCs w:val="24"/>
        </w:rPr>
        <w:t xml:space="preserve">takich jak </w:t>
      </w:r>
      <w:r w:rsidR="008E33E1">
        <w:rPr>
          <w:sz w:val="24"/>
          <w:szCs w:val="24"/>
        </w:rPr>
        <w:t xml:space="preserve">np. </w:t>
      </w:r>
      <w:r w:rsidRPr="009576D8">
        <w:rPr>
          <w:sz w:val="24"/>
          <w:szCs w:val="24"/>
        </w:rPr>
        <w:t xml:space="preserve">Finlandia, Francja, </w:t>
      </w:r>
      <w:r w:rsidR="00494165" w:rsidRPr="009576D8">
        <w:rPr>
          <w:sz w:val="24"/>
          <w:szCs w:val="24"/>
        </w:rPr>
        <w:t>Niemcy</w:t>
      </w:r>
      <w:r w:rsidR="00BF08C4" w:rsidRPr="009576D8">
        <w:rPr>
          <w:sz w:val="24"/>
          <w:szCs w:val="24"/>
        </w:rPr>
        <w:t>, Litwa, Rumunia, Słowacja</w:t>
      </w:r>
      <w:r w:rsidRPr="009576D8">
        <w:rPr>
          <w:sz w:val="24"/>
          <w:szCs w:val="24"/>
        </w:rPr>
        <w:t xml:space="preserve"> i </w:t>
      </w:r>
      <w:r w:rsidR="00494165" w:rsidRPr="009576D8">
        <w:rPr>
          <w:sz w:val="24"/>
          <w:szCs w:val="24"/>
        </w:rPr>
        <w:t>Włochy. Zasada jest też</w:t>
      </w:r>
      <w:r w:rsidR="006C207B">
        <w:rPr>
          <w:sz w:val="24"/>
          <w:szCs w:val="24"/>
        </w:rPr>
        <w:t> </w:t>
      </w:r>
      <w:r w:rsidR="00EE6260" w:rsidRPr="009576D8">
        <w:rPr>
          <w:sz w:val="24"/>
          <w:szCs w:val="24"/>
        </w:rPr>
        <w:t>z</w:t>
      </w:r>
      <w:r w:rsidR="00EE6260">
        <w:rPr>
          <w:sz w:val="24"/>
          <w:szCs w:val="24"/>
        </w:rPr>
        <w:t> </w:t>
      </w:r>
      <w:r w:rsidR="00494165" w:rsidRPr="009576D8">
        <w:rPr>
          <w:sz w:val="24"/>
          <w:szCs w:val="24"/>
        </w:rPr>
        <w:t xml:space="preserve">powodzeniem realizowana przez Komisję Europejską od 2021 r. </w:t>
      </w:r>
    </w:p>
    <w:p w14:paraId="071EDC6A" w14:textId="398FF283" w:rsidR="00494165" w:rsidRPr="009576D8" w:rsidRDefault="005B7502" w:rsidP="00124F38">
      <w:pPr>
        <w:pStyle w:val="Nagwek2"/>
      </w:pPr>
      <w:bookmarkStart w:id="46" w:name="_Toc217927146"/>
      <w:bookmarkStart w:id="47" w:name="_Toc219276866"/>
      <w:r w:rsidRPr="00EE6260">
        <w:t>Działanie 2.</w:t>
      </w:r>
      <w:r w:rsidR="002D675B">
        <w:t>1</w:t>
      </w:r>
      <w:r w:rsidR="00987616">
        <w:t>.</w:t>
      </w:r>
      <w:r w:rsidR="002D675B">
        <w:t xml:space="preserve"> </w:t>
      </w:r>
      <w:r w:rsidR="00494165" w:rsidRPr="009576D8">
        <w:t xml:space="preserve">Rozwój metodyki szacowania kosztów </w:t>
      </w:r>
      <w:r w:rsidR="00AE0A4B" w:rsidRPr="009576D8">
        <w:t xml:space="preserve">wynikających </w:t>
      </w:r>
      <w:r w:rsidR="00EE6260" w:rsidRPr="009576D8">
        <w:t>z</w:t>
      </w:r>
      <w:r w:rsidR="00EE6260">
        <w:t> </w:t>
      </w:r>
      <w:r w:rsidR="00494165" w:rsidRPr="009576D8">
        <w:t xml:space="preserve">obowiązków administracyjnych i </w:t>
      </w:r>
      <w:r w:rsidR="008E33E1">
        <w:t>budowa</w:t>
      </w:r>
      <w:r w:rsidR="008E33E1" w:rsidRPr="009576D8">
        <w:t xml:space="preserve"> </w:t>
      </w:r>
      <w:r w:rsidR="00494165" w:rsidRPr="009576D8">
        <w:t>wspólnoty praktyków</w:t>
      </w:r>
      <w:bookmarkEnd w:id="46"/>
      <w:bookmarkEnd w:id="47"/>
      <w:r w:rsidR="00494165" w:rsidRPr="009576D8">
        <w:t xml:space="preserve"> </w:t>
      </w:r>
    </w:p>
    <w:p w14:paraId="6CE19A5F" w14:textId="4B311971" w:rsidR="009026B8" w:rsidRPr="009576D8" w:rsidRDefault="00494165" w:rsidP="00124F38">
      <w:pPr>
        <w:spacing w:after="120" w:line="276" w:lineRule="auto"/>
        <w:rPr>
          <w:sz w:val="24"/>
          <w:szCs w:val="24"/>
        </w:rPr>
      </w:pPr>
      <w:r w:rsidRPr="009576D8">
        <w:rPr>
          <w:sz w:val="24"/>
          <w:szCs w:val="24"/>
        </w:rPr>
        <w:t xml:space="preserve">Planowany jest rozwój metodyki kwantyfikacji kosztów </w:t>
      </w:r>
      <w:r w:rsidR="00AE0A4B" w:rsidRPr="009576D8">
        <w:rPr>
          <w:sz w:val="24"/>
          <w:szCs w:val="24"/>
        </w:rPr>
        <w:t xml:space="preserve">wynikających z </w:t>
      </w:r>
      <w:r w:rsidRPr="009576D8">
        <w:rPr>
          <w:sz w:val="24"/>
          <w:szCs w:val="24"/>
        </w:rPr>
        <w:t>obowiązków administracyjnych, w tym upowszechnienie kalkulatora opartego na Modelu Kosztu Standardowego</w:t>
      </w:r>
      <w:r w:rsidR="00914DE5" w:rsidRPr="009576D8">
        <w:rPr>
          <w:sz w:val="24"/>
          <w:szCs w:val="24"/>
        </w:rPr>
        <w:t xml:space="preserve"> </w:t>
      </w:r>
      <w:r w:rsidRPr="009576D8">
        <w:rPr>
          <w:sz w:val="24"/>
          <w:szCs w:val="24"/>
        </w:rPr>
        <w:t xml:space="preserve">wraz z instrukcją jego stosowania, co pozwoli na ujednolicenie sposobu analizowania kosztów administracyjnych. </w:t>
      </w:r>
      <w:r w:rsidR="009026B8" w:rsidRPr="009576D8">
        <w:rPr>
          <w:sz w:val="24"/>
          <w:szCs w:val="24"/>
        </w:rPr>
        <w:t>Planowane jest też wprowadzenie do nowych formularzy do oceny wpływu pola dotyczącego zastosowania zasady równoważenia obowiązków administracyjnych.</w:t>
      </w:r>
    </w:p>
    <w:p w14:paraId="629FF573" w14:textId="659DC5DC" w:rsidR="009026B8" w:rsidRPr="009576D8" w:rsidRDefault="00494165" w:rsidP="00124F38">
      <w:pPr>
        <w:spacing w:after="120" w:line="276" w:lineRule="auto"/>
        <w:rPr>
          <w:sz w:val="24"/>
          <w:szCs w:val="24"/>
        </w:rPr>
      </w:pPr>
      <w:r w:rsidRPr="009576D8">
        <w:rPr>
          <w:sz w:val="24"/>
          <w:szCs w:val="24"/>
        </w:rPr>
        <w:t>Zostanie również zorganizowana konferencja poświęcona wyzwaniom i dobrym praktykom w stosowaniu zasady z udziałem zagranicznych panelistów oraz warsztaty ze</w:t>
      </w:r>
      <w:r w:rsidR="006C207B">
        <w:rPr>
          <w:sz w:val="24"/>
          <w:szCs w:val="24"/>
        </w:rPr>
        <w:t> </w:t>
      </w:r>
      <w:r w:rsidRPr="009576D8">
        <w:rPr>
          <w:sz w:val="24"/>
          <w:szCs w:val="24"/>
        </w:rPr>
        <w:t xml:space="preserve">stosowania </w:t>
      </w:r>
      <w:r w:rsidR="00CC449D" w:rsidRPr="009576D8">
        <w:rPr>
          <w:sz w:val="24"/>
          <w:szCs w:val="24"/>
        </w:rPr>
        <w:t>modelu</w:t>
      </w:r>
      <w:r w:rsidRPr="009576D8">
        <w:rPr>
          <w:sz w:val="24"/>
          <w:szCs w:val="24"/>
        </w:rPr>
        <w:t xml:space="preserve">. </w:t>
      </w:r>
    </w:p>
    <w:p w14:paraId="45FA8B93" w14:textId="29D13FAD" w:rsidR="00494165" w:rsidRPr="009576D8" w:rsidRDefault="00796D13" w:rsidP="00124F38">
      <w:pPr>
        <w:spacing w:after="120" w:line="276" w:lineRule="auto"/>
        <w:rPr>
          <w:sz w:val="24"/>
          <w:szCs w:val="24"/>
        </w:rPr>
      </w:pPr>
      <w:r w:rsidRPr="009576D8">
        <w:rPr>
          <w:sz w:val="24"/>
          <w:szCs w:val="24"/>
        </w:rPr>
        <w:t xml:space="preserve">Ponadto </w:t>
      </w:r>
      <w:r w:rsidR="00494165" w:rsidRPr="009576D8">
        <w:rPr>
          <w:sz w:val="24"/>
          <w:szCs w:val="24"/>
        </w:rPr>
        <w:t xml:space="preserve">powstanie wspólnota praktyków skupiająca pracowników administracji rządowej w poszczególnych resortach, której celem będzie </w:t>
      </w:r>
      <w:r w:rsidR="002F755E" w:rsidRPr="009576D8">
        <w:rPr>
          <w:sz w:val="24"/>
          <w:szCs w:val="24"/>
        </w:rPr>
        <w:t xml:space="preserve">promowanie </w:t>
      </w:r>
      <w:r w:rsidR="00494165" w:rsidRPr="009576D8">
        <w:rPr>
          <w:sz w:val="24"/>
          <w:szCs w:val="24"/>
        </w:rPr>
        <w:t>dobrych praktyk oraz identyfikowanie problemów związanych ze stosowaniem zasady równoważenia obowiązków administracyjnych</w:t>
      </w:r>
      <w:r w:rsidR="00494CE1" w:rsidRPr="009576D8">
        <w:rPr>
          <w:sz w:val="24"/>
          <w:szCs w:val="24"/>
        </w:rPr>
        <w:t xml:space="preserve"> w praktyce</w:t>
      </w:r>
      <w:r w:rsidR="00494165" w:rsidRPr="009576D8">
        <w:rPr>
          <w:sz w:val="24"/>
          <w:szCs w:val="24"/>
        </w:rPr>
        <w:t xml:space="preserve">. Na podstawie analizy praktycznych przypadków, wspólnota ta </w:t>
      </w:r>
      <w:r w:rsidR="009026B8" w:rsidRPr="009576D8">
        <w:rPr>
          <w:sz w:val="24"/>
          <w:szCs w:val="24"/>
        </w:rPr>
        <w:t xml:space="preserve">wypracuje </w:t>
      </w:r>
      <w:r w:rsidR="00494165" w:rsidRPr="009576D8">
        <w:rPr>
          <w:sz w:val="24"/>
          <w:szCs w:val="24"/>
        </w:rPr>
        <w:t xml:space="preserve">rekomendacje </w:t>
      </w:r>
      <w:r w:rsidR="00664665">
        <w:rPr>
          <w:sz w:val="24"/>
          <w:szCs w:val="24"/>
        </w:rPr>
        <w:t>na rzecz</w:t>
      </w:r>
      <w:r w:rsidR="00494165" w:rsidRPr="009576D8">
        <w:rPr>
          <w:sz w:val="24"/>
          <w:szCs w:val="24"/>
        </w:rPr>
        <w:t xml:space="preserve"> aktualizacji </w:t>
      </w:r>
      <w:r w:rsidR="00550A48">
        <w:rPr>
          <w:sz w:val="24"/>
          <w:szCs w:val="24"/>
        </w:rPr>
        <w:t xml:space="preserve">materiału </w:t>
      </w:r>
      <w:r w:rsidR="00550A48">
        <w:rPr>
          <w:sz w:val="24"/>
          <w:szCs w:val="24"/>
        </w:rPr>
        <w:lastRenderedPageBreak/>
        <w:t>informacyjnego</w:t>
      </w:r>
      <w:r w:rsidR="00494165" w:rsidRPr="009576D8">
        <w:rPr>
          <w:sz w:val="24"/>
          <w:szCs w:val="24"/>
        </w:rPr>
        <w:t xml:space="preserve"> </w:t>
      </w:r>
      <w:r w:rsidR="00550A48">
        <w:rPr>
          <w:sz w:val="24"/>
          <w:szCs w:val="24"/>
        </w:rPr>
        <w:t xml:space="preserve">dla administracji na temat </w:t>
      </w:r>
      <w:r w:rsidR="00494165" w:rsidRPr="009576D8">
        <w:rPr>
          <w:sz w:val="24"/>
          <w:szCs w:val="24"/>
        </w:rPr>
        <w:t>stosowania tej zasady</w:t>
      </w:r>
      <w:r w:rsidR="009026B8" w:rsidRPr="009576D8">
        <w:rPr>
          <w:sz w:val="24"/>
          <w:szCs w:val="24"/>
        </w:rPr>
        <w:t>, listę kontrolną oraz przykłady klauzul do</w:t>
      </w:r>
      <w:r w:rsidR="006C207B">
        <w:rPr>
          <w:sz w:val="24"/>
          <w:szCs w:val="24"/>
        </w:rPr>
        <w:t> </w:t>
      </w:r>
      <w:r w:rsidR="00664665">
        <w:rPr>
          <w:sz w:val="24"/>
          <w:szCs w:val="24"/>
        </w:rPr>
        <w:t>wykorzystania</w:t>
      </w:r>
      <w:r w:rsidR="00664665" w:rsidRPr="009576D8">
        <w:rPr>
          <w:sz w:val="24"/>
          <w:szCs w:val="24"/>
        </w:rPr>
        <w:t xml:space="preserve"> </w:t>
      </w:r>
      <w:r w:rsidR="009026B8" w:rsidRPr="009576D8">
        <w:rPr>
          <w:sz w:val="24"/>
          <w:szCs w:val="24"/>
        </w:rPr>
        <w:t>w</w:t>
      </w:r>
      <w:r w:rsidR="00664665">
        <w:rPr>
          <w:sz w:val="24"/>
          <w:szCs w:val="24"/>
        </w:rPr>
        <w:t> </w:t>
      </w:r>
      <w:r w:rsidR="009026B8" w:rsidRPr="009576D8">
        <w:rPr>
          <w:sz w:val="24"/>
          <w:szCs w:val="24"/>
        </w:rPr>
        <w:t>uzasadnieniu</w:t>
      </w:r>
      <w:r w:rsidR="00550A48">
        <w:rPr>
          <w:sz w:val="24"/>
          <w:szCs w:val="24"/>
        </w:rPr>
        <w:t xml:space="preserve"> i </w:t>
      </w:r>
      <w:r w:rsidR="009026B8" w:rsidRPr="009576D8">
        <w:rPr>
          <w:sz w:val="24"/>
          <w:szCs w:val="24"/>
        </w:rPr>
        <w:t>OSR do projektu aktu prawnego</w:t>
      </w:r>
      <w:r w:rsidR="005837D8" w:rsidRPr="009576D8">
        <w:rPr>
          <w:sz w:val="24"/>
          <w:szCs w:val="24"/>
        </w:rPr>
        <w:t>, które wpłyną na</w:t>
      </w:r>
      <w:r w:rsidR="006C207B">
        <w:rPr>
          <w:sz w:val="24"/>
          <w:szCs w:val="24"/>
        </w:rPr>
        <w:t> </w:t>
      </w:r>
      <w:r w:rsidR="005837D8" w:rsidRPr="009576D8">
        <w:rPr>
          <w:sz w:val="24"/>
          <w:szCs w:val="24"/>
        </w:rPr>
        <w:t>zapewnienie efektywnego stosowania zasady w praktyce</w:t>
      </w:r>
      <w:r w:rsidR="00494165" w:rsidRPr="009576D8">
        <w:rPr>
          <w:sz w:val="24"/>
          <w:szCs w:val="24"/>
        </w:rPr>
        <w:t xml:space="preserve">. </w:t>
      </w:r>
    </w:p>
    <w:p w14:paraId="30E68C62" w14:textId="107578DF" w:rsidR="00266A17" w:rsidRPr="009576D8" w:rsidRDefault="00266A17" w:rsidP="00124F38">
      <w:pPr>
        <w:spacing w:after="120" w:line="276" w:lineRule="auto"/>
        <w:rPr>
          <w:sz w:val="24"/>
          <w:szCs w:val="24"/>
        </w:rPr>
      </w:pPr>
      <w:r w:rsidRPr="009576D8">
        <w:rPr>
          <w:sz w:val="24"/>
          <w:szCs w:val="24"/>
        </w:rPr>
        <w:t xml:space="preserve">Podjęte działania pozwolą na </w:t>
      </w:r>
      <w:r w:rsidR="00CC6944" w:rsidRPr="009576D8">
        <w:rPr>
          <w:sz w:val="24"/>
          <w:szCs w:val="24"/>
        </w:rPr>
        <w:t>podnoszeni</w:t>
      </w:r>
      <w:r w:rsidR="00796D13" w:rsidRPr="009576D8">
        <w:rPr>
          <w:sz w:val="24"/>
          <w:szCs w:val="24"/>
        </w:rPr>
        <w:t>e</w:t>
      </w:r>
      <w:r w:rsidR="00CC6944" w:rsidRPr="009576D8">
        <w:rPr>
          <w:sz w:val="24"/>
          <w:szCs w:val="24"/>
        </w:rPr>
        <w:t xml:space="preserve"> świadomości </w:t>
      </w:r>
      <w:r w:rsidRPr="009576D8">
        <w:rPr>
          <w:sz w:val="24"/>
          <w:szCs w:val="24"/>
        </w:rPr>
        <w:t xml:space="preserve">w zakresie identyfikacji </w:t>
      </w:r>
      <w:r w:rsidR="002F755E" w:rsidRPr="009576D8">
        <w:rPr>
          <w:sz w:val="24"/>
          <w:szCs w:val="24"/>
        </w:rPr>
        <w:t xml:space="preserve">nadmiernych obciążeń regulacyjnych </w:t>
      </w:r>
      <w:r w:rsidRPr="009576D8">
        <w:rPr>
          <w:sz w:val="24"/>
          <w:szCs w:val="24"/>
        </w:rPr>
        <w:t xml:space="preserve">i zapobiegania </w:t>
      </w:r>
      <w:r w:rsidR="002F755E" w:rsidRPr="009576D8">
        <w:rPr>
          <w:sz w:val="24"/>
          <w:szCs w:val="24"/>
        </w:rPr>
        <w:t>ich nakładania</w:t>
      </w:r>
      <w:r w:rsidRPr="009576D8">
        <w:rPr>
          <w:sz w:val="24"/>
          <w:szCs w:val="24"/>
        </w:rPr>
        <w:t xml:space="preserve">. </w:t>
      </w:r>
    </w:p>
    <w:p w14:paraId="37C961AA" w14:textId="05AABD9C" w:rsidR="00494165"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Wskaźnik: </w:t>
      </w:r>
      <w:r w:rsidR="003517EB" w:rsidRPr="009576D8">
        <w:rPr>
          <w:i/>
          <w:iCs/>
          <w:sz w:val="24"/>
          <w:szCs w:val="24"/>
        </w:rPr>
        <w:t>P</w:t>
      </w:r>
      <w:r w:rsidRPr="009576D8">
        <w:rPr>
          <w:i/>
          <w:iCs/>
          <w:sz w:val="24"/>
          <w:szCs w:val="24"/>
        </w:rPr>
        <w:t>ublikacja instrukcji stosowania kalkulatora, zorganizowanie warsztatów dla resortów</w:t>
      </w:r>
    </w:p>
    <w:p w14:paraId="4A2A17F9" w14:textId="772E9C1D" w:rsidR="00494CE1"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Realizacja</w:t>
      </w:r>
      <w:r w:rsidR="0056372F" w:rsidRPr="009576D8">
        <w:rPr>
          <w:b/>
          <w:bCs/>
          <w:i/>
          <w:iCs/>
          <w:sz w:val="24"/>
          <w:szCs w:val="24"/>
        </w:rPr>
        <w:t>:</w:t>
      </w:r>
      <w:r w:rsidRPr="009576D8">
        <w:rPr>
          <w:b/>
          <w:bCs/>
          <w:i/>
          <w:iCs/>
          <w:sz w:val="24"/>
          <w:szCs w:val="24"/>
        </w:rPr>
        <w:t xml:space="preserve"> </w:t>
      </w:r>
      <w:r w:rsidR="0056372F" w:rsidRPr="009576D8">
        <w:rPr>
          <w:i/>
          <w:iCs/>
          <w:sz w:val="24"/>
          <w:szCs w:val="24"/>
        </w:rPr>
        <w:t>minister właściwy do spraw gospodarki</w:t>
      </w:r>
    </w:p>
    <w:p w14:paraId="3BAE8D51" w14:textId="17AFB11B" w:rsidR="00CC6944"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2026</w:t>
      </w:r>
    </w:p>
    <w:p w14:paraId="027ABF7B" w14:textId="2A888F8E" w:rsidR="00494165" w:rsidRPr="009576D8" w:rsidRDefault="005B7502" w:rsidP="00124F38">
      <w:pPr>
        <w:pStyle w:val="Nagwek2"/>
      </w:pPr>
      <w:bookmarkStart w:id="48" w:name="_Toc217927147"/>
      <w:bookmarkStart w:id="49" w:name="_Toc219276867"/>
      <w:r w:rsidRPr="00EE6260">
        <w:t>Działanie 2.</w:t>
      </w:r>
      <w:r w:rsidR="002D675B">
        <w:t>2</w:t>
      </w:r>
      <w:r w:rsidR="00987616">
        <w:t>.</w:t>
      </w:r>
      <w:r w:rsidR="002D675B">
        <w:t xml:space="preserve"> </w:t>
      </w:r>
      <w:r w:rsidR="00796D13" w:rsidRPr="009576D8">
        <w:t xml:space="preserve">Monitoring </w:t>
      </w:r>
      <w:r w:rsidR="00494165" w:rsidRPr="009576D8">
        <w:t>stosowania zasady równoważenia obowiązków administracyjnych</w:t>
      </w:r>
      <w:bookmarkEnd w:id="48"/>
      <w:bookmarkEnd w:id="49"/>
    </w:p>
    <w:p w14:paraId="3A1080AA" w14:textId="18E065D8" w:rsidR="00494165" w:rsidRPr="009576D8" w:rsidRDefault="00CC6944" w:rsidP="00124F38">
      <w:pPr>
        <w:spacing w:after="120" w:line="276" w:lineRule="auto"/>
        <w:rPr>
          <w:sz w:val="24"/>
          <w:szCs w:val="24"/>
        </w:rPr>
      </w:pPr>
      <w:r w:rsidRPr="009576D8">
        <w:rPr>
          <w:sz w:val="24"/>
          <w:szCs w:val="24"/>
        </w:rPr>
        <w:t>Planuje się przeprowadzenie</w:t>
      </w:r>
      <w:r w:rsidR="00757B40" w:rsidRPr="009576D8">
        <w:rPr>
          <w:sz w:val="24"/>
          <w:szCs w:val="24"/>
        </w:rPr>
        <w:t xml:space="preserve"> </w:t>
      </w:r>
      <w:r w:rsidR="0053066B" w:rsidRPr="009576D8">
        <w:rPr>
          <w:sz w:val="24"/>
          <w:szCs w:val="24"/>
        </w:rPr>
        <w:t xml:space="preserve">monitoringu </w:t>
      </w:r>
      <w:r w:rsidR="00324CEC" w:rsidRPr="009576D8">
        <w:rPr>
          <w:sz w:val="24"/>
          <w:szCs w:val="24"/>
        </w:rPr>
        <w:t>stosowania zasady równoważenia obowiązków administracyjnych, na podstawie które</w:t>
      </w:r>
      <w:r w:rsidR="0053066B" w:rsidRPr="009576D8">
        <w:rPr>
          <w:sz w:val="24"/>
          <w:szCs w:val="24"/>
        </w:rPr>
        <w:t>go</w:t>
      </w:r>
      <w:r w:rsidR="00324CEC" w:rsidRPr="009576D8">
        <w:rPr>
          <w:sz w:val="24"/>
          <w:szCs w:val="24"/>
        </w:rPr>
        <w:t xml:space="preserve"> </w:t>
      </w:r>
      <w:r w:rsidR="00757B40" w:rsidRPr="009576D8">
        <w:rPr>
          <w:sz w:val="24"/>
          <w:szCs w:val="24"/>
        </w:rPr>
        <w:t xml:space="preserve">opracowane </w:t>
      </w:r>
      <w:r w:rsidR="00494165" w:rsidRPr="009576D8">
        <w:rPr>
          <w:sz w:val="24"/>
          <w:szCs w:val="24"/>
        </w:rPr>
        <w:t xml:space="preserve">zostaną </w:t>
      </w:r>
      <w:r w:rsidR="00324CEC" w:rsidRPr="009576D8">
        <w:rPr>
          <w:sz w:val="24"/>
          <w:szCs w:val="24"/>
        </w:rPr>
        <w:t>praktyczne wskazówki</w:t>
      </w:r>
      <w:r w:rsidRPr="009576D8">
        <w:rPr>
          <w:sz w:val="24"/>
          <w:szCs w:val="24"/>
        </w:rPr>
        <w:t xml:space="preserve"> </w:t>
      </w:r>
      <w:r w:rsidR="00324CEC" w:rsidRPr="009576D8">
        <w:rPr>
          <w:sz w:val="24"/>
          <w:szCs w:val="24"/>
        </w:rPr>
        <w:t>dla</w:t>
      </w:r>
      <w:r w:rsidR="006C207B">
        <w:rPr>
          <w:sz w:val="24"/>
          <w:szCs w:val="24"/>
        </w:rPr>
        <w:t> </w:t>
      </w:r>
      <w:r w:rsidR="00324CEC" w:rsidRPr="009576D8">
        <w:rPr>
          <w:sz w:val="24"/>
          <w:szCs w:val="24"/>
        </w:rPr>
        <w:t xml:space="preserve">jej stosowania. </w:t>
      </w:r>
      <w:r w:rsidR="0053066B" w:rsidRPr="009576D8">
        <w:rPr>
          <w:sz w:val="24"/>
          <w:szCs w:val="24"/>
        </w:rPr>
        <w:t>W zależności od wyników monitoringu, a</w:t>
      </w:r>
      <w:r w:rsidR="00324CEC" w:rsidRPr="009576D8">
        <w:rPr>
          <w:sz w:val="24"/>
          <w:szCs w:val="24"/>
        </w:rPr>
        <w:t xml:space="preserve">nalizie zostanie poddana możliwość </w:t>
      </w:r>
      <w:r w:rsidR="00494165" w:rsidRPr="009576D8">
        <w:rPr>
          <w:sz w:val="24"/>
          <w:szCs w:val="24"/>
        </w:rPr>
        <w:t>rozszerzeni</w:t>
      </w:r>
      <w:r w:rsidR="0053066B" w:rsidRPr="009576D8">
        <w:rPr>
          <w:sz w:val="24"/>
          <w:szCs w:val="24"/>
        </w:rPr>
        <w:t>a</w:t>
      </w:r>
      <w:r w:rsidR="00494165" w:rsidRPr="009576D8">
        <w:rPr>
          <w:sz w:val="24"/>
          <w:szCs w:val="24"/>
        </w:rPr>
        <w:t xml:space="preserve"> zakresu </w:t>
      </w:r>
      <w:r w:rsidR="00324CEC" w:rsidRPr="009576D8">
        <w:rPr>
          <w:sz w:val="24"/>
          <w:szCs w:val="24"/>
        </w:rPr>
        <w:t xml:space="preserve">stosowania zasady </w:t>
      </w:r>
      <w:r w:rsidR="00494165" w:rsidRPr="009576D8">
        <w:rPr>
          <w:sz w:val="24"/>
          <w:szCs w:val="24"/>
        </w:rPr>
        <w:t xml:space="preserve">na obywateli lub </w:t>
      </w:r>
      <w:r w:rsidR="00EE6C0A">
        <w:rPr>
          <w:sz w:val="24"/>
          <w:szCs w:val="24"/>
        </w:rPr>
        <w:t xml:space="preserve">zaproponowany będzie </w:t>
      </w:r>
      <w:r w:rsidR="00494165" w:rsidRPr="009576D8">
        <w:rPr>
          <w:sz w:val="24"/>
          <w:szCs w:val="24"/>
        </w:rPr>
        <w:t xml:space="preserve">mechanizm podwójnego zmniejszania obciążeń przy nakładaniu nowych obowiązków. </w:t>
      </w:r>
      <w:r w:rsidR="0053066B" w:rsidRPr="009576D8">
        <w:rPr>
          <w:sz w:val="24"/>
          <w:szCs w:val="24"/>
        </w:rPr>
        <w:t>Monitoring zasady będzie dokonany</w:t>
      </w:r>
      <w:r w:rsidR="009026B8" w:rsidRPr="009576D8">
        <w:rPr>
          <w:sz w:val="24"/>
          <w:szCs w:val="24"/>
        </w:rPr>
        <w:t xml:space="preserve"> jako element </w:t>
      </w:r>
      <w:r w:rsidR="00324CEC" w:rsidRPr="009576D8">
        <w:rPr>
          <w:sz w:val="24"/>
          <w:szCs w:val="24"/>
        </w:rPr>
        <w:t>przeglądu</w:t>
      </w:r>
      <w:r w:rsidR="00494165" w:rsidRPr="009576D8">
        <w:rPr>
          <w:sz w:val="24"/>
          <w:szCs w:val="24"/>
        </w:rPr>
        <w:t xml:space="preserve"> prawa gospodarczego, prowadzonego zgodnie z Praw</w:t>
      </w:r>
      <w:r w:rsidR="001F6819" w:rsidRPr="009576D8">
        <w:rPr>
          <w:sz w:val="24"/>
          <w:szCs w:val="24"/>
        </w:rPr>
        <w:t>em</w:t>
      </w:r>
      <w:r w:rsidR="00494165" w:rsidRPr="009576D8">
        <w:rPr>
          <w:sz w:val="24"/>
          <w:szCs w:val="24"/>
        </w:rPr>
        <w:t xml:space="preserve"> </w:t>
      </w:r>
      <w:r w:rsidR="00324CEC" w:rsidRPr="009576D8">
        <w:rPr>
          <w:sz w:val="24"/>
          <w:szCs w:val="24"/>
        </w:rPr>
        <w:t>p</w:t>
      </w:r>
      <w:r w:rsidR="00494165" w:rsidRPr="009576D8">
        <w:rPr>
          <w:sz w:val="24"/>
          <w:szCs w:val="24"/>
        </w:rPr>
        <w:t>rzedsiębiorców.</w:t>
      </w:r>
    </w:p>
    <w:p w14:paraId="6D32A4A0" w14:textId="6B787AA1" w:rsidR="00494165"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9026B8" w:rsidRPr="009576D8">
        <w:rPr>
          <w:i/>
          <w:iCs/>
          <w:sz w:val="24"/>
          <w:szCs w:val="24"/>
        </w:rPr>
        <w:t>Wyniki monitoringu</w:t>
      </w:r>
      <w:r w:rsidRPr="009576D8">
        <w:rPr>
          <w:i/>
          <w:iCs/>
          <w:sz w:val="24"/>
          <w:szCs w:val="24"/>
        </w:rPr>
        <w:t xml:space="preserve"> stosowania zasady równoważenia obowiązków administracyjnych</w:t>
      </w:r>
    </w:p>
    <w:p w14:paraId="07A6A289" w14:textId="77E59D6E" w:rsidR="00B66153"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Realizacja</w:t>
      </w:r>
      <w:r w:rsidR="000F3A07" w:rsidRPr="009576D8">
        <w:rPr>
          <w:b/>
          <w:bCs/>
          <w:i/>
          <w:iCs/>
          <w:sz w:val="24"/>
          <w:szCs w:val="24"/>
        </w:rPr>
        <w:t>:</w:t>
      </w:r>
      <w:r w:rsidRPr="009576D8">
        <w:rPr>
          <w:b/>
          <w:bCs/>
          <w:i/>
          <w:iCs/>
          <w:sz w:val="24"/>
          <w:szCs w:val="24"/>
        </w:rPr>
        <w:t xml:space="preserve"> </w:t>
      </w:r>
      <w:r w:rsidR="0056372F" w:rsidRPr="009576D8">
        <w:rPr>
          <w:i/>
          <w:iCs/>
          <w:sz w:val="24"/>
          <w:szCs w:val="24"/>
        </w:rPr>
        <w:t>minister właściwy do spraw gospodarki</w:t>
      </w:r>
      <w:r w:rsidR="009026B8" w:rsidRPr="009576D8">
        <w:rPr>
          <w:i/>
          <w:iCs/>
          <w:sz w:val="24"/>
          <w:szCs w:val="24"/>
        </w:rPr>
        <w:t>, pozostali ministrowie</w:t>
      </w:r>
      <w:r w:rsidR="0056372F" w:rsidRPr="009576D8">
        <w:rPr>
          <w:i/>
          <w:iCs/>
          <w:sz w:val="24"/>
          <w:szCs w:val="24"/>
        </w:rPr>
        <w:t xml:space="preserve"> </w:t>
      </w:r>
    </w:p>
    <w:p w14:paraId="4AE28988" w14:textId="3ED57714" w:rsidR="00494165" w:rsidRPr="009576D8" w:rsidRDefault="00494165"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Termin</w:t>
      </w:r>
      <w:r w:rsidR="000F3A07" w:rsidRPr="009576D8">
        <w:rPr>
          <w:b/>
          <w:bCs/>
          <w:i/>
          <w:iCs/>
          <w:sz w:val="24"/>
          <w:szCs w:val="24"/>
        </w:rPr>
        <w:t>:</w:t>
      </w:r>
      <w:r w:rsidRPr="009576D8">
        <w:rPr>
          <w:b/>
          <w:bCs/>
          <w:i/>
          <w:iCs/>
          <w:sz w:val="24"/>
          <w:szCs w:val="24"/>
        </w:rPr>
        <w:t xml:space="preserve"> </w:t>
      </w:r>
      <w:r w:rsidRPr="009576D8">
        <w:rPr>
          <w:i/>
          <w:iCs/>
          <w:sz w:val="24"/>
          <w:szCs w:val="24"/>
        </w:rPr>
        <w:t>do końca 2028</w:t>
      </w:r>
    </w:p>
    <w:p w14:paraId="25EF1E13" w14:textId="1E460652" w:rsidR="004831D4" w:rsidRPr="009576D8" w:rsidRDefault="00494CE1" w:rsidP="00494CE1">
      <w:pPr>
        <w:pStyle w:val="Nagwek2"/>
        <w:rPr>
          <w:b/>
          <w:bCs/>
        </w:rPr>
      </w:pPr>
      <w:bookmarkStart w:id="50" w:name="_Toc217927148"/>
      <w:bookmarkStart w:id="51" w:name="_Toc219276868"/>
      <w:r w:rsidRPr="009576D8">
        <w:rPr>
          <w:b/>
          <w:bCs/>
        </w:rPr>
        <w:t xml:space="preserve">Priorytet </w:t>
      </w:r>
      <w:r w:rsidRPr="009576D8">
        <w:rPr>
          <w:b/>
          <w:bCs/>
        </w:rPr>
        <w:fldChar w:fldCharType="begin"/>
      </w:r>
      <w:r w:rsidRPr="009576D8">
        <w:rPr>
          <w:b/>
          <w:bCs/>
        </w:rPr>
        <w:instrText xml:space="preserve"> SEQ Priorytet \* ARABIC </w:instrText>
      </w:r>
      <w:r w:rsidRPr="009576D8">
        <w:rPr>
          <w:b/>
          <w:bCs/>
        </w:rPr>
        <w:fldChar w:fldCharType="separate"/>
      </w:r>
      <w:r w:rsidR="003B392D" w:rsidRPr="009576D8">
        <w:rPr>
          <w:b/>
          <w:bCs/>
        </w:rPr>
        <w:t>3</w:t>
      </w:r>
      <w:r w:rsidRPr="009576D8">
        <w:rPr>
          <w:b/>
          <w:bCs/>
        </w:rPr>
        <w:fldChar w:fldCharType="end"/>
      </w:r>
      <w:r w:rsidR="004831D4" w:rsidRPr="009576D8">
        <w:rPr>
          <w:b/>
          <w:bCs/>
        </w:rPr>
        <w:t xml:space="preserve"> – Ograniczenie obciążeń poprzez stosowanie zasady „domyślnie cyfrowo”</w:t>
      </w:r>
      <w:bookmarkEnd w:id="50"/>
      <w:bookmarkEnd w:id="51"/>
    </w:p>
    <w:p w14:paraId="3F6B3267" w14:textId="24A812E5" w:rsidR="004831D4" w:rsidRPr="009576D8" w:rsidRDefault="004831D4" w:rsidP="00124F38">
      <w:pPr>
        <w:spacing w:after="120" w:line="276" w:lineRule="auto"/>
        <w:rPr>
          <w:sz w:val="24"/>
          <w:szCs w:val="24"/>
        </w:rPr>
      </w:pPr>
      <w:r w:rsidRPr="009576D8">
        <w:rPr>
          <w:sz w:val="24"/>
          <w:szCs w:val="24"/>
        </w:rPr>
        <w:t xml:space="preserve">Tworzenie polityki gotowej </w:t>
      </w:r>
      <w:r w:rsidR="005837D8" w:rsidRPr="009576D8">
        <w:rPr>
          <w:sz w:val="24"/>
          <w:szCs w:val="24"/>
        </w:rPr>
        <w:t xml:space="preserve">do cyfryzacji </w:t>
      </w:r>
      <w:r w:rsidR="00202D9E" w:rsidRPr="009576D8">
        <w:rPr>
          <w:sz w:val="24"/>
          <w:szCs w:val="24"/>
        </w:rPr>
        <w:t xml:space="preserve">(ang. „digital ready policymaking”) </w:t>
      </w:r>
      <w:r w:rsidRPr="009576D8">
        <w:rPr>
          <w:sz w:val="24"/>
          <w:szCs w:val="24"/>
        </w:rPr>
        <w:t xml:space="preserve">to podejście, które zapewnia, że nowe przepisy są łatwe do wdrożenia za pomocą narzędzi cyfrowych </w:t>
      </w:r>
      <w:r w:rsidR="00EE6260" w:rsidRPr="009576D8">
        <w:rPr>
          <w:sz w:val="24"/>
          <w:szCs w:val="24"/>
        </w:rPr>
        <w:t>i</w:t>
      </w:r>
      <w:r w:rsidR="00EE6260">
        <w:rPr>
          <w:sz w:val="24"/>
          <w:szCs w:val="24"/>
        </w:rPr>
        <w:t> </w:t>
      </w:r>
      <w:r w:rsidRPr="009576D8">
        <w:rPr>
          <w:sz w:val="24"/>
          <w:szCs w:val="24"/>
        </w:rPr>
        <w:t>nowoczesnych technologii. Przepisy powinny być jasne</w:t>
      </w:r>
      <w:r w:rsidR="001F5534" w:rsidRPr="009576D8">
        <w:rPr>
          <w:sz w:val="24"/>
          <w:szCs w:val="24"/>
        </w:rPr>
        <w:t xml:space="preserve"> i </w:t>
      </w:r>
      <w:r w:rsidRPr="009576D8">
        <w:rPr>
          <w:sz w:val="24"/>
          <w:szCs w:val="24"/>
        </w:rPr>
        <w:t xml:space="preserve">spójne, co umożliwia automatyzację i redukcję złożoności administracyjnej. Polityka gotowa na cyfryzację kładzie także nacisk na to, aby </w:t>
      </w:r>
      <w:r w:rsidR="001F5534" w:rsidRPr="009576D8">
        <w:rPr>
          <w:sz w:val="24"/>
          <w:szCs w:val="24"/>
        </w:rPr>
        <w:t>wymogi</w:t>
      </w:r>
      <w:r w:rsidRPr="009576D8">
        <w:rPr>
          <w:sz w:val="24"/>
          <w:szCs w:val="24"/>
        </w:rPr>
        <w:t xml:space="preserve"> regulacyjne mogły być wdrażane w formie operacyjnych rozwiązań cyfrowych, bez nadmiernych kosztów. Celem jest stworzenie ustawodawstwa, które sprzyja innowacjom i wspiera efektywną administrację publiczną.</w:t>
      </w:r>
    </w:p>
    <w:p w14:paraId="2D93C032" w14:textId="6AA3955F" w:rsidR="004831D4" w:rsidRPr="009576D8" w:rsidRDefault="004831D4" w:rsidP="00124F38">
      <w:pPr>
        <w:spacing w:after="120" w:line="276" w:lineRule="auto"/>
        <w:rPr>
          <w:sz w:val="24"/>
          <w:szCs w:val="24"/>
        </w:rPr>
      </w:pPr>
      <w:r w:rsidRPr="009576D8">
        <w:rPr>
          <w:sz w:val="24"/>
          <w:szCs w:val="24"/>
        </w:rPr>
        <w:t>Z tego podejścia wynika zasada domyślnie cyfrowo (</w:t>
      </w:r>
      <w:r w:rsidR="002D7C56" w:rsidRPr="009576D8">
        <w:rPr>
          <w:sz w:val="24"/>
          <w:szCs w:val="24"/>
        </w:rPr>
        <w:t xml:space="preserve">ang. </w:t>
      </w:r>
      <w:r w:rsidR="002C78F8" w:rsidRPr="009576D8">
        <w:rPr>
          <w:sz w:val="24"/>
          <w:szCs w:val="24"/>
        </w:rPr>
        <w:t>„</w:t>
      </w:r>
      <w:r w:rsidRPr="009576D8">
        <w:rPr>
          <w:sz w:val="24"/>
          <w:szCs w:val="24"/>
        </w:rPr>
        <w:t>dig</w:t>
      </w:r>
      <w:r w:rsidR="005837D8" w:rsidRPr="009576D8">
        <w:rPr>
          <w:sz w:val="24"/>
          <w:szCs w:val="24"/>
        </w:rPr>
        <w:t>i</w:t>
      </w:r>
      <w:r w:rsidRPr="009576D8">
        <w:rPr>
          <w:sz w:val="24"/>
          <w:szCs w:val="24"/>
        </w:rPr>
        <w:t>tal by default</w:t>
      </w:r>
      <w:r w:rsidR="002C78F8" w:rsidRPr="009576D8">
        <w:rPr>
          <w:sz w:val="24"/>
          <w:szCs w:val="24"/>
        </w:rPr>
        <w:t>”</w:t>
      </w:r>
      <w:r w:rsidRPr="009576D8">
        <w:rPr>
          <w:sz w:val="24"/>
          <w:szCs w:val="24"/>
        </w:rPr>
        <w:t xml:space="preserve">), </w:t>
      </w:r>
      <w:r w:rsidR="001F5534" w:rsidRPr="009576D8">
        <w:rPr>
          <w:sz w:val="24"/>
          <w:szCs w:val="24"/>
        </w:rPr>
        <w:t xml:space="preserve">zgodnie </w:t>
      </w:r>
      <w:r w:rsidR="00EE6260" w:rsidRPr="009576D8">
        <w:rPr>
          <w:sz w:val="24"/>
          <w:szCs w:val="24"/>
        </w:rPr>
        <w:t>z</w:t>
      </w:r>
      <w:r w:rsidR="00EE6260">
        <w:rPr>
          <w:sz w:val="24"/>
          <w:szCs w:val="24"/>
        </w:rPr>
        <w:t> </w:t>
      </w:r>
      <w:r w:rsidR="001F5534" w:rsidRPr="009576D8">
        <w:rPr>
          <w:sz w:val="24"/>
          <w:szCs w:val="24"/>
        </w:rPr>
        <w:t>którą</w:t>
      </w:r>
      <w:r w:rsidRPr="009576D8">
        <w:rPr>
          <w:sz w:val="24"/>
          <w:szCs w:val="24"/>
        </w:rPr>
        <w:t xml:space="preserve"> rozwiązania cyfrowe </w:t>
      </w:r>
      <w:r w:rsidR="001F5534" w:rsidRPr="009576D8">
        <w:rPr>
          <w:sz w:val="24"/>
          <w:szCs w:val="24"/>
        </w:rPr>
        <w:t>są</w:t>
      </w:r>
      <w:r w:rsidRPr="009576D8">
        <w:rPr>
          <w:sz w:val="24"/>
          <w:szCs w:val="24"/>
        </w:rPr>
        <w:t xml:space="preserve"> standardem w administracji publicznej, a tradycyjne metody papierowe </w:t>
      </w:r>
      <w:r w:rsidR="00CC449D" w:rsidRPr="009576D8">
        <w:rPr>
          <w:sz w:val="24"/>
          <w:szCs w:val="24"/>
        </w:rPr>
        <w:t xml:space="preserve">są </w:t>
      </w:r>
      <w:r w:rsidR="001F5534" w:rsidRPr="009576D8">
        <w:rPr>
          <w:sz w:val="24"/>
          <w:szCs w:val="24"/>
        </w:rPr>
        <w:t>ograniczane</w:t>
      </w:r>
      <w:r w:rsidRPr="009576D8">
        <w:rPr>
          <w:sz w:val="24"/>
          <w:szCs w:val="24"/>
        </w:rPr>
        <w:t xml:space="preserve">. Dzięki temu </w:t>
      </w:r>
      <w:r w:rsidR="001F5534" w:rsidRPr="009576D8">
        <w:rPr>
          <w:sz w:val="24"/>
          <w:szCs w:val="24"/>
        </w:rPr>
        <w:t>procedury</w:t>
      </w:r>
      <w:r w:rsidRPr="009576D8">
        <w:rPr>
          <w:sz w:val="24"/>
          <w:szCs w:val="24"/>
        </w:rPr>
        <w:t xml:space="preserve"> stają się prostsze, bardziej efektywne i mniej obciążające. Usługi publiczne, takie jak składanie wniosków </w:t>
      </w:r>
      <w:r w:rsidRPr="009576D8">
        <w:rPr>
          <w:sz w:val="24"/>
          <w:szCs w:val="24"/>
        </w:rPr>
        <w:lastRenderedPageBreak/>
        <w:t>czy</w:t>
      </w:r>
      <w:r w:rsidR="006C207B">
        <w:rPr>
          <w:sz w:val="24"/>
          <w:szCs w:val="24"/>
        </w:rPr>
        <w:t> </w:t>
      </w:r>
      <w:r w:rsidRPr="009576D8">
        <w:rPr>
          <w:sz w:val="24"/>
          <w:szCs w:val="24"/>
        </w:rPr>
        <w:t>deklaracji, powinny być dostępne głównie w</w:t>
      </w:r>
      <w:r w:rsidR="00CC449D" w:rsidRPr="009576D8">
        <w:rPr>
          <w:sz w:val="24"/>
          <w:szCs w:val="24"/>
        </w:rPr>
        <w:t> </w:t>
      </w:r>
      <w:r w:rsidRPr="009576D8">
        <w:rPr>
          <w:sz w:val="24"/>
          <w:szCs w:val="24"/>
        </w:rPr>
        <w:t>formie elektronicznej. Zasada ta wspiera również innowacje oraz wzrost konkurencyjności gospodarki</w:t>
      </w:r>
      <w:r w:rsidR="001F5534" w:rsidRPr="009576D8">
        <w:rPr>
          <w:sz w:val="24"/>
          <w:szCs w:val="24"/>
        </w:rPr>
        <w:t>,</w:t>
      </w:r>
      <w:r w:rsidRPr="009576D8">
        <w:rPr>
          <w:sz w:val="24"/>
          <w:szCs w:val="24"/>
        </w:rPr>
        <w:t xml:space="preserve"> promując cyfryzację.</w:t>
      </w:r>
    </w:p>
    <w:p w14:paraId="2F78E87D" w14:textId="5790810B" w:rsidR="004831D4" w:rsidRPr="009576D8" w:rsidRDefault="00494CE1" w:rsidP="00124F38">
      <w:pPr>
        <w:pStyle w:val="Nagwek2"/>
      </w:pPr>
      <w:bookmarkStart w:id="52" w:name="_Toc217927149"/>
      <w:bookmarkStart w:id="53" w:name="_Toc219276869"/>
      <w:r w:rsidRPr="00EE6260">
        <w:t>Działanie 3.</w:t>
      </w:r>
      <w:r w:rsidR="002D675B">
        <w:t>1</w:t>
      </w:r>
      <w:r w:rsidR="00987616">
        <w:t>.</w:t>
      </w:r>
      <w:r w:rsidR="002D675B">
        <w:t xml:space="preserve"> </w:t>
      </w:r>
      <w:r w:rsidR="00C624FC" w:rsidRPr="009576D8">
        <w:t>Nowe narzędzia cyfrowe dla przedsiębiorców i obywateli</w:t>
      </w:r>
      <w:bookmarkEnd w:id="52"/>
      <w:bookmarkEnd w:id="53"/>
    </w:p>
    <w:p w14:paraId="6F72FA25" w14:textId="136A22AB" w:rsidR="00596E80" w:rsidRPr="009576D8" w:rsidRDefault="00596E80" w:rsidP="00124F38">
      <w:pPr>
        <w:spacing w:after="120" w:line="276" w:lineRule="auto"/>
        <w:rPr>
          <w:sz w:val="24"/>
          <w:szCs w:val="24"/>
        </w:rPr>
      </w:pPr>
      <w:r w:rsidRPr="009576D8">
        <w:rPr>
          <w:sz w:val="24"/>
          <w:szCs w:val="24"/>
        </w:rPr>
        <w:t xml:space="preserve">Właściwi ministrowie </w:t>
      </w:r>
      <w:r w:rsidR="005837D8" w:rsidRPr="009576D8">
        <w:rPr>
          <w:sz w:val="24"/>
          <w:szCs w:val="24"/>
        </w:rPr>
        <w:t xml:space="preserve">planują </w:t>
      </w:r>
      <w:r w:rsidRPr="009576D8">
        <w:rPr>
          <w:sz w:val="24"/>
          <w:szCs w:val="24"/>
        </w:rPr>
        <w:t xml:space="preserve">wdrożenie wachlarza nowych narzędzi cyfrowych z myślą </w:t>
      </w:r>
      <w:r w:rsidR="008C5E47" w:rsidRPr="009576D8">
        <w:rPr>
          <w:sz w:val="24"/>
          <w:szCs w:val="24"/>
        </w:rPr>
        <w:t xml:space="preserve">zarówno </w:t>
      </w:r>
      <w:r w:rsidRPr="009576D8">
        <w:rPr>
          <w:sz w:val="24"/>
          <w:szCs w:val="24"/>
        </w:rPr>
        <w:t>o przedsiębiorcach</w:t>
      </w:r>
      <w:r w:rsidR="008C5E47" w:rsidRPr="009576D8">
        <w:rPr>
          <w:sz w:val="24"/>
          <w:szCs w:val="24"/>
        </w:rPr>
        <w:t>, jak</w:t>
      </w:r>
      <w:r w:rsidRPr="009576D8">
        <w:rPr>
          <w:sz w:val="24"/>
          <w:szCs w:val="24"/>
        </w:rPr>
        <w:t xml:space="preserve"> i obywatelach:</w:t>
      </w:r>
    </w:p>
    <w:p w14:paraId="52D27200" w14:textId="77777777" w:rsidR="00FF43A8" w:rsidRDefault="007F1403" w:rsidP="00F05174">
      <w:pPr>
        <w:spacing w:after="120" w:line="276" w:lineRule="auto"/>
        <w:rPr>
          <w:sz w:val="24"/>
          <w:szCs w:val="24"/>
        </w:rPr>
      </w:pPr>
      <w:r w:rsidRPr="009576D8">
        <w:rPr>
          <w:b/>
          <w:bCs/>
          <w:sz w:val="24"/>
          <w:szCs w:val="24"/>
        </w:rPr>
        <w:t>Minister właściwy do spraw informatyzacji</w:t>
      </w:r>
      <w:r w:rsidR="00FF43A8">
        <w:rPr>
          <w:sz w:val="24"/>
          <w:szCs w:val="24"/>
        </w:rPr>
        <w:t>:</w:t>
      </w:r>
    </w:p>
    <w:p w14:paraId="3A8D84F0" w14:textId="718ED337" w:rsidR="00FF43A8" w:rsidRDefault="00D61EF4" w:rsidP="00124F38">
      <w:pPr>
        <w:pStyle w:val="Akapitzlist"/>
        <w:numPr>
          <w:ilvl w:val="0"/>
          <w:numId w:val="16"/>
        </w:numPr>
        <w:spacing w:after="120" w:line="276" w:lineRule="auto"/>
        <w:rPr>
          <w:sz w:val="24"/>
          <w:szCs w:val="24"/>
        </w:rPr>
      </w:pPr>
      <w:r w:rsidRPr="007123DB">
        <w:rPr>
          <w:sz w:val="24"/>
          <w:szCs w:val="24"/>
        </w:rPr>
        <w:t>wdroży</w:t>
      </w:r>
      <w:r w:rsidR="00DA5894" w:rsidRPr="007123DB">
        <w:rPr>
          <w:sz w:val="24"/>
          <w:szCs w:val="24"/>
        </w:rPr>
        <w:t xml:space="preserve"> wirtualnego asystenta AI w aplikacji mObywatel</w:t>
      </w:r>
      <w:r w:rsidRPr="007123DB">
        <w:rPr>
          <w:sz w:val="24"/>
          <w:szCs w:val="24"/>
        </w:rPr>
        <w:t xml:space="preserve">, </w:t>
      </w:r>
      <w:r w:rsidR="00DA5894" w:rsidRPr="007123DB">
        <w:rPr>
          <w:sz w:val="24"/>
          <w:szCs w:val="24"/>
        </w:rPr>
        <w:t>opartego na polskim modelu językowym PLLuM</w:t>
      </w:r>
      <w:r w:rsidR="00202D9E" w:rsidRPr="009576D8">
        <w:rPr>
          <w:rStyle w:val="Odwoanieprzypisudolnego"/>
          <w:sz w:val="24"/>
          <w:szCs w:val="24"/>
        </w:rPr>
        <w:footnoteReference w:id="41"/>
      </w:r>
      <w:r w:rsidR="00DA5894" w:rsidRPr="007123DB">
        <w:rPr>
          <w:sz w:val="24"/>
          <w:szCs w:val="24"/>
        </w:rPr>
        <w:t>.</w:t>
      </w:r>
      <w:r w:rsidRPr="007123DB">
        <w:rPr>
          <w:sz w:val="24"/>
          <w:szCs w:val="24"/>
        </w:rPr>
        <w:t xml:space="preserve"> </w:t>
      </w:r>
      <w:r w:rsidR="00DA5894" w:rsidRPr="007123DB">
        <w:rPr>
          <w:sz w:val="24"/>
          <w:szCs w:val="24"/>
        </w:rPr>
        <w:t xml:space="preserve">Rozwiązanie </w:t>
      </w:r>
      <w:r w:rsidRPr="007123DB">
        <w:rPr>
          <w:sz w:val="24"/>
          <w:szCs w:val="24"/>
        </w:rPr>
        <w:t xml:space="preserve">to </w:t>
      </w:r>
      <w:r w:rsidR="00DA5894" w:rsidRPr="007123DB">
        <w:rPr>
          <w:sz w:val="24"/>
          <w:szCs w:val="24"/>
        </w:rPr>
        <w:t>umożliwi obywatelom i</w:t>
      </w:r>
      <w:r w:rsidR="0063310C">
        <w:rPr>
          <w:sz w:val="24"/>
          <w:szCs w:val="24"/>
        </w:rPr>
        <w:t> </w:t>
      </w:r>
      <w:r w:rsidR="00DA5894" w:rsidRPr="007123DB">
        <w:rPr>
          <w:sz w:val="24"/>
          <w:szCs w:val="24"/>
        </w:rPr>
        <w:t xml:space="preserve">przedsiębiorcom </w:t>
      </w:r>
      <w:r w:rsidRPr="007123DB">
        <w:rPr>
          <w:sz w:val="24"/>
          <w:szCs w:val="24"/>
        </w:rPr>
        <w:t xml:space="preserve">szybkie </w:t>
      </w:r>
      <w:r w:rsidR="00DA5894" w:rsidRPr="007123DB">
        <w:rPr>
          <w:sz w:val="24"/>
          <w:szCs w:val="24"/>
        </w:rPr>
        <w:t xml:space="preserve">uzyskanie spójnych informacji o procedurach administracyjnych, wymaganych dokumentach i terminach realizacji spraw. </w:t>
      </w:r>
    </w:p>
    <w:p w14:paraId="23507AF5" w14:textId="2090F1C2" w:rsidR="00DA5894" w:rsidRPr="007123DB" w:rsidRDefault="00DA5894" w:rsidP="00124F38">
      <w:pPr>
        <w:pStyle w:val="Akapitzlist"/>
        <w:numPr>
          <w:ilvl w:val="0"/>
          <w:numId w:val="16"/>
        </w:numPr>
        <w:spacing w:after="120" w:line="276" w:lineRule="auto"/>
        <w:rPr>
          <w:sz w:val="24"/>
          <w:szCs w:val="24"/>
        </w:rPr>
      </w:pPr>
      <w:r w:rsidRPr="007123DB">
        <w:rPr>
          <w:sz w:val="24"/>
          <w:szCs w:val="24"/>
        </w:rPr>
        <w:t>planuje rozwój modułów dedykowanych obsłudze procesów związanych z</w:t>
      </w:r>
      <w:r w:rsidR="0063310C">
        <w:rPr>
          <w:sz w:val="24"/>
          <w:szCs w:val="24"/>
        </w:rPr>
        <w:t> </w:t>
      </w:r>
      <w:r w:rsidRPr="007123DB">
        <w:rPr>
          <w:sz w:val="24"/>
          <w:szCs w:val="24"/>
        </w:rPr>
        <w:t>działalnością gospodarczą (np. rejestracja firmy, uzyskiwanie zezwoleń, obowiązki podatkowe). Nadrzędną zasadą w tym zakresie, pozostaje „AI jako wsparcie, nie decyzja” – wszystkie wdrożenia są zgodne z AI Act</w:t>
      </w:r>
      <w:r w:rsidR="00202D9E" w:rsidRPr="009576D8">
        <w:rPr>
          <w:rStyle w:val="Odwoanieprzypisudolnego"/>
          <w:sz w:val="24"/>
          <w:szCs w:val="24"/>
        </w:rPr>
        <w:footnoteReference w:id="42"/>
      </w:r>
      <w:r w:rsidRPr="007123DB">
        <w:rPr>
          <w:sz w:val="24"/>
          <w:szCs w:val="24"/>
        </w:rPr>
        <w:t xml:space="preserve"> </w:t>
      </w:r>
      <w:r w:rsidR="0091410B" w:rsidRPr="007123DB">
        <w:rPr>
          <w:sz w:val="24"/>
          <w:szCs w:val="24"/>
        </w:rPr>
        <w:t>i </w:t>
      </w:r>
      <w:r w:rsidRPr="007123DB">
        <w:rPr>
          <w:sz w:val="24"/>
          <w:szCs w:val="24"/>
        </w:rPr>
        <w:t>krajowymi regulacjami, zapewniając wyjaśnialność, transparentność i kontrolę ludzką nad procesem decyzyjnym.</w:t>
      </w:r>
    </w:p>
    <w:p w14:paraId="167E61F1" w14:textId="77777777" w:rsidR="0091410B" w:rsidRDefault="00D61EF4" w:rsidP="00124F38">
      <w:pPr>
        <w:spacing w:after="120" w:line="276" w:lineRule="auto"/>
        <w:rPr>
          <w:sz w:val="24"/>
          <w:szCs w:val="24"/>
        </w:rPr>
      </w:pPr>
      <w:r w:rsidRPr="009576D8">
        <w:rPr>
          <w:b/>
          <w:bCs/>
          <w:sz w:val="24"/>
          <w:szCs w:val="24"/>
        </w:rPr>
        <w:t>Minister właściwy do spraw transportu</w:t>
      </w:r>
      <w:r w:rsidR="0091410B">
        <w:rPr>
          <w:sz w:val="24"/>
          <w:szCs w:val="24"/>
        </w:rPr>
        <w:t>:</w:t>
      </w:r>
    </w:p>
    <w:p w14:paraId="63EB8BA5" w14:textId="64B53012" w:rsidR="008E22F7" w:rsidRPr="009576D8" w:rsidRDefault="005837D8" w:rsidP="00124F38">
      <w:pPr>
        <w:pStyle w:val="Akapitzlist"/>
        <w:numPr>
          <w:ilvl w:val="0"/>
          <w:numId w:val="13"/>
        </w:numPr>
        <w:spacing w:after="120" w:line="276" w:lineRule="auto"/>
        <w:contextualSpacing w:val="0"/>
        <w:rPr>
          <w:sz w:val="24"/>
          <w:szCs w:val="24"/>
        </w:rPr>
      </w:pPr>
      <w:r w:rsidRPr="009576D8">
        <w:rPr>
          <w:sz w:val="24"/>
          <w:szCs w:val="24"/>
        </w:rPr>
        <w:t xml:space="preserve">wdroży Elektroniczny </w:t>
      </w:r>
      <w:r w:rsidR="008E22F7" w:rsidRPr="009576D8">
        <w:rPr>
          <w:sz w:val="24"/>
          <w:szCs w:val="24"/>
        </w:rPr>
        <w:t>Rejestr Zgłoszeń Transportu Nienormatywnego</w:t>
      </w:r>
      <w:r w:rsidR="000563ED" w:rsidRPr="009576D8">
        <w:rPr>
          <w:sz w:val="24"/>
          <w:szCs w:val="24"/>
        </w:rPr>
        <w:t xml:space="preserve"> – </w:t>
      </w:r>
      <w:r w:rsidR="008E22F7" w:rsidRPr="009576D8">
        <w:rPr>
          <w:sz w:val="24"/>
          <w:szCs w:val="24"/>
        </w:rPr>
        <w:t>cyfrow</w:t>
      </w:r>
      <w:r w:rsidR="00202D9E" w:rsidRPr="009576D8">
        <w:rPr>
          <w:sz w:val="24"/>
          <w:szCs w:val="24"/>
        </w:rPr>
        <w:t>e</w:t>
      </w:r>
      <w:r w:rsidR="008E22F7" w:rsidRPr="009576D8">
        <w:rPr>
          <w:sz w:val="24"/>
          <w:szCs w:val="24"/>
        </w:rPr>
        <w:t xml:space="preserve"> narzędzi</w:t>
      </w:r>
      <w:r w:rsidRPr="009576D8">
        <w:rPr>
          <w:sz w:val="24"/>
          <w:szCs w:val="24"/>
        </w:rPr>
        <w:t>e</w:t>
      </w:r>
      <w:r w:rsidR="008E22F7" w:rsidRPr="009576D8">
        <w:rPr>
          <w:sz w:val="24"/>
          <w:szCs w:val="24"/>
        </w:rPr>
        <w:t xml:space="preserve">, które uprości postępowania administracyjne, jak również usprawni </w:t>
      </w:r>
      <w:r w:rsidR="0091410B" w:rsidRPr="009576D8">
        <w:rPr>
          <w:sz w:val="24"/>
          <w:szCs w:val="24"/>
        </w:rPr>
        <w:t>i</w:t>
      </w:r>
      <w:r w:rsidR="0091410B">
        <w:rPr>
          <w:sz w:val="24"/>
          <w:szCs w:val="24"/>
        </w:rPr>
        <w:t> </w:t>
      </w:r>
      <w:r w:rsidR="008E22F7" w:rsidRPr="009576D8">
        <w:rPr>
          <w:sz w:val="24"/>
          <w:szCs w:val="24"/>
        </w:rPr>
        <w:t>zmniejszy koszty administracyjne w procedurze uzyskiwania zgody na przejazd pojazdu nienormatywnego</w:t>
      </w:r>
      <w:r w:rsidR="000563ED" w:rsidRPr="009576D8">
        <w:rPr>
          <w:rStyle w:val="Odwoanieprzypisudolnego"/>
          <w:sz w:val="24"/>
          <w:szCs w:val="24"/>
        </w:rPr>
        <w:footnoteReference w:id="43"/>
      </w:r>
      <w:r w:rsidR="0091410B" w:rsidRPr="009576D8">
        <w:rPr>
          <w:sz w:val="24"/>
          <w:szCs w:val="24"/>
        </w:rPr>
        <w:t>;</w:t>
      </w:r>
      <w:r w:rsidR="008E22F7" w:rsidRPr="009576D8">
        <w:rPr>
          <w:sz w:val="24"/>
          <w:szCs w:val="24"/>
        </w:rPr>
        <w:t xml:space="preserve"> </w:t>
      </w:r>
    </w:p>
    <w:p w14:paraId="68C35BF7" w14:textId="04E4D621" w:rsidR="008E22F7" w:rsidRPr="009576D8" w:rsidRDefault="008E22F7" w:rsidP="00124F38">
      <w:pPr>
        <w:pStyle w:val="Akapitzlist"/>
        <w:numPr>
          <w:ilvl w:val="0"/>
          <w:numId w:val="13"/>
        </w:numPr>
        <w:spacing w:after="120" w:line="276" w:lineRule="auto"/>
        <w:contextualSpacing w:val="0"/>
        <w:rPr>
          <w:sz w:val="24"/>
          <w:szCs w:val="24"/>
        </w:rPr>
      </w:pPr>
      <w:r w:rsidRPr="009576D8">
        <w:rPr>
          <w:sz w:val="24"/>
          <w:szCs w:val="24"/>
        </w:rPr>
        <w:t>zapewni możliwoś</w:t>
      </w:r>
      <w:r w:rsidR="005837D8" w:rsidRPr="009576D8">
        <w:rPr>
          <w:sz w:val="24"/>
          <w:szCs w:val="24"/>
        </w:rPr>
        <w:t>ć</w:t>
      </w:r>
      <w:r w:rsidRPr="009576D8">
        <w:rPr>
          <w:sz w:val="24"/>
          <w:szCs w:val="24"/>
        </w:rPr>
        <w:t xml:space="preserve"> wymiany informacji za pośrednictwem platform opartych na</w:t>
      </w:r>
      <w:r w:rsidR="00B4085E">
        <w:rPr>
          <w:sz w:val="24"/>
          <w:szCs w:val="24"/>
        </w:rPr>
        <w:t> </w:t>
      </w:r>
      <w:r w:rsidRPr="009576D8">
        <w:rPr>
          <w:sz w:val="24"/>
          <w:szCs w:val="24"/>
        </w:rPr>
        <w:t>technologiach informacyjno-komunikacyjnych (zamiast dokumentów w</w:t>
      </w:r>
      <w:r w:rsidR="00C23D73">
        <w:rPr>
          <w:sz w:val="24"/>
          <w:szCs w:val="24"/>
        </w:rPr>
        <w:t> </w:t>
      </w:r>
      <w:r w:rsidRPr="009576D8">
        <w:rPr>
          <w:sz w:val="24"/>
          <w:szCs w:val="24"/>
        </w:rPr>
        <w:t>formie papierowej) między przedsiębiorcami a właściwymi organami w</w:t>
      </w:r>
      <w:r w:rsidR="00C23D73">
        <w:rPr>
          <w:sz w:val="24"/>
          <w:szCs w:val="24"/>
        </w:rPr>
        <w:t> </w:t>
      </w:r>
      <w:r w:rsidRPr="009576D8">
        <w:rPr>
          <w:sz w:val="24"/>
          <w:szCs w:val="24"/>
        </w:rPr>
        <w:t xml:space="preserve">przewozie towarów w sektorach transportu drogowego, kolejowego, lotniczego oraz </w:t>
      </w:r>
      <w:r w:rsidR="0091410B" w:rsidRPr="009576D8">
        <w:rPr>
          <w:sz w:val="24"/>
          <w:szCs w:val="24"/>
        </w:rPr>
        <w:t>w</w:t>
      </w:r>
      <w:r w:rsidR="0091410B">
        <w:rPr>
          <w:sz w:val="24"/>
          <w:szCs w:val="24"/>
        </w:rPr>
        <w:t> </w:t>
      </w:r>
      <w:r w:rsidRPr="009576D8">
        <w:rPr>
          <w:sz w:val="24"/>
          <w:szCs w:val="24"/>
        </w:rPr>
        <w:t>żegludze śródlądowej</w:t>
      </w:r>
      <w:r w:rsidR="00536DF7" w:rsidRPr="009576D8">
        <w:rPr>
          <w:rStyle w:val="Odwoanieprzypisudolnego"/>
          <w:sz w:val="24"/>
          <w:szCs w:val="24"/>
        </w:rPr>
        <w:footnoteReference w:id="44"/>
      </w:r>
      <w:r w:rsidR="0091410B" w:rsidRPr="009576D8">
        <w:rPr>
          <w:sz w:val="24"/>
          <w:szCs w:val="24"/>
        </w:rPr>
        <w:t>;</w:t>
      </w:r>
    </w:p>
    <w:p w14:paraId="3B001926" w14:textId="60F7E250" w:rsidR="00B95B86" w:rsidRPr="009576D8" w:rsidRDefault="00B95B86" w:rsidP="00124F38">
      <w:pPr>
        <w:pStyle w:val="Akapitzlist"/>
        <w:numPr>
          <w:ilvl w:val="0"/>
          <w:numId w:val="13"/>
        </w:numPr>
        <w:spacing w:after="120" w:line="276" w:lineRule="auto"/>
        <w:contextualSpacing w:val="0"/>
        <w:rPr>
          <w:sz w:val="24"/>
          <w:szCs w:val="24"/>
        </w:rPr>
      </w:pPr>
      <w:r w:rsidRPr="009576D8">
        <w:rPr>
          <w:sz w:val="24"/>
          <w:szCs w:val="24"/>
        </w:rPr>
        <w:lastRenderedPageBreak/>
        <w:t>uporządk</w:t>
      </w:r>
      <w:r w:rsidR="005837D8" w:rsidRPr="009576D8">
        <w:rPr>
          <w:sz w:val="24"/>
          <w:szCs w:val="24"/>
        </w:rPr>
        <w:t>uje</w:t>
      </w:r>
      <w:r w:rsidRPr="009576D8">
        <w:rPr>
          <w:sz w:val="24"/>
          <w:szCs w:val="24"/>
        </w:rPr>
        <w:t xml:space="preserve"> i </w:t>
      </w:r>
      <w:r w:rsidR="005837D8" w:rsidRPr="009576D8">
        <w:rPr>
          <w:sz w:val="24"/>
          <w:szCs w:val="24"/>
        </w:rPr>
        <w:t xml:space="preserve">zdigitalizuje </w:t>
      </w:r>
      <w:r w:rsidRPr="009576D8">
        <w:rPr>
          <w:sz w:val="24"/>
          <w:szCs w:val="24"/>
        </w:rPr>
        <w:t>istniejąc</w:t>
      </w:r>
      <w:r w:rsidR="005837D8" w:rsidRPr="009576D8">
        <w:rPr>
          <w:sz w:val="24"/>
          <w:szCs w:val="24"/>
        </w:rPr>
        <w:t xml:space="preserve">e procesy sprawozdawcze związane </w:t>
      </w:r>
      <w:r w:rsidRPr="009576D8">
        <w:rPr>
          <w:sz w:val="24"/>
          <w:szCs w:val="24"/>
        </w:rPr>
        <w:t>z</w:t>
      </w:r>
      <w:r w:rsidR="00753234">
        <w:rPr>
          <w:sz w:val="24"/>
          <w:szCs w:val="24"/>
        </w:rPr>
        <w:t> </w:t>
      </w:r>
      <w:r w:rsidRPr="009576D8">
        <w:rPr>
          <w:sz w:val="24"/>
          <w:szCs w:val="24"/>
        </w:rPr>
        <w:t>tzw.</w:t>
      </w:r>
      <w:r w:rsidR="00753234">
        <w:rPr>
          <w:sz w:val="24"/>
          <w:szCs w:val="24"/>
        </w:rPr>
        <w:t> </w:t>
      </w:r>
      <w:r w:rsidR="003B24CB">
        <w:rPr>
          <w:sz w:val="24"/>
          <w:szCs w:val="24"/>
        </w:rPr>
        <w:t>„</w:t>
      </w:r>
      <w:r w:rsidRPr="009576D8">
        <w:rPr>
          <w:sz w:val="24"/>
          <w:szCs w:val="24"/>
        </w:rPr>
        <w:t>Programem azotanowym</w:t>
      </w:r>
      <w:r w:rsidR="003B24CB">
        <w:rPr>
          <w:sz w:val="24"/>
          <w:szCs w:val="24"/>
        </w:rPr>
        <w:t>”</w:t>
      </w:r>
      <w:r w:rsidRPr="009576D8">
        <w:rPr>
          <w:rStyle w:val="Odwoanieprzypisudolnego"/>
          <w:sz w:val="24"/>
          <w:szCs w:val="24"/>
        </w:rPr>
        <w:footnoteReference w:id="45"/>
      </w:r>
      <w:r w:rsidRPr="009576D8">
        <w:rPr>
          <w:sz w:val="24"/>
          <w:szCs w:val="24"/>
        </w:rPr>
        <w:t>. Jego celem jest zmniejszenie obciążeń administracyjnych poprzez wykorzystanie już funkcjonujących narzędzi informatycznych i ich integrację w jednolitym systemie.</w:t>
      </w:r>
    </w:p>
    <w:p w14:paraId="4A771845" w14:textId="77777777" w:rsidR="0091410B" w:rsidRDefault="00C624FC" w:rsidP="00124F38">
      <w:pPr>
        <w:spacing w:after="120" w:line="276" w:lineRule="auto"/>
        <w:rPr>
          <w:b/>
          <w:bCs/>
          <w:sz w:val="24"/>
          <w:szCs w:val="24"/>
        </w:rPr>
      </w:pPr>
      <w:r w:rsidRPr="009576D8">
        <w:rPr>
          <w:b/>
          <w:bCs/>
          <w:sz w:val="24"/>
          <w:szCs w:val="24"/>
        </w:rPr>
        <w:t>Minister właściwy do spraw budżetu państwa, finansów publicznych oraz instytucji finansowych</w:t>
      </w:r>
      <w:r w:rsidR="0091410B">
        <w:rPr>
          <w:b/>
          <w:bCs/>
          <w:sz w:val="24"/>
          <w:szCs w:val="24"/>
        </w:rPr>
        <w:t>:</w:t>
      </w:r>
    </w:p>
    <w:p w14:paraId="2725A82E" w14:textId="3E5798D4" w:rsidR="00A4618E" w:rsidRPr="009576D8" w:rsidRDefault="005837D8" w:rsidP="00124F38">
      <w:pPr>
        <w:pStyle w:val="Akapitzlist"/>
        <w:numPr>
          <w:ilvl w:val="0"/>
          <w:numId w:val="14"/>
        </w:numPr>
        <w:spacing w:after="120" w:line="276" w:lineRule="auto"/>
        <w:contextualSpacing w:val="0"/>
        <w:rPr>
          <w:sz w:val="24"/>
          <w:szCs w:val="24"/>
        </w:rPr>
      </w:pPr>
      <w:r w:rsidRPr="009576D8">
        <w:rPr>
          <w:sz w:val="24"/>
          <w:szCs w:val="24"/>
        </w:rPr>
        <w:t xml:space="preserve">włączy </w:t>
      </w:r>
      <w:r w:rsidR="00A4618E" w:rsidRPr="009576D8">
        <w:rPr>
          <w:sz w:val="24"/>
          <w:szCs w:val="24"/>
        </w:rPr>
        <w:t xml:space="preserve">do </w:t>
      </w:r>
      <w:r w:rsidR="00B43D25" w:rsidRPr="009576D8">
        <w:rPr>
          <w:sz w:val="24"/>
          <w:szCs w:val="24"/>
        </w:rPr>
        <w:t xml:space="preserve">jednej </w:t>
      </w:r>
      <w:r w:rsidR="00A4618E" w:rsidRPr="009576D8">
        <w:rPr>
          <w:sz w:val="24"/>
          <w:szCs w:val="24"/>
        </w:rPr>
        <w:t>ogólnodostępnej</w:t>
      </w:r>
      <w:r w:rsidR="00B43D25" w:rsidRPr="009576D8">
        <w:rPr>
          <w:sz w:val="24"/>
          <w:szCs w:val="24"/>
        </w:rPr>
        <w:t xml:space="preserve"> </w:t>
      </w:r>
      <w:r w:rsidR="00A4618E" w:rsidRPr="009576D8">
        <w:rPr>
          <w:sz w:val="24"/>
          <w:szCs w:val="24"/>
        </w:rPr>
        <w:t>bazy (tj. Systemu Informacji Celno-Skarbowej EUREKA</w:t>
      </w:r>
      <w:r w:rsidR="00202D9E" w:rsidRPr="009576D8">
        <w:rPr>
          <w:rStyle w:val="Odwoanieprzypisudolnego"/>
          <w:sz w:val="24"/>
          <w:szCs w:val="24"/>
        </w:rPr>
        <w:footnoteReference w:id="46"/>
      </w:r>
      <w:r w:rsidR="00A4618E" w:rsidRPr="009576D8">
        <w:rPr>
          <w:sz w:val="24"/>
          <w:szCs w:val="24"/>
        </w:rPr>
        <w:t>)</w:t>
      </w:r>
      <w:r w:rsidR="00B43D25" w:rsidRPr="009576D8">
        <w:rPr>
          <w:sz w:val="24"/>
          <w:szCs w:val="24"/>
        </w:rPr>
        <w:t xml:space="preserve">, </w:t>
      </w:r>
      <w:r w:rsidR="00A4618E" w:rsidRPr="009576D8">
        <w:rPr>
          <w:sz w:val="24"/>
          <w:szCs w:val="24"/>
        </w:rPr>
        <w:t>zawierającej kompleksowy zbiór informacji na temat prawa podatkowego i celnego, interpretacj</w:t>
      </w:r>
      <w:r w:rsidR="007D121C">
        <w:rPr>
          <w:sz w:val="24"/>
          <w:szCs w:val="24"/>
        </w:rPr>
        <w:t>e</w:t>
      </w:r>
      <w:r w:rsidR="00A4618E" w:rsidRPr="009576D8">
        <w:rPr>
          <w:sz w:val="24"/>
          <w:szCs w:val="24"/>
        </w:rPr>
        <w:t xml:space="preserve"> indywidualn</w:t>
      </w:r>
      <w:r w:rsidR="007D121C">
        <w:rPr>
          <w:sz w:val="24"/>
          <w:szCs w:val="24"/>
        </w:rPr>
        <w:t>e</w:t>
      </w:r>
      <w:r w:rsidR="00A4618E" w:rsidRPr="009576D8">
        <w:rPr>
          <w:sz w:val="24"/>
          <w:szCs w:val="24"/>
        </w:rPr>
        <w:t xml:space="preserve"> wydawan</w:t>
      </w:r>
      <w:r w:rsidR="007D121C">
        <w:rPr>
          <w:sz w:val="24"/>
          <w:szCs w:val="24"/>
        </w:rPr>
        <w:t>e</w:t>
      </w:r>
      <w:r w:rsidR="00A4618E" w:rsidRPr="009576D8">
        <w:rPr>
          <w:sz w:val="24"/>
          <w:szCs w:val="24"/>
        </w:rPr>
        <w:t xml:space="preserve"> przez wójtów, burmistrzów, prezydentów miast w zakresie podatków i opłat lokalnych, które obecnie publikowane są na stronach tych organów</w:t>
      </w:r>
      <w:r w:rsidR="0091410B" w:rsidRPr="009576D8">
        <w:rPr>
          <w:sz w:val="24"/>
          <w:szCs w:val="24"/>
        </w:rPr>
        <w:t>;</w:t>
      </w:r>
    </w:p>
    <w:p w14:paraId="35A4254B" w14:textId="5720C418" w:rsidR="00A4618E" w:rsidRPr="009576D8" w:rsidRDefault="00A4618E" w:rsidP="00124F38">
      <w:pPr>
        <w:pStyle w:val="Akapitzlist"/>
        <w:numPr>
          <w:ilvl w:val="0"/>
          <w:numId w:val="14"/>
        </w:numPr>
        <w:spacing w:after="120" w:line="276" w:lineRule="auto"/>
        <w:contextualSpacing w:val="0"/>
        <w:rPr>
          <w:sz w:val="24"/>
          <w:szCs w:val="24"/>
        </w:rPr>
      </w:pPr>
      <w:r w:rsidRPr="009576D8">
        <w:rPr>
          <w:sz w:val="24"/>
          <w:szCs w:val="24"/>
        </w:rPr>
        <w:t>przeprowadz</w:t>
      </w:r>
      <w:r w:rsidR="0091410B" w:rsidRPr="009576D8">
        <w:rPr>
          <w:sz w:val="24"/>
          <w:szCs w:val="24"/>
        </w:rPr>
        <w:t>i</w:t>
      </w:r>
      <w:r w:rsidRPr="009576D8">
        <w:rPr>
          <w:sz w:val="24"/>
          <w:szCs w:val="24"/>
        </w:rPr>
        <w:t xml:space="preserve"> synergi</w:t>
      </w:r>
      <w:r w:rsidR="0091410B" w:rsidRPr="009576D8">
        <w:rPr>
          <w:sz w:val="24"/>
          <w:szCs w:val="24"/>
        </w:rPr>
        <w:t>ę</w:t>
      </w:r>
      <w:r w:rsidRPr="009576D8">
        <w:rPr>
          <w:sz w:val="24"/>
          <w:szCs w:val="24"/>
        </w:rPr>
        <w:t xml:space="preserve"> danych </w:t>
      </w:r>
      <w:r w:rsidR="00B43D25" w:rsidRPr="009576D8">
        <w:rPr>
          <w:sz w:val="24"/>
          <w:szCs w:val="24"/>
        </w:rPr>
        <w:t>Centralnego Rejestru Beneficjentów Rzeczywistych</w:t>
      </w:r>
      <w:r w:rsidR="00202D9E" w:rsidRPr="009576D8">
        <w:rPr>
          <w:rStyle w:val="Odwoanieprzypisudolnego"/>
          <w:sz w:val="24"/>
          <w:szCs w:val="24"/>
        </w:rPr>
        <w:footnoteReference w:id="47"/>
      </w:r>
      <w:r w:rsidR="00B43D25" w:rsidRPr="009576D8" w:rsidDel="00B43D25">
        <w:rPr>
          <w:sz w:val="24"/>
          <w:szCs w:val="24"/>
        </w:rPr>
        <w:t xml:space="preserve"> </w:t>
      </w:r>
      <w:r w:rsidRPr="009576D8">
        <w:rPr>
          <w:sz w:val="24"/>
          <w:szCs w:val="24"/>
        </w:rPr>
        <w:t xml:space="preserve">i </w:t>
      </w:r>
      <w:r w:rsidR="00B60AFC" w:rsidRPr="009576D8">
        <w:rPr>
          <w:sz w:val="24"/>
          <w:szCs w:val="24"/>
        </w:rPr>
        <w:t>Krajowego Rejestru Sądowego</w:t>
      </w:r>
      <w:r w:rsidR="00202D9E" w:rsidRPr="009576D8">
        <w:rPr>
          <w:rStyle w:val="Odwoanieprzypisudolnego"/>
          <w:sz w:val="24"/>
          <w:szCs w:val="24"/>
        </w:rPr>
        <w:footnoteReference w:id="48"/>
      </w:r>
      <w:r w:rsidR="00B43D25" w:rsidRPr="009576D8">
        <w:rPr>
          <w:sz w:val="24"/>
          <w:szCs w:val="24"/>
        </w:rPr>
        <w:t xml:space="preserve"> </w:t>
      </w:r>
      <w:r w:rsidR="0091410B" w:rsidRPr="009576D8">
        <w:rPr>
          <w:sz w:val="24"/>
          <w:szCs w:val="24"/>
        </w:rPr>
        <w:t>c</w:t>
      </w:r>
      <w:r w:rsidR="0098446A" w:rsidRPr="009576D8">
        <w:rPr>
          <w:sz w:val="24"/>
          <w:szCs w:val="24"/>
        </w:rPr>
        <w:t xml:space="preserve">elem </w:t>
      </w:r>
      <w:r w:rsidR="00782A32" w:rsidRPr="009576D8">
        <w:rPr>
          <w:sz w:val="24"/>
          <w:szCs w:val="24"/>
        </w:rPr>
        <w:t>zapewnieni</w:t>
      </w:r>
      <w:r w:rsidR="0091410B" w:rsidRPr="009576D8">
        <w:rPr>
          <w:sz w:val="24"/>
          <w:szCs w:val="24"/>
        </w:rPr>
        <w:t>a</w:t>
      </w:r>
      <w:r w:rsidR="00782A32" w:rsidRPr="009576D8">
        <w:rPr>
          <w:sz w:val="24"/>
          <w:szCs w:val="24"/>
        </w:rPr>
        <w:t xml:space="preserve"> możliwości </w:t>
      </w:r>
      <w:r w:rsidR="0098446A" w:rsidRPr="009576D8">
        <w:rPr>
          <w:sz w:val="24"/>
          <w:szCs w:val="24"/>
        </w:rPr>
        <w:t>użycia</w:t>
      </w:r>
      <w:r w:rsidRPr="009576D8">
        <w:rPr>
          <w:sz w:val="24"/>
          <w:szCs w:val="24"/>
        </w:rPr>
        <w:t xml:space="preserve"> danych w KRS przez CRBR, aby przedsiębiorcy zobowiązani do zgłaszania informacji do CRBR mogli korzystać z formularza wypełnionego częściowo danymi uzyskanymi </w:t>
      </w:r>
      <w:r w:rsidR="0098446A" w:rsidRPr="009576D8">
        <w:rPr>
          <w:sz w:val="24"/>
          <w:szCs w:val="24"/>
        </w:rPr>
        <w:t>z</w:t>
      </w:r>
      <w:r w:rsidRPr="009576D8">
        <w:rPr>
          <w:sz w:val="24"/>
          <w:szCs w:val="24"/>
        </w:rPr>
        <w:t xml:space="preserve"> KRS</w:t>
      </w:r>
      <w:r w:rsidR="0098446A" w:rsidRPr="009576D8">
        <w:rPr>
          <w:sz w:val="24"/>
          <w:szCs w:val="24"/>
        </w:rPr>
        <w:t xml:space="preserve">. </w:t>
      </w:r>
    </w:p>
    <w:p w14:paraId="7A8BACF1" w14:textId="77777777" w:rsidR="00FF43A8" w:rsidRDefault="00C700C6" w:rsidP="00124F38">
      <w:pPr>
        <w:spacing w:after="120" w:line="276" w:lineRule="auto"/>
        <w:rPr>
          <w:b/>
          <w:bCs/>
          <w:sz w:val="24"/>
          <w:szCs w:val="24"/>
        </w:rPr>
      </w:pPr>
      <w:r w:rsidRPr="009576D8">
        <w:rPr>
          <w:b/>
          <w:bCs/>
          <w:sz w:val="24"/>
          <w:szCs w:val="24"/>
        </w:rPr>
        <w:t>Minister właściwy do spraw budownictwa, planowania i zagospodarowania przestrzennego oraz mieszkalnictwa</w:t>
      </w:r>
    </w:p>
    <w:p w14:paraId="2DADBCC0" w14:textId="7133D842" w:rsidR="006A7E55" w:rsidRPr="007123DB" w:rsidRDefault="00B60AFC" w:rsidP="00124F38">
      <w:pPr>
        <w:pStyle w:val="Akapitzlist"/>
        <w:numPr>
          <w:ilvl w:val="0"/>
          <w:numId w:val="17"/>
        </w:numPr>
        <w:spacing w:after="120" w:line="276" w:lineRule="auto"/>
        <w:rPr>
          <w:sz w:val="24"/>
          <w:szCs w:val="24"/>
        </w:rPr>
      </w:pPr>
      <w:r w:rsidRPr="007123DB">
        <w:rPr>
          <w:sz w:val="24"/>
          <w:szCs w:val="24"/>
        </w:rPr>
        <w:t xml:space="preserve">wdroży </w:t>
      </w:r>
      <w:r w:rsidR="006A7E55" w:rsidRPr="007123DB">
        <w:rPr>
          <w:sz w:val="24"/>
          <w:szCs w:val="24"/>
        </w:rPr>
        <w:t>pełn</w:t>
      </w:r>
      <w:r w:rsidR="00C700C6" w:rsidRPr="007123DB">
        <w:rPr>
          <w:sz w:val="24"/>
          <w:szCs w:val="24"/>
        </w:rPr>
        <w:t>ą</w:t>
      </w:r>
      <w:r w:rsidR="006A7E55" w:rsidRPr="007123DB">
        <w:rPr>
          <w:sz w:val="24"/>
          <w:szCs w:val="24"/>
        </w:rPr>
        <w:t xml:space="preserve"> cyfryzacj</w:t>
      </w:r>
      <w:r w:rsidR="00C700C6" w:rsidRPr="007123DB">
        <w:rPr>
          <w:sz w:val="24"/>
          <w:szCs w:val="24"/>
        </w:rPr>
        <w:t>ę</w:t>
      </w:r>
      <w:r w:rsidR="006A7E55" w:rsidRPr="007123DB">
        <w:rPr>
          <w:sz w:val="24"/>
          <w:szCs w:val="24"/>
        </w:rPr>
        <w:t xml:space="preserve"> przeprowadzania narad koordynacyjnych. Wniosek o</w:t>
      </w:r>
      <w:r w:rsidR="007123DB">
        <w:rPr>
          <w:sz w:val="24"/>
          <w:szCs w:val="24"/>
        </w:rPr>
        <w:t> </w:t>
      </w:r>
      <w:r w:rsidR="006A7E55" w:rsidRPr="007123DB">
        <w:rPr>
          <w:sz w:val="24"/>
          <w:szCs w:val="24"/>
        </w:rPr>
        <w:t xml:space="preserve">skoordynowanie usytuowania projektowanej sieci uzbrojenia terenu składany będzie obligatoryjnie w formie dokumentu elektronicznego </w:t>
      </w:r>
      <w:r w:rsidR="0091410B" w:rsidRPr="007123DB">
        <w:rPr>
          <w:sz w:val="24"/>
          <w:szCs w:val="24"/>
        </w:rPr>
        <w:t>a </w:t>
      </w:r>
      <w:r w:rsidR="006A7E55" w:rsidRPr="007123DB">
        <w:rPr>
          <w:sz w:val="24"/>
          <w:szCs w:val="24"/>
        </w:rPr>
        <w:t>narada koordynacyjna przeprowadzana zawsze za pomocą środków komunikacji elektronicznej</w:t>
      </w:r>
      <w:r w:rsidR="00C700C6" w:rsidRPr="009576D8">
        <w:rPr>
          <w:rStyle w:val="Odwoanieprzypisudolnego"/>
          <w:sz w:val="24"/>
          <w:szCs w:val="24"/>
        </w:rPr>
        <w:footnoteReference w:id="49"/>
      </w:r>
      <w:r w:rsidR="006A7E55" w:rsidRPr="007123DB">
        <w:rPr>
          <w:sz w:val="24"/>
          <w:szCs w:val="24"/>
        </w:rPr>
        <w:t>.</w:t>
      </w:r>
    </w:p>
    <w:p w14:paraId="267404EB" w14:textId="77777777" w:rsidR="00FF43A8" w:rsidRDefault="008603A8" w:rsidP="00124F38">
      <w:pPr>
        <w:spacing w:after="120" w:line="276" w:lineRule="auto"/>
        <w:rPr>
          <w:sz w:val="24"/>
          <w:szCs w:val="24"/>
        </w:rPr>
      </w:pPr>
      <w:r w:rsidRPr="009576D8">
        <w:rPr>
          <w:b/>
          <w:bCs/>
          <w:sz w:val="24"/>
          <w:szCs w:val="24"/>
        </w:rPr>
        <w:t xml:space="preserve">Minister właściwy </w:t>
      </w:r>
      <w:r w:rsidR="004F2E83">
        <w:rPr>
          <w:b/>
          <w:bCs/>
          <w:sz w:val="24"/>
          <w:szCs w:val="24"/>
        </w:rPr>
        <w:t>do spraw</w:t>
      </w:r>
      <w:r w:rsidRPr="009576D8">
        <w:rPr>
          <w:b/>
          <w:bCs/>
          <w:sz w:val="24"/>
          <w:szCs w:val="24"/>
        </w:rPr>
        <w:t xml:space="preserve"> klimatu i środowiska</w:t>
      </w:r>
      <w:r w:rsidRPr="009576D8">
        <w:rPr>
          <w:sz w:val="24"/>
          <w:szCs w:val="24"/>
        </w:rPr>
        <w:t xml:space="preserve"> </w:t>
      </w:r>
    </w:p>
    <w:p w14:paraId="69C7F001" w14:textId="75835D12" w:rsidR="008603A8" w:rsidRPr="007123DB" w:rsidRDefault="008603A8" w:rsidP="00124F38">
      <w:pPr>
        <w:pStyle w:val="Akapitzlist"/>
        <w:numPr>
          <w:ilvl w:val="0"/>
          <w:numId w:val="17"/>
        </w:numPr>
        <w:spacing w:after="120" w:line="276" w:lineRule="auto"/>
        <w:rPr>
          <w:sz w:val="24"/>
          <w:szCs w:val="24"/>
        </w:rPr>
      </w:pPr>
      <w:r w:rsidRPr="007123DB">
        <w:rPr>
          <w:sz w:val="24"/>
          <w:szCs w:val="24"/>
        </w:rPr>
        <w:t xml:space="preserve">utworzy Platformę Efektywności Energetycznej, w ramach której nastąpi kompleksowa cyfryzacja procesu uzyskiwania świadectw efektywności </w:t>
      </w:r>
      <w:r w:rsidRPr="007123DB">
        <w:rPr>
          <w:sz w:val="24"/>
          <w:szCs w:val="24"/>
        </w:rPr>
        <w:lastRenderedPageBreak/>
        <w:t>energetycznej</w:t>
      </w:r>
      <w:r w:rsidR="0091410B">
        <w:rPr>
          <w:rStyle w:val="Odwoanieprzypisudolnego"/>
          <w:sz w:val="24"/>
          <w:szCs w:val="24"/>
        </w:rPr>
        <w:footnoteReference w:id="50"/>
      </w:r>
      <w:r w:rsidR="0091410B" w:rsidRPr="007123DB">
        <w:rPr>
          <w:sz w:val="24"/>
          <w:szCs w:val="24"/>
        </w:rPr>
        <w:t>.</w:t>
      </w:r>
      <w:r w:rsidRPr="007123DB">
        <w:rPr>
          <w:sz w:val="24"/>
          <w:szCs w:val="24"/>
        </w:rPr>
        <w:t xml:space="preserve"> System świadectw efektywności energetycznej, zwany potocznie systemem białych certyfikatów, stanowi jeden z</w:t>
      </w:r>
      <w:r w:rsidR="0091410B" w:rsidRPr="007123DB">
        <w:rPr>
          <w:sz w:val="24"/>
          <w:szCs w:val="24"/>
        </w:rPr>
        <w:t> </w:t>
      </w:r>
      <w:r w:rsidRPr="007123DB">
        <w:rPr>
          <w:sz w:val="24"/>
          <w:szCs w:val="24"/>
        </w:rPr>
        <w:t>kluczowych mechanizmów wsparcia efektywności energetycznej w Polsce. Nowa platforma obejmie w</w:t>
      </w:r>
      <w:r w:rsidR="001428A2">
        <w:rPr>
          <w:sz w:val="24"/>
          <w:szCs w:val="24"/>
        </w:rPr>
        <w:t> </w:t>
      </w:r>
      <w:r w:rsidRPr="007123DB">
        <w:rPr>
          <w:sz w:val="24"/>
          <w:szCs w:val="24"/>
        </w:rPr>
        <w:t>sposób wyczerpujący całość procesu – począwszy od zbierania wniosków o</w:t>
      </w:r>
      <w:r w:rsidR="001428A2">
        <w:rPr>
          <w:sz w:val="24"/>
          <w:szCs w:val="24"/>
        </w:rPr>
        <w:t> </w:t>
      </w:r>
      <w:r w:rsidRPr="007123DB">
        <w:rPr>
          <w:sz w:val="24"/>
          <w:szCs w:val="24"/>
        </w:rPr>
        <w:t>wydanie świadectw efektywności energetycznej, przez proces weryfikacji i</w:t>
      </w:r>
      <w:r w:rsidR="0091410B" w:rsidRPr="007123DB">
        <w:rPr>
          <w:sz w:val="24"/>
          <w:szCs w:val="24"/>
        </w:rPr>
        <w:t> </w:t>
      </w:r>
      <w:r w:rsidRPr="007123DB">
        <w:rPr>
          <w:sz w:val="24"/>
          <w:szCs w:val="24"/>
        </w:rPr>
        <w:t>uzupełniania wniosków, po ich wydawanie i informowanie o tym fakcie audytorów, wnioskodawców i podmiotów, dla których wydano świadectwa. Projekt przewiduje także usprawnienia procesu weryfikacji audytów efektywności energetycznej przez Prezesa Urzędu Regulacji Energetyki.</w:t>
      </w:r>
    </w:p>
    <w:p w14:paraId="5C710558" w14:textId="77777777" w:rsidR="00FF43A8" w:rsidRDefault="00A40A24" w:rsidP="00F05174">
      <w:pPr>
        <w:spacing w:after="120" w:line="276" w:lineRule="auto"/>
        <w:rPr>
          <w:b/>
          <w:bCs/>
          <w:sz w:val="24"/>
          <w:szCs w:val="24"/>
        </w:rPr>
      </w:pPr>
      <w:r w:rsidRPr="009576D8">
        <w:rPr>
          <w:b/>
          <w:bCs/>
          <w:sz w:val="24"/>
          <w:szCs w:val="24"/>
        </w:rPr>
        <w:t>Minister właściwy do spraw zdrowia</w:t>
      </w:r>
    </w:p>
    <w:p w14:paraId="27468CB6" w14:textId="5E66971D" w:rsidR="006A7E55" w:rsidRPr="007123DB" w:rsidRDefault="00A40A24" w:rsidP="007123DB">
      <w:pPr>
        <w:pStyle w:val="Akapitzlist"/>
        <w:numPr>
          <w:ilvl w:val="0"/>
          <w:numId w:val="17"/>
        </w:numPr>
        <w:spacing w:after="120" w:line="276" w:lineRule="auto"/>
        <w:rPr>
          <w:sz w:val="24"/>
          <w:szCs w:val="24"/>
        </w:rPr>
      </w:pPr>
      <w:r w:rsidRPr="007123DB">
        <w:rPr>
          <w:sz w:val="24"/>
          <w:szCs w:val="24"/>
        </w:rPr>
        <w:t>opracuje</w:t>
      </w:r>
      <w:r w:rsidR="006A7E55" w:rsidRPr="007123DB">
        <w:rPr>
          <w:sz w:val="24"/>
          <w:szCs w:val="24"/>
        </w:rPr>
        <w:t xml:space="preserve"> </w:t>
      </w:r>
      <w:r w:rsidRPr="007123DB">
        <w:rPr>
          <w:sz w:val="24"/>
          <w:szCs w:val="24"/>
        </w:rPr>
        <w:t>cyfrowe wzory</w:t>
      </w:r>
      <w:r w:rsidR="006A7E55" w:rsidRPr="007123DB">
        <w:rPr>
          <w:sz w:val="24"/>
          <w:szCs w:val="24"/>
        </w:rPr>
        <w:t xml:space="preserve"> dokumentów medycyny pracy w ramach „Przyśpieszenia procesów transformacji cyfrowej ochrony zdrowia poprzez dalszy rozwój usług cyfrowych w ochronie zdrowia” Krajowego Planu Odbudowy </w:t>
      </w:r>
      <w:r w:rsidR="0091410B" w:rsidRPr="007123DB">
        <w:rPr>
          <w:sz w:val="24"/>
          <w:szCs w:val="24"/>
        </w:rPr>
        <w:t>i </w:t>
      </w:r>
      <w:r w:rsidR="006A7E55" w:rsidRPr="007123DB">
        <w:rPr>
          <w:sz w:val="24"/>
          <w:szCs w:val="24"/>
        </w:rPr>
        <w:t>Zwiększania Odporności</w:t>
      </w:r>
      <w:r w:rsidR="00202D9E" w:rsidRPr="009576D8">
        <w:rPr>
          <w:rStyle w:val="Odwoanieprzypisudolnego"/>
          <w:sz w:val="24"/>
          <w:szCs w:val="24"/>
        </w:rPr>
        <w:footnoteReference w:id="51"/>
      </w:r>
      <w:r w:rsidR="006A7E55" w:rsidRPr="007123DB">
        <w:rPr>
          <w:sz w:val="24"/>
          <w:szCs w:val="24"/>
        </w:rPr>
        <w:t>. Jednocześnie procedura elektronizacji w odniesieniu do</w:t>
      </w:r>
      <w:r w:rsidR="00B4085E" w:rsidRPr="007123DB">
        <w:rPr>
          <w:sz w:val="24"/>
          <w:szCs w:val="24"/>
        </w:rPr>
        <w:t> </w:t>
      </w:r>
      <w:r w:rsidR="006A7E55" w:rsidRPr="007123DB">
        <w:rPr>
          <w:sz w:val="24"/>
          <w:szCs w:val="24"/>
        </w:rPr>
        <w:t>medycyny pracy będzie prowadzona w ramach kilku etapów.</w:t>
      </w:r>
    </w:p>
    <w:p w14:paraId="06320545" w14:textId="6537168D" w:rsidR="002B32EA" w:rsidRPr="009576D8" w:rsidRDefault="002B32EA" w:rsidP="00F05174">
      <w:pPr>
        <w:keepNext/>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Wskaźnik: </w:t>
      </w:r>
      <w:r w:rsidR="003517EB" w:rsidRPr="009576D8">
        <w:rPr>
          <w:i/>
          <w:iCs/>
          <w:sz w:val="24"/>
          <w:szCs w:val="24"/>
        </w:rPr>
        <w:t>P</w:t>
      </w:r>
      <w:r w:rsidRPr="009576D8">
        <w:rPr>
          <w:i/>
          <w:iCs/>
          <w:sz w:val="24"/>
          <w:szCs w:val="24"/>
        </w:rPr>
        <w:t xml:space="preserve">rzygotowanie projektów zmian legislacyjnych we wskazanych obszarach </w:t>
      </w:r>
    </w:p>
    <w:p w14:paraId="63C6053E" w14:textId="0D6905CE" w:rsidR="00B60AFC" w:rsidRPr="009576D8" w:rsidRDefault="002B32EA"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właściw</w:t>
      </w:r>
      <w:r w:rsidR="000F3A07" w:rsidRPr="009576D8">
        <w:rPr>
          <w:i/>
          <w:iCs/>
          <w:sz w:val="24"/>
          <w:szCs w:val="24"/>
        </w:rPr>
        <w:t>i ministrowie</w:t>
      </w:r>
    </w:p>
    <w:p w14:paraId="4542EFB9" w14:textId="11105681" w:rsidR="00CC6944" w:rsidRPr="009576D8" w:rsidRDefault="002B32EA" w:rsidP="00F0517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2028</w:t>
      </w:r>
    </w:p>
    <w:p w14:paraId="6C49A458" w14:textId="23A6A2FA" w:rsidR="00A44258" w:rsidRPr="009576D8" w:rsidRDefault="00494CE1" w:rsidP="00494CE1">
      <w:pPr>
        <w:pStyle w:val="Nagwek2"/>
        <w:rPr>
          <w:b/>
          <w:bCs/>
        </w:rPr>
      </w:pPr>
      <w:bookmarkStart w:id="54" w:name="_Toc217927150"/>
      <w:bookmarkStart w:id="55" w:name="_Toc219276870"/>
      <w:r w:rsidRPr="009576D8">
        <w:rPr>
          <w:b/>
          <w:bCs/>
        </w:rPr>
        <w:t xml:space="preserve">Priorytet </w:t>
      </w:r>
      <w:r w:rsidRPr="009576D8">
        <w:rPr>
          <w:b/>
          <w:bCs/>
        </w:rPr>
        <w:fldChar w:fldCharType="begin"/>
      </w:r>
      <w:r w:rsidRPr="009576D8">
        <w:rPr>
          <w:b/>
          <w:bCs/>
        </w:rPr>
        <w:instrText xml:space="preserve"> SEQ Priorytet \* ARABIC </w:instrText>
      </w:r>
      <w:r w:rsidRPr="009576D8">
        <w:rPr>
          <w:b/>
          <w:bCs/>
        </w:rPr>
        <w:fldChar w:fldCharType="separate"/>
      </w:r>
      <w:r w:rsidR="003B392D" w:rsidRPr="009576D8">
        <w:rPr>
          <w:b/>
          <w:bCs/>
        </w:rPr>
        <w:t>4</w:t>
      </w:r>
      <w:r w:rsidRPr="009576D8">
        <w:rPr>
          <w:b/>
          <w:bCs/>
        </w:rPr>
        <w:fldChar w:fldCharType="end"/>
      </w:r>
      <w:r w:rsidR="004831D4" w:rsidRPr="009576D8">
        <w:rPr>
          <w:b/>
          <w:bCs/>
        </w:rPr>
        <w:t xml:space="preserve"> </w:t>
      </w:r>
      <w:r w:rsidR="00A44258" w:rsidRPr="009576D8">
        <w:rPr>
          <w:b/>
          <w:bCs/>
        </w:rPr>
        <w:t>– Przeciwdziałanie implementacji zwiększającej obciążenia regulacyjne</w:t>
      </w:r>
      <w:bookmarkEnd w:id="54"/>
      <w:bookmarkEnd w:id="55"/>
    </w:p>
    <w:p w14:paraId="4DF4197A" w14:textId="20C021AF" w:rsidR="00670FCC" w:rsidRDefault="00670FCC" w:rsidP="00124F38">
      <w:pPr>
        <w:spacing w:after="120" w:line="276" w:lineRule="auto"/>
        <w:rPr>
          <w:sz w:val="24"/>
          <w:szCs w:val="24"/>
        </w:rPr>
      </w:pPr>
      <w:r w:rsidRPr="009576D8">
        <w:rPr>
          <w:sz w:val="24"/>
          <w:szCs w:val="24"/>
        </w:rPr>
        <w:t>Implementując prawo europejskie, projektodawcy co do zasady transponują przepisy UE</w:t>
      </w:r>
      <w:r w:rsidR="00B4085E">
        <w:rPr>
          <w:sz w:val="24"/>
          <w:szCs w:val="24"/>
        </w:rPr>
        <w:t> </w:t>
      </w:r>
      <w:r w:rsidRPr="009576D8">
        <w:rPr>
          <w:sz w:val="24"/>
          <w:szCs w:val="24"/>
        </w:rPr>
        <w:t>w sposób efektywny</w:t>
      </w:r>
      <w:r w:rsidR="00664665">
        <w:rPr>
          <w:sz w:val="24"/>
          <w:szCs w:val="24"/>
        </w:rPr>
        <w:t xml:space="preserve">, </w:t>
      </w:r>
      <w:r w:rsidR="00664665" w:rsidRPr="00664665">
        <w:rPr>
          <w:sz w:val="24"/>
          <w:szCs w:val="24"/>
        </w:rPr>
        <w:t xml:space="preserve">możliwie wierny i bezpośredni, </w:t>
      </w:r>
      <w:r w:rsidR="00882D8D" w:rsidRPr="00664665">
        <w:rPr>
          <w:sz w:val="24"/>
          <w:szCs w:val="24"/>
        </w:rPr>
        <w:t>tz</w:t>
      </w:r>
      <w:r w:rsidR="00882D8D">
        <w:rPr>
          <w:sz w:val="24"/>
          <w:szCs w:val="24"/>
        </w:rPr>
        <w:t>n</w:t>
      </w:r>
      <w:r w:rsidR="00664665" w:rsidRPr="00664665">
        <w:rPr>
          <w:sz w:val="24"/>
          <w:szCs w:val="24"/>
        </w:rPr>
        <w:t xml:space="preserve">. </w:t>
      </w:r>
      <w:r w:rsidR="003B24CB">
        <w:rPr>
          <w:sz w:val="24"/>
          <w:szCs w:val="24"/>
        </w:rPr>
        <w:t>„</w:t>
      </w:r>
      <w:r w:rsidR="00664665" w:rsidRPr="00664665">
        <w:rPr>
          <w:sz w:val="24"/>
          <w:szCs w:val="24"/>
        </w:rPr>
        <w:t>jeden do jednego</w:t>
      </w:r>
      <w:r w:rsidR="003B24CB">
        <w:rPr>
          <w:sz w:val="24"/>
          <w:szCs w:val="24"/>
        </w:rPr>
        <w:t>”</w:t>
      </w:r>
      <w:r w:rsidR="00664665" w:rsidRPr="00664665">
        <w:rPr>
          <w:sz w:val="24"/>
          <w:szCs w:val="24"/>
        </w:rPr>
        <w:t>, ograniczając się do minimum koniecznego dla zapewnienia zgodności z wymogami Unii Europejskiej</w:t>
      </w:r>
      <w:r w:rsidRPr="009576D8">
        <w:rPr>
          <w:sz w:val="24"/>
          <w:szCs w:val="24"/>
        </w:rPr>
        <w:t>.</w:t>
      </w:r>
      <w:r w:rsidR="00664665">
        <w:rPr>
          <w:sz w:val="24"/>
          <w:szCs w:val="24"/>
        </w:rPr>
        <w:t xml:space="preserve"> </w:t>
      </w:r>
      <w:r w:rsidR="00664665" w:rsidRPr="00664665">
        <w:rPr>
          <w:sz w:val="24"/>
          <w:szCs w:val="24"/>
        </w:rPr>
        <w:t>W przypadkach, w których przepisy krajowe są przyjmowane w szerszym zakresie niż wymagany przez prawo UE, wynika to najczęściej z potrzeby dostosowania regulacji do istniejącego w Polsce porządku prawnego</w:t>
      </w:r>
      <w:r w:rsidR="00F05174">
        <w:rPr>
          <w:sz w:val="24"/>
          <w:szCs w:val="24"/>
        </w:rPr>
        <w:t xml:space="preserve"> </w:t>
      </w:r>
      <w:r w:rsidR="00F05174" w:rsidRPr="00F05174">
        <w:rPr>
          <w:sz w:val="24"/>
          <w:szCs w:val="24"/>
        </w:rPr>
        <w:t>lub z wymogów merytorycznych</w:t>
      </w:r>
      <w:r w:rsidR="00664665" w:rsidRPr="00664665">
        <w:rPr>
          <w:sz w:val="24"/>
          <w:szCs w:val="24"/>
        </w:rPr>
        <w:t>.</w:t>
      </w:r>
      <w:r w:rsidRPr="009576D8">
        <w:rPr>
          <w:sz w:val="24"/>
          <w:szCs w:val="24"/>
        </w:rPr>
        <w:t xml:space="preserve"> </w:t>
      </w:r>
      <w:r w:rsidR="007A7F22" w:rsidRPr="007A7F22">
        <w:rPr>
          <w:sz w:val="24"/>
          <w:szCs w:val="24"/>
        </w:rPr>
        <w:t>Taka nadregulacja nie</w:t>
      </w:r>
      <w:r w:rsidR="007A7F22" w:rsidRPr="007A7F22" w:rsidDel="007A7F22">
        <w:rPr>
          <w:sz w:val="24"/>
          <w:szCs w:val="24"/>
        </w:rPr>
        <w:t xml:space="preserve"> </w:t>
      </w:r>
      <w:r w:rsidR="00F05174">
        <w:rPr>
          <w:sz w:val="24"/>
          <w:szCs w:val="24"/>
        </w:rPr>
        <w:t xml:space="preserve">nakłada </w:t>
      </w:r>
      <w:r w:rsidR="00174F9C">
        <w:rPr>
          <w:sz w:val="24"/>
          <w:szCs w:val="24"/>
        </w:rPr>
        <w:t>dodatkowych</w:t>
      </w:r>
      <w:r w:rsidR="007A7F22">
        <w:rPr>
          <w:sz w:val="24"/>
          <w:szCs w:val="24"/>
        </w:rPr>
        <w:t xml:space="preserve"> obciążeń</w:t>
      </w:r>
      <w:r w:rsidRPr="009576D8">
        <w:rPr>
          <w:sz w:val="24"/>
          <w:szCs w:val="24"/>
        </w:rPr>
        <w:t>, a zmiany odpowiadają rzeczywistym potrzebom społecznym, gospodarczym lub finansowym.</w:t>
      </w:r>
    </w:p>
    <w:p w14:paraId="42AEF636" w14:textId="3AFD4D67" w:rsidR="007A7F22" w:rsidRPr="009576D8" w:rsidRDefault="007A7F22" w:rsidP="00124F38">
      <w:pPr>
        <w:spacing w:after="120" w:line="276" w:lineRule="auto"/>
        <w:rPr>
          <w:sz w:val="24"/>
          <w:szCs w:val="24"/>
        </w:rPr>
      </w:pPr>
      <w:r w:rsidRPr="007A7F22">
        <w:rPr>
          <w:sz w:val="24"/>
          <w:szCs w:val="24"/>
        </w:rPr>
        <w:t>Nieuzasadniona nadmierna implementacja</w:t>
      </w:r>
      <w:r w:rsidR="00F05174">
        <w:rPr>
          <w:sz w:val="24"/>
          <w:szCs w:val="24"/>
        </w:rPr>
        <w:t xml:space="preserve"> – </w:t>
      </w:r>
      <w:r w:rsidRPr="007A7F22">
        <w:rPr>
          <w:sz w:val="24"/>
          <w:szCs w:val="24"/>
        </w:rPr>
        <w:t xml:space="preserve">określana jako </w:t>
      </w:r>
      <w:r w:rsidR="003B24CB">
        <w:rPr>
          <w:sz w:val="24"/>
          <w:szCs w:val="24"/>
        </w:rPr>
        <w:t>„</w:t>
      </w:r>
      <w:r w:rsidRPr="007A7F22">
        <w:rPr>
          <w:sz w:val="24"/>
          <w:szCs w:val="24"/>
        </w:rPr>
        <w:t>gold</w:t>
      </w:r>
      <w:r>
        <w:rPr>
          <w:sz w:val="24"/>
          <w:szCs w:val="24"/>
        </w:rPr>
        <w:t>-</w:t>
      </w:r>
      <w:r w:rsidRPr="007A7F22">
        <w:rPr>
          <w:sz w:val="24"/>
          <w:szCs w:val="24"/>
        </w:rPr>
        <w:t>plating</w:t>
      </w:r>
      <w:r w:rsidR="003B24CB">
        <w:rPr>
          <w:sz w:val="24"/>
          <w:szCs w:val="24"/>
        </w:rPr>
        <w:t>”</w:t>
      </w:r>
      <w:r w:rsidR="00F05174">
        <w:rPr>
          <w:sz w:val="24"/>
          <w:szCs w:val="24"/>
        </w:rPr>
        <w:t xml:space="preserve"> – </w:t>
      </w:r>
      <w:r w:rsidRPr="007A7F22">
        <w:rPr>
          <w:sz w:val="24"/>
          <w:szCs w:val="24"/>
        </w:rPr>
        <w:t xml:space="preserve">polega na wprowadzaniu przy okazji wdrażania prawa unijnego dodatkowych przepisów, obowiązków lub ograniczeń, które nie są wymagane przez prawo UE. Tego rodzaju </w:t>
      </w:r>
      <w:r w:rsidRPr="007A7F22">
        <w:rPr>
          <w:sz w:val="24"/>
          <w:szCs w:val="24"/>
        </w:rPr>
        <w:lastRenderedPageBreak/>
        <w:t xml:space="preserve">działania mogą pozostawać w sprzeczności z prawem Unii, jeżeli prowadzą do </w:t>
      </w:r>
      <w:r w:rsidR="00827C59">
        <w:rPr>
          <w:sz w:val="24"/>
          <w:szCs w:val="24"/>
        </w:rPr>
        <w:t>nadmiarowego</w:t>
      </w:r>
      <w:r w:rsidRPr="007A7F22">
        <w:rPr>
          <w:sz w:val="24"/>
          <w:szCs w:val="24"/>
        </w:rPr>
        <w:t xml:space="preserve"> ograniczenia swobody działalności gospodarczej lub innych wolności traktatowych.</w:t>
      </w:r>
    </w:p>
    <w:p w14:paraId="7A78F6C6" w14:textId="4A39656B" w:rsidR="00611005" w:rsidRDefault="00611005" w:rsidP="00124F38">
      <w:pPr>
        <w:spacing w:after="120" w:line="276" w:lineRule="auto"/>
        <w:rPr>
          <w:sz w:val="24"/>
          <w:szCs w:val="24"/>
        </w:rPr>
      </w:pPr>
      <w:r w:rsidRPr="00611005">
        <w:rPr>
          <w:sz w:val="24"/>
          <w:szCs w:val="24"/>
        </w:rPr>
        <w:t>W debacie publicznej często takie pojęcia jak: nadmierna implementacja, zbyt wczesne wdrażanie, zaostrzanie przepisów czy nawet nieproporcjonalne egzekwowanie prawa bywają traktowane jako synonimy, choć odnoszą się do różnych zjawisk. Nie istnieje wspólna metodologia pozwalająca jednoznacznie zidentyfikować, kiedy implementacja przekracza uzasadniony zakres, a kiedy mieści się w ramach uzasadnionej adaptacji do prawa krajowego.</w:t>
      </w:r>
    </w:p>
    <w:p w14:paraId="27C1639A" w14:textId="432195B4" w:rsidR="00670FCC" w:rsidRPr="009576D8" w:rsidRDefault="00D474F3" w:rsidP="00124F38">
      <w:pPr>
        <w:spacing w:after="120" w:line="276" w:lineRule="auto"/>
        <w:rPr>
          <w:sz w:val="24"/>
          <w:szCs w:val="24"/>
        </w:rPr>
      </w:pPr>
      <w:r w:rsidRPr="009576D8">
        <w:rPr>
          <w:sz w:val="24"/>
          <w:szCs w:val="24"/>
        </w:rPr>
        <w:t xml:space="preserve">Mając na uwadze ryzyka i szkodliwy wpływ </w:t>
      </w:r>
      <w:r w:rsidR="00827C59">
        <w:rPr>
          <w:sz w:val="24"/>
          <w:szCs w:val="24"/>
        </w:rPr>
        <w:t>nieuzasadnionej</w:t>
      </w:r>
      <w:r w:rsidR="00827C59" w:rsidRPr="007A7F22">
        <w:rPr>
          <w:sz w:val="24"/>
          <w:szCs w:val="24"/>
        </w:rPr>
        <w:t xml:space="preserve"> nadmiern</w:t>
      </w:r>
      <w:r w:rsidR="00827C59">
        <w:rPr>
          <w:sz w:val="24"/>
          <w:szCs w:val="24"/>
        </w:rPr>
        <w:t>ej</w:t>
      </w:r>
      <w:r w:rsidR="00827C59" w:rsidRPr="007A7F22">
        <w:rPr>
          <w:sz w:val="24"/>
          <w:szCs w:val="24"/>
        </w:rPr>
        <w:t xml:space="preserve"> implementacj</w:t>
      </w:r>
      <w:r w:rsidR="00827C59">
        <w:rPr>
          <w:sz w:val="24"/>
          <w:szCs w:val="24"/>
        </w:rPr>
        <w:t>i</w:t>
      </w:r>
      <w:r w:rsidR="00827C59" w:rsidRPr="009576D8">
        <w:rPr>
          <w:sz w:val="24"/>
          <w:szCs w:val="24"/>
        </w:rPr>
        <w:t xml:space="preserve"> </w:t>
      </w:r>
      <w:r w:rsidR="00827C59">
        <w:rPr>
          <w:sz w:val="24"/>
          <w:szCs w:val="24"/>
        </w:rPr>
        <w:t>(</w:t>
      </w:r>
      <w:r w:rsidRPr="009576D8">
        <w:rPr>
          <w:sz w:val="24"/>
          <w:szCs w:val="24"/>
        </w:rPr>
        <w:t>gold</w:t>
      </w:r>
      <w:r w:rsidR="00C3324E" w:rsidRPr="009576D8">
        <w:rPr>
          <w:sz w:val="24"/>
          <w:szCs w:val="24"/>
        </w:rPr>
        <w:t>-</w:t>
      </w:r>
      <w:r w:rsidRPr="009576D8">
        <w:rPr>
          <w:sz w:val="24"/>
          <w:szCs w:val="24"/>
        </w:rPr>
        <w:t>platingu</w:t>
      </w:r>
      <w:r w:rsidR="00827C59">
        <w:rPr>
          <w:sz w:val="24"/>
          <w:szCs w:val="24"/>
        </w:rPr>
        <w:t>)</w:t>
      </w:r>
      <w:r w:rsidRPr="009576D8">
        <w:rPr>
          <w:sz w:val="24"/>
          <w:szCs w:val="24"/>
        </w:rPr>
        <w:t xml:space="preserve"> na przedsiębiorstwa</w:t>
      </w:r>
      <w:r w:rsidR="00827C59">
        <w:rPr>
          <w:sz w:val="24"/>
          <w:szCs w:val="24"/>
        </w:rPr>
        <w:t>,</w:t>
      </w:r>
      <w:r w:rsidRPr="009576D8">
        <w:rPr>
          <w:sz w:val="24"/>
          <w:szCs w:val="24"/>
        </w:rPr>
        <w:t xml:space="preserve"> przepisy Prawa przedsiębiorców</w:t>
      </w:r>
      <w:r w:rsidRPr="009576D8">
        <w:rPr>
          <w:rStyle w:val="Odwoanieprzypisudolnego"/>
          <w:sz w:val="24"/>
          <w:szCs w:val="24"/>
        </w:rPr>
        <w:footnoteReference w:id="52"/>
      </w:r>
      <w:r w:rsidRPr="009576D8">
        <w:rPr>
          <w:sz w:val="24"/>
          <w:szCs w:val="24"/>
        </w:rPr>
        <w:t xml:space="preserve"> wskazują, że implementując prawo Unii Europejskiej i prawo międzynarodowe, należy dążyć do nakładania wyłącznie obowiązków administracyjnych niezbędnych do osiągnięcia celów implementowanych przepisów</w:t>
      </w:r>
      <w:r w:rsidR="002210EF">
        <w:rPr>
          <w:sz w:val="24"/>
          <w:szCs w:val="24"/>
        </w:rPr>
        <w:t>.</w:t>
      </w:r>
    </w:p>
    <w:p w14:paraId="31E51765" w14:textId="4B4632E7" w:rsidR="00A44258" w:rsidRPr="009576D8" w:rsidRDefault="004D6EEB" w:rsidP="00124F38">
      <w:pPr>
        <w:spacing w:after="120" w:line="276" w:lineRule="auto"/>
        <w:rPr>
          <w:sz w:val="24"/>
          <w:szCs w:val="24"/>
        </w:rPr>
      </w:pPr>
      <w:r w:rsidRPr="009576D8">
        <w:rPr>
          <w:sz w:val="24"/>
          <w:szCs w:val="24"/>
        </w:rPr>
        <w:t xml:space="preserve">Dodatkowo, zgodnie </w:t>
      </w:r>
      <w:r w:rsidR="0055017C" w:rsidRPr="009576D8">
        <w:rPr>
          <w:sz w:val="24"/>
          <w:szCs w:val="24"/>
        </w:rPr>
        <w:t>z</w:t>
      </w:r>
      <w:r w:rsidR="00A44258" w:rsidRPr="009576D8">
        <w:rPr>
          <w:sz w:val="24"/>
          <w:szCs w:val="24"/>
        </w:rPr>
        <w:t xml:space="preserve"> Regulamin</w:t>
      </w:r>
      <w:r w:rsidR="0055017C" w:rsidRPr="009576D8">
        <w:rPr>
          <w:sz w:val="24"/>
          <w:szCs w:val="24"/>
        </w:rPr>
        <w:t>em</w:t>
      </w:r>
      <w:r w:rsidR="00A44258" w:rsidRPr="009576D8">
        <w:rPr>
          <w:sz w:val="24"/>
          <w:szCs w:val="24"/>
        </w:rPr>
        <w:t xml:space="preserve"> pracy Rady </w:t>
      </w:r>
      <w:r w:rsidR="00245649" w:rsidRPr="009576D8">
        <w:rPr>
          <w:sz w:val="24"/>
          <w:szCs w:val="24"/>
        </w:rPr>
        <w:t>Ministrów</w:t>
      </w:r>
      <w:r w:rsidR="0055017C" w:rsidRPr="009576D8">
        <w:rPr>
          <w:rStyle w:val="Odwoanieprzypisudolnego"/>
          <w:sz w:val="24"/>
          <w:szCs w:val="24"/>
        </w:rPr>
        <w:footnoteReference w:id="53"/>
      </w:r>
      <w:r w:rsidR="00D87BA1" w:rsidRPr="009576D8">
        <w:rPr>
          <w:sz w:val="24"/>
          <w:szCs w:val="24"/>
        </w:rPr>
        <w:t xml:space="preserve">, w </w:t>
      </w:r>
      <w:r w:rsidR="00A44258" w:rsidRPr="009576D8">
        <w:rPr>
          <w:sz w:val="24"/>
          <w:szCs w:val="24"/>
        </w:rPr>
        <w:t>przypadku projektów aktów prawnych implementujących prawo UE, które wprowadzają dodatkowe obowiązki lub regulacje nieprzewidziane bezpośrednio przez ten akt prawny, należy w OSR wyraźnie wskazać przepisy</w:t>
      </w:r>
      <w:r w:rsidR="005C21FE" w:rsidRPr="009576D8">
        <w:rPr>
          <w:sz w:val="24"/>
          <w:szCs w:val="24"/>
        </w:rPr>
        <w:t xml:space="preserve">, </w:t>
      </w:r>
      <w:r w:rsidR="00A44258" w:rsidRPr="009576D8">
        <w:rPr>
          <w:sz w:val="24"/>
          <w:szCs w:val="24"/>
        </w:rPr>
        <w:t xml:space="preserve">które wykraczają poza </w:t>
      </w:r>
      <w:r w:rsidR="005C21FE" w:rsidRPr="009576D8">
        <w:rPr>
          <w:sz w:val="24"/>
          <w:szCs w:val="24"/>
        </w:rPr>
        <w:t xml:space="preserve">wymagany </w:t>
      </w:r>
      <w:r w:rsidR="00A44258" w:rsidRPr="009576D8">
        <w:rPr>
          <w:sz w:val="24"/>
          <w:szCs w:val="24"/>
        </w:rPr>
        <w:t xml:space="preserve">zakres </w:t>
      </w:r>
      <w:r w:rsidR="005C21FE" w:rsidRPr="009576D8">
        <w:rPr>
          <w:sz w:val="24"/>
          <w:szCs w:val="24"/>
        </w:rPr>
        <w:t>i</w:t>
      </w:r>
      <w:r w:rsidR="00A44258" w:rsidRPr="009576D8">
        <w:rPr>
          <w:sz w:val="24"/>
          <w:szCs w:val="24"/>
        </w:rPr>
        <w:t xml:space="preserve"> uzasadnić </w:t>
      </w:r>
      <w:r w:rsidR="005C21FE" w:rsidRPr="009576D8">
        <w:rPr>
          <w:sz w:val="24"/>
          <w:szCs w:val="24"/>
        </w:rPr>
        <w:t>je w</w:t>
      </w:r>
      <w:r w:rsidR="00235976" w:rsidRPr="009576D8">
        <w:rPr>
          <w:sz w:val="24"/>
          <w:szCs w:val="24"/>
        </w:rPr>
        <w:t> </w:t>
      </w:r>
      <w:r w:rsidR="00A44258" w:rsidRPr="009576D8">
        <w:rPr>
          <w:sz w:val="24"/>
          <w:szCs w:val="24"/>
        </w:rPr>
        <w:t xml:space="preserve">kategoriach skutków gospodarczych, społecznych i finansowych. </w:t>
      </w:r>
    </w:p>
    <w:p w14:paraId="3CBF3A16" w14:textId="5B353AD5" w:rsidR="00A44258" w:rsidRPr="009576D8" w:rsidRDefault="00494CE1" w:rsidP="00124F38">
      <w:pPr>
        <w:pStyle w:val="Nagwek2"/>
      </w:pPr>
      <w:bookmarkStart w:id="56" w:name="_Toc217927151"/>
      <w:bookmarkStart w:id="57" w:name="_Toc219276871"/>
      <w:r w:rsidRPr="00EE6260">
        <w:t>Działanie 4.</w:t>
      </w:r>
      <w:r w:rsidR="002D675B">
        <w:t>1</w:t>
      </w:r>
      <w:r w:rsidR="00987616">
        <w:t>.</w:t>
      </w:r>
      <w:r w:rsidR="002D675B">
        <w:t xml:space="preserve"> </w:t>
      </w:r>
      <w:r w:rsidR="00A44258" w:rsidRPr="009576D8">
        <w:t>Przygotowanie wskazówek w zakresie przeciwdziałania zwiększaniu obciążeń regulacyjnych przy implementacji prawa UE</w:t>
      </w:r>
      <w:bookmarkEnd w:id="56"/>
      <w:bookmarkEnd w:id="57"/>
    </w:p>
    <w:p w14:paraId="4316F34A" w14:textId="333359B8" w:rsidR="00A44258" w:rsidRPr="009576D8" w:rsidRDefault="00A44258" w:rsidP="00124F38">
      <w:pPr>
        <w:spacing w:after="120" w:line="276" w:lineRule="auto"/>
        <w:rPr>
          <w:sz w:val="24"/>
          <w:szCs w:val="24"/>
        </w:rPr>
      </w:pPr>
      <w:r w:rsidRPr="009576D8">
        <w:rPr>
          <w:sz w:val="24"/>
          <w:szCs w:val="24"/>
        </w:rPr>
        <w:t>Planowane jest przygotowanie</w:t>
      </w:r>
      <w:r w:rsidR="00122595" w:rsidRPr="009576D8">
        <w:rPr>
          <w:sz w:val="24"/>
          <w:szCs w:val="24"/>
        </w:rPr>
        <w:t xml:space="preserve"> </w:t>
      </w:r>
      <w:r w:rsidRPr="009576D8">
        <w:rPr>
          <w:sz w:val="24"/>
          <w:szCs w:val="24"/>
        </w:rPr>
        <w:t>wskazówek, jak właściwie implementować przepisy UE</w:t>
      </w:r>
      <w:r w:rsidR="00B4085E">
        <w:rPr>
          <w:sz w:val="24"/>
          <w:szCs w:val="24"/>
        </w:rPr>
        <w:t> </w:t>
      </w:r>
      <w:r w:rsidRPr="009576D8">
        <w:rPr>
          <w:sz w:val="24"/>
          <w:szCs w:val="24"/>
        </w:rPr>
        <w:t xml:space="preserve">bez zwiększania obciążeń regulacyjnych nakładanych na przedsiębiorców. Celem jest poprawa przejrzystości procesu transpozycji oraz </w:t>
      </w:r>
      <w:r w:rsidR="00122595" w:rsidRPr="009576D8">
        <w:rPr>
          <w:sz w:val="24"/>
          <w:szCs w:val="24"/>
        </w:rPr>
        <w:t xml:space="preserve">eliminowanie </w:t>
      </w:r>
      <w:r w:rsidRPr="009576D8">
        <w:rPr>
          <w:sz w:val="24"/>
          <w:szCs w:val="24"/>
        </w:rPr>
        <w:t>przypadków, w</w:t>
      </w:r>
      <w:r w:rsidR="007833F1">
        <w:rPr>
          <w:sz w:val="24"/>
          <w:szCs w:val="24"/>
        </w:rPr>
        <w:t> </w:t>
      </w:r>
      <w:r w:rsidRPr="009576D8">
        <w:rPr>
          <w:sz w:val="24"/>
          <w:szCs w:val="24"/>
        </w:rPr>
        <w:t>których przepisy unijne stają się powodem do wprowadzania nadmiarowych krajowych regulacji bez należytej oceny ich wpływu</w:t>
      </w:r>
      <w:r w:rsidR="002210EF">
        <w:rPr>
          <w:rStyle w:val="Odwoanieprzypisudolnego"/>
          <w:sz w:val="24"/>
          <w:szCs w:val="24"/>
        </w:rPr>
        <w:footnoteReference w:id="54"/>
      </w:r>
      <w:r w:rsidRPr="009576D8">
        <w:rPr>
          <w:sz w:val="24"/>
          <w:szCs w:val="24"/>
        </w:rPr>
        <w:t>.</w:t>
      </w:r>
      <w:r w:rsidR="00B97301" w:rsidRPr="009576D8">
        <w:rPr>
          <w:sz w:val="24"/>
          <w:szCs w:val="24"/>
        </w:rPr>
        <w:t xml:space="preserve"> Opracowanie wskazówek wiąże </w:t>
      </w:r>
      <w:r w:rsidR="00B97301" w:rsidRPr="009576D8">
        <w:rPr>
          <w:sz w:val="24"/>
          <w:szCs w:val="24"/>
        </w:rPr>
        <w:lastRenderedPageBreak/>
        <w:t xml:space="preserve">się również </w:t>
      </w:r>
      <w:r w:rsidR="002210EF" w:rsidRPr="009576D8">
        <w:rPr>
          <w:sz w:val="24"/>
          <w:szCs w:val="24"/>
        </w:rPr>
        <w:t>z</w:t>
      </w:r>
      <w:r w:rsidR="002210EF">
        <w:rPr>
          <w:sz w:val="24"/>
          <w:szCs w:val="24"/>
        </w:rPr>
        <w:t> </w:t>
      </w:r>
      <w:r w:rsidR="00B97301" w:rsidRPr="009576D8">
        <w:rPr>
          <w:sz w:val="24"/>
          <w:szCs w:val="24"/>
        </w:rPr>
        <w:t xml:space="preserve">przeprowadzeniem </w:t>
      </w:r>
      <w:r w:rsidR="00D4694E" w:rsidRPr="009576D8">
        <w:rPr>
          <w:sz w:val="24"/>
          <w:szCs w:val="24"/>
        </w:rPr>
        <w:t>działań informacyjnych dla</w:t>
      </w:r>
      <w:r w:rsidR="00B97301" w:rsidRPr="009576D8">
        <w:rPr>
          <w:sz w:val="24"/>
          <w:szCs w:val="24"/>
        </w:rPr>
        <w:t xml:space="preserve"> administracji na temat ograniczania obciążeń regulacyjnych przy implementowaniu prawa UE. </w:t>
      </w:r>
    </w:p>
    <w:p w14:paraId="575326B6" w14:textId="2E710CE1" w:rsidR="00A44258" w:rsidRPr="009576D8" w:rsidRDefault="00A44258" w:rsidP="007833F1">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3517EB" w:rsidRPr="009576D8">
        <w:rPr>
          <w:i/>
          <w:iCs/>
          <w:sz w:val="24"/>
          <w:szCs w:val="24"/>
        </w:rPr>
        <w:t>O</w:t>
      </w:r>
      <w:r w:rsidRPr="009576D8">
        <w:rPr>
          <w:i/>
          <w:iCs/>
          <w:sz w:val="24"/>
          <w:szCs w:val="24"/>
        </w:rPr>
        <w:t>pracowanie wskazówek</w:t>
      </w:r>
      <w:r w:rsidR="00D00D3B" w:rsidRPr="009576D8">
        <w:rPr>
          <w:i/>
          <w:iCs/>
          <w:sz w:val="24"/>
          <w:szCs w:val="24"/>
        </w:rPr>
        <w:t xml:space="preserve"> w zakresie przeciwdziałania zwiększaniu obciążeń regulacyjnych przy implementacji prawa UE</w:t>
      </w:r>
    </w:p>
    <w:p w14:paraId="78B05A2A" w14:textId="02A41E6C" w:rsidR="00D4694E" w:rsidRPr="009576D8" w:rsidRDefault="00A44258" w:rsidP="007833F1">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Realizacja: </w:t>
      </w:r>
      <w:r w:rsidR="00EC67C9" w:rsidRPr="009576D8">
        <w:rPr>
          <w:i/>
          <w:iCs/>
          <w:sz w:val="24"/>
          <w:szCs w:val="24"/>
        </w:rPr>
        <w:t xml:space="preserve">Koordynator </w:t>
      </w:r>
      <w:r w:rsidR="00246790">
        <w:rPr>
          <w:i/>
          <w:iCs/>
          <w:sz w:val="24"/>
          <w:szCs w:val="24"/>
        </w:rPr>
        <w:t>Oceny Skutków Regulacji</w:t>
      </w:r>
      <w:r w:rsidR="00EC67C9" w:rsidRPr="009576D8">
        <w:rPr>
          <w:i/>
          <w:iCs/>
          <w:sz w:val="24"/>
          <w:szCs w:val="24"/>
        </w:rPr>
        <w:t xml:space="preserve"> we współpracy z </w:t>
      </w:r>
      <w:r w:rsidR="00EC67C9">
        <w:rPr>
          <w:i/>
          <w:iCs/>
          <w:sz w:val="24"/>
          <w:szCs w:val="24"/>
        </w:rPr>
        <w:t>ministrem</w:t>
      </w:r>
      <w:r w:rsidR="00EC67C9" w:rsidRPr="009576D8">
        <w:rPr>
          <w:i/>
          <w:iCs/>
          <w:sz w:val="24"/>
          <w:szCs w:val="24"/>
        </w:rPr>
        <w:t xml:space="preserve"> </w:t>
      </w:r>
      <w:r w:rsidR="00CC0130" w:rsidRPr="009576D8">
        <w:rPr>
          <w:i/>
          <w:iCs/>
          <w:sz w:val="24"/>
          <w:szCs w:val="24"/>
        </w:rPr>
        <w:t>właściwy</w:t>
      </w:r>
      <w:r w:rsidR="00EC67C9">
        <w:rPr>
          <w:i/>
          <w:iCs/>
          <w:sz w:val="24"/>
          <w:szCs w:val="24"/>
        </w:rPr>
        <w:t>m</w:t>
      </w:r>
      <w:r w:rsidR="00CC0130" w:rsidRPr="009576D8">
        <w:rPr>
          <w:i/>
          <w:iCs/>
          <w:sz w:val="24"/>
          <w:szCs w:val="24"/>
        </w:rPr>
        <w:t xml:space="preserve"> do spraw gospodarki</w:t>
      </w:r>
      <w:r w:rsidRPr="009576D8">
        <w:rPr>
          <w:i/>
          <w:iCs/>
          <w:sz w:val="24"/>
          <w:szCs w:val="24"/>
        </w:rPr>
        <w:t xml:space="preserve"> </w:t>
      </w:r>
      <w:r w:rsidR="0088468A">
        <w:rPr>
          <w:i/>
          <w:iCs/>
          <w:sz w:val="24"/>
          <w:szCs w:val="24"/>
        </w:rPr>
        <w:t xml:space="preserve">i ministrem właściwym </w:t>
      </w:r>
      <w:r w:rsidR="0088468A" w:rsidRPr="0088468A">
        <w:rPr>
          <w:i/>
          <w:iCs/>
          <w:sz w:val="24"/>
          <w:szCs w:val="24"/>
        </w:rPr>
        <w:t>do spraw zagranicznych i</w:t>
      </w:r>
      <w:r w:rsidR="00C23D73">
        <w:rPr>
          <w:i/>
          <w:iCs/>
          <w:sz w:val="24"/>
          <w:szCs w:val="24"/>
        </w:rPr>
        <w:t> </w:t>
      </w:r>
      <w:r w:rsidR="0088468A" w:rsidRPr="0088468A">
        <w:rPr>
          <w:i/>
          <w:iCs/>
          <w:sz w:val="24"/>
          <w:szCs w:val="24"/>
        </w:rPr>
        <w:t>członkostwa Rzeczypospolitej Polskiej w Unii Europejskiej</w:t>
      </w:r>
    </w:p>
    <w:p w14:paraId="2C0100C4" w14:textId="2FB63011" w:rsidR="00A44258" w:rsidRPr="009576D8" w:rsidRDefault="00245649" w:rsidP="007833F1">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w:t>
      </w:r>
      <w:r w:rsidR="005F5EB0">
        <w:rPr>
          <w:i/>
          <w:iCs/>
          <w:sz w:val="24"/>
          <w:szCs w:val="24"/>
        </w:rPr>
        <w:t>7</w:t>
      </w:r>
    </w:p>
    <w:p w14:paraId="1DC15793" w14:textId="77777777" w:rsidR="00DB3680" w:rsidRPr="009576D8" w:rsidRDefault="00DB3680" w:rsidP="00482F35">
      <w:pPr>
        <w:spacing w:after="120" w:line="276" w:lineRule="auto"/>
        <w:rPr>
          <w:i/>
          <w:iCs/>
          <w:sz w:val="24"/>
          <w:szCs w:val="24"/>
        </w:rPr>
      </w:pPr>
      <w:r w:rsidRPr="009576D8">
        <w:rPr>
          <w:i/>
          <w:iCs/>
          <w:sz w:val="24"/>
          <w:szCs w:val="24"/>
        </w:rPr>
        <w:br w:type="page"/>
      </w:r>
    </w:p>
    <w:p w14:paraId="0DA2B91C" w14:textId="0F688578" w:rsidR="00C55BFE" w:rsidRPr="009576D8" w:rsidRDefault="00C55BFE" w:rsidP="00825E02">
      <w:pPr>
        <w:pStyle w:val="Nagwek1"/>
        <w:pageBreakBefore/>
        <w:numPr>
          <w:ilvl w:val="0"/>
          <w:numId w:val="4"/>
        </w:numPr>
        <w:ind w:left="1077"/>
        <w:rPr>
          <w:rFonts w:asciiTheme="minorHAnsi" w:hAnsiTheme="minorHAnsi"/>
          <w:b/>
          <w:bCs/>
          <w:sz w:val="36"/>
          <w:szCs w:val="36"/>
        </w:rPr>
      </w:pPr>
      <w:bookmarkStart w:id="58" w:name="_Toc211522740"/>
      <w:bookmarkStart w:id="59" w:name="_Toc217927152"/>
      <w:bookmarkStart w:id="60" w:name="_Toc219276872"/>
      <w:r w:rsidRPr="009576D8">
        <w:rPr>
          <w:rFonts w:asciiTheme="minorHAnsi" w:hAnsiTheme="minorHAnsi"/>
          <w:b/>
          <w:bCs/>
          <w:sz w:val="36"/>
          <w:szCs w:val="36"/>
        </w:rPr>
        <w:lastRenderedPageBreak/>
        <w:t xml:space="preserve">Obszar 2. </w:t>
      </w:r>
      <w:bookmarkEnd w:id="58"/>
      <w:r w:rsidR="00524600" w:rsidRPr="009576D8">
        <w:rPr>
          <w:rFonts w:asciiTheme="minorHAnsi" w:hAnsiTheme="minorHAnsi"/>
          <w:b/>
          <w:bCs/>
          <w:sz w:val="36"/>
          <w:szCs w:val="36"/>
        </w:rPr>
        <w:t>System ewaluacji</w:t>
      </w:r>
      <w:r w:rsidR="008C3C1D" w:rsidRPr="009576D8">
        <w:rPr>
          <w:rFonts w:asciiTheme="minorHAnsi" w:hAnsiTheme="minorHAnsi"/>
          <w:b/>
          <w:bCs/>
          <w:sz w:val="36"/>
          <w:szCs w:val="36"/>
        </w:rPr>
        <w:t xml:space="preserve"> prawa</w:t>
      </w:r>
      <w:bookmarkEnd w:id="59"/>
      <w:bookmarkEnd w:id="60"/>
    </w:p>
    <w:p w14:paraId="2462C5C2" w14:textId="52C562E2" w:rsidR="000E7EC9" w:rsidRPr="009576D8" w:rsidRDefault="00D474F3" w:rsidP="00124F38">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Potrzeb</w:t>
      </w:r>
      <w:r w:rsidR="00E6274B">
        <w:rPr>
          <w:rFonts w:eastAsia="Calibri" w:cs="Calibri"/>
          <w:kern w:val="0"/>
          <w:sz w:val="24"/>
          <w:szCs w:val="24"/>
          <w14:ligatures w14:val="none"/>
        </w:rPr>
        <w:t>a</w:t>
      </w:r>
      <w:r w:rsidRPr="009576D8">
        <w:rPr>
          <w:rFonts w:eastAsia="Calibri" w:cs="Calibri"/>
          <w:kern w:val="0"/>
          <w:sz w:val="24"/>
          <w:szCs w:val="24"/>
          <w14:ligatures w14:val="none"/>
        </w:rPr>
        <w:t xml:space="preserve"> poprawy jakości </w:t>
      </w:r>
      <w:r w:rsidR="000E7EC9" w:rsidRPr="009576D8">
        <w:rPr>
          <w:rFonts w:eastAsia="Calibri" w:cs="Calibri"/>
          <w:kern w:val="0"/>
          <w:sz w:val="24"/>
          <w:szCs w:val="24"/>
          <w14:ligatures w14:val="none"/>
        </w:rPr>
        <w:t xml:space="preserve">stanowionych w Polsce </w:t>
      </w:r>
      <w:r w:rsidR="004D6EEB" w:rsidRPr="009576D8">
        <w:rPr>
          <w:rFonts w:eastAsia="Calibri" w:cs="Calibri"/>
          <w:kern w:val="0"/>
          <w:sz w:val="24"/>
          <w:szCs w:val="24"/>
          <w14:ligatures w14:val="none"/>
        </w:rPr>
        <w:t xml:space="preserve">przepisów wynika z różnych </w:t>
      </w:r>
      <w:r w:rsidR="00E6274B">
        <w:rPr>
          <w:rFonts w:eastAsia="Calibri" w:cs="Calibri"/>
          <w:kern w:val="0"/>
          <w:sz w:val="24"/>
          <w:szCs w:val="24"/>
          <w14:ligatures w14:val="none"/>
        </w:rPr>
        <w:t>badań i </w:t>
      </w:r>
      <w:r w:rsidR="004D6EEB" w:rsidRPr="009576D8">
        <w:rPr>
          <w:rFonts w:eastAsia="Calibri" w:cs="Calibri"/>
          <w:kern w:val="0"/>
          <w:sz w:val="24"/>
          <w:szCs w:val="24"/>
          <w14:ligatures w14:val="none"/>
        </w:rPr>
        <w:t>opracowań.</w:t>
      </w:r>
      <w:r w:rsidR="000E7EC9" w:rsidRPr="009576D8">
        <w:rPr>
          <w:rFonts w:eastAsia="Calibri" w:cs="Calibri"/>
          <w:kern w:val="0"/>
          <w:sz w:val="24"/>
          <w:szCs w:val="24"/>
          <w14:ligatures w14:val="none"/>
        </w:rPr>
        <w:t xml:space="preserve"> </w:t>
      </w:r>
      <w:r w:rsidR="00985A55" w:rsidRPr="009576D8">
        <w:rPr>
          <w:rFonts w:eastAsia="Calibri" w:cs="Calibri"/>
          <w:kern w:val="0"/>
          <w:sz w:val="24"/>
          <w:szCs w:val="24"/>
          <w14:ligatures w14:val="none"/>
        </w:rPr>
        <w:t xml:space="preserve">W raporcie </w:t>
      </w:r>
      <w:r w:rsidR="004D6EEB" w:rsidRPr="007123DB">
        <w:rPr>
          <w:rFonts w:eastAsia="Calibri" w:cs="Calibri"/>
          <w:kern w:val="0"/>
          <w:sz w:val="24"/>
          <w:szCs w:val="24"/>
          <w14:ligatures w14:val="none"/>
        </w:rPr>
        <w:t>Sustainable Governance Indicators</w:t>
      </w:r>
      <w:r w:rsidR="00E6274B">
        <w:rPr>
          <w:rFonts w:eastAsia="Calibri" w:cs="Calibri"/>
          <w:kern w:val="0"/>
          <w:sz w:val="24"/>
          <w:szCs w:val="24"/>
          <w14:ligatures w14:val="none"/>
        </w:rPr>
        <w:t xml:space="preserve"> </w:t>
      </w:r>
      <w:r w:rsidR="00985A55" w:rsidRPr="009576D8">
        <w:rPr>
          <w:rFonts w:eastAsia="Calibri" w:cs="Calibri"/>
          <w:kern w:val="0"/>
          <w:sz w:val="24"/>
          <w:szCs w:val="24"/>
          <w14:ligatures w14:val="none"/>
        </w:rPr>
        <w:t>2024</w:t>
      </w:r>
      <w:r w:rsidR="00985A55" w:rsidRPr="009576D8">
        <w:rPr>
          <w:rStyle w:val="Odwoanieprzypisudolnego"/>
          <w:rFonts w:eastAsia="Calibri" w:cs="Calibri"/>
          <w:kern w:val="0"/>
          <w:sz w:val="24"/>
          <w:szCs w:val="24"/>
          <w14:ligatures w14:val="none"/>
        </w:rPr>
        <w:footnoteReference w:id="55"/>
      </w:r>
      <w:r w:rsidR="00985A55" w:rsidRPr="009576D8">
        <w:rPr>
          <w:rFonts w:eastAsia="Calibri" w:cs="Calibri"/>
          <w:kern w:val="0"/>
          <w:sz w:val="24"/>
          <w:szCs w:val="24"/>
          <w14:ligatures w14:val="none"/>
        </w:rPr>
        <w:t xml:space="preserve"> Polska zajęła ostatnie miejsce wśród wszystkich 30 badanych państw. Wzięto pod uwagę jakość OSR</w:t>
      </w:r>
      <w:r w:rsidR="00E908E0">
        <w:rPr>
          <w:rFonts w:eastAsia="Calibri" w:cs="Calibri"/>
          <w:kern w:val="0"/>
          <w:sz w:val="24"/>
          <w:szCs w:val="24"/>
          <w14:ligatures w14:val="none"/>
        </w:rPr>
        <w:t> </w:t>
      </w:r>
      <w:r w:rsidR="00E6274B" w:rsidRPr="009576D8">
        <w:rPr>
          <w:rFonts w:eastAsia="Calibri" w:cs="Calibri"/>
          <w:kern w:val="0"/>
          <w:sz w:val="24"/>
          <w:szCs w:val="24"/>
          <w14:ligatures w14:val="none"/>
        </w:rPr>
        <w:t>i</w:t>
      </w:r>
      <w:r w:rsidR="00E6274B">
        <w:rPr>
          <w:rFonts w:eastAsia="Calibri" w:cs="Calibri"/>
          <w:kern w:val="0"/>
          <w:sz w:val="24"/>
          <w:szCs w:val="24"/>
          <w14:ligatures w14:val="none"/>
        </w:rPr>
        <w:t> </w:t>
      </w:r>
      <w:r w:rsidR="00985A55" w:rsidRPr="009576D8">
        <w:rPr>
          <w:rFonts w:eastAsia="Calibri" w:cs="Calibri"/>
          <w:kern w:val="0"/>
          <w:sz w:val="24"/>
          <w:szCs w:val="24"/>
          <w14:ligatures w14:val="none"/>
        </w:rPr>
        <w:t xml:space="preserve">OSR </w:t>
      </w:r>
      <w:r w:rsidR="00985A55" w:rsidRPr="007123DB">
        <w:rPr>
          <w:rFonts w:eastAsia="Calibri" w:cs="Calibri"/>
          <w:i/>
          <w:iCs/>
          <w:kern w:val="0"/>
          <w:sz w:val="24"/>
          <w:szCs w:val="24"/>
          <w14:ligatures w14:val="none"/>
        </w:rPr>
        <w:t>ex post</w:t>
      </w:r>
      <w:r w:rsidR="00985A55" w:rsidRPr="009576D8">
        <w:rPr>
          <w:rFonts w:eastAsia="Calibri" w:cs="Calibri"/>
          <w:kern w:val="0"/>
          <w:sz w:val="24"/>
          <w:szCs w:val="24"/>
          <w14:ligatures w14:val="none"/>
        </w:rPr>
        <w:t xml:space="preserve">, a także planowanie strategiczne czy ocenę skutków regulacji </w:t>
      </w:r>
      <w:r w:rsidR="00E6274B" w:rsidRPr="009576D8">
        <w:rPr>
          <w:rFonts w:eastAsia="Calibri" w:cs="Calibri"/>
          <w:kern w:val="0"/>
          <w:sz w:val="24"/>
          <w:szCs w:val="24"/>
          <w14:ligatures w14:val="none"/>
        </w:rPr>
        <w:t>w</w:t>
      </w:r>
      <w:r w:rsidR="00E6274B">
        <w:rPr>
          <w:rFonts w:eastAsia="Calibri" w:cs="Calibri"/>
          <w:kern w:val="0"/>
          <w:sz w:val="24"/>
          <w:szCs w:val="24"/>
          <w14:ligatures w14:val="none"/>
        </w:rPr>
        <w:t> </w:t>
      </w:r>
      <w:r w:rsidR="00985A55" w:rsidRPr="009576D8">
        <w:rPr>
          <w:rFonts w:eastAsia="Calibri" w:cs="Calibri"/>
          <w:kern w:val="0"/>
          <w:sz w:val="24"/>
          <w:szCs w:val="24"/>
          <w14:ligatures w14:val="none"/>
        </w:rPr>
        <w:t xml:space="preserve">horyzontalnym ujęciu. </w:t>
      </w:r>
    </w:p>
    <w:p w14:paraId="4E0EA60E" w14:textId="30B4D512" w:rsidR="004D6EEB" w:rsidRPr="009576D8" w:rsidRDefault="004D6EEB" w:rsidP="00124F38">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Dodatkowo, cykliczne badania GUS „Koniunktura gospodarcza” wskazuje na niejasne, niespójne i niestabilne przepisy prawne jako jedną z głównych barier w działalności gospodarczej</w:t>
      </w:r>
      <w:r w:rsidRPr="009576D8">
        <w:rPr>
          <w:rStyle w:val="Odwoanieprzypisudolnego"/>
          <w:rFonts w:eastAsia="Calibri" w:cs="Calibri"/>
          <w:kern w:val="0"/>
          <w:sz w:val="24"/>
          <w:szCs w:val="24"/>
          <w14:ligatures w14:val="none"/>
        </w:rPr>
        <w:footnoteReference w:id="56"/>
      </w:r>
      <w:r w:rsidRPr="009576D8">
        <w:rPr>
          <w:rFonts w:eastAsia="Calibri" w:cs="Calibri"/>
          <w:kern w:val="0"/>
          <w:sz w:val="24"/>
          <w:szCs w:val="24"/>
          <w14:ligatures w14:val="none"/>
        </w:rPr>
        <w:t xml:space="preserve">. </w:t>
      </w:r>
    </w:p>
    <w:p w14:paraId="5F41B77E" w14:textId="646D46ED" w:rsidR="008C3C1D" w:rsidRPr="009576D8" w:rsidRDefault="00E97C79" w:rsidP="00124F38">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Dlatego też ewaluacja prawa zasługuje na</w:t>
      </w:r>
      <w:r w:rsidR="00970638" w:rsidRPr="009576D8">
        <w:rPr>
          <w:rFonts w:eastAsia="Calibri" w:cs="Calibri"/>
          <w:kern w:val="0"/>
          <w:sz w:val="24"/>
          <w:szCs w:val="24"/>
          <w14:ligatures w14:val="none"/>
        </w:rPr>
        <w:t xml:space="preserve"> szczególną uwagę</w:t>
      </w:r>
      <w:r w:rsidR="00E6274B">
        <w:rPr>
          <w:rFonts w:eastAsia="Calibri" w:cs="Calibri"/>
          <w:kern w:val="0"/>
          <w:sz w:val="24"/>
          <w:szCs w:val="24"/>
          <w14:ligatures w14:val="none"/>
        </w:rPr>
        <w:t>.</w:t>
      </w:r>
      <w:r w:rsidR="00970638" w:rsidRPr="009576D8">
        <w:rPr>
          <w:rFonts w:eastAsia="Calibri" w:cs="Calibri"/>
          <w:kern w:val="0"/>
          <w:sz w:val="24"/>
          <w:szCs w:val="24"/>
          <w14:ligatures w14:val="none"/>
        </w:rPr>
        <w:t xml:space="preserve"> </w:t>
      </w:r>
      <w:r w:rsidRPr="009576D8">
        <w:rPr>
          <w:rFonts w:eastAsia="Calibri" w:cs="Calibri"/>
          <w:kern w:val="0"/>
          <w:sz w:val="24"/>
          <w:szCs w:val="24"/>
          <w14:ligatures w14:val="none"/>
        </w:rPr>
        <w:t>Ewaluacja funkcjonowania aktu prawnego to proces oceny, czy regulacja osiągnęła swoje cele rozwiązując problemy zdefiniowane przed przyjęciem regulacji, jakie wywołała skutki, także niepożądane, oraz czy cele te można było zrealizować mniejszym kosztem.</w:t>
      </w:r>
      <w:r w:rsidR="004F7D77">
        <w:rPr>
          <w:rFonts w:eastAsia="Calibri" w:cs="Calibri"/>
          <w:kern w:val="0"/>
          <w:sz w:val="24"/>
          <w:szCs w:val="24"/>
          <w14:ligatures w14:val="none"/>
        </w:rPr>
        <w:t xml:space="preserve"> </w:t>
      </w:r>
      <w:r w:rsidRPr="009576D8">
        <w:rPr>
          <w:rFonts w:eastAsia="Calibri" w:cs="Calibri"/>
          <w:kern w:val="0"/>
          <w:sz w:val="24"/>
          <w:szCs w:val="24"/>
          <w14:ligatures w14:val="none"/>
        </w:rPr>
        <w:t xml:space="preserve">Ewaluacja pozwala stwierdzić, czy dany akt funkcjonuje prawidłowo czy też wymaga nowelizacji. </w:t>
      </w:r>
      <w:r w:rsidR="00C33ECC" w:rsidRPr="009576D8">
        <w:rPr>
          <w:rFonts w:eastAsia="Calibri" w:cs="Calibri"/>
          <w:kern w:val="0"/>
          <w:sz w:val="24"/>
          <w:szCs w:val="24"/>
          <w14:ligatures w14:val="none"/>
        </w:rPr>
        <w:t>Jej wyniki</w:t>
      </w:r>
      <w:r w:rsidRPr="009576D8">
        <w:rPr>
          <w:rFonts w:eastAsia="Calibri" w:cs="Calibri"/>
          <w:kern w:val="0"/>
          <w:sz w:val="24"/>
          <w:szCs w:val="24"/>
          <w14:ligatures w14:val="none"/>
        </w:rPr>
        <w:t xml:space="preserve"> </w:t>
      </w:r>
      <w:r w:rsidR="008C3C1D" w:rsidRPr="009576D8">
        <w:rPr>
          <w:rFonts w:eastAsia="Calibri" w:cs="Calibri"/>
          <w:kern w:val="0"/>
          <w:sz w:val="24"/>
          <w:szCs w:val="24"/>
          <w14:ligatures w14:val="none"/>
        </w:rPr>
        <w:t>stanowią wartość dodaną zarówno dla legislatorów, jak i</w:t>
      </w:r>
      <w:r w:rsidR="007833F1">
        <w:rPr>
          <w:rFonts w:eastAsia="Calibri" w:cs="Calibri"/>
          <w:kern w:val="0"/>
          <w:sz w:val="24"/>
          <w:szCs w:val="24"/>
          <w14:ligatures w14:val="none"/>
        </w:rPr>
        <w:t> </w:t>
      </w:r>
      <w:r w:rsidR="008C3C1D" w:rsidRPr="009576D8">
        <w:rPr>
          <w:rFonts w:eastAsia="Calibri" w:cs="Calibri"/>
          <w:kern w:val="0"/>
          <w:sz w:val="24"/>
          <w:szCs w:val="24"/>
          <w14:ligatures w14:val="none"/>
        </w:rPr>
        <w:t>adresatów regulacji</w:t>
      </w:r>
      <w:r w:rsidR="00985A55" w:rsidRPr="009576D8">
        <w:rPr>
          <w:rFonts w:eastAsia="Calibri" w:cs="Calibri"/>
          <w:kern w:val="0"/>
          <w:sz w:val="24"/>
          <w:szCs w:val="24"/>
          <w14:ligatures w14:val="none"/>
        </w:rPr>
        <w:t>, a także punkt wyjścia do dalszych prac o charakterze legislacyjnym czy poza</w:t>
      </w:r>
      <w:r w:rsidR="003E7613">
        <w:rPr>
          <w:rFonts w:eastAsia="Calibri" w:cs="Calibri"/>
          <w:kern w:val="0"/>
          <w:sz w:val="24"/>
          <w:szCs w:val="24"/>
          <w14:ligatures w14:val="none"/>
        </w:rPr>
        <w:t xml:space="preserve"> </w:t>
      </w:r>
      <w:r w:rsidR="00985A55" w:rsidRPr="009576D8">
        <w:rPr>
          <w:rFonts w:eastAsia="Calibri" w:cs="Calibri"/>
          <w:kern w:val="0"/>
          <w:sz w:val="24"/>
          <w:szCs w:val="24"/>
          <w14:ligatures w14:val="none"/>
        </w:rPr>
        <w:t>legislacy</w:t>
      </w:r>
      <w:r w:rsidR="00494CE1" w:rsidRPr="009576D8">
        <w:rPr>
          <w:rFonts w:eastAsia="Calibri" w:cs="Calibri"/>
          <w:kern w:val="0"/>
          <w:sz w:val="24"/>
          <w:szCs w:val="24"/>
          <w14:ligatures w14:val="none"/>
        </w:rPr>
        <w:t>j</w:t>
      </w:r>
      <w:r w:rsidR="00985A55" w:rsidRPr="009576D8">
        <w:rPr>
          <w:rFonts w:eastAsia="Calibri" w:cs="Calibri"/>
          <w:kern w:val="0"/>
          <w:sz w:val="24"/>
          <w:szCs w:val="24"/>
          <w14:ligatures w14:val="none"/>
        </w:rPr>
        <w:t xml:space="preserve">nym. </w:t>
      </w:r>
      <w:r w:rsidR="008C3C1D" w:rsidRPr="009576D8">
        <w:rPr>
          <w:rFonts w:eastAsia="Calibri" w:cs="Calibri"/>
          <w:kern w:val="0"/>
          <w:sz w:val="24"/>
          <w:szCs w:val="24"/>
          <w14:ligatures w14:val="none"/>
        </w:rPr>
        <w:t>OECD uznaje ją</w:t>
      </w:r>
      <w:r w:rsidR="00E908E0">
        <w:rPr>
          <w:rFonts w:eastAsia="Calibri" w:cs="Calibri"/>
          <w:kern w:val="0"/>
          <w:sz w:val="24"/>
          <w:szCs w:val="24"/>
          <w14:ligatures w14:val="none"/>
        </w:rPr>
        <w:t> </w:t>
      </w:r>
      <w:r w:rsidR="008C3C1D" w:rsidRPr="009576D8">
        <w:rPr>
          <w:rFonts w:eastAsia="Calibri" w:cs="Calibri"/>
          <w:kern w:val="0"/>
          <w:sz w:val="24"/>
          <w:szCs w:val="24"/>
          <w14:ligatures w14:val="none"/>
        </w:rPr>
        <w:t>za</w:t>
      </w:r>
      <w:r w:rsidR="00E908E0">
        <w:rPr>
          <w:rFonts w:eastAsia="Calibri" w:cs="Calibri"/>
          <w:kern w:val="0"/>
          <w:sz w:val="24"/>
          <w:szCs w:val="24"/>
          <w14:ligatures w14:val="none"/>
        </w:rPr>
        <w:t> </w:t>
      </w:r>
      <w:r w:rsidR="00253CEB" w:rsidRPr="009576D8">
        <w:rPr>
          <w:rFonts w:eastAsia="Calibri" w:cs="Calibri"/>
          <w:kern w:val="0"/>
          <w:sz w:val="24"/>
          <w:szCs w:val="24"/>
          <w14:ligatures w14:val="none"/>
        </w:rPr>
        <w:t xml:space="preserve">obszar </w:t>
      </w:r>
      <w:r w:rsidR="008C3C1D" w:rsidRPr="009576D8">
        <w:rPr>
          <w:rFonts w:eastAsia="Calibri" w:cs="Calibri"/>
          <w:kern w:val="0"/>
          <w:sz w:val="24"/>
          <w:szCs w:val="24"/>
          <w14:ligatures w14:val="none"/>
        </w:rPr>
        <w:t xml:space="preserve">wymagający </w:t>
      </w:r>
      <w:r w:rsidR="00523043" w:rsidRPr="009576D8">
        <w:rPr>
          <w:rFonts w:eastAsia="Calibri" w:cs="Calibri"/>
          <w:kern w:val="0"/>
          <w:sz w:val="24"/>
          <w:szCs w:val="24"/>
          <w14:ligatures w14:val="none"/>
        </w:rPr>
        <w:t xml:space="preserve">znaczącej </w:t>
      </w:r>
      <w:r w:rsidR="008C3C1D" w:rsidRPr="009576D8">
        <w:rPr>
          <w:rFonts w:eastAsia="Calibri" w:cs="Calibri"/>
          <w:kern w:val="0"/>
          <w:sz w:val="24"/>
          <w:szCs w:val="24"/>
          <w14:ligatures w14:val="none"/>
        </w:rPr>
        <w:t>poprawy</w:t>
      </w:r>
      <w:r w:rsidR="00E6274B">
        <w:rPr>
          <w:rFonts w:eastAsia="Calibri" w:cs="Calibri"/>
          <w:kern w:val="0"/>
          <w:sz w:val="24"/>
          <w:szCs w:val="24"/>
          <w14:ligatures w14:val="none"/>
        </w:rPr>
        <w:t>,</w:t>
      </w:r>
      <w:r w:rsidRPr="009576D8">
        <w:rPr>
          <w:rFonts w:eastAsia="Calibri" w:cs="Calibri"/>
          <w:kern w:val="0"/>
          <w:sz w:val="24"/>
          <w:szCs w:val="24"/>
          <w14:ligatures w14:val="none"/>
        </w:rPr>
        <w:t xml:space="preserve"> w tym także w Polsce</w:t>
      </w:r>
      <w:r w:rsidR="00E6274B">
        <w:rPr>
          <w:rFonts w:eastAsia="Calibri" w:cs="Calibri"/>
          <w:kern w:val="0"/>
          <w:sz w:val="24"/>
          <w:szCs w:val="24"/>
          <w14:ligatures w14:val="none"/>
        </w:rPr>
        <w:t xml:space="preserve"> </w:t>
      </w:r>
      <w:r w:rsidR="00C33ECC" w:rsidRPr="009576D8">
        <w:rPr>
          <w:rFonts w:eastAsia="Calibri" w:cs="Calibri"/>
          <w:kern w:val="0"/>
          <w:sz w:val="24"/>
          <w:szCs w:val="24"/>
          <w14:ligatures w14:val="none"/>
        </w:rPr>
        <w:t>w</w:t>
      </w:r>
      <w:r w:rsidRPr="009576D8">
        <w:rPr>
          <w:rFonts w:eastAsia="Calibri" w:cs="Calibri"/>
          <w:kern w:val="0"/>
          <w:sz w:val="24"/>
          <w:szCs w:val="24"/>
          <w14:ligatures w14:val="none"/>
        </w:rPr>
        <w:t xml:space="preserve"> ramach systemu lepszego stanowienia prawa</w:t>
      </w:r>
      <w:r w:rsidR="00C33ECC" w:rsidRPr="009576D8">
        <w:rPr>
          <w:rStyle w:val="Odwoanieprzypisudolnego"/>
          <w:rFonts w:eastAsia="Calibri" w:cs="Calibri"/>
          <w:kern w:val="0"/>
          <w:sz w:val="24"/>
          <w:szCs w:val="24"/>
          <w14:ligatures w14:val="none"/>
        </w:rPr>
        <w:footnoteReference w:id="57"/>
      </w:r>
      <w:r w:rsidRPr="009576D8">
        <w:rPr>
          <w:rFonts w:eastAsia="Calibri" w:cs="Calibri"/>
          <w:kern w:val="0"/>
          <w:sz w:val="24"/>
          <w:szCs w:val="24"/>
          <w14:ligatures w14:val="none"/>
        </w:rPr>
        <w:t>.</w:t>
      </w:r>
    </w:p>
    <w:p w14:paraId="75CFDEA4" w14:textId="0571F332" w:rsidR="00FC27A5" w:rsidRPr="009576D8" w:rsidRDefault="00C33ECC" w:rsidP="00124F38">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System ewaluacji prawa funkcjonujący w Komisji Europejskiej jest wysoko oceniany przez OECD.</w:t>
      </w:r>
      <w:r w:rsidR="00417E2E" w:rsidRPr="009576D8">
        <w:rPr>
          <w:rFonts w:eastAsia="Calibri" w:cs="Calibri"/>
          <w:kern w:val="0"/>
          <w:sz w:val="24"/>
          <w:szCs w:val="24"/>
          <w14:ligatures w14:val="none"/>
        </w:rPr>
        <w:t xml:space="preserve"> </w:t>
      </w:r>
      <w:r w:rsidRPr="009576D8">
        <w:rPr>
          <w:rFonts w:eastAsia="Calibri" w:cs="Calibri"/>
          <w:kern w:val="0"/>
          <w:sz w:val="24"/>
          <w:szCs w:val="24"/>
          <w14:ligatures w14:val="none"/>
        </w:rPr>
        <w:t xml:space="preserve">Komisja w </w:t>
      </w:r>
      <w:r w:rsidR="00417E2E" w:rsidRPr="009576D8">
        <w:rPr>
          <w:rFonts w:eastAsia="Calibri" w:cs="Calibri"/>
          <w:kern w:val="0"/>
          <w:sz w:val="24"/>
          <w:szCs w:val="24"/>
          <w14:ligatures w14:val="none"/>
        </w:rPr>
        <w:t>procesie stanowienia unijnego prawa stosuje</w:t>
      </w:r>
      <w:r w:rsidR="00B47657" w:rsidRPr="009576D8">
        <w:rPr>
          <w:rFonts w:eastAsia="Calibri" w:cs="Calibri"/>
          <w:kern w:val="0"/>
          <w:sz w:val="24"/>
          <w:szCs w:val="24"/>
          <w14:ligatures w14:val="none"/>
        </w:rPr>
        <w:t xml:space="preserve"> </w:t>
      </w:r>
      <w:r w:rsidR="00AE39A4" w:rsidRPr="009576D8">
        <w:rPr>
          <w:rFonts w:eastAsia="Calibri" w:cs="Calibri"/>
          <w:kern w:val="0"/>
          <w:sz w:val="24"/>
          <w:szCs w:val="24"/>
          <w14:ligatures w14:val="none"/>
        </w:rPr>
        <w:t>zasadę</w:t>
      </w:r>
      <w:r w:rsidR="00FC27A5" w:rsidRPr="009576D8">
        <w:rPr>
          <w:rFonts w:eastAsia="Calibri" w:cs="Calibri"/>
          <w:kern w:val="0"/>
          <w:sz w:val="24"/>
          <w:szCs w:val="24"/>
          <w14:ligatures w14:val="none"/>
        </w:rPr>
        <w:t xml:space="preserve"> „</w:t>
      </w:r>
      <w:r w:rsidR="00B45530" w:rsidRPr="009576D8">
        <w:rPr>
          <w:rFonts w:eastAsia="Calibri" w:cs="Calibri"/>
          <w:kern w:val="0"/>
          <w:sz w:val="24"/>
          <w:szCs w:val="24"/>
          <w14:ligatures w14:val="none"/>
        </w:rPr>
        <w:t>najpierw oceniaj</w:t>
      </w:r>
      <w:r w:rsidR="00FC27A5" w:rsidRPr="009576D8">
        <w:rPr>
          <w:rFonts w:eastAsia="Calibri" w:cs="Calibri"/>
          <w:kern w:val="0"/>
          <w:sz w:val="24"/>
          <w:szCs w:val="24"/>
          <w14:ligatures w14:val="none"/>
        </w:rPr>
        <w:t>”</w:t>
      </w:r>
      <w:r w:rsidR="00B45530" w:rsidRPr="009576D8">
        <w:rPr>
          <w:rStyle w:val="Odwoanieprzypisudolnego"/>
          <w:rFonts w:eastAsia="Calibri" w:cs="Calibri"/>
          <w:kern w:val="0"/>
          <w:sz w:val="24"/>
          <w:szCs w:val="24"/>
          <w14:ligatures w14:val="none"/>
        </w:rPr>
        <w:footnoteReference w:id="58"/>
      </w:r>
      <w:r w:rsidR="00AE39A4" w:rsidRPr="009576D8">
        <w:rPr>
          <w:rFonts w:eastAsia="Calibri" w:cs="Calibri"/>
          <w:kern w:val="0"/>
          <w:sz w:val="24"/>
          <w:szCs w:val="24"/>
          <w14:ligatures w14:val="none"/>
        </w:rPr>
        <w:t>, umożliwiającą</w:t>
      </w:r>
      <w:r w:rsidR="00B45530" w:rsidRPr="009576D8">
        <w:rPr>
          <w:rFonts w:eastAsia="Calibri" w:cs="Calibri"/>
          <w:kern w:val="0"/>
          <w:sz w:val="24"/>
          <w:szCs w:val="24"/>
          <w14:ligatures w14:val="none"/>
        </w:rPr>
        <w:t xml:space="preserve"> zrozumienie skutków istniejących regulacji, </w:t>
      </w:r>
      <w:r w:rsidR="00AE39A4" w:rsidRPr="009576D8">
        <w:rPr>
          <w:rFonts w:eastAsia="Calibri" w:cs="Calibri"/>
          <w:kern w:val="0"/>
          <w:sz w:val="24"/>
          <w:szCs w:val="24"/>
          <w14:ligatures w14:val="none"/>
        </w:rPr>
        <w:t xml:space="preserve">jeszcze </w:t>
      </w:r>
      <w:r w:rsidR="00B45530" w:rsidRPr="009576D8">
        <w:rPr>
          <w:rFonts w:eastAsia="Calibri" w:cs="Calibri"/>
          <w:kern w:val="0"/>
          <w:sz w:val="24"/>
          <w:szCs w:val="24"/>
          <w14:ligatures w14:val="none"/>
        </w:rPr>
        <w:t xml:space="preserve">zanim podejmie się decyzję o ich </w:t>
      </w:r>
      <w:r w:rsidR="007520DD" w:rsidRPr="009576D8">
        <w:rPr>
          <w:rFonts w:eastAsia="Calibri" w:cs="Calibri"/>
          <w:kern w:val="0"/>
          <w:sz w:val="24"/>
          <w:szCs w:val="24"/>
          <w14:ligatures w14:val="none"/>
        </w:rPr>
        <w:t>nowelizacji</w:t>
      </w:r>
      <w:r w:rsidR="00B45530" w:rsidRPr="009576D8">
        <w:rPr>
          <w:rFonts w:eastAsia="Calibri" w:cs="Calibri"/>
          <w:kern w:val="0"/>
          <w:sz w:val="24"/>
          <w:szCs w:val="24"/>
          <w14:ligatures w14:val="none"/>
        </w:rPr>
        <w:t>. Taka analiza pozwala uniknąć wprowadzania zbędnych lub nieefektywnych zmian, co oszczędza czas i zasoby publiczne. Zasada ta</w:t>
      </w:r>
      <w:r w:rsidR="00E908E0">
        <w:rPr>
          <w:rFonts w:eastAsia="Calibri" w:cs="Calibri"/>
          <w:kern w:val="0"/>
          <w:sz w:val="24"/>
          <w:szCs w:val="24"/>
          <w14:ligatures w14:val="none"/>
        </w:rPr>
        <w:t> </w:t>
      </w:r>
      <w:r w:rsidR="00B45530" w:rsidRPr="009576D8">
        <w:rPr>
          <w:rFonts w:eastAsia="Calibri" w:cs="Calibri"/>
          <w:kern w:val="0"/>
          <w:sz w:val="24"/>
          <w:szCs w:val="24"/>
          <w14:ligatures w14:val="none"/>
        </w:rPr>
        <w:t xml:space="preserve">pomaga także w lepszym dostosowaniu nowych regulacji do rzeczywistych potrzeb </w:t>
      </w:r>
      <w:r w:rsidR="001440B9" w:rsidRPr="009576D8">
        <w:rPr>
          <w:rFonts w:eastAsia="Calibri" w:cs="Calibri"/>
          <w:kern w:val="0"/>
          <w:sz w:val="24"/>
          <w:szCs w:val="24"/>
          <w14:ligatures w14:val="none"/>
        </w:rPr>
        <w:t>interesariuszy</w:t>
      </w:r>
      <w:r w:rsidR="00B45530" w:rsidRPr="009576D8">
        <w:rPr>
          <w:rFonts w:eastAsia="Calibri" w:cs="Calibri"/>
          <w:kern w:val="0"/>
          <w:sz w:val="24"/>
          <w:szCs w:val="24"/>
          <w14:ligatures w14:val="none"/>
        </w:rPr>
        <w:t xml:space="preserve">. Ponadto, stosowanie tej zasady wspiera transparentność procesu legislacyjnego, budując zaufanie obywateli </w:t>
      </w:r>
      <w:r w:rsidR="00C57BFD" w:rsidRPr="009576D8">
        <w:rPr>
          <w:rFonts w:eastAsia="Calibri" w:cs="Calibri"/>
          <w:kern w:val="0"/>
          <w:sz w:val="24"/>
          <w:szCs w:val="24"/>
          <w14:ligatures w14:val="none"/>
        </w:rPr>
        <w:t xml:space="preserve">i przedsiębiorców </w:t>
      </w:r>
      <w:r w:rsidR="00B45530" w:rsidRPr="009576D8">
        <w:rPr>
          <w:rFonts w:eastAsia="Calibri" w:cs="Calibri"/>
          <w:kern w:val="0"/>
          <w:sz w:val="24"/>
          <w:szCs w:val="24"/>
          <w14:ligatures w14:val="none"/>
        </w:rPr>
        <w:t>do instytucji prawodawczych.</w:t>
      </w:r>
    </w:p>
    <w:p w14:paraId="462B0DB2" w14:textId="1D15AF73" w:rsidR="00291CCA" w:rsidRPr="009576D8" w:rsidRDefault="00E6274B" w:rsidP="00124F38">
      <w:pPr>
        <w:spacing w:after="120" w:line="276" w:lineRule="auto"/>
        <w:rPr>
          <w:sz w:val="24"/>
          <w:szCs w:val="24"/>
        </w:rPr>
      </w:pPr>
      <w:r>
        <w:rPr>
          <w:sz w:val="24"/>
          <w:szCs w:val="24"/>
        </w:rPr>
        <w:t xml:space="preserve">W kontekście procesu stanowienia prawa na uwagę zasługuje coraz bardziej powszechne </w:t>
      </w:r>
      <w:r w:rsidR="00291CCA" w:rsidRPr="009576D8">
        <w:rPr>
          <w:sz w:val="24"/>
          <w:szCs w:val="24"/>
        </w:rPr>
        <w:t>wykorzystywa</w:t>
      </w:r>
      <w:r>
        <w:rPr>
          <w:sz w:val="24"/>
          <w:szCs w:val="24"/>
        </w:rPr>
        <w:t>nie</w:t>
      </w:r>
      <w:r w:rsidR="00291CCA" w:rsidRPr="009576D8">
        <w:rPr>
          <w:sz w:val="24"/>
          <w:szCs w:val="24"/>
        </w:rPr>
        <w:t xml:space="preserve"> narzędzi cyfrow</w:t>
      </w:r>
      <w:r>
        <w:rPr>
          <w:sz w:val="24"/>
          <w:szCs w:val="24"/>
        </w:rPr>
        <w:t>ych</w:t>
      </w:r>
      <w:r w:rsidR="00291CCA" w:rsidRPr="009576D8">
        <w:rPr>
          <w:sz w:val="24"/>
          <w:szCs w:val="24"/>
        </w:rPr>
        <w:t xml:space="preserve"> </w:t>
      </w:r>
      <w:r w:rsidR="00723841">
        <w:rPr>
          <w:sz w:val="24"/>
          <w:szCs w:val="24"/>
        </w:rPr>
        <w:t>przez państwa europejskie</w:t>
      </w:r>
      <w:r w:rsidR="00291CCA" w:rsidRPr="009576D8">
        <w:rPr>
          <w:sz w:val="24"/>
          <w:szCs w:val="24"/>
        </w:rPr>
        <w:t>. W</w:t>
      </w:r>
      <w:r w:rsidR="007833F1">
        <w:rPr>
          <w:sz w:val="24"/>
          <w:szCs w:val="24"/>
        </w:rPr>
        <w:t> </w:t>
      </w:r>
      <w:r w:rsidR="00291CCA" w:rsidRPr="009576D8">
        <w:rPr>
          <w:sz w:val="24"/>
          <w:szCs w:val="24"/>
        </w:rPr>
        <w:t>zależności od kraju stosuje się różne rozwiązania, które kontrolują poprawność struktury aktów prawnych, umożliwiają pracę na pełnych tekstach i automatyczne tworzenie poprawek</w:t>
      </w:r>
      <w:r>
        <w:rPr>
          <w:sz w:val="24"/>
          <w:szCs w:val="24"/>
        </w:rPr>
        <w:t>.</w:t>
      </w:r>
      <w:r w:rsidR="00291CCA" w:rsidRPr="009576D8">
        <w:rPr>
          <w:sz w:val="24"/>
          <w:szCs w:val="24"/>
        </w:rPr>
        <w:t xml:space="preserve"> Ważnym elementem jest także wymiana ustrukturyzowanych </w:t>
      </w:r>
      <w:r w:rsidR="00291CCA" w:rsidRPr="009576D8">
        <w:rPr>
          <w:sz w:val="24"/>
          <w:szCs w:val="24"/>
        </w:rPr>
        <w:lastRenderedPageBreak/>
        <w:t>danych między instytucjami. Czeski system eLegislativa</w:t>
      </w:r>
      <w:r w:rsidR="00291CCA" w:rsidRPr="009576D8">
        <w:rPr>
          <w:rStyle w:val="Odwoanieprzypisudolnego"/>
          <w:sz w:val="24"/>
          <w:szCs w:val="24"/>
        </w:rPr>
        <w:footnoteReference w:id="59"/>
      </w:r>
      <w:r w:rsidR="00291CCA" w:rsidRPr="009576D8">
        <w:rPr>
          <w:sz w:val="24"/>
          <w:szCs w:val="24"/>
        </w:rPr>
        <w:t xml:space="preserve"> należy obecnie do najbardziej zaawansowanych systemów tego typu</w:t>
      </w:r>
      <w:r w:rsidR="00E908E0">
        <w:rPr>
          <w:sz w:val="24"/>
          <w:szCs w:val="24"/>
        </w:rPr>
        <w:t>,</w:t>
      </w:r>
      <w:r w:rsidR="00291CCA" w:rsidRPr="009576D8">
        <w:rPr>
          <w:sz w:val="24"/>
          <w:szCs w:val="24"/>
        </w:rPr>
        <w:t xml:space="preserve"> ponieważ obejmuje cały cykl tworzenia prawa, od pomysłu, poprzez przygotowanie dokumentów, w tym ocenę skutków regulacji i</w:t>
      </w:r>
      <w:r w:rsidR="007833F1">
        <w:rPr>
          <w:sz w:val="24"/>
          <w:szCs w:val="24"/>
        </w:rPr>
        <w:t> </w:t>
      </w:r>
      <w:r w:rsidR="00291CCA" w:rsidRPr="009576D8">
        <w:rPr>
          <w:sz w:val="24"/>
          <w:szCs w:val="24"/>
        </w:rPr>
        <w:t>zestawienie obowiązków, aż po publikację w zbiorze ustaw wraz z centralnym zarządzaniem szablonami. W Niemczech Federalne Ministerstwo Spraw Wewnętrznych uruchomiło projekt „Elektronische Gesetzgebung”</w:t>
      </w:r>
      <w:r w:rsidR="00291CCA" w:rsidRPr="009576D8">
        <w:rPr>
          <w:rStyle w:val="Odwoanieprzypisudolnego"/>
          <w:sz w:val="24"/>
          <w:szCs w:val="24"/>
        </w:rPr>
        <w:footnoteReference w:id="60"/>
      </w:r>
      <w:r w:rsidR="00291CCA" w:rsidRPr="009576D8">
        <w:rPr>
          <w:sz w:val="24"/>
          <w:szCs w:val="24"/>
        </w:rPr>
        <w:t xml:space="preserve"> (Elektroniczne Ustawodawstwo), mający na celu digitalizację całego procesu prawodawczego i zarządzania dokumentami legislacyjnymi. </w:t>
      </w:r>
    </w:p>
    <w:p w14:paraId="1BAF7E45" w14:textId="51DAFE5B" w:rsidR="00291CCA" w:rsidRPr="009576D8" w:rsidRDefault="00291CCA" w:rsidP="00124F38">
      <w:pPr>
        <w:spacing w:after="120" w:line="276" w:lineRule="auto"/>
        <w:rPr>
          <w:sz w:val="24"/>
          <w:szCs w:val="24"/>
        </w:rPr>
      </w:pPr>
      <w:r w:rsidRPr="009576D8">
        <w:rPr>
          <w:sz w:val="24"/>
          <w:szCs w:val="24"/>
        </w:rPr>
        <w:t>Również w UE pracuje się nad narzędziami cyfrowymi wspierającymi proces legislacyjny. Europejski Komitet Ekonomiczno-Społeczny przedstawił konkretne rekomendacje</w:t>
      </w:r>
      <w:r w:rsidRPr="009576D8">
        <w:rPr>
          <w:rStyle w:val="Odwoanieprzypisudolnego"/>
          <w:sz w:val="24"/>
          <w:szCs w:val="24"/>
        </w:rPr>
        <w:footnoteReference w:id="61"/>
      </w:r>
      <w:r w:rsidRPr="009576D8">
        <w:rPr>
          <w:sz w:val="24"/>
          <w:szCs w:val="24"/>
        </w:rPr>
        <w:t>, dotyczące wykorzystania narzędzi cyfrowych, w tym AI, w procesie stanowienia prawa. EKES podkreślił, że przy rocznym przyroście ok. 18 tys. stron nowych regulacji i kosztach administracyjnych sięgających 150 mld euro rocznie, technologie cyfrowe mogą znacząco poprawić dostępność i jakość prawa w UE.</w:t>
      </w:r>
      <w:r w:rsidR="004F4461" w:rsidRPr="009576D8">
        <w:rPr>
          <w:sz w:val="24"/>
          <w:szCs w:val="24"/>
        </w:rPr>
        <w:t xml:space="preserve"> </w:t>
      </w:r>
      <w:r w:rsidRPr="009576D8">
        <w:rPr>
          <w:sz w:val="24"/>
          <w:szCs w:val="24"/>
        </w:rPr>
        <w:t>Komitet zaproponował m.in.:</w:t>
      </w:r>
      <w:r w:rsidR="002F5CA5">
        <w:rPr>
          <w:sz w:val="24"/>
          <w:szCs w:val="24"/>
        </w:rPr>
        <w:t> </w:t>
      </w:r>
      <w:r w:rsidRPr="009576D8">
        <w:rPr>
          <w:sz w:val="24"/>
          <w:szCs w:val="24"/>
        </w:rPr>
        <w:t xml:space="preserve">obowiązkowe, zwięzłe streszczenia do wszystkich aktów prawnych (ułatwiające analizę także narzędziom AI), przegląd istniejących regulacji w celu poprawy ich dostępności, stworzenie jednolitej unijnej platformy cyfrowej do stanowienia prawa oraz stosowanie interoperacyjnych formatów danych pozwalających na automatyczne sprawdzanie spójności przepisów. </w:t>
      </w:r>
    </w:p>
    <w:p w14:paraId="782EF9A7" w14:textId="0C857CFC" w:rsidR="00B24C8B" w:rsidRPr="009576D8" w:rsidRDefault="001440B9" w:rsidP="00124F38">
      <w:pPr>
        <w:spacing w:after="120" w:line="276" w:lineRule="auto"/>
        <w:rPr>
          <w:sz w:val="24"/>
          <w:szCs w:val="24"/>
        </w:rPr>
      </w:pPr>
      <w:r w:rsidRPr="009576D8">
        <w:rPr>
          <w:sz w:val="24"/>
          <w:szCs w:val="24"/>
        </w:rPr>
        <w:t>Mając na uwadze powyższe warto w tym miejscu przytoczyć „Strategi</w:t>
      </w:r>
      <w:r w:rsidR="00723841">
        <w:rPr>
          <w:sz w:val="24"/>
          <w:szCs w:val="24"/>
        </w:rPr>
        <w:t>ę</w:t>
      </w:r>
      <w:r w:rsidRPr="009576D8">
        <w:rPr>
          <w:sz w:val="24"/>
          <w:szCs w:val="24"/>
        </w:rPr>
        <w:t xml:space="preserve"> Cyfryzacji Państwa do 2035”</w:t>
      </w:r>
      <w:r w:rsidR="00806520" w:rsidRPr="009576D8">
        <w:rPr>
          <w:rStyle w:val="Odwoanieprzypisudolnego"/>
          <w:sz w:val="24"/>
          <w:szCs w:val="24"/>
        </w:rPr>
        <w:footnoteReference w:id="62"/>
      </w:r>
      <w:r w:rsidRPr="009576D8">
        <w:rPr>
          <w:sz w:val="24"/>
          <w:szCs w:val="24"/>
        </w:rPr>
        <w:t xml:space="preserve"> </w:t>
      </w:r>
      <w:r w:rsidR="00A6325A" w:rsidRPr="009576D8">
        <w:rPr>
          <w:sz w:val="24"/>
          <w:szCs w:val="24"/>
        </w:rPr>
        <w:t xml:space="preserve">w kontekście </w:t>
      </w:r>
      <w:r w:rsidRPr="009576D8">
        <w:rPr>
          <w:sz w:val="24"/>
          <w:szCs w:val="24"/>
        </w:rPr>
        <w:t xml:space="preserve">wykorzystania </w:t>
      </w:r>
      <w:r w:rsidR="00B24C8B" w:rsidRPr="009576D8">
        <w:rPr>
          <w:sz w:val="24"/>
          <w:szCs w:val="24"/>
        </w:rPr>
        <w:t>nowoczesnych technologii</w:t>
      </w:r>
      <w:r w:rsidRPr="009576D8">
        <w:rPr>
          <w:sz w:val="24"/>
          <w:szCs w:val="24"/>
        </w:rPr>
        <w:t>, które będą</w:t>
      </w:r>
      <w:r w:rsidR="00B24C8B" w:rsidRPr="009576D8">
        <w:rPr>
          <w:sz w:val="24"/>
          <w:szCs w:val="24"/>
        </w:rPr>
        <w:t xml:space="preserve"> wspierać tworzenie prawa oraz powszechny dostęp do informacji o prawie poprzez:</w:t>
      </w:r>
    </w:p>
    <w:p w14:paraId="21A4A56F" w14:textId="0A5E4F30" w:rsidR="00A6325A" w:rsidRPr="009576D8" w:rsidRDefault="00A6325A" w:rsidP="00124F38">
      <w:pPr>
        <w:pStyle w:val="Akapitzlist"/>
        <w:numPr>
          <w:ilvl w:val="0"/>
          <w:numId w:val="2"/>
        </w:numPr>
        <w:spacing w:after="120" w:line="276" w:lineRule="auto"/>
        <w:contextualSpacing w:val="0"/>
        <w:rPr>
          <w:sz w:val="24"/>
          <w:szCs w:val="24"/>
        </w:rPr>
      </w:pPr>
      <w:r w:rsidRPr="009576D8">
        <w:rPr>
          <w:sz w:val="24"/>
          <w:szCs w:val="24"/>
        </w:rPr>
        <w:t>budowę systemu zapewniającego powszechny dostęp do skonsolidowanych tekstów obowiązujących aktów prawnych, który umożliwia zamieszczanie dodatkowych informacji dotyczących przepisów prawnych,</w:t>
      </w:r>
    </w:p>
    <w:p w14:paraId="446B4B72" w14:textId="331ABACE" w:rsidR="00A6325A" w:rsidRPr="009576D8" w:rsidRDefault="00A6325A" w:rsidP="00124F38">
      <w:pPr>
        <w:pStyle w:val="Akapitzlist"/>
        <w:numPr>
          <w:ilvl w:val="0"/>
          <w:numId w:val="2"/>
        </w:numPr>
        <w:spacing w:after="120" w:line="276" w:lineRule="auto"/>
        <w:contextualSpacing w:val="0"/>
        <w:rPr>
          <w:sz w:val="24"/>
          <w:szCs w:val="24"/>
        </w:rPr>
      </w:pPr>
      <w:r w:rsidRPr="009576D8">
        <w:rPr>
          <w:sz w:val="24"/>
          <w:szCs w:val="24"/>
        </w:rPr>
        <w:t xml:space="preserve">opracowanie standardów do przygotowania oraz publikacji aktów prawnych </w:t>
      </w:r>
      <w:r w:rsidR="00723841" w:rsidRPr="009576D8">
        <w:rPr>
          <w:sz w:val="24"/>
          <w:szCs w:val="24"/>
        </w:rPr>
        <w:t>w</w:t>
      </w:r>
      <w:r w:rsidR="00723841">
        <w:rPr>
          <w:sz w:val="24"/>
          <w:szCs w:val="24"/>
        </w:rPr>
        <w:t> </w:t>
      </w:r>
      <w:r w:rsidRPr="009576D8">
        <w:rPr>
          <w:sz w:val="24"/>
          <w:szCs w:val="24"/>
        </w:rPr>
        <w:t xml:space="preserve">strukturze gotowej do odczytu maszynowego i wykonywania maszynowego (ang. </w:t>
      </w:r>
      <w:r w:rsidR="002F5CA5">
        <w:rPr>
          <w:sz w:val="24"/>
          <w:szCs w:val="24"/>
        </w:rPr>
        <w:t>„</w:t>
      </w:r>
      <w:r w:rsidRPr="009576D8">
        <w:rPr>
          <w:sz w:val="24"/>
          <w:szCs w:val="24"/>
        </w:rPr>
        <w:t>law as code</w:t>
      </w:r>
      <w:r w:rsidR="002F5CA5">
        <w:rPr>
          <w:sz w:val="24"/>
          <w:szCs w:val="24"/>
        </w:rPr>
        <w:t>”</w:t>
      </w:r>
      <w:r w:rsidRPr="009576D8">
        <w:rPr>
          <w:sz w:val="24"/>
          <w:szCs w:val="24"/>
        </w:rPr>
        <w:t>), np. w zakresie ustrukturyzowanych danych przestrzennych,</w:t>
      </w:r>
    </w:p>
    <w:p w14:paraId="3D2C865C" w14:textId="6AF27F08" w:rsidR="00B24C8B" w:rsidRPr="009576D8" w:rsidRDefault="00B24C8B" w:rsidP="00124F38">
      <w:pPr>
        <w:pStyle w:val="Akapitzlist"/>
        <w:numPr>
          <w:ilvl w:val="0"/>
          <w:numId w:val="2"/>
        </w:numPr>
        <w:spacing w:after="120" w:line="276" w:lineRule="auto"/>
        <w:contextualSpacing w:val="0"/>
        <w:rPr>
          <w:sz w:val="24"/>
          <w:szCs w:val="24"/>
        </w:rPr>
      </w:pPr>
      <w:r w:rsidRPr="009576D8">
        <w:rPr>
          <w:sz w:val="24"/>
          <w:szCs w:val="24"/>
        </w:rPr>
        <w:t>wprowadzenie jednolitego sposobu identyfikacji prac legislacyjnych</w:t>
      </w:r>
      <w:r w:rsidR="003661EB">
        <w:rPr>
          <w:sz w:val="24"/>
          <w:szCs w:val="24"/>
        </w:rPr>
        <w:t>,</w:t>
      </w:r>
    </w:p>
    <w:p w14:paraId="702B59A6" w14:textId="784C6A6E" w:rsidR="00B24C8B" w:rsidRPr="009576D8" w:rsidRDefault="00B24C8B" w:rsidP="00124F38">
      <w:pPr>
        <w:pStyle w:val="Akapitzlist"/>
        <w:numPr>
          <w:ilvl w:val="0"/>
          <w:numId w:val="2"/>
        </w:numPr>
        <w:spacing w:after="120" w:line="276" w:lineRule="auto"/>
        <w:contextualSpacing w:val="0"/>
        <w:rPr>
          <w:sz w:val="24"/>
          <w:szCs w:val="24"/>
        </w:rPr>
      </w:pPr>
      <w:r w:rsidRPr="009576D8">
        <w:rPr>
          <w:sz w:val="24"/>
          <w:szCs w:val="24"/>
        </w:rPr>
        <w:lastRenderedPageBreak/>
        <w:t>wdrożenie systemu zapewniającego powszechny, przejrzysty dostęp do informacji na temat prac legislacyjnych i do dokumentów związanych z procesem legislacyjnym oraz narzędzia upraszczające, w tym zwiększające automatyzację czynności wykonywanych podczas prac nad projektami aktów normatywnych</w:t>
      </w:r>
      <w:r w:rsidR="00A6325A" w:rsidRPr="009576D8">
        <w:rPr>
          <w:sz w:val="24"/>
          <w:szCs w:val="24"/>
        </w:rPr>
        <w:t>,</w:t>
      </w:r>
    </w:p>
    <w:p w14:paraId="11A12563" w14:textId="044CC999" w:rsidR="00B24C8B" w:rsidRPr="009576D8" w:rsidRDefault="00B24C8B" w:rsidP="00124F38">
      <w:pPr>
        <w:pStyle w:val="Akapitzlist"/>
        <w:numPr>
          <w:ilvl w:val="0"/>
          <w:numId w:val="2"/>
        </w:numPr>
        <w:spacing w:after="120" w:line="276" w:lineRule="auto"/>
        <w:contextualSpacing w:val="0"/>
        <w:rPr>
          <w:sz w:val="24"/>
          <w:szCs w:val="24"/>
        </w:rPr>
      </w:pPr>
      <w:r w:rsidRPr="009576D8">
        <w:rPr>
          <w:sz w:val="24"/>
          <w:szCs w:val="24"/>
        </w:rPr>
        <w:t>opracowanie narzędzi AI wspierających tworzenie jasnych i zrozumiałych przepisów prawa, monitoring zmian w przepisach prawa i obsługę procesu legislacyjnego oraz powszechny dostęp do informacji o prawie</w:t>
      </w:r>
      <w:r w:rsidR="00A6325A" w:rsidRPr="009576D8">
        <w:rPr>
          <w:sz w:val="24"/>
          <w:szCs w:val="24"/>
        </w:rPr>
        <w:t>.</w:t>
      </w:r>
    </w:p>
    <w:p w14:paraId="40E5BD71" w14:textId="4EDE1946" w:rsidR="005F5163" w:rsidRDefault="00A6325A" w:rsidP="00124F38">
      <w:pPr>
        <w:spacing w:after="120" w:line="276" w:lineRule="auto"/>
        <w:rPr>
          <w:b/>
          <w:bCs/>
        </w:rPr>
      </w:pPr>
      <w:r w:rsidRPr="009576D8">
        <w:rPr>
          <w:sz w:val="24"/>
          <w:szCs w:val="24"/>
        </w:rPr>
        <w:t>Założenia „Strategii Cyfryzacji Państwa do 2035” i niniejszego Programu powinny być</w:t>
      </w:r>
      <w:r w:rsidR="00E908E0">
        <w:rPr>
          <w:sz w:val="24"/>
          <w:szCs w:val="24"/>
        </w:rPr>
        <w:t> </w:t>
      </w:r>
      <w:r w:rsidRPr="009576D8">
        <w:rPr>
          <w:sz w:val="24"/>
          <w:szCs w:val="24"/>
        </w:rPr>
        <w:t xml:space="preserve">impulsem do zmiany w polskim systemie prawa, w </w:t>
      </w:r>
      <w:r w:rsidR="004F14C4" w:rsidRPr="009576D8">
        <w:rPr>
          <w:sz w:val="24"/>
          <w:szCs w:val="24"/>
        </w:rPr>
        <w:t>celu utworzenia</w:t>
      </w:r>
      <w:r w:rsidRPr="009576D8">
        <w:rPr>
          <w:sz w:val="24"/>
          <w:szCs w:val="24"/>
        </w:rPr>
        <w:t xml:space="preserve"> cyfrowej bazy aktów prawnych i elektronicznego systemu obejmującego cały rządowy proces legislacyjny. </w:t>
      </w:r>
      <w:bookmarkStart w:id="61" w:name="_Toc211522741"/>
    </w:p>
    <w:p w14:paraId="36A40C90" w14:textId="60C000A6" w:rsidR="00C55BFE" w:rsidRPr="009576D8" w:rsidRDefault="00C55BFE" w:rsidP="004F7D77">
      <w:pPr>
        <w:pStyle w:val="Nagwek2"/>
        <w:rPr>
          <w:b/>
          <w:bCs/>
        </w:rPr>
      </w:pPr>
      <w:bookmarkStart w:id="62" w:name="_Toc217927153"/>
      <w:bookmarkStart w:id="63" w:name="_Toc219276873"/>
      <w:r w:rsidRPr="009576D8">
        <w:rPr>
          <w:b/>
          <w:bCs/>
        </w:rPr>
        <w:t xml:space="preserve">Priorytet 1 – </w:t>
      </w:r>
      <w:bookmarkEnd w:id="61"/>
      <w:r w:rsidR="00B662C4" w:rsidRPr="009576D8">
        <w:rPr>
          <w:b/>
          <w:bCs/>
        </w:rPr>
        <w:t>Podnoszenie</w:t>
      </w:r>
      <w:r w:rsidR="00DF4695" w:rsidRPr="009576D8">
        <w:rPr>
          <w:b/>
          <w:bCs/>
        </w:rPr>
        <w:t xml:space="preserve"> jakości oceny wpływu</w:t>
      </w:r>
      <w:bookmarkEnd w:id="62"/>
      <w:bookmarkEnd w:id="63"/>
    </w:p>
    <w:p w14:paraId="6611909F" w14:textId="2918E451" w:rsidR="00B53243" w:rsidRPr="009576D8" w:rsidRDefault="00C55BFE" w:rsidP="003661EB">
      <w:pPr>
        <w:spacing w:after="120" w:line="276" w:lineRule="auto"/>
        <w:rPr>
          <w:rFonts w:eastAsia="Calibri" w:cs="Calibri"/>
          <w:kern w:val="0"/>
          <w:sz w:val="24"/>
          <w:szCs w:val="24"/>
          <w14:ligatures w14:val="none"/>
        </w:rPr>
      </w:pPr>
      <w:bookmarkStart w:id="64" w:name="_Hlk213410370"/>
      <w:r w:rsidRPr="009576D8">
        <w:rPr>
          <w:rFonts w:eastAsia="Calibri" w:cs="Calibri"/>
          <w:kern w:val="0"/>
          <w:sz w:val="24"/>
          <w:szCs w:val="24"/>
          <w14:ligatures w14:val="none"/>
        </w:rPr>
        <w:t>Ocena</w:t>
      </w:r>
      <w:r w:rsidR="006B4B35" w:rsidRPr="009576D8">
        <w:rPr>
          <w:rFonts w:eastAsia="Calibri" w:cs="Calibri"/>
          <w:kern w:val="0"/>
          <w:sz w:val="24"/>
          <w:szCs w:val="24"/>
          <w14:ligatures w14:val="none"/>
        </w:rPr>
        <w:t xml:space="preserve"> funkcjonowania aktów normatywnych </w:t>
      </w:r>
      <w:r w:rsidRPr="009576D8">
        <w:rPr>
          <w:rFonts w:eastAsia="Calibri" w:cs="Calibri"/>
          <w:kern w:val="0"/>
          <w:sz w:val="24"/>
          <w:szCs w:val="24"/>
          <w14:ligatures w14:val="none"/>
        </w:rPr>
        <w:t xml:space="preserve">(OSR </w:t>
      </w:r>
      <w:r w:rsidRPr="007123DB">
        <w:rPr>
          <w:rFonts w:eastAsia="Calibri" w:cs="Calibri"/>
          <w:i/>
          <w:iCs/>
          <w:kern w:val="0"/>
          <w:sz w:val="24"/>
          <w:szCs w:val="24"/>
          <w14:ligatures w14:val="none"/>
        </w:rPr>
        <w:t>ex post</w:t>
      </w:r>
      <w:r w:rsidRPr="009576D8">
        <w:rPr>
          <w:rFonts w:eastAsia="Calibri" w:cs="Calibri"/>
          <w:kern w:val="0"/>
          <w:sz w:val="24"/>
          <w:szCs w:val="24"/>
          <w14:ligatures w14:val="none"/>
        </w:rPr>
        <w:t>)</w:t>
      </w:r>
      <w:r w:rsidR="00E908E0">
        <w:rPr>
          <w:rFonts w:eastAsia="Calibri" w:cs="Calibri"/>
          <w:kern w:val="0"/>
          <w:sz w:val="24"/>
          <w:szCs w:val="24"/>
          <w14:ligatures w14:val="none"/>
        </w:rPr>
        <w:t xml:space="preserve"> </w:t>
      </w:r>
      <w:r w:rsidRPr="009576D8">
        <w:rPr>
          <w:rFonts w:eastAsia="Calibri" w:cs="Calibri"/>
          <w:kern w:val="0"/>
          <w:sz w:val="24"/>
          <w:szCs w:val="24"/>
          <w14:ligatures w14:val="none"/>
        </w:rPr>
        <w:t>domyka rządowy proces legislacyjny. Ewaluacja obowiązujących przepisów prawa pozwala ustalić, czy udało się</w:t>
      </w:r>
      <w:r w:rsidR="00E908E0">
        <w:rPr>
          <w:rFonts w:eastAsia="Calibri" w:cs="Calibri"/>
          <w:kern w:val="0"/>
          <w:sz w:val="24"/>
          <w:szCs w:val="24"/>
          <w14:ligatures w14:val="none"/>
        </w:rPr>
        <w:t> </w:t>
      </w:r>
      <w:r w:rsidRPr="009576D8">
        <w:rPr>
          <w:rFonts w:eastAsia="Calibri" w:cs="Calibri"/>
          <w:kern w:val="0"/>
          <w:sz w:val="24"/>
          <w:szCs w:val="24"/>
          <w14:ligatures w14:val="none"/>
        </w:rPr>
        <w:t xml:space="preserve">rozwiązać zaobserwowany problem i osiągnąć zakładane cele. OSR </w:t>
      </w:r>
      <w:r w:rsidRPr="007123DB">
        <w:rPr>
          <w:rFonts w:eastAsia="Calibri" w:cs="Calibri"/>
          <w:i/>
          <w:iCs/>
          <w:kern w:val="0"/>
          <w:sz w:val="24"/>
          <w:szCs w:val="24"/>
          <w14:ligatures w14:val="none"/>
        </w:rPr>
        <w:t>ex post</w:t>
      </w:r>
      <w:r w:rsidRPr="009576D8">
        <w:rPr>
          <w:rFonts w:eastAsia="Calibri" w:cs="Calibri"/>
          <w:kern w:val="0"/>
          <w:sz w:val="24"/>
          <w:szCs w:val="24"/>
          <w14:ligatures w14:val="none"/>
        </w:rPr>
        <w:t xml:space="preserve"> daje odpowiedź na pytanie, czy od wejścia w życie danego aktu wystąpiły jakieś nieprzewidziane i niepożądane skutki. Wartością ewaluacji jest to, że umożliwia identyfikację kolejnych problemów, które należy podjąć. </w:t>
      </w:r>
      <w:r w:rsidR="000A654A" w:rsidRPr="009576D8">
        <w:rPr>
          <w:rFonts w:eastAsia="Calibri" w:cs="Calibri"/>
          <w:kern w:val="0"/>
          <w:sz w:val="24"/>
          <w:szCs w:val="24"/>
          <w14:ligatures w14:val="none"/>
        </w:rPr>
        <w:t xml:space="preserve">Jest to możliwe przede wszystkim dzięki </w:t>
      </w:r>
      <w:r w:rsidRPr="009576D8">
        <w:rPr>
          <w:rFonts w:eastAsia="Calibri" w:cs="Calibri"/>
          <w:kern w:val="0"/>
          <w:sz w:val="24"/>
          <w:szCs w:val="24"/>
          <w14:ligatures w14:val="none"/>
        </w:rPr>
        <w:t>włącza</w:t>
      </w:r>
      <w:r w:rsidR="000A654A" w:rsidRPr="009576D8">
        <w:rPr>
          <w:rFonts w:eastAsia="Calibri" w:cs="Calibri"/>
          <w:kern w:val="0"/>
          <w:sz w:val="24"/>
          <w:szCs w:val="24"/>
          <w14:ligatures w14:val="none"/>
        </w:rPr>
        <w:t>niu</w:t>
      </w:r>
      <w:r w:rsidRPr="009576D8">
        <w:rPr>
          <w:rFonts w:eastAsia="Calibri" w:cs="Calibri"/>
          <w:kern w:val="0"/>
          <w:sz w:val="24"/>
          <w:szCs w:val="24"/>
          <w14:ligatures w14:val="none"/>
        </w:rPr>
        <w:t xml:space="preserve"> interesariuszy</w:t>
      </w:r>
      <w:r w:rsidR="000A654A" w:rsidRPr="009576D8">
        <w:rPr>
          <w:rFonts w:eastAsia="Calibri" w:cs="Calibri"/>
          <w:kern w:val="0"/>
          <w:sz w:val="24"/>
          <w:szCs w:val="24"/>
          <w14:ligatures w14:val="none"/>
        </w:rPr>
        <w:t xml:space="preserve"> w ten proces</w:t>
      </w:r>
      <w:r w:rsidRPr="009576D8">
        <w:rPr>
          <w:rFonts w:eastAsia="Calibri" w:cs="Calibri"/>
          <w:kern w:val="0"/>
          <w:sz w:val="24"/>
          <w:szCs w:val="24"/>
          <w14:ligatures w14:val="none"/>
        </w:rPr>
        <w:t xml:space="preserve">, podobnie jak w przypadku oceny wpływu </w:t>
      </w:r>
      <w:r w:rsidRPr="007123DB">
        <w:rPr>
          <w:rFonts w:eastAsia="Calibri" w:cs="Calibri"/>
          <w:i/>
          <w:iCs/>
          <w:kern w:val="0"/>
          <w:sz w:val="24"/>
          <w:szCs w:val="24"/>
          <w14:ligatures w14:val="none"/>
        </w:rPr>
        <w:t>ex ante</w:t>
      </w:r>
      <w:r w:rsidRPr="009576D8">
        <w:rPr>
          <w:rFonts w:eastAsia="Calibri" w:cs="Calibri"/>
          <w:kern w:val="0"/>
          <w:sz w:val="24"/>
          <w:szCs w:val="24"/>
          <w14:ligatures w14:val="none"/>
        </w:rPr>
        <w:t>.</w:t>
      </w:r>
      <w:r w:rsidR="00B53243" w:rsidRPr="009576D8">
        <w:rPr>
          <w:rFonts w:eastAsia="Calibri" w:cs="Calibri"/>
          <w:kern w:val="0"/>
          <w:sz w:val="24"/>
          <w:szCs w:val="24"/>
          <w14:ligatures w14:val="none"/>
        </w:rPr>
        <w:t xml:space="preserve"> </w:t>
      </w:r>
    </w:p>
    <w:p w14:paraId="66B603FD" w14:textId="5054EBCA" w:rsidR="006A3416" w:rsidRPr="009576D8" w:rsidRDefault="006A3416" w:rsidP="003661EB">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Potrzeba </w:t>
      </w:r>
      <w:r w:rsidR="000A654A" w:rsidRPr="009576D8">
        <w:rPr>
          <w:rFonts w:eastAsia="Calibri" w:cs="Calibri"/>
          <w:kern w:val="0"/>
          <w:sz w:val="24"/>
          <w:szCs w:val="24"/>
          <w14:ligatures w14:val="none"/>
        </w:rPr>
        <w:t xml:space="preserve">poprawy </w:t>
      </w:r>
      <w:r w:rsidR="00723841">
        <w:rPr>
          <w:rFonts w:eastAsia="Calibri" w:cs="Calibri"/>
          <w:kern w:val="0"/>
          <w:sz w:val="24"/>
          <w:szCs w:val="24"/>
          <w14:ligatures w14:val="none"/>
        </w:rPr>
        <w:t xml:space="preserve">w tym obszarze </w:t>
      </w:r>
      <w:r w:rsidRPr="009576D8">
        <w:rPr>
          <w:rFonts w:eastAsia="Calibri" w:cs="Calibri"/>
          <w:kern w:val="0"/>
          <w:sz w:val="24"/>
          <w:szCs w:val="24"/>
          <w14:ligatures w14:val="none"/>
        </w:rPr>
        <w:t xml:space="preserve">wynika </w:t>
      </w:r>
      <w:r w:rsidR="00723841">
        <w:rPr>
          <w:rFonts w:eastAsia="Calibri" w:cs="Calibri"/>
          <w:kern w:val="0"/>
          <w:sz w:val="24"/>
          <w:szCs w:val="24"/>
          <w14:ligatures w14:val="none"/>
        </w:rPr>
        <w:t xml:space="preserve">m.in. </w:t>
      </w:r>
      <w:r w:rsidRPr="009576D8">
        <w:rPr>
          <w:rFonts w:eastAsia="Calibri" w:cs="Calibri"/>
          <w:kern w:val="0"/>
          <w:sz w:val="24"/>
          <w:szCs w:val="24"/>
          <w14:ligatures w14:val="none"/>
        </w:rPr>
        <w:t xml:space="preserve">z wniosków </w:t>
      </w:r>
      <w:r w:rsidR="00A64300" w:rsidRPr="009576D8">
        <w:rPr>
          <w:rFonts w:eastAsia="Calibri" w:cs="Calibri"/>
          <w:kern w:val="0"/>
          <w:sz w:val="24"/>
          <w:szCs w:val="24"/>
          <w14:ligatures w14:val="none"/>
        </w:rPr>
        <w:t xml:space="preserve">kontroli </w:t>
      </w:r>
      <w:r w:rsidRPr="009576D8">
        <w:rPr>
          <w:rFonts w:eastAsia="Calibri" w:cs="Calibri"/>
          <w:kern w:val="0"/>
          <w:sz w:val="24"/>
          <w:szCs w:val="24"/>
          <w14:ligatures w14:val="none"/>
        </w:rPr>
        <w:t>NIK, która podkreśliła</w:t>
      </w:r>
      <w:r w:rsidR="006816E0" w:rsidRPr="009576D8">
        <w:rPr>
          <w:rFonts w:eastAsia="Calibri" w:cs="Calibri"/>
          <w:kern w:val="0"/>
          <w:sz w:val="24"/>
          <w:szCs w:val="24"/>
          <w14:ligatures w14:val="none"/>
        </w:rPr>
        <w:t xml:space="preserve"> sporadyczne dokonywanie oceny efektów wprowadzonych ustaw</w:t>
      </w:r>
      <w:r w:rsidR="00FF43A8">
        <w:rPr>
          <w:rStyle w:val="Odwoanieprzypisudolnego"/>
          <w:rFonts w:eastAsia="Calibri" w:cs="Calibri"/>
          <w:kern w:val="0"/>
          <w:sz w:val="24"/>
          <w:szCs w:val="24"/>
          <w14:ligatures w14:val="none"/>
        </w:rPr>
        <w:footnoteReference w:id="63"/>
      </w:r>
      <w:r w:rsidR="006816E0" w:rsidRPr="009576D8">
        <w:rPr>
          <w:rFonts w:eastAsia="Calibri" w:cs="Calibri"/>
          <w:kern w:val="0"/>
          <w:sz w:val="24"/>
          <w:szCs w:val="24"/>
          <w14:ligatures w14:val="none"/>
        </w:rPr>
        <w:t>. W</w:t>
      </w:r>
      <w:r w:rsidR="003661EB">
        <w:rPr>
          <w:rFonts w:eastAsia="Calibri" w:cs="Calibri"/>
          <w:kern w:val="0"/>
          <w:sz w:val="24"/>
          <w:szCs w:val="24"/>
          <w14:ligatures w14:val="none"/>
        </w:rPr>
        <w:t> </w:t>
      </w:r>
      <w:r w:rsidR="006816E0" w:rsidRPr="009576D8">
        <w:rPr>
          <w:rFonts w:eastAsia="Calibri" w:cs="Calibri"/>
          <w:kern w:val="0"/>
          <w:sz w:val="24"/>
          <w:szCs w:val="24"/>
          <w14:ligatures w14:val="none"/>
        </w:rPr>
        <w:t>kontrolowanych ministerstwach jedynie w ograniczonym stopniu korzystano z</w:t>
      </w:r>
      <w:r w:rsidR="003661EB">
        <w:rPr>
          <w:rFonts w:eastAsia="Calibri" w:cs="Calibri"/>
          <w:kern w:val="0"/>
          <w:sz w:val="24"/>
          <w:szCs w:val="24"/>
          <w14:ligatures w14:val="none"/>
        </w:rPr>
        <w:t> </w:t>
      </w:r>
      <w:r w:rsidR="006816E0" w:rsidRPr="009576D8">
        <w:rPr>
          <w:rFonts w:eastAsia="Calibri" w:cs="Calibri"/>
          <w:kern w:val="0"/>
          <w:sz w:val="24"/>
          <w:szCs w:val="24"/>
          <w14:ligatures w14:val="none"/>
        </w:rPr>
        <w:t xml:space="preserve">możliwości przeprowadzenia oceny funkcjonowania aktu prawnego w formule OSR </w:t>
      </w:r>
      <w:r w:rsidR="006816E0" w:rsidRPr="007123DB">
        <w:rPr>
          <w:rFonts w:eastAsia="Calibri" w:cs="Calibri"/>
          <w:i/>
          <w:iCs/>
          <w:kern w:val="0"/>
          <w:sz w:val="24"/>
          <w:szCs w:val="24"/>
          <w14:ligatures w14:val="none"/>
        </w:rPr>
        <w:t>ex post</w:t>
      </w:r>
      <w:r w:rsidR="006816E0" w:rsidRPr="009576D8">
        <w:rPr>
          <w:rFonts w:eastAsia="Calibri" w:cs="Calibri"/>
          <w:kern w:val="0"/>
          <w:sz w:val="24"/>
          <w:szCs w:val="24"/>
          <w14:ligatures w14:val="none"/>
        </w:rPr>
        <w:t xml:space="preserve">. </w:t>
      </w:r>
      <w:r w:rsidR="00BA47F2" w:rsidRPr="009576D8">
        <w:rPr>
          <w:rFonts w:eastAsia="Calibri" w:cs="Calibri"/>
          <w:kern w:val="0"/>
          <w:sz w:val="24"/>
          <w:szCs w:val="24"/>
          <w14:ligatures w14:val="none"/>
        </w:rPr>
        <w:t>Odnotowano przypadki,</w:t>
      </w:r>
      <w:r w:rsidR="006816E0" w:rsidRPr="009576D8">
        <w:rPr>
          <w:rFonts w:eastAsia="Calibri" w:cs="Calibri"/>
          <w:kern w:val="0"/>
          <w:sz w:val="24"/>
          <w:szCs w:val="24"/>
          <w14:ligatures w14:val="none"/>
        </w:rPr>
        <w:t xml:space="preserve"> w których nie dokonano zaplanowanej ewaluacji aktu prawnego, mimo upływu wyznaczonego terminu. Dodatkowo w pięciu przypadkach (33,3% badanych) ustalono, że przeprowadzona ewaluacja nie spełniała wymogów określonych w </w:t>
      </w:r>
      <w:r w:rsidR="00E91BC7" w:rsidRPr="009576D8">
        <w:rPr>
          <w:rFonts w:eastAsia="Calibri" w:cs="Calibri"/>
          <w:kern w:val="0"/>
          <w:sz w:val="24"/>
          <w:szCs w:val="24"/>
          <w14:ligatures w14:val="none"/>
        </w:rPr>
        <w:t>„</w:t>
      </w:r>
      <w:r w:rsidR="006816E0" w:rsidRPr="009576D8">
        <w:rPr>
          <w:rFonts w:eastAsia="Calibri" w:cs="Calibri"/>
          <w:kern w:val="0"/>
          <w:sz w:val="24"/>
          <w:szCs w:val="24"/>
          <w14:ligatures w14:val="none"/>
        </w:rPr>
        <w:t xml:space="preserve">Wytycznych do przeprowadzania oceny wpływu oraz konsultacji publicznych </w:t>
      </w:r>
      <w:r w:rsidR="005F5163" w:rsidRPr="009576D8">
        <w:rPr>
          <w:rFonts w:eastAsia="Calibri" w:cs="Calibri"/>
          <w:kern w:val="0"/>
          <w:sz w:val="24"/>
          <w:szCs w:val="24"/>
          <w14:ligatures w14:val="none"/>
        </w:rPr>
        <w:t>w</w:t>
      </w:r>
      <w:r w:rsidR="005F5163">
        <w:rPr>
          <w:rFonts w:eastAsia="Calibri" w:cs="Calibri"/>
          <w:kern w:val="0"/>
          <w:sz w:val="24"/>
          <w:szCs w:val="24"/>
          <w14:ligatures w14:val="none"/>
        </w:rPr>
        <w:t> </w:t>
      </w:r>
      <w:r w:rsidR="006816E0" w:rsidRPr="009576D8">
        <w:rPr>
          <w:rFonts w:eastAsia="Calibri" w:cs="Calibri"/>
          <w:kern w:val="0"/>
          <w:sz w:val="24"/>
          <w:szCs w:val="24"/>
          <w14:ligatures w14:val="none"/>
        </w:rPr>
        <w:t>ramach rządowego procesu legislacyjnego” lub została wykonana w</w:t>
      </w:r>
      <w:r w:rsidR="003661EB">
        <w:rPr>
          <w:rFonts w:eastAsia="Calibri" w:cs="Calibri"/>
          <w:kern w:val="0"/>
          <w:sz w:val="24"/>
          <w:szCs w:val="24"/>
          <w14:ligatures w14:val="none"/>
        </w:rPr>
        <w:t> </w:t>
      </w:r>
      <w:r w:rsidR="006816E0" w:rsidRPr="009576D8">
        <w:rPr>
          <w:rFonts w:eastAsia="Calibri" w:cs="Calibri"/>
          <w:kern w:val="0"/>
          <w:sz w:val="24"/>
          <w:szCs w:val="24"/>
          <w14:ligatures w14:val="none"/>
        </w:rPr>
        <w:t>sposób nierzetelny.</w:t>
      </w:r>
    </w:p>
    <w:p w14:paraId="3C401047" w14:textId="2DE005C1" w:rsidR="00F71D58" w:rsidRPr="009576D8" w:rsidRDefault="006A3416" w:rsidP="003661EB">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W związku z </w:t>
      </w:r>
      <w:r w:rsidR="00723841">
        <w:rPr>
          <w:rFonts w:eastAsia="Calibri" w:cs="Calibri"/>
          <w:kern w:val="0"/>
          <w:sz w:val="24"/>
          <w:szCs w:val="24"/>
          <w14:ligatures w14:val="none"/>
        </w:rPr>
        <w:t>cyklicznością procesu</w:t>
      </w:r>
      <w:r w:rsidRPr="009576D8">
        <w:rPr>
          <w:rFonts w:eastAsia="Calibri" w:cs="Calibri"/>
          <w:kern w:val="0"/>
          <w:sz w:val="24"/>
          <w:szCs w:val="24"/>
          <w14:ligatures w14:val="none"/>
        </w:rPr>
        <w:t xml:space="preserve"> stanowieni</w:t>
      </w:r>
      <w:r w:rsidR="00723841">
        <w:rPr>
          <w:rFonts w:eastAsia="Calibri" w:cs="Calibri"/>
          <w:kern w:val="0"/>
          <w:sz w:val="24"/>
          <w:szCs w:val="24"/>
          <w14:ligatures w14:val="none"/>
        </w:rPr>
        <w:t>a</w:t>
      </w:r>
      <w:r w:rsidRPr="009576D8">
        <w:rPr>
          <w:rFonts w:eastAsia="Calibri" w:cs="Calibri"/>
          <w:kern w:val="0"/>
          <w:sz w:val="24"/>
          <w:szCs w:val="24"/>
          <w14:ligatures w14:val="none"/>
        </w:rPr>
        <w:t xml:space="preserve"> prawa</w:t>
      </w:r>
      <w:r w:rsidR="00985A55" w:rsidRPr="009576D8">
        <w:rPr>
          <w:rFonts w:eastAsia="Calibri" w:cs="Calibri"/>
          <w:kern w:val="0"/>
          <w:sz w:val="24"/>
          <w:szCs w:val="24"/>
          <w14:ligatures w14:val="none"/>
        </w:rPr>
        <w:t xml:space="preserve">, </w:t>
      </w:r>
      <w:r w:rsidRPr="009576D8">
        <w:rPr>
          <w:rFonts w:eastAsia="Calibri" w:cs="Calibri"/>
          <w:kern w:val="0"/>
          <w:sz w:val="24"/>
          <w:szCs w:val="24"/>
          <w14:ligatures w14:val="none"/>
        </w:rPr>
        <w:t>priorytet ten dotyczy również ocen</w:t>
      </w:r>
      <w:r w:rsidR="00DF4695" w:rsidRPr="009576D8">
        <w:rPr>
          <w:rFonts w:eastAsia="Calibri" w:cs="Calibri"/>
          <w:kern w:val="0"/>
          <w:sz w:val="24"/>
          <w:szCs w:val="24"/>
          <w14:ligatures w14:val="none"/>
        </w:rPr>
        <w:t>y</w:t>
      </w:r>
      <w:r w:rsidRPr="009576D8">
        <w:rPr>
          <w:rFonts w:eastAsia="Calibri" w:cs="Calibri"/>
          <w:kern w:val="0"/>
          <w:sz w:val="24"/>
          <w:szCs w:val="24"/>
          <w14:ligatures w14:val="none"/>
        </w:rPr>
        <w:t xml:space="preserve"> skutków regulacji </w:t>
      </w:r>
      <w:r w:rsidRPr="007123DB">
        <w:rPr>
          <w:rFonts w:eastAsia="Calibri" w:cs="Calibri"/>
          <w:i/>
          <w:iCs/>
          <w:kern w:val="0"/>
          <w:sz w:val="24"/>
          <w:szCs w:val="24"/>
          <w14:ligatures w14:val="none"/>
        </w:rPr>
        <w:t>ex ante</w:t>
      </w:r>
      <w:r w:rsidRPr="009576D8">
        <w:rPr>
          <w:rFonts w:eastAsia="Calibri" w:cs="Calibri"/>
          <w:kern w:val="0"/>
          <w:sz w:val="24"/>
          <w:szCs w:val="24"/>
          <w14:ligatures w14:val="none"/>
        </w:rPr>
        <w:t xml:space="preserve"> (OSR).</w:t>
      </w:r>
    </w:p>
    <w:p w14:paraId="5F1BAA64" w14:textId="7156C407" w:rsidR="000C7C86" w:rsidRPr="009576D8" w:rsidRDefault="004F7D77" w:rsidP="009576D8">
      <w:pPr>
        <w:pStyle w:val="Nagwek2"/>
      </w:pPr>
      <w:bookmarkStart w:id="65" w:name="_Toc217927154"/>
      <w:bookmarkStart w:id="66" w:name="_Toc219276874"/>
      <w:bookmarkEnd w:id="64"/>
      <w:r>
        <w:lastRenderedPageBreak/>
        <w:t xml:space="preserve">Działanie </w:t>
      </w:r>
      <w:r w:rsidRPr="00D33394">
        <w:t>1.</w:t>
      </w:r>
      <w:r w:rsidR="002D675B">
        <w:t>1</w:t>
      </w:r>
      <w:r w:rsidR="00987616">
        <w:t>.</w:t>
      </w:r>
      <w:r w:rsidR="002D675B">
        <w:t xml:space="preserve"> </w:t>
      </w:r>
      <w:r w:rsidR="000C7C86" w:rsidRPr="009576D8">
        <w:t xml:space="preserve">Przygotowanie nowych formularzy </w:t>
      </w:r>
      <w:r w:rsidR="004F14C4" w:rsidRPr="009576D8">
        <w:t xml:space="preserve">oceny </w:t>
      </w:r>
      <w:r w:rsidR="00723841">
        <w:t>wpływu</w:t>
      </w:r>
      <w:r w:rsidR="004F14C4" w:rsidRPr="009576D8">
        <w:t xml:space="preserve"> regulacji</w:t>
      </w:r>
      <w:bookmarkEnd w:id="65"/>
      <w:bookmarkEnd w:id="66"/>
    </w:p>
    <w:p w14:paraId="537EB040" w14:textId="40E24535" w:rsidR="00260332" w:rsidRDefault="00025635" w:rsidP="003661EB">
      <w:pPr>
        <w:spacing w:after="120" w:line="276" w:lineRule="auto"/>
        <w:rPr>
          <w:rFonts w:eastAsia="Calibri" w:cs="Calibri"/>
          <w:kern w:val="0"/>
          <w:sz w:val="24"/>
          <w:szCs w:val="24"/>
          <w14:ligatures w14:val="none"/>
        </w:rPr>
      </w:pPr>
      <w:bookmarkStart w:id="67" w:name="_Hlk217310371"/>
      <w:r>
        <w:rPr>
          <w:rFonts w:eastAsia="Calibri" w:cs="Calibri"/>
          <w:kern w:val="0"/>
          <w:sz w:val="24"/>
          <w:szCs w:val="24"/>
          <w14:ligatures w14:val="none"/>
        </w:rPr>
        <w:t>Wnioski płynące z wieloletniej obserwacji</w:t>
      </w:r>
      <w:r w:rsidRPr="00025635">
        <w:rPr>
          <w:rFonts w:eastAsia="Calibri" w:cs="Calibri"/>
          <w:kern w:val="0"/>
          <w:sz w:val="24"/>
          <w:szCs w:val="24"/>
          <w14:ligatures w14:val="none"/>
        </w:rPr>
        <w:t xml:space="preserve"> procesu stanowienia prawa i </w:t>
      </w:r>
      <w:r>
        <w:rPr>
          <w:rFonts w:eastAsia="Calibri" w:cs="Calibri"/>
          <w:kern w:val="0"/>
          <w:sz w:val="24"/>
          <w:szCs w:val="24"/>
          <w14:ligatures w14:val="none"/>
        </w:rPr>
        <w:t xml:space="preserve">sporządzania </w:t>
      </w:r>
      <w:r w:rsidRPr="00025635">
        <w:rPr>
          <w:rFonts w:eastAsia="Calibri" w:cs="Calibri"/>
          <w:kern w:val="0"/>
          <w:sz w:val="24"/>
          <w:szCs w:val="24"/>
          <w14:ligatures w14:val="none"/>
        </w:rPr>
        <w:t>ocen</w:t>
      </w:r>
      <w:r>
        <w:rPr>
          <w:rFonts w:eastAsia="Calibri" w:cs="Calibri"/>
          <w:kern w:val="0"/>
          <w:sz w:val="24"/>
          <w:szCs w:val="24"/>
          <w14:ligatures w14:val="none"/>
        </w:rPr>
        <w:t>y</w:t>
      </w:r>
      <w:r w:rsidRPr="00025635">
        <w:rPr>
          <w:rFonts w:eastAsia="Calibri" w:cs="Calibri"/>
          <w:kern w:val="0"/>
          <w:sz w:val="24"/>
          <w:szCs w:val="24"/>
          <w14:ligatures w14:val="none"/>
        </w:rPr>
        <w:t xml:space="preserve"> </w:t>
      </w:r>
      <w:r>
        <w:rPr>
          <w:rFonts w:eastAsia="Calibri" w:cs="Calibri"/>
          <w:kern w:val="0"/>
          <w:sz w:val="24"/>
          <w:szCs w:val="24"/>
          <w14:ligatures w14:val="none"/>
        </w:rPr>
        <w:t>wpływu</w:t>
      </w:r>
      <w:r w:rsidRPr="00025635">
        <w:rPr>
          <w:rFonts w:eastAsia="Calibri" w:cs="Calibri"/>
          <w:kern w:val="0"/>
          <w:sz w:val="24"/>
          <w:szCs w:val="24"/>
          <w14:ligatures w14:val="none"/>
        </w:rPr>
        <w:t xml:space="preserve"> znajdą swoje odzwierciedlenie w </w:t>
      </w:r>
      <w:r>
        <w:rPr>
          <w:rFonts w:eastAsia="Calibri" w:cs="Calibri"/>
          <w:kern w:val="0"/>
          <w:sz w:val="24"/>
          <w:szCs w:val="24"/>
          <w14:ligatures w14:val="none"/>
        </w:rPr>
        <w:t>nowej metodyce</w:t>
      </w:r>
      <w:r w:rsidRPr="00025635">
        <w:rPr>
          <w:rFonts w:eastAsia="Calibri" w:cs="Calibri"/>
          <w:kern w:val="0"/>
          <w:sz w:val="24"/>
          <w:szCs w:val="24"/>
          <w14:ligatures w14:val="none"/>
        </w:rPr>
        <w:t xml:space="preserve"> i </w:t>
      </w:r>
      <w:r w:rsidR="00260332">
        <w:rPr>
          <w:rFonts w:eastAsia="Calibri" w:cs="Calibri"/>
          <w:kern w:val="0"/>
          <w:sz w:val="24"/>
          <w:szCs w:val="24"/>
          <w14:ligatures w14:val="none"/>
        </w:rPr>
        <w:t>sposobie</w:t>
      </w:r>
      <w:r w:rsidRPr="00025635">
        <w:rPr>
          <w:rFonts w:eastAsia="Calibri" w:cs="Calibri"/>
          <w:kern w:val="0"/>
          <w:sz w:val="24"/>
          <w:szCs w:val="24"/>
          <w14:ligatures w14:val="none"/>
        </w:rPr>
        <w:t xml:space="preserve"> prezentowania </w:t>
      </w:r>
      <w:r w:rsidR="00260332">
        <w:rPr>
          <w:rFonts w:eastAsia="Calibri" w:cs="Calibri"/>
          <w:kern w:val="0"/>
          <w:sz w:val="24"/>
          <w:szCs w:val="24"/>
          <w14:ligatures w14:val="none"/>
        </w:rPr>
        <w:t>opisu</w:t>
      </w:r>
      <w:r w:rsidRPr="00025635">
        <w:rPr>
          <w:rFonts w:eastAsia="Calibri" w:cs="Calibri"/>
          <w:kern w:val="0"/>
          <w:sz w:val="24"/>
          <w:szCs w:val="24"/>
          <w14:ligatures w14:val="none"/>
        </w:rPr>
        <w:t xml:space="preserve"> wpływu </w:t>
      </w:r>
      <w:r w:rsidR="00260332">
        <w:rPr>
          <w:rFonts w:eastAsia="Calibri" w:cs="Calibri"/>
          <w:kern w:val="0"/>
          <w:sz w:val="24"/>
          <w:szCs w:val="24"/>
          <w14:ligatures w14:val="none"/>
        </w:rPr>
        <w:t xml:space="preserve">projektowanych </w:t>
      </w:r>
      <w:r w:rsidRPr="00025635">
        <w:rPr>
          <w:rFonts w:eastAsia="Calibri" w:cs="Calibri"/>
          <w:kern w:val="0"/>
          <w:sz w:val="24"/>
          <w:szCs w:val="24"/>
          <w14:ligatures w14:val="none"/>
        </w:rPr>
        <w:t>regulacji.</w:t>
      </w:r>
      <w:bookmarkEnd w:id="67"/>
    </w:p>
    <w:p w14:paraId="4364B158" w14:textId="1A9F5B49" w:rsidR="000C7C86" w:rsidRPr="009576D8" w:rsidRDefault="000C7C86" w:rsidP="003661EB">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Planuje się przygotowanie </w:t>
      </w:r>
      <w:r w:rsidR="00260332">
        <w:rPr>
          <w:rFonts w:eastAsia="Calibri" w:cs="Calibri"/>
          <w:kern w:val="0"/>
          <w:sz w:val="24"/>
          <w:szCs w:val="24"/>
          <w14:ligatures w14:val="none"/>
        </w:rPr>
        <w:t>nowych</w:t>
      </w:r>
      <w:r w:rsidRPr="009576D8">
        <w:rPr>
          <w:rFonts w:eastAsia="Calibri" w:cs="Calibri"/>
          <w:kern w:val="0"/>
          <w:sz w:val="24"/>
          <w:szCs w:val="24"/>
          <w14:ligatures w14:val="none"/>
        </w:rPr>
        <w:t xml:space="preserve"> formularzy OSR i OSR </w:t>
      </w:r>
      <w:r w:rsidRPr="007123DB">
        <w:rPr>
          <w:rFonts w:eastAsia="Calibri" w:cs="Calibri"/>
          <w:i/>
          <w:iCs/>
          <w:kern w:val="0"/>
          <w:sz w:val="24"/>
          <w:szCs w:val="24"/>
          <w14:ligatures w14:val="none"/>
        </w:rPr>
        <w:t>ex post</w:t>
      </w:r>
      <w:r w:rsidR="004F14C4" w:rsidRPr="009576D8">
        <w:rPr>
          <w:rFonts w:eastAsia="Calibri" w:cs="Calibri"/>
          <w:kern w:val="0"/>
          <w:sz w:val="24"/>
          <w:szCs w:val="24"/>
          <w14:ligatures w14:val="none"/>
        </w:rPr>
        <w:t>,</w:t>
      </w:r>
      <w:r w:rsidRPr="009576D8">
        <w:rPr>
          <w:rFonts w:eastAsia="Calibri" w:cs="Calibri"/>
          <w:kern w:val="0"/>
          <w:sz w:val="24"/>
          <w:szCs w:val="24"/>
          <w14:ligatures w14:val="none"/>
        </w:rPr>
        <w:t xml:space="preserve"> bardziej </w:t>
      </w:r>
      <w:r w:rsidR="007C2EAF" w:rsidRPr="009576D8">
        <w:rPr>
          <w:rFonts w:eastAsia="Calibri" w:cs="Calibri"/>
          <w:kern w:val="0"/>
          <w:sz w:val="24"/>
          <w:szCs w:val="24"/>
          <w14:ligatures w14:val="none"/>
        </w:rPr>
        <w:t>przyjazn</w:t>
      </w:r>
      <w:r w:rsidR="007C2EAF">
        <w:rPr>
          <w:rFonts w:eastAsia="Calibri" w:cs="Calibri"/>
          <w:kern w:val="0"/>
          <w:sz w:val="24"/>
          <w:szCs w:val="24"/>
          <w14:ligatures w14:val="none"/>
        </w:rPr>
        <w:t>ych</w:t>
      </w:r>
      <w:r w:rsidR="007C2EAF" w:rsidRPr="009576D8">
        <w:rPr>
          <w:rFonts w:eastAsia="Calibri" w:cs="Calibri"/>
          <w:kern w:val="0"/>
          <w:sz w:val="24"/>
          <w:szCs w:val="24"/>
          <w14:ligatures w14:val="none"/>
        </w:rPr>
        <w:t xml:space="preserve"> </w:t>
      </w:r>
      <w:r w:rsidRPr="009576D8">
        <w:rPr>
          <w:rFonts w:eastAsia="Calibri" w:cs="Calibri"/>
          <w:kern w:val="0"/>
          <w:sz w:val="24"/>
          <w:szCs w:val="24"/>
          <w14:ligatures w14:val="none"/>
        </w:rPr>
        <w:t xml:space="preserve">dla wypełniających i odbiorców, </w:t>
      </w:r>
      <w:r w:rsidR="007C2EAF" w:rsidRPr="009576D8">
        <w:rPr>
          <w:rFonts w:eastAsia="Calibri" w:cs="Calibri"/>
          <w:kern w:val="0"/>
          <w:sz w:val="24"/>
          <w:szCs w:val="24"/>
          <w14:ligatures w14:val="none"/>
        </w:rPr>
        <w:t>któr</w:t>
      </w:r>
      <w:r w:rsidR="007C2EAF">
        <w:rPr>
          <w:rFonts w:eastAsia="Calibri" w:cs="Calibri"/>
          <w:kern w:val="0"/>
          <w:sz w:val="24"/>
          <w:szCs w:val="24"/>
          <w14:ligatures w14:val="none"/>
        </w:rPr>
        <w:t>e</w:t>
      </w:r>
      <w:r w:rsidR="007C2EAF" w:rsidRPr="009576D8">
        <w:rPr>
          <w:rFonts w:eastAsia="Calibri" w:cs="Calibri"/>
          <w:kern w:val="0"/>
          <w:sz w:val="24"/>
          <w:szCs w:val="24"/>
          <w14:ligatures w14:val="none"/>
        </w:rPr>
        <w:t xml:space="preserve"> </w:t>
      </w:r>
      <w:r w:rsidRPr="009576D8">
        <w:rPr>
          <w:rFonts w:eastAsia="Calibri" w:cs="Calibri"/>
          <w:kern w:val="0"/>
          <w:sz w:val="24"/>
          <w:szCs w:val="24"/>
          <w14:ligatures w14:val="none"/>
        </w:rPr>
        <w:t>zapewni</w:t>
      </w:r>
      <w:r w:rsidR="007C2EAF">
        <w:rPr>
          <w:rFonts w:eastAsia="Calibri" w:cs="Calibri"/>
          <w:kern w:val="0"/>
          <w:sz w:val="24"/>
          <w:szCs w:val="24"/>
          <w14:ligatures w14:val="none"/>
        </w:rPr>
        <w:t>ą</w:t>
      </w:r>
      <w:r w:rsidRPr="009576D8">
        <w:rPr>
          <w:rFonts w:eastAsia="Calibri" w:cs="Calibri"/>
          <w:kern w:val="0"/>
          <w:sz w:val="24"/>
          <w:szCs w:val="24"/>
          <w14:ligatures w14:val="none"/>
        </w:rPr>
        <w:t xml:space="preserve"> jak najwyższą jakość prezentacji wyników prac analitycznych. Istotną proponowaną zmianą </w:t>
      </w:r>
      <w:r w:rsidR="004F14C4" w:rsidRPr="009576D8">
        <w:rPr>
          <w:rFonts w:eastAsia="Calibri" w:cs="Calibri"/>
          <w:kern w:val="0"/>
          <w:sz w:val="24"/>
          <w:szCs w:val="24"/>
          <w14:ligatures w14:val="none"/>
        </w:rPr>
        <w:t xml:space="preserve">będzie </w:t>
      </w:r>
      <w:r w:rsidRPr="009576D8">
        <w:rPr>
          <w:rFonts w:eastAsia="Calibri" w:cs="Calibri"/>
          <w:kern w:val="0"/>
          <w:sz w:val="24"/>
          <w:szCs w:val="24"/>
          <w14:ligatures w14:val="none"/>
        </w:rPr>
        <w:t xml:space="preserve">zróżnicowanie wymaganych informacji w OSR w odniesieniu do projektów ustaw oraz pozostałych projektów dokumentów rządowych (uproszczone formularze OSR). W nowych wzorach wprowadzony zostanie przejrzysty podział na trzy segmenty: społeczeństwo, gospodarkę i sektor finansów publicznych. Uwypuklone zostaną pola </w:t>
      </w:r>
      <w:r w:rsidR="00BC7A7F" w:rsidRPr="009576D8">
        <w:rPr>
          <w:rFonts w:eastAsia="Calibri" w:cs="Calibri"/>
          <w:kern w:val="0"/>
          <w:sz w:val="24"/>
          <w:szCs w:val="24"/>
          <w14:ligatures w14:val="none"/>
        </w:rPr>
        <w:t>dla</w:t>
      </w:r>
      <w:r w:rsidRPr="009576D8">
        <w:rPr>
          <w:rFonts w:eastAsia="Calibri" w:cs="Calibri"/>
          <w:kern w:val="0"/>
          <w:sz w:val="24"/>
          <w:szCs w:val="24"/>
          <w14:ligatures w14:val="none"/>
        </w:rPr>
        <w:t xml:space="preserve"> oceny wpływu na MŚP oraz analizy alternatywnych rozwiązań. </w:t>
      </w:r>
      <w:bookmarkStart w:id="68" w:name="_Hlk217310511"/>
      <w:r w:rsidR="00703757">
        <w:rPr>
          <w:rFonts w:eastAsia="Calibri" w:cs="Calibri"/>
          <w:kern w:val="0"/>
          <w:sz w:val="24"/>
          <w:szCs w:val="24"/>
          <w14:ligatures w14:val="none"/>
        </w:rPr>
        <w:t>W nowych formularzach znajd</w:t>
      </w:r>
      <w:r w:rsidR="007C2EAF">
        <w:rPr>
          <w:rFonts w:eastAsia="Calibri" w:cs="Calibri"/>
          <w:kern w:val="0"/>
          <w:sz w:val="24"/>
          <w:szCs w:val="24"/>
          <w14:ligatures w14:val="none"/>
        </w:rPr>
        <w:t>ą</w:t>
      </w:r>
      <w:r w:rsidR="00703757">
        <w:rPr>
          <w:rFonts w:eastAsia="Calibri" w:cs="Calibri"/>
          <w:kern w:val="0"/>
          <w:sz w:val="24"/>
          <w:szCs w:val="24"/>
          <w14:ligatures w14:val="none"/>
        </w:rPr>
        <w:t xml:space="preserve"> się też</w:t>
      </w:r>
      <w:r w:rsidR="00703757" w:rsidRPr="00703757">
        <w:rPr>
          <w:rFonts w:eastAsia="Calibri" w:cs="Calibri"/>
          <w:kern w:val="0"/>
          <w:sz w:val="24"/>
          <w:szCs w:val="24"/>
          <w14:ligatures w14:val="none"/>
        </w:rPr>
        <w:t xml:space="preserve"> </w:t>
      </w:r>
      <w:r w:rsidR="00703757">
        <w:rPr>
          <w:rFonts w:eastAsia="Calibri" w:cs="Calibri"/>
          <w:kern w:val="0"/>
          <w:sz w:val="24"/>
          <w:szCs w:val="24"/>
          <w14:ligatures w14:val="none"/>
        </w:rPr>
        <w:t>elementy</w:t>
      </w:r>
      <w:r w:rsidR="00703757" w:rsidRPr="00703757">
        <w:rPr>
          <w:rFonts w:eastAsia="Calibri" w:cs="Calibri"/>
          <w:kern w:val="0"/>
          <w:sz w:val="24"/>
          <w:szCs w:val="24"/>
          <w14:ligatures w14:val="none"/>
        </w:rPr>
        <w:t xml:space="preserve"> </w:t>
      </w:r>
      <w:r w:rsidR="00703757">
        <w:rPr>
          <w:rFonts w:eastAsia="Calibri" w:cs="Calibri"/>
          <w:kern w:val="0"/>
          <w:sz w:val="24"/>
          <w:szCs w:val="24"/>
          <w14:ligatures w14:val="none"/>
        </w:rPr>
        <w:t>wspierające</w:t>
      </w:r>
      <w:r w:rsidR="00703757" w:rsidRPr="00703757">
        <w:rPr>
          <w:rFonts w:eastAsia="Calibri" w:cs="Calibri"/>
          <w:kern w:val="0"/>
          <w:sz w:val="24"/>
          <w:szCs w:val="24"/>
          <w14:ligatures w14:val="none"/>
        </w:rPr>
        <w:t xml:space="preserve"> stosowani</w:t>
      </w:r>
      <w:r w:rsidR="00703757">
        <w:rPr>
          <w:rFonts w:eastAsia="Calibri" w:cs="Calibri"/>
          <w:kern w:val="0"/>
          <w:sz w:val="24"/>
          <w:szCs w:val="24"/>
          <w14:ligatures w14:val="none"/>
        </w:rPr>
        <w:t>e</w:t>
      </w:r>
      <w:r w:rsidR="00703757" w:rsidRPr="00703757">
        <w:rPr>
          <w:rFonts w:eastAsia="Calibri" w:cs="Calibri"/>
          <w:kern w:val="0"/>
          <w:sz w:val="24"/>
          <w:szCs w:val="24"/>
          <w14:ligatures w14:val="none"/>
        </w:rPr>
        <w:t xml:space="preserve"> zasady równoważenia obowiązków </w:t>
      </w:r>
      <w:r w:rsidR="00777F24">
        <w:rPr>
          <w:rFonts w:eastAsia="Calibri" w:cs="Calibri"/>
          <w:kern w:val="0"/>
          <w:sz w:val="24"/>
          <w:szCs w:val="24"/>
          <w14:ligatures w14:val="none"/>
        </w:rPr>
        <w:t>a</w:t>
      </w:r>
      <w:r w:rsidR="00703757" w:rsidRPr="00703757">
        <w:rPr>
          <w:rFonts w:eastAsia="Calibri" w:cs="Calibri"/>
          <w:kern w:val="0"/>
          <w:sz w:val="24"/>
          <w:szCs w:val="24"/>
          <w14:ligatures w14:val="none"/>
        </w:rPr>
        <w:t>dministracyjnych.</w:t>
      </w:r>
      <w:bookmarkEnd w:id="68"/>
    </w:p>
    <w:p w14:paraId="78549930" w14:textId="77777777" w:rsidR="00703757" w:rsidRDefault="000C7C86" w:rsidP="003661EB">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Przygotowanie nowych formularzy przyczyni się do poprawy oceny wpływu w rządowym procesie legislacyjnym, jednocześnie ułatwiając partnerom publicznym identyfikację </w:t>
      </w:r>
      <w:r w:rsidR="004F14C4" w:rsidRPr="009576D8">
        <w:rPr>
          <w:rFonts w:eastAsia="Calibri" w:cs="Calibri"/>
          <w:kern w:val="0"/>
          <w:sz w:val="24"/>
          <w:szCs w:val="24"/>
          <w14:ligatures w14:val="none"/>
        </w:rPr>
        <w:t>skutków</w:t>
      </w:r>
      <w:r w:rsidR="00BC7A7F" w:rsidRPr="009576D8">
        <w:rPr>
          <w:rFonts w:eastAsia="Calibri" w:cs="Calibri"/>
          <w:kern w:val="0"/>
          <w:sz w:val="24"/>
          <w:szCs w:val="24"/>
          <w14:ligatures w14:val="none"/>
        </w:rPr>
        <w:t>,</w:t>
      </w:r>
      <w:r w:rsidRPr="009576D8">
        <w:rPr>
          <w:rFonts w:eastAsia="Calibri" w:cs="Calibri"/>
          <w:kern w:val="0"/>
          <w:sz w:val="24"/>
          <w:szCs w:val="24"/>
          <w14:ligatures w14:val="none"/>
        </w:rPr>
        <w:t xml:space="preserve"> jaki</w:t>
      </w:r>
      <w:r w:rsidR="007520DD" w:rsidRPr="009576D8">
        <w:rPr>
          <w:rFonts w:eastAsia="Calibri" w:cs="Calibri"/>
          <w:kern w:val="0"/>
          <w:sz w:val="24"/>
          <w:szCs w:val="24"/>
          <w14:ligatures w14:val="none"/>
        </w:rPr>
        <w:t>e</w:t>
      </w:r>
      <w:r w:rsidRPr="009576D8">
        <w:rPr>
          <w:rFonts w:eastAsia="Calibri" w:cs="Calibri"/>
          <w:kern w:val="0"/>
          <w:sz w:val="24"/>
          <w:szCs w:val="24"/>
          <w14:ligatures w14:val="none"/>
        </w:rPr>
        <w:t xml:space="preserve"> planowana regulacja będzie miała </w:t>
      </w:r>
      <w:r w:rsidR="00BC7A7F" w:rsidRPr="009576D8">
        <w:rPr>
          <w:rFonts w:eastAsia="Calibri" w:cs="Calibri"/>
          <w:kern w:val="0"/>
          <w:sz w:val="24"/>
          <w:szCs w:val="24"/>
          <w14:ligatures w14:val="none"/>
        </w:rPr>
        <w:t>w stosunku do</w:t>
      </w:r>
      <w:r w:rsidRPr="009576D8">
        <w:rPr>
          <w:rFonts w:eastAsia="Calibri" w:cs="Calibri"/>
          <w:kern w:val="0"/>
          <w:sz w:val="24"/>
          <w:szCs w:val="24"/>
          <w14:ligatures w14:val="none"/>
        </w:rPr>
        <w:t xml:space="preserve"> </w:t>
      </w:r>
      <w:r w:rsidR="00985A55" w:rsidRPr="009576D8">
        <w:rPr>
          <w:rFonts w:eastAsia="Calibri" w:cs="Calibri"/>
          <w:kern w:val="0"/>
          <w:sz w:val="24"/>
          <w:szCs w:val="24"/>
          <w14:ligatures w14:val="none"/>
        </w:rPr>
        <w:t>nich samych</w:t>
      </w:r>
      <w:r w:rsidRPr="009576D8">
        <w:rPr>
          <w:rFonts w:eastAsia="Calibri" w:cs="Calibri"/>
          <w:kern w:val="0"/>
          <w:sz w:val="24"/>
          <w:szCs w:val="24"/>
          <w14:ligatures w14:val="none"/>
        </w:rPr>
        <w:t xml:space="preserve">. </w:t>
      </w:r>
    </w:p>
    <w:p w14:paraId="08F44FD8" w14:textId="4F2C141A" w:rsidR="000C7C86" w:rsidRPr="009576D8" w:rsidRDefault="00703757" w:rsidP="003661EB">
      <w:pPr>
        <w:spacing w:after="120" w:line="276" w:lineRule="auto"/>
        <w:rPr>
          <w:rFonts w:eastAsia="Calibri" w:cs="Calibri"/>
          <w:kern w:val="0"/>
          <w:sz w:val="24"/>
          <w:szCs w:val="24"/>
          <w14:ligatures w14:val="none"/>
        </w:rPr>
      </w:pPr>
      <w:r w:rsidRPr="00703757">
        <w:rPr>
          <w:rFonts w:eastAsia="Calibri" w:cs="Calibri"/>
          <w:kern w:val="0"/>
          <w:sz w:val="24"/>
          <w:szCs w:val="24"/>
          <w14:ligatures w14:val="none"/>
        </w:rPr>
        <w:t>Opracowanie formularzy będzie wymagać działań wspierających resorty w</w:t>
      </w:r>
      <w:r w:rsidR="003661EB">
        <w:rPr>
          <w:rFonts w:eastAsia="Calibri" w:cs="Calibri"/>
          <w:kern w:val="0"/>
          <w:sz w:val="24"/>
          <w:szCs w:val="24"/>
          <w14:ligatures w14:val="none"/>
        </w:rPr>
        <w:t> </w:t>
      </w:r>
      <w:r w:rsidRPr="00703757">
        <w:rPr>
          <w:rFonts w:eastAsia="Calibri" w:cs="Calibri"/>
          <w:kern w:val="0"/>
          <w:sz w:val="24"/>
          <w:szCs w:val="24"/>
          <w14:ligatures w14:val="none"/>
        </w:rPr>
        <w:t xml:space="preserve">dokonywaniu oceny wpływu w zmienionym układzie treści. </w:t>
      </w:r>
    </w:p>
    <w:p w14:paraId="01A01093" w14:textId="6A840E29" w:rsidR="000C7C86" w:rsidRPr="009576D8" w:rsidRDefault="000C7C86" w:rsidP="003661EB">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 xml:space="preserve">Przygotowanie </w:t>
      </w:r>
      <w:r w:rsidR="00703757">
        <w:rPr>
          <w:i/>
          <w:iCs/>
          <w:sz w:val="24"/>
          <w:szCs w:val="24"/>
        </w:rPr>
        <w:t>nowych</w:t>
      </w:r>
      <w:r w:rsidRPr="009576D8">
        <w:rPr>
          <w:i/>
          <w:iCs/>
          <w:sz w:val="24"/>
          <w:szCs w:val="24"/>
        </w:rPr>
        <w:t xml:space="preserve"> formularzy OSR i OSR ex post oraz </w:t>
      </w:r>
      <w:r w:rsidR="007C2EAF">
        <w:rPr>
          <w:i/>
          <w:iCs/>
          <w:sz w:val="24"/>
          <w:szCs w:val="24"/>
        </w:rPr>
        <w:t>uproszczonego formularza</w:t>
      </w:r>
      <w:r w:rsidRPr="009576D8">
        <w:rPr>
          <w:i/>
          <w:iCs/>
          <w:sz w:val="24"/>
          <w:szCs w:val="24"/>
        </w:rPr>
        <w:t xml:space="preserve"> OSR do projektów dokumentów rządowych niebędących ustawami</w:t>
      </w:r>
    </w:p>
    <w:p w14:paraId="4D06477D" w14:textId="4294ADD4" w:rsidR="0006278A" w:rsidRPr="009576D8" w:rsidRDefault="000C7C86" w:rsidP="003661EB">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K</w:t>
      </w:r>
      <w:r w:rsidR="00C541FC" w:rsidRPr="009576D8">
        <w:rPr>
          <w:i/>
          <w:iCs/>
          <w:sz w:val="24"/>
          <w:szCs w:val="24"/>
        </w:rPr>
        <w:t xml:space="preserve">oordynator </w:t>
      </w:r>
      <w:r w:rsidR="00246790">
        <w:rPr>
          <w:i/>
          <w:iCs/>
          <w:sz w:val="24"/>
          <w:szCs w:val="24"/>
        </w:rPr>
        <w:t>OSR</w:t>
      </w:r>
      <w:r w:rsidRPr="009576D8">
        <w:rPr>
          <w:i/>
          <w:iCs/>
          <w:sz w:val="24"/>
          <w:szCs w:val="24"/>
        </w:rPr>
        <w:t xml:space="preserve"> we współpracy z </w:t>
      </w:r>
      <w:r w:rsidR="00CC0130" w:rsidRPr="009576D8">
        <w:rPr>
          <w:i/>
          <w:iCs/>
          <w:sz w:val="24"/>
          <w:szCs w:val="24"/>
        </w:rPr>
        <w:t>ministrem właściwym do spraw gospodarki</w:t>
      </w:r>
      <w:r w:rsidR="005B16B8" w:rsidRPr="009576D8">
        <w:rPr>
          <w:i/>
          <w:iCs/>
          <w:sz w:val="24"/>
          <w:szCs w:val="24"/>
        </w:rPr>
        <w:t xml:space="preserve"> </w:t>
      </w:r>
      <w:r w:rsidR="000F318F">
        <w:rPr>
          <w:i/>
          <w:iCs/>
          <w:sz w:val="24"/>
          <w:szCs w:val="24"/>
        </w:rPr>
        <w:t xml:space="preserve">i ministrem </w:t>
      </w:r>
      <w:r w:rsidR="000F318F" w:rsidRPr="009576D8">
        <w:rPr>
          <w:i/>
          <w:iCs/>
          <w:sz w:val="24"/>
          <w:szCs w:val="24"/>
        </w:rPr>
        <w:t xml:space="preserve">właściwym </w:t>
      </w:r>
      <w:r w:rsidR="000F318F" w:rsidRPr="000F318F">
        <w:rPr>
          <w:i/>
          <w:iCs/>
          <w:sz w:val="24"/>
          <w:szCs w:val="24"/>
        </w:rPr>
        <w:t>do spraw budżetu państwa, finansów publicznych oraz instytucji finansowych</w:t>
      </w:r>
    </w:p>
    <w:p w14:paraId="74A882C8" w14:textId="6D3CB55B" w:rsidR="000C7C86" w:rsidRPr="009576D8" w:rsidRDefault="000C7C86" w:rsidP="003661EB">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2026/2027</w:t>
      </w:r>
    </w:p>
    <w:p w14:paraId="7FAE3960" w14:textId="2BBDC877" w:rsidR="000C7C86" w:rsidRPr="009576D8" w:rsidRDefault="004F7D77" w:rsidP="009576D8">
      <w:pPr>
        <w:pStyle w:val="Nagwek2"/>
      </w:pPr>
      <w:bookmarkStart w:id="69" w:name="_Toc217927155"/>
      <w:bookmarkStart w:id="70" w:name="_Toc219276875"/>
      <w:r w:rsidRPr="002D675B">
        <w:t>Działanie 1.</w:t>
      </w:r>
      <w:r w:rsidR="002D675B">
        <w:t>2</w:t>
      </w:r>
      <w:r w:rsidR="00987616">
        <w:t>.</w:t>
      </w:r>
      <w:r w:rsidR="002D675B">
        <w:t xml:space="preserve"> </w:t>
      </w:r>
      <w:r w:rsidR="000C7C86" w:rsidRPr="002D675B">
        <w:t>Aktualizacja</w:t>
      </w:r>
      <w:r w:rsidR="000C7C86" w:rsidRPr="009576D8">
        <w:t xml:space="preserve"> </w:t>
      </w:r>
      <w:r w:rsidR="007C2EAF">
        <w:t>w</w:t>
      </w:r>
      <w:r w:rsidR="000C7C86" w:rsidRPr="009576D8">
        <w:t>ytycznych do przeprowadzania oceny wpływu i konsultacji publicznych w ramach rządowego procesu legislacyjnego</w:t>
      </w:r>
      <w:bookmarkEnd w:id="69"/>
      <w:bookmarkEnd w:id="70"/>
    </w:p>
    <w:p w14:paraId="6EC90666" w14:textId="7D40EF0B" w:rsidR="00A43A1D" w:rsidRPr="009576D8" w:rsidRDefault="003661EB" w:rsidP="00066F7D">
      <w:pPr>
        <w:spacing w:after="120" w:line="276" w:lineRule="auto"/>
        <w:rPr>
          <w:rFonts w:eastAsia="Calibri" w:cs="Calibri"/>
          <w:kern w:val="0"/>
          <w:sz w:val="24"/>
          <w:szCs w:val="24"/>
          <w14:ligatures w14:val="none"/>
        </w:rPr>
      </w:pPr>
      <w:r>
        <w:rPr>
          <w:rStyle w:val="Wyrnienieintensywne"/>
          <w:rFonts w:cs="Calibri"/>
          <w:i w:val="0"/>
          <w:iCs w:val="0"/>
          <w:color w:val="auto"/>
          <w:sz w:val="24"/>
          <w:szCs w:val="24"/>
        </w:rPr>
        <w:t>W</w:t>
      </w:r>
      <w:r w:rsidR="000C7C86" w:rsidRPr="009576D8">
        <w:rPr>
          <w:rStyle w:val="Wyrnienieintensywne"/>
          <w:rFonts w:cs="Calibri"/>
          <w:i w:val="0"/>
          <w:iCs w:val="0"/>
          <w:color w:val="auto"/>
          <w:sz w:val="24"/>
          <w:szCs w:val="24"/>
        </w:rPr>
        <w:t xml:space="preserve"> </w:t>
      </w:r>
      <w:r w:rsidR="006A3416" w:rsidRPr="009576D8">
        <w:rPr>
          <w:rStyle w:val="Wyrnienieintensywne"/>
          <w:rFonts w:cs="Calibri"/>
          <w:i w:val="0"/>
          <w:iCs w:val="0"/>
          <w:color w:val="auto"/>
          <w:sz w:val="24"/>
          <w:szCs w:val="24"/>
        </w:rPr>
        <w:t>związku</w:t>
      </w:r>
      <w:r w:rsidR="000C7C86" w:rsidRPr="009576D8">
        <w:rPr>
          <w:rStyle w:val="Wyrnienieintensywne"/>
          <w:rFonts w:cs="Calibri"/>
          <w:i w:val="0"/>
          <w:iCs w:val="0"/>
          <w:color w:val="auto"/>
          <w:sz w:val="24"/>
          <w:szCs w:val="24"/>
        </w:rPr>
        <w:t xml:space="preserve"> z przygotowaniem nowych formularzy OSR </w:t>
      </w:r>
      <w:r w:rsidR="006A3416" w:rsidRPr="009576D8">
        <w:rPr>
          <w:rStyle w:val="Wyrnienieintensywne"/>
          <w:rFonts w:cs="Calibri"/>
          <w:i w:val="0"/>
          <w:iCs w:val="0"/>
          <w:color w:val="auto"/>
          <w:sz w:val="24"/>
          <w:szCs w:val="24"/>
        </w:rPr>
        <w:t xml:space="preserve">aktualizacją zostaną objęte również </w:t>
      </w:r>
      <w:r w:rsidR="007C2EAF">
        <w:rPr>
          <w:rFonts w:eastAsia="Calibri" w:cs="Calibri"/>
          <w:kern w:val="0"/>
          <w:sz w:val="24"/>
          <w:szCs w:val="24"/>
          <w14:ligatures w14:val="none"/>
        </w:rPr>
        <w:t>w</w:t>
      </w:r>
      <w:r w:rsidR="000C7C86" w:rsidRPr="009576D8">
        <w:rPr>
          <w:rFonts w:eastAsia="Calibri" w:cs="Calibri"/>
          <w:kern w:val="0"/>
          <w:sz w:val="24"/>
          <w:szCs w:val="24"/>
          <w14:ligatures w14:val="none"/>
        </w:rPr>
        <w:t xml:space="preserve">ytyczne do przeprowadzania oceny wpływu </w:t>
      </w:r>
      <w:r w:rsidR="005F5163" w:rsidRPr="009576D8">
        <w:rPr>
          <w:rFonts w:eastAsia="Calibri" w:cs="Calibri"/>
          <w:kern w:val="0"/>
          <w:sz w:val="24"/>
          <w:szCs w:val="24"/>
          <w14:ligatures w14:val="none"/>
        </w:rPr>
        <w:t>i</w:t>
      </w:r>
      <w:r w:rsidR="005F5163">
        <w:rPr>
          <w:rFonts w:eastAsia="Calibri" w:cs="Calibri"/>
          <w:kern w:val="0"/>
          <w:sz w:val="24"/>
          <w:szCs w:val="24"/>
          <w14:ligatures w14:val="none"/>
        </w:rPr>
        <w:t> </w:t>
      </w:r>
      <w:r w:rsidR="000C7C86" w:rsidRPr="009576D8">
        <w:rPr>
          <w:rFonts w:eastAsia="Calibri" w:cs="Calibri"/>
          <w:kern w:val="0"/>
          <w:sz w:val="24"/>
          <w:szCs w:val="24"/>
          <w14:ligatures w14:val="none"/>
        </w:rPr>
        <w:t>konsultacji publicznych w</w:t>
      </w:r>
      <w:r w:rsidR="00C23D73">
        <w:rPr>
          <w:rFonts w:eastAsia="Calibri" w:cs="Calibri"/>
          <w:kern w:val="0"/>
          <w:sz w:val="24"/>
          <w:szCs w:val="24"/>
          <w14:ligatures w14:val="none"/>
        </w:rPr>
        <w:t> </w:t>
      </w:r>
      <w:r w:rsidR="000C7C86" w:rsidRPr="009576D8">
        <w:rPr>
          <w:rFonts w:eastAsia="Calibri" w:cs="Calibri"/>
          <w:kern w:val="0"/>
          <w:sz w:val="24"/>
          <w:szCs w:val="24"/>
          <w14:ligatures w14:val="none"/>
        </w:rPr>
        <w:t>ramach rządowego procesu legislacyjnego</w:t>
      </w:r>
      <w:r w:rsidR="003878A8" w:rsidRPr="009576D8">
        <w:rPr>
          <w:rStyle w:val="Odwoanieprzypisudolnego"/>
          <w:rFonts w:eastAsia="Calibri" w:cs="Calibri"/>
          <w:kern w:val="0"/>
          <w:sz w:val="24"/>
          <w:szCs w:val="24"/>
          <w14:ligatures w14:val="none"/>
        </w:rPr>
        <w:footnoteReference w:id="64"/>
      </w:r>
      <w:r w:rsidR="000C7C86" w:rsidRPr="009576D8">
        <w:rPr>
          <w:rFonts w:eastAsia="Calibri" w:cs="Calibri"/>
          <w:kern w:val="0"/>
          <w:sz w:val="24"/>
          <w:szCs w:val="24"/>
          <w14:ligatures w14:val="none"/>
        </w:rPr>
        <w:t>. Dzięki temu</w:t>
      </w:r>
      <w:r w:rsidR="00F2102A">
        <w:rPr>
          <w:rFonts w:eastAsia="Calibri" w:cs="Calibri"/>
          <w:kern w:val="0"/>
          <w:sz w:val="24"/>
          <w:szCs w:val="24"/>
          <w14:ligatures w14:val="none"/>
        </w:rPr>
        <w:t>,</w:t>
      </w:r>
      <w:r w:rsidR="000C7C86" w:rsidRPr="009576D8">
        <w:rPr>
          <w:rFonts w:eastAsia="Calibri" w:cs="Calibri"/>
          <w:kern w:val="0"/>
          <w:sz w:val="24"/>
          <w:szCs w:val="24"/>
          <w14:ligatures w14:val="none"/>
        </w:rPr>
        <w:t xml:space="preserve"> wskazówki dla </w:t>
      </w:r>
      <w:r w:rsidR="000C7C86" w:rsidRPr="009576D8">
        <w:rPr>
          <w:rFonts w:eastAsia="Calibri" w:cs="Calibri"/>
          <w:kern w:val="0"/>
          <w:sz w:val="24"/>
          <w:szCs w:val="24"/>
          <w14:ligatures w14:val="none"/>
        </w:rPr>
        <w:lastRenderedPageBreak/>
        <w:t xml:space="preserve">użytkowników </w:t>
      </w:r>
      <w:r w:rsidR="0077564E">
        <w:rPr>
          <w:rFonts w:eastAsia="Calibri" w:cs="Calibri"/>
          <w:kern w:val="0"/>
          <w:sz w:val="24"/>
          <w:szCs w:val="24"/>
          <w14:ligatures w14:val="none"/>
        </w:rPr>
        <w:t>uwzględnią</w:t>
      </w:r>
      <w:r w:rsidR="00E12044" w:rsidRPr="00E12044">
        <w:rPr>
          <w:rFonts w:eastAsia="Calibri" w:cs="Calibri"/>
          <w:kern w:val="0"/>
          <w:sz w:val="24"/>
          <w:szCs w:val="24"/>
          <w14:ligatures w14:val="none"/>
        </w:rPr>
        <w:t xml:space="preserve"> obecne wyzwania związane z kształtowaniem polityk publicznych</w:t>
      </w:r>
      <w:r w:rsidR="00E12044">
        <w:rPr>
          <w:rFonts w:eastAsia="Calibri" w:cs="Calibri"/>
          <w:kern w:val="0"/>
          <w:sz w:val="24"/>
          <w:szCs w:val="24"/>
          <w14:ligatures w14:val="none"/>
        </w:rPr>
        <w:t xml:space="preserve">. </w:t>
      </w:r>
      <w:r w:rsidR="0077564E">
        <w:rPr>
          <w:rFonts w:eastAsia="Calibri" w:cs="Calibri"/>
          <w:kern w:val="0"/>
          <w:sz w:val="24"/>
          <w:szCs w:val="24"/>
          <w14:ligatures w14:val="none"/>
        </w:rPr>
        <w:t xml:space="preserve">Wytyczne w nowym kształcie staną się </w:t>
      </w:r>
      <w:r w:rsidR="004F14C4" w:rsidRPr="009576D8">
        <w:rPr>
          <w:rFonts w:eastAsia="Calibri" w:cs="Calibri"/>
          <w:kern w:val="0"/>
          <w:sz w:val="24"/>
          <w:szCs w:val="24"/>
          <w14:ligatures w14:val="none"/>
        </w:rPr>
        <w:t>bardziej przystępne zarówno dla przygotowujących OSR, jak</w:t>
      </w:r>
      <w:r w:rsidR="00E908E0">
        <w:rPr>
          <w:rFonts w:eastAsia="Calibri" w:cs="Calibri"/>
          <w:kern w:val="0"/>
          <w:sz w:val="24"/>
          <w:szCs w:val="24"/>
          <w14:ligatures w14:val="none"/>
        </w:rPr>
        <w:t> </w:t>
      </w:r>
      <w:r w:rsidR="004F14C4" w:rsidRPr="009576D8">
        <w:rPr>
          <w:rFonts w:eastAsia="Calibri" w:cs="Calibri"/>
          <w:kern w:val="0"/>
          <w:sz w:val="24"/>
          <w:szCs w:val="24"/>
          <w14:ligatures w14:val="none"/>
        </w:rPr>
        <w:t xml:space="preserve">również </w:t>
      </w:r>
      <w:r w:rsidR="0077564E">
        <w:rPr>
          <w:rFonts w:eastAsia="Calibri" w:cs="Calibri"/>
          <w:kern w:val="0"/>
          <w:sz w:val="24"/>
          <w:szCs w:val="24"/>
          <w14:ligatures w14:val="none"/>
        </w:rPr>
        <w:t xml:space="preserve">dla </w:t>
      </w:r>
      <w:r w:rsidR="004F14C4" w:rsidRPr="009576D8">
        <w:rPr>
          <w:rFonts w:eastAsia="Calibri" w:cs="Calibri"/>
          <w:kern w:val="0"/>
          <w:sz w:val="24"/>
          <w:szCs w:val="24"/>
          <w14:ligatures w14:val="none"/>
        </w:rPr>
        <w:t>strony społecznej, która zapoznaje się z OSR w</w:t>
      </w:r>
      <w:r w:rsidR="00C23D73">
        <w:rPr>
          <w:rFonts w:eastAsia="Calibri" w:cs="Calibri"/>
          <w:kern w:val="0"/>
          <w:sz w:val="24"/>
          <w:szCs w:val="24"/>
          <w14:ligatures w14:val="none"/>
        </w:rPr>
        <w:t> </w:t>
      </w:r>
      <w:r w:rsidR="004F14C4" w:rsidRPr="009576D8">
        <w:rPr>
          <w:rFonts w:eastAsia="Calibri" w:cs="Calibri"/>
          <w:kern w:val="0"/>
          <w:sz w:val="24"/>
          <w:szCs w:val="24"/>
          <w14:ligatures w14:val="none"/>
        </w:rPr>
        <w:t>procesie konsultacji publicznych</w:t>
      </w:r>
      <w:r w:rsidR="000C7C86" w:rsidRPr="009576D8">
        <w:rPr>
          <w:rFonts w:eastAsia="Calibri" w:cs="Calibri"/>
          <w:kern w:val="0"/>
          <w:sz w:val="24"/>
          <w:szCs w:val="24"/>
          <w14:ligatures w14:val="none"/>
        </w:rPr>
        <w:t>.</w:t>
      </w:r>
      <w:r w:rsidR="00F507F1" w:rsidRPr="009576D8">
        <w:rPr>
          <w:rFonts w:eastAsia="Calibri" w:cs="Calibri"/>
          <w:kern w:val="0"/>
          <w:sz w:val="24"/>
          <w:szCs w:val="24"/>
          <w14:ligatures w14:val="none"/>
        </w:rPr>
        <w:t xml:space="preserve"> </w:t>
      </w:r>
      <w:r w:rsidR="0077564E">
        <w:rPr>
          <w:rFonts w:eastAsia="Calibri" w:cs="Calibri"/>
          <w:kern w:val="0"/>
          <w:sz w:val="24"/>
          <w:szCs w:val="24"/>
          <w14:ligatures w14:val="none"/>
        </w:rPr>
        <w:t xml:space="preserve">Wytyczne obejmą </w:t>
      </w:r>
      <w:r w:rsidR="00A43A1D">
        <w:rPr>
          <w:rFonts w:eastAsia="Calibri" w:cs="Calibri"/>
          <w:kern w:val="0"/>
          <w:sz w:val="24"/>
          <w:szCs w:val="24"/>
          <w14:ligatures w14:val="none"/>
        </w:rPr>
        <w:t xml:space="preserve">zidentyfikowane obszary problemowe i </w:t>
      </w:r>
      <w:r w:rsidR="0077564E" w:rsidRPr="0077564E">
        <w:rPr>
          <w:rFonts w:eastAsia="Calibri" w:cs="Calibri"/>
          <w:kern w:val="0"/>
          <w:sz w:val="24"/>
          <w:szCs w:val="24"/>
          <w14:ligatures w14:val="none"/>
        </w:rPr>
        <w:t xml:space="preserve">wskazówki </w:t>
      </w:r>
      <w:r w:rsidR="0077564E">
        <w:rPr>
          <w:rFonts w:eastAsia="Calibri" w:cs="Calibri"/>
          <w:kern w:val="0"/>
          <w:sz w:val="24"/>
          <w:szCs w:val="24"/>
          <w14:ligatures w14:val="none"/>
        </w:rPr>
        <w:t>odnoszące się do</w:t>
      </w:r>
      <w:r w:rsidR="0077564E" w:rsidRPr="0077564E">
        <w:rPr>
          <w:rFonts w:eastAsia="Calibri" w:cs="Calibri"/>
          <w:kern w:val="0"/>
          <w:sz w:val="24"/>
          <w:szCs w:val="24"/>
          <w14:ligatures w14:val="none"/>
        </w:rPr>
        <w:t xml:space="preserve"> konkretnych wyzwań i </w:t>
      </w:r>
      <w:r w:rsidR="00A43A1D">
        <w:rPr>
          <w:rFonts w:eastAsia="Calibri" w:cs="Calibri"/>
          <w:kern w:val="0"/>
          <w:sz w:val="24"/>
          <w:szCs w:val="24"/>
          <w14:ligatures w14:val="none"/>
        </w:rPr>
        <w:t>trudności związane z </w:t>
      </w:r>
      <w:r w:rsidR="0077564E" w:rsidRPr="0077564E">
        <w:rPr>
          <w:rFonts w:eastAsia="Calibri" w:cs="Calibri"/>
          <w:kern w:val="0"/>
          <w:sz w:val="24"/>
          <w:szCs w:val="24"/>
          <w14:ligatures w14:val="none"/>
        </w:rPr>
        <w:t>dokonywani</w:t>
      </w:r>
      <w:r w:rsidR="00A43A1D">
        <w:rPr>
          <w:rFonts w:eastAsia="Calibri" w:cs="Calibri"/>
          <w:kern w:val="0"/>
          <w:sz w:val="24"/>
          <w:szCs w:val="24"/>
          <w14:ligatures w14:val="none"/>
        </w:rPr>
        <w:t>em</w:t>
      </w:r>
      <w:r w:rsidR="0077564E" w:rsidRPr="0077564E">
        <w:rPr>
          <w:rFonts w:eastAsia="Calibri" w:cs="Calibri"/>
          <w:kern w:val="0"/>
          <w:sz w:val="24"/>
          <w:szCs w:val="24"/>
          <w14:ligatures w14:val="none"/>
        </w:rPr>
        <w:t xml:space="preserve"> oceny wpływu.</w:t>
      </w:r>
      <w:r w:rsidR="00A43A1D">
        <w:rPr>
          <w:rFonts w:eastAsia="Calibri" w:cs="Calibri"/>
          <w:kern w:val="0"/>
          <w:sz w:val="24"/>
          <w:szCs w:val="24"/>
          <w14:ligatures w14:val="none"/>
        </w:rPr>
        <w:t xml:space="preserve"> </w:t>
      </w:r>
      <w:r w:rsidR="00A43A1D" w:rsidRPr="00A43A1D">
        <w:rPr>
          <w:rFonts w:eastAsia="Calibri" w:cs="Calibri"/>
          <w:kern w:val="0"/>
          <w:sz w:val="24"/>
          <w:szCs w:val="24"/>
          <w14:ligatures w14:val="none"/>
        </w:rPr>
        <w:t>Aktualizacja będzie wymagać działań wspierających resorty w stosowaniu wytycznych.</w:t>
      </w:r>
    </w:p>
    <w:p w14:paraId="215B42F5" w14:textId="2E26E6B6" w:rsidR="00D01A4C" w:rsidRPr="00791177" w:rsidRDefault="00D01A4C" w:rsidP="00066F7D">
      <w:pPr>
        <w:spacing w:after="120" w:line="276" w:lineRule="auto"/>
        <w:rPr>
          <w:rFonts w:eastAsia="Calibri" w:cs="Calibri"/>
          <w:kern w:val="0"/>
          <w:sz w:val="24"/>
          <w:szCs w:val="24"/>
          <w14:ligatures w14:val="none"/>
        </w:rPr>
      </w:pPr>
      <w:r w:rsidRPr="00791177">
        <w:rPr>
          <w:rFonts w:eastAsia="Calibri" w:cs="Calibri"/>
          <w:kern w:val="0"/>
          <w:sz w:val="24"/>
          <w:szCs w:val="24"/>
          <w14:ligatures w14:val="none"/>
        </w:rPr>
        <w:t>P</w:t>
      </w:r>
      <w:r>
        <w:rPr>
          <w:rFonts w:eastAsia="Calibri" w:cs="Calibri"/>
          <w:kern w:val="0"/>
          <w:sz w:val="24"/>
          <w:szCs w:val="24"/>
          <w14:ligatures w14:val="none"/>
        </w:rPr>
        <w:t>onadto p</w:t>
      </w:r>
      <w:r w:rsidRPr="00791177">
        <w:rPr>
          <w:rFonts w:eastAsia="Calibri" w:cs="Calibri"/>
          <w:kern w:val="0"/>
          <w:sz w:val="24"/>
          <w:szCs w:val="24"/>
          <w14:ligatures w14:val="none"/>
        </w:rPr>
        <w:t xml:space="preserve">lanowane jest przygotowanie </w:t>
      </w:r>
      <w:r w:rsidR="00541EB8">
        <w:rPr>
          <w:rFonts w:eastAsia="Calibri" w:cs="Calibri"/>
          <w:kern w:val="0"/>
          <w:sz w:val="24"/>
          <w:szCs w:val="24"/>
          <w14:ligatures w14:val="none"/>
        </w:rPr>
        <w:t>materiału informacyjnego</w:t>
      </w:r>
      <w:r w:rsidR="00541EB8" w:rsidRPr="00791177">
        <w:rPr>
          <w:rFonts w:eastAsia="Calibri" w:cs="Calibri"/>
          <w:kern w:val="0"/>
          <w:sz w:val="24"/>
          <w:szCs w:val="24"/>
          <w14:ligatures w14:val="none"/>
        </w:rPr>
        <w:t xml:space="preserve"> dotycząc</w:t>
      </w:r>
      <w:r w:rsidR="00541EB8">
        <w:rPr>
          <w:rFonts w:eastAsia="Calibri" w:cs="Calibri"/>
          <w:kern w:val="0"/>
          <w:sz w:val="24"/>
          <w:szCs w:val="24"/>
          <w14:ligatures w14:val="none"/>
        </w:rPr>
        <w:t>ego</w:t>
      </w:r>
      <w:r w:rsidR="00541EB8" w:rsidRPr="00791177">
        <w:rPr>
          <w:rFonts w:eastAsia="Calibri" w:cs="Calibri"/>
          <w:kern w:val="0"/>
          <w:sz w:val="24"/>
          <w:szCs w:val="24"/>
          <w14:ligatures w14:val="none"/>
        </w:rPr>
        <w:t xml:space="preserve"> </w:t>
      </w:r>
      <w:r w:rsidRPr="00791177">
        <w:rPr>
          <w:rFonts w:eastAsia="Calibri" w:cs="Calibri"/>
          <w:kern w:val="0"/>
          <w:sz w:val="24"/>
          <w:szCs w:val="24"/>
          <w14:ligatures w14:val="none"/>
        </w:rPr>
        <w:t xml:space="preserve">planowania oceny funkcjonowania aktów normatywnych. W </w:t>
      </w:r>
      <w:r w:rsidR="00541EB8">
        <w:rPr>
          <w:rFonts w:eastAsia="Calibri" w:cs="Calibri"/>
          <w:kern w:val="0"/>
          <w:sz w:val="24"/>
          <w:szCs w:val="24"/>
          <w14:ligatures w14:val="none"/>
        </w:rPr>
        <w:t xml:space="preserve">innych </w:t>
      </w:r>
      <w:r w:rsidRPr="00791177">
        <w:rPr>
          <w:rFonts w:eastAsia="Calibri" w:cs="Calibri"/>
          <w:kern w:val="0"/>
          <w:sz w:val="24"/>
          <w:szCs w:val="24"/>
          <w14:ligatures w14:val="none"/>
        </w:rPr>
        <w:t xml:space="preserve">państwach </w:t>
      </w:r>
      <w:r w:rsidR="00541EB8">
        <w:rPr>
          <w:rFonts w:eastAsia="Calibri" w:cs="Calibri"/>
          <w:kern w:val="0"/>
          <w:sz w:val="24"/>
          <w:szCs w:val="24"/>
          <w14:ligatures w14:val="none"/>
        </w:rPr>
        <w:t>OECD</w:t>
      </w:r>
      <w:r w:rsidRPr="00791177">
        <w:rPr>
          <w:rFonts w:eastAsia="Calibri" w:cs="Calibri"/>
          <w:kern w:val="0"/>
          <w:sz w:val="24"/>
          <w:szCs w:val="24"/>
          <w14:ligatures w14:val="none"/>
        </w:rPr>
        <w:t xml:space="preserve"> istnieje szereg rozwiązań na rzecz strategicznego podejścia do ewaluacji prawa </w:t>
      </w:r>
      <w:r w:rsidRPr="007123DB">
        <w:rPr>
          <w:i/>
          <w:kern w:val="0"/>
          <w:sz w:val="24"/>
          <w14:ligatures w14:val="none"/>
        </w:rPr>
        <w:t>ex post</w:t>
      </w:r>
      <w:r w:rsidRPr="00791177">
        <w:rPr>
          <w:rFonts w:eastAsia="Calibri" w:cs="Calibri"/>
          <w:kern w:val="0"/>
          <w:sz w:val="24"/>
          <w:szCs w:val="24"/>
          <w14:ligatures w14:val="none"/>
        </w:rPr>
        <w:t xml:space="preserve">, np. obowiązek dokonania oceny wpływu </w:t>
      </w:r>
      <w:r w:rsidRPr="007123DB">
        <w:rPr>
          <w:i/>
          <w:kern w:val="0"/>
          <w:sz w:val="24"/>
          <w14:ligatures w14:val="none"/>
        </w:rPr>
        <w:t>ex post</w:t>
      </w:r>
      <w:r w:rsidRPr="00791177">
        <w:rPr>
          <w:rFonts w:eastAsia="Calibri" w:cs="Calibri"/>
          <w:kern w:val="0"/>
          <w:sz w:val="24"/>
          <w:szCs w:val="24"/>
          <w14:ligatures w14:val="none"/>
        </w:rPr>
        <w:t xml:space="preserve">, jeśli nie przeprowadzono oceny wpływu </w:t>
      </w:r>
      <w:r w:rsidRPr="007123DB">
        <w:rPr>
          <w:i/>
          <w:kern w:val="0"/>
          <w:sz w:val="24"/>
          <w14:ligatures w14:val="none"/>
        </w:rPr>
        <w:t>ex ante</w:t>
      </w:r>
      <w:r w:rsidRPr="00791177">
        <w:rPr>
          <w:rFonts w:eastAsia="Calibri" w:cs="Calibri"/>
          <w:kern w:val="0"/>
          <w:sz w:val="24"/>
          <w:szCs w:val="24"/>
          <w14:ligatures w14:val="none"/>
        </w:rPr>
        <w:t xml:space="preserve"> (Australia); test wielkości wpływu, którego wynik decyduje, czy ocena wpływu </w:t>
      </w:r>
      <w:r w:rsidRPr="007123DB">
        <w:rPr>
          <w:i/>
          <w:kern w:val="0"/>
          <w:sz w:val="24"/>
          <w14:ligatures w14:val="none"/>
        </w:rPr>
        <w:t>ex</w:t>
      </w:r>
      <w:r w:rsidR="00E908E0" w:rsidRPr="007123DB">
        <w:rPr>
          <w:i/>
          <w:kern w:val="0"/>
          <w:sz w:val="24"/>
          <w14:ligatures w14:val="none"/>
        </w:rPr>
        <w:t> </w:t>
      </w:r>
      <w:r w:rsidRPr="007123DB">
        <w:rPr>
          <w:i/>
          <w:kern w:val="0"/>
          <w:sz w:val="24"/>
          <w14:ligatures w14:val="none"/>
        </w:rPr>
        <w:t>post</w:t>
      </w:r>
      <w:r w:rsidRPr="00791177">
        <w:rPr>
          <w:rFonts w:eastAsia="Calibri" w:cs="Calibri"/>
          <w:kern w:val="0"/>
          <w:sz w:val="24"/>
          <w:szCs w:val="24"/>
          <w14:ligatures w14:val="none"/>
        </w:rPr>
        <w:t xml:space="preserve"> jest obligatoryjna (Austria); obowiązek oceny wpływu </w:t>
      </w:r>
      <w:r w:rsidRPr="007123DB">
        <w:rPr>
          <w:i/>
          <w:kern w:val="0"/>
          <w:sz w:val="24"/>
          <w14:ligatures w14:val="none"/>
        </w:rPr>
        <w:t>ex post</w:t>
      </w:r>
      <w:r w:rsidRPr="00791177">
        <w:rPr>
          <w:rFonts w:eastAsia="Calibri" w:cs="Calibri"/>
          <w:kern w:val="0"/>
          <w:sz w:val="24"/>
          <w:szCs w:val="24"/>
          <w14:ligatures w14:val="none"/>
        </w:rPr>
        <w:t xml:space="preserve"> dla aktów po</w:t>
      </w:r>
      <w:r w:rsidR="00E908E0">
        <w:rPr>
          <w:rFonts w:eastAsia="Calibri" w:cs="Calibri"/>
          <w:kern w:val="0"/>
          <w:sz w:val="24"/>
          <w:szCs w:val="24"/>
          <w14:ligatures w14:val="none"/>
        </w:rPr>
        <w:t> </w:t>
      </w:r>
      <w:r w:rsidRPr="00791177">
        <w:rPr>
          <w:rFonts w:eastAsia="Calibri" w:cs="Calibri"/>
          <w:kern w:val="0"/>
          <w:sz w:val="24"/>
          <w:szCs w:val="24"/>
          <w14:ligatures w14:val="none"/>
        </w:rPr>
        <w:t>5</w:t>
      </w:r>
      <w:r w:rsidR="00E908E0">
        <w:rPr>
          <w:rFonts w:eastAsia="Calibri" w:cs="Calibri"/>
          <w:kern w:val="0"/>
          <w:sz w:val="24"/>
          <w:szCs w:val="24"/>
          <w14:ligatures w14:val="none"/>
        </w:rPr>
        <w:t> </w:t>
      </w:r>
      <w:r w:rsidRPr="00791177">
        <w:rPr>
          <w:rFonts w:eastAsia="Calibri" w:cs="Calibri"/>
          <w:kern w:val="0"/>
          <w:sz w:val="24"/>
          <w:szCs w:val="24"/>
          <w14:ligatures w14:val="none"/>
        </w:rPr>
        <w:t>latach od daty ich wejścia w życie (Czechy)</w:t>
      </w:r>
      <w:r w:rsidRPr="00791177">
        <w:rPr>
          <w:rStyle w:val="Odwoanieprzypisudolnego"/>
          <w:rFonts w:eastAsia="Calibri" w:cs="Calibri"/>
          <w:kern w:val="0"/>
          <w:sz w:val="24"/>
          <w:szCs w:val="24"/>
          <w14:ligatures w14:val="none"/>
        </w:rPr>
        <w:footnoteReference w:id="65"/>
      </w:r>
      <w:r w:rsidRPr="00791177">
        <w:rPr>
          <w:rFonts w:eastAsia="Calibri" w:cs="Calibri"/>
          <w:kern w:val="0"/>
          <w:sz w:val="24"/>
          <w:szCs w:val="24"/>
          <w14:ligatures w14:val="none"/>
        </w:rPr>
        <w:t>.</w:t>
      </w:r>
    </w:p>
    <w:p w14:paraId="24683021" w14:textId="3C539DA5" w:rsidR="00D01A4C" w:rsidRDefault="00D01A4C" w:rsidP="00066F7D">
      <w:pPr>
        <w:spacing w:after="120" w:line="276" w:lineRule="auto"/>
        <w:rPr>
          <w:rFonts w:eastAsia="Calibri" w:cs="Calibri"/>
          <w:kern w:val="0"/>
          <w:sz w:val="24"/>
          <w:szCs w:val="24"/>
          <w14:ligatures w14:val="none"/>
        </w:rPr>
      </w:pPr>
      <w:r w:rsidRPr="00791177">
        <w:rPr>
          <w:rFonts w:eastAsia="Calibri" w:cs="Calibri"/>
          <w:kern w:val="0"/>
          <w:sz w:val="24"/>
          <w:szCs w:val="24"/>
          <w14:ligatures w14:val="none"/>
        </w:rPr>
        <w:t xml:space="preserve">W Polsce przesłanki przygotowania OSR </w:t>
      </w:r>
      <w:r w:rsidRPr="007123DB">
        <w:rPr>
          <w:i/>
          <w:kern w:val="0"/>
          <w:sz w:val="24"/>
          <w14:ligatures w14:val="none"/>
        </w:rPr>
        <w:t>ex post</w:t>
      </w:r>
      <w:r w:rsidRPr="00791177">
        <w:rPr>
          <w:rFonts w:eastAsia="Calibri" w:cs="Calibri"/>
          <w:kern w:val="0"/>
          <w:sz w:val="24"/>
          <w:szCs w:val="24"/>
          <w14:ligatures w14:val="none"/>
        </w:rPr>
        <w:t>, jak i jej elementy zostały określone w</w:t>
      </w:r>
      <w:r w:rsidR="005F5163">
        <w:rPr>
          <w:rFonts w:eastAsia="Calibri" w:cs="Calibri"/>
          <w:kern w:val="0"/>
          <w:sz w:val="24"/>
          <w:szCs w:val="24"/>
          <w14:ligatures w14:val="none"/>
        </w:rPr>
        <w:t> </w:t>
      </w:r>
      <w:r w:rsidRPr="00791177">
        <w:rPr>
          <w:rFonts w:eastAsia="Calibri" w:cs="Calibri"/>
          <w:kern w:val="0"/>
          <w:sz w:val="24"/>
          <w:szCs w:val="24"/>
          <w14:ligatures w14:val="none"/>
        </w:rPr>
        <w:t xml:space="preserve">Regulaminie pracy Rady Ministrów. Jedną z nich jest zaplanowanie ewaluacji w OSR </w:t>
      </w:r>
      <w:r w:rsidRPr="007123DB">
        <w:rPr>
          <w:i/>
          <w:kern w:val="0"/>
          <w:sz w:val="24"/>
          <w14:ligatures w14:val="none"/>
        </w:rPr>
        <w:t>ex</w:t>
      </w:r>
      <w:r w:rsidR="00E908E0" w:rsidRPr="007123DB">
        <w:rPr>
          <w:i/>
          <w:kern w:val="0"/>
          <w:sz w:val="24"/>
          <w14:ligatures w14:val="none"/>
        </w:rPr>
        <w:t> </w:t>
      </w:r>
      <w:r w:rsidRPr="007123DB">
        <w:rPr>
          <w:i/>
          <w:kern w:val="0"/>
          <w:sz w:val="24"/>
          <w14:ligatures w14:val="none"/>
        </w:rPr>
        <w:t>ante</w:t>
      </w:r>
      <w:r w:rsidRPr="00791177">
        <w:rPr>
          <w:rFonts w:eastAsia="Calibri" w:cs="Calibri"/>
          <w:kern w:val="0"/>
          <w:sz w:val="24"/>
          <w:szCs w:val="24"/>
          <w14:ligatures w14:val="none"/>
        </w:rPr>
        <w:t xml:space="preserve"> (pkt 12). Brak jest jednak wskazówek, które pomogłyby określić, w jakich sytuacjach </w:t>
      </w:r>
      <w:r w:rsidR="00CB0C8B">
        <w:rPr>
          <w:rFonts w:eastAsia="Calibri" w:cs="Calibri"/>
          <w:kern w:val="0"/>
          <w:sz w:val="24"/>
          <w:szCs w:val="24"/>
          <w14:ligatures w14:val="none"/>
        </w:rPr>
        <w:t xml:space="preserve">(oraz </w:t>
      </w:r>
      <w:r w:rsidR="00CB0C8B" w:rsidRPr="00791177">
        <w:rPr>
          <w:rFonts w:eastAsia="Calibri" w:cs="Calibri"/>
          <w:kern w:val="0"/>
          <w:sz w:val="24"/>
          <w:szCs w:val="24"/>
          <w14:ligatures w14:val="none"/>
        </w:rPr>
        <w:t>po jakim okresie</w:t>
      </w:r>
      <w:r w:rsidR="00CB0C8B">
        <w:rPr>
          <w:rFonts w:eastAsia="Calibri" w:cs="Calibri"/>
          <w:kern w:val="0"/>
          <w:sz w:val="24"/>
          <w:szCs w:val="24"/>
          <w14:ligatures w14:val="none"/>
        </w:rPr>
        <w:t xml:space="preserve">) </w:t>
      </w:r>
      <w:r w:rsidRPr="00791177">
        <w:rPr>
          <w:rFonts w:eastAsia="Calibri" w:cs="Calibri"/>
          <w:kern w:val="0"/>
          <w:sz w:val="24"/>
          <w:szCs w:val="24"/>
          <w14:ligatures w14:val="none"/>
        </w:rPr>
        <w:t xml:space="preserve">ewaluacja </w:t>
      </w:r>
      <w:r w:rsidRPr="007123DB">
        <w:rPr>
          <w:i/>
          <w:kern w:val="0"/>
          <w:sz w:val="24"/>
          <w14:ligatures w14:val="none"/>
        </w:rPr>
        <w:t>ex post</w:t>
      </w:r>
      <w:r w:rsidRPr="00791177">
        <w:rPr>
          <w:rFonts w:eastAsia="Calibri" w:cs="Calibri"/>
          <w:kern w:val="0"/>
          <w:sz w:val="24"/>
          <w:szCs w:val="24"/>
          <w14:ligatures w14:val="none"/>
        </w:rPr>
        <w:t xml:space="preserve"> byłaby wskazana, zachowując przy tym zasadę proporcjonalności. Jedynym wyznacznikiem w tym zakresie jest obecnie art. 68a ust. 2 </w:t>
      </w:r>
      <w:r w:rsidR="00CB0C8B">
        <w:rPr>
          <w:rFonts w:eastAsia="Calibri" w:cs="Calibri"/>
          <w:kern w:val="0"/>
          <w:sz w:val="24"/>
          <w:szCs w:val="24"/>
          <w14:ligatures w14:val="none"/>
        </w:rPr>
        <w:t xml:space="preserve">pkt 2 </w:t>
      </w:r>
      <w:r w:rsidRPr="00791177">
        <w:rPr>
          <w:rFonts w:eastAsia="Calibri" w:cs="Calibri"/>
          <w:kern w:val="0"/>
          <w:sz w:val="24"/>
          <w:szCs w:val="24"/>
          <w14:ligatures w14:val="none"/>
        </w:rPr>
        <w:t>Prawa przedsiębiorców, zgodnie z którym ocena funkcjonowania jest obowiązkowa w</w:t>
      </w:r>
      <w:r w:rsidR="005F5163">
        <w:rPr>
          <w:rFonts w:eastAsia="Calibri" w:cs="Calibri"/>
          <w:kern w:val="0"/>
          <w:sz w:val="24"/>
          <w:szCs w:val="24"/>
          <w14:ligatures w14:val="none"/>
        </w:rPr>
        <w:t> </w:t>
      </w:r>
      <w:r w:rsidRPr="00791177">
        <w:rPr>
          <w:rFonts w:eastAsia="Calibri" w:cs="Calibri"/>
          <w:kern w:val="0"/>
          <w:sz w:val="24"/>
          <w:szCs w:val="24"/>
          <w14:ligatures w14:val="none"/>
        </w:rPr>
        <w:t xml:space="preserve">terminie </w:t>
      </w:r>
      <w:r w:rsidR="00CB0C8B">
        <w:rPr>
          <w:rFonts w:eastAsia="Calibri" w:cs="Calibri"/>
          <w:kern w:val="0"/>
          <w:sz w:val="24"/>
          <w:szCs w:val="24"/>
          <w14:ligatures w14:val="none"/>
        </w:rPr>
        <w:t xml:space="preserve">nie dłuższym niż dwa </w:t>
      </w:r>
      <w:r w:rsidRPr="00791177">
        <w:rPr>
          <w:rFonts w:eastAsia="Calibri" w:cs="Calibri"/>
          <w:kern w:val="0"/>
          <w:sz w:val="24"/>
          <w:szCs w:val="24"/>
          <w14:ligatures w14:val="none"/>
        </w:rPr>
        <w:t>lat</w:t>
      </w:r>
      <w:r w:rsidR="00CB0C8B">
        <w:rPr>
          <w:rFonts w:eastAsia="Calibri" w:cs="Calibri"/>
          <w:kern w:val="0"/>
          <w:sz w:val="24"/>
          <w:szCs w:val="24"/>
          <w14:ligatures w14:val="none"/>
        </w:rPr>
        <w:t>a</w:t>
      </w:r>
      <w:r w:rsidRPr="00791177">
        <w:rPr>
          <w:rFonts w:eastAsia="Calibri" w:cs="Calibri"/>
          <w:kern w:val="0"/>
          <w:sz w:val="24"/>
          <w:szCs w:val="24"/>
          <w14:ligatures w14:val="none"/>
        </w:rPr>
        <w:t xml:space="preserve"> od wejścia w życie aktu normatywnego, w przypadku którego odstąpiono od konsultacji publicznych. Zasada ta dotyczy jednak wyłącznie aktów normatywnych, które określają zasady podejmowania, wykonywania lub zakończenia działalności gospodarczej i obowiązuje od 13 lipca 2025</w:t>
      </w:r>
      <w:r w:rsidR="00CB0C8B">
        <w:rPr>
          <w:rFonts w:eastAsia="Calibri" w:cs="Calibri"/>
          <w:kern w:val="0"/>
          <w:sz w:val="24"/>
          <w:szCs w:val="24"/>
          <w14:ligatures w14:val="none"/>
        </w:rPr>
        <w:t> </w:t>
      </w:r>
      <w:r w:rsidRPr="00791177">
        <w:rPr>
          <w:rFonts w:eastAsia="Calibri" w:cs="Calibri"/>
          <w:kern w:val="0"/>
          <w:sz w:val="24"/>
          <w:szCs w:val="24"/>
          <w14:ligatures w14:val="none"/>
        </w:rPr>
        <w:t xml:space="preserve">r. </w:t>
      </w:r>
    </w:p>
    <w:p w14:paraId="1FF3DB80" w14:textId="345E8675" w:rsidR="00541EB8" w:rsidRDefault="00541EB8" w:rsidP="00066F7D">
      <w:pPr>
        <w:spacing w:after="120" w:line="276" w:lineRule="auto"/>
        <w:rPr>
          <w:rFonts w:eastAsia="Calibri" w:cs="Calibri"/>
          <w:kern w:val="0"/>
          <w:sz w:val="24"/>
          <w:szCs w:val="24"/>
          <w14:ligatures w14:val="none"/>
        </w:rPr>
      </w:pPr>
      <w:r>
        <w:rPr>
          <w:rFonts w:eastAsia="Calibri" w:cs="Calibri"/>
          <w:kern w:val="0"/>
          <w:sz w:val="24"/>
          <w:szCs w:val="24"/>
          <w14:ligatures w14:val="none"/>
        </w:rPr>
        <w:t>Materiał informacyjny</w:t>
      </w:r>
      <w:r w:rsidRPr="00791177">
        <w:rPr>
          <w:rFonts w:eastAsia="Calibri" w:cs="Calibri"/>
          <w:kern w:val="0"/>
          <w:sz w:val="24"/>
          <w:szCs w:val="24"/>
          <w14:ligatures w14:val="none"/>
        </w:rPr>
        <w:t xml:space="preserve"> dotycząc</w:t>
      </w:r>
      <w:r>
        <w:rPr>
          <w:rFonts w:eastAsia="Calibri" w:cs="Calibri"/>
          <w:kern w:val="0"/>
          <w:sz w:val="24"/>
          <w:szCs w:val="24"/>
          <w14:ligatures w14:val="none"/>
        </w:rPr>
        <w:t>y</w:t>
      </w:r>
      <w:r w:rsidRPr="00791177">
        <w:rPr>
          <w:rFonts w:eastAsia="Calibri" w:cs="Calibri"/>
          <w:kern w:val="0"/>
          <w:sz w:val="24"/>
          <w:szCs w:val="24"/>
          <w14:ligatures w14:val="none"/>
        </w:rPr>
        <w:t xml:space="preserve"> </w:t>
      </w:r>
      <w:r w:rsidR="00D01A4C" w:rsidRPr="00791177">
        <w:rPr>
          <w:rFonts w:eastAsia="Calibri" w:cs="Calibri"/>
          <w:kern w:val="0"/>
          <w:sz w:val="24"/>
          <w:szCs w:val="24"/>
          <w14:ligatures w14:val="none"/>
        </w:rPr>
        <w:t>planowania oceny funkcjonowania aktów normatywnych, nie tylko tych, które nie podlegały konsultacjom publicznym, byłby komplementarn</w:t>
      </w:r>
      <w:r>
        <w:rPr>
          <w:rFonts w:eastAsia="Calibri" w:cs="Calibri"/>
          <w:kern w:val="0"/>
          <w:sz w:val="24"/>
          <w:szCs w:val="24"/>
          <w14:ligatures w14:val="none"/>
        </w:rPr>
        <w:t>y</w:t>
      </w:r>
      <w:r w:rsidR="00D01A4C" w:rsidRPr="00791177">
        <w:rPr>
          <w:rFonts w:eastAsia="Calibri" w:cs="Calibri"/>
          <w:kern w:val="0"/>
          <w:sz w:val="24"/>
          <w:szCs w:val="24"/>
          <w14:ligatures w14:val="none"/>
        </w:rPr>
        <w:t xml:space="preserve"> w stosunku do </w:t>
      </w:r>
      <w:r>
        <w:rPr>
          <w:rFonts w:eastAsia="Calibri" w:cs="Calibri"/>
          <w:kern w:val="0"/>
          <w:sz w:val="24"/>
          <w:szCs w:val="24"/>
          <w14:ligatures w14:val="none"/>
        </w:rPr>
        <w:t>w</w:t>
      </w:r>
      <w:r w:rsidR="00D01A4C" w:rsidRPr="00791177">
        <w:rPr>
          <w:rFonts w:eastAsia="Calibri" w:cs="Calibri"/>
          <w:kern w:val="0"/>
          <w:sz w:val="24"/>
          <w:szCs w:val="24"/>
          <w14:ligatures w14:val="none"/>
        </w:rPr>
        <w:t>ytycznych do przeprowadzania oceny wpływu i</w:t>
      </w:r>
      <w:r>
        <w:rPr>
          <w:rFonts w:eastAsia="Calibri" w:cs="Calibri"/>
          <w:kern w:val="0"/>
          <w:sz w:val="24"/>
          <w:szCs w:val="24"/>
          <w14:ligatures w14:val="none"/>
        </w:rPr>
        <w:t> </w:t>
      </w:r>
      <w:r w:rsidR="00D01A4C" w:rsidRPr="00791177">
        <w:rPr>
          <w:rFonts w:eastAsia="Calibri" w:cs="Calibri"/>
          <w:kern w:val="0"/>
          <w:sz w:val="24"/>
          <w:szCs w:val="24"/>
          <w14:ligatures w14:val="none"/>
        </w:rPr>
        <w:t>konsultacji publicznych w ramach rządowego procesu legislacyjnego.</w:t>
      </w:r>
    </w:p>
    <w:p w14:paraId="45247F87" w14:textId="394B583E" w:rsidR="00D01A4C" w:rsidRPr="00791177" w:rsidRDefault="00D01A4C" w:rsidP="00066F7D">
      <w:pPr>
        <w:spacing w:after="120" w:line="276" w:lineRule="auto"/>
        <w:rPr>
          <w:rFonts w:eastAsia="Calibri" w:cs="Calibri"/>
          <w:kern w:val="0"/>
          <w:sz w:val="24"/>
          <w:szCs w:val="24"/>
          <w14:ligatures w14:val="none"/>
        </w:rPr>
      </w:pPr>
      <w:r w:rsidRPr="00791177">
        <w:rPr>
          <w:rFonts w:eastAsia="Calibri" w:cs="Calibri"/>
          <w:kern w:val="0"/>
          <w:sz w:val="24"/>
          <w:szCs w:val="24"/>
          <w14:ligatures w14:val="none"/>
        </w:rPr>
        <w:t xml:space="preserve">W tym zakresie zostanie przeanalizowana również możliwość opracowania tzw. klauzul przeglądowych. Klauzula przeglądowa nakłada obowiązek formalnej oceny skuteczności regulacji po jej wdrożeniu </w:t>
      </w:r>
      <w:r w:rsidR="00541EB8">
        <w:rPr>
          <w:rFonts w:eastAsia="Calibri" w:cs="Calibri"/>
          <w:kern w:val="0"/>
          <w:sz w:val="24"/>
          <w:szCs w:val="24"/>
          <w14:ligatures w14:val="none"/>
        </w:rPr>
        <w:t>w terminie określonym w</w:t>
      </w:r>
      <w:r w:rsidRPr="00791177">
        <w:rPr>
          <w:rFonts w:eastAsia="Calibri" w:cs="Calibri"/>
          <w:kern w:val="0"/>
          <w:sz w:val="24"/>
          <w:szCs w:val="24"/>
          <w14:ligatures w14:val="none"/>
        </w:rPr>
        <w:t xml:space="preserve"> treści danego aktu prawnego. Pozwala to na </w:t>
      </w:r>
      <w:r w:rsidR="00541EB8">
        <w:rPr>
          <w:rFonts w:eastAsia="Calibri" w:cs="Calibri"/>
          <w:kern w:val="0"/>
          <w:sz w:val="24"/>
          <w:szCs w:val="24"/>
          <w14:ligatures w14:val="none"/>
        </w:rPr>
        <w:t>efektywne</w:t>
      </w:r>
      <w:r w:rsidR="00541EB8" w:rsidRPr="00791177">
        <w:rPr>
          <w:rFonts w:eastAsia="Calibri" w:cs="Calibri"/>
          <w:kern w:val="0"/>
          <w:sz w:val="24"/>
          <w:szCs w:val="24"/>
          <w14:ligatures w14:val="none"/>
        </w:rPr>
        <w:t xml:space="preserve"> </w:t>
      </w:r>
      <w:r w:rsidRPr="00791177">
        <w:rPr>
          <w:rFonts w:eastAsia="Calibri" w:cs="Calibri"/>
          <w:kern w:val="0"/>
          <w:sz w:val="24"/>
          <w:szCs w:val="24"/>
          <w14:ligatures w14:val="none"/>
        </w:rPr>
        <w:t>kształtowanie otoczenia prawnego przedsiębiorców</w:t>
      </w:r>
      <w:r w:rsidR="00AA525E">
        <w:rPr>
          <w:rFonts w:eastAsia="Calibri" w:cs="Calibri"/>
          <w:kern w:val="0"/>
          <w:sz w:val="24"/>
          <w:szCs w:val="24"/>
          <w14:ligatures w14:val="none"/>
        </w:rPr>
        <w:t xml:space="preserve"> </w:t>
      </w:r>
      <w:r w:rsidRPr="00791177">
        <w:rPr>
          <w:rFonts w:eastAsia="Calibri" w:cs="Calibri"/>
          <w:kern w:val="0"/>
          <w:sz w:val="24"/>
          <w:szCs w:val="24"/>
          <w14:ligatures w14:val="none"/>
        </w:rPr>
        <w:t>i</w:t>
      </w:r>
      <w:r w:rsidR="00A75883">
        <w:rPr>
          <w:rFonts w:eastAsia="Calibri" w:cs="Calibri"/>
          <w:kern w:val="0"/>
          <w:sz w:val="24"/>
          <w:szCs w:val="24"/>
          <w14:ligatures w14:val="none"/>
        </w:rPr>
        <w:t> </w:t>
      </w:r>
      <w:r w:rsidR="00541EB8">
        <w:rPr>
          <w:rFonts w:eastAsia="Calibri" w:cs="Calibri"/>
          <w:kern w:val="0"/>
          <w:sz w:val="24"/>
          <w:szCs w:val="24"/>
          <w14:ligatures w14:val="none"/>
        </w:rPr>
        <w:t xml:space="preserve">programowe </w:t>
      </w:r>
      <w:r w:rsidRPr="00791177">
        <w:rPr>
          <w:rFonts w:eastAsia="Calibri" w:cs="Calibri"/>
          <w:kern w:val="0"/>
          <w:sz w:val="24"/>
          <w:szCs w:val="24"/>
          <w14:ligatures w14:val="none"/>
        </w:rPr>
        <w:t>ograniczanie nadmiernych obciążeń</w:t>
      </w:r>
      <w:r w:rsidR="00E908E0">
        <w:rPr>
          <w:rFonts w:eastAsia="Calibri" w:cs="Calibri"/>
          <w:kern w:val="0"/>
          <w:sz w:val="24"/>
          <w:szCs w:val="24"/>
          <w14:ligatures w14:val="none"/>
        </w:rPr>
        <w:t>,</w:t>
      </w:r>
      <w:r w:rsidRPr="00791177">
        <w:rPr>
          <w:rFonts w:eastAsia="Calibri" w:cs="Calibri"/>
          <w:kern w:val="0"/>
          <w:sz w:val="24"/>
          <w:szCs w:val="24"/>
          <w14:ligatures w14:val="none"/>
        </w:rPr>
        <w:t xml:space="preserve"> ale przede wszystkim na ocenę czy zrealizowano cele zaprojektowane w regulacji. </w:t>
      </w:r>
    </w:p>
    <w:p w14:paraId="243D45AC" w14:textId="75F03AB3" w:rsidR="00D01A4C" w:rsidRPr="00791177" w:rsidRDefault="00D01A4C" w:rsidP="00066F7D">
      <w:pPr>
        <w:spacing w:after="120" w:line="276" w:lineRule="auto"/>
        <w:rPr>
          <w:rFonts w:eastAsia="Calibri" w:cs="Calibri"/>
          <w:kern w:val="0"/>
          <w:sz w:val="24"/>
          <w:szCs w:val="24"/>
          <w14:ligatures w14:val="none"/>
        </w:rPr>
      </w:pPr>
      <w:r w:rsidRPr="00791177">
        <w:rPr>
          <w:rFonts w:eastAsia="Calibri" w:cs="Calibri"/>
          <w:kern w:val="0"/>
          <w:sz w:val="24"/>
          <w:szCs w:val="24"/>
          <w14:ligatures w14:val="none"/>
        </w:rPr>
        <w:lastRenderedPageBreak/>
        <w:t>Zalecenia ujednolicą praktykę i przyczynią się do poprawy systemu oceny rzeczywistych skutków obowiązujących aktów</w:t>
      </w:r>
      <w:r>
        <w:rPr>
          <w:rFonts w:eastAsia="Calibri" w:cs="Calibri"/>
          <w:kern w:val="0"/>
          <w:sz w:val="24"/>
          <w:szCs w:val="24"/>
          <w14:ligatures w14:val="none"/>
        </w:rPr>
        <w:t>, w szczególności</w:t>
      </w:r>
      <w:r w:rsidRPr="00791177">
        <w:rPr>
          <w:rFonts w:eastAsia="Calibri" w:cs="Calibri"/>
          <w:kern w:val="0"/>
          <w:sz w:val="24"/>
          <w:szCs w:val="24"/>
          <w14:ligatures w14:val="none"/>
        </w:rPr>
        <w:t xml:space="preserve"> regulujących podejmowanie, wykonywanie i zakończenie działalności gospodarczej. W tym zakresie wskazane jest również przeprowadzenie szkoleń, warsztatów lub innych form podniesienia świadomości administracji na temat zaktualizowanych zaleceń.</w:t>
      </w:r>
    </w:p>
    <w:p w14:paraId="1CF1EE93" w14:textId="512E7A55" w:rsidR="000C7C86" w:rsidRPr="009576D8" w:rsidRDefault="000C7C86"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 xml:space="preserve">Aktualizacja </w:t>
      </w:r>
      <w:r w:rsidR="00066F7D">
        <w:rPr>
          <w:i/>
          <w:iCs/>
          <w:sz w:val="24"/>
          <w:szCs w:val="24"/>
        </w:rPr>
        <w:t>w</w:t>
      </w:r>
      <w:r w:rsidRPr="009576D8">
        <w:rPr>
          <w:i/>
          <w:iCs/>
          <w:sz w:val="24"/>
          <w:szCs w:val="24"/>
        </w:rPr>
        <w:t>ytycznych do przeprowadzania oceny wpływu i konsultacji publicznych w ramach rządowego procesu legislacyjnego</w:t>
      </w:r>
    </w:p>
    <w:p w14:paraId="1CDB2F48" w14:textId="44FEE5D1" w:rsidR="0006278A" w:rsidRDefault="000C7C86"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Realizacja:</w:t>
      </w:r>
      <w:r w:rsidRPr="009576D8">
        <w:rPr>
          <w:i/>
          <w:iCs/>
          <w:sz w:val="24"/>
          <w:szCs w:val="24"/>
        </w:rPr>
        <w:t xml:space="preserve"> K</w:t>
      </w:r>
      <w:r w:rsidR="00611D5A" w:rsidRPr="009576D8">
        <w:rPr>
          <w:i/>
          <w:iCs/>
          <w:sz w:val="24"/>
          <w:szCs w:val="24"/>
        </w:rPr>
        <w:t>oordynator OSR</w:t>
      </w:r>
      <w:r w:rsidR="00066F7D">
        <w:rPr>
          <w:i/>
          <w:iCs/>
          <w:sz w:val="24"/>
          <w:szCs w:val="24"/>
        </w:rPr>
        <w:t xml:space="preserve">, Prezes </w:t>
      </w:r>
      <w:r w:rsidR="0057737F">
        <w:rPr>
          <w:i/>
          <w:iCs/>
          <w:sz w:val="24"/>
          <w:szCs w:val="24"/>
        </w:rPr>
        <w:t xml:space="preserve">Rządowego Centrum </w:t>
      </w:r>
      <w:r w:rsidR="005F727B">
        <w:rPr>
          <w:i/>
          <w:iCs/>
          <w:sz w:val="24"/>
          <w:szCs w:val="24"/>
        </w:rPr>
        <w:t>Legislacji</w:t>
      </w:r>
    </w:p>
    <w:p w14:paraId="7C3E0C71" w14:textId="488F719B" w:rsidR="00066F7D" w:rsidRPr="00066F7D" w:rsidRDefault="00066F7D"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Wskaźnik</w:t>
      </w:r>
      <w:r>
        <w:rPr>
          <w:b/>
          <w:bCs/>
          <w:i/>
          <w:iCs/>
          <w:sz w:val="24"/>
          <w:szCs w:val="24"/>
        </w:rPr>
        <w:t>:</w:t>
      </w:r>
      <w:r>
        <w:rPr>
          <w:i/>
          <w:iCs/>
          <w:sz w:val="24"/>
          <w:szCs w:val="24"/>
        </w:rPr>
        <w:t xml:space="preserve"> </w:t>
      </w:r>
      <w:r w:rsidRPr="00066F7D">
        <w:rPr>
          <w:i/>
          <w:iCs/>
          <w:sz w:val="24"/>
          <w:szCs w:val="24"/>
        </w:rPr>
        <w:t>Wypracowanie materiału informacyjnego dotyczącego planowania OSR ex post</w:t>
      </w:r>
    </w:p>
    <w:p w14:paraId="3EF0F9A0" w14:textId="340AA532" w:rsidR="00066F7D" w:rsidRPr="00066F7D" w:rsidRDefault="00066F7D"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Realizacja</w:t>
      </w:r>
      <w:r>
        <w:rPr>
          <w:b/>
          <w:bCs/>
          <w:i/>
          <w:iCs/>
          <w:sz w:val="24"/>
          <w:szCs w:val="24"/>
        </w:rPr>
        <w:t>:</w:t>
      </w:r>
      <w:r>
        <w:rPr>
          <w:i/>
          <w:iCs/>
          <w:sz w:val="24"/>
          <w:szCs w:val="24"/>
        </w:rPr>
        <w:t xml:space="preserve"> </w:t>
      </w:r>
      <w:r w:rsidRPr="00066F7D">
        <w:rPr>
          <w:i/>
          <w:iCs/>
          <w:sz w:val="24"/>
          <w:szCs w:val="24"/>
        </w:rPr>
        <w:t>Minister właściwy do spraw gospodarki</w:t>
      </w:r>
    </w:p>
    <w:p w14:paraId="22FE0299" w14:textId="7EF13324" w:rsidR="000C7C86" w:rsidRPr="009576D8" w:rsidRDefault="000C7C86"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2026/2027</w:t>
      </w:r>
    </w:p>
    <w:p w14:paraId="1484454B" w14:textId="14332CF0" w:rsidR="00C55BFE" w:rsidRPr="009576D8" w:rsidRDefault="004F7D77" w:rsidP="009576D8">
      <w:pPr>
        <w:pStyle w:val="Nagwek2"/>
      </w:pPr>
      <w:bookmarkStart w:id="71" w:name="_Toc217927156"/>
      <w:bookmarkStart w:id="72" w:name="_Toc219276876"/>
      <w:r w:rsidRPr="002D675B">
        <w:t>Działanie 1.</w:t>
      </w:r>
      <w:r w:rsidR="00D01A4C" w:rsidRPr="002D675B">
        <w:t>3</w:t>
      </w:r>
      <w:r w:rsidR="00E20C83">
        <w:t>.</w:t>
      </w:r>
      <w:r w:rsidRPr="002D675B">
        <w:t xml:space="preserve"> </w:t>
      </w:r>
      <w:r w:rsidR="00660CB9" w:rsidRPr="002D675B">
        <w:t>Efektywne</w:t>
      </w:r>
      <w:r w:rsidR="00660CB9" w:rsidRPr="009576D8">
        <w:t xml:space="preserve"> zaangażowanie </w:t>
      </w:r>
      <w:r w:rsidR="00C55BFE" w:rsidRPr="009576D8">
        <w:t xml:space="preserve">interesariuszy </w:t>
      </w:r>
      <w:r w:rsidR="009D3DF2" w:rsidRPr="009576D8">
        <w:t>w proces legislacyjny</w:t>
      </w:r>
      <w:r w:rsidR="009A5B90" w:rsidRPr="009576D8">
        <w:t>,</w:t>
      </w:r>
      <w:r w:rsidR="009D3DF2" w:rsidRPr="009576D8">
        <w:t xml:space="preserve"> w tym </w:t>
      </w:r>
      <w:r w:rsidR="00C55BFE" w:rsidRPr="009576D8">
        <w:t>w ocenę funkcjonowania aktów normatywnych</w:t>
      </w:r>
      <w:bookmarkEnd w:id="71"/>
      <w:bookmarkEnd w:id="72"/>
    </w:p>
    <w:p w14:paraId="2FEF006F" w14:textId="791B42AF" w:rsidR="00660CB9" w:rsidRPr="009576D8" w:rsidRDefault="00BD1465" w:rsidP="00066F7D">
      <w:pPr>
        <w:spacing w:after="120" w:line="276" w:lineRule="auto"/>
        <w:rPr>
          <w:rFonts w:eastAsia="Calibri" w:cs="Calibri"/>
          <w:kern w:val="0"/>
          <w:sz w:val="24"/>
          <w:szCs w:val="24"/>
          <w14:ligatures w14:val="none"/>
        </w:rPr>
      </w:pPr>
      <w:r>
        <w:rPr>
          <w:rFonts w:eastAsia="Calibri" w:cs="Calibri"/>
          <w:kern w:val="0"/>
          <w:sz w:val="24"/>
          <w:szCs w:val="24"/>
          <w14:ligatures w14:val="none"/>
        </w:rPr>
        <w:t xml:space="preserve">Planowane są dalsze prace nad rozbudową </w:t>
      </w:r>
      <w:r w:rsidR="00660CB9" w:rsidRPr="009576D8">
        <w:rPr>
          <w:rFonts w:eastAsia="Calibri" w:cs="Calibri"/>
          <w:kern w:val="0"/>
          <w:sz w:val="24"/>
          <w:szCs w:val="24"/>
          <w14:ligatures w14:val="none"/>
        </w:rPr>
        <w:t xml:space="preserve">funkcjonalności w </w:t>
      </w:r>
      <w:r w:rsidR="004E3382" w:rsidRPr="009576D8">
        <w:rPr>
          <w:rFonts w:eastAsia="Calibri" w:cs="Calibri"/>
          <w:kern w:val="0"/>
          <w:sz w:val="24"/>
          <w:szCs w:val="24"/>
          <w14:ligatures w14:val="none"/>
        </w:rPr>
        <w:t>elektronicznym Rządowym Procesie Legislacyjnym</w:t>
      </w:r>
      <w:r w:rsidR="00A64300" w:rsidRPr="009576D8">
        <w:rPr>
          <w:rStyle w:val="Odwoanieprzypisudolnego"/>
          <w:rFonts w:eastAsia="Calibri" w:cs="Calibri"/>
          <w:kern w:val="0"/>
          <w:sz w:val="24"/>
          <w:szCs w:val="24"/>
          <w14:ligatures w14:val="none"/>
        </w:rPr>
        <w:footnoteReference w:id="66"/>
      </w:r>
      <w:r w:rsidR="00066F7D">
        <w:rPr>
          <w:rFonts w:eastAsia="Calibri" w:cs="Calibri"/>
          <w:kern w:val="0"/>
          <w:sz w:val="24"/>
          <w:szCs w:val="24"/>
          <w14:ligatures w14:val="none"/>
        </w:rPr>
        <w:t xml:space="preserve">. </w:t>
      </w:r>
      <w:r w:rsidR="00660CB9" w:rsidRPr="009576D8">
        <w:rPr>
          <w:rFonts w:eastAsia="Calibri" w:cs="Calibri"/>
          <w:kern w:val="0"/>
          <w:sz w:val="24"/>
          <w:szCs w:val="24"/>
          <w14:ligatures w14:val="none"/>
        </w:rPr>
        <w:t>W tym zakresie planuje się umożliwienie udział</w:t>
      </w:r>
      <w:r w:rsidR="00BB0293" w:rsidRPr="009576D8">
        <w:rPr>
          <w:rFonts w:eastAsia="Calibri" w:cs="Calibri"/>
          <w:kern w:val="0"/>
          <w:sz w:val="24"/>
          <w:szCs w:val="24"/>
          <w14:ligatures w14:val="none"/>
        </w:rPr>
        <w:t>u</w:t>
      </w:r>
      <w:r w:rsidR="00660CB9" w:rsidRPr="009576D8">
        <w:rPr>
          <w:rFonts w:eastAsia="Calibri" w:cs="Calibri"/>
          <w:kern w:val="0"/>
          <w:sz w:val="24"/>
          <w:szCs w:val="24"/>
          <w14:ligatures w14:val="none"/>
        </w:rPr>
        <w:t xml:space="preserve"> interesariuszy </w:t>
      </w:r>
      <w:r w:rsidR="005F5163" w:rsidRPr="009576D8">
        <w:rPr>
          <w:rFonts w:eastAsia="Calibri" w:cs="Calibri"/>
          <w:kern w:val="0"/>
          <w:sz w:val="24"/>
          <w:szCs w:val="24"/>
          <w14:ligatures w14:val="none"/>
        </w:rPr>
        <w:t>w</w:t>
      </w:r>
      <w:r w:rsidR="005F5163">
        <w:rPr>
          <w:rFonts w:eastAsia="Calibri" w:cs="Calibri"/>
          <w:kern w:val="0"/>
          <w:sz w:val="24"/>
          <w:szCs w:val="24"/>
          <w14:ligatures w14:val="none"/>
        </w:rPr>
        <w:t> </w:t>
      </w:r>
      <w:r w:rsidR="00660CB9" w:rsidRPr="009576D8">
        <w:rPr>
          <w:rFonts w:eastAsia="Calibri" w:cs="Calibri"/>
          <w:kern w:val="0"/>
          <w:sz w:val="24"/>
          <w:szCs w:val="24"/>
          <w14:ligatures w14:val="none"/>
        </w:rPr>
        <w:t>prekonsultacjach</w:t>
      </w:r>
      <w:r w:rsidR="00F13D31" w:rsidRPr="009576D8">
        <w:rPr>
          <w:rFonts w:eastAsia="Calibri" w:cs="Calibri"/>
          <w:kern w:val="0"/>
          <w:sz w:val="24"/>
          <w:szCs w:val="24"/>
          <w14:ligatures w14:val="none"/>
        </w:rPr>
        <w:t>,</w:t>
      </w:r>
      <w:r w:rsidR="00660CB9" w:rsidRPr="009576D8">
        <w:rPr>
          <w:rFonts w:eastAsia="Calibri" w:cs="Calibri"/>
          <w:kern w:val="0"/>
          <w:sz w:val="24"/>
          <w:szCs w:val="24"/>
          <w14:ligatures w14:val="none"/>
        </w:rPr>
        <w:t xml:space="preserve"> jak również </w:t>
      </w:r>
      <w:r w:rsidR="00BB1677" w:rsidRPr="009576D8">
        <w:rPr>
          <w:rFonts w:eastAsia="Calibri" w:cs="Calibri"/>
          <w:kern w:val="0"/>
          <w:sz w:val="24"/>
          <w:szCs w:val="24"/>
          <w14:ligatures w14:val="none"/>
        </w:rPr>
        <w:t xml:space="preserve">w </w:t>
      </w:r>
      <w:r w:rsidR="00660CB9" w:rsidRPr="009576D8">
        <w:rPr>
          <w:rFonts w:eastAsia="Calibri" w:cs="Calibri"/>
          <w:kern w:val="0"/>
          <w:sz w:val="24"/>
          <w:szCs w:val="24"/>
          <w14:ligatures w14:val="none"/>
        </w:rPr>
        <w:t xml:space="preserve">konsultacjach do OSR </w:t>
      </w:r>
      <w:r w:rsidR="00660CB9" w:rsidRPr="007123DB">
        <w:rPr>
          <w:rFonts w:eastAsia="Calibri" w:cs="Calibri"/>
          <w:i/>
          <w:iCs/>
          <w:kern w:val="0"/>
          <w:sz w:val="24"/>
          <w:szCs w:val="24"/>
          <w14:ligatures w14:val="none"/>
        </w:rPr>
        <w:t>ex post</w:t>
      </w:r>
      <w:r w:rsidR="00660CB9" w:rsidRPr="009576D8">
        <w:rPr>
          <w:rFonts w:eastAsia="Calibri" w:cs="Calibri"/>
          <w:kern w:val="0"/>
          <w:sz w:val="24"/>
          <w:szCs w:val="24"/>
          <w14:ligatures w14:val="none"/>
        </w:rPr>
        <w:t xml:space="preserve">. </w:t>
      </w:r>
    </w:p>
    <w:p w14:paraId="36908051" w14:textId="7BC4CBAC" w:rsidR="00660CB9" w:rsidRPr="009576D8" w:rsidRDefault="00066F7D" w:rsidP="00066F7D">
      <w:pPr>
        <w:spacing w:after="120" w:line="276" w:lineRule="auto"/>
        <w:rPr>
          <w:rFonts w:eastAsia="Calibri" w:cs="Calibri"/>
          <w:kern w:val="0"/>
          <w:sz w:val="24"/>
          <w:szCs w:val="24"/>
          <w14:ligatures w14:val="none"/>
        </w:rPr>
      </w:pPr>
      <w:r>
        <w:rPr>
          <w:rFonts w:eastAsia="Calibri" w:cs="Calibri"/>
          <w:kern w:val="0"/>
          <w:sz w:val="24"/>
          <w:szCs w:val="24"/>
          <w14:ligatures w14:val="none"/>
        </w:rPr>
        <w:t xml:space="preserve">Ponadto powstanie </w:t>
      </w:r>
      <w:r w:rsidR="00660CB9" w:rsidRPr="009576D8">
        <w:rPr>
          <w:rFonts w:eastAsia="Calibri" w:cs="Calibri"/>
          <w:kern w:val="0"/>
          <w:sz w:val="24"/>
          <w:szCs w:val="24"/>
          <w14:ligatures w14:val="none"/>
        </w:rPr>
        <w:t xml:space="preserve">portal </w:t>
      </w:r>
      <w:r>
        <w:rPr>
          <w:rFonts w:eastAsia="Calibri" w:cs="Calibri"/>
          <w:kern w:val="0"/>
          <w:sz w:val="24"/>
          <w:szCs w:val="24"/>
          <w14:ligatures w14:val="none"/>
        </w:rPr>
        <w:t>poświęcony konsultacjom publicznym, obejmujący</w:t>
      </w:r>
      <w:r w:rsidR="00660CB9" w:rsidRPr="009576D8">
        <w:rPr>
          <w:rFonts w:eastAsia="Calibri" w:cs="Calibri"/>
          <w:kern w:val="0"/>
          <w:sz w:val="24"/>
          <w:szCs w:val="24"/>
          <w14:ligatures w14:val="none"/>
        </w:rPr>
        <w:t xml:space="preserve"> na bieżąco aktualizowan</w:t>
      </w:r>
      <w:r>
        <w:rPr>
          <w:rFonts w:eastAsia="Calibri" w:cs="Calibri"/>
          <w:kern w:val="0"/>
          <w:sz w:val="24"/>
          <w:szCs w:val="24"/>
          <w14:ligatures w14:val="none"/>
        </w:rPr>
        <w:t>ą</w:t>
      </w:r>
      <w:r w:rsidR="00660CB9" w:rsidRPr="009576D8">
        <w:rPr>
          <w:rFonts w:eastAsia="Calibri" w:cs="Calibri"/>
          <w:kern w:val="0"/>
          <w:sz w:val="24"/>
          <w:szCs w:val="24"/>
          <w14:ligatures w14:val="none"/>
        </w:rPr>
        <w:t xml:space="preserve"> baz</w:t>
      </w:r>
      <w:r w:rsidR="00246790">
        <w:rPr>
          <w:rFonts w:eastAsia="Calibri" w:cs="Calibri"/>
          <w:kern w:val="0"/>
          <w:sz w:val="24"/>
          <w:szCs w:val="24"/>
          <w14:ligatures w14:val="none"/>
        </w:rPr>
        <w:t>ę</w:t>
      </w:r>
      <w:r w:rsidR="00660CB9" w:rsidRPr="009576D8">
        <w:rPr>
          <w:rFonts w:eastAsia="Calibri" w:cs="Calibri"/>
          <w:kern w:val="0"/>
          <w:sz w:val="24"/>
          <w:szCs w:val="24"/>
          <w14:ligatures w14:val="none"/>
        </w:rPr>
        <w:t xml:space="preserve"> projektów podlegających konsultacjom publicznym. W</w:t>
      </w:r>
      <w:r w:rsidR="006147D4">
        <w:rPr>
          <w:rFonts w:eastAsia="Calibri" w:cs="Calibri"/>
          <w:kern w:val="0"/>
          <w:sz w:val="24"/>
          <w:szCs w:val="24"/>
          <w14:ligatures w14:val="none"/>
        </w:rPr>
        <w:t> </w:t>
      </w:r>
      <w:r w:rsidR="00660CB9" w:rsidRPr="009576D8">
        <w:rPr>
          <w:rFonts w:eastAsia="Calibri" w:cs="Calibri"/>
          <w:kern w:val="0"/>
          <w:sz w:val="24"/>
          <w:szCs w:val="24"/>
          <w14:ligatures w14:val="none"/>
        </w:rPr>
        <w:t>portalu znajdą się również materiały informacyjne w celu upowszechniania wiedzy o</w:t>
      </w:r>
      <w:r w:rsidR="006147D4">
        <w:rPr>
          <w:rFonts w:eastAsia="Calibri" w:cs="Calibri"/>
          <w:kern w:val="0"/>
          <w:sz w:val="24"/>
          <w:szCs w:val="24"/>
          <w14:ligatures w14:val="none"/>
        </w:rPr>
        <w:t> </w:t>
      </w:r>
      <w:r w:rsidR="00660CB9" w:rsidRPr="009576D8">
        <w:rPr>
          <w:rFonts w:eastAsia="Calibri" w:cs="Calibri"/>
          <w:kern w:val="0"/>
          <w:sz w:val="24"/>
          <w:szCs w:val="24"/>
          <w14:ligatures w14:val="none"/>
        </w:rPr>
        <w:t>procesach konsultacyjnych</w:t>
      </w:r>
      <w:r w:rsidR="008C28C1" w:rsidRPr="009576D8">
        <w:rPr>
          <w:rFonts w:eastAsia="Calibri" w:cs="Calibri"/>
          <w:kern w:val="0"/>
          <w:sz w:val="24"/>
          <w:szCs w:val="24"/>
          <w14:ligatures w14:val="none"/>
        </w:rPr>
        <w:t xml:space="preserve"> i </w:t>
      </w:r>
      <w:r w:rsidR="00660CB9" w:rsidRPr="009576D8">
        <w:rPr>
          <w:rFonts w:eastAsia="Calibri" w:cs="Calibri"/>
          <w:kern w:val="0"/>
          <w:sz w:val="24"/>
          <w:szCs w:val="24"/>
          <w14:ligatures w14:val="none"/>
        </w:rPr>
        <w:t>sposobach partycypacji społecznej.</w:t>
      </w:r>
      <w:r>
        <w:rPr>
          <w:rFonts w:eastAsia="Calibri" w:cs="Calibri"/>
          <w:kern w:val="0"/>
          <w:sz w:val="24"/>
          <w:szCs w:val="24"/>
          <w14:ligatures w14:val="none"/>
        </w:rPr>
        <w:t xml:space="preserve"> </w:t>
      </w:r>
      <w:r w:rsidRPr="00066F7D">
        <w:rPr>
          <w:rFonts w:eastAsia="Calibri" w:cs="Calibri"/>
          <w:kern w:val="0"/>
          <w:sz w:val="24"/>
          <w:szCs w:val="24"/>
          <w14:ligatures w14:val="none"/>
        </w:rPr>
        <w:t xml:space="preserve">Dodatkowo planuje się publikację baz podmiotów do opiniowania oraz konsultacji publicznych.  </w:t>
      </w:r>
    </w:p>
    <w:p w14:paraId="356C8773" w14:textId="38825C7E" w:rsidR="009D3DF2" w:rsidRPr="009576D8" w:rsidRDefault="009D3DF2" w:rsidP="00066F7D">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W ramach powyższych działań, w szczególności związanych z e-legislacją, przewidywane jest również wypracowanie rozwiązań pozwalających na efektywne wykorzystanie sztucznej inteligencji</w:t>
      </w:r>
      <w:r w:rsidR="003878A8" w:rsidRPr="009576D8">
        <w:rPr>
          <w:rFonts w:eastAsia="Calibri" w:cs="Calibri"/>
          <w:kern w:val="0"/>
          <w:sz w:val="24"/>
          <w:szCs w:val="24"/>
          <w14:ligatures w14:val="none"/>
        </w:rPr>
        <w:t>.</w:t>
      </w:r>
    </w:p>
    <w:p w14:paraId="3E852509" w14:textId="5C4EB249" w:rsidR="00C55BFE" w:rsidRPr="009576D8" w:rsidRDefault="00C55BFE"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AD4236" w:rsidRPr="009576D8">
        <w:rPr>
          <w:i/>
          <w:iCs/>
          <w:sz w:val="24"/>
          <w:szCs w:val="24"/>
        </w:rPr>
        <w:t>Narzędzie do konsultacji online w ramach eRPL,</w:t>
      </w:r>
      <w:r w:rsidRPr="009576D8">
        <w:rPr>
          <w:i/>
          <w:iCs/>
          <w:sz w:val="24"/>
          <w:szCs w:val="24"/>
        </w:rPr>
        <w:t xml:space="preserve"> </w:t>
      </w:r>
      <w:r w:rsidR="003878A8" w:rsidRPr="009576D8">
        <w:rPr>
          <w:i/>
          <w:iCs/>
          <w:sz w:val="24"/>
          <w:szCs w:val="24"/>
        </w:rPr>
        <w:t>umożliwiając</w:t>
      </w:r>
      <w:r w:rsidR="00AD4236" w:rsidRPr="009576D8">
        <w:rPr>
          <w:i/>
          <w:iCs/>
          <w:sz w:val="24"/>
          <w:szCs w:val="24"/>
        </w:rPr>
        <w:t>e</w:t>
      </w:r>
      <w:r w:rsidR="003878A8" w:rsidRPr="009576D8">
        <w:rPr>
          <w:i/>
          <w:iCs/>
          <w:sz w:val="24"/>
          <w:szCs w:val="24"/>
        </w:rPr>
        <w:t xml:space="preserve"> zaangażowanie </w:t>
      </w:r>
      <w:r w:rsidRPr="009576D8">
        <w:rPr>
          <w:i/>
          <w:iCs/>
          <w:sz w:val="24"/>
          <w:szCs w:val="24"/>
        </w:rPr>
        <w:t>interesariuszy w ocenę funkcjonowania aktów normatywnych</w:t>
      </w:r>
      <w:r w:rsidRPr="009576D8">
        <w:rPr>
          <w:b/>
          <w:bCs/>
          <w:i/>
          <w:iCs/>
          <w:sz w:val="24"/>
          <w:szCs w:val="24"/>
        </w:rPr>
        <w:t xml:space="preserve"> </w:t>
      </w:r>
    </w:p>
    <w:p w14:paraId="4B50EC22" w14:textId="3BD03F07" w:rsidR="0006278A" w:rsidRDefault="00C55BFE"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525A0E" w:rsidRPr="009576D8">
        <w:rPr>
          <w:i/>
          <w:iCs/>
          <w:sz w:val="24"/>
          <w:szCs w:val="24"/>
        </w:rPr>
        <w:t xml:space="preserve">Prezes </w:t>
      </w:r>
      <w:r w:rsidR="00066F7D">
        <w:rPr>
          <w:i/>
          <w:iCs/>
          <w:sz w:val="24"/>
          <w:szCs w:val="24"/>
        </w:rPr>
        <w:t>RCL</w:t>
      </w:r>
      <w:r w:rsidR="00525A0E" w:rsidRPr="009576D8">
        <w:rPr>
          <w:i/>
          <w:iCs/>
          <w:sz w:val="24"/>
          <w:szCs w:val="24"/>
        </w:rPr>
        <w:t xml:space="preserve"> we współpracy z ministrem</w:t>
      </w:r>
      <w:r w:rsidR="00CC0130" w:rsidRPr="009576D8">
        <w:rPr>
          <w:i/>
          <w:iCs/>
          <w:sz w:val="24"/>
          <w:szCs w:val="24"/>
        </w:rPr>
        <w:t xml:space="preserve"> właściwy</w:t>
      </w:r>
      <w:r w:rsidR="00525A0E" w:rsidRPr="009576D8">
        <w:rPr>
          <w:i/>
          <w:iCs/>
          <w:sz w:val="24"/>
          <w:szCs w:val="24"/>
        </w:rPr>
        <w:t>m</w:t>
      </w:r>
      <w:r w:rsidR="00CC0130" w:rsidRPr="009576D8">
        <w:rPr>
          <w:i/>
          <w:iCs/>
          <w:sz w:val="24"/>
          <w:szCs w:val="24"/>
        </w:rPr>
        <w:t xml:space="preserve"> do spraw gospodarki</w:t>
      </w:r>
      <w:r w:rsidRPr="009576D8">
        <w:rPr>
          <w:b/>
          <w:bCs/>
          <w:i/>
          <w:iCs/>
          <w:sz w:val="24"/>
          <w:szCs w:val="24"/>
        </w:rPr>
        <w:t xml:space="preserve"> </w:t>
      </w:r>
    </w:p>
    <w:p w14:paraId="24CE256C" w14:textId="77777777" w:rsidR="00066F7D" w:rsidRPr="00066F7D" w:rsidRDefault="00066F7D"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066F7D">
        <w:rPr>
          <w:b/>
          <w:bCs/>
          <w:i/>
          <w:iCs/>
          <w:sz w:val="24"/>
          <w:szCs w:val="24"/>
        </w:rPr>
        <w:t>Wskaźnik:</w:t>
      </w:r>
      <w:r w:rsidRPr="00066F7D">
        <w:rPr>
          <w:i/>
          <w:iCs/>
          <w:sz w:val="24"/>
          <w:szCs w:val="24"/>
        </w:rPr>
        <w:t xml:space="preserve"> Przygotowanie portalu poświęconego konsultacjom</w:t>
      </w:r>
    </w:p>
    <w:p w14:paraId="0198E959" w14:textId="77777777" w:rsidR="00BD1465" w:rsidRDefault="00066F7D"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066F7D">
        <w:rPr>
          <w:b/>
          <w:bCs/>
          <w:i/>
          <w:iCs/>
          <w:sz w:val="24"/>
          <w:szCs w:val="24"/>
        </w:rPr>
        <w:t>Realizacja:</w:t>
      </w:r>
      <w:r w:rsidRPr="00066F7D">
        <w:rPr>
          <w:i/>
          <w:iCs/>
          <w:sz w:val="24"/>
          <w:szCs w:val="24"/>
        </w:rPr>
        <w:t xml:space="preserve"> Koordynator OSR we współpracy z ministrem właściwym do spraw gospodarki</w:t>
      </w:r>
    </w:p>
    <w:p w14:paraId="14EA95BA" w14:textId="3E8B506B" w:rsidR="00C55BFE" w:rsidRPr="009576D8" w:rsidRDefault="00C55BFE" w:rsidP="00066F7D">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2027</w:t>
      </w:r>
    </w:p>
    <w:p w14:paraId="067EB0AE" w14:textId="42238A29" w:rsidR="00C55BFE" w:rsidRPr="009576D8" w:rsidRDefault="004F7D77" w:rsidP="009576D8">
      <w:pPr>
        <w:pStyle w:val="Nagwek2"/>
      </w:pPr>
      <w:bookmarkStart w:id="73" w:name="_Toc217927157"/>
      <w:bookmarkStart w:id="74" w:name="_Toc219276877"/>
      <w:r w:rsidRPr="002D675B">
        <w:lastRenderedPageBreak/>
        <w:t>Działanie 1.</w:t>
      </w:r>
      <w:r w:rsidR="00D01A4C" w:rsidRPr="002D675B">
        <w:t>4</w:t>
      </w:r>
      <w:r w:rsidR="00E20C83">
        <w:t>.</w:t>
      </w:r>
      <w:r>
        <w:t xml:space="preserve"> </w:t>
      </w:r>
      <w:r w:rsidR="008C28C1" w:rsidRPr="009576D8">
        <w:t>Obowiązkowe</w:t>
      </w:r>
      <w:r w:rsidR="00C55BFE" w:rsidRPr="009576D8">
        <w:t xml:space="preserve"> konsultacj</w:t>
      </w:r>
      <w:r w:rsidR="00D01A4C">
        <w:t>e</w:t>
      </w:r>
      <w:r w:rsidR="00C55BFE" w:rsidRPr="009576D8">
        <w:t xml:space="preserve"> projektów ocen funkcjonowania aktów normatywnych</w:t>
      </w:r>
      <w:bookmarkEnd w:id="73"/>
      <w:bookmarkEnd w:id="74"/>
    </w:p>
    <w:p w14:paraId="454CA7DA" w14:textId="1DAF023B" w:rsidR="00C55BFE" w:rsidRPr="009576D8" w:rsidRDefault="00F71D58"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W celu zwiększenia </w:t>
      </w:r>
      <w:r w:rsidR="00D01A4C">
        <w:rPr>
          <w:rFonts w:eastAsia="Calibri" w:cs="Calibri"/>
          <w:kern w:val="0"/>
          <w:sz w:val="24"/>
          <w:szCs w:val="24"/>
          <w14:ligatures w14:val="none"/>
        </w:rPr>
        <w:t xml:space="preserve">zaangażowania strony społecznej w proces </w:t>
      </w:r>
      <w:r w:rsidRPr="009576D8">
        <w:rPr>
          <w:rFonts w:eastAsia="Calibri" w:cs="Calibri"/>
          <w:kern w:val="0"/>
          <w:sz w:val="24"/>
          <w:szCs w:val="24"/>
          <w14:ligatures w14:val="none"/>
        </w:rPr>
        <w:t>ocen</w:t>
      </w:r>
      <w:r w:rsidR="00D01A4C">
        <w:rPr>
          <w:rFonts w:eastAsia="Calibri" w:cs="Calibri"/>
          <w:kern w:val="0"/>
          <w:sz w:val="24"/>
          <w:szCs w:val="24"/>
          <w14:ligatures w14:val="none"/>
        </w:rPr>
        <w:t>y</w:t>
      </w:r>
      <w:r w:rsidRPr="009576D8">
        <w:rPr>
          <w:rFonts w:eastAsia="Calibri" w:cs="Calibri"/>
          <w:kern w:val="0"/>
          <w:sz w:val="24"/>
          <w:szCs w:val="24"/>
          <w14:ligatures w14:val="none"/>
        </w:rPr>
        <w:t xml:space="preserve"> funkcjonowania aktów normatywnych zaplanowano zmianę Regulaminu pracy Rady Ministrów tak,</w:t>
      </w:r>
      <w:r w:rsidR="00C819B1">
        <w:rPr>
          <w:rFonts w:eastAsia="Calibri" w:cs="Calibri"/>
          <w:kern w:val="0"/>
          <w:sz w:val="24"/>
          <w:szCs w:val="24"/>
          <w14:ligatures w14:val="none"/>
        </w:rPr>
        <w:t> </w:t>
      </w:r>
      <w:r w:rsidRPr="009576D8">
        <w:rPr>
          <w:rFonts w:eastAsia="Calibri" w:cs="Calibri"/>
          <w:kern w:val="0"/>
          <w:sz w:val="24"/>
          <w:szCs w:val="24"/>
          <w14:ligatures w14:val="none"/>
        </w:rPr>
        <w:t>aby</w:t>
      </w:r>
      <w:r w:rsidR="00C819B1">
        <w:rPr>
          <w:rFonts w:eastAsia="Calibri" w:cs="Calibri"/>
          <w:kern w:val="0"/>
          <w:sz w:val="24"/>
          <w:szCs w:val="24"/>
          <w14:ligatures w14:val="none"/>
        </w:rPr>
        <w:t> </w:t>
      </w:r>
      <w:r w:rsidRPr="009576D8">
        <w:rPr>
          <w:rFonts w:eastAsia="Calibri" w:cs="Calibri"/>
          <w:kern w:val="0"/>
          <w:sz w:val="24"/>
          <w:szCs w:val="24"/>
          <w14:ligatures w14:val="none"/>
        </w:rPr>
        <w:t xml:space="preserve">konsultacje projektów OSR </w:t>
      </w:r>
      <w:r w:rsidRPr="007123DB">
        <w:rPr>
          <w:rFonts w:eastAsia="Calibri" w:cs="Calibri"/>
          <w:i/>
          <w:iCs/>
          <w:kern w:val="0"/>
          <w:sz w:val="24"/>
          <w:szCs w:val="24"/>
          <w14:ligatures w14:val="none"/>
        </w:rPr>
        <w:t>ex post</w:t>
      </w:r>
      <w:r w:rsidRPr="009576D8">
        <w:rPr>
          <w:rFonts w:eastAsia="Calibri" w:cs="Calibri"/>
          <w:kern w:val="0"/>
          <w:sz w:val="24"/>
          <w:szCs w:val="24"/>
          <w14:ligatures w14:val="none"/>
        </w:rPr>
        <w:t xml:space="preserve"> aktów </w:t>
      </w:r>
      <w:r w:rsidR="00D01A4C">
        <w:rPr>
          <w:rFonts w:eastAsia="Calibri" w:cs="Calibri"/>
          <w:kern w:val="0"/>
          <w:sz w:val="24"/>
          <w:szCs w:val="24"/>
          <w14:ligatures w14:val="none"/>
        </w:rPr>
        <w:t>normatywnych</w:t>
      </w:r>
      <w:r w:rsidRPr="009576D8">
        <w:rPr>
          <w:rFonts w:eastAsia="Calibri" w:cs="Calibri"/>
          <w:kern w:val="0"/>
          <w:sz w:val="24"/>
          <w:szCs w:val="24"/>
          <w14:ligatures w14:val="none"/>
        </w:rPr>
        <w:t xml:space="preserve"> były obowiązkowe</w:t>
      </w:r>
      <w:r w:rsidR="00D01A4C">
        <w:rPr>
          <w:rFonts w:eastAsia="Calibri" w:cs="Calibri"/>
          <w:kern w:val="0"/>
          <w:sz w:val="24"/>
          <w:szCs w:val="24"/>
          <w14:ligatures w14:val="none"/>
        </w:rPr>
        <w:t>, na</w:t>
      </w:r>
      <w:r w:rsidR="00C819B1">
        <w:rPr>
          <w:rFonts w:eastAsia="Calibri" w:cs="Calibri"/>
          <w:kern w:val="0"/>
          <w:sz w:val="24"/>
          <w:szCs w:val="24"/>
          <w14:ligatures w14:val="none"/>
        </w:rPr>
        <w:t> </w:t>
      </w:r>
      <w:r w:rsidR="00D01A4C">
        <w:rPr>
          <w:rFonts w:eastAsia="Calibri" w:cs="Calibri"/>
          <w:kern w:val="0"/>
          <w:sz w:val="24"/>
          <w:szCs w:val="24"/>
          <w14:ligatures w14:val="none"/>
        </w:rPr>
        <w:t xml:space="preserve">zasadach </w:t>
      </w:r>
      <w:r w:rsidR="00774BFD">
        <w:rPr>
          <w:rFonts w:eastAsia="Calibri" w:cs="Calibri"/>
          <w:kern w:val="0"/>
          <w:sz w:val="24"/>
          <w:szCs w:val="24"/>
          <w14:ligatures w14:val="none"/>
        </w:rPr>
        <w:t>takich, jakie dotyczą</w:t>
      </w:r>
      <w:r w:rsidR="00D01A4C">
        <w:rPr>
          <w:rFonts w:eastAsia="Calibri" w:cs="Calibri"/>
          <w:kern w:val="0"/>
          <w:sz w:val="24"/>
          <w:szCs w:val="24"/>
          <w14:ligatures w14:val="none"/>
        </w:rPr>
        <w:t xml:space="preserve"> konsultacji projektów aktów normatywnych</w:t>
      </w:r>
      <w:r w:rsidRPr="009576D8">
        <w:rPr>
          <w:rFonts w:eastAsia="Calibri" w:cs="Calibri"/>
          <w:kern w:val="0"/>
          <w:sz w:val="24"/>
          <w:szCs w:val="24"/>
          <w14:ligatures w14:val="none"/>
        </w:rPr>
        <w:t xml:space="preserve">. Obecnie, zgodnie </w:t>
      </w:r>
      <w:r w:rsidR="005F5163" w:rsidRPr="009576D8">
        <w:rPr>
          <w:rFonts w:eastAsia="Calibri" w:cs="Calibri"/>
          <w:kern w:val="0"/>
          <w:sz w:val="24"/>
          <w:szCs w:val="24"/>
          <w14:ligatures w14:val="none"/>
        </w:rPr>
        <w:t>z</w:t>
      </w:r>
      <w:r w:rsidR="005F5163">
        <w:rPr>
          <w:rFonts w:eastAsia="Calibri" w:cs="Calibri"/>
          <w:kern w:val="0"/>
          <w:sz w:val="24"/>
          <w:szCs w:val="24"/>
          <w14:ligatures w14:val="none"/>
        </w:rPr>
        <w:t> </w:t>
      </w:r>
      <w:r w:rsidR="00C55BFE" w:rsidRPr="009576D8">
        <w:rPr>
          <w:rFonts w:eastAsia="Calibri" w:cs="Calibri"/>
          <w:kern w:val="0"/>
          <w:sz w:val="24"/>
          <w:szCs w:val="24"/>
          <w14:ligatures w14:val="none"/>
        </w:rPr>
        <w:t>Regulaminem pracy Rady Ministrów</w:t>
      </w:r>
      <w:r w:rsidR="00D01A4C">
        <w:rPr>
          <w:rFonts w:eastAsia="Calibri" w:cs="Calibri"/>
          <w:kern w:val="0"/>
          <w:sz w:val="24"/>
          <w:szCs w:val="24"/>
          <w14:ligatures w14:val="none"/>
        </w:rPr>
        <w:t>,</w:t>
      </w:r>
      <w:r w:rsidR="00C55BFE" w:rsidRPr="009576D8">
        <w:rPr>
          <w:rFonts w:eastAsia="Calibri" w:cs="Calibri"/>
          <w:kern w:val="0"/>
          <w:sz w:val="24"/>
          <w:szCs w:val="24"/>
          <w14:ligatures w14:val="none"/>
        </w:rPr>
        <w:t xml:space="preserve"> członek Rady Ministrów może przedstawić projekt OSR </w:t>
      </w:r>
      <w:r w:rsidR="00C55BFE" w:rsidRPr="007123DB">
        <w:rPr>
          <w:rFonts w:eastAsia="Calibri" w:cs="Calibri"/>
          <w:i/>
          <w:iCs/>
          <w:kern w:val="0"/>
          <w:sz w:val="24"/>
          <w:szCs w:val="24"/>
          <w14:ligatures w14:val="none"/>
        </w:rPr>
        <w:t>ex post</w:t>
      </w:r>
      <w:r w:rsidR="00C55BFE" w:rsidRPr="009576D8">
        <w:rPr>
          <w:rFonts w:eastAsia="Calibri" w:cs="Calibri"/>
          <w:kern w:val="0"/>
          <w:sz w:val="24"/>
          <w:szCs w:val="24"/>
          <w14:ligatures w14:val="none"/>
        </w:rPr>
        <w:t xml:space="preserve"> do konsultacji. Dotyczy to w szczególności podmiotów reprezentujących adresatów aktu normatywnego. </w:t>
      </w:r>
    </w:p>
    <w:p w14:paraId="28D02938" w14:textId="4EF539E3"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Zmiana § 153 Regulaminu pracy Rady Ministrów</w:t>
      </w:r>
      <w:r w:rsidRPr="009576D8">
        <w:rPr>
          <w:b/>
          <w:bCs/>
          <w:i/>
          <w:iCs/>
          <w:sz w:val="24"/>
          <w:szCs w:val="24"/>
        </w:rPr>
        <w:t xml:space="preserve"> </w:t>
      </w:r>
    </w:p>
    <w:p w14:paraId="0134D023" w14:textId="505A11BB" w:rsidR="0006278A"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54663E">
        <w:rPr>
          <w:i/>
          <w:iCs/>
          <w:sz w:val="24"/>
          <w:szCs w:val="24"/>
        </w:rPr>
        <w:t xml:space="preserve">Prezes </w:t>
      </w:r>
      <w:r w:rsidR="006147D4">
        <w:rPr>
          <w:i/>
          <w:iCs/>
          <w:sz w:val="24"/>
          <w:szCs w:val="24"/>
        </w:rPr>
        <w:t>RCL</w:t>
      </w:r>
      <w:r w:rsidR="0054663E" w:rsidRPr="009576D8">
        <w:rPr>
          <w:i/>
          <w:iCs/>
          <w:sz w:val="24"/>
          <w:szCs w:val="24"/>
        </w:rPr>
        <w:t xml:space="preserve"> </w:t>
      </w:r>
      <w:r w:rsidR="0006278A" w:rsidRPr="009576D8">
        <w:rPr>
          <w:i/>
          <w:iCs/>
          <w:sz w:val="24"/>
          <w:szCs w:val="24"/>
        </w:rPr>
        <w:t xml:space="preserve">we współpracy z ministrem właściwym </w:t>
      </w:r>
      <w:r w:rsidR="00D42B5C">
        <w:rPr>
          <w:i/>
          <w:iCs/>
          <w:sz w:val="24"/>
          <w:szCs w:val="24"/>
        </w:rPr>
        <w:t>do spraw</w:t>
      </w:r>
      <w:r w:rsidR="0006278A" w:rsidRPr="009576D8">
        <w:rPr>
          <w:i/>
          <w:iCs/>
          <w:sz w:val="24"/>
          <w:szCs w:val="24"/>
        </w:rPr>
        <w:t xml:space="preserve"> gospodarki</w:t>
      </w:r>
    </w:p>
    <w:p w14:paraId="54CA06B6" w14:textId="7FCBF35A"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w:t>
      </w:r>
    </w:p>
    <w:p w14:paraId="2F7BBB12" w14:textId="25E88A3D" w:rsidR="00C55BFE" w:rsidRPr="009576D8" w:rsidRDefault="004F7D77" w:rsidP="009576D8">
      <w:pPr>
        <w:pStyle w:val="Nagwek2"/>
      </w:pPr>
      <w:bookmarkStart w:id="75" w:name="_Toc217927158"/>
      <w:bookmarkStart w:id="76" w:name="_Toc219276878"/>
      <w:r w:rsidRPr="002D675B">
        <w:t>Działanie 1.</w:t>
      </w:r>
      <w:r w:rsidR="00D01A4C" w:rsidRPr="002D675B">
        <w:t>5</w:t>
      </w:r>
      <w:r w:rsidR="005839DA">
        <w:t>.</w:t>
      </w:r>
      <w:r w:rsidRPr="002D675B">
        <w:t xml:space="preserve"> </w:t>
      </w:r>
      <w:r w:rsidR="00F2102A">
        <w:t>Ewaluacja</w:t>
      </w:r>
      <w:r w:rsidR="00F2102A" w:rsidRPr="009576D8">
        <w:t xml:space="preserve"> </w:t>
      </w:r>
      <w:r w:rsidR="00C55BFE" w:rsidRPr="009576D8">
        <w:t>wieloletnich przepisów dotyczących działalności gospodarczej</w:t>
      </w:r>
      <w:bookmarkEnd w:id="75"/>
      <w:bookmarkEnd w:id="76"/>
    </w:p>
    <w:p w14:paraId="1C32B2DB" w14:textId="66510F09" w:rsidR="00C8607A" w:rsidRPr="009576D8" w:rsidRDefault="00C55BFE"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Ocena skutków regulacji obowiązuje w Polsce od 2001 </w:t>
      </w:r>
      <w:r w:rsidR="00C14610" w:rsidRPr="009576D8">
        <w:rPr>
          <w:rFonts w:eastAsia="Calibri" w:cs="Calibri"/>
          <w:kern w:val="0"/>
          <w:sz w:val="24"/>
          <w:szCs w:val="24"/>
          <w14:ligatures w14:val="none"/>
        </w:rPr>
        <w:t>r.</w:t>
      </w:r>
      <w:r w:rsidRPr="009576D8">
        <w:rPr>
          <w:rFonts w:eastAsia="Calibri" w:cs="Calibri"/>
          <w:kern w:val="0"/>
          <w:sz w:val="24"/>
          <w:szCs w:val="24"/>
          <w14:ligatures w14:val="none"/>
        </w:rPr>
        <w:t>, kiedy wprowadzon</w:t>
      </w:r>
      <w:r w:rsidR="00D01A4C">
        <w:rPr>
          <w:rFonts w:eastAsia="Calibri" w:cs="Calibri"/>
          <w:kern w:val="0"/>
          <w:sz w:val="24"/>
          <w:szCs w:val="24"/>
          <w14:ligatures w14:val="none"/>
        </w:rPr>
        <w:t>o</w:t>
      </w:r>
      <w:r w:rsidRPr="009576D8">
        <w:rPr>
          <w:rFonts w:eastAsia="Calibri" w:cs="Calibri"/>
          <w:kern w:val="0"/>
          <w:sz w:val="24"/>
          <w:szCs w:val="24"/>
          <w14:ligatures w14:val="none"/>
        </w:rPr>
        <w:t xml:space="preserve"> ją</w:t>
      </w:r>
      <w:r w:rsidR="00C819B1">
        <w:rPr>
          <w:rFonts w:eastAsia="Calibri" w:cs="Calibri"/>
          <w:kern w:val="0"/>
          <w:sz w:val="24"/>
          <w:szCs w:val="24"/>
          <w14:ligatures w14:val="none"/>
        </w:rPr>
        <w:t> </w:t>
      </w:r>
      <w:r w:rsidRPr="009576D8">
        <w:rPr>
          <w:rFonts w:eastAsia="Calibri" w:cs="Calibri"/>
          <w:kern w:val="0"/>
          <w:sz w:val="24"/>
          <w:szCs w:val="24"/>
          <w14:ligatures w14:val="none"/>
        </w:rPr>
        <w:t>do</w:t>
      </w:r>
      <w:r w:rsidR="00C819B1">
        <w:rPr>
          <w:rFonts w:eastAsia="Calibri" w:cs="Calibri"/>
          <w:kern w:val="0"/>
          <w:sz w:val="24"/>
          <w:szCs w:val="24"/>
          <w14:ligatures w14:val="none"/>
        </w:rPr>
        <w:t> </w:t>
      </w:r>
      <w:r w:rsidRPr="009576D8">
        <w:rPr>
          <w:rFonts w:eastAsia="Calibri" w:cs="Calibri"/>
          <w:kern w:val="0"/>
          <w:sz w:val="24"/>
          <w:szCs w:val="24"/>
          <w14:ligatures w14:val="none"/>
        </w:rPr>
        <w:t xml:space="preserve">Regulaminu pracy Rady Ministrów. Z tego powodu części obowiązujących przepisów nie poprzedziła ocena skutków regulacji. Należy sprawdzić, czy nie </w:t>
      </w:r>
      <w:r w:rsidR="00CC4215" w:rsidRPr="009576D8">
        <w:rPr>
          <w:rFonts w:eastAsia="Calibri" w:cs="Calibri"/>
          <w:kern w:val="0"/>
          <w:sz w:val="24"/>
          <w:szCs w:val="24"/>
          <w14:ligatures w14:val="none"/>
        </w:rPr>
        <w:t xml:space="preserve">wymagają dostosowania do aktualnej sytuacji gospodarczej i rozwoju technologicznego. </w:t>
      </w:r>
      <w:r w:rsidR="00AA4BA1" w:rsidRPr="009576D8">
        <w:rPr>
          <w:rFonts w:eastAsia="Calibri" w:cs="Calibri"/>
          <w:kern w:val="0"/>
          <w:sz w:val="24"/>
          <w:szCs w:val="24"/>
          <w14:ligatures w14:val="none"/>
        </w:rPr>
        <w:t>Zespół do</w:t>
      </w:r>
      <w:r w:rsidR="00C819B1">
        <w:rPr>
          <w:rFonts w:eastAsia="Calibri" w:cs="Calibri"/>
          <w:kern w:val="0"/>
          <w:sz w:val="24"/>
          <w:szCs w:val="24"/>
          <w14:ligatures w14:val="none"/>
        </w:rPr>
        <w:t> </w:t>
      </w:r>
      <w:r w:rsidR="00AA4BA1" w:rsidRPr="009576D8">
        <w:rPr>
          <w:rFonts w:eastAsia="Calibri" w:cs="Calibri"/>
          <w:kern w:val="0"/>
          <w:sz w:val="24"/>
          <w:szCs w:val="24"/>
          <w14:ligatures w14:val="none"/>
        </w:rPr>
        <w:t xml:space="preserve">spraw Programowania Prac Rządu odpowiedzialny będzie za wytypowanie co najmniej jednego takiego aktu rocznie. </w:t>
      </w:r>
      <w:r w:rsidR="00CD414D" w:rsidRPr="009576D8">
        <w:rPr>
          <w:rFonts w:eastAsia="Calibri" w:cs="Calibri"/>
          <w:kern w:val="0"/>
          <w:sz w:val="24"/>
          <w:szCs w:val="24"/>
          <w14:ligatures w14:val="none"/>
        </w:rPr>
        <w:t>Niezależnie od tego,</w:t>
      </w:r>
      <w:r w:rsidR="00AA4BA1" w:rsidRPr="009576D8">
        <w:rPr>
          <w:rFonts w:eastAsia="Calibri" w:cs="Calibri"/>
          <w:kern w:val="0"/>
          <w:sz w:val="24"/>
          <w:szCs w:val="24"/>
          <w14:ligatures w14:val="none"/>
        </w:rPr>
        <w:t xml:space="preserve"> ministrowie</w:t>
      </w:r>
      <w:r w:rsidR="00CD414D" w:rsidRPr="009576D8">
        <w:rPr>
          <w:rFonts w:eastAsia="Calibri" w:cs="Calibri"/>
          <w:kern w:val="0"/>
          <w:sz w:val="24"/>
          <w:szCs w:val="24"/>
          <w14:ligatures w14:val="none"/>
        </w:rPr>
        <w:t xml:space="preserve"> mogą przygotować OSR</w:t>
      </w:r>
      <w:r w:rsidR="00C819B1">
        <w:rPr>
          <w:rFonts w:eastAsia="Calibri" w:cs="Calibri"/>
          <w:kern w:val="0"/>
          <w:sz w:val="24"/>
          <w:szCs w:val="24"/>
          <w14:ligatures w14:val="none"/>
        </w:rPr>
        <w:t> </w:t>
      </w:r>
      <w:r w:rsidR="00CD414D" w:rsidRPr="007123DB">
        <w:rPr>
          <w:rFonts w:eastAsia="Calibri" w:cs="Calibri"/>
          <w:i/>
          <w:iCs/>
          <w:kern w:val="0"/>
          <w:sz w:val="24"/>
          <w:szCs w:val="24"/>
          <w14:ligatures w14:val="none"/>
        </w:rPr>
        <w:t>ex</w:t>
      </w:r>
      <w:r w:rsidR="00C819B1" w:rsidRPr="007123DB">
        <w:rPr>
          <w:rFonts w:eastAsia="Calibri" w:cs="Calibri"/>
          <w:i/>
          <w:iCs/>
          <w:kern w:val="0"/>
          <w:sz w:val="24"/>
          <w:szCs w:val="24"/>
          <w14:ligatures w14:val="none"/>
        </w:rPr>
        <w:t> </w:t>
      </w:r>
      <w:r w:rsidR="00CD414D" w:rsidRPr="007123DB">
        <w:rPr>
          <w:rFonts w:eastAsia="Calibri" w:cs="Calibri"/>
          <w:i/>
          <w:iCs/>
          <w:kern w:val="0"/>
          <w:sz w:val="24"/>
          <w:szCs w:val="24"/>
          <w14:ligatures w14:val="none"/>
        </w:rPr>
        <w:t>post</w:t>
      </w:r>
      <w:r w:rsidR="00CD414D" w:rsidRPr="009576D8">
        <w:rPr>
          <w:rFonts w:eastAsia="Calibri" w:cs="Calibri"/>
          <w:kern w:val="0"/>
          <w:sz w:val="24"/>
          <w:szCs w:val="24"/>
          <w14:ligatures w14:val="none"/>
        </w:rPr>
        <w:t xml:space="preserve"> </w:t>
      </w:r>
      <w:r w:rsidR="005F5163" w:rsidRPr="009576D8">
        <w:rPr>
          <w:rFonts w:eastAsia="Calibri" w:cs="Calibri"/>
          <w:kern w:val="0"/>
          <w:sz w:val="24"/>
          <w:szCs w:val="24"/>
          <w14:ligatures w14:val="none"/>
        </w:rPr>
        <w:t>z</w:t>
      </w:r>
      <w:r w:rsidR="005F5163">
        <w:rPr>
          <w:rFonts w:eastAsia="Calibri" w:cs="Calibri"/>
          <w:kern w:val="0"/>
          <w:sz w:val="24"/>
          <w:szCs w:val="24"/>
          <w14:ligatures w14:val="none"/>
        </w:rPr>
        <w:t> </w:t>
      </w:r>
      <w:r w:rsidR="00CD414D" w:rsidRPr="009576D8">
        <w:rPr>
          <w:rFonts w:eastAsia="Calibri" w:cs="Calibri"/>
          <w:kern w:val="0"/>
          <w:sz w:val="24"/>
          <w:szCs w:val="24"/>
          <w14:ligatures w14:val="none"/>
        </w:rPr>
        <w:t>własnej inicjatywy.</w:t>
      </w:r>
    </w:p>
    <w:p w14:paraId="38C46D24" w14:textId="152A0B99" w:rsidR="00C55BFE" w:rsidRPr="009576D8" w:rsidRDefault="00556355"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Z pierwszą propozycją wystąpił minister właściwy do spraw budżetu państwa, finansów publicznych oraz instytucji finansowych, zgłaszając plany oceny funkcjonowania obowiązujących przepisów dotyczących przeciwdziałania unikaniu opodatkowania, zawartych w Dziale IIIA </w:t>
      </w:r>
      <w:r w:rsidR="00774BFD" w:rsidRPr="00774BFD">
        <w:rPr>
          <w:rFonts w:eastAsia="Calibri" w:cs="Calibri"/>
          <w:kern w:val="0"/>
          <w:sz w:val="24"/>
          <w:szCs w:val="24"/>
          <w14:ligatures w14:val="none"/>
        </w:rPr>
        <w:t xml:space="preserve">ustawy z dnia 29 sierpnia 1997 r. </w:t>
      </w:r>
      <w:r w:rsidR="00774BFD">
        <w:rPr>
          <w:rFonts w:eastAsia="Calibri" w:cs="Calibri"/>
          <w:kern w:val="0"/>
          <w:sz w:val="24"/>
          <w:szCs w:val="24"/>
          <w14:ligatures w14:val="none"/>
        </w:rPr>
        <w:t>–</w:t>
      </w:r>
      <w:r w:rsidR="00774BFD" w:rsidRPr="00774BFD">
        <w:rPr>
          <w:rFonts w:eastAsia="Calibri" w:cs="Calibri"/>
          <w:kern w:val="0"/>
          <w:sz w:val="24"/>
          <w:szCs w:val="24"/>
          <w14:ligatures w14:val="none"/>
        </w:rPr>
        <w:t xml:space="preserve"> </w:t>
      </w:r>
      <w:r w:rsidRPr="009576D8">
        <w:rPr>
          <w:rFonts w:eastAsia="Calibri" w:cs="Calibri"/>
          <w:kern w:val="0"/>
          <w:sz w:val="24"/>
          <w:szCs w:val="24"/>
          <w14:ligatures w14:val="none"/>
        </w:rPr>
        <w:t>Ordynacj</w:t>
      </w:r>
      <w:r w:rsidR="00774BFD">
        <w:rPr>
          <w:rFonts w:eastAsia="Calibri" w:cs="Calibri"/>
          <w:kern w:val="0"/>
          <w:sz w:val="24"/>
          <w:szCs w:val="24"/>
          <w14:ligatures w14:val="none"/>
        </w:rPr>
        <w:t>a</w:t>
      </w:r>
      <w:r w:rsidRPr="009576D8">
        <w:rPr>
          <w:rFonts w:eastAsia="Calibri" w:cs="Calibri"/>
          <w:kern w:val="0"/>
          <w:sz w:val="24"/>
          <w:szCs w:val="24"/>
          <w14:ligatures w14:val="none"/>
        </w:rPr>
        <w:t xml:space="preserve"> podatkow</w:t>
      </w:r>
      <w:r w:rsidR="00774BFD">
        <w:rPr>
          <w:rFonts w:eastAsia="Calibri" w:cs="Calibri"/>
          <w:kern w:val="0"/>
          <w:sz w:val="24"/>
          <w:szCs w:val="24"/>
          <w14:ligatures w14:val="none"/>
        </w:rPr>
        <w:t xml:space="preserve">a </w:t>
      </w:r>
      <w:r w:rsidR="00774BFD" w:rsidRPr="00774BFD">
        <w:rPr>
          <w:rFonts w:eastAsia="Calibri" w:cs="Calibri"/>
          <w:kern w:val="0"/>
          <w:sz w:val="24"/>
          <w:szCs w:val="24"/>
          <w14:ligatures w14:val="none"/>
        </w:rPr>
        <w:t>(Dz. U. z 2025 r. poz. 111, z późn. zm.)</w:t>
      </w:r>
      <w:r w:rsidRPr="009576D8">
        <w:rPr>
          <w:rFonts w:eastAsia="Calibri" w:cs="Calibri"/>
          <w:kern w:val="0"/>
          <w:sz w:val="24"/>
          <w:szCs w:val="24"/>
          <w14:ligatures w14:val="none"/>
        </w:rPr>
        <w:t xml:space="preserve">. </w:t>
      </w:r>
      <w:r w:rsidR="00C8607A" w:rsidRPr="009576D8">
        <w:rPr>
          <w:rFonts w:eastAsia="Calibri" w:cs="Calibri"/>
          <w:kern w:val="0"/>
          <w:sz w:val="24"/>
          <w:szCs w:val="24"/>
          <w14:ligatures w14:val="none"/>
        </w:rPr>
        <w:t>Zaplanował on</w:t>
      </w:r>
      <w:r w:rsidRPr="009576D8">
        <w:rPr>
          <w:rFonts w:eastAsia="Calibri" w:cs="Calibri"/>
          <w:kern w:val="0"/>
          <w:sz w:val="24"/>
          <w:szCs w:val="24"/>
          <w14:ligatures w14:val="none"/>
        </w:rPr>
        <w:t xml:space="preserve"> dokonanie podsumowania dotychczasowych rozwiązań </w:t>
      </w:r>
      <w:r w:rsidR="00C8607A" w:rsidRPr="009576D8">
        <w:rPr>
          <w:rFonts w:eastAsia="Calibri" w:cs="Calibri"/>
          <w:kern w:val="0"/>
          <w:sz w:val="24"/>
          <w:szCs w:val="24"/>
          <w14:ligatures w14:val="none"/>
        </w:rPr>
        <w:t xml:space="preserve">i </w:t>
      </w:r>
      <w:r w:rsidRPr="009576D8">
        <w:rPr>
          <w:rFonts w:eastAsia="Calibri" w:cs="Calibri"/>
          <w:kern w:val="0"/>
          <w:sz w:val="24"/>
          <w:szCs w:val="24"/>
          <w14:ligatures w14:val="none"/>
        </w:rPr>
        <w:t>ich efektywności oraz stopnia realizacji celu.</w:t>
      </w:r>
      <w:r w:rsidR="00C8607A" w:rsidRPr="009576D8">
        <w:rPr>
          <w:rFonts w:eastAsia="Calibri" w:cs="Calibri"/>
          <w:kern w:val="0"/>
          <w:sz w:val="24"/>
          <w:szCs w:val="24"/>
          <w14:ligatures w14:val="none"/>
        </w:rPr>
        <w:t xml:space="preserve"> Założono </w:t>
      </w:r>
      <w:r w:rsidR="00F52690" w:rsidRPr="009576D8">
        <w:rPr>
          <w:rFonts w:eastAsia="Calibri" w:cs="Calibri"/>
          <w:kern w:val="0"/>
          <w:sz w:val="24"/>
          <w:szCs w:val="24"/>
          <w14:ligatures w14:val="none"/>
        </w:rPr>
        <w:t>też</w:t>
      </w:r>
      <w:r w:rsidR="00C819B1">
        <w:rPr>
          <w:rFonts w:eastAsia="Calibri" w:cs="Calibri"/>
          <w:kern w:val="0"/>
          <w:sz w:val="24"/>
          <w:szCs w:val="24"/>
          <w14:ligatures w14:val="none"/>
        </w:rPr>
        <w:t> </w:t>
      </w:r>
      <w:r w:rsidRPr="009576D8">
        <w:rPr>
          <w:rFonts w:eastAsia="Calibri" w:cs="Calibri"/>
          <w:kern w:val="0"/>
          <w:sz w:val="24"/>
          <w:szCs w:val="24"/>
          <w14:ligatures w14:val="none"/>
        </w:rPr>
        <w:t>opracowani</w:t>
      </w:r>
      <w:r w:rsidR="00C8607A" w:rsidRPr="009576D8">
        <w:rPr>
          <w:rFonts w:eastAsia="Calibri" w:cs="Calibri"/>
          <w:kern w:val="0"/>
          <w:sz w:val="24"/>
          <w:szCs w:val="24"/>
          <w14:ligatures w14:val="none"/>
        </w:rPr>
        <w:t>e</w:t>
      </w:r>
      <w:r w:rsidRPr="009576D8">
        <w:rPr>
          <w:rFonts w:eastAsia="Calibri" w:cs="Calibri"/>
          <w:kern w:val="0"/>
          <w:sz w:val="24"/>
          <w:szCs w:val="24"/>
          <w14:ligatures w14:val="none"/>
        </w:rPr>
        <w:t xml:space="preserve"> OSR </w:t>
      </w:r>
      <w:r w:rsidRPr="007123DB">
        <w:rPr>
          <w:rFonts w:eastAsia="Calibri" w:cs="Calibri"/>
          <w:i/>
          <w:iCs/>
          <w:kern w:val="0"/>
          <w:sz w:val="24"/>
          <w:szCs w:val="24"/>
          <w14:ligatures w14:val="none"/>
        </w:rPr>
        <w:t>ex post</w:t>
      </w:r>
      <w:r w:rsidRPr="009576D8">
        <w:rPr>
          <w:rFonts w:eastAsia="Calibri" w:cs="Calibri"/>
          <w:kern w:val="0"/>
          <w:sz w:val="24"/>
          <w:szCs w:val="24"/>
          <w14:ligatures w14:val="none"/>
        </w:rPr>
        <w:t xml:space="preserve"> lub rozpoczęcie procesu legislacyjnego w</w:t>
      </w:r>
      <w:r w:rsidR="006147D4">
        <w:rPr>
          <w:rFonts w:eastAsia="Calibri" w:cs="Calibri"/>
          <w:kern w:val="0"/>
          <w:sz w:val="24"/>
          <w:szCs w:val="24"/>
          <w14:ligatures w14:val="none"/>
        </w:rPr>
        <w:t> </w:t>
      </w:r>
      <w:r w:rsidRPr="009576D8">
        <w:rPr>
          <w:rFonts w:eastAsia="Calibri" w:cs="Calibri"/>
          <w:kern w:val="0"/>
          <w:sz w:val="24"/>
          <w:szCs w:val="24"/>
          <w14:ligatures w14:val="none"/>
        </w:rPr>
        <w:t>zakresie nowelizacji przepisów dotyczących przeciwdziałania unikaniu opodatkowania.</w:t>
      </w:r>
    </w:p>
    <w:p w14:paraId="629BE27B" w14:textId="459742AE"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 xml:space="preserve">Wytypowanie rocznie co najmniej </w:t>
      </w:r>
      <w:r w:rsidR="00AA4BA1" w:rsidRPr="009576D8">
        <w:rPr>
          <w:i/>
          <w:iCs/>
          <w:sz w:val="24"/>
          <w:szCs w:val="24"/>
        </w:rPr>
        <w:t xml:space="preserve">jednego </w:t>
      </w:r>
      <w:r w:rsidR="003C1466">
        <w:rPr>
          <w:i/>
          <w:iCs/>
          <w:sz w:val="24"/>
          <w:szCs w:val="24"/>
        </w:rPr>
        <w:t xml:space="preserve">obowiązującego </w:t>
      </w:r>
      <w:r w:rsidR="00AA4BA1" w:rsidRPr="009576D8">
        <w:rPr>
          <w:i/>
          <w:iCs/>
          <w:sz w:val="24"/>
          <w:szCs w:val="24"/>
        </w:rPr>
        <w:t>aktu normatywnego lub jego części, dotyczącego podejmowania, wykonywania lub zakończenia działalności gospodarczej, który wszedł w życie przed 2001 r. do</w:t>
      </w:r>
      <w:r w:rsidRPr="009576D8">
        <w:rPr>
          <w:i/>
          <w:iCs/>
          <w:sz w:val="24"/>
          <w:szCs w:val="24"/>
        </w:rPr>
        <w:t xml:space="preserve"> oceny funkcjonowania</w:t>
      </w:r>
      <w:r w:rsidRPr="009576D8">
        <w:rPr>
          <w:b/>
          <w:bCs/>
          <w:i/>
          <w:iCs/>
          <w:sz w:val="24"/>
          <w:szCs w:val="24"/>
        </w:rPr>
        <w:t xml:space="preserve"> </w:t>
      </w:r>
    </w:p>
    <w:p w14:paraId="3C2A27BE" w14:textId="1144126E" w:rsidR="0006278A"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Realizacja: </w:t>
      </w:r>
      <w:r w:rsidR="006147D4">
        <w:rPr>
          <w:i/>
          <w:iCs/>
          <w:sz w:val="24"/>
          <w:szCs w:val="24"/>
        </w:rPr>
        <w:t>Przewodniczący Zespołu</w:t>
      </w:r>
      <w:r w:rsidR="006147D4" w:rsidRPr="009576D8">
        <w:rPr>
          <w:i/>
          <w:iCs/>
          <w:sz w:val="24"/>
          <w:szCs w:val="24"/>
        </w:rPr>
        <w:t xml:space="preserve"> </w:t>
      </w:r>
      <w:r w:rsidRPr="009576D8">
        <w:rPr>
          <w:i/>
          <w:iCs/>
          <w:sz w:val="24"/>
          <w:szCs w:val="24"/>
        </w:rPr>
        <w:t>do spraw Programowania Prac Rządu</w:t>
      </w:r>
      <w:r w:rsidR="00AA4BA1" w:rsidRPr="009576D8">
        <w:rPr>
          <w:i/>
          <w:iCs/>
          <w:sz w:val="24"/>
          <w:szCs w:val="24"/>
        </w:rPr>
        <w:t xml:space="preserve"> i właściwi ministrowie</w:t>
      </w:r>
      <w:r w:rsidRPr="009576D8">
        <w:rPr>
          <w:i/>
          <w:iCs/>
          <w:sz w:val="24"/>
          <w:szCs w:val="24"/>
        </w:rPr>
        <w:t xml:space="preserve"> </w:t>
      </w:r>
    </w:p>
    <w:p w14:paraId="114C71D0" w14:textId="2D3743A0"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2026-2028</w:t>
      </w:r>
    </w:p>
    <w:p w14:paraId="3CB6E5F8" w14:textId="4D242EEF" w:rsidR="00C55BFE" w:rsidRPr="009576D8" w:rsidRDefault="004F7D77" w:rsidP="009576D8">
      <w:pPr>
        <w:pStyle w:val="Nagwek2"/>
      </w:pPr>
      <w:bookmarkStart w:id="77" w:name="_Toc217927159"/>
      <w:bookmarkStart w:id="78" w:name="_Toc219276879"/>
      <w:r>
        <w:lastRenderedPageBreak/>
        <w:t xml:space="preserve">Działanie </w:t>
      </w:r>
      <w:r w:rsidRPr="002D675B">
        <w:t>1.</w:t>
      </w:r>
      <w:r w:rsidR="00D01A4C" w:rsidRPr="002D675B">
        <w:t>6</w:t>
      </w:r>
      <w:r w:rsidR="005839DA">
        <w:t>.</w:t>
      </w:r>
      <w:r w:rsidRPr="002D675B">
        <w:t xml:space="preserve"> </w:t>
      </w:r>
      <w:r w:rsidR="00C55BFE" w:rsidRPr="002D675B">
        <w:t>Przegląd</w:t>
      </w:r>
      <w:r w:rsidR="00C55BFE" w:rsidRPr="009576D8">
        <w:t xml:space="preserve"> w sektorach </w:t>
      </w:r>
      <w:r w:rsidR="00C57BFD" w:rsidRPr="009576D8">
        <w:t xml:space="preserve">i </w:t>
      </w:r>
      <w:bookmarkStart w:id="79" w:name="_Hlk214741671"/>
      <w:r w:rsidR="00093F63" w:rsidRPr="009576D8">
        <w:t>testy prawa w rzeczywistości</w:t>
      </w:r>
      <w:r w:rsidR="006147D4">
        <w:t xml:space="preserve"> </w:t>
      </w:r>
      <w:r w:rsidR="006147D4" w:rsidRPr="006147D4">
        <w:t>z</w:t>
      </w:r>
      <w:r w:rsidR="006147D4">
        <w:t> </w:t>
      </w:r>
      <w:r w:rsidR="006147D4" w:rsidRPr="006147D4">
        <w:t>inicjatywy własnej resortów</w:t>
      </w:r>
      <w:bookmarkEnd w:id="77"/>
      <w:bookmarkEnd w:id="78"/>
    </w:p>
    <w:bookmarkEnd w:id="79"/>
    <w:p w14:paraId="2263E2EC" w14:textId="5AA3C874" w:rsidR="00093F63" w:rsidRPr="009576D8" w:rsidRDefault="00CF73A2"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Doświadczenia międzynarodowe</w:t>
      </w:r>
      <w:r w:rsidR="00B45530" w:rsidRPr="009576D8">
        <w:rPr>
          <w:rStyle w:val="Odwoanieprzypisudolnego"/>
          <w:rFonts w:eastAsia="Calibri" w:cs="Calibri"/>
          <w:kern w:val="0"/>
          <w:sz w:val="24"/>
          <w:szCs w:val="24"/>
          <w14:ligatures w14:val="none"/>
        </w:rPr>
        <w:footnoteReference w:id="67"/>
      </w:r>
      <w:r w:rsidRPr="009576D8">
        <w:rPr>
          <w:rFonts w:eastAsia="Calibri" w:cs="Calibri"/>
          <w:kern w:val="0"/>
          <w:sz w:val="24"/>
          <w:szCs w:val="24"/>
          <w14:ligatures w14:val="none"/>
        </w:rPr>
        <w:t xml:space="preserve"> pokazują</w:t>
      </w:r>
      <w:r w:rsidR="00093F63" w:rsidRPr="009576D8">
        <w:rPr>
          <w:rFonts w:eastAsia="Calibri" w:cs="Calibri"/>
          <w:kern w:val="0"/>
          <w:sz w:val="24"/>
          <w:szCs w:val="24"/>
          <w14:ligatures w14:val="none"/>
        </w:rPr>
        <w:t>,</w:t>
      </w:r>
      <w:r w:rsidRPr="009576D8">
        <w:rPr>
          <w:rFonts w:eastAsia="Calibri" w:cs="Calibri"/>
          <w:kern w:val="0"/>
          <w:sz w:val="24"/>
          <w:szCs w:val="24"/>
          <w14:ligatures w14:val="none"/>
        </w:rPr>
        <w:t xml:space="preserve"> że przeglądy w danych </w:t>
      </w:r>
      <w:r w:rsidR="00BE2445" w:rsidRPr="009576D8">
        <w:rPr>
          <w:rFonts w:eastAsia="Calibri" w:cs="Calibri"/>
          <w:kern w:val="0"/>
          <w:sz w:val="24"/>
          <w:szCs w:val="24"/>
          <w14:ligatures w14:val="none"/>
        </w:rPr>
        <w:t>sektorach</w:t>
      </w:r>
      <w:r w:rsidRPr="009576D8">
        <w:rPr>
          <w:rFonts w:eastAsia="Calibri" w:cs="Calibri"/>
          <w:kern w:val="0"/>
          <w:sz w:val="24"/>
          <w:szCs w:val="24"/>
          <w14:ligatures w14:val="none"/>
        </w:rPr>
        <w:t xml:space="preserve"> gospodarki poz</w:t>
      </w:r>
      <w:r w:rsidR="00BE2445" w:rsidRPr="009576D8">
        <w:rPr>
          <w:rFonts w:eastAsia="Calibri" w:cs="Calibri"/>
          <w:kern w:val="0"/>
          <w:sz w:val="24"/>
          <w:szCs w:val="24"/>
          <w14:ligatures w14:val="none"/>
        </w:rPr>
        <w:t xml:space="preserve">walają </w:t>
      </w:r>
      <w:r w:rsidR="00B45530" w:rsidRPr="009576D8">
        <w:rPr>
          <w:rFonts w:eastAsia="Calibri" w:cs="Calibri"/>
          <w:kern w:val="0"/>
          <w:sz w:val="24"/>
          <w:szCs w:val="24"/>
          <w14:ligatures w14:val="none"/>
        </w:rPr>
        <w:t xml:space="preserve">na szerszą i </w:t>
      </w:r>
      <w:r w:rsidR="00BE2445" w:rsidRPr="009576D8">
        <w:rPr>
          <w:rFonts w:eastAsia="Calibri" w:cs="Calibri"/>
          <w:kern w:val="0"/>
          <w:sz w:val="24"/>
          <w:szCs w:val="24"/>
          <w14:ligatures w14:val="none"/>
        </w:rPr>
        <w:t>przekrojow</w:t>
      </w:r>
      <w:r w:rsidR="00B45530" w:rsidRPr="009576D8">
        <w:rPr>
          <w:rFonts w:eastAsia="Calibri" w:cs="Calibri"/>
          <w:kern w:val="0"/>
          <w:sz w:val="24"/>
          <w:szCs w:val="24"/>
          <w14:ligatures w14:val="none"/>
        </w:rPr>
        <w:t>ą</w:t>
      </w:r>
      <w:r w:rsidR="00BE2445" w:rsidRPr="009576D8">
        <w:rPr>
          <w:rFonts w:eastAsia="Calibri" w:cs="Calibri"/>
          <w:kern w:val="0"/>
          <w:sz w:val="24"/>
          <w:szCs w:val="24"/>
          <w14:ligatures w14:val="none"/>
        </w:rPr>
        <w:t xml:space="preserve"> ocen</w:t>
      </w:r>
      <w:r w:rsidR="00093F63" w:rsidRPr="009576D8">
        <w:rPr>
          <w:rFonts w:eastAsia="Calibri" w:cs="Calibri"/>
          <w:kern w:val="0"/>
          <w:sz w:val="24"/>
          <w:szCs w:val="24"/>
          <w14:ligatures w14:val="none"/>
        </w:rPr>
        <w:t>ę całego</w:t>
      </w:r>
      <w:r w:rsidR="00BE2445" w:rsidRPr="009576D8">
        <w:rPr>
          <w:rFonts w:eastAsia="Calibri" w:cs="Calibri"/>
          <w:kern w:val="0"/>
          <w:sz w:val="24"/>
          <w:szCs w:val="24"/>
          <w14:ligatures w14:val="none"/>
        </w:rPr>
        <w:t xml:space="preserve"> zestawu przepisów</w:t>
      </w:r>
      <w:r w:rsidR="00093F63" w:rsidRPr="009576D8">
        <w:rPr>
          <w:rFonts w:eastAsia="Calibri" w:cs="Calibri"/>
          <w:kern w:val="0"/>
          <w:sz w:val="24"/>
          <w:szCs w:val="24"/>
          <w14:ligatures w14:val="none"/>
        </w:rPr>
        <w:t>. Jej</w:t>
      </w:r>
      <w:r w:rsidR="00C819B1">
        <w:rPr>
          <w:rFonts w:eastAsia="Calibri" w:cs="Calibri"/>
          <w:kern w:val="0"/>
          <w:sz w:val="24"/>
          <w:szCs w:val="24"/>
          <w14:ligatures w14:val="none"/>
        </w:rPr>
        <w:t> </w:t>
      </w:r>
      <w:r w:rsidR="00093F63" w:rsidRPr="009576D8">
        <w:rPr>
          <w:rFonts w:eastAsia="Calibri" w:cs="Calibri"/>
          <w:kern w:val="0"/>
          <w:sz w:val="24"/>
          <w:szCs w:val="24"/>
          <w14:ligatures w14:val="none"/>
        </w:rPr>
        <w:t>c</w:t>
      </w:r>
      <w:r w:rsidR="00BE2445" w:rsidRPr="009576D8">
        <w:rPr>
          <w:rFonts w:eastAsia="Calibri" w:cs="Calibri"/>
          <w:kern w:val="0"/>
          <w:sz w:val="24"/>
          <w:szCs w:val="24"/>
          <w14:ligatures w14:val="none"/>
        </w:rPr>
        <w:t xml:space="preserve">elem </w:t>
      </w:r>
      <w:r w:rsidR="00093F63" w:rsidRPr="009576D8">
        <w:rPr>
          <w:rFonts w:eastAsia="Calibri" w:cs="Calibri"/>
          <w:kern w:val="0"/>
          <w:sz w:val="24"/>
          <w:szCs w:val="24"/>
          <w14:ligatures w14:val="none"/>
        </w:rPr>
        <w:t>j</w:t>
      </w:r>
      <w:r w:rsidR="00BE2445" w:rsidRPr="009576D8">
        <w:rPr>
          <w:rFonts w:eastAsia="Calibri" w:cs="Calibri"/>
          <w:kern w:val="0"/>
          <w:sz w:val="24"/>
          <w:szCs w:val="24"/>
          <w14:ligatures w14:val="none"/>
        </w:rPr>
        <w:t xml:space="preserve">est sprawdzenie, czy cały system regulacyjny jest </w:t>
      </w:r>
      <w:r w:rsidR="00093F63" w:rsidRPr="009576D8">
        <w:rPr>
          <w:rFonts w:eastAsia="Calibri" w:cs="Calibri"/>
          <w:kern w:val="0"/>
          <w:sz w:val="24"/>
          <w:szCs w:val="24"/>
          <w14:ligatures w14:val="none"/>
        </w:rPr>
        <w:t xml:space="preserve">aktualny, </w:t>
      </w:r>
      <w:r w:rsidR="00BE2445" w:rsidRPr="009576D8">
        <w:rPr>
          <w:rFonts w:eastAsia="Calibri" w:cs="Calibri"/>
          <w:kern w:val="0"/>
          <w:sz w:val="24"/>
          <w:szCs w:val="24"/>
          <w14:ligatures w14:val="none"/>
        </w:rPr>
        <w:t>spójny, działa efektywnie jako całość</w:t>
      </w:r>
      <w:r w:rsidR="00093F63" w:rsidRPr="009576D8">
        <w:rPr>
          <w:rFonts w:eastAsia="Calibri" w:cs="Calibri"/>
          <w:kern w:val="0"/>
          <w:sz w:val="24"/>
          <w:szCs w:val="24"/>
          <w14:ligatures w14:val="none"/>
        </w:rPr>
        <w:t xml:space="preserve"> i </w:t>
      </w:r>
      <w:r w:rsidR="00BE2445" w:rsidRPr="009576D8">
        <w:rPr>
          <w:rFonts w:eastAsia="Calibri" w:cs="Calibri"/>
          <w:kern w:val="0"/>
          <w:sz w:val="24"/>
          <w:szCs w:val="24"/>
          <w14:ligatures w14:val="none"/>
        </w:rPr>
        <w:t>nie generuje niepotrzebnych obciążeń</w:t>
      </w:r>
      <w:r w:rsidR="00093F63" w:rsidRPr="009576D8">
        <w:rPr>
          <w:rFonts w:eastAsia="Calibri" w:cs="Calibri"/>
          <w:kern w:val="0"/>
          <w:sz w:val="24"/>
          <w:szCs w:val="24"/>
          <w14:ligatures w14:val="none"/>
        </w:rPr>
        <w:t xml:space="preserve">. Taka forma ewaluacji </w:t>
      </w:r>
      <w:r w:rsidR="00C57BFD" w:rsidRPr="009576D8">
        <w:rPr>
          <w:rFonts w:eastAsia="Calibri" w:cs="Calibri"/>
          <w:kern w:val="0"/>
          <w:sz w:val="24"/>
          <w:szCs w:val="24"/>
          <w14:ligatures w14:val="none"/>
        </w:rPr>
        <w:t xml:space="preserve">powinna w szczególny sposób zaangażować </w:t>
      </w:r>
      <w:r w:rsidR="00093F63" w:rsidRPr="009576D8">
        <w:rPr>
          <w:rFonts w:eastAsia="Calibri" w:cs="Calibri"/>
          <w:kern w:val="0"/>
          <w:sz w:val="24"/>
          <w:szCs w:val="24"/>
          <w14:ligatures w14:val="none"/>
        </w:rPr>
        <w:t>podmioty danego sektora</w:t>
      </w:r>
      <w:r w:rsidR="00C57BFD" w:rsidRPr="009576D8">
        <w:rPr>
          <w:rFonts w:eastAsia="Calibri" w:cs="Calibri"/>
          <w:kern w:val="0"/>
          <w:sz w:val="24"/>
          <w:szCs w:val="24"/>
          <w14:ligatures w14:val="none"/>
        </w:rPr>
        <w:t>. Wspóln</w:t>
      </w:r>
      <w:r w:rsidR="00093F63" w:rsidRPr="009576D8">
        <w:rPr>
          <w:rFonts w:eastAsia="Calibri" w:cs="Calibri"/>
          <w:kern w:val="0"/>
          <w:sz w:val="24"/>
          <w:szCs w:val="24"/>
          <w14:ligatures w14:val="none"/>
        </w:rPr>
        <w:t>y</w:t>
      </w:r>
      <w:r w:rsidR="00C57BFD" w:rsidRPr="009576D8">
        <w:rPr>
          <w:rFonts w:eastAsia="Calibri" w:cs="Calibri"/>
          <w:kern w:val="0"/>
          <w:sz w:val="24"/>
          <w:szCs w:val="24"/>
          <w14:ligatures w14:val="none"/>
        </w:rPr>
        <w:t xml:space="preserve"> </w:t>
      </w:r>
      <w:r w:rsidR="00093F63" w:rsidRPr="009576D8">
        <w:rPr>
          <w:rFonts w:eastAsia="Calibri" w:cs="Calibri"/>
          <w:kern w:val="0"/>
          <w:sz w:val="24"/>
          <w:szCs w:val="24"/>
          <w14:ligatures w14:val="none"/>
        </w:rPr>
        <w:t>test prawa w rzeczywistości</w:t>
      </w:r>
      <w:r w:rsidR="00C57BFD" w:rsidRPr="009576D8">
        <w:rPr>
          <w:rFonts w:eastAsia="Calibri" w:cs="Calibri"/>
          <w:kern w:val="0"/>
          <w:sz w:val="24"/>
          <w:szCs w:val="24"/>
          <w14:ligatures w14:val="none"/>
        </w:rPr>
        <w:t xml:space="preserve"> </w:t>
      </w:r>
      <w:r w:rsidR="00093F63" w:rsidRPr="009576D8">
        <w:rPr>
          <w:rFonts w:eastAsia="Calibri" w:cs="Calibri"/>
          <w:kern w:val="0"/>
          <w:sz w:val="24"/>
          <w:szCs w:val="24"/>
          <w14:ligatures w14:val="none"/>
        </w:rPr>
        <w:t>przedsiębiorców</w:t>
      </w:r>
      <w:r w:rsidR="00C57BFD" w:rsidRPr="009576D8">
        <w:rPr>
          <w:rFonts w:eastAsia="Calibri" w:cs="Calibri"/>
          <w:kern w:val="0"/>
          <w:sz w:val="24"/>
          <w:szCs w:val="24"/>
          <w14:ligatures w14:val="none"/>
        </w:rPr>
        <w:t xml:space="preserve"> </w:t>
      </w:r>
      <w:r w:rsidR="00093F63" w:rsidRPr="009576D8">
        <w:rPr>
          <w:rFonts w:eastAsia="Calibri" w:cs="Calibri"/>
          <w:kern w:val="0"/>
          <w:sz w:val="24"/>
          <w:szCs w:val="24"/>
          <w14:ligatures w14:val="none"/>
        </w:rPr>
        <w:t xml:space="preserve">pozwala </w:t>
      </w:r>
      <w:r w:rsidR="00C57BFD" w:rsidRPr="009576D8">
        <w:rPr>
          <w:rFonts w:eastAsia="Calibri" w:cs="Calibri"/>
          <w:kern w:val="0"/>
          <w:sz w:val="24"/>
          <w:szCs w:val="24"/>
          <w14:ligatures w14:val="none"/>
        </w:rPr>
        <w:t xml:space="preserve">wykryć realne problemy wynikające </w:t>
      </w:r>
      <w:r w:rsidR="005F5163" w:rsidRPr="009576D8">
        <w:rPr>
          <w:rFonts w:eastAsia="Calibri" w:cs="Calibri"/>
          <w:kern w:val="0"/>
          <w:sz w:val="24"/>
          <w:szCs w:val="24"/>
          <w14:ligatures w14:val="none"/>
        </w:rPr>
        <w:t>z</w:t>
      </w:r>
      <w:r w:rsidR="005F5163">
        <w:rPr>
          <w:rFonts w:eastAsia="Calibri" w:cs="Calibri"/>
          <w:kern w:val="0"/>
          <w:sz w:val="24"/>
          <w:szCs w:val="24"/>
          <w14:ligatures w14:val="none"/>
        </w:rPr>
        <w:t> </w:t>
      </w:r>
      <w:r w:rsidR="00C57BFD" w:rsidRPr="009576D8">
        <w:rPr>
          <w:rFonts w:eastAsia="Calibri" w:cs="Calibri"/>
          <w:kern w:val="0"/>
          <w:sz w:val="24"/>
          <w:szCs w:val="24"/>
          <w14:ligatures w14:val="none"/>
        </w:rPr>
        <w:t>treści przepisów (np. zwłaszcza w ocenie MŚP</w:t>
      </w:r>
      <w:r w:rsidR="008E0DE7">
        <w:rPr>
          <w:rFonts w:eastAsia="Calibri" w:cs="Calibri"/>
          <w:kern w:val="0"/>
          <w:sz w:val="24"/>
          <w:szCs w:val="24"/>
          <w14:ligatures w14:val="none"/>
        </w:rPr>
        <w:t>)</w:t>
      </w:r>
      <w:r w:rsidR="003E479E" w:rsidRPr="009576D8">
        <w:rPr>
          <w:rStyle w:val="Odwoanieprzypisudolnego"/>
          <w:rFonts w:eastAsia="Calibri" w:cs="Calibri"/>
          <w:kern w:val="0"/>
          <w:sz w:val="24"/>
          <w:szCs w:val="24"/>
          <w14:ligatures w14:val="none"/>
        </w:rPr>
        <w:footnoteReference w:id="68"/>
      </w:r>
      <w:r w:rsidR="003761C9" w:rsidRPr="009576D8">
        <w:rPr>
          <w:rFonts w:eastAsia="Calibri" w:cs="Calibri"/>
          <w:kern w:val="0"/>
          <w:sz w:val="24"/>
          <w:szCs w:val="24"/>
          <w14:ligatures w14:val="none"/>
        </w:rPr>
        <w:t>.</w:t>
      </w:r>
    </w:p>
    <w:p w14:paraId="7DC30798" w14:textId="3E864D7C" w:rsidR="005F2865" w:rsidRPr="009576D8" w:rsidRDefault="005F2865"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Przeglądy w danych obszarach i ob</w:t>
      </w:r>
      <w:r w:rsidR="008E0DE7">
        <w:rPr>
          <w:rFonts w:eastAsia="Calibri" w:cs="Calibri"/>
          <w:kern w:val="0"/>
          <w:sz w:val="24"/>
          <w:szCs w:val="24"/>
          <w14:ligatures w14:val="none"/>
        </w:rPr>
        <w:t>o</w:t>
      </w:r>
      <w:r w:rsidRPr="009576D8">
        <w:rPr>
          <w:rFonts w:eastAsia="Calibri" w:cs="Calibri"/>
          <w:kern w:val="0"/>
          <w:sz w:val="24"/>
          <w:szCs w:val="24"/>
          <w14:ligatures w14:val="none"/>
        </w:rPr>
        <w:t>wiązujących przepisach można przeprowadzić ze</w:t>
      </w:r>
      <w:r w:rsidR="00C819B1">
        <w:rPr>
          <w:rFonts w:eastAsia="Calibri" w:cs="Calibri"/>
          <w:kern w:val="0"/>
          <w:sz w:val="24"/>
          <w:szCs w:val="24"/>
          <w14:ligatures w14:val="none"/>
        </w:rPr>
        <w:t> </w:t>
      </w:r>
      <w:r w:rsidRPr="009576D8">
        <w:rPr>
          <w:rFonts w:eastAsia="Calibri" w:cs="Calibri"/>
          <w:kern w:val="0"/>
          <w:sz w:val="24"/>
          <w:szCs w:val="24"/>
          <w14:ligatures w14:val="none"/>
        </w:rPr>
        <w:t>względu na pojawiającą się potrzebę ad hoc. Najczęściej jednak ewaluacja jest zaplanowana w OSR lub wynika z zawartych w przepisach aktu prawnego klauz</w:t>
      </w:r>
      <w:r w:rsidR="008E0DE7">
        <w:rPr>
          <w:rFonts w:eastAsia="Calibri" w:cs="Calibri"/>
          <w:kern w:val="0"/>
          <w:sz w:val="24"/>
          <w:szCs w:val="24"/>
          <w14:ligatures w14:val="none"/>
        </w:rPr>
        <w:t>ul</w:t>
      </w:r>
      <w:r w:rsidRPr="009576D8">
        <w:rPr>
          <w:rFonts w:eastAsia="Calibri" w:cs="Calibri"/>
          <w:kern w:val="0"/>
          <w:sz w:val="24"/>
          <w:szCs w:val="24"/>
          <w14:ligatures w14:val="none"/>
        </w:rPr>
        <w:t xml:space="preserve">ach przeglądowych. </w:t>
      </w:r>
    </w:p>
    <w:p w14:paraId="11527BCA" w14:textId="53194B8A" w:rsidR="006552EE" w:rsidRPr="009576D8" w:rsidRDefault="003761C9"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 xml:space="preserve">Wśród zgłoszonych </w:t>
      </w:r>
      <w:r w:rsidR="006552EE" w:rsidRPr="009576D8">
        <w:rPr>
          <w:rFonts w:eastAsia="Calibri" w:cs="Calibri"/>
          <w:kern w:val="0"/>
          <w:sz w:val="24"/>
          <w:szCs w:val="24"/>
          <w14:ligatures w14:val="none"/>
        </w:rPr>
        <w:t>kompleksowy</w:t>
      </w:r>
      <w:r w:rsidRPr="009576D8">
        <w:rPr>
          <w:rFonts w:eastAsia="Calibri" w:cs="Calibri"/>
          <w:kern w:val="0"/>
          <w:sz w:val="24"/>
          <w:szCs w:val="24"/>
          <w14:ligatures w14:val="none"/>
        </w:rPr>
        <w:t>ch</w:t>
      </w:r>
      <w:r w:rsidR="006552EE" w:rsidRPr="009576D8">
        <w:rPr>
          <w:rFonts w:eastAsia="Calibri" w:cs="Calibri"/>
          <w:kern w:val="0"/>
          <w:sz w:val="24"/>
          <w:szCs w:val="24"/>
          <w14:ligatures w14:val="none"/>
        </w:rPr>
        <w:t xml:space="preserve"> przegląd</w:t>
      </w:r>
      <w:r w:rsidRPr="009576D8">
        <w:rPr>
          <w:rFonts w:eastAsia="Calibri" w:cs="Calibri"/>
          <w:kern w:val="0"/>
          <w:sz w:val="24"/>
          <w:szCs w:val="24"/>
          <w14:ligatures w14:val="none"/>
        </w:rPr>
        <w:t>ów</w:t>
      </w:r>
      <w:r w:rsidR="006552EE" w:rsidRPr="009576D8">
        <w:rPr>
          <w:rFonts w:eastAsia="Calibri" w:cs="Calibri"/>
          <w:kern w:val="0"/>
          <w:sz w:val="24"/>
          <w:szCs w:val="24"/>
          <w14:ligatures w14:val="none"/>
        </w:rPr>
        <w:t xml:space="preserve"> przepisów</w:t>
      </w:r>
      <w:r w:rsidRPr="009576D8">
        <w:rPr>
          <w:rFonts w:eastAsia="Calibri" w:cs="Calibri"/>
          <w:kern w:val="0"/>
          <w:sz w:val="24"/>
          <w:szCs w:val="24"/>
          <w14:ligatures w14:val="none"/>
        </w:rPr>
        <w:t xml:space="preserve"> znalazł się przegląd regulacji dotyczący </w:t>
      </w:r>
      <w:r w:rsidR="006552EE" w:rsidRPr="009576D8">
        <w:rPr>
          <w:rFonts w:eastAsia="Calibri" w:cs="Calibri"/>
          <w:kern w:val="0"/>
          <w:sz w:val="24"/>
          <w:szCs w:val="24"/>
          <w14:ligatures w14:val="none"/>
        </w:rPr>
        <w:t>udział</w:t>
      </w:r>
      <w:r w:rsidRPr="009576D8">
        <w:rPr>
          <w:rFonts w:eastAsia="Calibri" w:cs="Calibri"/>
          <w:kern w:val="0"/>
          <w:sz w:val="24"/>
          <w:szCs w:val="24"/>
          <w14:ligatures w14:val="none"/>
        </w:rPr>
        <w:t>u polskich</w:t>
      </w:r>
      <w:r w:rsidR="006552EE" w:rsidRPr="009576D8">
        <w:rPr>
          <w:rFonts w:eastAsia="Calibri" w:cs="Calibri"/>
          <w:kern w:val="0"/>
          <w:sz w:val="24"/>
          <w:szCs w:val="24"/>
          <w14:ligatures w14:val="none"/>
        </w:rPr>
        <w:t xml:space="preserve"> przedsiębiorców w programach unijnych w sektorze obronnym</w:t>
      </w:r>
      <w:r w:rsidR="00CC4215" w:rsidRPr="009576D8">
        <w:rPr>
          <w:rFonts w:eastAsia="Calibri" w:cs="Calibri"/>
          <w:kern w:val="0"/>
          <w:sz w:val="24"/>
          <w:szCs w:val="24"/>
          <w14:ligatures w14:val="none"/>
        </w:rPr>
        <w:t xml:space="preserve">. </w:t>
      </w:r>
      <w:r w:rsidRPr="009576D8">
        <w:rPr>
          <w:rFonts w:eastAsia="Calibri" w:cs="Calibri"/>
          <w:kern w:val="0"/>
          <w:sz w:val="24"/>
          <w:szCs w:val="24"/>
          <w14:ligatures w14:val="none"/>
        </w:rPr>
        <w:t>Jego celem</w:t>
      </w:r>
      <w:r w:rsidR="00CC4215" w:rsidRPr="009576D8">
        <w:rPr>
          <w:rFonts w:eastAsia="Calibri" w:cs="Calibri"/>
          <w:kern w:val="0"/>
          <w:sz w:val="24"/>
          <w:szCs w:val="24"/>
          <w14:ligatures w14:val="none"/>
        </w:rPr>
        <w:t xml:space="preserve"> jest</w:t>
      </w:r>
      <w:r w:rsidR="006552EE" w:rsidRPr="009576D8">
        <w:rPr>
          <w:rFonts w:eastAsia="Calibri" w:cs="Calibri"/>
          <w:kern w:val="0"/>
          <w:sz w:val="24"/>
          <w:szCs w:val="24"/>
          <w14:ligatures w14:val="none"/>
        </w:rPr>
        <w:t xml:space="preserve"> identyfikacj</w:t>
      </w:r>
      <w:r w:rsidR="00CC4215" w:rsidRPr="009576D8">
        <w:rPr>
          <w:rFonts w:eastAsia="Calibri" w:cs="Calibri"/>
          <w:kern w:val="0"/>
          <w:sz w:val="24"/>
          <w:szCs w:val="24"/>
          <w14:ligatures w14:val="none"/>
        </w:rPr>
        <w:t>a</w:t>
      </w:r>
      <w:r w:rsidR="006552EE" w:rsidRPr="009576D8">
        <w:rPr>
          <w:rFonts w:eastAsia="Calibri" w:cs="Calibri"/>
          <w:kern w:val="0"/>
          <w:sz w:val="24"/>
          <w:szCs w:val="24"/>
          <w14:ligatures w14:val="none"/>
        </w:rPr>
        <w:t xml:space="preserve"> i eliminacj</w:t>
      </w:r>
      <w:r w:rsidR="00CC4215" w:rsidRPr="009576D8">
        <w:rPr>
          <w:rFonts w:eastAsia="Calibri" w:cs="Calibri"/>
          <w:kern w:val="0"/>
          <w:sz w:val="24"/>
          <w:szCs w:val="24"/>
          <w14:ligatures w14:val="none"/>
        </w:rPr>
        <w:t>a</w:t>
      </w:r>
      <w:r w:rsidR="006552EE" w:rsidRPr="009576D8">
        <w:rPr>
          <w:rFonts w:eastAsia="Calibri" w:cs="Calibri"/>
          <w:kern w:val="0"/>
          <w:sz w:val="24"/>
          <w:szCs w:val="24"/>
          <w14:ligatures w14:val="none"/>
        </w:rPr>
        <w:t xml:space="preserve"> obowiązków wykraczających poza prawo UE, uproszczeni</w:t>
      </w:r>
      <w:r w:rsidR="00CC4215" w:rsidRPr="009576D8">
        <w:rPr>
          <w:rFonts w:eastAsia="Calibri" w:cs="Calibri"/>
          <w:kern w:val="0"/>
          <w:sz w:val="24"/>
          <w:szCs w:val="24"/>
          <w14:ligatures w14:val="none"/>
        </w:rPr>
        <w:t>e</w:t>
      </w:r>
      <w:r w:rsidR="006552EE" w:rsidRPr="009576D8">
        <w:rPr>
          <w:rFonts w:eastAsia="Calibri" w:cs="Calibri"/>
          <w:kern w:val="0"/>
          <w:sz w:val="24"/>
          <w:szCs w:val="24"/>
          <w14:ligatures w14:val="none"/>
        </w:rPr>
        <w:t xml:space="preserve"> wymogów sprawozdawczych oraz ujednoliceni</w:t>
      </w:r>
      <w:r w:rsidR="00CC4215" w:rsidRPr="009576D8">
        <w:rPr>
          <w:rFonts w:eastAsia="Calibri" w:cs="Calibri"/>
          <w:kern w:val="0"/>
          <w:sz w:val="24"/>
          <w:szCs w:val="24"/>
          <w14:ligatures w14:val="none"/>
        </w:rPr>
        <w:t>e</w:t>
      </w:r>
      <w:r w:rsidR="006552EE" w:rsidRPr="009576D8">
        <w:rPr>
          <w:rFonts w:eastAsia="Calibri" w:cs="Calibri"/>
          <w:kern w:val="0"/>
          <w:sz w:val="24"/>
          <w:szCs w:val="24"/>
          <w14:ligatures w14:val="none"/>
        </w:rPr>
        <w:t xml:space="preserve"> definicji </w:t>
      </w:r>
      <w:r w:rsidR="005F5163" w:rsidRPr="009576D8">
        <w:rPr>
          <w:rFonts w:eastAsia="Calibri" w:cs="Calibri"/>
          <w:kern w:val="0"/>
          <w:sz w:val="24"/>
          <w:szCs w:val="24"/>
          <w14:ligatures w14:val="none"/>
        </w:rPr>
        <w:t>i</w:t>
      </w:r>
      <w:r w:rsidR="005F5163">
        <w:rPr>
          <w:rFonts w:eastAsia="Calibri" w:cs="Calibri"/>
          <w:kern w:val="0"/>
          <w:sz w:val="24"/>
          <w:szCs w:val="24"/>
          <w14:ligatures w14:val="none"/>
        </w:rPr>
        <w:t> </w:t>
      </w:r>
      <w:r w:rsidR="006552EE" w:rsidRPr="009576D8">
        <w:rPr>
          <w:rFonts w:eastAsia="Calibri" w:cs="Calibri"/>
          <w:kern w:val="0"/>
          <w:sz w:val="24"/>
          <w:szCs w:val="24"/>
          <w14:ligatures w14:val="none"/>
        </w:rPr>
        <w:t>procedur, ze szczególnym uwzględnieniem sytuacji MŚP. Jednocześnie planuje się</w:t>
      </w:r>
      <w:r w:rsidR="00C819B1">
        <w:rPr>
          <w:rFonts w:eastAsia="Calibri" w:cs="Calibri"/>
          <w:kern w:val="0"/>
          <w:sz w:val="24"/>
          <w:szCs w:val="24"/>
          <w14:ligatures w14:val="none"/>
        </w:rPr>
        <w:t> </w:t>
      </w:r>
      <w:r w:rsidR="006552EE" w:rsidRPr="009576D8">
        <w:rPr>
          <w:rFonts w:eastAsia="Calibri" w:cs="Calibri"/>
          <w:kern w:val="0"/>
          <w:sz w:val="24"/>
          <w:szCs w:val="24"/>
          <w14:ligatures w14:val="none"/>
        </w:rPr>
        <w:t>rozpoczęcie dialogu z przedsiębiorcami sektora obronnego (w tym MŚP)</w:t>
      </w:r>
      <w:r w:rsidR="00CC4215" w:rsidRPr="009576D8">
        <w:rPr>
          <w:rFonts w:eastAsia="Calibri" w:cs="Calibri"/>
          <w:kern w:val="0"/>
          <w:sz w:val="24"/>
          <w:szCs w:val="24"/>
          <w14:ligatures w14:val="none"/>
        </w:rPr>
        <w:t xml:space="preserve"> </w:t>
      </w:r>
      <w:r w:rsidRPr="009576D8">
        <w:rPr>
          <w:rFonts w:eastAsia="Calibri" w:cs="Calibri"/>
          <w:kern w:val="0"/>
          <w:sz w:val="24"/>
          <w:szCs w:val="24"/>
          <w14:ligatures w14:val="none"/>
        </w:rPr>
        <w:t>w formie</w:t>
      </w:r>
      <w:r w:rsidR="00CC4215" w:rsidRPr="009576D8">
        <w:rPr>
          <w:rFonts w:eastAsia="Calibri" w:cs="Calibri"/>
          <w:kern w:val="0"/>
          <w:sz w:val="24"/>
          <w:szCs w:val="24"/>
          <w14:ligatures w14:val="none"/>
        </w:rPr>
        <w:t xml:space="preserve"> </w:t>
      </w:r>
      <w:r w:rsidRPr="009576D8">
        <w:rPr>
          <w:rFonts w:eastAsia="Calibri" w:cs="Calibri"/>
          <w:kern w:val="0"/>
          <w:sz w:val="24"/>
          <w:szCs w:val="24"/>
          <w14:ligatures w14:val="none"/>
        </w:rPr>
        <w:t>spotkań lub warsztatów</w:t>
      </w:r>
      <w:r w:rsidR="006552EE" w:rsidRPr="009576D8">
        <w:rPr>
          <w:rFonts w:eastAsia="Calibri" w:cs="Calibri"/>
          <w:kern w:val="0"/>
          <w:sz w:val="24"/>
          <w:szCs w:val="24"/>
          <w14:ligatures w14:val="none"/>
        </w:rPr>
        <w:t xml:space="preserve"> w formule stacjonarnej lub online, a także ankiety przeprowadzane w celu identyfikacji zbędnych obciążeń administracyjnych związanych z udziałem w programach UE oraz wypracowywania propozycji zmian prawa krajowego </w:t>
      </w:r>
      <w:r w:rsidR="005F5163" w:rsidRPr="009576D8">
        <w:rPr>
          <w:rFonts w:eastAsia="Calibri" w:cs="Calibri"/>
          <w:kern w:val="0"/>
          <w:sz w:val="24"/>
          <w:szCs w:val="24"/>
          <w14:ligatures w14:val="none"/>
        </w:rPr>
        <w:t>i</w:t>
      </w:r>
      <w:r w:rsidR="005F5163">
        <w:rPr>
          <w:rFonts w:eastAsia="Calibri" w:cs="Calibri"/>
          <w:kern w:val="0"/>
          <w:sz w:val="24"/>
          <w:szCs w:val="24"/>
          <w14:ligatures w14:val="none"/>
        </w:rPr>
        <w:t> </w:t>
      </w:r>
      <w:r w:rsidR="006552EE" w:rsidRPr="009576D8">
        <w:rPr>
          <w:rFonts w:eastAsia="Calibri" w:cs="Calibri"/>
          <w:kern w:val="0"/>
          <w:sz w:val="24"/>
          <w:szCs w:val="24"/>
          <w14:ligatures w14:val="none"/>
        </w:rPr>
        <w:t>unijnego (np. w zakresie sprawozdawczości, certyfikacji, dokumentacji technicznej).</w:t>
      </w:r>
    </w:p>
    <w:p w14:paraId="12125C57" w14:textId="527AD1E8" w:rsidR="00C75944" w:rsidRPr="009576D8" w:rsidRDefault="003761C9" w:rsidP="006147D4">
      <w:pPr>
        <w:spacing w:line="276" w:lineRule="auto"/>
        <w:rPr>
          <w:rFonts w:eastAsia="Calibri" w:cs="Calibri"/>
          <w:kern w:val="0"/>
          <w:sz w:val="24"/>
          <w:szCs w:val="24"/>
          <w14:ligatures w14:val="none"/>
        </w:rPr>
      </w:pPr>
      <w:r w:rsidRPr="009576D8">
        <w:rPr>
          <w:rFonts w:eastAsia="Calibri" w:cs="Calibri"/>
          <w:kern w:val="0"/>
          <w:sz w:val="24"/>
          <w:szCs w:val="24"/>
          <w14:ligatures w14:val="none"/>
        </w:rPr>
        <w:t>Zaplanowano</w:t>
      </w:r>
      <w:r w:rsidR="00C75944" w:rsidRPr="009576D8">
        <w:rPr>
          <w:rFonts w:eastAsia="Calibri" w:cs="Calibri"/>
          <w:kern w:val="0"/>
          <w:sz w:val="24"/>
          <w:szCs w:val="24"/>
          <w14:ligatures w14:val="none"/>
        </w:rPr>
        <w:t xml:space="preserve"> również przegląd koordynowany przez Międzyresortowy Zespół </w:t>
      </w:r>
      <w:r w:rsidR="00D42B5C">
        <w:rPr>
          <w:rFonts w:eastAsia="Calibri" w:cs="Calibri"/>
          <w:kern w:val="0"/>
          <w:sz w:val="24"/>
          <w:szCs w:val="24"/>
          <w14:ligatures w14:val="none"/>
        </w:rPr>
        <w:t>do spraw</w:t>
      </w:r>
      <w:r w:rsidR="00C819B1">
        <w:rPr>
          <w:rFonts w:eastAsia="Calibri" w:cs="Calibri"/>
          <w:kern w:val="0"/>
          <w:sz w:val="24"/>
          <w:szCs w:val="24"/>
          <w14:ligatures w14:val="none"/>
        </w:rPr>
        <w:t> </w:t>
      </w:r>
      <w:r w:rsidR="00C75944" w:rsidRPr="009576D8">
        <w:rPr>
          <w:rFonts w:eastAsia="Calibri" w:cs="Calibri"/>
          <w:kern w:val="0"/>
          <w:sz w:val="24"/>
          <w:szCs w:val="24"/>
          <w14:ligatures w14:val="none"/>
        </w:rPr>
        <w:t>Rozwoju Przemysłu Obronnego</w:t>
      </w:r>
      <w:r w:rsidR="00A64300" w:rsidRPr="009576D8">
        <w:rPr>
          <w:rStyle w:val="Odwoanieprzypisudolnego"/>
          <w:rFonts w:eastAsia="Calibri" w:cs="Calibri"/>
          <w:kern w:val="0"/>
          <w:sz w:val="24"/>
          <w:szCs w:val="24"/>
          <w14:ligatures w14:val="none"/>
        </w:rPr>
        <w:footnoteReference w:id="69"/>
      </w:r>
      <w:r w:rsidR="00C75944" w:rsidRPr="009576D8">
        <w:rPr>
          <w:rFonts w:eastAsia="Calibri" w:cs="Calibri"/>
          <w:kern w:val="0"/>
          <w:sz w:val="24"/>
          <w:szCs w:val="24"/>
          <w14:ligatures w14:val="none"/>
        </w:rPr>
        <w:t xml:space="preserve">. Ewaluacja będzie dotyczyła obecnie funkcjonujących uwarunkowań prawnych i faktycznych w obszarze przemysłu </w:t>
      </w:r>
      <w:r w:rsidR="00C75944" w:rsidRPr="009576D8">
        <w:rPr>
          <w:rFonts w:eastAsia="Calibri" w:cs="Calibri"/>
          <w:kern w:val="0"/>
          <w:sz w:val="24"/>
          <w:szCs w:val="24"/>
          <w14:ligatures w14:val="none"/>
        </w:rPr>
        <w:lastRenderedPageBreak/>
        <w:t xml:space="preserve">obronnego. Wyniki analizy posłużą do podjęcia działań legislacyjnych </w:t>
      </w:r>
      <w:r w:rsidRPr="009576D8">
        <w:rPr>
          <w:rFonts w:eastAsia="Calibri" w:cs="Calibri"/>
          <w:kern w:val="0"/>
          <w:sz w:val="24"/>
          <w:szCs w:val="24"/>
          <w14:ligatures w14:val="none"/>
        </w:rPr>
        <w:t>lub</w:t>
      </w:r>
      <w:r w:rsidR="00C819B1">
        <w:rPr>
          <w:rFonts w:eastAsia="Calibri" w:cs="Calibri"/>
          <w:kern w:val="0"/>
          <w:sz w:val="24"/>
          <w:szCs w:val="24"/>
          <w14:ligatures w14:val="none"/>
        </w:rPr>
        <w:t> </w:t>
      </w:r>
      <w:r w:rsidRPr="009576D8">
        <w:rPr>
          <w:rFonts w:eastAsia="Calibri" w:cs="Calibri"/>
          <w:kern w:val="0"/>
          <w:sz w:val="24"/>
          <w:szCs w:val="24"/>
          <w14:ligatures w14:val="none"/>
        </w:rPr>
        <w:t>pozalegislacyjnych.</w:t>
      </w:r>
    </w:p>
    <w:p w14:paraId="63917B42" w14:textId="6C414B88" w:rsidR="005F2865" w:rsidRPr="009576D8" w:rsidRDefault="003761C9"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Przewidziano też</w:t>
      </w:r>
      <w:r w:rsidR="00C75944" w:rsidRPr="009576D8">
        <w:rPr>
          <w:rFonts w:eastAsia="Calibri" w:cs="Calibri"/>
          <w:kern w:val="0"/>
          <w:sz w:val="24"/>
          <w:szCs w:val="24"/>
          <w14:ligatures w14:val="none"/>
        </w:rPr>
        <w:t xml:space="preserve"> kompleksową ewaluację rynku lotniczego cargo w celu identyfikacji oraz stopniowej eliminacji barier ograniczających rozwój tego rynku</w:t>
      </w:r>
      <w:r w:rsidRPr="009576D8">
        <w:rPr>
          <w:rFonts w:eastAsia="Calibri" w:cs="Calibri"/>
          <w:kern w:val="0"/>
          <w:sz w:val="24"/>
          <w:szCs w:val="24"/>
          <w14:ligatures w14:val="none"/>
        </w:rPr>
        <w:t>,</w:t>
      </w:r>
      <w:r w:rsidR="00C75944" w:rsidRPr="009576D8">
        <w:rPr>
          <w:rFonts w:eastAsia="Calibri" w:cs="Calibri"/>
          <w:kern w:val="0"/>
          <w:sz w:val="24"/>
          <w:szCs w:val="24"/>
          <w14:ligatures w14:val="none"/>
        </w:rPr>
        <w:t xml:space="preserve"> w tym barier celno-podatkowych.</w:t>
      </w:r>
      <w:r w:rsidR="007C4C03" w:rsidRPr="009576D8">
        <w:rPr>
          <w:rFonts w:eastAsia="Calibri" w:cs="Calibri"/>
          <w:kern w:val="0"/>
          <w:sz w:val="24"/>
          <w:szCs w:val="24"/>
          <w14:ligatures w14:val="none"/>
        </w:rPr>
        <w:t xml:space="preserve"> </w:t>
      </w:r>
      <w:r w:rsidRPr="009576D8">
        <w:rPr>
          <w:rFonts w:eastAsia="Calibri" w:cs="Calibri"/>
          <w:kern w:val="0"/>
          <w:sz w:val="24"/>
          <w:szCs w:val="24"/>
          <w14:ligatures w14:val="none"/>
        </w:rPr>
        <w:t>Punktem wyjścia są prace nad</w:t>
      </w:r>
      <w:r w:rsidR="00C75944" w:rsidRPr="009576D8">
        <w:rPr>
          <w:rFonts w:eastAsia="Calibri" w:cs="Calibri"/>
          <w:kern w:val="0"/>
          <w:sz w:val="24"/>
          <w:szCs w:val="24"/>
          <w14:ligatures w14:val="none"/>
        </w:rPr>
        <w:t xml:space="preserve"> aktualizacj</w:t>
      </w:r>
      <w:r w:rsidRPr="009576D8">
        <w:rPr>
          <w:rFonts w:eastAsia="Calibri" w:cs="Calibri"/>
          <w:kern w:val="0"/>
          <w:sz w:val="24"/>
          <w:szCs w:val="24"/>
          <w14:ligatures w14:val="none"/>
        </w:rPr>
        <w:t xml:space="preserve">ą </w:t>
      </w:r>
      <w:r w:rsidR="00C75944" w:rsidRPr="009576D8">
        <w:rPr>
          <w:rFonts w:eastAsia="Calibri" w:cs="Calibri"/>
          <w:kern w:val="0"/>
          <w:sz w:val="24"/>
          <w:szCs w:val="24"/>
          <w14:ligatures w14:val="none"/>
        </w:rPr>
        <w:t>dokumentu „Polityka rozwoju lotnictwa cywilnego w Polsce do 2030 r. (z perspektywą do 2040 r.)”</w:t>
      </w:r>
      <w:r w:rsidR="007C20CE" w:rsidRPr="009576D8">
        <w:rPr>
          <w:rStyle w:val="Odwoanieprzypisudolnego"/>
          <w:rFonts w:eastAsia="Calibri" w:cs="Calibri"/>
          <w:kern w:val="0"/>
          <w:sz w:val="24"/>
          <w:szCs w:val="24"/>
          <w14:ligatures w14:val="none"/>
        </w:rPr>
        <w:footnoteReference w:id="70"/>
      </w:r>
      <w:r w:rsidR="00C75944" w:rsidRPr="009576D8">
        <w:rPr>
          <w:rFonts w:eastAsia="Calibri" w:cs="Calibri"/>
          <w:kern w:val="0"/>
          <w:sz w:val="24"/>
          <w:szCs w:val="24"/>
          <w14:ligatures w14:val="none"/>
        </w:rPr>
        <w:t xml:space="preserve">. Celem jest przygotowanie oraz uzgodnienie zmian </w:t>
      </w:r>
      <w:r w:rsidR="007C4C03" w:rsidRPr="009576D8">
        <w:rPr>
          <w:rFonts w:eastAsia="Calibri" w:cs="Calibri"/>
          <w:kern w:val="0"/>
          <w:sz w:val="24"/>
          <w:szCs w:val="24"/>
          <w14:ligatures w14:val="none"/>
        </w:rPr>
        <w:t>w prawie prowadzących do</w:t>
      </w:r>
      <w:r w:rsidR="00C75944" w:rsidRPr="009576D8">
        <w:rPr>
          <w:rFonts w:eastAsia="Calibri" w:cs="Calibri"/>
          <w:kern w:val="0"/>
          <w:sz w:val="24"/>
          <w:szCs w:val="24"/>
          <w14:ligatures w14:val="none"/>
        </w:rPr>
        <w:t xml:space="preserve"> deregulacj</w:t>
      </w:r>
      <w:r w:rsidR="007C4C03" w:rsidRPr="009576D8">
        <w:rPr>
          <w:rFonts w:eastAsia="Calibri" w:cs="Calibri"/>
          <w:kern w:val="0"/>
          <w:sz w:val="24"/>
          <w:szCs w:val="24"/>
          <w14:ligatures w14:val="none"/>
        </w:rPr>
        <w:t>i</w:t>
      </w:r>
      <w:r w:rsidR="00C75944" w:rsidRPr="009576D8">
        <w:rPr>
          <w:rFonts w:eastAsia="Calibri" w:cs="Calibri"/>
          <w:kern w:val="0"/>
          <w:sz w:val="24"/>
          <w:szCs w:val="24"/>
          <w14:ligatures w14:val="none"/>
        </w:rPr>
        <w:t xml:space="preserve"> rynku lotniczego cargo. </w:t>
      </w:r>
      <w:r w:rsidRPr="009576D8">
        <w:rPr>
          <w:rFonts w:eastAsia="Calibri" w:cs="Calibri"/>
          <w:kern w:val="0"/>
          <w:sz w:val="24"/>
          <w:szCs w:val="24"/>
          <w14:ligatures w14:val="none"/>
        </w:rPr>
        <w:t>Wypracowanie rozwiązania powinny doprowadzić do</w:t>
      </w:r>
      <w:r w:rsidR="00C75944" w:rsidRPr="009576D8">
        <w:rPr>
          <w:rFonts w:eastAsia="Calibri" w:cs="Calibri"/>
          <w:kern w:val="0"/>
          <w:sz w:val="24"/>
          <w:szCs w:val="24"/>
          <w14:ligatures w14:val="none"/>
        </w:rPr>
        <w:t xml:space="preserve"> usprawnieni</w:t>
      </w:r>
      <w:r w:rsidRPr="009576D8">
        <w:rPr>
          <w:rFonts w:eastAsia="Calibri" w:cs="Calibri"/>
          <w:kern w:val="0"/>
          <w:sz w:val="24"/>
          <w:szCs w:val="24"/>
          <w14:ligatures w14:val="none"/>
        </w:rPr>
        <w:t>a</w:t>
      </w:r>
      <w:r w:rsidR="00C75944" w:rsidRPr="009576D8">
        <w:rPr>
          <w:rFonts w:eastAsia="Calibri" w:cs="Calibri"/>
          <w:kern w:val="0"/>
          <w:sz w:val="24"/>
          <w:szCs w:val="24"/>
          <w14:ligatures w14:val="none"/>
        </w:rPr>
        <w:t xml:space="preserve"> </w:t>
      </w:r>
      <w:r w:rsidR="005F5163" w:rsidRPr="009576D8">
        <w:rPr>
          <w:rFonts w:eastAsia="Calibri" w:cs="Calibri"/>
          <w:kern w:val="0"/>
          <w:sz w:val="24"/>
          <w:szCs w:val="24"/>
          <w14:ligatures w14:val="none"/>
        </w:rPr>
        <w:t>i</w:t>
      </w:r>
      <w:r w:rsidR="005F5163">
        <w:rPr>
          <w:rFonts w:eastAsia="Calibri" w:cs="Calibri"/>
          <w:kern w:val="0"/>
          <w:sz w:val="24"/>
          <w:szCs w:val="24"/>
          <w14:ligatures w14:val="none"/>
        </w:rPr>
        <w:t> </w:t>
      </w:r>
      <w:r w:rsidR="00C75944" w:rsidRPr="009576D8">
        <w:rPr>
          <w:rFonts w:eastAsia="Calibri" w:cs="Calibri"/>
          <w:kern w:val="0"/>
          <w:sz w:val="24"/>
          <w:szCs w:val="24"/>
          <w14:ligatures w14:val="none"/>
        </w:rPr>
        <w:t>ułatwieni</w:t>
      </w:r>
      <w:r w:rsidRPr="009576D8">
        <w:rPr>
          <w:rFonts w:eastAsia="Calibri" w:cs="Calibri"/>
          <w:kern w:val="0"/>
          <w:sz w:val="24"/>
          <w:szCs w:val="24"/>
          <w14:ligatures w14:val="none"/>
        </w:rPr>
        <w:t>a</w:t>
      </w:r>
      <w:r w:rsidR="00C75944" w:rsidRPr="009576D8">
        <w:rPr>
          <w:rFonts w:eastAsia="Calibri" w:cs="Calibri"/>
          <w:kern w:val="0"/>
          <w:sz w:val="24"/>
          <w:szCs w:val="24"/>
          <w14:ligatures w14:val="none"/>
        </w:rPr>
        <w:t xml:space="preserve"> procesów rynkowych oraz wzmocni</w:t>
      </w:r>
      <w:r w:rsidR="007C4C03" w:rsidRPr="009576D8">
        <w:rPr>
          <w:rFonts w:eastAsia="Calibri" w:cs="Calibri"/>
          <w:kern w:val="0"/>
          <w:sz w:val="24"/>
          <w:szCs w:val="24"/>
          <w14:ligatures w14:val="none"/>
        </w:rPr>
        <w:t>eni</w:t>
      </w:r>
      <w:r w:rsidRPr="009576D8">
        <w:rPr>
          <w:rFonts w:eastAsia="Calibri" w:cs="Calibri"/>
          <w:kern w:val="0"/>
          <w:sz w:val="24"/>
          <w:szCs w:val="24"/>
          <w14:ligatures w14:val="none"/>
        </w:rPr>
        <w:t>a</w:t>
      </w:r>
      <w:r w:rsidR="007C4C03" w:rsidRPr="009576D8">
        <w:rPr>
          <w:rFonts w:eastAsia="Calibri" w:cs="Calibri"/>
          <w:kern w:val="0"/>
          <w:sz w:val="24"/>
          <w:szCs w:val="24"/>
          <w14:ligatures w14:val="none"/>
        </w:rPr>
        <w:t xml:space="preserve"> </w:t>
      </w:r>
      <w:r w:rsidR="00C75944" w:rsidRPr="009576D8">
        <w:rPr>
          <w:rFonts w:eastAsia="Calibri" w:cs="Calibri"/>
          <w:kern w:val="0"/>
          <w:sz w:val="24"/>
          <w:szCs w:val="24"/>
          <w14:ligatures w14:val="none"/>
        </w:rPr>
        <w:t>pozycj</w:t>
      </w:r>
      <w:r w:rsidR="007C4C03" w:rsidRPr="009576D8">
        <w:rPr>
          <w:rFonts w:eastAsia="Calibri" w:cs="Calibri"/>
          <w:kern w:val="0"/>
          <w:sz w:val="24"/>
          <w:szCs w:val="24"/>
          <w14:ligatures w14:val="none"/>
        </w:rPr>
        <w:t xml:space="preserve">i </w:t>
      </w:r>
      <w:r w:rsidR="00C75944" w:rsidRPr="009576D8">
        <w:rPr>
          <w:rFonts w:eastAsia="Calibri" w:cs="Calibri"/>
          <w:kern w:val="0"/>
          <w:sz w:val="24"/>
          <w:szCs w:val="24"/>
          <w14:ligatures w14:val="none"/>
        </w:rPr>
        <w:t>konkure</w:t>
      </w:r>
      <w:r w:rsidR="007C4C03" w:rsidRPr="009576D8">
        <w:rPr>
          <w:rFonts w:eastAsia="Calibri" w:cs="Calibri"/>
          <w:kern w:val="0"/>
          <w:sz w:val="24"/>
          <w:szCs w:val="24"/>
          <w14:ligatures w14:val="none"/>
        </w:rPr>
        <w:t xml:space="preserve">ncyjnej </w:t>
      </w:r>
      <w:r w:rsidR="00C75944" w:rsidRPr="009576D8">
        <w:rPr>
          <w:rFonts w:eastAsia="Calibri" w:cs="Calibri"/>
          <w:kern w:val="0"/>
          <w:sz w:val="24"/>
          <w:szCs w:val="24"/>
          <w14:ligatures w14:val="none"/>
        </w:rPr>
        <w:t>Polski.</w:t>
      </w:r>
    </w:p>
    <w:p w14:paraId="686F955B" w14:textId="0814F63F" w:rsidR="00931822" w:rsidRPr="009576D8" w:rsidRDefault="005F2865"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Minister właściwy do spraw gospodarki planuje</w:t>
      </w:r>
      <w:r w:rsidR="008E0DE7">
        <w:rPr>
          <w:rFonts w:eastAsia="Calibri" w:cs="Calibri"/>
          <w:kern w:val="0"/>
          <w:sz w:val="24"/>
          <w:szCs w:val="24"/>
          <w14:ligatures w14:val="none"/>
        </w:rPr>
        <w:t xml:space="preserve"> w 2026 r.</w:t>
      </w:r>
      <w:r w:rsidRPr="009576D8">
        <w:rPr>
          <w:rFonts w:eastAsia="Calibri" w:cs="Calibri"/>
          <w:kern w:val="0"/>
          <w:sz w:val="24"/>
          <w:szCs w:val="24"/>
          <w14:ligatures w14:val="none"/>
        </w:rPr>
        <w:t>, zgodnie z zawartą w ustawie klauzulą</w:t>
      </w:r>
      <w:r w:rsidR="008E0DE7">
        <w:rPr>
          <w:rFonts w:eastAsia="Calibri" w:cs="Calibri"/>
          <w:kern w:val="0"/>
          <w:sz w:val="24"/>
          <w:szCs w:val="24"/>
          <w14:ligatures w14:val="none"/>
        </w:rPr>
        <w:t xml:space="preserve"> przeglądową</w:t>
      </w:r>
      <w:r w:rsidR="00774BFD">
        <w:rPr>
          <w:rStyle w:val="Odwoanieprzypisudolnego"/>
          <w:rFonts w:eastAsia="Calibri" w:cs="Calibri"/>
          <w:kern w:val="0"/>
          <w:sz w:val="24"/>
          <w:szCs w:val="24"/>
          <w14:ligatures w14:val="none"/>
        </w:rPr>
        <w:footnoteReference w:id="71"/>
      </w:r>
      <w:r w:rsidR="008E0DE7">
        <w:rPr>
          <w:rFonts w:eastAsia="Calibri" w:cs="Calibri"/>
          <w:kern w:val="0"/>
          <w:sz w:val="24"/>
          <w:szCs w:val="24"/>
          <w14:ligatures w14:val="none"/>
        </w:rPr>
        <w:t>,</w:t>
      </w:r>
      <w:r w:rsidRPr="009576D8">
        <w:rPr>
          <w:rFonts w:eastAsia="Calibri" w:cs="Calibri"/>
          <w:kern w:val="0"/>
          <w:sz w:val="24"/>
          <w:szCs w:val="24"/>
          <w14:ligatures w14:val="none"/>
        </w:rPr>
        <w:t xml:space="preserve"> opracowanie przeglądu funkcjonowania przepisów ustawy </w:t>
      </w:r>
      <w:r w:rsidR="005F5163" w:rsidRPr="009576D8">
        <w:rPr>
          <w:rFonts w:eastAsia="Calibri" w:cs="Calibri"/>
          <w:kern w:val="0"/>
          <w:sz w:val="24"/>
          <w:szCs w:val="24"/>
          <w14:ligatures w14:val="none"/>
        </w:rPr>
        <w:t>o</w:t>
      </w:r>
      <w:r w:rsidR="005F5163">
        <w:rPr>
          <w:rFonts w:eastAsia="Calibri" w:cs="Calibri"/>
          <w:kern w:val="0"/>
          <w:sz w:val="24"/>
          <w:szCs w:val="24"/>
          <w14:ligatures w14:val="none"/>
        </w:rPr>
        <w:t> </w:t>
      </w:r>
      <w:r w:rsidRPr="009576D8">
        <w:rPr>
          <w:rFonts w:eastAsia="Calibri" w:cs="Calibri"/>
          <w:kern w:val="0"/>
          <w:sz w:val="24"/>
          <w:szCs w:val="24"/>
          <w14:ligatures w14:val="none"/>
        </w:rPr>
        <w:t>fundacji rodzinnej. Rada Ministrów przedłoży Sejmowi i Senatowi raport o skutkach obowiązywania ustawy i propozycjach jej zmian</w:t>
      </w:r>
      <w:r w:rsidR="006542A6" w:rsidRPr="009576D8">
        <w:rPr>
          <w:rFonts w:eastAsia="Calibri" w:cs="Calibri"/>
          <w:kern w:val="0"/>
          <w:sz w:val="24"/>
          <w:szCs w:val="24"/>
          <w14:ligatures w14:val="none"/>
        </w:rPr>
        <w:t>.</w:t>
      </w:r>
    </w:p>
    <w:p w14:paraId="76E5C194" w14:textId="0432645D"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Prz</w:t>
      </w:r>
      <w:r w:rsidR="008E0DE7">
        <w:rPr>
          <w:i/>
          <w:iCs/>
          <w:sz w:val="24"/>
          <w:szCs w:val="24"/>
        </w:rPr>
        <w:t>eprowadzenie</w:t>
      </w:r>
      <w:r w:rsidRPr="009576D8">
        <w:rPr>
          <w:i/>
          <w:iCs/>
          <w:sz w:val="24"/>
          <w:szCs w:val="24"/>
        </w:rPr>
        <w:t xml:space="preserve"> co najmniej </w:t>
      </w:r>
      <w:r w:rsidR="00C57BFD" w:rsidRPr="009576D8">
        <w:rPr>
          <w:i/>
          <w:iCs/>
          <w:sz w:val="24"/>
          <w:szCs w:val="24"/>
        </w:rPr>
        <w:t xml:space="preserve">2 </w:t>
      </w:r>
      <w:r w:rsidR="008E0DE7">
        <w:rPr>
          <w:i/>
          <w:iCs/>
          <w:sz w:val="24"/>
          <w:szCs w:val="24"/>
        </w:rPr>
        <w:t>przeglądów</w:t>
      </w:r>
      <w:r w:rsidR="00C57BFD" w:rsidRPr="009576D8">
        <w:rPr>
          <w:i/>
          <w:iCs/>
          <w:sz w:val="24"/>
          <w:szCs w:val="24"/>
        </w:rPr>
        <w:t xml:space="preserve"> obszarów prawa gospodarczego</w:t>
      </w:r>
      <w:r w:rsidR="00C57BFD" w:rsidRPr="009576D8">
        <w:rPr>
          <w:b/>
          <w:bCs/>
          <w:i/>
          <w:iCs/>
          <w:sz w:val="24"/>
          <w:szCs w:val="24"/>
        </w:rPr>
        <w:t xml:space="preserve"> </w:t>
      </w:r>
    </w:p>
    <w:p w14:paraId="024E9058" w14:textId="1C40FDC8" w:rsidR="0006278A"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właściwi ministrowie</w:t>
      </w:r>
      <w:r w:rsidRPr="009576D8">
        <w:rPr>
          <w:b/>
          <w:bCs/>
          <w:i/>
          <w:iCs/>
          <w:sz w:val="24"/>
          <w:szCs w:val="24"/>
        </w:rPr>
        <w:t xml:space="preserve"> </w:t>
      </w:r>
    </w:p>
    <w:p w14:paraId="6740475F" w14:textId="3391FAC8"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2028</w:t>
      </w:r>
    </w:p>
    <w:p w14:paraId="27FEE40D" w14:textId="15D7A6DC" w:rsidR="00C55BFE" w:rsidRPr="009576D8" w:rsidRDefault="004F7D77" w:rsidP="009576D8">
      <w:pPr>
        <w:pStyle w:val="Nagwek2"/>
      </w:pPr>
      <w:bookmarkStart w:id="80" w:name="_Toc217927160"/>
      <w:bookmarkStart w:id="81" w:name="_Toc219276880"/>
      <w:r w:rsidRPr="002D675B">
        <w:t>Działanie 1.</w:t>
      </w:r>
      <w:r w:rsidR="005F5163" w:rsidRPr="002D675B">
        <w:t>7</w:t>
      </w:r>
      <w:r w:rsidR="005839DA">
        <w:t>.</w:t>
      </w:r>
      <w:r w:rsidRPr="002D675B">
        <w:t xml:space="preserve"> Rozwój</w:t>
      </w:r>
      <w:r>
        <w:t xml:space="preserve"> n</w:t>
      </w:r>
      <w:r w:rsidR="00C55BFE" w:rsidRPr="009576D8">
        <w:t>arzędzi do monitorowania ewaluacji</w:t>
      </w:r>
      <w:bookmarkEnd w:id="80"/>
      <w:bookmarkEnd w:id="81"/>
    </w:p>
    <w:p w14:paraId="787F86B5" w14:textId="52C3303C" w:rsidR="00C55BFE" w:rsidRPr="009576D8" w:rsidRDefault="00C55BFE" w:rsidP="006147D4">
      <w:pPr>
        <w:spacing w:after="120" w:line="276" w:lineRule="auto"/>
        <w:rPr>
          <w:rFonts w:eastAsia="Calibri" w:cs="Calibri"/>
          <w:kern w:val="0"/>
          <w:sz w:val="24"/>
          <w:szCs w:val="24"/>
          <w14:ligatures w14:val="none"/>
        </w:rPr>
      </w:pPr>
      <w:r w:rsidRPr="009576D8">
        <w:rPr>
          <w:rFonts w:eastAsia="Calibri" w:cs="Calibri"/>
          <w:kern w:val="0"/>
          <w:sz w:val="24"/>
          <w:szCs w:val="24"/>
          <w14:ligatures w14:val="none"/>
        </w:rPr>
        <w:t>Transformacja cyfrowa dotyczy również procesu stanowienia prawa w Polsce. Unifikacja wykazów prac Rady Ministrów i poszczególnych ministrów pozwoli na uzupełnienie go</w:t>
      </w:r>
      <w:r w:rsidR="00C819B1">
        <w:rPr>
          <w:rFonts w:eastAsia="Calibri" w:cs="Calibri"/>
          <w:kern w:val="0"/>
          <w:sz w:val="24"/>
          <w:szCs w:val="24"/>
          <w14:ligatures w14:val="none"/>
        </w:rPr>
        <w:t> </w:t>
      </w:r>
      <w:r w:rsidR="005F5163" w:rsidRPr="009576D8">
        <w:rPr>
          <w:rFonts w:eastAsia="Calibri" w:cs="Calibri"/>
          <w:kern w:val="0"/>
          <w:sz w:val="24"/>
          <w:szCs w:val="24"/>
          <w14:ligatures w14:val="none"/>
        </w:rPr>
        <w:t>o</w:t>
      </w:r>
      <w:r w:rsidR="005F5163">
        <w:rPr>
          <w:rFonts w:eastAsia="Calibri" w:cs="Calibri"/>
          <w:kern w:val="0"/>
          <w:sz w:val="24"/>
          <w:szCs w:val="24"/>
          <w14:ligatures w14:val="none"/>
        </w:rPr>
        <w:t> </w:t>
      </w:r>
      <w:r w:rsidRPr="009576D8">
        <w:rPr>
          <w:rFonts w:eastAsia="Calibri" w:cs="Calibri"/>
          <w:kern w:val="0"/>
          <w:sz w:val="24"/>
          <w:szCs w:val="24"/>
          <w14:ligatures w14:val="none"/>
        </w:rPr>
        <w:t>listę aktów normatywnych, co do których zaplanowano ocenę funkcjonowania (w</w:t>
      </w:r>
      <w:r w:rsidR="00C819B1">
        <w:rPr>
          <w:rFonts w:eastAsia="Calibri" w:cs="Calibri"/>
          <w:kern w:val="0"/>
          <w:sz w:val="24"/>
          <w:szCs w:val="24"/>
          <w14:ligatures w14:val="none"/>
        </w:rPr>
        <w:t> </w:t>
      </w:r>
      <w:r w:rsidRPr="009576D8">
        <w:rPr>
          <w:rFonts w:eastAsia="Calibri" w:cs="Calibri"/>
          <w:kern w:val="0"/>
          <w:sz w:val="24"/>
          <w:szCs w:val="24"/>
          <w14:ligatures w14:val="none"/>
        </w:rPr>
        <w:t>treści samego aktu</w:t>
      </w:r>
      <w:r w:rsidR="006147D4">
        <w:rPr>
          <w:rFonts w:eastAsia="Calibri" w:cs="Calibri"/>
          <w:kern w:val="0"/>
          <w:sz w:val="24"/>
          <w:szCs w:val="24"/>
          <w14:ligatures w14:val="none"/>
        </w:rPr>
        <w:t xml:space="preserve">, w OSR </w:t>
      </w:r>
      <w:r w:rsidRPr="009576D8">
        <w:rPr>
          <w:rFonts w:eastAsia="Calibri" w:cs="Calibri"/>
          <w:kern w:val="0"/>
          <w:sz w:val="24"/>
          <w:szCs w:val="24"/>
          <w14:ligatures w14:val="none"/>
        </w:rPr>
        <w:t>lub ad hoc, ich całości lub części). Ponadto zarówno w systemie eRPL, jak i</w:t>
      </w:r>
      <w:r w:rsidR="006D1CF7">
        <w:rPr>
          <w:rFonts w:eastAsia="Calibri" w:cs="Calibri"/>
          <w:kern w:val="0"/>
          <w:sz w:val="24"/>
          <w:szCs w:val="24"/>
          <w14:ligatures w14:val="none"/>
        </w:rPr>
        <w:t> </w:t>
      </w:r>
      <w:r w:rsidRPr="009576D8">
        <w:rPr>
          <w:rFonts w:eastAsia="Calibri" w:cs="Calibri"/>
          <w:kern w:val="0"/>
          <w:sz w:val="24"/>
          <w:szCs w:val="24"/>
          <w14:ligatures w14:val="none"/>
        </w:rPr>
        <w:t>skorowidzu obowiązujących aktów prawnych</w:t>
      </w:r>
      <w:r w:rsidR="0022425D" w:rsidRPr="009576D8">
        <w:rPr>
          <w:rStyle w:val="Odwoanieprzypisudolnego"/>
          <w:rFonts w:eastAsia="Calibri" w:cs="Calibri"/>
          <w:kern w:val="0"/>
          <w:sz w:val="24"/>
          <w:szCs w:val="24"/>
          <w14:ligatures w14:val="none"/>
        </w:rPr>
        <w:footnoteReference w:id="72"/>
      </w:r>
      <w:r w:rsidRPr="009576D8">
        <w:rPr>
          <w:rFonts w:eastAsia="Calibri" w:cs="Calibri"/>
          <w:kern w:val="0"/>
          <w:sz w:val="24"/>
          <w:szCs w:val="24"/>
          <w14:ligatures w14:val="none"/>
        </w:rPr>
        <w:t xml:space="preserve"> widoczna będzie informacja </w:t>
      </w:r>
      <w:r w:rsidR="005F5163" w:rsidRPr="009576D8">
        <w:rPr>
          <w:rFonts w:eastAsia="Calibri" w:cs="Calibri"/>
          <w:kern w:val="0"/>
          <w:sz w:val="24"/>
          <w:szCs w:val="24"/>
          <w14:ligatures w14:val="none"/>
        </w:rPr>
        <w:t>o</w:t>
      </w:r>
      <w:r w:rsidR="005F5163">
        <w:rPr>
          <w:rFonts w:eastAsia="Calibri" w:cs="Calibri"/>
          <w:kern w:val="0"/>
          <w:sz w:val="24"/>
          <w:szCs w:val="24"/>
          <w14:ligatures w14:val="none"/>
        </w:rPr>
        <w:t> </w:t>
      </w:r>
      <w:r w:rsidRPr="009576D8">
        <w:rPr>
          <w:rFonts w:eastAsia="Calibri" w:cs="Calibri"/>
          <w:kern w:val="0"/>
          <w:sz w:val="24"/>
          <w:szCs w:val="24"/>
          <w14:ligatures w14:val="none"/>
        </w:rPr>
        <w:t>zaplanowanej lub przeprowadzonej ocenie.</w:t>
      </w:r>
    </w:p>
    <w:p w14:paraId="4F5FD29A" w14:textId="64EDEB39" w:rsidR="00C55BFE"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Wskaźnik:</w:t>
      </w:r>
      <w:r w:rsidRPr="009576D8">
        <w:rPr>
          <w:i/>
          <w:iCs/>
          <w:sz w:val="24"/>
          <w:szCs w:val="24"/>
        </w:rPr>
        <w:t xml:space="preserve"> Wdrożenie jednego cyfrowego narzędzia do monitorowania planowanych lub dokonanych OSR ex post</w:t>
      </w:r>
      <w:r w:rsidRPr="009576D8">
        <w:rPr>
          <w:b/>
          <w:bCs/>
          <w:i/>
          <w:iCs/>
          <w:sz w:val="24"/>
          <w:szCs w:val="24"/>
        </w:rPr>
        <w:t xml:space="preserve"> </w:t>
      </w:r>
    </w:p>
    <w:p w14:paraId="38851BE2" w14:textId="318B94AD" w:rsidR="0006278A" w:rsidRPr="009576D8"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525A0E" w:rsidRPr="006147D4">
        <w:rPr>
          <w:i/>
          <w:iCs/>
          <w:sz w:val="24"/>
          <w:szCs w:val="24"/>
        </w:rPr>
        <w:t xml:space="preserve">Prezes </w:t>
      </w:r>
      <w:r w:rsidRPr="006147D4">
        <w:rPr>
          <w:i/>
          <w:iCs/>
          <w:sz w:val="24"/>
          <w:szCs w:val="24"/>
        </w:rPr>
        <w:t xml:space="preserve">RCL we współpracy z </w:t>
      </w:r>
      <w:r w:rsidR="00CC0130" w:rsidRPr="006147D4">
        <w:rPr>
          <w:i/>
          <w:iCs/>
          <w:sz w:val="24"/>
          <w:szCs w:val="24"/>
        </w:rPr>
        <w:t>ministrem właściwy</w:t>
      </w:r>
      <w:r w:rsidR="0006278A" w:rsidRPr="006147D4">
        <w:rPr>
          <w:i/>
          <w:iCs/>
          <w:sz w:val="24"/>
          <w:szCs w:val="24"/>
        </w:rPr>
        <w:t>m</w:t>
      </w:r>
      <w:r w:rsidR="00CC0130" w:rsidRPr="006147D4">
        <w:rPr>
          <w:i/>
          <w:iCs/>
          <w:sz w:val="24"/>
          <w:szCs w:val="24"/>
        </w:rPr>
        <w:t xml:space="preserve"> do spraw gospodarki</w:t>
      </w:r>
      <w:r w:rsidRPr="006147D4">
        <w:rPr>
          <w:i/>
          <w:iCs/>
          <w:sz w:val="24"/>
          <w:szCs w:val="24"/>
        </w:rPr>
        <w:t xml:space="preserve"> </w:t>
      </w:r>
      <w:r w:rsidR="006147D4" w:rsidRPr="006147D4">
        <w:rPr>
          <w:i/>
          <w:iCs/>
          <w:sz w:val="24"/>
          <w:szCs w:val="24"/>
        </w:rPr>
        <w:t>i</w:t>
      </w:r>
      <w:r w:rsidR="006147D4">
        <w:rPr>
          <w:i/>
          <w:iCs/>
          <w:sz w:val="24"/>
          <w:szCs w:val="24"/>
        </w:rPr>
        <w:t> </w:t>
      </w:r>
      <w:r w:rsidR="006147D4" w:rsidRPr="006147D4">
        <w:rPr>
          <w:i/>
          <w:iCs/>
          <w:sz w:val="24"/>
          <w:szCs w:val="24"/>
        </w:rPr>
        <w:t>Kancelarią Prezesa Rady Ministrów</w:t>
      </w:r>
    </w:p>
    <w:p w14:paraId="2D1E2FC5" w14:textId="775FFD4B" w:rsidR="006B5085" w:rsidRPr="007123DB" w:rsidRDefault="00C55BFE" w:rsidP="006147D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Termin: </w:t>
      </w:r>
      <w:r w:rsidRPr="007123DB">
        <w:rPr>
          <w:i/>
          <w:iCs/>
          <w:sz w:val="24"/>
          <w:szCs w:val="24"/>
        </w:rPr>
        <w:t>2027</w:t>
      </w:r>
    </w:p>
    <w:p w14:paraId="4B11A80A" w14:textId="36D6EB7D" w:rsidR="005C4508" w:rsidRPr="009576D8" w:rsidRDefault="005C4508" w:rsidP="004F7D77">
      <w:pPr>
        <w:pStyle w:val="Nagwek2"/>
        <w:rPr>
          <w:b/>
          <w:bCs/>
        </w:rPr>
      </w:pPr>
      <w:bookmarkStart w:id="82" w:name="_Toc217927161"/>
      <w:bookmarkStart w:id="83" w:name="_Toc219276881"/>
      <w:r w:rsidRPr="009576D8">
        <w:rPr>
          <w:b/>
          <w:bCs/>
        </w:rPr>
        <w:lastRenderedPageBreak/>
        <w:t>Priorytet 2 – Usprawnienie przeglądu funkcjonowania aktów normatywnych wynikającego z ustawy Prawo przedsiębiorców</w:t>
      </w:r>
      <w:bookmarkEnd w:id="82"/>
      <w:bookmarkEnd w:id="83"/>
      <w:r w:rsidRPr="009576D8">
        <w:rPr>
          <w:b/>
          <w:bCs/>
        </w:rPr>
        <w:t xml:space="preserve"> </w:t>
      </w:r>
    </w:p>
    <w:p w14:paraId="609DAE44" w14:textId="73B198A0" w:rsidR="003E3AEB" w:rsidRPr="009576D8" w:rsidRDefault="003E3AEB" w:rsidP="00D83B54">
      <w:pPr>
        <w:spacing w:after="120" w:line="276" w:lineRule="auto"/>
        <w:rPr>
          <w:sz w:val="24"/>
          <w:szCs w:val="24"/>
        </w:rPr>
      </w:pPr>
      <w:r w:rsidRPr="009576D8">
        <w:rPr>
          <w:sz w:val="24"/>
          <w:szCs w:val="24"/>
        </w:rPr>
        <w:t xml:space="preserve">Wraz z wejściem w życie </w:t>
      </w:r>
      <w:r w:rsidR="008E0DE7">
        <w:rPr>
          <w:sz w:val="24"/>
          <w:szCs w:val="24"/>
        </w:rPr>
        <w:t xml:space="preserve">w lipcu 2025 r. </w:t>
      </w:r>
      <w:r w:rsidRPr="009576D8">
        <w:rPr>
          <w:sz w:val="24"/>
          <w:szCs w:val="24"/>
        </w:rPr>
        <w:t xml:space="preserve">nowelizacji ustawy Prawo </w:t>
      </w:r>
      <w:r w:rsidR="008E0DE7">
        <w:rPr>
          <w:sz w:val="24"/>
          <w:szCs w:val="24"/>
        </w:rPr>
        <w:t>p</w:t>
      </w:r>
      <w:r w:rsidRPr="009576D8">
        <w:rPr>
          <w:sz w:val="24"/>
          <w:szCs w:val="24"/>
        </w:rPr>
        <w:t>rzedsiębiorców</w:t>
      </w:r>
      <w:r w:rsidR="00D259F7">
        <w:rPr>
          <w:rStyle w:val="Odwoanieprzypisudolnego"/>
          <w:sz w:val="24"/>
          <w:szCs w:val="24"/>
        </w:rPr>
        <w:footnoteReference w:id="73"/>
      </w:r>
      <w:r w:rsidRPr="009576D8">
        <w:rPr>
          <w:sz w:val="24"/>
          <w:szCs w:val="24"/>
        </w:rPr>
        <w:t xml:space="preserve"> zmianie uległy zasady przeprowadzania przeglądu prawa gospodarczego na podstawie art. 70 ustawy. Doprecyzowano zasady postępowania związanego z gromadzeniem </w:t>
      </w:r>
      <w:r w:rsidR="005F5163" w:rsidRPr="009576D8">
        <w:rPr>
          <w:sz w:val="24"/>
          <w:szCs w:val="24"/>
        </w:rPr>
        <w:t>i</w:t>
      </w:r>
      <w:r w:rsidR="005F5163">
        <w:rPr>
          <w:sz w:val="24"/>
          <w:szCs w:val="24"/>
        </w:rPr>
        <w:t> </w:t>
      </w:r>
      <w:r w:rsidRPr="009576D8">
        <w:rPr>
          <w:sz w:val="24"/>
          <w:szCs w:val="24"/>
        </w:rPr>
        <w:t>analizą informacji na temat przeglądu przepisów prawa gospodarczego. Nowe zasady dotyczące obowiązku przekazania ministrowi właściwemu do spraw gospodarki informacji związanej z bieżącym przeglądem skonkretyzują się po raz pierwszy do</w:t>
      </w:r>
      <w:r w:rsidR="00C819B1">
        <w:rPr>
          <w:sz w:val="24"/>
          <w:szCs w:val="24"/>
        </w:rPr>
        <w:t> </w:t>
      </w:r>
      <w:r w:rsidR="005F5163" w:rsidRPr="009576D8">
        <w:rPr>
          <w:sz w:val="24"/>
          <w:szCs w:val="24"/>
        </w:rPr>
        <w:t>30</w:t>
      </w:r>
      <w:r w:rsidR="005F5163">
        <w:rPr>
          <w:sz w:val="24"/>
          <w:szCs w:val="24"/>
        </w:rPr>
        <w:t> </w:t>
      </w:r>
      <w:r w:rsidRPr="009576D8">
        <w:rPr>
          <w:sz w:val="24"/>
          <w:szCs w:val="24"/>
        </w:rPr>
        <w:t xml:space="preserve">czerwca 2026 r. Jednocześnie minister właściwy do spraw gospodarki opracuje </w:t>
      </w:r>
      <w:r w:rsidR="005F5163" w:rsidRPr="009576D8">
        <w:rPr>
          <w:sz w:val="24"/>
          <w:szCs w:val="24"/>
        </w:rPr>
        <w:t>i</w:t>
      </w:r>
      <w:r w:rsidR="005F5163">
        <w:rPr>
          <w:sz w:val="24"/>
          <w:szCs w:val="24"/>
        </w:rPr>
        <w:t> </w:t>
      </w:r>
      <w:r w:rsidRPr="009576D8">
        <w:rPr>
          <w:sz w:val="24"/>
          <w:szCs w:val="24"/>
        </w:rPr>
        <w:t>zamieści w Biuletynie Informacji Publicznej</w:t>
      </w:r>
      <w:r w:rsidR="00774BFD">
        <w:rPr>
          <w:sz w:val="24"/>
          <w:szCs w:val="24"/>
        </w:rPr>
        <w:t xml:space="preserve">, </w:t>
      </w:r>
      <w:r w:rsidR="00774BFD" w:rsidRPr="00774BFD">
        <w:rPr>
          <w:sz w:val="24"/>
          <w:szCs w:val="24"/>
        </w:rPr>
        <w:t>na stronie podmiotowej urzędu go obsługującego</w:t>
      </w:r>
      <w:r w:rsidR="00774BFD">
        <w:rPr>
          <w:sz w:val="24"/>
          <w:szCs w:val="24"/>
        </w:rPr>
        <w:t>,</w:t>
      </w:r>
      <w:r w:rsidRPr="009576D8">
        <w:rPr>
          <w:sz w:val="24"/>
          <w:szCs w:val="24"/>
        </w:rPr>
        <w:t xml:space="preserve"> wzór formularza służącego do przedstawienia informacji o wynikach przeglądu, co będzie obejmowało: </w:t>
      </w:r>
    </w:p>
    <w:p w14:paraId="1C3350CE" w14:textId="77777777" w:rsidR="003E3AEB" w:rsidRPr="009576D8" w:rsidRDefault="003E3AEB" w:rsidP="00825E02">
      <w:pPr>
        <w:pStyle w:val="Akapitzlist"/>
        <w:numPr>
          <w:ilvl w:val="0"/>
          <w:numId w:val="6"/>
        </w:numPr>
        <w:spacing w:after="120" w:line="276" w:lineRule="auto"/>
        <w:rPr>
          <w:sz w:val="24"/>
          <w:szCs w:val="24"/>
        </w:rPr>
      </w:pPr>
      <w:r w:rsidRPr="009576D8">
        <w:rPr>
          <w:sz w:val="24"/>
          <w:szCs w:val="24"/>
        </w:rPr>
        <w:t>wskazanie aktów normatywnych, które wpływają na MŚP,</w:t>
      </w:r>
    </w:p>
    <w:p w14:paraId="77AFAA1A" w14:textId="77777777" w:rsidR="003E3AEB" w:rsidRPr="009576D8" w:rsidRDefault="003E3AEB" w:rsidP="00825E02">
      <w:pPr>
        <w:pStyle w:val="Akapitzlist"/>
        <w:numPr>
          <w:ilvl w:val="0"/>
          <w:numId w:val="6"/>
        </w:numPr>
        <w:spacing w:after="120" w:line="276" w:lineRule="auto"/>
        <w:rPr>
          <w:sz w:val="24"/>
          <w:szCs w:val="24"/>
        </w:rPr>
      </w:pPr>
      <w:r w:rsidRPr="009576D8">
        <w:rPr>
          <w:sz w:val="24"/>
          <w:szCs w:val="24"/>
        </w:rPr>
        <w:t>wskazanie aktów normatywnych, które nakładają na przedsiębiorców obowiązki administracyjne, w tym obowiązki informacyjne,</w:t>
      </w:r>
    </w:p>
    <w:p w14:paraId="291D9B49" w14:textId="77777777" w:rsidR="003E3AEB" w:rsidRPr="009576D8" w:rsidRDefault="003E3AEB" w:rsidP="00825E02">
      <w:pPr>
        <w:pStyle w:val="Akapitzlist"/>
        <w:numPr>
          <w:ilvl w:val="0"/>
          <w:numId w:val="6"/>
        </w:numPr>
        <w:spacing w:after="120" w:line="276" w:lineRule="auto"/>
        <w:rPr>
          <w:sz w:val="24"/>
          <w:szCs w:val="24"/>
        </w:rPr>
      </w:pPr>
      <w:r w:rsidRPr="009576D8">
        <w:rPr>
          <w:sz w:val="24"/>
          <w:szCs w:val="24"/>
        </w:rPr>
        <w:t>wskazanie aktów normatywnych, w stosunku do których zaplanowano przeprowadzenie oceny ich funkcjonowania lub oceny funkcjonowania ich części.</w:t>
      </w:r>
    </w:p>
    <w:p w14:paraId="6FDB1276" w14:textId="5655580F" w:rsidR="003E3AEB" w:rsidRPr="009576D8" w:rsidRDefault="003E3AEB" w:rsidP="00D83B54">
      <w:pPr>
        <w:spacing w:after="120" w:line="276" w:lineRule="auto"/>
        <w:rPr>
          <w:sz w:val="24"/>
          <w:szCs w:val="24"/>
        </w:rPr>
      </w:pPr>
      <w:r w:rsidRPr="009576D8">
        <w:rPr>
          <w:sz w:val="24"/>
          <w:szCs w:val="24"/>
        </w:rPr>
        <w:t>Jednocześnie</w:t>
      </w:r>
      <w:r w:rsidR="00A946B8" w:rsidRPr="009576D8">
        <w:rPr>
          <w:sz w:val="24"/>
          <w:szCs w:val="24"/>
        </w:rPr>
        <w:t xml:space="preserve">, </w:t>
      </w:r>
      <w:r w:rsidRPr="009576D8">
        <w:rPr>
          <w:sz w:val="24"/>
          <w:szCs w:val="24"/>
        </w:rPr>
        <w:t>w ramach prac Zespołu e-Legislacja</w:t>
      </w:r>
      <w:r w:rsidRPr="009576D8">
        <w:rPr>
          <w:rStyle w:val="Odwoanieprzypisudolnego"/>
          <w:sz w:val="24"/>
          <w:szCs w:val="24"/>
        </w:rPr>
        <w:footnoteReference w:id="74"/>
      </w:r>
      <w:r w:rsidR="00A946B8" w:rsidRPr="009576D8">
        <w:rPr>
          <w:sz w:val="24"/>
          <w:szCs w:val="24"/>
        </w:rPr>
        <w:t>,</w:t>
      </w:r>
      <w:r w:rsidRPr="009576D8">
        <w:rPr>
          <w:sz w:val="24"/>
          <w:szCs w:val="24"/>
        </w:rPr>
        <w:t xml:space="preserve"> w </w:t>
      </w:r>
      <w:r w:rsidR="00D42B5C">
        <w:rPr>
          <w:sz w:val="24"/>
          <w:szCs w:val="24"/>
        </w:rPr>
        <w:t>RCL</w:t>
      </w:r>
      <w:r w:rsidRPr="009576D8">
        <w:rPr>
          <w:sz w:val="24"/>
          <w:szCs w:val="24"/>
        </w:rPr>
        <w:t xml:space="preserve"> prowadzone są działania, których celem jest opracowanie systemów teleinformatycznych obsługujących proces legislacyjny oraz zwiększających powszechny dostęp do informacji o prawie. Zakłada się, że opracowane narzędzia powinny zapewniać efektywne monitorowanie procesu legislacyjnego na wszystkich jego etapach oraz być dostosowane zarówno do potrzeb profesjonalistów</w:t>
      </w:r>
      <w:r w:rsidR="008E0DE7">
        <w:rPr>
          <w:sz w:val="24"/>
          <w:szCs w:val="24"/>
        </w:rPr>
        <w:t>,</w:t>
      </w:r>
      <w:r w:rsidRPr="009576D8">
        <w:rPr>
          <w:sz w:val="24"/>
          <w:szCs w:val="24"/>
        </w:rPr>
        <w:t xml:space="preserve"> jak również obywateli korzystających z nich okazjonalnie. Ponadto</w:t>
      </w:r>
      <w:r w:rsidR="008E0DE7">
        <w:rPr>
          <w:sz w:val="24"/>
          <w:szCs w:val="24"/>
        </w:rPr>
        <w:t>,</w:t>
      </w:r>
      <w:r w:rsidRPr="009576D8">
        <w:rPr>
          <w:sz w:val="24"/>
          <w:szCs w:val="24"/>
        </w:rPr>
        <w:t xml:space="preserve"> na bazie skorowidza zbiorów Dziennika Ustaw i Monitora Polskiego prowadzonego dzisiaj na podstawie ustawy z dnia 20 lipca 2000 r. o ogłaszaniu aktów normatywnych i niektórych innych aktów prawnych</w:t>
      </w:r>
      <w:r w:rsidR="00816C59">
        <w:rPr>
          <w:sz w:val="24"/>
          <w:szCs w:val="24"/>
        </w:rPr>
        <w:t>,</w:t>
      </w:r>
      <w:r w:rsidRPr="009576D8">
        <w:rPr>
          <w:sz w:val="24"/>
          <w:szCs w:val="24"/>
        </w:rPr>
        <w:t xml:space="preserve"> powstanie repozytorium obowiązujących aktów prawnych.</w:t>
      </w:r>
    </w:p>
    <w:p w14:paraId="42603BFE" w14:textId="0C1F8811" w:rsidR="003E3AEB" w:rsidRPr="009576D8" w:rsidRDefault="003E3AEB" w:rsidP="00D83B54">
      <w:pPr>
        <w:spacing w:after="120" w:line="276" w:lineRule="auto"/>
        <w:rPr>
          <w:sz w:val="24"/>
          <w:szCs w:val="24"/>
        </w:rPr>
      </w:pPr>
      <w:r w:rsidRPr="009576D8">
        <w:rPr>
          <w:sz w:val="24"/>
          <w:szCs w:val="24"/>
        </w:rPr>
        <w:t xml:space="preserve">Efektem działań przewidzianych w tym priorytecie będzie usprawnienie oraz – tam, gdzie to możliwe </w:t>
      </w:r>
      <w:r w:rsidR="00E2145A">
        <w:rPr>
          <w:sz w:val="24"/>
          <w:szCs w:val="24"/>
        </w:rPr>
        <w:t>–</w:t>
      </w:r>
      <w:r w:rsidRPr="009576D8">
        <w:rPr>
          <w:sz w:val="24"/>
          <w:szCs w:val="24"/>
        </w:rPr>
        <w:t xml:space="preserve"> automatyzacja procesu przeglądu prawa gospodarczego, co pozwoli na</w:t>
      </w:r>
      <w:r w:rsidR="00C819B1">
        <w:rPr>
          <w:sz w:val="24"/>
          <w:szCs w:val="24"/>
        </w:rPr>
        <w:t> </w:t>
      </w:r>
      <w:r w:rsidRPr="009576D8">
        <w:rPr>
          <w:sz w:val="24"/>
          <w:szCs w:val="24"/>
        </w:rPr>
        <w:t>bardziej efektywną identyfikację i usuwanie zbędnych lub nieefektywnych regulacji, tym samym wspierając rozwój przedsiębiorczości w Polsce</w:t>
      </w:r>
      <w:r w:rsidRPr="009576D8">
        <w:rPr>
          <w:rStyle w:val="Odwoanieprzypisudolnego"/>
          <w:sz w:val="24"/>
          <w:szCs w:val="24"/>
        </w:rPr>
        <w:footnoteReference w:id="75"/>
      </w:r>
      <w:r w:rsidRPr="009576D8">
        <w:rPr>
          <w:sz w:val="24"/>
          <w:szCs w:val="24"/>
        </w:rPr>
        <w:t>.</w:t>
      </w:r>
    </w:p>
    <w:p w14:paraId="00EA5452" w14:textId="2235F5A9" w:rsidR="003E3AEB" w:rsidRPr="009576D8" w:rsidRDefault="004F7D77" w:rsidP="009576D8">
      <w:pPr>
        <w:pStyle w:val="Nagwek2"/>
      </w:pPr>
      <w:bookmarkStart w:id="84" w:name="_Toc217927162"/>
      <w:bookmarkStart w:id="85" w:name="_Toc219276882"/>
      <w:r w:rsidRPr="002D675B">
        <w:lastRenderedPageBreak/>
        <w:t>Działanie 2.1</w:t>
      </w:r>
      <w:r w:rsidR="005839DA">
        <w:t>.</w:t>
      </w:r>
      <w:r>
        <w:t xml:space="preserve"> </w:t>
      </w:r>
      <w:r w:rsidR="003E3AEB" w:rsidRPr="009576D8">
        <w:t>Opracowanie „Wytycznych do przeglądu prawa gospodarczego”</w:t>
      </w:r>
      <w:bookmarkEnd w:id="84"/>
      <w:bookmarkEnd w:id="85"/>
    </w:p>
    <w:p w14:paraId="38B1877C" w14:textId="77777777" w:rsidR="003E3AEB" w:rsidRPr="009576D8" w:rsidRDefault="003E3AEB" w:rsidP="00D83B54">
      <w:pPr>
        <w:spacing w:after="120" w:line="276" w:lineRule="auto"/>
        <w:rPr>
          <w:sz w:val="24"/>
          <w:szCs w:val="24"/>
        </w:rPr>
      </w:pPr>
      <w:r w:rsidRPr="009576D8">
        <w:rPr>
          <w:sz w:val="24"/>
          <w:szCs w:val="24"/>
        </w:rPr>
        <w:t>W ramach działań zmierzających do usprawnienia przeglądu – na podstawie doświadczeń stosowania nowych zasad jego dokonywania – zaplanowano opracowanie Wytycznych dotyczących przeglądu, o których mowa w § 155b Regulaminu pracy Rady Ministrów.</w:t>
      </w:r>
    </w:p>
    <w:p w14:paraId="0DA774A5" w14:textId="729E2254" w:rsidR="003E3AEB" w:rsidRPr="009576D8" w:rsidRDefault="003E3AEB" w:rsidP="00D83B54">
      <w:pPr>
        <w:spacing w:after="120" w:line="276" w:lineRule="auto"/>
        <w:rPr>
          <w:sz w:val="24"/>
          <w:szCs w:val="24"/>
        </w:rPr>
      </w:pPr>
      <w:r w:rsidRPr="009576D8">
        <w:rPr>
          <w:sz w:val="24"/>
          <w:szCs w:val="24"/>
        </w:rPr>
        <w:t xml:space="preserve">Rada Ministrów lub jej organ pomocniczy może ustalić wytyczne w zakresie przygotowania OSR </w:t>
      </w:r>
      <w:r w:rsidRPr="007123DB">
        <w:rPr>
          <w:i/>
          <w:iCs/>
          <w:sz w:val="24"/>
          <w:szCs w:val="24"/>
        </w:rPr>
        <w:t>ex post</w:t>
      </w:r>
      <w:r w:rsidRPr="009576D8">
        <w:rPr>
          <w:sz w:val="24"/>
          <w:szCs w:val="24"/>
        </w:rPr>
        <w:t xml:space="preserve"> oraz przeglądu funkcjonowania aktów normatywnych. Działania te mogą stanowić element rekomendacji przedstawionych Radzie Ministrów </w:t>
      </w:r>
      <w:r w:rsidR="005F5163" w:rsidRPr="009576D8">
        <w:rPr>
          <w:sz w:val="24"/>
          <w:szCs w:val="24"/>
        </w:rPr>
        <w:t>w</w:t>
      </w:r>
      <w:r w:rsidR="005F5163">
        <w:rPr>
          <w:sz w:val="24"/>
          <w:szCs w:val="24"/>
        </w:rPr>
        <w:t> </w:t>
      </w:r>
      <w:r w:rsidRPr="009576D8">
        <w:rPr>
          <w:sz w:val="24"/>
          <w:szCs w:val="24"/>
        </w:rPr>
        <w:t>ramach corocznej informacji przekazywanej Radzie Ministrów przez ministra właściwego do spraw gospodarki</w:t>
      </w:r>
      <w:r w:rsidRPr="009576D8">
        <w:rPr>
          <w:rStyle w:val="Odwoanieprzypisudolnego"/>
          <w:sz w:val="24"/>
          <w:szCs w:val="24"/>
        </w:rPr>
        <w:footnoteReference w:id="76"/>
      </w:r>
      <w:r w:rsidRPr="009576D8">
        <w:rPr>
          <w:sz w:val="24"/>
          <w:szCs w:val="24"/>
        </w:rPr>
        <w:t>.</w:t>
      </w:r>
    </w:p>
    <w:p w14:paraId="4996FB2F" w14:textId="7BC255A8" w:rsidR="00991620" w:rsidRPr="009576D8" w:rsidRDefault="003E3AEB" w:rsidP="00D83B54">
      <w:pPr>
        <w:spacing w:after="120" w:line="276" w:lineRule="auto"/>
        <w:rPr>
          <w:sz w:val="24"/>
          <w:szCs w:val="24"/>
        </w:rPr>
      </w:pPr>
      <w:r w:rsidRPr="009576D8">
        <w:rPr>
          <w:sz w:val="24"/>
          <w:szCs w:val="24"/>
        </w:rPr>
        <w:t>Wytyczne będą zawierać m</w:t>
      </w:r>
      <w:r w:rsidR="00816C59">
        <w:rPr>
          <w:sz w:val="24"/>
          <w:szCs w:val="24"/>
        </w:rPr>
        <w:t>.</w:t>
      </w:r>
      <w:r w:rsidRPr="009576D8">
        <w:rPr>
          <w:sz w:val="24"/>
          <w:szCs w:val="24"/>
        </w:rPr>
        <w:t xml:space="preserve"> in. </w:t>
      </w:r>
      <w:r w:rsidR="00E20C9B">
        <w:rPr>
          <w:rStyle w:val="Odwoaniedokomentarza"/>
          <w:sz w:val="24"/>
          <w:szCs w:val="24"/>
        </w:rPr>
        <w:t>s</w:t>
      </w:r>
      <w:r w:rsidRPr="009576D8">
        <w:rPr>
          <w:sz w:val="24"/>
          <w:szCs w:val="24"/>
        </w:rPr>
        <w:t xml:space="preserve">ystematykę obowiązków administracyjnych, w tym nakładanych na przedsiębiorców obowiązków informacyjnych, metodykę planowania ocen funkcjonowania aktów normatywnych lub ich części, wskazanie informacji dodatkowych, które mają znaczenie dla przedstawienia wyników przeglądu. </w:t>
      </w:r>
      <w:r w:rsidR="00991620" w:rsidRPr="009576D8">
        <w:rPr>
          <w:sz w:val="24"/>
          <w:szCs w:val="24"/>
        </w:rPr>
        <w:t>Planuje się</w:t>
      </w:r>
      <w:r w:rsidR="00C819B1">
        <w:rPr>
          <w:sz w:val="24"/>
          <w:szCs w:val="24"/>
        </w:rPr>
        <w:t> </w:t>
      </w:r>
      <w:r w:rsidR="00991620" w:rsidRPr="009576D8">
        <w:rPr>
          <w:sz w:val="24"/>
          <w:szCs w:val="24"/>
        </w:rPr>
        <w:t xml:space="preserve">przeprowadzenie szkoleń, warsztatów oraz innych form wsparcia, które pozwolą ekspertom biorącym udział w przeglądzie lepiej zrozumieć, jak podnieść jego jakość </w:t>
      </w:r>
      <w:r w:rsidR="00E20C9B" w:rsidRPr="009576D8">
        <w:rPr>
          <w:sz w:val="24"/>
          <w:szCs w:val="24"/>
        </w:rPr>
        <w:t>i</w:t>
      </w:r>
      <w:r w:rsidR="00E20C9B">
        <w:rPr>
          <w:sz w:val="24"/>
          <w:szCs w:val="24"/>
        </w:rPr>
        <w:t> </w:t>
      </w:r>
      <w:r w:rsidR="00991620" w:rsidRPr="009576D8">
        <w:rPr>
          <w:sz w:val="24"/>
          <w:szCs w:val="24"/>
        </w:rPr>
        <w:t>efektywność.</w:t>
      </w:r>
    </w:p>
    <w:p w14:paraId="6D23AEF8" w14:textId="48C7066D"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Opracowanie „Wytycznych do przeglądu prawa gospodarczego”</w:t>
      </w:r>
      <w:r w:rsidRPr="009576D8">
        <w:rPr>
          <w:b/>
          <w:bCs/>
          <w:i/>
          <w:iCs/>
          <w:sz w:val="24"/>
          <w:szCs w:val="24"/>
        </w:rPr>
        <w:t xml:space="preserve"> </w:t>
      </w:r>
    </w:p>
    <w:p w14:paraId="555E40B7" w14:textId="77777777" w:rsidR="00E20C9B"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minister właściwy do spraw gospodarki</w:t>
      </w:r>
    </w:p>
    <w:p w14:paraId="0CFC501D" w14:textId="164E51C0"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2026/2027</w:t>
      </w:r>
    </w:p>
    <w:p w14:paraId="469A314A" w14:textId="648AE82A" w:rsidR="003E3AEB" w:rsidRPr="009576D8" w:rsidRDefault="004F7D77" w:rsidP="009576D8">
      <w:pPr>
        <w:pStyle w:val="Nagwek2"/>
      </w:pPr>
      <w:bookmarkStart w:id="86" w:name="_Toc217927163"/>
      <w:bookmarkStart w:id="87" w:name="_Toc219276883"/>
      <w:r>
        <w:t xml:space="preserve">Działanie </w:t>
      </w:r>
      <w:r w:rsidRPr="002D675B">
        <w:t>2.2</w:t>
      </w:r>
      <w:r w:rsidR="005839DA">
        <w:t>.</w:t>
      </w:r>
      <w:r w:rsidRPr="002D675B">
        <w:t xml:space="preserve"> </w:t>
      </w:r>
      <w:r w:rsidR="003E3AEB" w:rsidRPr="002D675B">
        <w:t>Opracowanie</w:t>
      </w:r>
      <w:r w:rsidR="003E3AEB" w:rsidRPr="009576D8">
        <w:t xml:space="preserve"> metodyki i narzędzi oznaczania norm prawnych </w:t>
      </w:r>
      <w:bookmarkStart w:id="88" w:name="_Hlk217389708"/>
      <w:r w:rsidR="003E3AEB" w:rsidRPr="009576D8">
        <w:t>metadanymi związanymi z oceną wpływu regulacji na gospodarkę</w:t>
      </w:r>
      <w:bookmarkEnd w:id="86"/>
      <w:bookmarkEnd w:id="87"/>
      <w:bookmarkEnd w:id="88"/>
      <w:r w:rsidR="003E3AEB" w:rsidRPr="009576D8">
        <w:t xml:space="preserve"> </w:t>
      </w:r>
    </w:p>
    <w:p w14:paraId="2461CC09" w14:textId="67FF12DE" w:rsidR="003E3AEB" w:rsidRPr="009576D8" w:rsidRDefault="003E3AEB" w:rsidP="00D83B54">
      <w:pPr>
        <w:spacing w:after="120" w:line="276" w:lineRule="auto"/>
        <w:rPr>
          <w:sz w:val="24"/>
          <w:szCs w:val="24"/>
        </w:rPr>
      </w:pPr>
      <w:r w:rsidRPr="009576D8">
        <w:rPr>
          <w:sz w:val="24"/>
          <w:szCs w:val="24"/>
        </w:rPr>
        <w:t xml:space="preserve">Zaplanowano rozwój metodyki oznaczania norm prawnych metadanymi związanymi </w:t>
      </w:r>
      <w:r w:rsidR="005F5163" w:rsidRPr="009576D8">
        <w:rPr>
          <w:sz w:val="24"/>
          <w:szCs w:val="24"/>
        </w:rPr>
        <w:t>z</w:t>
      </w:r>
      <w:r w:rsidR="005F5163">
        <w:rPr>
          <w:sz w:val="24"/>
          <w:szCs w:val="24"/>
        </w:rPr>
        <w:t> </w:t>
      </w:r>
      <w:r w:rsidRPr="009576D8">
        <w:rPr>
          <w:sz w:val="24"/>
          <w:szCs w:val="24"/>
        </w:rPr>
        <w:t>analizą wpływu obowiązujących i projektowanych aktów prawnych: na przedsiębiorców i gospodarkę, w tym na mikro-, małych i średnich przedsiębiorców. Opracowana metodyka będzie podlegała ewaluacji i aktualizacji.</w:t>
      </w:r>
    </w:p>
    <w:p w14:paraId="56DD3B2D" w14:textId="4FF01016" w:rsidR="003E3AEB" w:rsidRPr="009576D8" w:rsidRDefault="003E3AEB" w:rsidP="00D83B54">
      <w:pPr>
        <w:spacing w:after="120" w:line="276" w:lineRule="auto"/>
        <w:rPr>
          <w:sz w:val="24"/>
          <w:szCs w:val="24"/>
        </w:rPr>
      </w:pPr>
      <w:bookmarkStart w:id="89" w:name="_Hlk217388876"/>
      <w:r w:rsidRPr="009576D8">
        <w:rPr>
          <w:sz w:val="24"/>
          <w:szCs w:val="24"/>
        </w:rPr>
        <w:t xml:space="preserve">Zakłada się, że nastąpi modyfikacja procedur oraz formularzy gromadzenia danych </w:t>
      </w:r>
      <w:r w:rsidR="00E20C9B">
        <w:rPr>
          <w:sz w:val="24"/>
          <w:szCs w:val="24"/>
        </w:rPr>
        <w:t>na potrzeby</w:t>
      </w:r>
      <w:r w:rsidRPr="009576D8">
        <w:rPr>
          <w:sz w:val="24"/>
          <w:szCs w:val="24"/>
        </w:rPr>
        <w:t xml:space="preserve"> przeglądu prawa gospodarczego, w ramach przygotowywania projektów aktów normatywnych oraz opiniowania projektów aktów normatywnych (uzgodnienia międzyresortowe), w wyniku której możliwe będzie stworzenie bazy danych gromadzącej </w:t>
      </w:r>
      <w:r w:rsidRPr="009576D8">
        <w:rPr>
          <w:sz w:val="24"/>
          <w:szCs w:val="24"/>
        </w:rPr>
        <w:lastRenderedPageBreak/>
        <w:t xml:space="preserve">informacje z obszaru oceny wpływu regulacji na gospodarkę </w:t>
      </w:r>
      <w:r w:rsidR="00E20C9B" w:rsidRPr="009576D8">
        <w:rPr>
          <w:sz w:val="24"/>
          <w:szCs w:val="24"/>
        </w:rPr>
        <w:t>w</w:t>
      </w:r>
      <w:r w:rsidR="00E20C9B">
        <w:rPr>
          <w:sz w:val="24"/>
          <w:szCs w:val="24"/>
        </w:rPr>
        <w:t> </w:t>
      </w:r>
      <w:r w:rsidRPr="009576D8">
        <w:rPr>
          <w:sz w:val="24"/>
          <w:szCs w:val="24"/>
        </w:rPr>
        <w:t>ministerstwie obsługującym ministra właściwego do spraw gospodarki</w:t>
      </w:r>
      <w:bookmarkEnd w:id="89"/>
      <w:r w:rsidRPr="009576D8">
        <w:rPr>
          <w:sz w:val="24"/>
          <w:szCs w:val="24"/>
        </w:rPr>
        <w:t>. Zakłada się stworzenie prototypu takich narzędzi, które będą służyły do agregowania (w jednolitej strukturze informacyjnej) danych z systemów wspierających rządowy proces legislacyjny. W trakcie prac zostanie uwzględniona ontologia Europejskiego identyfikatora prawodawstwa (ELI</w:t>
      </w:r>
      <w:r w:rsidRPr="009576D8">
        <w:rPr>
          <w:rStyle w:val="Odwoanieprzypisudolnego"/>
          <w:sz w:val="24"/>
          <w:szCs w:val="24"/>
        </w:rPr>
        <w:footnoteReference w:id="77"/>
      </w:r>
      <w:r w:rsidRPr="009576D8">
        <w:rPr>
          <w:sz w:val="24"/>
          <w:szCs w:val="24"/>
        </w:rPr>
        <w:t>)</w:t>
      </w:r>
      <w:r w:rsidR="00E20C9B">
        <w:rPr>
          <w:sz w:val="24"/>
          <w:szCs w:val="24"/>
        </w:rPr>
        <w:t>,</w:t>
      </w:r>
      <w:r w:rsidRPr="009576D8">
        <w:rPr>
          <w:sz w:val="24"/>
          <w:szCs w:val="24"/>
        </w:rPr>
        <w:t xml:space="preserve"> w tym ontologia tego identyfikatora dla projektów legislacyjnych (ELI-DL)</w:t>
      </w:r>
      <w:r w:rsidRPr="009576D8">
        <w:rPr>
          <w:rStyle w:val="Odwoanieprzypisudolnego"/>
          <w:sz w:val="24"/>
          <w:szCs w:val="24"/>
        </w:rPr>
        <w:footnoteReference w:id="78"/>
      </w:r>
      <w:r w:rsidRPr="009576D8">
        <w:rPr>
          <w:sz w:val="24"/>
          <w:szCs w:val="24"/>
        </w:rPr>
        <w:t>. Działani</w:t>
      </w:r>
      <w:r w:rsidR="00E20C9B">
        <w:rPr>
          <w:sz w:val="24"/>
          <w:szCs w:val="24"/>
        </w:rPr>
        <w:t>a</w:t>
      </w:r>
      <w:r w:rsidRPr="009576D8">
        <w:rPr>
          <w:sz w:val="24"/>
          <w:szCs w:val="24"/>
        </w:rPr>
        <w:t xml:space="preserve"> te będą komplementarne w stosunku do zadań Zespołu „e-Legislacja”.  </w:t>
      </w:r>
    </w:p>
    <w:p w14:paraId="00341940" w14:textId="1C54EA05"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Wskaźniki: </w:t>
      </w:r>
      <w:r w:rsidRPr="009576D8">
        <w:rPr>
          <w:i/>
          <w:iCs/>
          <w:sz w:val="24"/>
          <w:szCs w:val="24"/>
        </w:rPr>
        <w:t xml:space="preserve">Opracowanie wstępnej metodyki oznaczania norm prawnych metadanymi związanymi z oceną wpływu na gospodarkę. </w:t>
      </w:r>
      <w:bookmarkStart w:id="90" w:name="_Hlk217389173"/>
      <w:r w:rsidRPr="009576D8">
        <w:rPr>
          <w:i/>
          <w:iCs/>
          <w:sz w:val="24"/>
          <w:szCs w:val="24"/>
        </w:rPr>
        <w:t xml:space="preserve">Opracowanie prototypu narzędzi agregujących dane wspierające identyfikację obciążeń administracyjnych w urzędzie obsługującym ministra właściwego </w:t>
      </w:r>
      <w:r w:rsidR="00D42B5C">
        <w:rPr>
          <w:i/>
          <w:iCs/>
          <w:sz w:val="24"/>
          <w:szCs w:val="24"/>
        </w:rPr>
        <w:t>do spraw</w:t>
      </w:r>
      <w:r w:rsidRPr="009576D8">
        <w:rPr>
          <w:i/>
          <w:iCs/>
          <w:sz w:val="24"/>
          <w:szCs w:val="24"/>
        </w:rPr>
        <w:t xml:space="preserve"> gospodarki</w:t>
      </w:r>
      <w:bookmarkEnd w:id="90"/>
    </w:p>
    <w:p w14:paraId="7806644B" w14:textId="477DFF66" w:rsidR="00E20C9B"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 xml:space="preserve">minister właściwy do spraw gospodarki we współpracy z </w:t>
      </w:r>
      <w:r w:rsidR="00525A0E" w:rsidRPr="009576D8">
        <w:rPr>
          <w:i/>
          <w:iCs/>
          <w:sz w:val="24"/>
          <w:szCs w:val="24"/>
        </w:rPr>
        <w:t xml:space="preserve">Prezesem </w:t>
      </w:r>
      <w:r w:rsidRPr="009576D8">
        <w:rPr>
          <w:i/>
          <w:iCs/>
          <w:sz w:val="24"/>
          <w:szCs w:val="24"/>
        </w:rPr>
        <w:t>RCL</w:t>
      </w:r>
      <w:r w:rsidRPr="009576D8">
        <w:rPr>
          <w:b/>
          <w:bCs/>
          <w:i/>
          <w:iCs/>
          <w:sz w:val="24"/>
          <w:szCs w:val="24"/>
        </w:rPr>
        <w:t xml:space="preserve"> </w:t>
      </w:r>
    </w:p>
    <w:p w14:paraId="69B94EF1" w14:textId="7EF42A44"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2026/2027</w:t>
      </w:r>
    </w:p>
    <w:p w14:paraId="05165137" w14:textId="383CA254" w:rsidR="003E3AEB" w:rsidRPr="009576D8" w:rsidRDefault="004F7D77" w:rsidP="009576D8">
      <w:pPr>
        <w:pStyle w:val="Nagwek2"/>
      </w:pPr>
      <w:bookmarkStart w:id="91" w:name="_Toc217927164"/>
      <w:bookmarkStart w:id="92" w:name="_Toc219276884"/>
      <w:r w:rsidRPr="002D675B">
        <w:t>Działanie 2.3</w:t>
      </w:r>
      <w:r w:rsidR="005839DA">
        <w:t>.</w:t>
      </w:r>
      <w:r w:rsidRPr="002D675B">
        <w:t xml:space="preserve"> </w:t>
      </w:r>
      <w:r w:rsidR="003E3AEB" w:rsidRPr="002D675B">
        <w:t>Opracowanie</w:t>
      </w:r>
      <w:r w:rsidR="003E3AEB" w:rsidRPr="009576D8">
        <w:t xml:space="preserve"> założeń i planu wdrożenia/pilotażu </w:t>
      </w:r>
      <w:bookmarkStart w:id="93" w:name="_Hlk217389581"/>
      <w:r w:rsidR="003E3AEB" w:rsidRPr="009576D8">
        <w:t>systemu monitorowania obciążeń administracyjnych</w:t>
      </w:r>
      <w:bookmarkEnd w:id="91"/>
      <w:bookmarkEnd w:id="92"/>
      <w:bookmarkEnd w:id="93"/>
      <w:r w:rsidR="003E3AEB" w:rsidRPr="009576D8">
        <w:t xml:space="preserve"> </w:t>
      </w:r>
    </w:p>
    <w:p w14:paraId="44366ECA" w14:textId="7F480477" w:rsidR="003E3AEB" w:rsidRPr="009576D8" w:rsidRDefault="003E3AEB" w:rsidP="00D83B54">
      <w:pPr>
        <w:rPr>
          <w:sz w:val="24"/>
          <w:szCs w:val="24"/>
        </w:rPr>
      </w:pPr>
      <w:r w:rsidRPr="009576D8">
        <w:rPr>
          <w:sz w:val="24"/>
          <w:szCs w:val="24"/>
        </w:rPr>
        <w:t xml:space="preserve">W wyniku opracowania metodyki związanej z opatrywaniem aktów normatywnych metainformacjami związanymi z wpływem przepisów na gospodarkę możliwe będzie opracowanie założeń oraz planu wdrożenia systemu monitorowania identyfikowanych obciążeń administracyjnych. System taki będzie funkcjonował w ministerstwie obsługującym ministra właściwego do spraw gospodarki, ale doświadczenia związane </w:t>
      </w:r>
      <w:r w:rsidR="005F5163" w:rsidRPr="009576D8">
        <w:rPr>
          <w:sz w:val="24"/>
          <w:szCs w:val="24"/>
        </w:rPr>
        <w:t>z</w:t>
      </w:r>
      <w:r w:rsidR="005F5163">
        <w:rPr>
          <w:sz w:val="24"/>
          <w:szCs w:val="24"/>
        </w:rPr>
        <w:t> </w:t>
      </w:r>
      <w:r w:rsidRPr="009576D8">
        <w:rPr>
          <w:sz w:val="24"/>
          <w:szCs w:val="24"/>
        </w:rPr>
        <w:t xml:space="preserve">rozwojem takiego systemu będą wykorzystywane w pracach nad rozwojem systemów IT rządowego procesu legislacyjnego. </w:t>
      </w:r>
    </w:p>
    <w:p w14:paraId="774523FB" w14:textId="471C1829" w:rsidR="003E3AEB" w:rsidRPr="009576D8" w:rsidRDefault="003E3AEB" w:rsidP="00D83B54">
      <w:pPr>
        <w:rPr>
          <w:sz w:val="24"/>
          <w:szCs w:val="24"/>
        </w:rPr>
      </w:pPr>
      <w:bookmarkStart w:id="94" w:name="_Hlk217388723"/>
      <w:r w:rsidRPr="009576D8">
        <w:rPr>
          <w:sz w:val="24"/>
          <w:szCs w:val="24"/>
        </w:rPr>
        <w:t>Zakłada się, że rozwój systemu monitorowania obciążeń administracyjnych realizowanego w ramach urzędu obsługującego ministra właściwego do spraw gospodarki</w:t>
      </w:r>
      <w:bookmarkEnd w:id="94"/>
      <w:r w:rsidRPr="009576D8">
        <w:rPr>
          <w:sz w:val="24"/>
          <w:szCs w:val="24"/>
        </w:rPr>
        <w:t xml:space="preserve"> wspierał będzie realizację zadań </w:t>
      </w:r>
      <w:r w:rsidR="00D42B5C">
        <w:rPr>
          <w:sz w:val="24"/>
          <w:szCs w:val="24"/>
        </w:rPr>
        <w:t>Prezesa RCL</w:t>
      </w:r>
      <w:r w:rsidRPr="009576D8">
        <w:rPr>
          <w:sz w:val="24"/>
          <w:szCs w:val="24"/>
        </w:rPr>
        <w:t xml:space="preserve">, które zapewnia koordynację działalności legislacyjnej Rady Ministrów, Prezesa Rady Ministrów i innych organów administracji rządowej, a także zapewniać ma dostęp do informacji </w:t>
      </w:r>
      <w:r w:rsidR="005F5163" w:rsidRPr="009576D8">
        <w:rPr>
          <w:sz w:val="24"/>
          <w:szCs w:val="24"/>
        </w:rPr>
        <w:t>o</w:t>
      </w:r>
      <w:r w:rsidR="005F5163">
        <w:rPr>
          <w:sz w:val="24"/>
          <w:szCs w:val="24"/>
        </w:rPr>
        <w:t> </w:t>
      </w:r>
      <w:r w:rsidRPr="009576D8">
        <w:rPr>
          <w:sz w:val="24"/>
          <w:szCs w:val="24"/>
        </w:rPr>
        <w:t>prawie oraz o przebiegu rządowego procesu legislacyjnego. Z tego względu zakłada się</w:t>
      </w:r>
      <w:r w:rsidR="00C819B1">
        <w:rPr>
          <w:sz w:val="24"/>
          <w:szCs w:val="24"/>
        </w:rPr>
        <w:t> </w:t>
      </w:r>
      <w:r w:rsidRPr="009576D8">
        <w:rPr>
          <w:sz w:val="24"/>
          <w:szCs w:val="24"/>
        </w:rPr>
        <w:t>współpracę z</w:t>
      </w:r>
      <w:r w:rsidR="000B4CD3">
        <w:rPr>
          <w:sz w:val="24"/>
          <w:szCs w:val="24"/>
        </w:rPr>
        <w:t> </w:t>
      </w:r>
      <w:r w:rsidR="00D42B5C">
        <w:rPr>
          <w:sz w:val="24"/>
          <w:szCs w:val="24"/>
        </w:rPr>
        <w:t>Prezesem RCL</w:t>
      </w:r>
      <w:r w:rsidRPr="009576D8">
        <w:rPr>
          <w:sz w:val="24"/>
          <w:szCs w:val="24"/>
        </w:rPr>
        <w:t xml:space="preserve">, w wyniku której prowadzony przez </w:t>
      </w:r>
      <w:r w:rsidR="00D42B5C">
        <w:rPr>
          <w:sz w:val="24"/>
          <w:szCs w:val="24"/>
        </w:rPr>
        <w:t>niego</w:t>
      </w:r>
      <w:r w:rsidR="00D42B5C" w:rsidRPr="009576D8">
        <w:rPr>
          <w:sz w:val="24"/>
          <w:szCs w:val="24"/>
        </w:rPr>
        <w:t xml:space="preserve"> </w:t>
      </w:r>
      <w:r w:rsidRPr="009576D8">
        <w:rPr>
          <w:sz w:val="24"/>
          <w:szCs w:val="24"/>
        </w:rPr>
        <w:t xml:space="preserve">skorowidz zbiorów Dziennika Ustaw i Monitora Polskiego oraz inne systemy e-legislacji rozwijane </w:t>
      </w:r>
      <w:r w:rsidR="00D42B5C">
        <w:rPr>
          <w:sz w:val="24"/>
          <w:szCs w:val="24"/>
        </w:rPr>
        <w:t>w</w:t>
      </w:r>
      <w:r w:rsidR="00D42B5C" w:rsidRPr="009576D8">
        <w:rPr>
          <w:sz w:val="24"/>
          <w:szCs w:val="24"/>
        </w:rPr>
        <w:t xml:space="preserve"> </w:t>
      </w:r>
      <w:r w:rsidRPr="009576D8">
        <w:rPr>
          <w:sz w:val="24"/>
          <w:szCs w:val="24"/>
        </w:rPr>
        <w:t>RCL, będą mogły być wzbogacane o metainformacje potrzebne do</w:t>
      </w:r>
      <w:r w:rsidR="00C819B1">
        <w:rPr>
          <w:sz w:val="24"/>
          <w:szCs w:val="24"/>
        </w:rPr>
        <w:t> </w:t>
      </w:r>
      <w:r w:rsidRPr="009576D8">
        <w:rPr>
          <w:sz w:val="24"/>
          <w:szCs w:val="24"/>
        </w:rPr>
        <w:t xml:space="preserve">ewaluacji prawa gospodarczego, w tym do wsparcia realizacji bieżącego przeglądu tego prawa w poszczególnych ministerstwach. Celem jest rozwój i dostarczenie narzędzi, które pozwolą na jednolite </w:t>
      </w:r>
      <w:r w:rsidRPr="009576D8">
        <w:rPr>
          <w:sz w:val="24"/>
          <w:szCs w:val="24"/>
        </w:rPr>
        <w:lastRenderedPageBreak/>
        <w:t xml:space="preserve">identyfikowanie, analizę i monitorowanie informacji na temat konkretnych obowiązków administracyjnych, w tym obowiązków informacyjnych nakładanych na przedsiębiorców i wspierających projektodawców w procesie tworzenia </w:t>
      </w:r>
      <w:r w:rsidR="005F5163" w:rsidRPr="009576D8">
        <w:rPr>
          <w:sz w:val="24"/>
          <w:szCs w:val="24"/>
        </w:rPr>
        <w:t>i</w:t>
      </w:r>
      <w:r w:rsidR="005F5163">
        <w:rPr>
          <w:sz w:val="24"/>
          <w:szCs w:val="24"/>
        </w:rPr>
        <w:t> </w:t>
      </w:r>
      <w:r w:rsidRPr="009576D8">
        <w:rPr>
          <w:sz w:val="24"/>
          <w:szCs w:val="24"/>
        </w:rPr>
        <w:t>ewaluacji prawa gospodarczego w całej administracji rządowej.</w:t>
      </w:r>
    </w:p>
    <w:p w14:paraId="328243E7" w14:textId="766D29A7"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Stworzenie założeń i planu wdrożenia pilotażu</w:t>
      </w:r>
      <w:r w:rsidRPr="009576D8">
        <w:rPr>
          <w:b/>
          <w:bCs/>
          <w:i/>
          <w:iCs/>
          <w:sz w:val="24"/>
          <w:szCs w:val="24"/>
        </w:rPr>
        <w:t xml:space="preserve"> </w:t>
      </w:r>
    </w:p>
    <w:p w14:paraId="21EDB406" w14:textId="4381225A" w:rsidR="00E20C9B"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minister właściwy do spraw gospodarki</w:t>
      </w:r>
    </w:p>
    <w:p w14:paraId="4A73C82A" w14:textId="0C2927EF" w:rsidR="003E3AEB" w:rsidRPr="009576D8" w:rsidRDefault="003E3AEB" w:rsidP="00D83B54">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2027/2028</w:t>
      </w:r>
    </w:p>
    <w:p w14:paraId="56D2C587" w14:textId="487D26F9" w:rsidR="003E3AEB" w:rsidRPr="009576D8" w:rsidRDefault="004F7D77" w:rsidP="009576D8">
      <w:pPr>
        <w:pStyle w:val="Nagwek2"/>
      </w:pPr>
      <w:bookmarkStart w:id="95" w:name="_Toc217927165"/>
      <w:bookmarkStart w:id="96" w:name="_Toc219276885"/>
      <w:r w:rsidRPr="002D675B">
        <w:t>Działanie 2.4</w:t>
      </w:r>
      <w:r w:rsidR="000F199D">
        <w:t>.</w:t>
      </w:r>
      <w:r w:rsidRPr="002D675B">
        <w:t xml:space="preserve"> </w:t>
      </w:r>
      <w:r w:rsidR="003E3AEB" w:rsidRPr="002D675B">
        <w:t>Wykorzystanie metainformacji do monitorowania systemu prawa gospodarczego</w:t>
      </w:r>
      <w:bookmarkEnd w:id="95"/>
      <w:bookmarkEnd w:id="96"/>
    </w:p>
    <w:p w14:paraId="6EF0B6D0" w14:textId="6A481738" w:rsidR="003E3AEB" w:rsidRPr="009576D8" w:rsidRDefault="003E3AEB" w:rsidP="0057737F">
      <w:pPr>
        <w:rPr>
          <w:sz w:val="24"/>
          <w:szCs w:val="24"/>
        </w:rPr>
      </w:pPr>
      <w:r w:rsidRPr="009576D8">
        <w:rPr>
          <w:sz w:val="24"/>
          <w:szCs w:val="24"/>
        </w:rPr>
        <w:t>Założony rozwój skorowidza oraz stworzenie prototypu narzędzi w urzędzie obsługującym ministra właściwego do spraw gospodarki pozwoli na aplikację wypracowanych rozwiązań do danych historycznych. W efekcie będzie możliwe włączenie zasad oznaczania aktów normatywnych oraz meta</w:t>
      </w:r>
      <w:r w:rsidR="00906DA2">
        <w:rPr>
          <w:sz w:val="24"/>
          <w:szCs w:val="24"/>
        </w:rPr>
        <w:t>i</w:t>
      </w:r>
      <w:r w:rsidRPr="009576D8">
        <w:rPr>
          <w:sz w:val="24"/>
          <w:szCs w:val="24"/>
        </w:rPr>
        <w:t xml:space="preserve">nformacji rządowego procesu legislacyjnego – w stosunku do wszystkich rządowych projektów aktów normatywnych. Ministerstwo obsługujące ministra właściwego do spraw gospodarki przeprowadzi testy w zakresie możliwości wykorzystania zebranych informacji dla potrzeb analitycznych. Jednym </w:t>
      </w:r>
      <w:r w:rsidR="005F5163" w:rsidRPr="009576D8">
        <w:rPr>
          <w:sz w:val="24"/>
          <w:szCs w:val="24"/>
        </w:rPr>
        <w:t>z</w:t>
      </w:r>
      <w:r w:rsidR="005F5163">
        <w:rPr>
          <w:sz w:val="24"/>
          <w:szCs w:val="24"/>
        </w:rPr>
        <w:t> </w:t>
      </w:r>
      <w:r w:rsidRPr="009576D8">
        <w:rPr>
          <w:sz w:val="24"/>
          <w:szCs w:val="24"/>
        </w:rPr>
        <w:t>celów działania jest zidentyfikowanie ograniczeń i</w:t>
      </w:r>
      <w:r w:rsidR="0057737F">
        <w:rPr>
          <w:sz w:val="24"/>
          <w:szCs w:val="24"/>
        </w:rPr>
        <w:t> </w:t>
      </w:r>
      <w:r w:rsidRPr="009576D8">
        <w:rPr>
          <w:sz w:val="24"/>
          <w:szCs w:val="24"/>
        </w:rPr>
        <w:t>możliwości wykorzystania metainformacji gromadzonych w ramach rządowego procesu legislacyjnego do badania trendów i wskaźników potrzebnych nie tylko do identyfikowania obciążeń administracyjnych wynikających z przyjmowanych projektów aktów normatywnych, ale</w:t>
      </w:r>
      <w:r w:rsidR="00C819B1">
        <w:rPr>
          <w:sz w:val="24"/>
          <w:szCs w:val="24"/>
        </w:rPr>
        <w:t> </w:t>
      </w:r>
      <w:r w:rsidRPr="009576D8">
        <w:rPr>
          <w:sz w:val="24"/>
          <w:szCs w:val="24"/>
        </w:rPr>
        <w:t xml:space="preserve">również m.in. do pomiaru sposobu działania zasad określonych w rozdziale 6 </w:t>
      </w:r>
      <w:r w:rsidR="00D259F7">
        <w:rPr>
          <w:sz w:val="24"/>
          <w:szCs w:val="24"/>
        </w:rPr>
        <w:t xml:space="preserve">ustawy </w:t>
      </w:r>
      <w:r w:rsidR="00D259F7" w:rsidRPr="009576D8">
        <w:rPr>
          <w:sz w:val="24"/>
          <w:szCs w:val="24"/>
        </w:rPr>
        <w:t>Praw</w:t>
      </w:r>
      <w:r w:rsidR="00D259F7">
        <w:rPr>
          <w:sz w:val="24"/>
          <w:szCs w:val="24"/>
        </w:rPr>
        <w:t>o</w:t>
      </w:r>
      <w:r w:rsidR="00D259F7" w:rsidRPr="009576D8">
        <w:rPr>
          <w:sz w:val="24"/>
          <w:szCs w:val="24"/>
        </w:rPr>
        <w:t xml:space="preserve"> </w:t>
      </w:r>
      <w:r w:rsidRPr="009576D8">
        <w:rPr>
          <w:sz w:val="24"/>
          <w:szCs w:val="24"/>
        </w:rPr>
        <w:t>przedsiębiorców. Efekt działania zostanie ujęty w</w:t>
      </w:r>
      <w:r w:rsidR="0057737F">
        <w:rPr>
          <w:sz w:val="24"/>
          <w:szCs w:val="24"/>
        </w:rPr>
        <w:t> </w:t>
      </w:r>
      <w:r w:rsidRPr="009576D8">
        <w:rPr>
          <w:sz w:val="24"/>
          <w:szCs w:val="24"/>
        </w:rPr>
        <w:t xml:space="preserve">ramach </w:t>
      </w:r>
      <w:r w:rsidR="00E20C9B">
        <w:rPr>
          <w:sz w:val="24"/>
          <w:szCs w:val="24"/>
        </w:rPr>
        <w:t>c</w:t>
      </w:r>
      <w:r w:rsidRPr="009576D8">
        <w:rPr>
          <w:sz w:val="24"/>
          <w:szCs w:val="24"/>
        </w:rPr>
        <w:t>orocznej informacji przedkładanej przez ministra właściwego do spraw gospodarki Radzie Ministrów</w:t>
      </w:r>
      <w:r w:rsidRPr="009576D8">
        <w:rPr>
          <w:rStyle w:val="Odwoanieprzypisudolnego"/>
          <w:sz w:val="24"/>
          <w:szCs w:val="24"/>
        </w:rPr>
        <w:footnoteReference w:id="79"/>
      </w:r>
      <w:r w:rsidRPr="009576D8">
        <w:rPr>
          <w:sz w:val="24"/>
          <w:szCs w:val="24"/>
        </w:rPr>
        <w:t xml:space="preserve">. </w:t>
      </w:r>
    </w:p>
    <w:p w14:paraId="23A2438C" w14:textId="6AAFB4E7" w:rsidR="003E3AEB" w:rsidRDefault="003E3AEB" w:rsidP="0057737F">
      <w:pPr>
        <w:rPr>
          <w:sz w:val="24"/>
          <w:szCs w:val="24"/>
        </w:rPr>
      </w:pPr>
      <w:r w:rsidRPr="009576D8">
        <w:rPr>
          <w:sz w:val="24"/>
          <w:szCs w:val="24"/>
        </w:rPr>
        <w:t xml:space="preserve">Zakłada się opracowanie prototypu narzędzi, które </w:t>
      </w:r>
      <w:r w:rsidR="00C819B1">
        <w:rPr>
          <w:sz w:val="24"/>
          <w:szCs w:val="24"/>
        </w:rPr>
        <w:t>–</w:t>
      </w:r>
      <w:r w:rsidRPr="009576D8">
        <w:rPr>
          <w:sz w:val="24"/>
          <w:szCs w:val="24"/>
        </w:rPr>
        <w:t xml:space="preserve"> na podstawie pozyskiwanych danych dotyczących przeglądu prawa gospodarczego, metadanych </w:t>
      </w:r>
      <w:r w:rsidR="00D259F7">
        <w:rPr>
          <w:sz w:val="24"/>
          <w:szCs w:val="24"/>
        </w:rPr>
        <w:t>s</w:t>
      </w:r>
      <w:r w:rsidR="00D259F7" w:rsidRPr="009576D8">
        <w:rPr>
          <w:sz w:val="24"/>
          <w:szCs w:val="24"/>
        </w:rPr>
        <w:t xml:space="preserve">korowidza </w:t>
      </w:r>
      <w:r w:rsidRPr="009576D8">
        <w:rPr>
          <w:sz w:val="24"/>
          <w:szCs w:val="24"/>
        </w:rPr>
        <w:t xml:space="preserve">aktów prawnych oraz metadanych pozyskiwanych w toku poszczególnych etapów rządowego procesu legislacyjnego </w:t>
      </w:r>
      <w:r w:rsidR="00C819B1">
        <w:rPr>
          <w:sz w:val="24"/>
          <w:szCs w:val="24"/>
        </w:rPr>
        <w:t>–</w:t>
      </w:r>
      <w:r w:rsidRPr="009576D8">
        <w:rPr>
          <w:sz w:val="24"/>
          <w:szCs w:val="24"/>
        </w:rPr>
        <w:t xml:space="preserve"> stanowić będą moduł analityczny w kontekście analizy i</w:t>
      </w:r>
      <w:r w:rsidR="0057737F">
        <w:rPr>
          <w:sz w:val="24"/>
          <w:szCs w:val="24"/>
        </w:rPr>
        <w:t> </w:t>
      </w:r>
      <w:r w:rsidRPr="009576D8">
        <w:rPr>
          <w:sz w:val="24"/>
          <w:szCs w:val="24"/>
        </w:rPr>
        <w:t xml:space="preserve">monitorowania informacji na temat obciążeń administracyjnych oraz innych informacji wspierających analizę wpływu regulacji na gospodarkę </w:t>
      </w:r>
      <w:r w:rsidRPr="002F5CA5">
        <w:rPr>
          <w:sz w:val="24"/>
          <w:szCs w:val="24"/>
        </w:rPr>
        <w:t>(</w:t>
      </w:r>
      <w:r w:rsidRPr="007123DB">
        <w:rPr>
          <w:i/>
          <w:sz w:val="24"/>
        </w:rPr>
        <w:t>ex ante</w:t>
      </w:r>
      <w:r w:rsidRPr="002F5CA5">
        <w:rPr>
          <w:sz w:val="24"/>
          <w:szCs w:val="24"/>
        </w:rPr>
        <w:t xml:space="preserve"> oraz </w:t>
      </w:r>
      <w:r w:rsidRPr="007123DB">
        <w:rPr>
          <w:i/>
          <w:sz w:val="24"/>
        </w:rPr>
        <w:t>ex post</w:t>
      </w:r>
      <w:r w:rsidRPr="009576D8">
        <w:rPr>
          <w:sz w:val="24"/>
          <w:szCs w:val="24"/>
        </w:rPr>
        <w:t xml:space="preserve">, identyfikacja obciążeń, identyfikacja wymogów wymagających notyfikacji, identyfikacja </w:t>
      </w:r>
      <w:r w:rsidR="00C3324E" w:rsidRPr="009576D8">
        <w:rPr>
          <w:sz w:val="24"/>
          <w:szCs w:val="24"/>
        </w:rPr>
        <w:t>gold-</w:t>
      </w:r>
      <w:r w:rsidRPr="009576D8">
        <w:rPr>
          <w:sz w:val="24"/>
          <w:szCs w:val="24"/>
        </w:rPr>
        <w:t>platingu, itp.) dla</w:t>
      </w:r>
      <w:r w:rsidR="00C819B1">
        <w:rPr>
          <w:sz w:val="24"/>
          <w:szCs w:val="24"/>
        </w:rPr>
        <w:t> </w:t>
      </w:r>
      <w:r w:rsidRPr="009576D8">
        <w:rPr>
          <w:sz w:val="24"/>
          <w:szCs w:val="24"/>
        </w:rPr>
        <w:t>całej administracji rządowej.</w:t>
      </w:r>
    </w:p>
    <w:p w14:paraId="1102A607" w14:textId="303B6497" w:rsidR="00E54CBF" w:rsidRPr="009576D8" w:rsidRDefault="00E54CBF" w:rsidP="0057737F">
      <w:pPr>
        <w:rPr>
          <w:sz w:val="24"/>
          <w:szCs w:val="24"/>
        </w:rPr>
      </w:pPr>
      <w:r w:rsidRPr="009576D8">
        <w:rPr>
          <w:sz w:val="24"/>
          <w:szCs w:val="24"/>
        </w:rPr>
        <w:t>W ramach działań Zespołu e-Legislacja ukierunkowanych na wzrost transparentności procesu legislacyjnego i efektywne angażowanie partnerów społecznych w proces tworzenia prawa przewidywane jest wypracowanie rozwiązań pozwalających na</w:t>
      </w:r>
      <w:r w:rsidR="00C819B1">
        <w:rPr>
          <w:sz w:val="24"/>
          <w:szCs w:val="24"/>
        </w:rPr>
        <w:t> </w:t>
      </w:r>
      <w:r w:rsidRPr="009576D8">
        <w:rPr>
          <w:sz w:val="24"/>
          <w:szCs w:val="24"/>
        </w:rPr>
        <w:t>efektywne wykorzystanie sztucznej inteligencji, służących zarówno automatyzacji procesów</w:t>
      </w:r>
      <w:r>
        <w:rPr>
          <w:sz w:val="24"/>
          <w:szCs w:val="24"/>
        </w:rPr>
        <w:t>,</w:t>
      </w:r>
      <w:r w:rsidRPr="009576D8">
        <w:rPr>
          <w:sz w:val="24"/>
          <w:szCs w:val="24"/>
        </w:rPr>
        <w:t xml:space="preserve"> jak i inteligentnej analizie dostępnych informacji.</w:t>
      </w:r>
      <w:r>
        <w:rPr>
          <w:sz w:val="24"/>
          <w:szCs w:val="24"/>
        </w:rPr>
        <w:t xml:space="preserve"> </w:t>
      </w:r>
      <w:r w:rsidR="00C819B1">
        <w:rPr>
          <w:sz w:val="24"/>
          <w:szCs w:val="24"/>
        </w:rPr>
        <w:t>W kontekście realizacji programu: c</w:t>
      </w:r>
      <w:r>
        <w:rPr>
          <w:sz w:val="24"/>
          <w:szCs w:val="24"/>
        </w:rPr>
        <w:t xml:space="preserve">elem jest </w:t>
      </w:r>
      <w:r w:rsidRPr="009576D8">
        <w:rPr>
          <w:sz w:val="24"/>
          <w:szCs w:val="24"/>
        </w:rPr>
        <w:t xml:space="preserve">przygotowanie założeń automatycznego lub półautomatycznego </w:t>
      </w:r>
      <w:r w:rsidRPr="009576D8">
        <w:rPr>
          <w:sz w:val="24"/>
          <w:szCs w:val="24"/>
        </w:rPr>
        <w:lastRenderedPageBreak/>
        <w:t>identyfikowania obciążeń administracyjnych (obowiązków administracyjnych w tym obowiązków informacyjnych) w aktach prawnych oraz w projektach aktów prawnych – realizując jednocześnie cele Polityki rozwoju sztucznej inteligencji w Polsce do 2030 roku</w:t>
      </w:r>
      <w:r w:rsidRPr="009576D8">
        <w:rPr>
          <w:rStyle w:val="Odwoanieprzypisudolnego"/>
          <w:sz w:val="24"/>
          <w:szCs w:val="24"/>
        </w:rPr>
        <w:footnoteReference w:id="80"/>
      </w:r>
      <w:r w:rsidRPr="009576D8">
        <w:rPr>
          <w:sz w:val="24"/>
          <w:szCs w:val="24"/>
        </w:rPr>
        <w:t>. Planuje się opracowanie założeń modelu i</w:t>
      </w:r>
      <w:r>
        <w:rPr>
          <w:sz w:val="24"/>
          <w:szCs w:val="24"/>
        </w:rPr>
        <w:t> </w:t>
      </w:r>
      <w:r w:rsidRPr="009576D8">
        <w:rPr>
          <w:sz w:val="24"/>
          <w:szCs w:val="24"/>
        </w:rPr>
        <w:t>system</w:t>
      </w:r>
      <w:r>
        <w:rPr>
          <w:sz w:val="24"/>
          <w:szCs w:val="24"/>
        </w:rPr>
        <w:t>u</w:t>
      </w:r>
      <w:r w:rsidRPr="009576D8">
        <w:rPr>
          <w:sz w:val="24"/>
          <w:szCs w:val="24"/>
        </w:rPr>
        <w:t xml:space="preserve"> precyzyjnego wychwytywania informacji o wszystkich zobowiązaniach podmiotów prawnych z dokumentów związanych z projektowaniem i ogłaszaniem aktów prawnych, ze szczególnym uwzględnieniem prawa gospodarczego.</w:t>
      </w:r>
    </w:p>
    <w:p w14:paraId="76D67E38" w14:textId="5E13D1BA" w:rsidR="003E3AEB" w:rsidRPr="009576D8" w:rsidRDefault="003E3AEB"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Pr="009576D8">
        <w:rPr>
          <w:i/>
          <w:iCs/>
          <w:sz w:val="24"/>
          <w:szCs w:val="24"/>
        </w:rPr>
        <w:t>Określenie ograniczeń i możliwości wykorzystania metainformacji procesu legislacyjnego dla potrzeb analitycznych ministra właściwego do spraw gospodarki</w:t>
      </w:r>
      <w:r w:rsidR="00E54CBF">
        <w:rPr>
          <w:i/>
          <w:iCs/>
          <w:sz w:val="24"/>
          <w:szCs w:val="24"/>
        </w:rPr>
        <w:t xml:space="preserve">. </w:t>
      </w:r>
      <w:r w:rsidR="00E54CBF" w:rsidRPr="009576D8">
        <w:rPr>
          <w:i/>
          <w:iCs/>
          <w:sz w:val="24"/>
          <w:szCs w:val="24"/>
        </w:rPr>
        <w:t>Opracowanie założeń automatycznego lub półautomatycznego identyfikowania obciążeń administracyjnych z wykorzystaniem AI</w:t>
      </w:r>
      <w:r w:rsidRPr="009576D8">
        <w:rPr>
          <w:b/>
          <w:bCs/>
          <w:i/>
          <w:iCs/>
          <w:sz w:val="24"/>
          <w:szCs w:val="24"/>
        </w:rPr>
        <w:t xml:space="preserve"> </w:t>
      </w:r>
    </w:p>
    <w:p w14:paraId="7D2408BF" w14:textId="3AC6D246" w:rsidR="00E20C9B" w:rsidRDefault="003E3AEB"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Pr="009576D8">
        <w:rPr>
          <w:i/>
          <w:iCs/>
          <w:sz w:val="24"/>
          <w:szCs w:val="24"/>
        </w:rPr>
        <w:t>minister właściwy do spraw gospodarki</w:t>
      </w:r>
      <w:r w:rsidRPr="009576D8">
        <w:rPr>
          <w:b/>
          <w:bCs/>
          <w:i/>
          <w:iCs/>
          <w:sz w:val="24"/>
          <w:szCs w:val="24"/>
        </w:rPr>
        <w:t xml:space="preserve"> </w:t>
      </w:r>
      <w:r w:rsidR="00460EAD" w:rsidRPr="009576D8">
        <w:rPr>
          <w:i/>
          <w:iCs/>
          <w:sz w:val="24"/>
          <w:szCs w:val="24"/>
        </w:rPr>
        <w:t xml:space="preserve">we współpracy z </w:t>
      </w:r>
      <w:r w:rsidR="0057737F">
        <w:rPr>
          <w:i/>
          <w:iCs/>
          <w:sz w:val="24"/>
          <w:szCs w:val="24"/>
        </w:rPr>
        <w:t>Kancelarią Prezesa</w:t>
      </w:r>
      <w:r w:rsidR="0054663E">
        <w:rPr>
          <w:i/>
          <w:iCs/>
          <w:sz w:val="24"/>
          <w:szCs w:val="24"/>
        </w:rPr>
        <w:t xml:space="preserve"> Rady Ministrów</w:t>
      </w:r>
      <w:r w:rsidR="0054663E" w:rsidRPr="009576D8">
        <w:rPr>
          <w:i/>
          <w:iCs/>
          <w:sz w:val="24"/>
          <w:szCs w:val="24"/>
        </w:rPr>
        <w:t xml:space="preserve"> </w:t>
      </w:r>
      <w:r w:rsidR="00460EAD" w:rsidRPr="009576D8">
        <w:rPr>
          <w:i/>
          <w:iCs/>
          <w:sz w:val="24"/>
          <w:szCs w:val="24"/>
        </w:rPr>
        <w:t xml:space="preserve">i </w:t>
      </w:r>
      <w:r w:rsidR="00D42B5C">
        <w:rPr>
          <w:i/>
          <w:iCs/>
          <w:sz w:val="24"/>
          <w:szCs w:val="24"/>
        </w:rPr>
        <w:t xml:space="preserve">Prezesem </w:t>
      </w:r>
      <w:r w:rsidR="00460EAD" w:rsidRPr="009576D8">
        <w:rPr>
          <w:i/>
          <w:iCs/>
          <w:sz w:val="24"/>
          <w:szCs w:val="24"/>
        </w:rPr>
        <w:t>RC</w:t>
      </w:r>
      <w:r w:rsidR="00780E3E">
        <w:rPr>
          <w:i/>
          <w:iCs/>
          <w:sz w:val="24"/>
          <w:szCs w:val="24"/>
        </w:rPr>
        <w:t>L</w:t>
      </w:r>
    </w:p>
    <w:p w14:paraId="1DB52F92" w14:textId="6324281F" w:rsidR="003E3AEB" w:rsidRPr="009576D8" w:rsidRDefault="003E3AEB"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i/>
          <w:iCs/>
          <w:sz w:val="24"/>
          <w:szCs w:val="24"/>
        </w:rPr>
      </w:pPr>
      <w:r w:rsidRPr="009576D8">
        <w:rPr>
          <w:b/>
          <w:bCs/>
          <w:i/>
          <w:iCs/>
          <w:sz w:val="24"/>
          <w:szCs w:val="24"/>
        </w:rPr>
        <w:t xml:space="preserve">Termin: </w:t>
      </w:r>
      <w:r w:rsidRPr="009576D8">
        <w:rPr>
          <w:i/>
          <w:iCs/>
          <w:sz w:val="24"/>
          <w:szCs w:val="24"/>
        </w:rPr>
        <w:t>2027/2028</w:t>
      </w:r>
    </w:p>
    <w:p w14:paraId="1F8FCC9C" w14:textId="376FF599" w:rsidR="0043663F" w:rsidRPr="009576D8" w:rsidRDefault="0043663F" w:rsidP="004F7D77">
      <w:pPr>
        <w:pStyle w:val="Nagwek2"/>
        <w:rPr>
          <w:b/>
          <w:bCs/>
        </w:rPr>
      </w:pPr>
      <w:bookmarkStart w:id="97" w:name="_Toc217927166"/>
      <w:bookmarkStart w:id="98" w:name="_Toc219276886"/>
      <w:r w:rsidRPr="009576D8">
        <w:rPr>
          <w:b/>
          <w:bCs/>
        </w:rPr>
        <w:t xml:space="preserve">Priorytet </w:t>
      </w:r>
      <w:r w:rsidR="00DD2254" w:rsidRPr="009576D8">
        <w:rPr>
          <w:b/>
          <w:bCs/>
        </w:rPr>
        <w:t>3</w:t>
      </w:r>
      <w:r w:rsidR="001B7C19" w:rsidRPr="009576D8">
        <w:rPr>
          <w:b/>
          <w:bCs/>
        </w:rPr>
        <w:t xml:space="preserve"> </w:t>
      </w:r>
      <w:r w:rsidRPr="009576D8">
        <w:rPr>
          <w:b/>
          <w:bCs/>
        </w:rPr>
        <w:t xml:space="preserve">– </w:t>
      </w:r>
      <w:r w:rsidR="00DD2254" w:rsidRPr="009576D8">
        <w:rPr>
          <w:b/>
          <w:bCs/>
        </w:rPr>
        <w:t>Ocena wpływu do projektów europejskich</w:t>
      </w:r>
      <w:bookmarkEnd w:id="97"/>
      <w:bookmarkEnd w:id="98"/>
      <w:r w:rsidR="00DD2254" w:rsidRPr="009576D8">
        <w:rPr>
          <w:b/>
          <w:bCs/>
        </w:rPr>
        <w:t xml:space="preserve"> </w:t>
      </w:r>
    </w:p>
    <w:p w14:paraId="672C4E6D" w14:textId="38BFA8BB" w:rsidR="00551840" w:rsidRPr="009576D8" w:rsidRDefault="00551840" w:rsidP="00482F35">
      <w:pPr>
        <w:spacing w:after="120" w:line="276" w:lineRule="auto"/>
        <w:rPr>
          <w:sz w:val="24"/>
          <w:szCs w:val="24"/>
        </w:rPr>
      </w:pPr>
      <w:r w:rsidRPr="009576D8">
        <w:rPr>
          <w:sz w:val="24"/>
          <w:szCs w:val="24"/>
        </w:rPr>
        <w:t>Komisja Europejska</w:t>
      </w:r>
      <w:r w:rsidR="000856B7">
        <w:rPr>
          <w:sz w:val="24"/>
          <w:szCs w:val="24"/>
        </w:rPr>
        <w:t xml:space="preserve"> deklaruje</w:t>
      </w:r>
      <w:r w:rsidR="000856B7" w:rsidRPr="009576D8">
        <w:rPr>
          <w:sz w:val="24"/>
          <w:szCs w:val="24"/>
        </w:rPr>
        <w:t xml:space="preserve"> </w:t>
      </w:r>
      <w:r w:rsidRPr="009576D8">
        <w:rPr>
          <w:sz w:val="24"/>
          <w:szCs w:val="24"/>
        </w:rPr>
        <w:t>silny nacisk na uproszczenia i ograniczanie obciążeń regulacyjnych</w:t>
      </w:r>
      <w:r w:rsidR="000856B7">
        <w:rPr>
          <w:sz w:val="24"/>
          <w:szCs w:val="24"/>
        </w:rPr>
        <w:t xml:space="preserve"> i</w:t>
      </w:r>
      <w:r w:rsidRPr="009576D8">
        <w:rPr>
          <w:sz w:val="24"/>
          <w:szCs w:val="24"/>
        </w:rPr>
        <w:t xml:space="preserve"> inicjuj</w:t>
      </w:r>
      <w:r w:rsidR="000856B7">
        <w:rPr>
          <w:sz w:val="24"/>
          <w:szCs w:val="24"/>
        </w:rPr>
        <w:t>e w tym celu</w:t>
      </w:r>
      <w:r w:rsidRPr="009576D8">
        <w:rPr>
          <w:sz w:val="24"/>
          <w:szCs w:val="24"/>
        </w:rPr>
        <w:t xml:space="preserve"> działania deregulujące w pakietach zwanych Omnibusami.</w:t>
      </w:r>
    </w:p>
    <w:p w14:paraId="71E112E7" w14:textId="764F74BB" w:rsidR="009D3DF2" w:rsidRPr="009576D8" w:rsidRDefault="009D3DF2" w:rsidP="00482F35">
      <w:pPr>
        <w:spacing w:after="120" w:line="276" w:lineRule="auto"/>
        <w:rPr>
          <w:sz w:val="24"/>
          <w:szCs w:val="24"/>
        </w:rPr>
      </w:pPr>
      <w:r w:rsidRPr="009576D8">
        <w:rPr>
          <w:sz w:val="24"/>
          <w:szCs w:val="24"/>
        </w:rPr>
        <w:t>Polski system oceny wpływu dla projektów unijnych</w:t>
      </w:r>
      <w:r w:rsidR="000856B7">
        <w:rPr>
          <w:sz w:val="24"/>
          <w:szCs w:val="24"/>
        </w:rPr>
        <w:t>,</w:t>
      </w:r>
      <w:r w:rsidRPr="009576D8">
        <w:rPr>
          <w:sz w:val="24"/>
          <w:szCs w:val="24"/>
        </w:rPr>
        <w:t xml:space="preserve"> w postaci tzw. fiszek informacyjnych</w:t>
      </w:r>
      <w:r w:rsidR="000856B7">
        <w:rPr>
          <w:sz w:val="24"/>
          <w:szCs w:val="24"/>
        </w:rPr>
        <w:t>,</w:t>
      </w:r>
      <w:r w:rsidRPr="009576D8">
        <w:rPr>
          <w:sz w:val="24"/>
          <w:szCs w:val="24"/>
        </w:rPr>
        <w:t xml:space="preserve"> obowiązuje w obecnej formie od 2016 r. Celem wprowadzenia tego systemu było zwiększenie skuteczności oddziaływania Polski na kształt propozycji </w:t>
      </w:r>
      <w:r w:rsidR="00551840" w:rsidRPr="009576D8">
        <w:rPr>
          <w:sz w:val="24"/>
          <w:szCs w:val="24"/>
        </w:rPr>
        <w:t>KE</w:t>
      </w:r>
      <w:r w:rsidRPr="009576D8">
        <w:rPr>
          <w:sz w:val="24"/>
          <w:szCs w:val="24"/>
        </w:rPr>
        <w:t>, przede wszystkim legislacyjnych, mogących nieść ze sobą istotne dla Polski skutki gospodarcze, społeczne oraz środowiskowe. Dzięki zwiększeniu obecności przedstawicieli polskiej administracji publicznej w nieformalnych, a następnie formalnych, pracach prowadzonych w ramach procesu decyzyjnego UE, możliwe jest wypracowanie takich regulacji, które będą zgodne z interesem Polski i które nie przyczynią się do powstania nadmiernych obciążeń dla naszego kraju, w tym dla polskich przedsiębiorców. Stanowi to</w:t>
      </w:r>
      <w:r w:rsidR="00C819B1">
        <w:rPr>
          <w:sz w:val="24"/>
          <w:szCs w:val="24"/>
        </w:rPr>
        <w:t> </w:t>
      </w:r>
      <w:r w:rsidRPr="009576D8">
        <w:rPr>
          <w:sz w:val="24"/>
          <w:szCs w:val="24"/>
        </w:rPr>
        <w:t xml:space="preserve">także duże ułatwienie dla późniejszego procesu implementacyjnego przyjętego prawa UE. </w:t>
      </w:r>
    </w:p>
    <w:p w14:paraId="0B5DA6D8" w14:textId="2A5621B5" w:rsidR="009D3DF2" w:rsidRPr="009576D8" w:rsidRDefault="009D3DF2" w:rsidP="00482F35">
      <w:pPr>
        <w:spacing w:after="120" w:line="276" w:lineRule="auto"/>
        <w:rPr>
          <w:sz w:val="24"/>
          <w:szCs w:val="24"/>
        </w:rPr>
      </w:pPr>
      <w:r w:rsidRPr="009576D8">
        <w:rPr>
          <w:sz w:val="24"/>
          <w:szCs w:val="24"/>
        </w:rPr>
        <w:t>Dodatkowo, aby wspomóc ekspertów zajmujących się nowymi inicjatywami Komisji Europejskiej w 2021 r.</w:t>
      </w:r>
      <w:r w:rsidR="00551840" w:rsidRPr="009576D8">
        <w:rPr>
          <w:sz w:val="24"/>
          <w:szCs w:val="24"/>
        </w:rPr>
        <w:t xml:space="preserve">, </w:t>
      </w:r>
      <w:r w:rsidRPr="009576D8">
        <w:rPr>
          <w:sz w:val="24"/>
          <w:szCs w:val="24"/>
        </w:rPr>
        <w:t>Komitet do Spraw Europejskich przyjął „Zalecenia w zakresie przeprowadzenia oceny wpływu w ramach procesu legislacyjnego w Unii Europejskiej”</w:t>
      </w:r>
      <w:r w:rsidR="000F3A07" w:rsidRPr="009576D8">
        <w:rPr>
          <w:rStyle w:val="Odwoanieprzypisudolnego"/>
          <w:sz w:val="24"/>
          <w:szCs w:val="24"/>
        </w:rPr>
        <w:footnoteReference w:id="81"/>
      </w:r>
      <w:r w:rsidR="000856B7">
        <w:rPr>
          <w:sz w:val="24"/>
          <w:szCs w:val="24"/>
        </w:rPr>
        <w:t>.</w:t>
      </w:r>
      <w:r w:rsidR="00551840" w:rsidRPr="009576D8">
        <w:rPr>
          <w:sz w:val="24"/>
          <w:szCs w:val="24"/>
        </w:rPr>
        <w:t xml:space="preserve"> </w:t>
      </w:r>
      <w:r w:rsidRPr="009576D8">
        <w:rPr>
          <w:sz w:val="24"/>
          <w:szCs w:val="24"/>
        </w:rPr>
        <w:lastRenderedPageBreak/>
        <w:t>Od 2016 r. przygotowano 20 fiszek, 7 z nich było aktualizowanych</w:t>
      </w:r>
      <w:r w:rsidR="00551840" w:rsidRPr="009576D8">
        <w:rPr>
          <w:sz w:val="24"/>
          <w:szCs w:val="24"/>
        </w:rPr>
        <w:t>, co motywuje do</w:t>
      </w:r>
      <w:r w:rsidR="00C819B1">
        <w:rPr>
          <w:sz w:val="24"/>
          <w:szCs w:val="24"/>
        </w:rPr>
        <w:t> </w:t>
      </w:r>
      <w:r w:rsidRPr="009576D8">
        <w:rPr>
          <w:sz w:val="24"/>
          <w:szCs w:val="24"/>
        </w:rPr>
        <w:t>ewaluacji i aktualizacji</w:t>
      </w:r>
      <w:r w:rsidR="00551840" w:rsidRPr="009576D8">
        <w:rPr>
          <w:sz w:val="24"/>
          <w:szCs w:val="24"/>
        </w:rPr>
        <w:t xml:space="preserve"> tego elementu systemu oceny wpływu</w:t>
      </w:r>
      <w:r w:rsidRPr="009576D8">
        <w:rPr>
          <w:sz w:val="24"/>
          <w:szCs w:val="24"/>
        </w:rPr>
        <w:t xml:space="preserve">, aby w sposób bardziej kompleksowy realizował założone cele. </w:t>
      </w:r>
    </w:p>
    <w:p w14:paraId="67384E70" w14:textId="7F8E431C" w:rsidR="0043663F" w:rsidRPr="009576D8" w:rsidRDefault="004F7D77" w:rsidP="0057737F">
      <w:pPr>
        <w:pStyle w:val="Nagwek2"/>
      </w:pPr>
      <w:bookmarkStart w:id="99" w:name="_Toc217927167"/>
      <w:bookmarkStart w:id="100" w:name="_Toc219276887"/>
      <w:r w:rsidRPr="002D675B">
        <w:t>Działanie 3.</w:t>
      </w:r>
      <w:r w:rsidR="002D675B">
        <w:t>1</w:t>
      </w:r>
      <w:r w:rsidR="000F199D">
        <w:t>.</w:t>
      </w:r>
      <w:r w:rsidR="002D675B">
        <w:t xml:space="preserve"> </w:t>
      </w:r>
      <w:r w:rsidR="0043663F" w:rsidRPr="009576D8">
        <w:t>Przygotowanie mechanizmu zwiększania wpływu na kształt inicjatyw UE</w:t>
      </w:r>
      <w:bookmarkEnd w:id="99"/>
      <w:bookmarkEnd w:id="100"/>
    </w:p>
    <w:p w14:paraId="4D5D5217" w14:textId="77777777" w:rsidR="000856B7" w:rsidRDefault="0043663F" w:rsidP="0057737F">
      <w:pPr>
        <w:spacing w:after="120" w:line="276" w:lineRule="auto"/>
        <w:rPr>
          <w:sz w:val="24"/>
          <w:szCs w:val="24"/>
        </w:rPr>
      </w:pPr>
      <w:r w:rsidRPr="009576D8">
        <w:rPr>
          <w:sz w:val="24"/>
          <w:szCs w:val="24"/>
        </w:rPr>
        <w:t>Planowane są zmiany w systemie fiszek</w:t>
      </w:r>
      <w:r w:rsidR="000856B7">
        <w:rPr>
          <w:sz w:val="24"/>
          <w:szCs w:val="24"/>
        </w:rPr>
        <w:t xml:space="preserve"> informacyjnych</w:t>
      </w:r>
      <w:r w:rsidRPr="009576D8">
        <w:rPr>
          <w:sz w:val="24"/>
          <w:szCs w:val="24"/>
        </w:rPr>
        <w:t xml:space="preserve">, tak aby z jednej strony wyposażyć polskich ekspertów w dane pozwalające od wczesnego etapu prac legislacyjnych w Komisji Europejskiej wpływać na decyzje w zakresie rozwiązań zawartych w inicjatywach prawa europejskiego, a jednocześnie zapewnić aktualność fiszek poprzez nadzór </w:t>
      </w:r>
      <w:r w:rsidR="00D1388D" w:rsidRPr="009576D8">
        <w:rPr>
          <w:sz w:val="24"/>
          <w:szCs w:val="24"/>
        </w:rPr>
        <w:t xml:space="preserve">ministra właściwego do spraw zagranicznych i członkostwa Rzeczypospolitej Polskiej w Unii Europejskiej </w:t>
      </w:r>
      <w:r w:rsidRPr="009576D8">
        <w:rPr>
          <w:sz w:val="24"/>
          <w:szCs w:val="24"/>
        </w:rPr>
        <w:t xml:space="preserve">nad systemem. Co najmniej raz na kwartał lub w zależności od potrzeb fiszki byłyby przedstawiane </w:t>
      </w:r>
      <w:bookmarkStart w:id="101" w:name="_Hlk215127458"/>
      <w:r w:rsidRPr="009576D8">
        <w:rPr>
          <w:sz w:val="24"/>
          <w:szCs w:val="24"/>
        </w:rPr>
        <w:t xml:space="preserve">Komitetowi do Spraw Europejskich </w:t>
      </w:r>
      <w:bookmarkEnd w:id="101"/>
      <w:r w:rsidRPr="009576D8">
        <w:rPr>
          <w:sz w:val="24"/>
          <w:szCs w:val="24"/>
        </w:rPr>
        <w:t xml:space="preserve">w celu oceny stanu realizacji fiszki informacyjnej. Na tej podstawie </w:t>
      </w:r>
      <w:r w:rsidR="00D1388D" w:rsidRPr="009576D8">
        <w:rPr>
          <w:sz w:val="24"/>
          <w:szCs w:val="24"/>
        </w:rPr>
        <w:t xml:space="preserve">KSE </w:t>
      </w:r>
      <w:r w:rsidRPr="009576D8">
        <w:rPr>
          <w:sz w:val="24"/>
          <w:szCs w:val="24"/>
        </w:rPr>
        <w:t>podejm</w:t>
      </w:r>
      <w:r w:rsidR="009D3DF2" w:rsidRPr="009576D8">
        <w:rPr>
          <w:sz w:val="24"/>
          <w:szCs w:val="24"/>
        </w:rPr>
        <w:t>owałby</w:t>
      </w:r>
      <w:r w:rsidRPr="009576D8">
        <w:rPr>
          <w:sz w:val="24"/>
          <w:szCs w:val="24"/>
        </w:rPr>
        <w:t xml:space="preserve"> decyzję w sprawie konieczności aktualizacji fiszki. </w:t>
      </w:r>
    </w:p>
    <w:p w14:paraId="7626081C" w14:textId="559CD071" w:rsidR="0043663F" w:rsidRPr="009576D8" w:rsidRDefault="0043663F" w:rsidP="0057737F">
      <w:pPr>
        <w:spacing w:after="120" w:line="276" w:lineRule="auto"/>
        <w:rPr>
          <w:sz w:val="24"/>
          <w:szCs w:val="24"/>
        </w:rPr>
      </w:pPr>
      <w:r w:rsidRPr="009576D8">
        <w:rPr>
          <w:sz w:val="24"/>
          <w:szCs w:val="24"/>
        </w:rPr>
        <w:t xml:space="preserve">Jednym z </w:t>
      </w:r>
      <w:r w:rsidR="000856B7">
        <w:rPr>
          <w:sz w:val="24"/>
          <w:szCs w:val="24"/>
        </w:rPr>
        <w:t xml:space="preserve">nowych </w:t>
      </w:r>
      <w:r w:rsidRPr="009576D8">
        <w:rPr>
          <w:sz w:val="24"/>
          <w:szCs w:val="24"/>
        </w:rPr>
        <w:t>elementów fiszki byłaby ocena czy planowana inicjatywa wpływa na</w:t>
      </w:r>
      <w:r w:rsidR="00C819B1">
        <w:rPr>
          <w:sz w:val="24"/>
          <w:szCs w:val="24"/>
        </w:rPr>
        <w:t> </w:t>
      </w:r>
      <w:r w:rsidRPr="009576D8">
        <w:rPr>
          <w:sz w:val="24"/>
          <w:szCs w:val="24"/>
        </w:rPr>
        <w:t>polskich przedsiębiorców (zwłaszcza MŚP) i czy zawiera obciążenia administracyjne. Oprócz nowego mechanizmu zostaną zaktualizowane wytyczne dla urzędników, tj.</w:t>
      </w:r>
      <w:r w:rsidR="006D1CF7">
        <w:rPr>
          <w:sz w:val="24"/>
          <w:szCs w:val="24"/>
        </w:rPr>
        <w:t> </w:t>
      </w:r>
      <w:r w:rsidRPr="009576D8">
        <w:rPr>
          <w:sz w:val="24"/>
          <w:szCs w:val="24"/>
        </w:rPr>
        <w:t>„Zalecenia w zakresie przeprowadzenia oceny wpływu w ramach procesu legislacyjnego w Unii Europejskiej</w:t>
      </w:r>
      <w:r w:rsidR="00991620" w:rsidRPr="009576D8">
        <w:rPr>
          <w:sz w:val="24"/>
          <w:szCs w:val="24"/>
        </w:rPr>
        <w:t xml:space="preserve">”. Planowane jest również przeprowadzenie szkoleń, warsztatów </w:t>
      </w:r>
      <w:r w:rsidR="000856B7">
        <w:rPr>
          <w:sz w:val="24"/>
          <w:szCs w:val="24"/>
        </w:rPr>
        <w:t>lub</w:t>
      </w:r>
      <w:r w:rsidR="000856B7" w:rsidRPr="009576D8">
        <w:rPr>
          <w:sz w:val="24"/>
          <w:szCs w:val="24"/>
        </w:rPr>
        <w:t xml:space="preserve"> </w:t>
      </w:r>
      <w:r w:rsidR="00991620" w:rsidRPr="009576D8">
        <w:rPr>
          <w:sz w:val="24"/>
          <w:szCs w:val="24"/>
        </w:rPr>
        <w:t>innych form podnoszenia świadomości administracji na temat oceny wpływu w UE.</w:t>
      </w:r>
    </w:p>
    <w:p w14:paraId="2C1209D1" w14:textId="57F160CC" w:rsidR="0043663F" w:rsidRPr="009576D8" w:rsidRDefault="0043663F" w:rsidP="0057737F">
      <w:pPr>
        <w:spacing w:after="120" w:line="276" w:lineRule="auto"/>
        <w:rPr>
          <w:sz w:val="24"/>
          <w:szCs w:val="24"/>
        </w:rPr>
      </w:pPr>
      <w:r w:rsidRPr="009576D8">
        <w:rPr>
          <w:sz w:val="24"/>
          <w:szCs w:val="24"/>
        </w:rPr>
        <w:t xml:space="preserve">OSR przygotowywany przez KE </w:t>
      </w:r>
      <w:r w:rsidR="000856B7">
        <w:rPr>
          <w:sz w:val="24"/>
          <w:szCs w:val="24"/>
        </w:rPr>
        <w:t xml:space="preserve">(ang. </w:t>
      </w:r>
      <w:r w:rsidR="002F5CA5">
        <w:rPr>
          <w:sz w:val="24"/>
          <w:szCs w:val="24"/>
        </w:rPr>
        <w:t>„</w:t>
      </w:r>
      <w:r w:rsidR="002F5CA5" w:rsidRPr="007123DB">
        <w:rPr>
          <w:sz w:val="24"/>
          <w:szCs w:val="24"/>
        </w:rPr>
        <w:t>i</w:t>
      </w:r>
      <w:r w:rsidR="000856B7" w:rsidRPr="007123DB">
        <w:rPr>
          <w:sz w:val="24"/>
          <w:szCs w:val="24"/>
        </w:rPr>
        <w:t xml:space="preserve">mpact </w:t>
      </w:r>
      <w:r w:rsidR="002F5CA5" w:rsidRPr="007123DB">
        <w:rPr>
          <w:sz w:val="24"/>
          <w:szCs w:val="24"/>
        </w:rPr>
        <w:t>a</w:t>
      </w:r>
      <w:r w:rsidR="000856B7" w:rsidRPr="007123DB">
        <w:rPr>
          <w:sz w:val="24"/>
          <w:szCs w:val="24"/>
        </w:rPr>
        <w:t>ssessment</w:t>
      </w:r>
      <w:r w:rsidR="002F5CA5">
        <w:rPr>
          <w:sz w:val="24"/>
          <w:szCs w:val="24"/>
        </w:rPr>
        <w:t>”</w:t>
      </w:r>
      <w:r w:rsidR="000856B7">
        <w:rPr>
          <w:sz w:val="24"/>
          <w:szCs w:val="24"/>
        </w:rPr>
        <w:t xml:space="preserve">) </w:t>
      </w:r>
      <w:r w:rsidRPr="009576D8">
        <w:rPr>
          <w:sz w:val="24"/>
          <w:szCs w:val="24"/>
        </w:rPr>
        <w:t xml:space="preserve">nie pokazuje </w:t>
      </w:r>
      <w:r w:rsidR="000856B7">
        <w:rPr>
          <w:sz w:val="24"/>
          <w:szCs w:val="24"/>
        </w:rPr>
        <w:t xml:space="preserve">zazwyczaj </w:t>
      </w:r>
      <w:r w:rsidRPr="009576D8">
        <w:rPr>
          <w:sz w:val="24"/>
          <w:szCs w:val="24"/>
        </w:rPr>
        <w:t>wpływu na poszczególne państwa członkowskie, a jedynie szacowany wpływ na całą UE. Jest możliwe jednak zidentyfikowanie obciążeń administracyjnych</w:t>
      </w:r>
      <w:r w:rsidR="00912AE5">
        <w:rPr>
          <w:sz w:val="24"/>
          <w:szCs w:val="24"/>
        </w:rPr>
        <w:t>,</w:t>
      </w:r>
      <w:r w:rsidRPr="009576D8">
        <w:rPr>
          <w:sz w:val="24"/>
          <w:szCs w:val="24"/>
        </w:rPr>
        <w:t xml:space="preserve"> ponieważ są</w:t>
      </w:r>
      <w:r w:rsidR="00C819B1">
        <w:rPr>
          <w:sz w:val="24"/>
          <w:szCs w:val="24"/>
        </w:rPr>
        <w:t> </w:t>
      </w:r>
      <w:r w:rsidRPr="009576D8">
        <w:rPr>
          <w:sz w:val="24"/>
          <w:szCs w:val="24"/>
        </w:rPr>
        <w:t>one</w:t>
      </w:r>
      <w:r w:rsidR="00C819B1">
        <w:rPr>
          <w:sz w:val="24"/>
          <w:szCs w:val="24"/>
        </w:rPr>
        <w:t> </w:t>
      </w:r>
      <w:r w:rsidRPr="009576D8">
        <w:rPr>
          <w:sz w:val="24"/>
          <w:szCs w:val="24"/>
        </w:rPr>
        <w:t xml:space="preserve">wyszczególnione w Aneksie 3 OSR Komisji, jak </w:t>
      </w:r>
      <w:r w:rsidR="00912AE5">
        <w:rPr>
          <w:sz w:val="24"/>
          <w:szCs w:val="24"/>
        </w:rPr>
        <w:t>również w</w:t>
      </w:r>
      <w:r w:rsidRPr="009576D8">
        <w:rPr>
          <w:sz w:val="24"/>
          <w:szCs w:val="24"/>
        </w:rPr>
        <w:t xml:space="preserve"> te</w:t>
      </w:r>
      <w:r w:rsidR="000E01FC" w:rsidRPr="009576D8">
        <w:rPr>
          <w:sz w:val="24"/>
          <w:szCs w:val="24"/>
        </w:rPr>
        <w:t>ście</w:t>
      </w:r>
      <w:r w:rsidRPr="009576D8">
        <w:rPr>
          <w:sz w:val="24"/>
          <w:szCs w:val="24"/>
        </w:rPr>
        <w:t xml:space="preserve"> konkurencyjności i MŚP (</w:t>
      </w:r>
      <w:r w:rsidR="001F6819" w:rsidRPr="009576D8">
        <w:rPr>
          <w:sz w:val="24"/>
          <w:szCs w:val="24"/>
        </w:rPr>
        <w:t xml:space="preserve">ang. </w:t>
      </w:r>
      <w:r w:rsidR="002F5CA5">
        <w:rPr>
          <w:sz w:val="24"/>
          <w:szCs w:val="24"/>
        </w:rPr>
        <w:t>„</w:t>
      </w:r>
      <w:r w:rsidR="001F6819" w:rsidRPr="007123DB">
        <w:rPr>
          <w:sz w:val="24"/>
          <w:szCs w:val="24"/>
        </w:rPr>
        <w:t>c</w:t>
      </w:r>
      <w:r w:rsidRPr="007123DB">
        <w:rPr>
          <w:sz w:val="24"/>
          <w:szCs w:val="24"/>
        </w:rPr>
        <w:t xml:space="preserve">ompetitiveness </w:t>
      </w:r>
      <w:r w:rsidR="003B24CB" w:rsidRPr="007123DB">
        <w:rPr>
          <w:sz w:val="24"/>
          <w:szCs w:val="24"/>
        </w:rPr>
        <w:t>check</w:t>
      </w:r>
      <w:r w:rsidR="003B24CB">
        <w:rPr>
          <w:sz w:val="24"/>
          <w:szCs w:val="24"/>
        </w:rPr>
        <w:t>” i</w:t>
      </w:r>
      <w:r w:rsidRPr="009576D8">
        <w:rPr>
          <w:sz w:val="24"/>
          <w:szCs w:val="24"/>
        </w:rPr>
        <w:t xml:space="preserve"> </w:t>
      </w:r>
      <w:r w:rsidR="003B24CB">
        <w:rPr>
          <w:sz w:val="24"/>
          <w:szCs w:val="24"/>
        </w:rPr>
        <w:t>„</w:t>
      </w:r>
      <w:r w:rsidRPr="007123DB">
        <w:rPr>
          <w:sz w:val="24"/>
          <w:szCs w:val="24"/>
        </w:rPr>
        <w:t>SME check</w:t>
      </w:r>
      <w:r w:rsidR="002F5CA5">
        <w:rPr>
          <w:sz w:val="24"/>
          <w:szCs w:val="24"/>
        </w:rPr>
        <w:t>”</w:t>
      </w:r>
      <w:r w:rsidRPr="009576D8">
        <w:rPr>
          <w:sz w:val="24"/>
          <w:szCs w:val="24"/>
        </w:rPr>
        <w:t>). Przygotowywanie krajowej OSR w</w:t>
      </w:r>
      <w:r w:rsidR="003B24CB">
        <w:rPr>
          <w:sz w:val="24"/>
          <w:szCs w:val="24"/>
        </w:rPr>
        <w:t> </w:t>
      </w:r>
      <w:r w:rsidRPr="009576D8">
        <w:rPr>
          <w:sz w:val="24"/>
          <w:szCs w:val="24"/>
        </w:rPr>
        <w:t>oparciu o</w:t>
      </w:r>
      <w:r w:rsidR="008B3054">
        <w:rPr>
          <w:sz w:val="24"/>
          <w:szCs w:val="24"/>
        </w:rPr>
        <w:t> </w:t>
      </w:r>
      <w:r w:rsidRPr="009576D8">
        <w:rPr>
          <w:sz w:val="24"/>
          <w:szCs w:val="24"/>
        </w:rPr>
        <w:t>fiszkę informacyjną, rozwijaną i uzupełnianą przy udziale partnerów publicznych, może mieć istotne znaczenie dla oszacowania wpływu inicjatywy na sytuację społeczno-gospodarczą w Polsce, możliwości reagowania i zmieniania projektowanych przepisów oraz powinna ułatwić transpozycję przepisów UE do krajowego porządku prawnego.</w:t>
      </w:r>
    </w:p>
    <w:p w14:paraId="4B0F6347" w14:textId="24D0972A" w:rsidR="0043663F" w:rsidRPr="009576D8" w:rsidRDefault="0043663F"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3517EB" w:rsidRPr="009576D8">
        <w:rPr>
          <w:i/>
          <w:iCs/>
          <w:sz w:val="24"/>
          <w:szCs w:val="24"/>
        </w:rPr>
        <w:t>P</w:t>
      </w:r>
      <w:r w:rsidRPr="009576D8">
        <w:rPr>
          <w:i/>
          <w:iCs/>
          <w:sz w:val="24"/>
          <w:szCs w:val="24"/>
        </w:rPr>
        <w:t xml:space="preserve">rzyjęcie mechanizmu </w:t>
      </w:r>
      <w:r w:rsidR="003517EB" w:rsidRPr="009576D8">
        <w:rPr>
          <w:i/>
          <w:iCs/>
          <w:sz w:val="24"/>
          <w:szCs w:val="24"/>
        </w:rPr>
        <w:t xml:space="preserve">zwiększania wpływu na kształt inicjatyw UE </w:t>
      </w:r>
      <w:r w:rsidRPr="009576D8">
        <w:rPr>
          <w:i/>
          <w:iCs/>
          <w:sz w:val="24"/>
          <w:szCs w:val="24"/>
        </w:rPr>
        <w:t>przez KSE</w:t>
      </w:r>
      <w:r w:rsidR="003517EB" w:rsidRPr="009576D8">
        <w:rPr>
          <w:i/>
          <w:iCs/>
          <w:sz w:val="24"/>
          <w:szCs w:val="24"/>
        </w:rPr>
        <w:t xml:space="preserve"> </w:t>
      </w:r>
      <w:r w:rsidR="005F5163" w:rsidRPr="009576D8">
        <w:rPr>
          <w:i/>
          <w:iCs/>
          <w:sz w:val="24"/>
          <w:szCs w:val="24"/>
        </w:rPr>
        <w:t>i</w:t>
      </w:r>
      <w:r w:rsidR="005F5163">
        <w:rPr>
          <w:i/>
          <w:iCs/>
          <w:sz w:val="24"/>
          <w:szCs w:val="24"/>
        </w:rPr>
        <w:t> </w:t>
      </w:r>
      <w:r w:rsidR="003517EB" w:rsidRPr="009576D8">
        <w:rPr>
          <w:i/>
          <w:iCs/>
          <w:sz w:val="24"/>
          <w:szCs w:val="24"/>
        </w:rPr>
        <w:t>aktualizacja</w:t>
      </w:r>
      <w:r w:rsidRPr="009576D8">
        <w:rPr>
          <w:i/>
          <w:iCs/>
          <w:sz w:val="24"/>
          <w:szCs w:val="24"/>
        </w:rPr>
        <w:t xml:space="preserve"> zaleceń</w:t>
      </w:r>
      <w:r w:rsidRPr="009576D8">
        <w:rPr>
          <w:b/>
          <w:bCs/>
          <w:i/>
          <w:iCs/>
          <w:sz w:val="24"/>
          <w:szCs w:val="24"/>
        </w:rPr>
        <w:t xml:space="preserve"> </w:t>
      </w:r>
    </w:p>
    <w:p w14:paraId="7CBDE2B1" w14:textId="574641F4" w:rsidR="000856B7" w:rsidRDefault="0063425F"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1F6819" w:rsidRPr="009576D8">
        <w:rPr>
          <w:i/>
          <w:iCs/>
          <w:sz w:val="24"/>
          <w:szCs w:val="24"/>
        </w:rPr>
        <w:t>minister właściwy do spraw zagranicznych i członkostwa Rzeczypospolitej Polskiej w Unii Europejskiej</w:t>
      </w:r>
    </w:p>
    <w:p w14:paraId="11AA10B8" w14:textId="3FB70A0D" w:rsidR="000856B7" w:rsidRDefault="0043663F"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rPr>
      </w:pPr>
      <w:r w:rsidRPr="009576D8">
        <w:rPr>
          <w:b/>
          <w:bCs/>
          <w:i/>
          <w:iCs/>
          <w:sz w:val="24"/>
          <w:szCs w:val="24"/>
        </w:rPr>
        <w:t xml:space="preserve">Termin: </w:t>
      </w:r>
      <w:r w:rsidRPr="009576D8">
        <w:rPr>
          <w:i/>
          <w:iCs/>
          <w:sz w:val="24"/>
          <w:szCs w:val="24"/>
        </w:rPr>
        <w:t>do końca 2026</w:t>
      </w:r>
    </w:p>
    <w:p w14:paraId="17EE5673" w14:textId="1BAE8827" w:rsidR="0043663F" w:rsidRPr="009576D8" w:rsidRDefault="0043663F" w:rsidP="004F7D77">
      <w:pPr>
        <w:pStyle w:val="Nagwek2"/>
        <w:rPr>
          <w:b/>
          <w:bCs/>
        </w:rPr>
      </w:pPr>
      <w:bookmarkStart w:id="102" w:name="_Toc217927168"/>
      <w:bookmarkStart w:id="103" w:name="_Toc219276888"/>
      <w:r w:rsidRPr="009576D8">
        <w:rPr>
          <w:b/>
          <w:bCs/>
        </w:rPr>
        <w:lastRenderedPageBreak/>
        <w:t xml:space="preserve">Priorytet </w:t>
      </w:r>
      <w:r w:rsidR="00DD2254" w:rsidRPr="009576D8">
        <w:rPr>
          <w:b/>
          <w:bCs/>
        </w:rPr>
        <w:t>4</w:t>
      </w:r>
      <w:r w:rsidRPr="009576D8">
        <w:rPr>
          <w:b/>
          <w:bCs/>
        </w:rPr>
        <w:t xml:space="preserve"> – Tworzenie piaskownic regulacyjnych</w:t>
      </w:r>
      <w:bookmarkEnd w:id="102"/>
      <w:bookmarkEnd w:id="103"/>
      <w:r w:rsidRPr="009576D8">
        <w:rPr>
          <w:b/>
          <w:bCs/>
        </w:rPr>
        <w:t xml:space="preserve"> </w:t>
      </w:r>
    </w:p>
    <w:p w14:paraId="2D772AEF" w14:textId="4F3A188C" w:rsidR="0043663F" w:rsidRPr="009576D8" w:rsidRDefault="0043663F" w:rsidP="0057737F">
      <w:pPr>
        <w:spacing w:after="120" w:line="276" w:lineRule="auto"/>
        <w:rPr>
          <w:sz w:val="24"/>
          <w:szCs w:val="24"/>
        </w:rPr>
      </w:pPr>
      <w:r w:rsidRPr="009576D8">
        <w:rPr>
          <w:sz w:val="24"/>
          <w:szCs w:val="24"/>
        </w:rPr>
        <w:t xml:space="preserve">W dzisiejszym świecie szybkiego rozwoju technologicznego twórcy polityk publicznych stają przed wyzwaniem znalezienia właściwej równowagi między ochroną konsumentów i integralnością rynku, a wspieraniem innowacji. Nowe technologie często nie są w pełni zgodne z istniejącymi ramami regulacyjnymi. Może to prowadzić do niepewności, która hamuje innowacje, ponieważ przedsiębiorstwa mogą wahać się przed inwestowaniem </w:t>
      </w:r>
      <w:r w:rsidR="000856B7" w:rsidRPr="009576D8">
        <w:rPr>
          <w:sz w:val="24"/>
          <w:szCs w:val="24"/>
        </w:rPr>
        <w:t>w</w:t>
      </w:r>
      <w:r w:rsidR="000856B7">
        <w:rPr>
          <w:sz w:val="24"/>
          <w:szCs w:val="24"/>
        </w:rPr>
        <w:t> </w:t>
      </w:r>
      <w:r w:rsidRPr="009576D8">
        <w:rPr>
          <w:sz w:val="24"/>
          <w:szCs w:val="24"/>
        </w:rPr>
        <w:t>nowe technologie bez jasnej przewidywalności regulacyjnej. Dodatkowo, projektodawcy stają przed wyzwaniem dostosowania swoich ram regulacyjnych do</w:t>
      </w:r>
      <w:r w:rsidR="00C819B1">
        <w:rPr>
          <w:sz w:val="24"/>
          <w:szCs w:val="24"/>
        </w:rPr>
        <w:t> </w:t>
      </w:r>
      <w:r w:rsidRPr="009576D8">
        <w:rPr>
          <w:sz w:val="24"/>
          <w:szCs w:val="24"/>
        </w:rPr>
        <w:t xml:space="preserve">tempa postępu technologicznego. Jednym ze sposobów rozwiązania i złagodzenia tych dynamik są </w:t>
      </w:r>
      <w:r w:rsidR="000856B7">
        <w:rPr>
          <w:sz w:val="24"/>
          <w:szCs w:val="24"/>
        </w:rPr>
        <w:t xml:space="preserve">tzw. </w:t>
      </w:r>
      <w:r w:rsidRPr="009576D8">
        <w:rPr>
          <w:sz w:val="24"/>
          <w:szCs w:val="24"/>
        </w:rPr>
        <w:t>piaskownice regulacyjne</w:t>
      </w:r>
      <w:r w:rsidR="000D5756">
        <w:rPr>
          <w:sz w:val="24"/>
          <w:szCs w:val="24"/>
        </w:rPr>
        <w:t>.</w:t>
      </w:r>
      <w:r w:rsidRPr="009576D8">
        <w:rPr>
          <w:sz w:val="24"/>
          <w:szCs w:val="24"/>
        </w:rPr>
        <w:t xml:space="preserve"> </w:t>
      </w:r>
    </w:p>
    <w:p w14:paraId="4FB6CC4B" w14:textId="2462E8F3" w:rsidR="0043663F" w:rsidRPr="009576D8" w:rsidRDefault="0043663F" w:rsidP="0057737F">
      <w:pPr>
        <w:spacing w:after="120" w:line="276" w:lineRule="auto"/>
        <w:rPr>
          <w:sz w:val="24"/>
          <w:szCs w:val="24"/>
        </w:rPr>
      </w:pPr>
      <w:r w:rsidRPr="009576D8">
        <w:rPr>
          <w:sz w:val="24"/>
          <w:szCs w:val="24"/>
        </w:rPr>
        <w:t>Piaskownice to narzędzia, które umożliwiają testowanie nowych technologii lub</w:t>
      </w:r>
      <w:r w:rsidR="00C819B1">
        <w:rPr>
          <w:sz w:val="24"/>
          <w:szCs w:val="24"/>
        </w:rPr>
        <w:t> </w:t>
      </w:r>
      <w:r w:rsidRPr="009576D8">
        <w:rPr>
          <w:sz w:val="24"/>
          <w:szCs w:val="24"/>
        </w:rPr>
        <w:t>produktów w kontrolowanym, ale bardziej elastycznym środowisku, z minimalnym nadzorem regulacyjnym. Celem tych inicjatyw jest wspieranie innowacji przy jednoczesnym zachowaniu zasad ochrony konsumentów i rynku. Piaskownice umożliwiają rozwój technologii w kontrolowanych warunkach, gdzie organy nadzoru mogą monitorować i oceniać potencjalne ryzyka związane z nowymi rozwiązaniami.</w:t>
      </w:r>
    </w:p>
    <w:p w14:paraId="32C83F4D" w14:textId="7C14C964" w:rsidR="0043663F" w:rsidRPr="009576D8" w:rsidRDefault="0043663F" w:rsidP="0057737F">
      <w:pPr>
        <w:spacing w:after="120" w:line="276" w:lineRule="auto"/>
        <w:rPr>
          <w:sz w:val="24"/>
          <w:szCs w:val="24"/>
        </w:rPr>
      </w:pPr>
      <w:r w:rsidRPr="009576D8">
        <w:rPr>
          <w:sz w:val="24"/>
          <w:szCs w:val="24"/>
        </w:rPr>
        <w:t>Przeprowadzona przez Komisję Europejską w 2025 r. analiza na podstawie ankiet rozesłanych do państw członkowskich UE, wskazuje na znaczący rozwój piaskownic</w:t>
      </w:r>
      <w:r w:rsidR="00912AE5">
        <w:rPr>
          <w:sz w:val="24"/>
          <w:szCs w:val="24"/>
        </w:rPr>
        <w:t xml:space="preserve"> regulacyjnych</w:t>
      </w:r>
      <w:r w:rsidR="000856B7">
        <w:rPr>
          <w:sz w:val="24"/>
          <w:szCs w:val="24"/>
        </w:rPr>
        <w:t>, które</w:t>
      </w:r>
      <w:r w:rsidRPr="009576D8">
        <w:rPr>
          <w:sz w:val="24"/>
          <w:szCs w:val="24"/>
        </w:rPr>
        <w:t xml:space="preserve"> pozwalają przedsiębiorstwom na eksperymentowanie z nowymi rozwiązaniami </w:t>
      </w:r>
      <w:r w:rsidR="005F5163" w:rsidRPr="009576D8">
        <w:rPr>
          <w:sz w:val="24"/>
          <w:szCs w:val="24"/>
        </w:rPr>
        <w:t>w</w:t>
      </w:r>
      <w:r w:rsidR="005F5163">
        <w:rPr>
          <w:sz w:val="24"/>
          <w:szCs w:val="24"/>
        </w:rPr>
        <w:t> </w:t>
      </w:r>
      <w:r w:rsidRPr="009576D8">
        <w:rPr>
          <w:sz w:val="24"/>
          <w:szCs w:val="24"/>
        </w:rPr>
        <w:t xml:space="preserve">różnych dziedzinach, takich jak fintech, sztuczna inteligencja czy transport/mobilność. Czas trwania piaskownic </w:t>
      </w:r>
      <w:r w:rsidR="00912AE5">
        <w:rPr>
          <w:sz w:val="24"/>
          <w:szCs w:val="24"/>
        </w:rPr>
        <w:t xml:space="preserve">regulacyjnych </w:t>
      </w:r>
      <w:r w:rsidRPr="009576D8">
        <w:rPr>
          <w:sz w:val="24"/>
          <w:szCs w:val="24"/>
        </w:rPr>
        <w:t xml:space="preserve">w UE zazwyczaj wynosi od sześciu miesięcy do roku, </w:t>
      </w:r>
      <w:r w:rsidR="005F5163" w:rsidRPr="009576D8">
        <w:rPr>
          <w:sz w:val="24"/>
          <w:szCs w:val="24"/>
        </w:rPr>
        <w:t>z</w:t>
      </w:r>
      <w:r w:rsidR="005F5163">
        <w:rPr>
          <w:sz w:val="24"/>
          <w:szCs w:val="24"/>
        </w:rPr>
        <w:t> </w:t>
      </w:r>
      <w:r w:rsidRPr="009576D8">
        <w:rPr>
          <w:sz w:val="24"/>
          <w:szCs w:val="24"/>
        </w:rPr>
        <w:t xml:space="preserve">możliwością przedłużenia. W analizie w 2025 </w:t>
      </w:r>
      <w:r w:rsidR="000856B7">
        <w:rPr>
          <w:sz w:val="24"/>
          <w:szCs w:val="24"/>
        </w:rPr>
        <w:t xml:space="preserve">r. </w:t>
      </w:r>
      <w:r w:rsidRPr="009576D8">
        <w:rPr>
          <w:sz w:val="24"/>
          <w:szCs w:val="24"/>
        </w:rPr>
        <w:t>odnotowano łącznie 93 piaskownice regulacyjne</w:t>
      </w:r>
      <w:r w:rsidR="000856B7">
        <w:rPr>
          <w:sz w:val="24"/>
          <w:szCs w:val="24"/>
        </w:rPr>
        <w:t>,</w:t>
      </w:r>
      <w:r w:rsidRPr="009576D8">
        <w:rPr>
          <w:sz w:val="24"/>
          <w:szCs w:val="24"/>
        </w:rPr>
        <w:t xml:space="preserve"> z czego 70 w Niemczech. Piaskownice</w:t>
      </w:r>
      <w:r w:rsidR="00912AE5">
        <w:rPr>
          <w:sz w:val="24"/>
          <w:szCs w:val="24"/>
        </w:rPr>
        <w:t xml:space="preserve"> regulacyjne</w:t>
      </w:r>
      <w:r w:rsidRPr="009576D8">
        <w:rPr>
          <w:sz w:val="24"/>
          <w:szCs w:val="24"/>
        </w:rPr>
        <w:t xml:space="preserve"> funkcjonują również w Irlandii, Szwecji, Austrii, na Litwie, Hiszpanii, Portugalii Danii i we Włoszech. Dla porównania </w:t>
      </w:r>
      <w:r w:rsidR="000856B7" w:rsidRPr="009576D8">
        <w:rPr>
          <w:sz w:val="24"/>
          <w:szCs w:val="24"/>
        </w:rPr>
        <w:t>w</w:t>
      </w:r>
      <w:r w:rsidR="000856B7">
        <w:rPr>
          <w:sz w:val="24"/>
          <w:szCs w:val="24"/>
        </w:rPr>
        <w:t> </w:t>
      </w:r>
      <w:r w:rsidRPr="009576D8">
        <w:rPr>
          <w:sz w:val="24"/>
          <w:szCs w:val="24"/>
        </w:rPr>
        <w:t xml:space="preserve">2021 </w:t>
      </w:r>
      <w:r w:rsidR="00C14610" w:rsidRPr="009576D8">
        <w:rPr>
          <w:sz w:val="24"/>
          <w:szCs w:val="24"/>
        </w:rPr>
        <w:t xml:space="preserve">r. </w:t>
      </w:r>
      <w:r w:rsidRPr="009576D8">
        <w:rPr>
          <w:sz w:val="24"/>
          <w:szCs w:val="24"/>
        </w:rPr>
        <w:t>odnotowano 40 piaskownic regulacyjnych w 16 krajach.</w:t>
      </w:r>
    </w:p>
    <w:p w14:paraId="04A25805" w14:textId="015609F2" w:rsidR="00BC5640" w:rsidRPr="009576D8" w:rsidRDefault="004F7D77" w:rsidP="009576D8">
      <w:pPr>
        <w:pStyle w:val="Nagwek2"/>
      </w:pPr>
      <w:bookmarkStart w:id="104" w:name="_Toc217927169"/>
      <w:bookmarkStart w:id="105" w:name="_Toc219276889"/>
      <w:r w:rsidRPr="002D675B">
        <w:t>Działanie 4.1</w:t>
      </w:r>
      <w:r w:rsidR="000F199D">
        <w:t>.</w:t>
      </w:r>
      <w:r w:rsidRPr="002D675B">
        <w:t xml:space="preserve"> </w:t>
      </w:r>
      <w:r w:rsidR="00BC5640" w:rsidRPr="002D675B">
        <w:t>Rozwój systemu piaskownic regulacyjnych dla innowacji technologicznych</w:t>
      </w:r>
      <w:bookmarkEnd w:id="104"/>
      <w:bookmarkEnd w:id="105"/>
    </w:p>
    <w:p w14:paraId="6317618D" w14:textId="0C0B6944" w:rsidR="00BC5640" w:rsidRPr="009576D8" w:rsidRDefault="00BC5640" w:rsidP="0057737F">
      <w:pPr>
        <w:spacing w:line="276" w:lineRule="auto"/>
        <w:rPr>
          <w:sz w:val="24"/>
          <w:szCs w:val="24"/>
        </w:rPr>
      </w:pPr>
      <w:r w:rsidRPr="009576D8">
        <w:rPr>
          <w:sz w:val="24"/>
          <w:szCs w:val="24"/>
        </w:rPr>
        <w:t>Celem działania jest opracowanie i wdrożenie pilotażowego modelu piaskownic regulacyjnych w Polsce, jako narzędzia wspierającego rozwój innowacyjnych technologii w warunkach kontrolowanego eksperymentu regulacyjnego. Działanie ma charakter systemowy i</w:t>
      </w:r>
      <w:r w:rsidR="001E4F7A" w:rsidRPr="009576D8">
        <w:rPr>
          <w:sz w:val="24"/>
          <w:szCs w:val="24"/>
        </w:rPr>
        <w:t> </w:t>
      </w:r>
      <w:r w:rsidRPr="009576D8">
        <w:rPr>
          <w:sz w:val="24"/>
          <w:szCs w:val="24"/>
        </w:rPr>
        <w:t>przygotowawczy – jego efektem ma być wypracowanie ram operacyjnych, legislacyjnych i</w:t>
      </w:r>
      <w:r w:rsidR="001E4F7A" w:rsidRPr="009576D8">
        <w:rPr>
          <w:sz w:val="24"/>
          <w:szCs w:val="24"/>
        </w:rPr>
        <w:t> </w:t>
      </w:r>
      <w:r w:rsidRPr="009576D8">
        <w:rPr>
          <w:sz w:val="24"/>
          <w:szCs w:val="24"/>
        </w:rPr>
        <w:t>instytucjonalnych dla funkcjonowania piaskownic w wybranych obszarach technologicznych, ze szczególnym uwzględnieniem AI, danych, zaawansowanych materiałów oraz technologii cyfrowych. W działanie na każdym etapie będą angażowani różni interesariusze</w:t>
      </w:r>
      <w:r w:rsidR="005F5163">
        <w:rPr>
          <w:sz w:val="24"/>
          <w:szCs w:val="24"/>
        </w:rPr>
        <w:t>,</w:t>
      </w:r>
      <w:r w:rsidRPr="009576D8">
        <w:rPr>
          <w:sz w:val="24"/>
          <w:szCs w:val="24"/>
        </w:rPr>
        <w:t xml:space="preserve"> w tym przedstawiciele sektora innowacji, środowisk akademickich i think-tanków oraz organizacji konsumenckich i społecznych. </w:t>
      </w:r>
    </w:p>
    <w:p w14:paraId="13063EBC" w14:textId="0973085A" w:rsidR="00BC5640" w:rsidRPr="009576D8" w:rsidRDefault="00BC5640" w:rsidP="0057737F">
      <w:pPr>
        <w:spacing w:line="276" w:lineRule="auto"/>
        <w:rPr>
          <w:sz w:val="24"/>
          <w:szCs w:val="24"/>
        </w:rPr>
      </w:pPr>
      <w:r w:rsidRPr="009576D8">
        <w:rPr>
          <w:sz w:val="24"/>
          <w:szCs w:val="24"/>
        </w:rPr>
        <w:lastRenderedPageBreak/>
        <w:t>Opracowanie modelu operacyjnego piaskownic regulacyjnych będzie obejmowało procedury naboru uczestników, zasady testowania rozwiązań w warunkach regulacyjnych, mechanizmy nadzoru i oceny ryzyka, zasady odpowiedzialności podmiotów testujących</w:t>
      </w:r>
      <w:r w:rsidR="005F5163">
        <w:rPr>
          <w:sz w:val="24"/>
          <w:szCs w:val="24"/>
        </w:rPr>
        <w:t>,</w:t>
      </w:r>
      <w:r w:rsidRPr="009576D8">
        <w:rPr>
          <w:sz w:val="24"/>
          <w:szCs w:val="24"/>
        </w:rPr>
        <w:t xml:space="preserve"> zasady implementacji wyników testów do ram operacyjnych </w:t>
      </w:r>
      <w:r w:rsidR="005F5163" w:rsidRPr="009576D8">
        <w:rPr>
          <w:sz w:val="24"/>
          <w:szCs w:val="24"/>
        </w:rPr>
        <w:t>i</w:t>
      </w:r>
      <w:r w:rsidR="005F5163">
        <w:rPr>
          <w:sz w:val="24"/>
          <w:szCs w:val="24"/>
        </w:rPr>
        <w:t> </w:t>
      </w:r>
      <w:r w:rsidRPr="009576D8">
        <w:rPr>
          <w:sz w:val="24"/>
          <w:szCs w:val="24"/>
        </w:rPr>
        <w:t>legislacyjnych.</w:t>
      </w:r>
    </w:p>
    <w:p w14:paraId="71A163F9" w14:textId="28FED9EE" w:rsidR="00BC5640" w:rsidRPr="009576D8" w:rsidRDefault="00BC5640" w:rsidP="0057737F">
      <w:pPr>
        <w:spacing w:line="276" w:lineRule="auto"/>
        <w:rPr>
          <w:sz w:val="24"/>
          <w:szCs w:val="24"/>
        </w:rPr>
      </w:pPr>
      <w:r w:rsidRPr="009576D8">
        <w:rPr>
          <w:sz w:val="24"/>
          <w:szCs w:val="24"/>
        </w:rPr>
        <w:t xml:space="preserve">W celu </w:t>
      </w:r>
      <w:r w:rsidR="008F437F" w:rsidRPr="009576D8">
        <w:rPr>
          <w:sz w:val="24"/>
          <w:szCs w:val="24"/>
        </w:rPr>
        <w:t xml:space="preserve">przygotowania </w:t>
      </w:r>
      <w:r w:rsidRPr="009576D8">
        <w:rPr>
          <w:sz w:val="24"/>
          <w:szCs w:val="24"/>
        </w:rPr>
        <w:t>założeń legislacyjnych planuje się identyfikację niezbędnych zmian w</w:t>
      </w:r>
      <w:r w:rsidR="001E4F7A" w:rsidRPr="009576D8">
        <w:rPr>
          <w:sz w:val="24"/>
          <w:szCs w:val="24"/>
        </w:rPr>
        <w:t> </w:t>
      </w:r>
      <w:r w:rsidRPr="009576D8">
        <w:rPr>
          <w:sz w:val="24"/>
          <w:szCs w:val="24"/>
        </w:rPr>
        <w:t>ustawach sektorowych, opracowanie propozycji nowelizacji ustaw horyzontalnych (np.</w:t>
      </w:r>
      <w:r w:rsidR="00C819B1">
        <w:rPr>
          <w:sz w:val="24"/>
          <w:szCs w:val="24"/>
        </w:rPr>
        <w:t> </w:t>
      </w:r>
      <w:r w:rsidRPr="009576D8">
        <w:rPr>
          <w:sz w:val="24"/>
          <w:szCs w:val="24"/>
        </w:rPr>
        <w:t>o</w:t>
      </w:r>
      <w:r w:rsidR="001E4F7A" w:rsidRPr="009576D8">
        <w:rPr>
          <w:sz w:val="24"/>
          <w:szCs w:val="24"/>
        </w:rPr>
        <w:t> </w:t>
      </w:r>
      <w:r w:rsidRPr="009576D8">
        <w:rPr>
          <w:sz w:val="24"/>
          <w:szCs w:val="24"/>
        </w:rPr>
        <w:t xml:space="preserve">innowacyjności, </w:t>
      </w:r>
      <w:r w:rsidR="00C56433" w:rsidRPr="009576D8">
        <w:rPr>
          <w:sz w:val="24"/>
          <w:szCs w:val="24"/>
        </w:rPr>
        <w:t xml:space="preserve">Prawo </w:t>
      </w:r>
      <w:r w:rsidR="005F5163">
        <w:rPr>
          <w:sz w:val="24"/>
          <w:szCs w:val="24"/>
        </w:rPr>
        <w:t>p</w:t>
      </w:r>
      <w:r w:rsidR="00C56433" w:rsidRPr="009576D8">
        <w:rPr>
          <w:sz w:val="24"/>
          <w:szCs w:val="24"/>
        </w:rPr>
        <w:t>rzedsiębiorców</w:t>
      </w:r>
      <w:r w:rsidRPr="009576D8">
        <w:rPr>
          <w:sz w:val="24"/>
          <w:szCs w:val="24"/>
        </w:rPr>
        <w:t xml:space="preserve">, </w:t>
      </w:r>
      <w:r w:rsidR="005F5163">
        <w:rPr>
          <w:sz w:val="24"/>
          <w:szCs w:val="24"/>
        </w:rPr>
        <w:t xml:space="preserve">o </w:t>
      </w:r>
      <w:r w:rsidRPr="009576D8">
        <w:rPr>
          <w:sz w:val="24"/>
          <w:szCs w:val="24"/>
        </w:rPr>
        <w:t>ochronie danych) i</w:t>
      </w:r>
      <w:r w:rsidR="00C23D73">
        <w:rPr>
          <w:sz w:val="24"/>
          <w:szCs w:val="24"/>
        </w:rPr>
        <w:t> </w:t>
      </w:r>
      <w:r w:rsidRPr="009576D8">
        <w:rPr>
          <w:sz w:val="24"/>
          <w:szCs w:val="24"/>
        </w:rPr>
        <w:t>przeprowadzenie analizy zgodności z prawem UE (w tym AI Act, Data Act, Digital Services Act).</w:t>
      </w:r>
    </w:p>
    <w:p w14:paraId="578531B4" w14:textId="724F8283" w:rsidR="00BC5640" w:rsidRPr="009576D8" w:rsidRDefault="00BC5640" w:rsidP="0057737F">
      <w:pPr>
        <w:spacing w:line="276" w:lineRule="auto"/>
        <w:rPr>
          <w:sz w:val="24"/>
          <w:szCs w:val="24"/>
        </w:rPr>
      </w:pPr>
      <w:r w:rsidRPr="009576D8">
        <w:rPr>
          <w:sz w:val="24"/>
          <w:szCs w:val="24"/>
        </w:rPr>
        <w:t xml:space="preserve">Zaplanowano również uruchomienie pilotażowego projektu piaskownic </w:t>
      </w:r>
      <w:r w:rsidR="00591B3C">
        <w:rPr>
          <w:sz w:val="24"/>
          <w:szCs w:val="24"/>
        </w:rPr>
        <w:t>regulacyjnych</w:t>
      </w:r>
      <w:r w:rsidRPr="009576D8">
        <w:rPr>
          <w:sz w:val="24"/>
          <w:szCs w:val="24"/>
        </w:rPr>
        <w:t xml:space="preserve">, </w:t>
      </w:r>
      <w:r w:rsidR="005F5163" w:rsidRPr="009576D8">
        <w:rPr>
          <w:sz w:val="24"/>
          <w:szCs w:val="24"/>
        </w:rPr>
        <w:t>w</w:t>
      </w:r>
      <w:r w:rsidR="005F5163">
        <w:rPr>
          <w:sz w:val="24"/>
          <w:szCs w:val="24"/>
        </w:rPr>
        <w:t> </w:t>
      </w:r>
      <w:r w:rsidRPr="009576D8">
        <w:rPr>
          <w:sz w:val="24"/>
          <w:szCs w:val="24"/>
        </w:rPr>
        <w:t>ramach którego przeprowadzony zostanie nabór projektów w wybranym obszarze (np.</w:t>
      </w:r>
      <w:r w:rsidR="00591B3C">
        <w:t> </w:t>
      </w:r>
      <w:r w:rsidRPr="009576D8">
        <w:rPr>
          <w:sz w:val="24"/>
          <w:szCs w:val="24"/>
        </w:rPr>
        <w:t>medtech, dual use) oraz przetestowane zostaną mechanizmy współpracy między innowatorami a regulatorami.</w:t>
      </w:r>
    </w:p>
    <w:p w14:paraId="70BF87C2" w14:textId="6F4EC6F6" w:rsidR="0099223D" w:rsidRPr="009576D8" w:rsidRDefault="00BC5640" w:rsidP="0057737F">
      <w:pPr>
        <w:spacing w:line="276" w:lineRule="auto"/>
        <w:rPr>
          <w:sz w:val="24"/>
          <w:szCs w:val="24"/>
        </w:rPr>
      </w:pPr>
      <w:r w:rsidRPr="009576D8">
        <w:rPr>
          <w:sz w:val="24"/>
          <w:szCs w:val="24"/>
        </w:rPr>
        <w:t>Na koniec przewidziano opracowanie rekomendacji dla wdrożenia ogólnokrajowego modelu piaskownic regulacyjnych, obejmujących propozycje finansowania, model instytucjonalny i mechanizmy monitorowania i ewaluacji.</w:t>
      </w:r>
    </w:p>
    <w:p w14:paraId="587CFECE" w14:textId="2604E09B" w:rsidR="0043663F" w:rsidRPr="009576D8" w:rsidRDefault="0043663F"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3517EB" w:rsidRPr="009576D8">
        <w:rPr>
          <w:i/>
          <w:iCs/>
          <w:sz w:val="24"/>
          <w:szCs w:val="24"/>
        </w:rPr>
        <w:t>O</w:t>
      </w:r>
      <w:r w:rsidR="00BC5640" w:rsidRPr="009576D8">
        <w:rPr>
          <w:i/>
          <w:iCs/>
          <w:sz w:val="24"/>
          <w:szCs w:val="24"/>
        </w:rPr>
        <w:t xml:space="preserve">pracowanie i publikacja założeń operacyjnych </w:t>
      </w:r>
      <w:r w:rsidR="003517EB" w:rsidRPr="009576D8">
        <w:rPr>
          <w:i/>
          <w:iCs/>
          <w:sz w:val="24"/>
          <w:szCs w:val="24"/>
        </w:rPr>
        <w:t xml:space="preserve">oraz </w:t>
      </w:r>
      <w:r w:rsidR="00BC5640" w:rsidRPr="009576D8">
        <w:rPr>
          <w:i/>
          <w:iCs/>
          <w:sz w:val="24"/>
          <w:szCs w:val="24"/>
        </w:rPr>
        <w:t>przygotowanie projektu legislacyjnego (202</w:t>
      </w:r>
      <w:r w:rsidR="00591B3C">
        <w:rPr>
          <w:i/>
          <w:iCs/>
          <w:sz w:val="24"/>
          <w:szCs w:val="24"/>
        </w:rPr>
        <w:t>7</w:t>
      </w:r>
      <w:r w:rsidR="00BC5640" w:rsidRPr="009576D8">
        <w:rPr>
          <w:i/>
          <w:iCs/>
          <w:sz w:val="24"/>
          <w:szCs w:val="24"/>
        </w:rPr>
        <w:t>), uruchomienie pilotażu (202</w:t>
      </w:r>
      <w:r w:rsidR="00A72BA8">
        <w:rPr>
          <w:i/>
          <w:iCs/>
          <w:sz w:val="24"/>
          <w:szCs w:val="24"/>
        </w:rPr>
        <w:t>6</w:t>
      </w:r>
      <w:r w:rsidR="00BC5640" w:rsidRPr="009576D8">
        <w:rPr>
          <w:i/>
          <w:iCs/>
          <w:sz w:val="24"/>
          <w:szCs w:val="24"/>
        </w:rPr>
        <w:t>)</w:t>
      </w:r>
      <w:r w:rsidR="00BC5640" w:rsidRPr="009576D8">
        <w:rPr>
          <w:b/>
          <w:bCs/>
          <w:i/>
          <w:iCs/>
          <w:sz w:val="24"/>
          <w:szCs w:val="24"/>
        </w:rPr>
        <w:t xml:space="preserve"> </w:t>
      </w:r>
    </w:p>
    <w:p w14:paraId="0B226251" w14:textId="12BDC155" w:rsidR="005F5163" w:rsidRDefault="0043663F"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0368DC" w:rsidRPr="009576D8">
        <w:rPr>
          <w:i/>
          <w:iCs/>
          <w:sz w:val="24"/>
          <w:szCs w:val="24"/>
        </w:rPr>
        <w:t>minister właściwy do spraw gospodarki</w:t>
      </w:r>
      <w:r w:rsidR="00BC5640" w:rsidRPr="009576D8">
        <w:rPr>
          <w:i/>
          <w:iCs/>
          <w:sz w:val="24"/>
          <w:szCs w:val="24"/>
        </w:rPr>
        <w:t xml:space="preserve">, </w:t>
      </w:r>
      <w:r w:rsidR="00805173" w:rsidRPr="009576D8">
        <w:rPr>
          <w:i/>
          <w:iCs/>
          <w:sz w:val="24"/>
          <w:szCs w:val="24"/>
        </w:rPr>
        <w:t>minister właściwy do spraw informatyzacji</w:t>
      </w:r>
      <w:r w:rsidR="008075F1" w:rsidRPr="009576D8">
        <w:rPr>
          <w:i/>
          <w:iCs/>
          <w:sz w:val="24"/>
          <w:szCs w:val="24"/>
        </w:rPr>
        <w:t xml:space="preserve"> </w:t>
      </w:r>
      <w:r w:rsidR="000368DC" w:rsidRPr="009576D8">
        <w:rPr>
          <w:i/>
          <w:iCs/>
          <w:sz w:val="24"/>
          <w:szCs w:val="24"/>
        </w:rPr>
        <w:t>(</w:t>
      </w:r>
      <w:r w:rsidR="00BC5640" w:rsidRPr="009576D8">
        <w:rPr>
          <w:i/>
          <w:iCs/>
          <w:sz w:val="24"/>
          <w:szCs w:val="24"/>
        </w:rPr>
        <w:t>GovTech Polska</w:t>
      </w:r>
      <w:r w:rsidR="000368DC" w:rsidRPr="009576D8">
        <w:rPr>
          <w:i/>
          <w:iCs/>
          <w:sz w:val="24"/>
          <w:szCs w:val="24"/>
        </w:rPr>
        <w:t>)</w:t>
      </w:r>
      <w:r w:rsidR="00BC5640" w:rsidRPr="009576D8">
        <w:rPr>
          <w:i/>
          <w:iCs/>
          <w:sz w:val="24"/>
          <w:szCs w:val="24"/>
        </w:rPr>
        <w:t xml:space="preserve">, </w:t>
      </w:r>
      <w:r w:rsidR="007C2A80" w:rsidRPr="009576D8">
        <w:rPr>
          <w:i/>
          <w:iCs/>
          <w:sz w:val="24"/>
          <w:szCs w:val="24"/>
        </w:rPr>
        <w:t>Prezes Polskiej Agencji Rozwoju Przedsiębiorczości</w:t>
      </w:r>
    </w:p>
    <w:p w14:paraId="2E2E0C56" w14:textId="680B0DEE" w:rsidR="0057425E" w:rsidRPr="009576D8" w:rsidRDefault="0099223D"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2028</w:t>
      </w:r>
    </w:p>
    <w:p w14:paraId="7859DF37" w14:textId="35F0751D" w:rsidR="009C7D74" w:rsidRPr="004F7D77" w:rsidRDefault="004F7D77" w:rsidP="009576D8">
      <w:pPr>
        <w:pStyle w:val="Nagwek2"/>
      </w:pPr>
      <w:bookmarkStart w:id="106" w:name="_Toc217927170"/>
      <w:bookmarkStart w:id="107" w:name="_Toc219276890"/>
      <w:r>
        <w:t xml:space="preserve">Działanie </w:t>
      </w:r>
      <w:r w:rsidRPr="002D675B">
        <w:t>4.2</w:t>
      </w:r>
      <w:r w:rsidR="000F199D">
        <w:t>.</w:t>
      </w:r>
      <w:r w:rsidRPr="002D675B">
        <w:t xml:space="preserve"> </w:t>
      </w:r>
      <w:r w:rsidR="0006278A" w:rsidRPr="002D675B">
        <w:t>P</w:t>
      </w:r>
      <w:r w:rsidR="009C7D74" w:rsidRPr="002D675B">
        <w:t>rzygotowanie systemu piaskownic regulacyjnych dla sztucznej inteligencji</w:t>
      </w:r>
      <w:bookmarkEnd w:id="106"/>
      <w:bookmarkEnd w:id="107"/>
    </w:p>
    <w:p w14:paraId="0C096A8B" w14:textId="706B4E19" w:rsidR="009C7D74" w:rsidRPr="009576D8" w:rsidRDefault="009C7D74" w:rsidP="0057737F">
      <w:pPr>
        <w:spacing w:after="120" w:line="276" w:lineRule="auto"/>
        <w:rPr>
          <w:sz w:val="24"/>
          <w:szCs w:val="24"/>
        </w:rPr>
      </w:pPr>
      <w:r w:rsidRPr="009576D8">
        <w:rPr>
          <w:sz w:val="24"/>
          <w:szCs w:val="24"/>
        </w:rPr>
        <w:t>Dodatkowo, zgodnie z wymogami AI Act</w:t>
      </w:r>
      <w:r w:rsidR="005F5163">
        <w:rPr>
          <w:sz w:val="24"/>
          <w:szCs w:val="24"/>
        </w:rPr>
        <w:t>,</w:t>
      </w:r>
      <w:r w:rsidRPr="009576D8">
        <w:rPr>
          <w:sz w:val="24"/>
          <w:szCs w:val="24"/>
        </w:rPr>
        <w:t xml:space="preserve"> Polska uruchomi system piaskownic regulacyjnych dla sztucznej inteligencji. Piaskownice będą stanowiły bezpieczne środowisko testowe dla innowacyjnych rozwiązań AI, w tym dla </w:t>
      </w:r>
      <w:r w:rsidR="00F91911" w:rsidRPr="009576D8">
        <w:rPr>
          <w:sz w:val="24"/>
          <w:szCs w:val="24"/>
        </w:rPr>
        <w:t>MŚP</w:t>
      </w:r>
      <w:r w:rsidRPr="009576D8">
        <w:rPr>
          <w:sz w:val="24"/>
          <w:szCs w:val="24"/>
        </w:rPr>
        <w:t xml:space="preserve"> oraz startupów, z</w:t>
      </w:r>
      <w:r w:rsidR="007123DB">
        <w:rPr>
          <w:sz w:val="24"/>
          <w:szCs w:val="24"/>
        </w:rPr>
        <w:t> </w:t>
      </w:r>
      <w:r w:rsidRPr="009576D8">
        <w:rPr>
          <w:sz w:val="24"/>
          <w:szCs w:val="24"/>
        </w:rPr>
        <w:t>bezpłatnym dostępem dla MŚP. Harmonogram wdrożenia piaskownic jest powiązany z</w:t>
      </w:r>
      <w:r w:rsidR="007123DB">
        <w:rPr>
          <w:sz w:val="24"/>
          <w:szCs w:val="24"/>
        </w:rPr>
        <w:t> </w:t>
      </w:r>
      <w:r w:rsidRPr="009576D8">
        <w:rPr>
          <w:sz w:val="24"/>
          <w:szCs w:val="24"/>
        </w:rPr>
        <w:t xml:space="preserve">pracami </w:t>
      </w:r>
      <w:r w:rsidR="007123DB">
        <w:rPr>
          <w:sz w:val="24"/>
          <w:szCs w:val="24"/>
        </w:rPr>
        <w:t>KE</w:t>
      </w:r>
      <w:r w:rsidRPr="009576D8">
        <w:rPr>
          <w:sz w:val="24"/>
          <w:szCs w:val="24"/>
        </w:rPr>
        <w:t xml:space="preserve"> nad standardami i</w:t>
      </w:r>
      <w:r w:rsidR="0057737F">
        <w:rPr>
          <w:sz w:val="24"/>
          <w:szCs w:val="24"/>
        </w:rPr>
        <w:t> </w:t>
      </w:r>
      <w:r w:rsidRPr="009576D8">
        <w:rPr>
          <w:sz w:val="24"/>
          <w:szCs w:val="24"/>
        </w:rPr>
        <w:t xml:space="preserve">wytycznymi. W świetle dostępnych informacji przewiduje się, że pełna implementacja europejskich standardów nastąpi najwcześniej w sierpniu 2026 r. Piaskownice będą zintegrowane z krajową infrastrukturą obliczeniową (Fabryki AI, Rządowa Chmura Obliczeniowa) oraz platformą AI HUB Poland, co zapewni dostęp do mocy obliczeniowych i danych w sposób zgodny </w:t>
      </w:r>
      <w:r w:rsidR="005F5163" w:rsidRPr="009576D8">
        <w:rPr>
          <w:sz w:val="24"/>
          <w:szCs w:val="24"/>
        </w:rPr>
        <w:t>z</w:t>
      </w:r>
      <w:r w:rsidR="005F5163">
        <w:rPr>
          <w:sz w:val="24"/>
          <w:szCs w:val="24"/>
        </w:rPr>
        <w:t> </w:t>
      </w:r>
      <w:r w:rsidRPr="009576D8">
        <w:rPr>
          <w:sz w:val="24"/>
          <w:szCs w:val="24"/>
        </w:rPr>
        <w:t xml:space="preserve">regulacjami. </w:t>
      </w:r>
    </w:p>
    <w:p w14:paraId="2BF8177E" w14:textId="0F924150" w:rsidR="00B2619C" w:rsidRPr="009576D8" w:rsidRDefault="009C7D74"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Wskaźnik: </w:t>
      </w:r>
      <w:r w:rsidR="003517EB" w:rsidRPr="009576D8">
        <w:rPr>
          <w:i/>
          <w:iCs/>
          <w:sz w:val="24"/>
          <w:szCs w:val="24"/>
        </w:rPr>
        <w:t>U</w:t>
      </w:r>
      <w:r w:rsidR="009D3DF2" w:rsidRPr="009576D8">
        <w:rPr>
          <w:i/>
          <w:iCs/>
          <w:sz w:val="24"/>
          <w:szCs w:val="24"/>
        </w:rPr>
        <w:t>ruchomienie sy</w:t>
      </w:r>
      <w:r w:rsidR="000E01FC" w:rsidRPr="009576D8">
        <w:rPr>
          <w:i/>
          <w:iCs/>
          <w:sz w:val="24"/>
          <w:szCs w:val="24"/>
        </w:rPr>
        <w:t>s</w:t>
      </w:r>
      <w:r w:rsidR="009D3DF2" w:rsidRPr="009576D8">
        <w:rPr>
          <w:i/>
          <w:iCs/>
          <w:sz w:val="24"/>
          <w:szCs w:val="24"/>
        </w:rPr>
        <w:t>temu piaskownic</w:t>
      </w:r>
    </w:p>
    <w:p w14:paraId="4A988939" w14:textId="4FA11D97" w:rsidR="005F5163" w:rsidRDefault="009C7D74" w:rsidP="0057737F">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Realizacja: </w:t>
      </w:r>
      <w:r w:rsidR="00805173" w:rsidRPr="009576D8">
        <w:rPr>
          <w:i/>
          <w:iCs/>
          <w:sz w:val="24"/>
          <w:szCs w:val="24"/>
        </w:rPr>
        <w:t>minister właściwy do spraw informatyzacji</w:t>
      </w:r>
    </w:p>
    <w:p w14:paraId="3C12B4E7" w14:textId="17D9ABD3" w:rsidR="009B1450" w:rsidRPr="007123DB" w:rsidRDefault="00B2619C" w:rsidP="007123DB">
      <w:pPr>
        <w:pBdr>
          <w:top w:val="single" w:sz="4" w:space="1" w:color="auto"/>
          <w:left w:val="single" w:sz="4" w:space="4" w:color="auto"/>
          <w:bottom w:val="single" w:sz="4" w:space="1" w:color="auto"/>
          <w:right w:val="single" w:sz="4" w:space="4" w:color="auto"/>
        </w:pBdr>
        <w:shd w:val="clear" w:color="auto" w:fill="DAE9F7" w:themeFill="text2" w:themeFillTint="1A"/>
        <w:spacing w:after="120" w:line="276" w:lineRule="auto"/>
        <w:rPr>
          <w:b/>
          <w:bCs/>
          <w:i/>
          <w:iCs/>
          <w:sz w:val="24"/>
          <w:szCs w:val="24"/>
        </w:rPr>
      </w:pPr>
      <w:r w:rsidRPr="009576D8">
        <w:rPr>
          <w:b/>
          <w:bCs/>
          <w:i/>
          <w:iCs/>
          <w:sz w:val="24"/>
          <w:szCs w:val="24"/>
        </w:rPr>
        <w:t xml:space="preserve">Termin: </w:t>
      </w:r>
      <w:r w:rsidRPr="009576D8">
        <w:rPr>
          <w:i/>
          <w:iCs/>
          <w:sz w:val="24"/>
          <w:szCs w:val="24"/>
        </w:rPr>
        <w:t>do końca 2028</w:t>
      </w:r>
    </w:p>
    <w:p w14:paraId="7E1376D7" w14:textId="26D7B39F" w:rsidR="00103930" w:rsidRPr="009576D8" w:rsidRDefault="00103930" w:rsidP="00825E02">
      <w:pPr>
        <w:pStyle w:val="Nagwek1"/>
        <w:pageBreakBefore/>
        <w:numPr>
          <w:ilvl w:val="0"/>
          <w:numId w:val="4"/>
        </w:numPr>
        <w:ind w:left="1077"/>
        <w:rPr>
          <w:rFonts w:asciiTheme="minorHAnsi" w:hAnsiTheme="minorHAnsi"/>
          <w:b/>
          <w:bCs/>
          <w:sz w:val="36"/>
          <w:szCs w:val="36"/>
        </w:rPr>
      </w:pPr>
      <w:bookmarkStart w:id="108" w:name="_Toc217927171"/>
      <w:bookmarkStart w:id="109" w:name="_Toc219276891"/>
      <w:r w:rsidRPr="009576D8">
        <w:rPr>
          <w:rFonts w:asciiTheme="minorHAnsi" w:hAnsiTheme="minorHAnsi"/>
          <w:b/>
          <w:bCs/>
          <w:sz w:val="36"/>
          <w:szCs w:val="36"/>
        </w:rPr>
        <w:lastRenderedPageBreak/>
        <w:t>Monitorowanie realizacji programu</w:t>
      </w:r>
      <w:bookmarkEnd w:id="108"/>
      <w:bookmarkEnd w:id="109"/>
    </w:p>
    <w:p w14:paraId="03B2F4F0" w14:textId="184AB517" w:rsidR="00103930" w:rsidRPr="00E83EC8" w:rsidRDefault="00103930" w:rsidP="0057737F">
      <w:pPr>
        <w:spacing w:after="120" w:line="276" w:lineRule="auto"/>
        <w:rPr>
          <w:szCs w:val="24"/>
        </w:rPr>
      </w:pPr>
      <w:r w:rsidRPr="009576D8">
        <w:rPr>
          <w:sz w:val="24"/>
          <w:szCs w:val="24"/>
        </w:rPr>
        <w:t>Na podstawie art. 7</w:t>
      </w:r>
      <w:r w:rsidR="00912AE5">
        <w:rPr>
          <w:sz w:val="24"/>
          <w:szCs w:val="24"/>
        </w:rPr>
        <w:t>1</w:t>
      </w:r>
      <w:r w:rsidRPr="009576D8">
        <w:rPr>
          <w:sz w:val="24"/>
          <w:szCs w:val="24"/>
        </w:rPr>
        <w:t>a ust. 5 Prawa przedsiębiorców minister właściwy do spraw gospodarki koordynuje realizację Programu. Koordynacja programu oznacza m.in.</w:t>
      </w:r>
      <w:r w:rsidR="00C819B1">
        <w:rPr>
          <w:sz w:val="24"/>
          <w:szCs w:val="24"/>
        </w:rPr>
        <w:t> </w:t>
      </w:r>
      <w:r w:rsidRPr="009576D8">
        <w:rPr>
          <w:sz w:val="24"/>
          <w:szCs w:val="24"/>
        </w:rPr>
        <w:t xml:space="preserve">konieczność upowszechniania standardów i rekomendacji w zakresie objętym </w:t>
      </w:r>
      <w:r w:rsidR="00912AE5">
        <w:rPr>
          <w:sz w:val="24"/>
          <w:szCs w:val="24"/>
        </w:rPr>
        <w:t>P</w:t>
      </w:r>
      <w:r w:rsidRPr="009576D8">
        <w:rPr>
          <w:sz w:val="24"/>
          <w:szCs w:val="24"/>
        </w:rPr>
        <w:t>rogramem, gromadzenia i analizowania informacji związanych z inicjatywami legislacyjnymi, przygotowywanie i przedstawianie informacji w ramach zobowiązań Rzeczypospolitej Polskiej wynikających m.in. z członkostwa Polski w OECD, w</w:t>
      </w:r>
      <w:r w:rsidR="004F7D77">
        <w:rPr>
          <w:sz w:val="24"/>
          <w:szCs w:val="24"/>
        </w:rPr>
        <w:t> </w:t>
      </w:r>
      <w:r w:rsidRPr="009576D8">
        <w:rPr>
          <w:sz w:val="24"/>
          <w:szCs w:val="24"/>
        </w:rPr>
        <w:t>szczególności w ramach okresowego przedstawiania przez państwa członkowskie informacji w badaniu iREG, na podstawie którego opracowywane i publikowane są raporty Regulatory Policy Outlook.</w:t>
      </w:r>
    </w:p>
    <w:p w14:paraId="285DB8D4" w14:textId="0511E809" w:rsidR="00FD0E77" w:rsidRPr="009576D8" w:rsidRDefault="00103930" w:rsidP="0057737F">
      <w:pPr>
        <w:spacing w:after="120" w:line="276" w:lineRule="auto"/>
        <w:rPr>
          <w:sz w:val="24"/>
          <w:szCs w:val="24"/>
        </w:rPr>
      </w:pPr>
      <w:r w:rsidRPr="009576D8">
        <w:rPr>
          <w:sz w:val="24"/>
          <w:szCs w:val="24"/>
        </w:rPr>
        <w:t xml:space="preserve">Minister właściwy do spraw gospodarki będzie realizował obowiązek sprawozdawczy związany z monitorowaniem realizacji </w:t>
      </w:r>
      <w:r w:rsidR="00912AE5">
        <w:rPr>
          <w:sz w:val="24"/>
          <w:szCs w:val="24"/>
        </w:rPr>
        <w:t>P</w:t>
      </w:r>
      <w:r w:rsidRPr="009576D8">
        <w:rPr>
          <w:sz w:val="24"/>
          <w:szCs w:val="24"/>
        </w:rPr>
        <w:t>rogramu</w:t>
      </w:r>
      <w:r w:rsidR="00FD0E77" w:rsidRPr="009576D8">
        <w:rPr>
          <w:sz w:val="24"/>
          <w:szCs w:val="24"/>
        </w:rPr>
        <w:t xml:space="preserve"> w zakresie terminowej i zgodnej z przyjętymi założeniami realizacji dokumentu </w:t>
      </w:r>
      <w:r w:rsidR="004F7D77">
        <w:rPr>
          <w:sz w:val="24"/>
          <w:szCs w:val="24"/>
        </w:rPr>
        <w:t>przez</w:t>
      </w:r>
      <w:r w:rsidR="00FD0E77" w:rsidRPr="009576D8">
        <w:rPr>
          <w:sz w:val="24"/>
          <w:szCs w:val="24"/>
        </w:rPr>
        <w:t xml:space="preserve"> poszczególn</w:t>
      </w:r>
      <w:r w:rsidR="004F7D77">
        <w:rPr>
          <w:sz w:val="24"/>
          <w:szCs w:val="24"/>
        </w:rPr>
        <w:t>e</w:t>
      </w:r>
      <w:r w:rsidR="00FD0E77" w:rsidRPr="009576D8">
        <w:rPr>
          <w:sz w:val="24"/>
          <w:szCs w:val="24"/>
        </w:rPr>
        <w:t xml:space="preserve"> podmiot</w:t>
      </w:r>
      <w:r w:rsidR="004F7D77">
        <w:rPr>
          <w:sz w:val="24"/>
          <w:szCs w:val="24"/>
        </w:rPr>
        <w:t>y</w:t>
      </w:r>
      <w:r w:rsidR="00FD0E77" w:rsidRPr="009576D8">
        <w:rPr>
          <w:sz w:val="24"/>
          <w:szCs w:val="24"/>
        </w:rPr>
        <w:t xml:space="preserve"> pod kątem osiągania przyjętych celów Programu. </w:t>
      </w:r>
    </w:p>
    <w:p w14:paraId="036B412E" w14:textId="1AFF48FC" w:rsidR="00103930" w:rsidRPr="00E83EC8" w:rsidRDefault="00FD0E77" w:rsidP="0057737F">
      <w:pPr>
        <w:spacing w:after="120" w:line="276" w:lineRule="auto"/>
        <w:rPr>
          <w:szCs w:val="24"/>
        </w:rPr>
      </w:pPr>
      <w:r w:rsidRPr="009576D8">
        <w:rPr>
          <w:sz w:val="24"/>
          <w:szCs w:val="24"/>
        </w:rPr>
        <w:t xml:space="preserve">W oparciu o wskaźniki zawarte w </w:t>
      </w:r>
      <w:r w:rsidR="00912AE5">
        <w:rPr>
          <w:sz w:val="24"/>
          <w:szCs w:val="24"/>
        </w:rPr>
        <w:t>P</w:t>
      </w:r>
      <w:r w:rsidRPr="009576D8">
        <w:rPr>
          <w:sz w:val="24"/>
          <w:szCs w:val="24"/>
        </w:rPr>
        <w:t xml:space="preserve">rogramie pod każdym zaproponowanym działaniem, powstanie kompleksowy raport, podsumowujący całokształt realizacji Programu oraz wpływu na realizację wyznaczonego celu. </w:t>
      </w:r>
      <w:r w:rsidR="00103930" w:rsidRPr="009576D8">
        <w:rPr>
          <w:sz w:val="24"/>
          <w:szCs w:val="24"/>
        </w:rPr>
        <w:t xml:space="preserve"> </w:t>
      </w:r>
    </w:p>
    <w:p w14:paraId="6E9228F1" w14:textId="77777777" w:rsidR="009B1450" w:rsidRPr="009576D8" w:rsidRDefault="009B1450">
      <w:pPr>
        <w:rPr>
          <w:rFonts w:eastAsiaTheme="majorEastAsia" w:cstheme="majorBidi"/>
          <w:color w:val="0F4761" w:themeColor="accent1" w:themeShade="BF"/>
          <w:sz w:val="40"/>
          <w:szCs w:val="40"/>
        </w:rPr>
      </w:pPr>
      <w:r w:rsidRPr="009576D8">
        <w:br w:type="page"/>
      </w:r>
    </w:p>
    <w:p w14:paraId="27D6498A" w14:textId="179FF54C" w:rsidR="007E757D" w:rsidRPr="009576D8" w:rsidRDefault="00C10FBC" w:rsidP="003751B8">
      <w:pPr>
        <w:pStyle w:val="Nagwek1"/>
        <w:rPr>
          <w:rFonts w:asciiTheme="minorHAnsi" w:hAnsiTheme="minorHAnsi"/>
        </w:rPr>
      </w:pPr>
      <w:bookmarkStart w:id="110" w:name="_Toc217927172"/>
      <w:bookmarkStart w:id="111" w:name="_Toc219276892"/>
      <w:r w:rsidRPr="009576D8">
        <w:rPr>
          <w:rFonts w:asciiTheme="minorHAnsi" w:hAnsiTheme="minorHAnsi"/>
        </w:rPr>
        <w:lastRenderedPageBreak/>
        <w:t>Wykaz skrótów</w:t>
      </w:r>
      <w:bookmarkEnd w:id="110"/>
      <w:bookmarkEnd w:id="111"/>
    </w:p>
    <w:p w14:paraId="086A4C70" w14:textId="3BC3AC88" w:rsidR="000D7F56" w:rsidRPr="007123DB" w:rsidRDefault="000D7F56" w:rsidP="00C10FBC">
      <w:pPr>
        <w:rPr>
          <w:sz w:val="24"/>
          <w:szCs w:val="24"/>
        </w:rPr>
      </w:pPr>
      <w:r w:rsidRPr="009576D8">
        <w:rPr>
          <w:sz w:val="24"/>
          <w:szCs w:val="24"/>
        </w:rPr>
        <w:t xml:space="preserve">AI – sztuczna inteligencja (ang. </w:t>
      </w:r>
      <w:r w:rsidR="002F5CA5">
        <w:rPr>
          <w:sz w:val="24"/>
          <w:szCs w:val="24"/>
        </w:rPr>
        <w:t>„</w:t>
      </w:r>
      <w:r w:rsidR="002F5CA5" w:rsidRPr="007123DB">
        <w:rPr>
          <w:sz w:val="24"/>
          <w:szCs w:val="24"/>
        </w:rPr>
        <w:t>a</w:t>
      </w:r>
      <w:r w:rsidRPr="007123DB">
        <w:rPr>
          <w:sz w:val="24"/>
          <w:szCs w:val="24"/>
        </w:rPr>
        <w:t xml:space="preserve">rtificial </w:t>
      </w:r>
      <w:r w:rsidR="002F5CA5" w:rsidRPr="007123DB">
        <w:rPr>
          <w:sz w:val="24"/>
          <w:szCs w:val="24"/>
        </w:rPr>
        <w:t>i</w:t>
      </w:r>
      <w:r w:rsidRPr="007123DB">
        <w:rPr>
          <w:sz w:val="24"/>
          <w:szCs w:val="24"/>
        </w:rPr>
        <w:t>ntelligence</w:t>
      </w:r>
      <w:r w:rsidR="002F5CA5" w:rsidRPr="007123DB">
        <w:rPr>
          <w:sz w:val="24"/>
          <w:szCs w:val="24"/>
        </w:rPr>
        <w:t>”</w:t>
      </w:r>
      <w:r w:rsidRPr="007123DB">
        <w:rPr>
          <w:sz w:val="24"/>
          <w:szCs w:val="24"/>
        </w:rPr>
        <w:t>)</w:t>
      </w:r>
    </w:p>
    <w:p w14:paraId="48614B15" w14:textId="1B60E3EE" w:rsidR="00B43D25" w:rsidRPr="009576D8" w:rsidRDefault="00B43D25" w:rsidP="00C10FBC">
      <w:pPr>
        <w:rPr>
          <w:sz w:val="24"/>
          <w:szCs w:val="24"/>
        </w:rPr>
      </w:pPr>
      <w:r w:rsidRPr="009576D8">
        <w:rPr>
          <w:sz w:val="24"/>
          <w:szCs w:val="24"/>
        </w:rPr>
        <w:t>CRBR – Centralny Rejestr Beneficjentów Rzeczywistych</w:t>
      </w:r>
    </w:p>
    <w:p w14:paraId="59D8DD6F" w14:textId="78E3E7A0" w:rsidR="005450D2" w:rsidRDefault="005450D2" w:rsidP="00C10FBC">
      <w:pPr>
        <w:rPr>
          <w:sz w:val="24"/>
          <w:szCs w:val="24"/>
        </w:rPr>
      </w:pPr>
      <w:r w:rsidRPr="009576D8">
        <w:rPr>
          <w:sz w:val="24"/>
          <w:szCs w:val="24"/>
        </w:rPr>
        <w:t>eRPL – elektroniczny Rządowy Proces Legislacyjny</w:t>
      </w:r>
    </w:p>
    <w:p w14:paraId="4330167C" w14:textId="79143849" w:rsidR="00317CD9" w:rsidRPr="009576D8" w:rsidRDefault="00317CD9" w:rsidP="00C10FBC">
      <w:pPr>
        <w:rPr>
          <w:sz w:val="24"/>
          <w:szCs w:val="24"/>
        </w:rPr>
      </w:pPr>
      <w:r>
        <w:rPr>
          <w:sz w:val="24"/>
          <w:szCs w:val="24"/>
        </w:rPr>
        <w:t xml:space="preserve">EKES – </w:t>
      </w:r>
      <w:r w:rsidRPr="00317CD9">
        <w:rPr>
          <w:sz w:val="24"/>
          <w:szCs w:val="24"/>
        </w:rPr>
        <w:t>Europejski Komitet Ekonomiczno-Społeczny</w:t>
      </w:r>
    </w:p>
    <w:p w14:paraId="56906A21" w14:textId="752B2589" w:rsidR="006146BF" w:rsidRPr="009576D8" w:rsidRDefault="006146BF" w:rsidP="00C10FBC">
      <w:pPr>
        <w:rPr>
          <w:sz w:val="24"/>
          <w:szCs w:val="24"/>
        </w:rPr>
      </w:pPr>
      <w:r w:rsidRPr="009576D8">
        <w:rPr>
          <w:sz w:val="24"/>
          <w:szCs w:val="24"/>
        </w:rPr>
        <w:t>GUS – Główny Urząd Statystyczny</w:t>
      </w:r>
    </w:p>
    <w:p w14:paraId="537F993C" w14:textId="697C1FB2" w:rsidR="0045197D" w:rsidRPr="009576D8" w:rsidRDefault="0045197D" w:rsidP="00C10FBC">
      <w:pPr>
        <w:rPr>
          <w:sz w:val="24"/>
          <w:szCs w:val="24"/>
        </w:rPr>
      </w:pPr>
      <w:r w:rsidRPr="009576D8">
        <w:rPr>
          <w:sz w:val="24"/>
          <w:szCs w:val="24"/>
        </w:rPr>
        <w:t>KE – Komisja Europejska</w:t>
      </w:r>
    </w:p>
    <w:p w14:paraId="157BF600" w14:textId="7E5EE99B" w:rsidR="00BB7BF9" w:rsidRPr="009576D8" w:rsidRDefault="00BB7BF9" w:rsidP="00BB7BF9">
      <w:pPr>
        <w:rPr>
          <w:sz w:val="24"/>
          <w:szCs w:val="24"/>
        </w:rPr>
      </w:pPr>
      <w:r w:rsidRPr="009576D8">
        <w:rPr>
          <w:sz w:val="24"/>
          <w:szCs w:val="24"/>
        </w:rPr>
        <w:t>KRS – Krajowy Rejestr Sądowy</w:t>
      </w:r>
    </w:p>
    <w:p w14:paraId="4DA2E5E6" w14:textId="12CDC36C" w:rsidR="00D1388D" w:rsidRPr="009576D8" w:rsidRDefault="00D1388D" w:rsidP="00BB7BF9">
      <w:pPr>
        <w:rPr>
          <w:sz w:val="24"/>
          <w:szCs w:val="24"/>
        </w:rPr>
      </w:pPr>
      <w:r w:rsidRPr="009576D8">
        <w:rPr>
          <w:sz w:val="24"/>
          <w:szCs w:val="24"/>
        </w:rPr>
        <w:t>KSE – Komitet do Spraw Europejskich</w:t>
      </w:r>
    </w:p>
    <w:p w14:paraId="64A2EEF0" w14:textId="4DDB00F3" w:rsidR="00914DE5" w:rsidRPr="009576D8" w:rsidRDefault="00914DE5" w:rsidP="00BB7BF9">
      <w:pPr>
        <w:rPr>
          <w:sz w:val="24"/>
          <w:szCs w:val="24"/>
        </w:rPr>
      </w:pPr>
      <w:r w:rsidRPr="009576D8">
        <w:rPr>
          <w:sz w:val="24"/>
          <w:szCs w:val="24"/>
        </w:rPr>
        <w:t>MKS – Model Kosztu Standardowego</w:t>
      </w:r>
    </w:p>
    <w:p w14:paraId="5CCBFEFD" w14:textId="74E57447" w:rsidR="00F90E97" w:rsidRPr="009576D8" w:rsidRDefault="00F90E97" w:rsidP="00C10FBC">
      <w:pPr>
        <w:rPr>
          <w:sz w:val="24"/>
          <w:szCs w:val="24"/>
        </w:rPr>
      </w:pPr>
      <w:r w:rsidRPr="009576D8">
        <w:rPr>
          <w:sz w:val="24"/>
          <w:szCs w:val="24"/>
        </w:rPr>
        <w:t>MŚP – mikro-, małe i średnie przedsiębiorstwa</w:t>
      </w:r>
    </w:p>
    <w:p w14:paraId="500B7CA8" w14:textId="48B9DB3C" w:rsidR="00F507F1" w:rsidRPr="009576D8" w:rsidRDefault="00F507F1" w:rsidP="00C10FBC">
      <w:pPr>
        <w:rPr>
          <w:sz w:val="24"/>
          <w:szCs w:val="24"/>
        </w:rPr>
      </w:pPr>
      <w:r w:rsidRPr="009576D8">
        <w:rPr>
          <w:sz w:val="24"/>
          <w:szCs w:val="24"/>
        </w:rPr>
        <w:t>NIK</w:t>
      </w:r>
      <w:r w:rsidR="0006278A" w:rsidRPr="009576D8">
        <w:rPr>
          <w:sz w:val="24"/>
          <w:szCs w:val="24"/>
        </w:rPr>
        <w:t xml:space="preserve"> –</w:t>
      </w:r>
      <w:r w:rsidRPr="009576D8">
        <w:rPr>
          <w:sz w:val="24"/>
          <w:szCs w:val="24"/>
        </w:rPr>
        <w:t xml:space="preserve"> Najwyższa Izba Kontroli</w:t>
      </w:r>
    </w:p>
    <w:p w14:paraId="5C3D8129" w14:textId="181F870A" w:rsidR="00C10FBC" w:rsidRPr="009576D8" w:rsidRDefault="00C10FBC" w:rsidP="00C10FBC">
      <w:pPr>
        <w:rPr>
          <w:sz w:val="24"/>
          <w:szCs w:val="24"/>
          <w:lang w:val="en-GB"/>
        </w:rPr>
      </w:pPr>
      <w:r w:rsidRPr="009576D8">
        <w:rPr>
          <w:sz w:val="24"/>
          <w:szCs w:val="24"/>
        </w:rPr>
        <w:t xml:space="preserve">OECD – </w:t>
      </w:r>
      <w:r w:rsidR="009A615B" w:rsidRPr="009576D8">
        <w:rPr>
          <w:sz w:val="24"/>
          <w:szCs w:val="24"/>
        </w:rPr>
        <w:t xml:space="preserve">Organizacja Współpracy Gospodarczej i Rozwoju (ang. </w:t>
      </w:r>
      <w:r w:rsidRPr="009576D8">
        <w:rPr>
          <w:sz w:val="24"/>
          <w:szCs w:val="24"/>
          <w:lang w:val="en-GB"/>
        </w:rPr>
        <w:t>Organisation for Economic Co-operation and Development</w:t>
      </w:r>
    </w:p>
    <w:p w14:paraId="58F4BB92" w14:textId="11FDEE0A" w:rsidR="00F767FF" w:rsidRPr="009576D8" w:rsidRDefault="00F767FF" w:rsidP="00C10FBC">
      <w:pPr>
        <w:rPr>
          <w:sz w:val="24"/>
          <w:szCs w:val="24"/>
        </w:rPr>
      </w:pPr>
      <w:r w:rsidRPr="009576D8">
        <w:rPr>
          <w:sz w:val="24"/>
          <w:szCs w:val="24"/>
        </w:rPr>
        <w:t xml:space="preserve">RCL – </w:t>
      </w:r>
      <w:r w:rsidR="009050A3" w:rsidRPr="009576D8">
        <w:rPr>
          <w:sz w:val="24"/>
          <w:szCs w:val="24"/>
        </w:rPr>
        <w:t>Rządowe Centrum Legislacji</w:t>
      </w:r>
    </w:p>
    <w:p w14:paraId="7F6DFE20" w14:textId="6D3007EC" w:rsidR="0045197D" w:rsidRPr="009576D8" w:rsidRDefault="0045197D" w:rsidP="00C10FBC">
      <w:pPr>
        <w:rPr>
          <w:sz w:val="24"/>
          <w:szCs w:val="24"/>
        </w:rPr>
      </w:pPr>
      <w:r w:rsidRPr="009576D8">
        <w:rPr>
          <w:sz w:val="24"/>
          <w:szCs w:val="24"/>
        </w:rPr>
        <w:t>UE – Unia Europejska</w:t>
      </w:r>
    </w:p>
    <w:p w14:paraId="45C58ECD" w14:textId="5FE7DCCF" w:rsidR="00D4793B" w:rsidRPr="009576D8" w:rsidRDefault="00D114A0">
      <w:pPr>
        <w:rPr>
          <w:sz w:val="24"/>
          <w:szCs w:val="24"/>
        </w:rPr>
      </w:pPr>
      <w:r w:rsidRPr="009576D8">
        <w:rPr>
          <w:sz w:val="24"/>
          <w:szCs w:val="24"/>
        </w:rPr>
        <w:t>ZPPR – Zespół do spraw Programowania Prac Rządu</w:t>
      </w:r>
    </w:p>
    <w:p w14:paraId="15C79E18" w14:textId="65C25D63" w:rsidR="00D4793B" w:rsidRPr="009576D8" w:rsidRDefault="00D4793B" w:rsidP="003751B8">
      <w:pPr>
        <w:rPr>
          <w:sz w:val="24"/>
          <w:szCs w:val="24"/>
        </w:rPr>
      </w:pPr>
      <w:r w:rsidRPr="009576D8">
        <w:rPr>
          <w:sz w:val="24"/>
          <w:szCs w:val="24"/>
        </w:rPr>
        <w:t>ZUS – Zakład Ubezpieczeń Społecznych</w:t>
      </w:r>
    </w:p>
    <w:p w14:paraId="03FA8412" w14:textId="4D7CFC01" w:rsidR="00893E3F" w:rsidRPr="00BD2901" w:rsidRDefault="00893E3F" w:rsidP="007B078E"/>
    <w:sectPr w:rsidR="00893E3F" w:rsidRPr="00BD2901" w:rsidSect="009576D8">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185D" w14:textId="77777777" w:rsidR="003953E8" w:rsidRDefault="003953E8" w:rsidP="000D616A">
      <w:pPr>
        <w:spacing w:after="0" w:line="240" w:lineRule="auto"/>
      </w:pPr>
      <w:r>
        <w:separator/>
      </w:r>
    </w:p>
  </w:endnote>
  <w:endnote w:type="continuationSeparator" w:id="0">
    <w:p w14:paraId="2B8FC2B8" w14:textId="77777777" w:rsidR="003953E8" w:rsidRDefault="003953E8" w:rsidP="000D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058227"/>
      <w:docPartObj>
        <w:docPartGallery w:val="Page Numbers (Bottom of Page)"/>
        <w:docPartUnique/>
      </w:docPartObj>
    </w:sdtPr>
    <w:sdtContent>
      <w:p w14:paraId="3FD193C1" w14:textId="3BCD985B" w:rsidR="006853CD" w:rsidRDefault="006853CD">
        <w:pPr>
          <w:pStyle w:val="Stopka"/>
          <w:jc w:val="center"/>
        </w:pPr>
        <w:r>
          <w:fldChar w:fldCharType="begin"/>
        </w:r>
        <w:r>
          <w:instrText>PAGE   \* MERGEFORMAT</w:instrText>
        </w:r>
        <w:r>
          <w:fldChar w:fldCharType="separate"/>
        </w:r>
        <w:r>
          <w:t>2</w:t>
        </w:r>
        <w:r>
          <w:fldChar w:fldCharType="end"/>
        </w:r>
      </w:p>
    </w:sdtContent>
  </w:sdt>
  <w:p w14:paraId="40EC5449" w14:textId="77777777" w:rsidR="006853CD" w:rsidRDefault="006853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C372" w14:textId="77777777" w:rsidR="003953E8" w:rsidRDefault="003953E8" w:rsidP="000D616A">
      <w:pPr>
        <w:spacing w:after="0" w:line="240" w:lineRule="auto"/>
      </w:pPr>
      <w:r>
        <w:separator/>
      </w:r>
    </w:p>
  </w:footnote>
  <w:footnote w:type="continuationSeparator" w:id="0">
    <w:p w14:paraId="7949D871" w14:textId="77777777" w:rsidR="003953E8" w:rsidRDefault="003953E8" w:rsidP="000D616A">
      <w:pPr>
        <w:spacing w:after="0" w:line="240" w:lineRule="auto"/>
      </w:pPr>
      <w:r>
        <w:continuationSeparator/>
      </w:r>
    </w:p>
  </w:footnote>
  <w:footnote w:id="1">
    <w:p w14:paraId="4D6D1290" w14:textId="51541C95" w:rsidR="00737B53" w:rsidRDefault="00737B53" w:rsidP="007123DB">
      <w:pPr>
        <w:pStyle w:val="Tekstprzypisudolnego"/>
        <w:spacing w:after="120"/>
      </w:pPr>
      <w:r>
        <w:rPr>
          <w:rStyle w:val="Odwoanieprzypisudolnego"/>
        </w:rPr>
        <w:footnoteRef/>
      </w:r>
      <w:r>
        <w:t xml:space="preserve"> </w:t>
      </w:r>
      <w:hyperlink r:id="rId1" w:history="1">
        <w:r w:rsidR="007123DB" w:rsidRPr="00B7718C">
          <w:rPr>
            <w:rStyle w:val="Hipercze"/>
          </w:rPr>
          <w:t>https://grantthornton.pl/wp-content/uploads/2025/04/Bariery-w-biznesie-2025-BADANIE-Grant-Thornton-17-04-2025.pdf</w:t>
        </w:r>
      </w:hyperlink>
      <w:r w:rsidR="007123DB">
        <w:t xml:space="preserve"> </w:t>
      </w:r>
    </w:p>
  </w:footnote>
  <w:footnote w:id="2">
    <w:p w14:paraId="3495875C" w14:textId="6529795E" w:rsidR="00737B53" w:rsidRDefault="00737B53" w:rsidP="007123DB">
      <w:pPr>
        <w:pStyle w:val="Tekstprzypisudolnego"/>
        <w:spacing w:after="120"/>
      </w:pPr>
      <w:r>
        <w:rPr>
          <w:rStyle w:val="Odwoanieprzypisudolnego"/>
        </w:rPr>
        <w:footnoteRef/>
      </w:r>
      <w:r>
        <w:t xml:space="preserve"> </w:t>
      </w:r>
      <w:hyperlink r:id="rId2" w:history="1">
        <w:r w:rsidRPr="00467D6B">
          <w:rPr>
            <w:rStyle w:val="Hipercze"/>
          </w:rPr>
          <w:t>https://stat.gov.pl/obszary-tematyczne/koniunktura/koniunktura/koniunktura-gospodarcza-20002025-grudzien-2025,4,104.html</w:t>
        </w:r>
      </w:hyperlink>
      <w:r>
        <w:t xml:space="preserve"> </w:t>
      </w:r>
    </w:p>
  </w:footnote>
  <w:footnote w:id="3">
    <w:p w14:paraId="1AD7D036" w14:textId="4AB55FC0" w:rsidR="00737B53" w:rsidRDefault="00737B53" w:rsidP="007123DB">
      <w:pPr>
        <w:pStyle w:val="Tekstprzypisudolnego"/>
        <w:spacing w:after="120"/>
      </w:pPr>
      <w:r>
        <w:rPr>
          <w:rStyle w:val="Odwoanieprzypisudolnego"/>
        </w:rPr>
        <w:footnoteRef/>
      </w:r>
      <w:r>
        <w:t xml:space="preserve"> </w:t>
      </w:r>
      <w:hyperlink r:id="rId3" w:history="1">
        <w:r w:rsidR="007123DB" w:rsidRPr="00B7718C">
          <w:rPr>
            <w:rStyle w:val="Hipercze"/>
          </w:rPr>
          <w:t>https://www.parp.gov.pl/storage/publications/pdf/RAPORT-z-badania-GEM---Polski_WCAG-11_10_2024.pdf</w:t>
        </w:r>
      </w:hyperlink>
      <w:r w:rsidR="007123DB">
        <w:t xml:space="preserve"> </w:t>
      </w:r>
    </w:p>
  </w:footnote>
  <w:footnote w:id="4">
    <w:p w14:paraId="3101B1FC" w14:textId="2C40E1AF" w:rsidR="00A94EA7" w:rsidRPr="009E7327" w:rsidRDefault="00A94EA7" w:rsidP="007123DB">
      <w:pPr>
        <w:pStyle w:val="Tekstprzypisudolnego"/>
        <w:spacing w:after="120"/>
      </w:pPr>
      <w:r w:rsidRPr="009E7327">
        <w:rPr>
          <w:rStyle w:val="Odwoanieprzypisudolnego"/>
        </w:rPr>
        <w:footnoteRef/>
      </w:r>
      <w:r w:rsidRPr="009E7327">
        <w:t xml:space="preserve"> </w:t>
      </w:r>
      <w:hyperlink r:id="rId4" w:history="1">
        <w:r w:rsidR="00BD2901" w:rsidRPr="009E7327">
          <w:rPr>
            <w:rStyle w:val="Hipercze"/>
          </w:rPr>
          <w:t>https://pie.net.pl/wp-content/uploads/2025/04/Tygodnik-PIE_15-2025.pdf</w:t>
        </w:r>
      </w:hyperlink>
    </w:p>
  </w:footnote>
  <w:footnote w:id="5">
    <w:p w14:paraId="63290BDC" w14:textId="0DEF8CFA" w:rsidR="009A4440" w:rsidRPr="009576D8" w:rsidRDefault="009A4440" w:rsidP="007123DB">
      <w:pPr>
        <w:pStyle w:val="Tekstprzypisudolnego"/>
        <w:spacing w:after="120"/>
        <w:rPr>
          <w:lang w:val="en-GB"/>
        </w:rPr>
      </w:pPr>
      <w:r w:rsidRPr="009576D8">
        <w:rPr>
          <w:rStyle w:val="Odwoanieprzypisudolnego"/>
        </w:rPr>
        <w:footnoteRef/>
      </w:r>
      <w:r w:rsidRPr="009576D8">
        <w:rPr>
          <w:lang w:val="en-GB"/>
        </w:rPr>
        <w:t xml:space="preserve"> </w:t>
      </w:r>
      <w:hyperlink r:id="rId5" w:history="1">
        <w:r w:rsidR="008D4D93" w:rsidRPr="009576D8">
          <w:rPr>
            <w:rStyle w:val="Hipercze"/>
            <w:lang w:val="en-GB"/>
          </w:rPr>
          <w:t>Re</w:t>
        </w:r>
        <w:r w:rsidR="006E4FEF" w:rsidRPr="009576D8">
          <w:rPr>
            <w:rStyle w:val="Hipercze"/>
            <w:lang w:val="en-GB"/>
          </w:rPr>
          <w:t>commendation of the Council on Regulatory Policy and Governance</w:t>
        </w:r>
        <w:r w:rsidR="008D4D93" w:rsidRPr="009576D8">
          <w:rPr>
            <w:rStyle w:val="Hipercze"/>
            <w:lang w:val="en-GB"/>
          </w:rPr>
          <w:t xml:space="preserve"> OECD</w:t>
        </w:r>
        <w:r w:rsidR="0077464F" w:rsidRPr="007123DB">
          <w:rPr>
            <w:lang w:val="en-GB"/>
          </w:rPr>
          <w:t>.</w:t>
        </w:r>
        <w:r w:rsidR="008D4D93" w:rsidRPr="009576D8">
          <w:rPr>
            <w:rStyle w:val="Hipercze"/>
            <w:lang w:val="en-GB"/>
          </w:rPr>
          <w:t xml:space="preserve"> </w:t>
        </w:r>
      </w:hyperlink>
    </w:p>
  </w:footnote>
  <w:footnote w:id="6">
    <w:p w14:paraId="372D9464" w14:textId="0F5A793F" w:rsidR="00FF280A" w:rsidRPr="009E7327" w:rsidRDefault="00FF280A" w:rsidP="007123DB">
      <w:pPr>
        <w:pStyle w:val="Tekstprzypisudolnego"/>
        <w:spacing w:after="120"/>
        <w:rPr>
          <w:lang w:val="en-GB"/>
        </w:rPr>
      </w:pPr>
      <w:r w:rsidRPr="009576D8">
        <w:rPr>
          <w:rStyle w:val="Odwoanieprzypisudolnego"/>
        </w:rPr>
        <w:footnoteRef/>
      </w:r>
      <w:r w:rsidR="006E4FEF" w:rsidRPr="009576D8">
        <w:t xml:space="preserve"> </w:t>
      </w:r>
      <w:r w:rsidRPr="009576D8">
        <w:t xml:space="preserve">Dokumenty będące odpowiednikami niniejszego Programu funkcjonują w wielu innych krajach. </w:t>
      </w:r>
      <w:r w:rsidRPr="007123DB">
        <w:rPr>
          <w:lang w:val="en-GB"/>
        </w:rPr>
        <w:t>W </w:t>
      </w:r>
      <w:r w:rsidRPr="007123DB">
        <w:rPr>
          <w:lang w:val="en-GB"/>
        </w:rPr>
        <w:t>Holandii występuje</w:t>
      </w:r>
      <w:r w:rsidRPr="009576D8">
        <w:rPr>
          <w:lang w:val="en-GB"/>
        </w:rPr>
        <w:t>: „</w:t>
      </w:r>
      <w:hyperlink r:id="rId6" w:history="1">
        <w:r w:rsidRPr="009576D8">
          <w:rPr>
            <w:rStyle w:val="Hipercze"/>
            <w:lang w:val="en-GB"/>
          </w:rPr>
          <w:t>Less Pressure With Rules Action Programme</w:t>
        </w:r>
      </w:hyperlink>
      <w:r w:rsidRPr="009576D8">
        <w:rPr>
          <w:lang w:val="en-GB"/>
        </w:rPr>
        <w:t xml:space="preserve">”, w </w:t>
      </w:r>
      <w:r w:rsidRPr="007123DB">
        <w:rPr>
          <w:lang w:val="en-GB"/>
        </w:rPr>
        <w:t>Niemczech</w:t>
      </w:r>
      <w:r w:rsidRPr="009576D8">
        <w:rPr>
          <w:lang w:val="en-GB"/>
        </w:rPr>
        <w:t>: „</w:t>
      </w:r>
      <w:hyperlink r:id="rId7" w:history="1">
        <w:r w:rsidRPr="009576D8">
          <w:rPr>
            <w:rStyle w:val="Hipercze"/>
            <w:lang w:val="en-GB"/>
          </w:rPr>
          <w:t>Fourth Bureaucracy Reduction Act</w:t>
        </w:r>
      </w:hyperlink>
      <w:r w:rsidRPr="009576D8">
        <w:rPr>
          <w:lang w:val="en-GB"/>
        </w:rPr>
        <w:t>”</w:t>
      </w:r>
      <w:r w:rsidR="006E4FEF" w:rsidRPr="009576D8">
        <w:rPr>
          <w:lang w:val="en-GB"/>
        </w:rPr>
        <w:t xml:space="preserve">, </w:t>
      </w:r>
      <w:r w:rsidRPr="009576D8">
        <w:rPr>
          <w:lang w:val="en-GB"/>
        </w:rPr>
        <w:t>w </w:t>
      </w:r>
      <w:r w:rsidRPr="007123DB">
        <w:rPr>
          <w:lang w:val="en-GB"/>
        </w:rPr>
        <w:t>Kanadzie</w:t>
      </w:r>
      <w:r w:rsidRPr="009576D8">
        <w:rPr>
          <w:lang w:val="en-GB"/>
        </w:rPr>
        <w:t>: „</w:t>
      </w:r>
      <w:hyperlink r:id="rId8" w:history="1">
        <w:r w:rsidRPr="009576D8">
          <w:rPr>
            <w:rStyle w:val="Hipercze"/>
            <w:lang w:val="en-GB"/>
          </w:rPr>
          <w:t>Forward regulatory plan</w:t>
        </w:r>
      </w:hyperlink>
      <w:r w:rsidRPr="009576D8">
        <w:rPr>
          <w:lang w:val="en-GB"/>
        </w:rPr>
        <w:t>” i „</w:t>
      </w:r>
      <w:hyperlink r:id="rId9" w:history="1">
        <w:r w:rsidRPr="009576D8">
          <w:rPr>
            <w:rStyle w:val="Hipercze"/>
            <w:lang w:val="en-GB"/>
          </w:rPr>
          <w:t>Red Tape Reduction Action Plan</w:t>
        </w:r>
      </w:hyperlink>
      <w:r w:rsidRPr="009576D8">
        <w:rPr>
          <w:lang w:val="en-GB"/>
        </w:rPr>
        <w:t>”</w:t>
      </w:r>
      <w:r w:rsidR="006E4FEF" w:rsidRPr="009576D8">
        <w:rPr>
          <w:lang w:val="en-GB"/>
        </w:rPr>
        <w:t>.</w:t>
      </w:r>
    </w:p>
  </w:footnote>
  <w:footnote w:id="7">
    <w:p w14:paraId="6F201BD0" w14:textId="1CEA0FC6" w:rsidR="00FF280A" w:rsidRPr="007123DB" w:rsidRDefault="00FF280A" w:rsidP="007123DB">
      <w:pPr>
        <w:pStyle w:val="Tekstprzypisudolnego"/>
        <w:spacing w:after="120"/>
        <w:rPr>
          <w:lang w:val="en-GB"/>
        </w:rPr>
      </w:pPr>
      <w:r w:rsidRPr="009E7327">
        <w:rPr>
          <w:rStyle w:val="Odwoanieprzypisudolnego"/>
        </w:rPr>
        <w:footnoteRef/>
      </w:r>
      <w:r w:rsidRPr="009E7327">
        <w:t xml:space="preserve"> Co znajduje odzwierciedlenie w postaci nowej inicjatywy pn. </w:t>
      </w:r>
      <w:r w:rsidRPr="007123DB">
        <w:rPr>
          <w:lang w:val="en-GB"/>
        </w:rPr>
        <w:t>„</w:t>
      </w:r>
      <w:r w:rsidRPr="000C2B32">
        <w:rPr>
          <w:lang w:val="en-GB"/>
        </w:rPr>
        <w:t>OECD Simplifying for Success</w:t>
      </w:r>
      <w:r w:rsidRPr="007123DB">
        <w:rPr>
          <w:lang w:val="en-GB"/>
        </w:rPr>
        <w:t>”</w:t>
      </w:r>
      <w:r w:rsidR="000C3FEC" w:rsidRPr="007123DB">
        <w:rPr>
          <w:lang w:val="en-GB"/>
        </w:rPr>
        <w:t>.</w:t>
      </w:r>
      <w:r w:rsidRPr="007123DB">
        <w:rPr>
          <w:lang w:val="en-GB"/>
        </w:rPr>
        <w:t xml:space="preserve"> </w:t>
      </w:r>
    </w:p>
  </w:footnote>
  <w:footnote w:id="8">
    <w:p w14:paraId="36EDC2A1" w14:textId="1969C964" w:rsidR="006E4FEF" w:rsidRPr="007123DB" w:rsidRDefault="006E4FEF" w:rsidP="007123DB">
      <w:pPr>
        <w:pStyle w:val="Tekstprzypisudolnego"/>
        <w:spacing w:after="120"/>
        <w:rPr>
          <w:lang w:val="en-GB"/>
        </w:rPr>
      </w:pPr>
      <w:r w:rsidRPr="009E7327">
        <w:rPr>
          <w:rStyle w:val="Odwoanieprzypisudolnego"/>
        </w:rPr>
        <w:footnoteRef/>
      </w:r>
      <w:r w:rsidRPr="007123DB">
        <w:rPr>
          <w:lang w:val="en-GB"/>
        </w:rPr>
        <w:t xml:space="preserve"> </w:t>
      </w:r>
      <w:r w:rsidRPr="007123DB">
        <w:rPr>
          <w:lang w:val="en-GB"/>
        </w:rPr>
        <w:t>Inicjatywa #SprawdzaMY</w:t>
      </w:r>
      <w:r w:rsidR="009E7327" w:rsidRPr="007123DB">
        <w:rPr>
          <w:lang w:val="en-GB"/>
        </w:rPr>
        <w:t xml:space="preserve"> (</w:t>
      </w:r>
      <w:hyperlink r:id="rId10" w:history="1">
        <w:r w:rsidR="009E7327" w:rsidRPr="007123DB">
          <w:rPr>
            <w:rStyle w:val="Hipercze"/>
            <w:lang w:val="en-GB"/>
          </w:rPr>
          <w:t>https://sprawdzamy.com/</w:t>
        </w:r>
      </w:hyperlink>
      <w:r w:rsidR="009E7327" w:rsidRPr="007123DB">
        <w:rPr>
          <w:lang w:val="en-GB"/>
        </w:rPr>
        <w:t>)</w:t>
      </w:r>
      <w:r w:rsidR="004B4E09" w:rsidRPr="007123DB">
        <w:rPr>
          <w:lang w:val="en-GB"/>
        </w:rPr>
        <w:t>.</w:t>
      </w:r>
    </w:p>
  </w:footnote>
  <w:footnote w:id="9">
    <w:p w14:paraId="2C094A9A" w14:textId="38AFB1A8" w:rsidR="00401F7A" w:rsidRPr="009E7327" w:rsidRDefault="00401F7A" w:rsidP="007123DB">
      <w:pPr>
        <w:pStyle w:val="Tekstprzypisudolnego"/>
        <w:spacing w:after="120"/>
      </w:pPr>
      <w:r w:rsidRPr="009E7327">
        <w:rPr>
          <w:rStyle w:val="Odwoanieprzypisudolnego"/>
        </w:rPr>
        <w:footnoteRef/>
      </w:r>
      <w:r w:rsidRPr="009E7327">
        <w:t xml:space="preserve"> „Zalecenie Rady z dnia 8 lipca 2025 r. w sprawie polityki gospodarczej, polityki społecznej, polityki zatrudnienia, polityki strukturalnej i polityki budżetowej Polski”, </w:t>
      </w:r>
      <w:hyperlink r:id="rId11" w:history="1">
        <w:r w:rsidRPr="009E7327">
          <w:rPr>
            <w:rStyle w:val="Hipercze"/>
          </w:rPr>
          <w:t>https://eur-lex.europa.eu/legal-content/PL/TXT/HTML/?uri=OJ:C_202503995</w:t>
        </w:r>
      </w:hyperlink>
      <w:r w:rsidR="004B4E09">
        <w:t>.</w:t>
      </w:r>
    </w:p>
  </w:footnote>
  <w:footnote w:id="10">
    <w:p w14:paraId="5FB1D127" w14:textId="77777777" w:rsidR="00E12C16" w:rsidRPr="009E7327" w:rsidRDefault="00E12C16" w:rsidP="007123DB">
      <w:pPr>
        <w:pStyle w:val="Tekstprzypisudolnego"/>
        <w:spacing w:after="120"/>
      </w:pPr>
      <w:r w:rsidRPr="009E7327">
        <w:rPr>
          <w:rStyle w:val="Odwoanieprzypisudolnego"/>
        </w:rPr>
        <w:footnoteRef/>
      </w:r>
      <w:r w:rsidRPr="009E7327">
        <w:t xml:space="preserve"> „Funkcjonowanie systemu oceny wpływu w rządowym procesie legislacyjnym. Informacja o wynikach kontroli”, Najwyższa Izba Kontroli, </w:t>
      </w:r>
      <w:hyperlink r:id="rId12" w:history="1">
        <w:r w:rsidRPr="009E7327">
          <w:rPr>
            <w:rStyle w:val="Hipercze"/>
          </w:rPr>
          <w:t>https://www.nik.gov.pl/kontrole/P/24/087/LWA/</w:t>
        </w:r>
      </w:hyperlink>
      <w:r>
        <w:t>.</w:t>
      </w:r>
      <w:r w:rsidRPr="009E7327">
        <w:t xml:space="preserve"> </w:t>
      </w:r>
    </w:p>
  </w:footnote>
  <w:footnote w:id="11">
    <w:p w14:paraId="2794135C" w14:textId="5453E893" w:rsidR="00E12C16" w:rsidRDefault="00E12C16" w:rsidP="007123DB">
      <w:pPr>
        <w:pStyle w:val="Tekstprzypisudolnego"/>
        <w:spacing w:after="120"/>
      </w:pPr>
      <w:r>
        <w:rPr>
          <w:rStyle w:val="Odwoanieprzypisudolnego"/>
        </w:rPr>
        <w:footnoteRef/>
      </w:r>
      <w:r>
        <w:t xml:space="preserve"> </w:t>
      </w:r>
      <w:hyperlink r:id="rId13" w:history="1">
        <w:r w:rsidRPr="00526DA3">
          <w:rPr>
            <w:rStyle w:val="Hipercze"/>
          </w:rPr>
          <w:t>https://rcl.gov.pl/legislacja/wytyczne-do-przeprowadzania-oceny-wplywu-oraz-konsultacji-publicznych-w-ramach-rzadowego-procesu-legislacyjnego/</w:t>
        </w:r>
      </w:hyperlink>
      <w:r w:rsidR="00E20EE2">
        <w:t>.</w:t>
      </w:r>
      <w:r>
        <w:t xml:space="preserve"> </w:t>
      </w:r>
    </w:p>
  </w:footnote>
  <w:footnote w:id="12">
    <w:p w14:paraId="690F90D1" w14:textId="44DA4311" w:rsidR="00FF280A" w:rsidRPr="009E7327" w:rsidRDefault="00FF280A" w:rsidP="00F778D1">
      <w:pPr>
        <w:pStyle w:val="Tekstprzypisudolnego"/>
        <w:spacing w:after="120"/>
        <w:jc w:val="both"/>
      </w:pPr>
      <w:r w:rsidRPr="009E7327">
        <w:rPr>
          <w:rStyle w:val="Odwoanieprzypisudolnego"/>
        </w:rPr>
        <w:footnoteRef/>
      </w:r>
      <w:r w:rsidRPr="009E7327">
        <w:t xml:space="preserve"> Więcej o </w:t>
      </w:r>
      <w:r w:rsidR="008C5A12" w:rsidRPr="009576D8">
        <w:t>typologii kosztów regulacyjnych</w:t>
      </w:r>
      <w:r w:rsidR="008C5A12" w:rsidRPr="009E7327">
        <w:t xml:space="preserve"> </w:t>
      </w:r>
      <w:r w:rsidRPr="009E7327">
        <w:t>można znaleźć w „Zasadach pomiaru kosztów regulacyjnych ponoszonych przez adresatów projektów ustaw”. W ich rozumieniu obciążenia wynikające z przepisów mogą oznaczać koszt finansowy (np. daniny publiczne czy koszty płacowe), koszt administracyjny (np.</w:t>
      </w:r>
      <w:r w:rsidR="00E20EE2">
        <w:t> </w:t>
      </w:r>
      <w:r w:rsidRPr="009E7327">
        <w:t xml:space="preserve">koszty sporządzania i wysyłania sprawozdań finansowych) i </w:t>
      </w:r>
      <w:r w:rsidR="008C5A12" w:rsidRPr="009576D8">
        <w:t xml:space="preserve">koszt </w:t>
      </w:r>
      <w:r w:rsidRPr="009E7327">
        <w:t>dostosowawcz</w:t>
      </w:r>
      <w:r w:rsidR="008C5A12" w:rsidRPr="009576D8">
        <w:t>y</w:t>
      </w:r>
      <w:r w:rsidRPr="009E7327">
        <w:t>.</w:t>
      </w:r>
    </w:p>
  </w:footnote>
  <w:footnote w:id="13">
    <w:p w14:paraId="6227AC13" w14:textId="33CA4814" w:rsidR="007B45A5" w:rsidRPr="009E7327" w:rsidRDefault="007B45A5" w:rsidP="007123DB">
      <w:pPr>
        <w:pStyle w:val="Tekstprzypisudolnego"/>
        <w:spacing w:after="120"/>
      </w:pPr>
      <w:r w:rsidRPr="009E7327">
        <w:rPr>
          <w:rStyle w:val="Odwoanieprzypisudolnego"/>
        </w:rPr>
        <w:footnoteRef/>
      </w:r>
      <w:r w:rsidRPr="009E7327">
        <w:t xml:space="preserve"> Art. 71a </w:t>
      </w:r>
      <w:r w:rsidR="00AD163A" w:rsidRPr="009E7327">
        <w:t xml:space="preserve">ust. </w:t>
      </w:r>
      <w:r w:rsidR="0039484E" w:rsidRPr="009576D8">
        <w:t>5</w:t>
      </w:r>
      <w:r w:rsidR="0039484E" w:rsidRPr="009E7327">
        <w:t xml:space="preserve"> </w:t>
      </w:r>
      <w:r w:rsidRPr="009E7327">
        <w:t>Prawa przedsiębiorców</w:t>
      </w:r>
      <w:r w:rsidR="00E12C16">
        <w:t>.</w:t>
      </w:r>
    </w:p>
  </w:footnote>
  <w:footnote w:id="14">
    <w:p w14:paraId="037CD7C6" w14:textId="066EC860" w:rsidR="00AE1FE3" w:rsidRPr="009E7327" w:rsidRDefault="00AE1FE3" w:rsidP="007123DB">
      <w:pPr>
        <w:pStyle w:val="Tekstprzypisudolnego"/>
        <w:spacing w:after="120"/>
      </w:pPr>
      <w:r w:rsidRPr="009E7327">
        <w:rPr>
          <w:rStyle w:val="Odwoanieprzypisudolnego"/>
        </w:rPr>
        <w:footnoteRef/>
      </w:r>
      <w:r w:rsidRPr="009E7327">
        <w:t xml:space="preserve"> Art. 71a ust.</w:t>
      </w:r>
      <w:r w:rsidRPr="0055216F">
        <w:t xml:space="preserve"> 5</w:t>
      </w:r>
      <w:r w:rsidRPr="009E7327">
        <w:t xml:space="preserve"> Prawa przedsiębiorców</w:t>
      </w:r>
      <w:r>
        <w:t>.</w:t>
      </w:r>
      <w:r w:rsidRPr="009E7327">
        <w:t xml:space="preserve"> </w:t>
      </w:r>
    </w:p>
  </w:footnote>
  <w:footnote w:id="15">
    <w:p w14:paraId="282B0324" w14:textId="21B0FCB1" w:rsidR="006D7E52" w:rsidRPr="00AE1FE3" w:rsidRDefault="006D7E52" w:rsidP="007123DB">
      <w:pPr>
        <w:pStyle w:val="Tekstprzypisudolnego"/>
        <w:spacing w:after="120"/>
      </w:pPr>
      <w:r w:rsidRPr="009E7327">
        <w:rPr>
          <w:rStyle w:val="Odwoanieprzypisudolnego"/>
        </w:rPr>
        <w:footnoteRef/>
      </w:r>
      <w:r w:rsidRPr="009E7327">
        <w:t xml:space="preserve"> </w:t>
      </w:r>
      <w:hyperlink r:id="rId14" w:history="1">
        <w:r w:rsidR="00AE1FE3" w:rsidRPr="009576D8">
          <w:rPr>
            <w:rStyle w:val="Hipercze"/>
          </w:rPr>
          <w:t>https://orka.sejm.gov.pl/opinie10.nsf/nazwa/gor_d1/$file/gor_d1.pdf</w:t>
        </w:r>
      </w:hyperlink>
      <w:r w:rsidR="0077464F">
        <w:t>.</w:t>
      </w:r>
      <w:r w:rsidR="00AE1FE3">
        <w:t xml:space="preserve"> </w:t>
      </w:r>
    </w:p>
  </w:footnote>
  <w:footnote w:id="16">
    <w:p w14:paraId="551EE754" w14:textId="07F108F3" w:rsidR="008C7820" w:rsidRPr="009E7327" w:rsidRDefault="008C7820" w:rsidP="007123DB">
      <w:pPr>
        <w:pStyle w:val="Tekstprzypisudolnego"/>
        <w:spacing w:after="120"/>
        <w:rPr>
          <w:lang w:val="en-GB"/>
        </w:rPr>
      </w:pPr>
      <w:r w:rsidRPr="009E7327">
        <w:rPr>
          <w:rStyle w:val="Odwoanieprzypisudolnego"/>
        </w:rPr>
        <w:footnoteRef/>
      </w:r>
      <w:r w:rsidRPr="009E7327">
        <w:rPr>
          <w:lang w:val="en-GB"/>
        </w:rPr>
        <w:t xml:space="preserve"> </w:t>
      </w:r>
      <w:r w:rsidRPr="009E7327">
        <w:rPr>
          <w:rFonts w:eastAsia="Calibri" w:cs="Calibri"/>
          <w:lang w:val="en-GB"/>
        </w:rPr>
        <w:t xml:space="preserve">OECD Regulatory Policy Outlook 2025, OECD Publishing, Paris, </w:t>
      </w:r>
      <w:hyperlink r:id="rId15" w:history="1">
        <w:r w:rsidRPr="009E7327">
          <w:rPr>
            <w:rStyle w:val="Hipercze"/>
            <w:rFonts w:eastAsia="Calibri" w:cs="Calibri"/>
            <w:lang w:val="en-GB"/>
          </w:rPr>
          <w:t>https://doi.org/10.1787/56b60e39-en</w:t>
        </w:r>
      </w:hyperlink>
      <w:r w:rsidR="0077464F" w:rsidRPr="007123DB">
        <w:rPr>
          <w:lang w:val="en-GB"/>
        </w:rPr>
        <w:t>.</w:t>
      </w:r>
    </w:p>
  </w:footnote>
  <w:footnote w:id="17">
    <w:p w14:paraId="3ED8C83F" w14:textId="4065D05A" w:rsidR="0057425E" w:rsidRPr="009E7327" w:rsidRDefault="0057425E" w:rsidP="007123DB">
      <w:pPr>
        <w:pStyle w:val="Tekstprzypisudolnego"/>
        <w:spacing w:after="120"/>
        <w:rPr>
          <w:lang w:val="en-GB"/>
        </w:rPr>
      </w:pPr>
      <w:r w:rsidRPr="009E7327">
        <w:rPr>
          <w:rStyle w:val="Odwoanieprzypisudolnego"/>
        </w:rPr>
        <w:footnoteRef/>
      </w:r>
      <w:r w:rsidRPr="009E7327">
        <w:rPr>
          <w:lang w:val="en-GB"/>
        </w:rPr>
        <w:t xml:space="preserve"> IMD World Competitiveness Booklet 2025, </w:t>
      </w:r>
      <w:hyperlink r:id="rId16" w:history="1">
        <w:r w:rsidRPr="009E7327">
          <w:rPr>
            <w:rStyle w:val="Hipercze"/>
            <w:lang w:val="en-GB"/>
          </w:rPr>
          <w:t>https://issuu.com/docs/bf956b453aef304a97a1639733862172</w:t>
        </w:r>
      </w:hyperlink>
      <w:r w:rsidRPr="009E7327">
        <w:rPr>
          <w:lang w:val="en-GB"/>
        </w:rPr>
        <w:t xml:space="preserve"> </w:t>
      </w:r>
    </w:p>
  </w:footnote>
  <w:footnote w:id="18">
    <w:p w14:paraId="1D86E877" w14:textId="1CF6F55F" w:rsidR="0057425E" w:rsidRPr="009E7327" w:rsidRDefault="0057425E" w:rsidP="007123DB">
      <w:pPr>
        <w:pStyle w:val="Tekstprzypisudolnego"/>
        <w:spacing w:after="120"/>
      </w:pPr>
      <w:r w:rsidRPr="009E7327">
        <w:rPr>
          <w:rStyle w:val="Odwoanieprzypisudolnego"/>
        </w:rPr>
        <w:footnoteRef/>
      </w:r>
      <w:r w:rsidRPr="009E7327">
        <w:t xml:space="preserve"> Są nimi: stabilność operacyjna dla przedsiębiorstw, skuteczność rządu, jakość regulacji, rządy prawa, stabilność polityki gospodarczej, polityki i kultura przedsiębiorczości,  </w:t>
      </w:r>
      <w:hyperlink r:id="rId17" w:history="1">
        <w:r w:rsidRPr="009E7327">
          <w:rPr>
            <w:rStyle w:val="Hipercze"/>
          </w:rPr>
          <w:t>https://www.wipo.int/gii-ranking/en/poland/section/economy-profile</w:t>
        </w:r>
      </w:hyperlink>
      <w:r w:rsidRPr="009E7327">
        <w:t xml:space="preserve"> </w:t>
      </w:r>
    </w:p>
  </w:footnote>
  <w:footnote w:id="19">
    <w:p w14:paraId="5B90CCF5" w14:textId="49300DD6" w:rsidR="0057425E" w:rsidRPr="009E7327" w:rsidRDefault="0057425E" w:rsidP="007123DB">
      <w:pPr>
        <w:pStyle w:val="Tekstprzypisudolnego"/>
        <w:spacing w:after="120"/>
      </w:pPr>
      <w:r w:rsidRPr="009E7327">
        <w:rPr>
          <w:rStyle w:val="Odwoanieprzypisudolnego"/>
        </w:rPr>
        <w:footnoteRef/>
      </w:r>
      <w:r w:rsidRPr="009E7327">
        <w:t xml:space="preserve"> „Zalecenie Rady z dnia 8 lipca 2025 r. w sprawie polityki gospodarczej, polityki społecznej, polityki zatrudnienia, polityki strukturalnej i polityki budżetowej Polski”, </w:t>
      </w:r>
      <w:hyperlink r:id="rId18" w:history="1">
        <w:r w:rsidRPr="009E7327">
          <w:rPr>
            <w:rStyle w:val="Hipercze"/>
          </w:rPr>
          <w:t>https://eur-lex.europa.eu/legal-content/PL/TXT/HTML/?uri=OJ:C_202503995</w:t>
        </w:r>
      </w:hyperlink>
      <w:r w:rsidRPr="009E7327">
        <w:t xml:space="preserve"> </w:t>
      </w:r>
    </w:p>
  </w:footnote>
  <w:footnote w:id="20">
    <w:p w14:paraId="5D13C7E4" w14:textId="6F49F6B6" w:rsidR="0057425E" w:rsidRPr="009E7327" w:rsidRDefault="0057425E" w:rsidP="007123DB">
      <w:pPr>
        <w:pStyle w:val="Tekstprzypisudolnego"/>
        <w:spacing w:after="120"/>
        <w:rPr>
          <w:lang w:val="en-GB"/>
        </w:rPr>
      </w:pPr>
      <w:r w:rsidRPr="009E7327">
        <w:rPr>
          <w:rStyle w:val="Odwoanieprzypisudolnego"/>
        </w:rPr>
        <w:footnoteRef/>
      </w:r>
      <w:r w:rsidRPr="009E7327">
        <w:rPr>
          <w:lang w:val="en-GB"/>
        </w:rPr>
        <w:t xml:space="preserve"> „Businesses' attitudes towards corruption in the EU”, Ipsos European Public Affairs, </w:t>
      </w:r>
      <w:hyperlink r:id="rId19" w:history="1">
        <w:r w:rsidRPr="009E7327">
          <w:rPr>
            <w:rStyle w:val="Hipercze"/>
            <w:lang w:val="en-GB"/>
          </w:rPr>
          <w:t>https://europa.eu/eurobarometer/surveys/detail/3180</w:t>
        </w:r>
      </w:hyperlink>
      <w:r w:rsidR="0077464F" w:rsidRPr="007123DB">
        <w:rPr>
          <w:lang w:val="en-GB"/>
        </w:rPr>
        <w:t>.</w:t>
      </w:r>
      <w:r w:rsidRPr="009E7327">
        <w:rPr>
          <w:lang w:val="en-GB"/>
        </w:rPr>
        <w:t xml:space="preserve"> </w:t>
      </w:r>
    </w:p>
  </w:footnote>
  <w:footnote w:id="21">
    <w:p w14:paraId="5AE85D74" w14:textId="45F5E141" w:rsidR="0057425E" w:rsidRPr="009E7327" w:rsidRDefault="0057425E" w:rsidP="00E94218">
      <w:pPr>
        <w:pStyle w:val="Tekstprzypisudolnego"/>
        <w:spacing w:after="120"/>
        <w:jc w:val="both"/>
        <w:rPr>
          <w:lang w:val="en-GB"/>
        </w:rPr>
      </w:pPr>
      <w:r w:rsidRPr="009E7327">
        <w:rPr>
          <w:rStyle w:val="Odwoanieprzypisudolnego"/>
        </w:rPr>
        <w:footnoteRef/>
      </w:r>
      <w:r w:rsidRPr="009E7327">
        <w:rPr>
          <w:lang w:val="en-GB"/>
        </w:rPr>
        <w:t xml:space="preserve"> „EIB Investment Survey 2024 Country Overview: Poland”, </w:t>
      </w:r>
      <w:r w:rsidRPr="007123DB">
        <w:rPr>
          <w:lang w:val="en-GB"/>
        </w:rPr>
        <w:t>Europejski Bank Inwestycyjny</w:t>
      </w:r>
      <w:r w:rsidRPr="009E7327">
        <w:rPr>
          <w:lang w:val="en-GB"/>
        </w:rPr>
        <w:t xml:space="preserve">, </w:t>
      </w:r>
      <w:hyperlink r:id="rId20" w:history="1">
        <w:r w:rsidRPr="009E7327">
          <w:rPr>
            <w:rStyle w:val="Hipercze"/>
            <w:lang w:val="en-GB"/>
          </w:rPr>
          <w:t>https://www.eib.org/files/documents/lucalli/20240238_econ_eibis_2024_poland_en.pdf</w:t>
        </w:r>
      </w:hyperlink>
      <w:r w:rsidR="0077464F" w:rsidRPr="007123DB">
        <w:rPr>
          <w:lang w:val="en-GB"/>
        </w:rPr>
        <w:t>.</w:t>
      </w:r>
      <w:r w:rsidRPr="009E7327">
        <w:rPr>
          <w:lang w:val="en-GB"/>
        </w:rPr>
        <w:t xml:space="preserve"> </w:t>
      </w:r>
    </w:p>
  </w:footnote>
  <w:footnote w:id="22">
    <w:p w14:paraId="1F560D00" w14:textId="65D1D61F" w:rsidR="0057425E" w:rsidRPr="009E7327" w:rsidRDefault="0057425E" w:rsidP="00E94218">
      <w:pPr>
        <w:pStyle w:val="Tekstprzypisudolnego"/>
        <w:spacing w:after="120"/>
        <w:jc w:val="both"/>
      </w:pPr>
      <w:r w:rsidRPr="009E7327">
        <w:rPr>
          <w:rStyle w:val="Odwoanieprzypisudolnego"/>
        </w:rPr>
        <w:footnoteRef/>
      </w:r>
      <w:r w:rsidRPr="009E7327">
        <w:t xml:space="preserve"> „Przedsiębiorstwa niefinansowe powstałe w latach 2019-2023”, Główny Urząd Statystyczny, </w:t>
      </w:r>
      <w:hyperlink r:id="rId21" w:history="1">
        <w:r w:rsidRPr="009E7327">
          <w:rPr>
            <w:rStyle w:val="Hipercze"/>
          </w:rPr>
          <w:t>https://stat.gov.pl/obszary-tematyczne/podmioty-gospodarcze-wyniki-finansowe/przedsiebiorstwa-niefinansowe/przedsiebiorstwa-niefinansowe-powstale-w-latach-2019-2023,24,10.html</w:t>
        </w:r>
      </w:hyperlink>
      <w:r w:rsidR="0077464F">
        <w:t>.</w:t>
      </w:r>
      <w:r w:rsidRPr="009E7327">
        <w:t xml:space="preserve"> </w:t>
      </w:r>
    </w:p>
  </w:footnote>
  <w:footnote w:id="23">
    <w:p w14:paraId="433D7505" w14:textId="0F091387" w:rsidR="0057425E" w:rsidRPr="009E7327" w:rsidRDefault="0057425E" w:rsidP="00E94218">
      <w:pPr>
        <w:pStyle w:val="Tekstprzypisudolnego"/>
        <w:spacing w:after="120"/>
        <w:jc w:val="both"/>
      </w:pPr>
      <w:r w:rsidRPr="009E7327">
        <w:rPr>
          <w:rStyle w:val="Odwoanieprzypisudolnego"/>
        </w:rPr>
        <w:footnoteRef/>
      </w:r>
      <w:r w:rsidRPr="009E7327">
        <w:t xml:space="preserve"> </w:t>
      </w:r>
      <w:hyperlink r:id="rId22" w:history="1">
        <w:r w:rsidRPr="009E7327">
          <w:rPr>
            <w:rStyle w:val="Hipercze"/>
          </w:rPr>
          <w:t>https://grantthornton.pl/wp-content/uploads/2025/03/Barometr-Prawa-2025_RAPORT-Grant-Thornton-20-03.pdf</w:t>
        </w:r>
      </w:hyperlink>
      <w:r w:rsidR="0077464F">
        <w:t>.</w:t>
      </w:r>
      <w:r w:rsidRPr="009E7327">
        <w:t xml:space="preserve"> </w:t>
      </w:r>
    </w:p>
  </w:footnote>
  <w:footnote w:id="24">
    <w:p w14:paraId="34A80D4A" w14:textId="6577CD97" w:rsidR="005D37E0" w:rsidRPr="009E7327" w:rsidRDefault="005D37E0" w:rsidP="00E94218">
      <w:pPr>
        <w:pStyle w:val="Tekstprzypisudolnego"/>
        <w:spacing w:after="120"/>
        <w:jc w:val="both"/>
      </w:pPr>
      <w:r w:rsidRPr="009E7327">
        <w:rPr>
          <w:rStyle w:val="Odwoanieprzypisudolnego"/>
        </w:rPr>
        <w:footnoteRef/>
      </w:r>
      <w:r w:rsidRPr="009E7327">
        <w:t xml:space="preserve"> </w:t>
      </w:r>
      <w:r w:rsidRPr="009576D8">
        <w:t xml:space="preserve">Uchwała nr 20 Rady Ministrów z dnia 4 marca 2025 r. w sprawie koordynacji procesu legislacyjnego wdrażającego deregulację (M.P. poz. </w:t>
      </w:r>
      <w:r w:rsidR="00414D7C">
        <w:t>223</w:t>
      </w:r>
      <w:r w:rsidRPr="009576D8">
        <w:t>).</w:t>
      </w:r>
    </w:p>
  </w:footnote>
  <w:footnote w:id="25">
    <w:p w14:paraId="5ADF7769" w14:textId="5F9D3A29" w:rsidR="00C12D5D" w:rsidRPr="009E7327" w:rsidRDefault="00C12D5D" w:rsidP="00E94218">
      <w:pPr>
        <w:pStyle w:val="Tekstprzypisudolnego"/>
        <w:spacing w:after="120"/>
        <w:jc w:val="both"/>
      </w:pPr>
      <w:r w:rsidRPr="009E7327">
        <w:rPr>
          <w:rStyle w:val="Odwoanieprzypisudolnego"/>
        </w:rPr>
        <w:footnoteRef/>
      </w:r>
      <w:r w:rsidRPr="009E7327">
        <w:t xml:space="preserve"> Postęp w tym zakresie jest publikowany na stronie internetowej</w:t>
      </w:r>
      <w:r w:rsidR="0081079E" w:rsidRPr="009E7327">
        <w:t>:</w:t>
      </w:r>
      <w:r w:rsidRPr="009E7327">
        <w:t xml:space="preserve"> </w:t>
      </w:r>
      <w:hyperlink r:id="rId23" w:history="1">
        <w:r w:rsidRPr="009E7327">
          <w:rPr>
            <w:rStyle w:val="Hipercze"/>
          </w:rPr>
          <w:t>https://www.gov.pl/web/deregulacja</w:t>
        </w:r>
      </w:hyperlink>
      <w:r w:rsidRPr="009E7327">
        <w:t>.</w:t>
      </w:r>
    </w:p>
  </w:footnote>
  <w:footnote w:id="26">
    <w:p w14:paraId="78027CF2" w14:textId="2575A69F" w:rsidR="00474F61" w:rsidRPr="009E7327" w:rsidRDefault="00474F61" w:rsidP="006E0012">
      <w:pPr>
        <w:pStyle w:val="Tekstprzypisudolnego"/>
        <w:spacing w:after="120"/>
        <w:jc w:val="both"/>
      </w:pPr>
      <w:r w:rsidRPr="009E7327">
        <w:rPr>
          <w:rStyle w:val="Odwoanieprzypisudolnego"/>
        </w:rPr>
        <w:footnoteRef/>
      </w:r>
      <w:r w:rsidRPr="009E7327">
        <w:t xml:space="preserve"> Art. 9</w:t>
      </w:r>
      <w:r w:rsidRPr="009576D8">
        <w:rPr>
          <w:vertAlign w:val="superscript"/>
        </w:rPr>
        <w:t>2</w:t>
      </w:r>
      <w:r w:rsidRPr="009E7327">
        <w:t xml:space="preserve"> ust. 21 </w:t>
      </w:r>
      <w:r w:rsidR="00B70C6E" w:rsidRPr="009E7327">
        <w:t>ustawy z dnia 26 października 1982 r. o wychowaniu w trzeźwości i przeciwdziałaniu alkoholizmowi (Dz.</w:t>
      </w:r>
      <w:r w:rsidR="006E0012">
        <w:t xml:space="preserve"> </w:t>
      </w:r>
      <w:r w:rsidR="00B70C6E" w:rsidRPr="009E7327">
        <w:t xml:space="preserve">U. </w:t>
      </w:r>
      <w:r w:rsidR="006E0012">
        <w:t xml:space="preserve">z </w:t>
      </w:r>
      <w:r w:rsidR="00B70C6E" w:rsidRPr="009E7327">
        <w:t xml:space="preserve">2023 </w:t>
      </w:r>
      <w:r w:rsidR="006E0012">
        <w:t xml:space="preserve">r. </w:t>
      </w:r>
      <w:r w:rsidR="00B70C6E" w:rsidRPr="009E7327">
        <w:t>poz. 2151).</w:t>
      </w:r>
      <w:r w:rsidR="00B70C6E" w:rsidRPr="009E7327" w:rsidDel="00B70C6E">
        <w:t xml:space="preserve"> </w:t>
      </w:r>
    </w:p>
  </w:footnote>
  <w:footnote w:id="27">
    <w:p w14:paraId="7F7B1107" w14:textId="4BBF02C0" w:rsidR="00365B66" w:rsidRDefault="00365B66" w:rsidP="006E0012">
      <w:pPr>
        <w:pStyle w:val="Tekstprzypisudolnego"/>
        <w:spacing w:after="120"/>
        <w:jc w:val="both"/>
      </w:pPr>
      <w:r>
        <w:rPr>
          <w:rStyle w:val="Odwoanieprzypisudolnego"/>
        </w:rPr>
        <w:footnoteRef/>
      </w:r>
      <w:r>
        <w:t xml:space="preserve"> </w:t>
      </w:r>
      <w:r w:rsidRPr="009E7327">
        <w:t>Dyrektywa Parlamentu Europejskiego i Rady (UE) 2023/2413 z dnia 18 października 2023 r. zmieniająca dyrektywę (UE) 2018/2001, rozporządzenie (UE) 2018/1999 i dyrektywę 98/70/WE w odniesieniu do</w:t>
      </w:r>
      <w:r w:rsidR="006C207B">
        <w:t> </w:t>
      </w:r>
      <w:r w:rsidRPr="009E7327">
        <w:t>promowania energii ze źródeł odnawialnych oraz uchylającej dyrektywę Rady (UE) 2015/</w:t>
      </w:r>
      <w:r w:rsidRPr="003062F6">
        <w:t>652</w:t>
      </w:r>
      <w:r w:rsidR="00CC031F" w:rsidRPr="003062F6">
        <w:t xml:space="preserve"> (Dz. Urz. UE L </w:t>
      </w:r>
      <w:r w:rsidR="003062F6">
        <w:t>2023/</w:t>
      </w:r>
      <w:r w:rsidR="00CC031F" w:rsidRPr="003062F6">
        <w:t>2413 z 31.10.2023)</w:t>
      </w:r>
      <w:r w:rsidRPr="003062F6">
        <w:t>.</w:t>
      </w:r>
    </w:p>
  </w:footnote>
  <w:footnote w:id="28">
    <w:p w14:paraId="34F543E7" w14:textId="274F779D" w:rsidR="00365B66" w:rsidRDefault="00365B66" w:rsidP="006E0012">
      <w:pPr>
        <w:pStyle w:val="Tekstprzypisudolnego"/>
        <w:spacing w:after="120"/>
        <w:jc w:val="both"/>
      </w:pPr>
      <w:r>
        <w:rPr>
          <w:rStyle w:val="Odwoanieprzypisudolnego"/>
        </w:rPr>
        <w:footnoteRef/>
      </w:r>
      <w:r>
        <w:t xml:space="preserve"> </w:t>
      </w:r>
      <w:r w:rsidRPr="009E7327">
        <w:t>Projekt ustawy o zasadach zarządzania transportem i składowaniem dwutlenku węgla oraz realizacji projektów inwestycyjnych w zakresie wychwytywania, transportu, składowania i wykorzystania dwutlenku węgla (nazwa robocza)</w:t>
      </w:r>
      <w:r>
        <w:t>.</w:t>
      </w:r>
    </w:p>
  </w:footnote>
  <w:footnote w:id="29">
    <w:p w14:paraId="299EDC20" w14:textId="7567FD4C" w:rsidR="00365B66" w:rsidRDefault="00365B66" w:rsidP="006E0012">
      <w:pPr>
        <w:pStyle w:val="Tekstprzypisudolnego"/>
        <w:spacing w:after="120"/>
        <w:jc w:val="both"/>
      </w:pPr>
      <w:r>
        <w:rPr>
          <w:rStyle w:val="Odwoanieprzypisudolnego"/>
        </w:rPr>
        <w:footnoteRef/>
      </w:r>
      <w:r>
        <w:t xml:space="preserve"> </w:t>
      </w:r>
      <w:r w:rsidRPr="009E7327">
        <w:t>Zmiany wdrożą Rozporządzenie Parlamentu Europejskiego i Rady (UE) 2024/1735 z dnia 13 czerwca 2024</w:t>
      </w:r>
      <w:r w:rsidR="00412815">
        <w:t> </w:t>
      </w:r>
      <w:r w:rsidRPr="009E7327">
        <w:t>r. w sprawie ustanowienia ram środków na rzecz wzmocnienia europejskiego ekosystemu produkcji technologii neutralnych emisyjnie i zmieniające rozporządzenie (UE) 2018/1724</w:t>
      </w:r>
      <w:r w:rsidR="00BD571A">
        <w:t xml:space="preserve"> </w:t>
      </w:r>
      <w:r w:rsidR="00BD571A" w:rsidRPr="005C61DE">
        <w:t xml:space="preserve">(Dz. Urz. UE L </w:t>
      </w:r>
      <w:r w:rsidR="005C61DE">
        <w:t>2024/</w:t>
      </w:r>
      <w:r w:rsidR="00BD571A" w:rsidRPr="005C61DE">
        <w:t xml:space="preserve">1735 z </w:t>
      </w:r>
      <w:r w:rsidR="00BD571A" w:rsidRPr="005C61DE">
        <w:t>28.6.2024)</w:t>
      </w:r>
      <w:r w:rsidRPr="005C61DE">
        <w:t>.</w:t>
      </w:r>
    </w:p>
  </w:footnote>
  <w:footnote w:id="30">
    <w:p w14:paraId="6696029E" w14:textId="6252E7DF" w:rsidR="00725909" w:rsidRPr="009E7327" w:rsidRDefault="00725909" w:rsidP="006E0012">
      <w:pPr>
        <w:pStyle w:val="Tekstprzypisudolnego"/>
        <w:spacing w:after="120"/>
        <w:jc w:val="both"/>
      </w:pPr>
      <w:r w:rsidRPr="009E7327">
        <w:rPr>
          <w:rStyle w:val="Odwoanieprzypisudolnego"/>
        </w:rPr>
        <w:footnoteRef/>
      </w:r>
      <w:r w:rsidRPr="009E7327">
        <w:t xml:space="preserve"> Projekt ustawy o zmianie niektórych ustaw w celu likwidacji obowiązku dołączania dokumentów dostępnych w prowadzonych elektronicznie rejestrach publicznych, UDER96, </w:t>
      </w:r>
      <w:hyperlink r:id="rId24" w:history="1">
        <w:r w:rsidRPr="009E7327">
          <w:rPr>
            <w:rStyle w:val="Hipercze"/>
          </w:rPr>
          <w:t>https://www.gov.pl/web/premier/projekt-ustawy-o-zmianie-niektorych-ustaw-w-celu-likwidacji-obowiazku-dolaczania-dokumentow-dostepnych-w-prowadzonych-elektronicznie-rejestrach-publicznych</w:t>
        </w:r>
      </w:hyperlink>
      <w:r w:rsidR="00472836">
        <w:t>.</w:t>
      </w:r>
      <w:r w:rsidRPr="009E7327">
        <w:t xml:space="preserve"> </w:t>
      </w:r>
    </w:p>
  </w:footnote>
  <w:footnote w:id="31">
    <w:p w14:paraId="4888FDB4" w14:textId="7E4338CE" w:rsidR="009C6C2F" w:rsidRDefault="009C6C2F" w:rsidP="006E0012">
      <w:pPr>
        <w:pStyle w:val="Tekstprzypisudolnego"/>
        <w:spacing w:after="120"/>
        <w:jc w:val="both"/>
      </w:pPr>
      <w:r>
        <w:rPr>
          <w:rStyle w:val="Odwoanieprzypisudolnego"/>
        </w:rPr>
        <w:footnoteRef/>
      </w:r>
      <w:r>
        <w:t xml:space="preserve"> </w:t>
      </w:r>
      <w:r w:rsidRPr="009E7327">
        <w:t>Projekt ustawy o uregulowaniu praw do gruntów zabudowanych przez spółdzielnie mieszkaniowe, o</w:t>
      </w:r>
      <w:r>
        <w:t> </w:t>
      </w:r>
      <w:r w:rsidRPr="009E7327">
        <w:t xml:space="preserve">zmianie ustawy o gospodarce nieruchomościami oraz niektórych innych ustaw, </w:t>
      </w:r>
      <w:r w:rsidRPr="00530165">
        <w:t>UD335,</w:t>
      </w:r>
      <w:r w:rsidRPr="009E7327">
        <w:t xml:space="preserve"> </w:t>
      </w:r>
      <w:hyperlink r:id="rId25" w:history="1">
        <w:r w:rsidRPr="009E7327">
          <w:rPr>
            <w:rStyle w:val="Hipercze"/>
          </w:rPr>
          <w:t>https://www.gov.pl/web/premier/projekt-ustawy-o-uregulowaniu-praw-do-gruntow-zabudowanych-przez-spoldzielnie-mieszkaniowe-o-zmianie-ustawy-o-gospodarce-nieruchomosciami-oraz-niektorych-innych-ustaw</w:t>
        </w:r>
      </w:hyperlink>
      <w:r w:rsidR="00472836">
        <w:t>.</w:t>
      </w:r>
    </w:p>
  </w:footnote>
  <w:footnote w:id="32">
    <w:p w14:paraId="22E9FAD8" w14:textId="4E385E5A" w:rsidR="009C6C2F" w:rsidRDefault="009C6C2F" w:rsidP="006E0012">
      <w:pPr>
        <w:pStyle w:val="Tekstprzypisudolnego"/>
        <w:spacing w:after="120"/>
        <w:jc w:val="both"/>
      </w:pPr>
      <w:r>
        <w:rPr>
          <w:rStyle w:val="Odwoanieprzypisudolnego"/>
        </w:rPr>
        <w:footnoteRef/>
      </w:r>
      <w:r>
        <w:t xml:space="preserve"> </w:t>
      </w:r>
      <w:r w:rsidRPr="00B860FB">
        <w:t xml:space="preserve">Ustawa z dnia 21 sierpnia </w:t>
      </w:r>
      <w:r w:rsidR="00E5602D">
        <w:t>1997 r</w:t>
      </w:r>
      <w:r w:rsidR="00E5602D" w:rsidRPr="00530165">
        <w:t xml:space="preserve">. </w:t>
      </w:r>
      <w:r w:rsidRPr="00530165">
        <w:t xml:space="preserve">o gospodarce nieruchomościami </w:t>
      </w:r>
      <w:r w:rsidR="00E5602D" w:rsidRPr="00530165">
        <w:t>(Dz. U. z 2024 r. poz. 1145, 1222, 1717 i 1881 oraz z 2025 r. poz. 1077 i 1080)</w:t>
      </w:r>
      <w:r w:rsidR="00EE6260" w:rsidRPr="00530165">
        <w:t>.</w:t>
      </w:r>
    </w:p>
  </w:footnote>
  <w:footnote w:id="33">
    <w:p w14:paraId="415BBA78" w14:textId="0DCF8B6D" w:rsidR="00E6075B" w:rsidRPr="009E7327" w:rsidRDefault="00E6075B" w:rsidP="00D622CF">
      <w:pPr>
        <w:pStyle w:val="Tekstprzypisudolnego"/>
        <w:spacing w:after="120"/>
        <w:jc w:val="both"/>
      </w:pPr>
      <w:r w:rsidRPr="009E7327">
        <w:rPr>
          <w:rStyle w:val="Odwoanieprzypisudolnego"/>
        </w:rPr>
        <w:footnoteRef/>
      </w:r>
      <w:r w:rsidRPr="009E7327">
        <w:t xml:space="preserve"> </w:t>
      </w:r>
      <w:r w:rsidR="001E3C16" w:rsidRPr="009E7327">
        <w:t>Ustawa z dnia 18 kwietnia 1985 r. o rybactwie śródlądowym</w:t>
      </w:r>
      <w:r w:rsidR="009C6C2F">
        <w:t xml:space="preserve"> (</w:t>
      </w:r>
      <w:r w:rsidR="009C6C2F" w:rsidRPr="009C6C2F">
        <w:t>Dz.</w:t>
      </w:r>
      <w:r w:rsidR="00D622CF">
        <w:t xml:space="preserve"> </w:t>
      </w:r>
      <w:r w:rsidR="009C6C2F" w:rsidRPr="009C6C2F">
        <w:t>U. z 2022 r. poz. 883)</w:t>
      </w:r>
      <w:r w:rsidR="009C6C2F">
        <w:t>.</w:t>
      </w:r>
    </w:p>
  </w:footnote>
  <w:footnote w:id="34">
    <w:p w14:paraId="06571A09" w14:textId="39149BA7" w:rsidR="00E04AA9" w:rsidRPr="009E7327" w:rsidRDefault="00E04AA9" w:rsidP="00D622CF">
      <w:pPr>
        <w:pStyle w:val="Tekstprzypisudolnego"/>
        <w:spacing w:after="120"/>
        <w:jc w:val="both"/>
      </w:pPr>
      <w:r w:rsidRPr="009E7327">
        <w:rPr>
          <w:rStyle w:val="Odwoanieprzypisudolnego"/>
        </w:rPr>
        <w:footnoteRef/>
      </w:r>
      <w:r w:rsidRPr="009E7327">
        <w:t xml:space="preserve"> Projekt ustawy o zmianie ustawy o świadczeniach pieniężnych z ubezpieczenia społecznego w razie choroby i macierzyństwa, UDER74, </w:t>
      </w:r>
      <w:hyperlink r:id="rId26" w:history="1">
        <w:r w:rsidRPr="009E7327">
          <w:rPr>
            <w:rStyle w:val="Hipercze"/>
          </w:rPr>
          <w:t>https://www.gov.pl/web/premier/projekt-ustawy-o-zmianie-ustawy-o-swiadczeniach-pienieznych-z-ubezpieczenia-spolecznego-w-razie-choroby-i-macierzynstwa</w:t>
        </w:r>
      </w:hyperlink>
      <w:r w:rsidR="0077464F">
        <w:t>.</w:t>
      </w:r>
      <w:r w:rsidRPr="009E7327">
        <w:t xml:space="preserve"> </w:t>
      </w:r>
    </w:p>
  </w:footnote>
  <w:footnote w:id="35">
    <w:p w14:paraId="2D13FF44" w14:textId="2FDADCE2" w:rsidR="00BC636F" w:rsidRPr="009E7327" w:rsidRDefault="00BC636F" w:rsidP="00FC083A">
      <w:pPr>
        <w:pStyle w:val="Tekstprzypisudolnego"/>
        <w:spacing w:after="120"/>
      </w:pPr>
      <w:r w:rsidRPr="009E7327">
        <w:rPr>
          <w:rStyle w:val="Odwoanieprzypisudolnego"/>
        </w:rPr>
        <w:footnoteRef/>
      </w:r>
      <w:r w:rsidRPr="009E7327">
        <w:t xml:space="preserve"> Projekt ustawy o zmianie ustawy o systemie ubezpieczeń społecznych oraz niektórych innych ustaw, UDER90, </w:t>
      </w:r>
      <w:hyperlink r:id="rId27" w:history="1">
        <w:r w:rsidRPr="009E7327">
          <w:rPr>
            <w:rStyle w:val="Hipercze"/>
          </w:rPr>
          <w:t>https://www.gov.pl/web/premier/projekt-ustawy-o-zmianie-ustawy-o-systemie-ubezpieczen-spolecznych-oraz-niektorych-innych-ustaw13</w:t>
        </w:r>
      </w:hyperlink>
      <w:r w:rsidR="0077464F">
        <w:t>.</w:t>
      </w:r>
      <w:r w:rsidRPr="009E7327">
        <w:t xml:space="preserve"> </w:t>
      </w:r>
    </w:p>
  </w:footnote>
  <w:footnote w:id="36">
    <w:p w14:paraId="2803AA31" w14:textId="09C88E8B" w:rsidR="00541CBF" w:rsidRPr="00530165" w:rsidRDefault="00980A3D" w:rsidP="00FC083A">
      <w:pPr>
        <w:pStyle w:val="Tekstprzypisudolnego"/>
        <w:spacing w:after="120"/>
      </w:pPr>
      <w:r w:rsidRPr="009E7327">
        <w:rPr>
          <w:rStyle w:val="Odwoanieprzypisudolnego"/>
        </w:rPr>
        <w:footnoteRef/>
      </w:r>
      <w:r w:rsidRPr="009E7327">
        <w:t xml:space="preserve"> Ustawa z dnia 20 </w:t>
      </w:r>
      <w:r w:rsidRPr="00530165">
        <w:t>sierpnia 1997 r. o Krajowym Rejestrze Sądowym</w:t>
      </w:r>
      <w:r w:rsidR="009C6C2F" w:rsidRPr="00530165">
        <w:t xml:space="preserve"> (Dz.</w:t>
      </w:r>
      <w:r w:rsidR="000451FD" w:rsidRPr="00530165">
        <w:t xml:space="preserve"> </w:t>
      </w:r>
      <w:r w:rsidR="009C6C2F" w:rsidRPr="00530165">
        <w:t>U. z 2025 r. poz. 869</w:t>
      </w:r>
      <w:r w:rsidR="00E5602D" w:rsidRPr="00530165">
        <w:t>, 1556 i 1792</w:t>
      </w:r>
      <w:r w:rsidR="009C6C2F" w:rsidRPr="00530165">
        <w:t xml:space="preserve">). </w:t>
      </w:r>
      <w:r w:rsidR="00541CBF" w:rsidRPr="00530165">
        <w:t xml:space="preserve">Zmiany wdrożą dyrektywę Parlamentu Europejskiego i Rady (UE) 2025/25 z dnia 19 grudnia 2024 r. w sprawie zmiany dyrektyw 2009/102/WE i (UE) 2017/1132 </w:t>
      </w:r>
      <w:r w:rsidR="0088605F" w:rsidRPr="00530165">
        <w:t xml:space="preserve">(Dz. Urz. UE L 2025/25 z </w:t>
      </w:r>
      <w:r w:rsidR="0088605F" w:rsidRPr="00530165">
        <w:t xml:space="preserve">10.1.2025) </w:t>
      </w:r>
      <w:r w:rsidR="00541CBF" w:rsidRPr="00530165">
        <w:t>w zakresie szerszego wykorzystania i aktualizacji narzędzi i procesów cyfrowych w ramach prawa spółek.</w:t>
      </w:r>
    </w:p>
  </w:footnote>
  <w:footnote w:id="37">
    <w:p w14:paraId="76094DFE" w14:textId="46B37F47" w:rsidR="0054508F" w:rsidRPr="00530165" w:rsidRDefault="0054508F" w:rsidP="00FC083A">
      <w:pPr>
        <w:pStyle w:val="Tekstprzypisudolnego"/>
        <w:spacing w:after="120"/>
      </w:pPr>
      <w:r w:rsidRPr="00530165">
        <w:rPr>
          <w:rStyle w:val="Odwoanieprzypisudolnego"/>
        </w:rPr>
        <w:footnoteRef/>
      </w:r>
      <w:r w:rsidRPr="00530165">
        <w:t xml:space="preserve"> </w:t>
      </w:r>
      <w:r w:rsidR="00C83EC0" w:rsidRPr="00530165">
        <w:t xml:space="preserve">Ustawa z dnia 15 września 2000 r. </w:t>
      </w:r>
      <w:r w:rsidR="000451FD" w:rsidRPr="00530165">
        <w:t xml:space="preserve">- </w:t>
      </w:r>
      <w:r w:rsidR="00C83EC0" w:rsidRPr="00530165">
        <w:t>Kodeks spółek handlowych</w:t>
      </w:r>
      <w:r w:rsidR="00EE6260" w:rsidRPr="00530165">
        <w:t xml:space="preserve"> (Dz.</w:t>
      </w:r>
      <w:r w:rsidR="000451FD" w:rsidRPr="00530165">
        <w:t xml:space="preserve"> </w:t>
      </w:r>
      <w:r w:rsidR="00EE6260" w:rsidRPr="00530165">
        <w:t xml:space="preserve">U. z 2024 r. poz. 18 </w:t>
      </w:r>
      <w:r w:rsidR="00E5602D" w:rsidRPr="00530165">
        <w:t>i 96</w:t>
      </w:r>
      <w:r w:rsidR="00EE6260" w:rsidRPr="00530165">
        <w:t>).</w:t>
      </w:r>
    </w:p>
    <w:p w14:paraId="7C3D5F2F" w14:textId="7FD374EC" w:rsidR="0054508F" w:rsidRPr="00530165" w:rsidRDefault="0054508F" w:rsidP="00FC083A">
      <w:pPr>
        <w:pStyle w:val="Tekstprzypisudolnego"/>
        <w:spacing w:after="120"/>
      </w:pPr>
      <w:r w:rsidRPr="00530165">
        <w:t>Zmiany wdrożą dyrektywę Parlamentu Europejskiego i Rady (UE) 2024/2810 z dnia 23 października 2024 r. w sprawie struktur akcji obejmujących akcje uprzywilejowane co do głosu w spółkach ubiegających się</w:t>
      </w:r>
      <w:r w:rsidR="006C207B" w:rsidRPr="00530165">
        <w:t> </w:t>
      </w:r>
      <w:r w:rsidR="005F5163" w:rsidRPr="00530165">
        <w:t>o </w:t>
      </w:r>
      <w:r w:rsidRPr="00530165">
        <w:t>dopuszczenie ich akcji do obrotu na wielostronnej platformie obrotu.</w:t>
      </w:r>
    </w:p>
  </w:footnote>
  <w:footnote w:id="38">
    <w:p w14:paraId="7E7877DA" w14:textId="7F320076" w:rsidR="00FF6801" w:rsidRPr="009E7327" w:rsidRDefault="00FF6801" w:rsidP="00FC083A">
      <w:pPr>
        <w:pStyle w:val="Tekstprzypisudolnego"/>
        <w:spacing w:after="120"/>
      </w:pPr>
      <w:r w:rsidRPr="00530165">
        <w:rPr>
          <w:rStyle w:val="Odwoanieprzypisudolnego"/>
        </w:rPr>
        <w:footnoteRef/>
      </w:r>
      <w:r w:rsidRPr="00530165">
        <w:t xml:space="preserve"> art. 40a </w:t>
      </w:r>
      <w:r w:rsidR="00E5602D" w:rsidRPr="00530165">
        <w:t xml:space="preserve">ust. 1 </w:t>
      </w:r>
      <w:r w:rsidRPr="00530165">
        <w:t xml:space="preserve">ustawy z dnia 29 lipca 2005 r. o przeciwdziałaniu narkomani </w:t>
      </w:r>
      <w:r w:rsidR="00EE6260" w:rsidRPr="00530165">
        <w:t>(Dz.</w:t>
      </w:r>
      <w:r w:rsidR="004119DA">
        <w:t xml:space="preserve"> </w:t>
      </w:r>
      <w:r w:rsidR="00EE6260" w:rsidRPr="00530165">
        <w:t>U. z 2023 r. poz. 1939).</w:t>
      </w:r>
    </w:p>
  </w:footnote>
  <w:footnote w:id="39">
    <w:p w14:paraId="5C0A524A" w14:textId="62488799" w:rsidR="00A73BC6" w:rsidRPr="009E7327" w:rsidRDefault="00A73BC6" w:rsidP="00FC083A">
      <w:pPr>
        <w:pStyle w:val="Tekstprzypisudolnego"/>
        <w:spacing w:after="120"/>
      </w:pPr>
      <w:r w:rsidRPr="009E7327">
        <w:rPr>
          <w:rStyle w:val="Odwoanieprzypisudolnego"/>
        </w:rPr>
        <w:footnoteRef/>
      </w:r>
      <w:r w:rsidRPr="009E7327">
        <w:t xml:space="preserve"> </w:t>
      </w:r>
      <w:r w:rsidR="00B70C6E" w:rsidRPr="009E7327">
        <w:t xml:space="preserve">Ustawa z dnia 21 maja 2025 r. o zmianie niektórych ustaw w celu deregulacji prawa gospodarczego </w:t>
      </w:r>
      <w:r w:rsidR="008E33E1" w:rsidRPr="009E7327">
        <w:t>i</w:t>
      </w:r>
      <w:r w:rsidR="008E33E1">
        <w:t> </w:t>
      </w:r>
      <w:r w:rsidR="00B70C6E" w:rsidRPr="009E7327">
        <w:t>administracyjnego oraz doskonalenia zasad opracowywania prawa gospodarczego (Dz. U. poz. 769)</w:t>
      </w:r>
      <w:r w:rsidR="0077464F">
        <w:t>.</w:t>
      </w:r>
    </w:p>
  </w:footnote>
  <w:footnote w:id="40">
    <w:p w14:paraId="25D04229" w14:textId="3BBDE171" w:rsidR="002C78F8" w:rsidRPr="009E7327" w:rsidRDefault="002C78F8" w:rsidP="007123DB">
      <w:pPr>
        <w:pStyle w:val="Tekstprzypisudolnego"/>
        <w:spacing w:after="120"/>
      </w:pPr>
      <w:r w:rsidRPr="009E7327">
        <w:rPr>
          <w:rStyle w:val="Odwoanieprzypisudolnego"/>
        </w:rPr>
        <w:footnoteRef/>
      </w:r>
      <w:r w:rsidRPr="009E7327">
        <w:t xml:space="preserve"> Materiał informacyjny dla administracji </w:t>
      </w:r>
      <w:r w:rsidR="00204D94">
        <w:t>–</w:t>
      </w:r>
      <w:r w:rsidRPr="009E7327">
        <w:t xml:space="preserve"> Zasada równoważenia obowiązków administracyjnych (Ministerstwo Rozwoju i Technologii, lipiec 2025)</w:t>
      </w:r>
      <w:r w:rsidR="000B4CD3">
        <w:t>,</w:t>
      </w:r>
      <w:r w:rsidRPr="009E7327">
        <w:t xml:space="preserve"> </w:t>
      </w:r>
      <w:hyperlink r:id="rId28" w:history="1">
        <w:r w:rsidR="008E33E1" w:rsidRPr="00526DA3">
          <w:rPr>
            <w:rStyle w:val="Hipercze"/>
          </w:rPr>
          <w:t>https://www.gov.pl/web/rozwoj-technologia/zasada-rownowazenia-obowiazkow-administracyjnych</w:t>
        </w:r>
      </w:hyperlink>
      <w:r w:rsidR="0077464F">
        <w:t>.</w:t>
      </w:r>
      <w:r w:rsidR="008E33E1">
        <w:t xml:space="preserve"> </w:t>
      </w:r>
    </w:p>
  </w:footnote>
  <w:footnote w:id="41">
    <w:p w14:paraId="35FD4475" w14:textId="0442331D" w:rsidR="00202D9E" w:rsidRPr="009E7327" w:rsidRDefault="00202D9E" w:rsidP="00FC083A">
      <w:pPr>
        <w:pStyle w:val="Tekstprzypisudolnego"/>
        <w:spacing w:after="120"/>
      </w:pPr>
      <w:r w:rsidRPr="009E7327">
        <w:rPr>
          <w:rStyle w:val="Odwoanieprzypisudolnego"/>
        </w:rPr>
        <w:footnoteRef/>
      </w:r>
      <w:r w:rsidRPr="009E7327">
        <w:t xml:space="preserve"> Projekt </w:t>
      </w:r>
      <w:r w:rsidRPr="009E7327">
        <w:t xml:space="preserve">PLLuM (Polish Large Language Model) to inicjatywa mająca na celu stworzenie otwartego polskiego modelu językowego. </w:t>
      </w:r>
    </w:p>
  </w:footnote>
  <w:footnote w:id="42">
    <w:p w14:paraId="4F44A64F" w14:textId="39E93F53" w:rsidR="00202D9E" w:rsidRPr="009E7327" w:rsidRDefault="00202D9E" w:rsidP="00FC083A">
      <w:pPr>
        <w:pStyle w:val="Tekstprzypisudolnego"/>
        <w:spacing w:after="120"/>
      </w:pPr>
      <w:r w:rsidRPr="009E7327">
        <w:rPr>
          <w:rStyle w:val="Odwoanieprzypisudolnego"/>
        </w:rPr>
        <w:footnoteRef/>
      </w:r>
      <w:r w:rsidRPr="009E7327">
        <w:t xml:space="preserve"> Rozporządzenie 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 (akt w sprawie sztucznej inteligencji</w:t>
      </w:r>
      <w:r w:rsidRPr="004119DA">
        <w:t>) (</w:t>
      </w:r>
      <w:r w:rsidR="00EE6C0A" w:rsidRPr="004119DA">
        <w:t xml:space="preserve">Dz. Urz. UE L </w:t>
      </w:r>
      <w:r w:rsidRPr="004119DA">
        <w:t>2024/1689</w:t>
      </w:r>
      <w:r w:rsidR="00EE6C0A" w:rsidRPr="004119DA">
        <w:t xml:space="preserve"> z </w:t>
      </w:r>
      <w:r w:rsidR="00EE6C0A" w:rsidRPr="004119DA">
        <w:t>12.7.2024</w:t>
      </w:r>
      <w:r w:rsidRPr="004119DA">
        <w:t>)</w:t>
      </w:r>
      <w:r w:rsidR="0091410B" w:rsidRPr="004119DA">
        <w:t>.</w:t>
      </w:r>
    </w:p>
  </w:footnote>
  <w:footnote w:id="43">
    <w:p w14:paraId="27208B37" w14:textId="46E1192D" w:rsidR="000563ED" w:rsidRPr="009E7327" w:rsidRDefault="000563ED" w:rsidP="00FC083A">
      <w:pPr>
        <w:pStyle w:val="Tekstprzypisudolnego"/>
        <w:spacing w:after="120"/>
      </w:pPr>
      <w:r w:rsidRPr="009E7327">
        <w:rPr>
          <w:rStyle w:val="Odwoanieprzypisudolnego"/>
        </w:rPr>
        <w:footnoteRef/>
      </w:r>
      <w:r w:rsidRPr="009E7327">
        <w:t xml:space="preserve"> W tym zakresie planuje się zmiany w ustawie z dnia 20 czerwca 1997 r. – Prawo o ruchu drogowym</w:t>
      </w:r>
      <w:r w:rsidR="00DF1A20">
        <w:t xml:space="preserve"> </w:t>
      </w:r>
      <w:r w:rsidR="00DF1A20" w:rsidRPr="00DF1A20">
        <w:t>(Dz.</w:t>
      </w:r>
      <w:r w:rsidR="00F12E41">
        <w:t> </w:t>
      </w:r>
      <w:r w:rsidR="00DF1A20" w:rsidRPr="00DF1A20">
        <w:t>U. z 2024 r. poz. 1251 oraz z 2025 r. poz. 820, 1006, 1676 i 1734)</w:t>
      </w:r>
      <w:r w:rsidR="0091410B">
        <w:t>.</w:t>
      </w:r>
    </w:p>
  </w:footnote>
  <w:footnote w:id="44">
    <w:p w14:paraId="47102743" w14:textId="4FCA1F66" w:rsidR="00536DF7" w:rsidRPr="009E7327" w:rsidRDefault="00536DF7" w:rsidP="00FC083A">
      <w:pPr>
        <w:pStyle w:val="Tekstprzypisudolnego"/>
        <w:spacing w:after="120"/>
      </w:pPr>
      <w:r w:rsidRPr="009E7327">
        <w:rPr>
          <w:rStyle w:val="Odwoanieprzypisudolnego"/>
        </w:rPr>
        <w:footnoteRef/>
      </w:r>
      <w:r w:rsidRPr="009E7327">
        <w:t xml:space="preserve"> W ramach stosowania rozporządzenia Parlamentu Europejskiego i Rady (UE) 2020/1056 z dnia 15 lipca 2020 r. w sprawie elektronicznych informacji dotyczących transportu towarowego (</w:t>
      </w:r>
      <w:r w:rsidRPr="009E7327">
        <w:t>eFTI)</w:t>
      </w:r>
      <w:r w:rsidR="004E339C">
        <w:t xml:space="preserve"> </w:t>
      </w:r>
      <w:r w:rsidR="004E339C" w:rsidRPr="004119DA">
        <w:t xml:space="preserve">(Dz. Urz. UE L 249 z </w:t>
      </w:r>
      <w:r w:rsidR="004E339C" w:rsidRPr="004119DA">
        <w:t>31.7.2020</w:t>
      </w:r>
      <w:r w:rsidR="004119DA" w:rsidRPr="004119DA">
        <w:t>, str. 33</w:t>
      </w:r>
      <w:r w:rsidR="004E339C" w:rsidRPr="004119DA">
        <w:t>)</w:t>
      </w:r>
      <w:r w:rsidRPr="004119DA">
        <w:t>.</w:t>
      </w:r>
    </w:p>
  </w:footnote>
  <w:footnote w:id="45">
    <w:p w14:paraId="625B43A9" w14:textId="264CBAC6" w:rsidR="00B95B86" w:rsidRPr="009E7327" w:rsidRDefault="00B95B86" w:rsidP="00FC083A">
      <w:pPr>
        <w:pStyle w:val="Tekstprzypisudolnego"/>
        <w:spacing w:after="120"/>
      </w:pPr>
      <w:r w:rsidRPr="009E7327">
        <w:rPr>
          <w:rStyle w:val="Odwoanieprzypisudolnego"/>
        </w:rPr>
        <w:footnoteRef/>
      </w:r>
      <w:r w:rsidRPr="009E7327">
        <w:t xml:space="preserve"> „</w:t>
      </w:r>
      <w:r w:rsidR="00202D9E" w:rsidRPr="009E7327">
        <w:t>Program działań mających na celu zmniejszenie zanieczyszczenia wód azotanami pochodzącymi ze źródeł rolniczych oraz zapobieganie dalszemu zanieczyszczeniu</w:t>
      </w:r>
      <w:r w:rsidR="00F707DA">
        <w:t>”,</w:t>
      </w:r>
      <w:r w:rsidR="00202D9E" w:rsidRPr="009E7327">
        <w:t xml:space="preserve"> opracowany na podstawie art. 104 i</w:t>
      </w:r>
      <w:r w:rsidR="007123DB">
        <w:t> </w:t>
      </w:r>
      <w:r w:rsidR="00202D9E" w:rsidRPr="009E7327">
        <w:t xml:space="preserve">nast. ustawy z dnia 20 lipca 2017 r. </w:t>
      </w:r>
      <w:r w:rsidR="000B4CD3">
        <w:t xml:space="preserve">– </w:t>
      </w:r>
      <w:r w:rsidR="00202D9E" w:rsidRPr="009E7327">
        <w:t>Prawo wodne (Dz. U. z 2025 r. poz. 960).</w:t>
      </w:r>
    </w:p>
  </w:footnote>
  <w:footnote w:id="46">
    <w:p w14:paraId="726F8FAB" w14:textId="58B9FFE5" w:rsidR="00202D9E" w:rsidRPr="009E7327" w:rsidRDefault="00202D9E" w:rsidP="00FC083A">
      <w:pPr>
        <w:pStyle w:val="Tekstprzypisudolnego"/>
        <w:spacing w:after="120"/>
      </w:pPr>
      <w:r w:rsidRPr="009E7327">
        <w:rPr>
          <w:rStyle w:val="Odwoanieprzypisudolnego"/>
        </w:rPr>
        <w:footnoteRef/>
      </w:r>
      <w:r w:rsidRPr="009E7327">
        <w:t xml:space="preserve"> System Informacji Celno-Skarbowej EUREKA to narzędzie zawierające kompleksowy zbiór informacji na temat prawa podatkowego i celnego, wypracowanych przez jednostki resortu finansów, zapewniający dostęp do aktualnej informacji, pracownikom resortu oraz interesariuszom zewnętrznym (podatnikom)</w:t>
      </w:r>
      <w:r w:rsidR="00A64445">
        <w:t>.</w:t>
      </w:r>
    </w:p>
  </w:footnote>
  <w:footnote w:id="47">
    <w:p w14:paraId="050FD1BB" w14:textId="43475C24" w:rsidR="00202D9E" w:rsidRPr="009E7327" w:rsidRDefault="00202D9E" w:rsidP="00FC083A">
      <w:pPr>
        <w:pStyle w:val="Tekstprzypisudolnego"/>
        <w:spacing w:after="120"/>
      </w:pPr>
      <w:r w:rsidRPr="009E7327">
        <w:rPr>
          <w:rStyle w:val="Odwoanieprzypisudolnego"/>
        </w:rPr>
        <w:footnoteRef/>
      </w:r>
      <w:r w:rsidRPr="009E7327">
        <w:t xml:space="preserve"> Centralny Rejestr Beneficjentów Rzeczywistych działa na podstawie art. 55 ustawy z dnia 1 marca 2018</w:t>
      </w:r>
      <w:r w:rsidR="00E76EE7">
        <w:t> </w:t>
      </w:r>
      <w:r w:rsidRPr="009E7327">
        <w:t>r. o przeciwdziałaniu praniu pieniędzy oraz finansowaniu terroryzmu (Dz. U. z 2025 r. poz. 644</w:t>
      </w:r>
      <w:r w:rsidR="00F707DA">
        <w:t xml:space="preserve"> i</w:t>
      </w:r>
      <w:r w:rsidR="007123DB">
        <w:t> </w:t>
      </w:r>
      <w:r w:rsidR="00F707DA">
        <w:t>1669</w:t>
      </w:r>
      <w:r w:rsidRPr="009E7327">
        <w:t>).</w:t>
      </w:r>
    </w:p>
  </w:footnote>
  <w:footnote w:id="48">
    <w:p w14:paraId="5F4A5A64" w14:textId="0365A2CF" w:rsidR="00202D9E" w:rsidRPr="009E7327" w:rsidRDefault="00202D9E" w:rsidP="00FC083A">
      <w:pPr>
        <w:pStyle w:val="Tekstprzypisudolnego"/>
        <w:spacing w:after="120"/>
      </w:pPr>
      <w:r w:rsidRPr="009E7327">
        <w:rPr>
          <w:rStyle w:val="Odwoanieprzypisudolnego"/>
        </w:rPr>
        <w:footnoteRef/>
      </w:r>
      <w:r w:rsidRPr="009E7327">
        <w:t xml:space="preserve"> Krajowy Rejestr Sądowy działa na podstawie ustawy z dnia 20 sierpnia 1997 r. o Krajowym Rejestrze Sądowym.</w:t>
      </w:r>
    </w:p>
  </w:footnote>
  <w:footnote w:id="49">
    <w:p w14:paraId="42D45F5F" w14:textId="5394BF0F" w:rsidR="00C700C6" w:rsidRPr="009E7327" w:rsidRDefault="00C700C6" w:rsidP="00FC083A">
      <w:pPr>
        <w:pStyle w:val="Tekstprzypisudolnego"/>
        <w:spacing w:after="120"/>
      </w:pPr>
      <w:r w:rsidRPr="009E7327">
        <w:rPr>
          <w:rStyle w:val="Odwoanieprzypisudolnego"/>
        </w:rPr>
        <w:footnoteRef/>
      </w:r>
      <w:r w:rsidRPr="009E7327">
        <w:t xml:space="preserve"> Projekt ustawy o zmianie ustawy – Prawo geodezyjne i kartograficzne oraz ustawy o infrastrukturze informacji przestrzennej, UD60, </w:t>
      </w:r>
      <w:hyperlink r:id="rId29" w:history="1">
        <w:r w:rsidRPr="009E7327">
          <w:rPr>
            <w:rStyle w:val="Hipercze"/>
          </w:rPr>
          <w:t>https://legislacja.rcl.gov.pl/projekt/12398653</w:t>
        </w:r>
      </w:hyperlink>
      <w:r w:rsidR="0077464F">
        <w:t>.</w:t>
      </w:r>
      <w:r w:rsidRPr="009E7327">
        <w:t xml:space="preserve"> </w:t>
      </w:r>
    </w:p>
  </w:footnote>
  <w:footnote w:id="50">
    <w:p w14:paraId="425873D8" w14:textId="0EC6ECE2" w:rsidR="0091410B" w:rsidRDefault="0091410B" w:rsidP="00CA17FD">
      <w:pPr>
        <w:pStyle w:val="Tekstprzypisudolnego"/>
        <w:spacing w:after="120"/>
      </w:pPr>
      <w:r>
        <w:rPr>
          <w:rStyle w:val="Odwoanieprzypisudolnego"/>
        </w:rPr>
        <w:footnoteRef/>
      </w:r>
      <w:r>
        <w:t xml:space="preserve"> </w:t>
      </w:r>
      <w:r w:rsidRPr="009E7327">
        <w:t xml:space="preserve">Projekt ustawy o zmianie ustawy o efektywności energetycznej oraz niektórych innych ustaw, UC77, </w:t>
      </w:r>
      <w:hyperlink r:id="rId30" w:history="1">
        <w:r w:rsidRPr="009E7327">
          <w:rPr>
            <w:rStyle w:val="Hipercze"/>
          </w:rPr>
          <w:t>https://www.gov.pl/web/premier/projekt-ustawy-o-zmianie-ustawy-o-efektywnosci-energetycznej-oraz-niektorych-innych-ustaw4</w:t>
        </w:r>
      </w:hyperlink>
      <w:r w:rsidRPr="009E7327">
        <w:t>.</w:t>
      </w:r>
    </w:p>
  </w:footnote>
  <w:footnote w:id="51">
    <w:p w14:paraId="44F92D95" w14:textId="3F9CEDFB" w:rsidR="00202D9E" w:rsidRPr="009E7327" w:rsidRDefault="00202D9E" w:rsidP="00CA17FD">
      <w:pPr>
        <w:pStyle w:val="Tekstprzypisudolnego"/>
        <w:spacing w:after="120"/>
      </w:pPr>
      <w:r w:rsidRPr="009E7327">
        <w:rPr>
          <w:rStyle w:val="Odwoanieprzypisudolnego"/>
        </w:rPr>
        <w:footnoteRef/>
      </w:r>
      <w:r w:rsidRPr="009E7327">
        <w:t xml:space="preserve"> Krajowy Plan Odbudowy i Zwiększania Odporności (KPO) jest dokumentem programowym określającym cele związane z odbudową i zwiększeniem odporności społeczno-gospodarczej Polski po kryzysie wywołanym pandemią COVID-19, jak również definiującym reformy strukturalne i inwestycje, służące realizacji ww. celów. Zob.: </w:t>
      </w:r>
      <w:hyperlink r:id="rId31" w:history="1">
        <w:r w:rsidRPr="009E7327">
          <w:rPr>
            <w:rStyle w:val="Hipercze"/>
          </w:rPr>
          <w:t>https://www.kpo.gov.pl/</w:t>
        </w:r>
      </w:hyperlink>
      <w:r w:rsidR="0077464F">
        <w:t>.</w:t>
      </w:r>
    </w:p>
  </w:footnote>
  <w:footnote w:id="52">
    <w:p w14:paraId="5F5FAFB6" w14:textId="255263B7" w:rsidR="00D474F3" w:rsidRPr="009576D8" w:rsidRDefault="00D474F3" w:rsidP="007123DB">
      <w:pPr>
        <w:pStyle w:val="Tekstprzypisudolnego"/>
        <w:spacing w:after="120"/>
      </w:pPr>
      <w:r w:rsidRPr="009576D8">
        <w:rPr>
          <w:rStyle w:val="Odwoanieprzypisudolnego"/>
        </w:rPr>
        <w:footnoteRef/>
      </w:r>
      <w:r w:rsidRPr="009576D8">
        <w:t xml:space="preserve"> </w:t>
      </w:r>
      <w:r w:rsidR="007C33E5">
        <w:t>Art.</w:t>
      </w:r>
      <w:r w:rsidRPr="009576D8">
        <w:t xml:space="preserve"> 67 pkt 4 Prawa przedsiębiorców</w:t>
      </w:r>
      <w:r w:rsidR="0077464F">
        <w:t>.</w:t>
      </w:r>
    </w:p>
  </w:footnote>
  <w:footnote w:id="53">
    <w:p w14:paraId="0EF3EE03" w14:textId="08CD27E0" w:rsidR="0055017C" w:rsidRPr="009E7327" w:rsidRDefault="0055017C" w:rsidP="007C33E5">
      <w:pPr>
        <w:pStyle w:val="Tekstprzypisudolnego"/>
        <w:spacing w:after="120"/>
        <w:jc w:val="both"/>
      </w:pPr>
      <w:r w:rsidRPr="009E7327">
        <w:rPr>
          <w:rStyle w:val="Odwoanieprzypisudolnego"/>
        </w:rPr>
        <w:footnoteRef/>
      </w:r>
      <w:r w:rsidRPr="009E7327">
        <w:t xml:space="preserve"> § 28 ust. 3a </w:t>
      </w:r>
      <w:r w:rsidR="00F707DA">
        <w:t>u</w:t>
      </w:r>
      <w:r w:rsidR="00B97301" w:rsidRPr="009E7327">
        <w:t xml:space="preserve">chwały nr 190 Rady Ministrów </w:t>
      </w:r>
      <w:r w:rsidR="0077464F">
        <w:t>–</w:t>
      </w:r>
      <w:r w:rsidR="00B97301" w:rsidRPr="009E7327">
        <w:t xml:space="preserve"> </w:t>
      </w:r>
      <w:r w:rsidRPr="009E7327">
        <w:t>Regulamin pracy Rady Ministrów</w:t>
      </w:r>
      <w:r w:rsidR="00F707DA">
        <w:t xml:space="preserve"> </w:t>
      </w:r>
      <w:r w:rsidR="00F707DA" w:rsidRPr="00F707DA">
        <w:t>(M.P. z 2024 r. poz. 806 oraz z 2025 r. poz. 408)</w:t>
      </w:r>
      <w:r w:rsidR="0077464F">
        <w:t>.</w:t>
      </w:r>
    </w:p>
  </w:footnote>
  <w:footnote w:id="54">
    <w:p w14:paraId="5F0AD5E0" w14:textId="6ED1DA17" w:rsidR="002210EF" w:rsidRDefault="002210EF" w:rsidP="007C33E5">
      <w:pPr>
        <w:pStyle w:val="Tekstprzypisudolnego"/>
        <w:spacing w:after="120"/>
      </w:pPr>
      <w:r>
        <w:rPr>
          <w:rStyle w:val="Odwoanieprzypisudolnego"/>
        </w:rPr>
        <w:footnoteRef/>
      </w:r>
      <w:r>
        <w:t xml:space="preserve"> </w:t>
      </w:r>
      <w:r w:rsidRPr="009E7327">
        <w:t xml:space="preserve">W kontekście </w:t>
      </w:r>
      <w:r w:rsidRPr="007123DB">
        <w:t>European Structural and Investment Funds</w:t>
      </w:r>
      <w:r w:rsidRPr="009E7327">
        <w:t xml:space="preserve"> (ESIF) zaproponowano podział gold</w:t>
      </w:r>
      <w:r w:rsidRPr="00C51088">
        <w:t>-</w:t>
      </w:r>
      <w:r w:rsidRPr="009E7327">
        <w:t>platingu na aktywny i pasywny</w:t>
      </w:r>
      <w:r w:rsidRPr="00C51088">
        <w:rPr>
          <w:b/>
          <w:bCs/>
        </w:rPr>
        <w:t>. Aktywny gold-</w:t>
      </w:r>
      <w:r>
        <w:rPr>
          <w:b/>
          <w:bCs/>
        </w:rPr>
        <w:t>p</w:t>
      </w:r>
      <w:r w:rsidRPr="00C51088">
        <w:rPr>
          <w:b/>
          <w:bCs/>
        </w:rPr>
        <w:t>lating</w:t>
      </w:r>
      <w:r w:rsidRPr="00C51088">
        <w:t xml:space="preserve"> zachodzi wówczas, gdy państwo członkowskie wprowadza do swojego porządku prawnego dodatkowe procedury i regulacje, które nie zostały przewidziane we wdrażanych przepisach UE</w:t>
      </w:r>
      <w:r>
        <w:t>.</w:t>
      </w:r>
      <w:r w:rsidRPr="00C51088">
        <w:t xml:space="preserve"> </w:t>
      </w:r>
      <w:r w:rsidRPr="00C51088">
        <w:rPr>
          <w:b/>
          <w:bCs/>
        </w:rPr>
        <w:t>Pasywny gold-plating</w:t>
      </w:r>
      <w:r w:rsidRPr="00C51088">
        <w:t xml:space="preserve"> zachodzi wówczas, gdy krajowi, regionalni lub lokalni </w:t>
      </w:r>
      <w:r w:rsidR="00827C59">
        <w:t>regulatorz</w:t>
      </w:r>
      <w:r w:rsidR="007C2EAF">
        <w:t>y</w:t>
      </w:r>
      <w:r w:rsidRPr="00C51088">
        <w:t xml:space="preserve"> nie wprowadzili uproszczeń proponowanych przez unijne regulacje. </w:t>
      </w:r>
      <w:r w:rsidRPr="009E7327">
        <w:t>Niemiecka Niezależna Rada Regulacyjna (Normenkontrollrat, NKR), która bierze udział w ocenie, czy przepisy krajowe nie wykraczają poza wymagania unijne, proponuje systematykę obejmującą</w:t>
      </w:r>
      <w:r w:rsidR="00827C59">
        <w:t>:</w:t>
      </w:r>
      <w:r w:rsidRPr="009E7327">
        <w:t xml:space="preserve"> Fałszywe pozłacanie (Unechtes Gold-Plating), Prawdziwe pozłocone wdrażanie (Echtes Gold-Plating), Pasywne złocenie (Passives Gold-Plating)</w:t>
      </w:r>
      <w:r w:rsidR="007833F1">
        <w:t>.</w:t>
      </w:r>
      <w:r w:rsidRPr="009E7327">
        <w:t xml:space="preserve"> Por. </w:t>
      </w:r>
      <w:hyperlink r:id="rId32" w:history="1">
        <w:r w:rsidR="007C33E5" w:rsidRPr="00834FEC">
          <w:rPr>
            <w:rStyle w:val="Hipercze"/>
          </w:rPr>
          <w:t>https://www.europarl.europa.eu/RegData/etudes/STUD/2017/585906/IPOL_STU(2017)585906_EN.pdf</w:t>
        </w:r>
      </w:hyperlink>
      <w:r>
        <w:t xml:space="preserve"> </w:t>
      </w:r>
      <w:r w:rsidRPr="009E7327">
        <w:t xml:space="preserve"> oraz </w:t>
      </w:r>
      <w:hyperlink r:id="rId33" w:history="1">
        <w:r w:rsidRPr="00526DA3">
          <w:rPr>
            <w:rStyle w:val="Hipercze"/>
          </w:rPr>
          <w:t>https://www.normenkontrollrat.bund.de/Webs/NKR/SharedDocs/Newsletter/DE/2024/2024-3/05_artikel_goldplating.html</w:t>
        </w:r>
      </w:hyperlink>
      <w:r>
        <w:t xml:space="preserve">. </w:t>
      </w:r>
    </w:p>
  </w:footnote>
  <w:footnote w:id="55">
    <w:p w14:paraId="746B51E0" w14:textId="5CC7B834" w:rsidR="00985A55" w:rsidRPr="009576D8" w:rsidRDefault="00985A55" w:rsidP="007123DB">
      <w:pPr>
        <w:pStyle w:val="Tekstprzypisudolnego"/>
        <w:spacing w:after="120"/>
      </w:pPr>
      <w:r w:rsidRPr="009E7327">
        <w:rPr>
          <w:rStyle w:val="Odwoanieprzypisudolnego"/>
        </w:rPr>
        <w:footnoteRef/>
      </w:r>
      <w:r w:rsidRPr="009576D8">
        <w:t xml:space="preserve"> </w:t>
      </w:r>
      <w:hyperlink r:id="rId34" w:history="1">
        <w:r w:rsidR="00EE6260" w:rsidRPr="009576D8">
          <w:rPr>
            <w:rStyle w:val="Hipercze"/>
          </w:rPr>
          <w:t>https://www.sgi-network.org/2024/Poland</w:t>
        </w:r>
      </w:hyperlink>
      <w:r w:rsidR="0077464F">
        <w:t>.</w:t>
      </w:r>
      <w:r w:rsidR="00EE6260">
        <w:t xml:space="preserve"> </w:t>
      </w:r>
    </w:p>
  </w:footnote>
  <w:footnote w:id="56">
    <w:p w14:paraId="209B8506" w14:textId="6DDA3901" w:rsidR="004D6EEB" w:rsidRPr="009E7327" w:rsidRDefault="004D6EEB" w:rsidP="007123DB">
      <w:pPr>
        <w:pStyle w:val="Tekstprzypisudolnego"/>
        <w:spacing w:after="120"/>
      </w:pPr>
      <w:r w:rsidRPr="009E7327">
        <w:rPr>
          <w:rStyle w:val="Odwoanieprzypisudolnego"/>
        </w:rPr>
        <w:footnoteRef/>
      </w:r>
      <w:r w:rsidRPr="009E7327">
        <w:t xml:space="preserve"> </w:t>
      </w:r>
      <w:hyperlink r:id="rId35" w:history="1">
        <w:r w:rsidR="00EE6260" w:rsidRPr="00526DA3">
          <w:rPr>
            <w:rStyle w:val="Hipercze"/>
          </w:rPr>
          <w:t>https://stat.gov.pl/obszary-tematyczne/koniunktura/koniunktura/</w:t>
        </w:r>
      </w:hyperlink>
      <w:r w:rsidR="0077464F">
        <w:t>.</w:t>
      </w:r>
      <w:r w:rsidR="00EE6260">
        <w:t xml:space="preserve"> </w:t>
      </w:r>
    </w:p>
  </w:footnote>
  <w:footnote w:id="57">
    <w:p w14:paraId="322478A0" w14:textId="2649938B" w:rsidR="00C33ECC" w:rsidRPr="009576D8" w:rsidRDefault="00C33ECC" w:rsidP="007123DB">
      <w:pPr>
        <w:pStyle w:val="Tekstprzypisudolnego"/>
        <w:spacing w:after="120"/>
        <w:rPr>
          <w:lang w:val="en-GB"/>
        </w:rPr>
      </w:pPr>
      <w:r w:rsidRPr="009576D8">
        <w:rPr>
          <w:rStyle w:val="Odwoanieprzypisudolnego"/>
        </w:rPr>
        <w:footnoteRef/>
      </w:r>
      <w:r w:rsidRPr="009576D8">
        <w:rPr>
          <w:lang w:val="en-GB"/>
        </w:rPr>
        <w:t xml:space="preserve"> </w:t>
      </w:r>
      <w:r w:rsidRPr="009576D8">
        <w:rPr>
          <w:rFonts w:eastAsia="Calibri" w:cs="Calibri"/>
          <w:lang w:val="en-GB"/>
        </w:rPr>
        <w:t xml:space="preserve">OECD Regulatory Policy Outlook 2025, OECD Publishing, Paris, </w:t>
      </w:r>
      <w:hyperlink r:id="rId36" w:history="1">
        <w:r w:rsidRPr="009576D8">
          <w:rPr>
            <w:rStyle w:val="Hipercze"/>
            <w:rFonts w:eastAsia="Calibri" w:cs="Calibri"/>
            <w:lang w:val="en-GB"/>
          </w:rPr>
          <w:t>https://doi.org/10.1787/56b60e39-en</w:t>
        </w:r>
      </w:hyperlink>
      <w:r w:rsidR="0077464F" w:rsidRPr="007123DB">
        <w:rPr>
          <w:lang w:val="en-GB"/>
        </w:rPr>
        <w:t>.</w:t>
      </w:r>
    </w:p>
  </w:footnote>
  <w:footnote w:id="58">
    <w:p w14:paraId="34A4474E" w14:textId="126F9799" w:rsidR="00B45530" w:rsidRPr="009E7327" w:rsidRDefault="00B45530" w:rsidP="007123DB">
      <w:pPr>
        <w:pStyle w:val="Tekstprzypisudolnego"/>
        <w:spacing w:after="120"/>
        <w:rPr>
          <w:lang w:val="en-GB"/>
        </w:rPr>
      </w:pPr>
      <w:r w:rsidRPr="009E7327">
        <w:rPr>
          <w:rStyle w:val="Odwoanieprzypisudolnego"/>
        </w:rPr>
        <w:footnoteRef/>
      </w:r>
      <w:r w:rsidR="004F7D77" w:rsidRPr="009576D8">
        <w:rPr>
          <w:lang w:val="en-GB"/>
        </w:rPr>
        <w:t xml:space="preserve"> </w:t>
      </w:r>
      <w:hyperlink r:id="rId37" w:history="1">
        <w:r w:rsidR="004F7D77" w:rsidRPr="007123DB">
          <w:rPr>
            <w:rStyle w:val="Hipercze"/>
            <w:lang w:val="en-GB"/>
          </w:rPr>
          <w:t>https://commission.europa.eu/document/download/88ebf8bb-79c1-4cf2-975b-c643dcc766f8_en?filename=BRT-2023-Chapter%206-How%20to%20carry%20out%20an%20evaluation%20and%20a%20fitness%20check_0.pdf</w:t>
        </w:r>
      </w:hyperlink>
      <w:r w:rsidR="0077464F" w:rsidRPr="007123DB">
        <w:rPr>
          <w:lang w:val="en-GB"/>
        </w:rPr>
        <w:t>.</w:t>
      </w:r>
      <w:r w:rsidR="00494CE1" w:rsidRPr="009576D8">
        <w:rPr>
          <w:lang w:val="en-GB"/>
        </w:rPr>
        <w:t xml:space="preserve"> </w:t>
      </w:r>
    </w:p>
  </w:footnote>
  <w:footnote w:id="59">
    <w:p w14:paraId="45B6190F" w14:textId="38336A5D" w:rsidR="00291CCA" w:rsidRPr="009576D8" w:rsidRDefault="00291CCA" w:rsidP="007123DB">
      <w:pPr>
        <w:pStyle w:val="Tekstprzypisudolnego"/>
        <w:spacing w:after="120"/>
        <w:rPr>
          <w:lang w:val="en-GB"/>
        </w:rPr>
      </w:pPr>
      <w:r w:rsidRPr="009E7327">
        <w:rPr>
          <w:rStyle w:val="Odwoanieprzypisudolnego"/>
        </w:rPr>
        <w:footnoteRef/>
      </w:r>
      <w:r w:rsidRPr="009576D8">
        <w:rPr>
          <w:lang w:val="en-GB"/>
        </w:rPr>
        <w:t xml:space="preserve"> </w:t>
      </w:r>
      <w:r w:rsidRPr="009576D8">
        <w:rPr>
          <w:rStyle w:val="Hipercze"/>
          <w:lang w:val="en-GB"/>
        </w:rPr>
        <w:t>https://www.e-legislativa.cz/portal/domu</w:t>
      </w:r>
      <w:r w:rsidR="0077464F" w:rsidRPr="007123DB">
        <w:rPr>
          <w:lang w:val="en-GB"/>
        </w:rPr>
        <w:t>.</w:t>
      </w:r>
    </w:p>
  </w:footnote>
  <w:footnote w:id="60">
    <w:p w14:paraId="2B0218AB" w14:textId="08D4DE5D" w:rsidR="00291CCA" w:rsidRPr="009576D8" w:rsidRDefault="00291CCA" w:rsidP="007123DB">
      <w:pPr>
        <w:pStyle w:val="Tekstprzypisudolnego"/>
        <w:spacing w:after="120"/>
        <w:rPr>
          <w:lang w:val="en-GB"/>
        </w:rPr>
      </w:pPr>
      <w:r w:rsidRPr="009E7327">
        <w:rPr>
          <w:rStyle w:val="Odwoanieprzypisudolnego"/>
        </w:rPr>
        <w:footnoteRef/>
      </w:r>
      <w:r w:rsidRPr="009576D8">
        <w:rPr>
          <w:lang w:val="en-GB"/>
        </w:rPr>
        <w:t xml:space="preserve"> </w:t>
      </w:r>
      <w:hyperlink r:id="rId38" w:anchor="/" w:history="1">
        <w:r w:rsidR="00723841" w:rsidRPr="009576D8">
          <w:rPr>
            <w:rStyle w:val="Hipercze"/>
            <w:lang w:val="en-GB"/>
          </w:rPr>
          <w:t>https://plattform.egesetzgebung.bund.de/cockpit/#/</w:t>
        </w:r>
      </w:hyperlink>
      <w:r w:rsidR="0077464F" w:rsidRPr="007123DB">
        <w:rPr>
          <w:lang w:val="en-GB"/>
        </w:rPr>
        <w:t>.</w:t>
      </w:r>
      <w:r w:rsidR="00723841">
        <w:rPr>
          <w:lang w:val="en-GB"/>
        </w:rPr>
        <w:t xml:space="preserve"> </w:t>
      </w:r>
    </w:p>
  </w:footnote>
  <w:footnote w:id="61">
    <w:p w14:paraId="7D54A3A2" w14:textId="37897664" w:rsidR="00291CCA" w:rsidRPr="009576D8" w:rsidRDefault="00291CCA" w:rsidP="007123DB">
      <w:pPr>
        <w:pStyle w:val="Tekstprzypisudolnego"/>
        <w:spacing w:after="120"/>
      </w:pPr>
      <w:r w:rsidRPr="009576D8">
        <w:rPr>
          <w:rStyle w:val="Odwoanieprzypisudolnego"/>
        </w:rPr>
        <w:footnoteRef/>
      </w:r>
      <w:r w:rsidRPr="009576D8">
        <w:t xml:space="preserve"> Opinia Europejskiego Komitetu Ekonomiczno-Społecznego Uproszczenie przepisów – wykorzystanie narzędzi cyfrowych na rzecz lepszego stanowienia prawa (C/2025/5146). Opinia została przyjęta na posiedzeniu plenarnym w dniu 16 lipca 2025 r.</w:t>
      </w:r>
      <w:r w:rsidR="000B4CD3">
        <w:t>,</w:t>
      </w:r>
      <w:r w:rsidR="00EE6260">
        <w:t xml:space="preserve"> </w:t>
      </w:r>
      <w:hyperlink r:id="rId39" w:history="1">
        <w:r w:rsidR="00EE6260" w:rsidRPr="009576D8">
          <w:rPr>
            <w:rStyle w:val="Hipercze"/>
          </w:rPr>
          <w:t>https://eur-lex.europa.eu/legal-content/PL/TXT/HTML/?uri=OJ:C_202505146</w:t>
        </w:r>
      </w:hyperlink>
      <w:r w:rsidR="00723841">
        <w:t xml:space="preserve">. </w:t>
      </w:r>
    </w:p>
  </w:footnote>
  <w:footnote w:id="62">
    <w:p w14:paraId="2A713339" w14:textId="181D764D" w:rsidR="00806520" w:rsidRPr="009E7327" w:rsidRDefault="00806520" w:rsidP="007123DB">
      <w:pPr>
        <w:pStyle w:val="Tekstprzypisudolnego"/>
        <w:spacing w:after="120"/>
      </w:pPr>
      <w:r w:rsidRPr="009E7327">
        <w:rPr>
          <w:rStyle w:val="Odwoanieprzypisudolnego"/>
        </w:rPr>
        <w:footnoteRef/>
      </w:r>
      <w:r w:rsidRPr="009E7327">
        <w:t xml:space="preserve"> </w:t>
      </w:r>
      <w:r w:rsidR="00A64300" w:rsidRPr="009E7327">
        <w:t xml:space="preserve">Strategia przyjmowana jest przez Radę Ministrów na podstawie art. 12aa ustawy z dnia 17 lutego 2005 r. o informatyzacji działalności podmiotów realizujących zadania publiczne (Dz. U. z 2024 r. poz. 1557, 1717, z 2025 r. poz. 1006, 1019, 1158, 1301), </w:t>
      </w:r>
      <w:hyperlink r:id="rId40" w:history="1">
        <w:r w:rsidR="00EE6260" w:rsidRPr="00526DA3">
          <w:rPr>
            <w:rStyle w:val="Hipercze"/>
          </w:rPr>
          <w:t>https://www.gov.pl/web/cyfryzacja/strategia-cyfryzacji-polski-do-2035-roku</w:t>
        </w:r>
      </w:hyperlink>
      <w:r w:rsidR="00A64300" w:rsidRPr="009E7327">
        <w:t>.</w:t>
      </w:r>
    </w:p>
  </w:footnote>
  <w:footnote w:id="63">
    <w:p w14:paraId="64E694C6" w14:textId="45706C55" w:rsidR="00FF43A8" w:rsidRDefault="00FF43A8" w:rsidP="007123DB">
      <w:pPr>
        <w:pStyle w:val="Tekstprzypisudolnego"/>
        <w:spacing w:after="120"/>
      </w:pPr>
      <w:r>
        <w:rPr>
          <w:rStyle w:val="Odwoanieprzypisudolnego"/>
        </w:rPr>
        <w:footnoteRef/>
      </w:r>
      <w:r>
        <w:t xml:space="preserve"> </w:t>
      </w:r>
      <w:hyperlink r:id="rId41" w:history="1">
        <w:r w:rsidRPr="00F2102A">
          <w:rPr>
            <w:rStyle w:val="Hipercze"/>
          </w:rPr>
          <w:t>https://www.nik.gov.pl/kontrole/P/24/087/LWA/</w:t>
        </w:r>
      </w:hyperlink>
    </w:p>
  </w:footnote>
  <w:footnote w:id="64">
    <w:p w14:paraId="0869C610" w14:textId="75E0718D" w:rsidR="003878A8" w:rsidRPr="009E7327" w:rsidRDefault="003878A8" w:rsidP="007123DB">
      <w:pPr>
        <w:pStyle w:val="Tekstprzypisudolnego"/>
        <w:spacing w:after="120"/>
      </w:pPr>
      <w:r w:rsidRPr="009E7327">
        <w:rPr>
          <w:rStyle w:val="Odwoanieprzypisudolnego"/>
        </w:rPr>
        <w:footnoteRef/>
      </w:r>
      <w:r w:rsidRPr="009E7327">
        <w:t xml:space="preserve"> </w:t>
      </w:r>
      <w:r w:rsidR="00E12044">
        <w:t>Obowiązujące „W</w:t>
      </w:r>
      <w:r w:rsidR="00E12044" w:rsidRPr="00E12044">
        <w:t>ytyczne do przeprowadzania oceny wpływu i konsultacji publicznych w ramach rządowego procesu legislacyjnego</w:t>
      </w:r>
      <w:r w:rsidR="00E12044">
        <w:t xml:space="preserve">” można znaleźć na stronie: </w:t>
      </w:r>
      <w:hyperlink r:id="rId42" w:history="1">
        <w:r w:rsidR="00E12044" w:rsidRPr="004D2C1C">
          <w:rPr>
            <w:rStyle w:val="Hipercze"/>
          </w:rPr>
          <w:t>https://rcl.gov.pl/wp-content/uploads/2020/11/WytyczneOW.pdf</w:t>
        </w:r>
      </w:hyperlink>
      <w:r w:rsidR="00E12044">
        <w:t xml:space="preserve">. </w:t>
      </w:r>
      <w:r w:rsidRPr="009E7327">
        <w:t>Zgodnie z</w:t>
      </w:r>
      <w:r w:rsidR="00A946B8" w:rsidRPr="009E7327">
        <w:t xml:space="preserve"> </w:t>
      </w:r>
      <w:r w:rsidR="0010189D">
        <w:t>u</w:t>
      </w:r>
      <w:r w:rsidR="00A946B8" w:rsidRPr="009E7327">
        <w:t xml:space="preserve">chwałą </w:t>
      </w:r>
      <w:r w:rsidR="0010189D">
        <w:t>n</w:t>
      </w:r>
      <w:r w:rsidR="00A946B8" w:rsidRPr="009E7327">
        <w:t>r 90 Rady Ministrów z dnia 13 sierpnia 2024 r. zmieniając</w:t>
      </w:r>
      <w:r w:rsidR="00F27B2A" w:rsidRPr="009576D8">
        <w:t>ą</w:t>
      </w:r>
      <w:r w:rsidR="00A946B8" w:rsidRPr="009E7327">
        <w:t xml:space="preserve"> uchwałę </w:t>
      </w:r>
      <w:r w:rsidR="0077464F">
        <w:t>–</w:t>
      </w:r>
      <w:r w:rsidR="00A946B8" w:rsidRPr="009E7327">
        <w:t xml:space="preserve"> Regulamin pracy Rady Ministrów</w:t>
      </w:r>
      <w:r w:rsidR="0010189D">
        <w:t xml:space="preserve"> </w:t>
      </w:r>
      <w:r w:rsidR="0010189D" w:rsidRPr="0010189D">
        <w:t>(M.P. poz. 757)</w:t>
      </w:r>
      <w:r w:rsidR="00F27B2A" w:rsidRPr="009576D8">
        <w:t>,</w:t>
      </w:r>
      <w:r w:rsidR="00A946B8" w:rsidRPr="009E7327">
        <w:t xml:space="preserve"> Koordynator OSR opracuje wytyczne, w</w:t>
      </w:r>
      <w:r w:rsidR="0077464F">
        <w:t> </w:t>
      </w:r>
      <w:r w:rsidR="00A946B8" w:rsidRPr="009E7327">
        <w:t xml:space="preserve">terminie </w:t>
      </w:r>
      <w:r w:rsidR="00F27B2A" w:rsidRPr="009E7327">
        <w:t>6</w:t>
      </w:r>
      <w:r w:rsidR="00F27B2A" w:rsidRPr="009576D8">
        <w:t> </w:t>
      </w:r>
      <w:r w:rsidR="00A946B8" w:rsidRPr="009E7327">
        <w:t>miesięcy od dnia zamieszczenia w Biuletynie Informacji Publicznej na stronie podmiotowej Kancelarii Prezesa Rady Ministrów nowego wzoru formularza OSR</w:t>
      </w:r>
      <w:r w:rsidR="00F27B2A" w:rsidRPr="009576D8">
        <w:t>.</w:t>
      </w:r>
    </w:p>
  </w:footnote>
  <w:footnote w:id="65">
    <w:p w14:paraId="5A616333" w14:textId="7B35C0E8" w:rsidR="00D01A4C" w:rsidRPr="009E7327" w:rsidRDefault="00D01A4C" w:rsidP="007123DB">
      <w:pPr>
        <w:pStyle w:val="Tekstprzypisudolnego"/>
        <w:spacing w:after="120"/>
      </w:pPr>
      <w:r w:rsidRPr="009E7327">
        <w:rPr>
          <w:rStyle w:val="Odwoanieprzypisudolnego"/>
        </w:rPr>
        <w:footnoteRef/>
      </w:r>
      <w:r w:rsidRPr="009E7327">
        <w:t xml:space="preserve"> </w:t>
      </w:r>
      <w:hyperlink r:id="rId43" w:history="1">
        <w:r w:rsidRPr="009E7327">
          <w:rPr>
            <w:rStyle w:val="Hipercze"/>
          </w:rPr>
          <w:t>https://www.oecd.org/en/publications/oecd-regulatory-policy-outlook-2025_56b60e39-en.html</w:t>
        </w:r>
      </w:hyperlink>
      <w:r w:rsidR="0077464F">
        <w:t>.</w:t>
      </w:r>
      <w:r w:rsidRPr="009E7327">
        <w:t xml:space="preserve"> </w:t>
      </w:r>
    </w:p>
  </w:footnote>
  <w:footnote w:id="66">
    <w:p w14:paraId="59FCC9B5" w14:textId="7F6D8B48" w:rsidR="00A64300" w:rsidRPr="009E7327" w:rsidRDefault="00A64300" w:rsidP="007123DB">
      <w:pPr>
        <w:pStyle w:val="Tekstprzypisudolnego"/>
        <w:spacing w:after="120"/>
      </w:pPr>
      <w:r w:rsidRPr="009E7327">
        <w:rPr>
          <w:rStyle w:val="Odwoanieprzypisudolnego"/>
        </w:rPr>
        <w:footnoteRef/>
      </w:r>
      <w:r w:rsidRPr="009E7327">
        <w:t xml:space="preserve"> </w:t>
      </w:r>
      <w:r w:rsidRPr="009E7327">
        <w:t>eRPL to system do obsługi dokumentów rządowych Rządowego Procesu Legislacyjnego w podmiotach publicznych uczestniczących w procesie legislacyjnym</w:t>
      </w:r>
      <w:r w:rsidR="00D01A4C">
        <w:t>.</w:t>
      </w:r>
      <w:r w:rsidRPr="009E7327">
        <w:t xml:space="preserve"> </w:t>
      </w:r>
    </w:p>
  </w:footnote>
  <w:footnote w:id="67">
    <w:p w14:paraId="44882550" w14:textId="56AE43B1" w:rsidR="00B45530" w:rsidRPr="009E7327" w:rsidRDefault="00B45530" w:rsidP="007123DB">
      <w:pPr>
        <w:pStyle w:val="Tekstprzypisudolnego"/>
        <w:spacing w:after="120"/>
        <w:rPr>
          <w:strike/>
        </w:rPr>
      </w:pPr>
      <w:r w:rsidRPr="009E7327">
        <w:rPr>
          <w:rStyle w:val="Odwoanieprzypisudolnego"/>
        </w:rPr>
        <w:footnoteRef/>
      </w:r>
      <w:r w:rsidRPr="009E7327">
        <w:t xml:space="preserve"> Ewaluacja sektorowa może występować systematycznie w Kanadzie (</w:t>
      </w:r>
      <w:hyperlink r:id="rId44" w:history="1">
        <w:r w:rsidRPr="009E7327">
          <w:rPr>
            <w:rStyle w:val="Hipercze"/>
          </w:rPr>
          <w:t>https://www.canada.ca/en/government/system/laws/developing-improving-federal-regulations/modernizing-regulations/targeted-regulatory-reviews/round-1.html</w:t>
        </w:r>
      </w:hyperlink>
      <w:r w:rsidRPr="009E7327">
        <w:t>) czy też z inicjatywy strony społecznej (</w:t>
      </w:r>
      <w:r w:rsidRPr="009E7327">
        <w:t>Danish Business Regulation Forum), jak w Danii (</w:t>
      </w:r>
      <w:hyperlink r:id="rId45" w:history="1">
        <w:r w:rsidR="00D01A4C" w:rsidRPr="00D01A4C">
          <w:rPr>
            <w:rStyle w:val="Hipercze"/>
          </w:rPr>
          <w:t>https://regelforum.dk/english</w:t>
        </w:r>
      </w:hyperlink>
      <w:r w:rsidR="00D01A4C" w:rsidRPr="009576D8">
        <w:t>). Komisja</w:t>
      </w:r>
      <w:r w:rsidRPr="009E7327">
        <w:t xml:space="preserve"> Europejska prowadzi tzw. </w:t>
      </w:r>
      <w:r w:rsidR="00AF4EAE">
        <w:t>„</w:t>
      </w:r>
      <w:r w:rsidRPr="009E7327">
        <w:t>f</w:t>
      </w:r>
      <w:r w:rsidR="00D01A4C">
        <w:t>i</w:t>
      </w:r>
      <w:r w:rsidRPr="009E7327">
        <w:t>tness checks</w:t>
      </w:r>
      <w:r w:rsidR="00AF4EAE">
        <w:t>”</w:t>
      </w:r>
      <w:r w:rsidRPr="009E7327">
        <w:t xml:space="preserve"> w ramach przeglądów w obszarach konkretnych polityk (</w:t>
      </w:r>
      <w:hyperlink r:id="rId46" w:history="1">
        <w:r w:rsidR="00D01A4C" w:rsidRPr="00526DA3">
          <w:rPr>
            <w:rStyle w:val="Hipercze"/>
          </w:rPr>
          <w:t>https://commission.europa.eu/law/law-making-process/better-regulation_en</w:t>
        </w:r>
      </w:hyperlink>
      <w:r w:rsidRPr="009E7327">
        <w:t>)</w:t>
      </w:r>
      <w:r w:rsidR="00D01A4C">
        <w:t>.</w:t>
      </w:r>
    </w:p>
  </w:footnote>
  <w:footnote w:id="68">
    <w:p w14:paraId="05129E5E" w14:textId="7DECE879" w:rsidR="003E479E" w:rsidRPr="009E7327" w:rsidRDefault="003E479E" w:rsidP="007123DB">
      <w:pPr>
        <w:pStyle w:val="Tekstprzypisudolnego"/>
        <w:spacing w:after="120"/>
      </w:pPr>
      <w:r w:rsidRPr="009E7327">
        <w:rPr>
          <w:rStyle w:val="Odwoanieprzypisudolnego"/>
        </w:rPr>
        <w:footnoteRef/>
      </w:r>
      <w:r w:rsidRPr="009E7327">
        <w:t xml:space="preserve"> Holandia wykorzystuje tzw. „</w:t>
      </w:r>
      <w:r w:rsidRPr="009E7327">
        <w:t>lifelike approach” do identyfikacji problemów, z którymi borykają się przedsiębiorcy, stawiając się na miejscu przedsiębiorcy w rzeczywistych sytuacjach (</w:t>
      </w:r>
      <w:hyperlink r:id="rId47" w:history="1">
        <w:r w:rsidRPr="009E7327">
          <w:rPr>
            <w:rStyle w:val="Hipercze"/>
          </w:rPr>
          <w:t>https://www.regeldrukmonitor.nl/life-eventsaanpak</w:t>
        </w:r>
      </w:hyperlink>
      <w:r w:rsidRPr="009E7327">
        <w:t xml:space="preserve">). Komisja Europejska wykorzystuje dialogi wdrożeniowe i weryfikację rzeczywistości w bezpośrednim kontakcie z przedsiębiorcami </w:t>
      </w:r>
      <w:r w:rsidR="005F5163" w:rsidRPr="009E7327">
        <w:t>i</w:t>
      </w:r>
      <w:r w:rsidR="005F5163">
        <w:t> </w:t>
      </w:r>
      <w:r w:rsidRPr="009E7327">
        <w:t>ekspertami (</w:t>
      </w:r>
      <w:hyperlink r:id="rId48" w:history="1">
        <w:r w:rsidRPr="009E7327">
          <w:rPr>
            <w:rStyle w:val="Hipercze"/>
          </w:rPr>
          <w:t>https://commission.europa.eu/law/law-making-process/better-regulation_en</w:t>
        </w:r>
      </w:hyperlink>
      <w:r w:rsidRPr="009E7327">
        <w:t>).</w:t>
      </w:r>
    </w:p>
  </w:footnote>
  <w:footnote w:id="69">
    <w:p w14:paraId="57AF1BFC" w14:textId="3E711F84" w:rsidR="00A64300" w:rsidRPr="009E7327" w:rsidRDefault="00A64300" w:rsidP="007123DB">
      <w:pPr>
        <w:pStyle w:val="Tekstprzypisudolnego"/>
        <w:spacing w:after="120"/>
      </w:pPr>
      <w:r w:rsidRPr="009E7327">
        <w:rPr>
          <w:rStyle w:val="Odwoanieprzypisudolnego"/>
        </w:rPr>
        <w:footnoteRef/>
      </w:r>
      <w:r w:rsidRPr="009E7327">
        <w:t xml:space="preserve"> Zarządzenie nr 23 Prezesa Rady Ministrów z dnia 4 czerwca 2025 r. w sprawie Międzyresortowego Zespołu do spraw Rozwoju Przemysłu Obronnego (M.P. poz. 550).</w:t>
      </w:r>
    </w:p>
  </w:footnote>
  <w:footnote w:id="70">
    <w:p w14:paraId="29B10A50" w14:textId="14D2D702" w:rsidR="007C20CE" w:rsidRPr="009E7327" w:rsidRDefault="007C20CE" w:rsidP="007123DB">
      <w:pPr>
        <w:pStyle w:val="Tekstprzypisudolnego"/>
        <w:spacing w:after="120"/>
      </w:pPr>
      <w:r w:rsidRPr="009E7327">
        <w:rPr>
          <w:rStyle w:val="Odwoanieprzypisudolnego"/>
        </w:rPr>
        <w:footnoteRef/>
      </w:r>
      <w:r w:rsidRPr="009E7327">
        <w:t xml:space="preserve"> </w:t>
      </w:r>
      <w:r w:rsidR="00A64300" w:rsidRPr="009E7327">
        <w:t xml:space="preserve">Uchwała </w:t>
      </w:r>
      <w:r w:rsidR="00774BFD">
        <w:t>n</w:t>
      </w:r>
      <w:r w:rsidR="00A64300" w:rsidRPr="009E7327">
        <w:t>r 228/2023 Rady Ministrów z dnia 21 listopada 2023 r. w sprawie przyjęcia „Polityki rozwoju lotnictwa cywilnego w Polsce do 2030 r. (z perspektywą do 2040 r.)”</w:t>
      </w:r>
      <w:r w:rsidR="006147D4">
        <w:t>.</w:t>
      </w:r>
    </w:p>
  </w:footnote>
  <w:footnote w:id="71">
    <w:p w14:paraId="6EE85A7E" w14:textId="21A2FAAE" w:rsidR="00774BFD" w:rsidRDefault="00774BFD" w:rsidP="007123DB">
      <w:pPr>
        <w:pStyle w:val="Tekstprzypisudolnego"/>
        <w:spacing w:after="120"/>
      </w:pPr>
      <w:r>
        <w:rPr>
          <w:rStyle w:val="Odwoanieprzypisudolnego"/>
        </w:rPr>
        <w:footnoteRef/>
      </w:r>
      <w:r>
        <w:t xml:space="preserve"> </w:t>
      </w:r>
      <w:r w:rsidRPr="00774BFD">
        <w:t>Art. 143 ustaw</w:t>
      </w:r>
      <w:r w:rsidR="00BE67B8">
        <w:t>y</w:t>
      </w:r>
      <w:r w:rsidRPr="00774BFD">
        <w:t xml:space="preserve"> z dnia 26 stycznia 2023 r. o fundacji rodzinnej (Dz. U. poz. 326 i 825).</w:t>
      </w:r>
    </w:p>
  </w:footnote>
  <w:footnote w:id="72">
    <w:p w14:paraId="1348D540" w14:textId="778F2936" w:rsidR="0022425D" w:rsidRPr="009E7327" w:rsidRDefault="0022425D" w:rsidP="007123DB">
      <w:pPr>
        <w:pStyle w:val="Tekstprzypisudolnego"/>
        <w:spacing w:after="120"/>
      </w:pPr>
      <w:r w:rsidRPr="009E7327">
        <w:rPr>
          <w:rStyle w:val="Odwoanieprzypisudolnego"/>
        </w:rPr>
        <w:footnoteRef/>
      </w:r>
      <w:r w:rsidRPr="009E7327">
        <w:t xml:space="preserve"> Skorowidz, o którym mowa w art. 27 ust. 2 ustawy z dnia 20 lipca 2000 r. o ogłaszaniu aktów normatywnych i niektórych innych aktów prawnych</w:t>
      </w:r>
      <w:r w:rsidR="00774BFD">
        <w:t xml:space="preserve"> </w:t>
      </w:r>
      <w:r w:rsidR="00774BFD" w:rsidRPr="00774BFD">
        <w:t>(Dz. U. z 2019 r. poz. 1461)</w:t>
      </w:r>
      <w:r w:rsidRPr="009E7327">
        <w:t>.</w:t>
      </w:r>
    </w:p>
  </w:footnote>
  <w:footnote w:id="73">
    <w:p w14:paraId="7F391BC5" w14:textId="6C4300D5" w:rsidR="00D259F7" w:rsidRDefault="00D259F7" w:rsidP="007123DB">
      <w:pPr>
        <w:pStyle w:val="Tekstprzypisudolnego"/>
        <w:spacing w:after="120"/>
      </w:pPr>
      <w:r>
        <w:rPr>
          <w:rStyle w:val="Odwoanieprzypisudolnego"/>
        </w:rPr>
        <w:footnoteRef/>
      </w:r>
      <w:r>
        <w:t xml:space="preserve"> </w:t>
      </w:r>
      <w:r w:rsidRPr="009E7327">
        <w:t>Ustawa z dnia 21 maja 2025 r. o zmianie niektórych ustaw w celu deregulacji prawa gospodarczego i</w:t>
      </w:r>
      <w:r>
        <w:t> </w:t>
      </w:r>
      <w:r w:rsidRPr="009E7327">
        <w:t>administracyjnego oraz doskonalenia zasad opracowywania prawa gospodarczego (Dz. U. poz. 769)</w:t>
      </w:r>
      <w:r>
        <w:t>.</w:t>
      </w:r>
    </w:p>
  </w:footnote>
  <w:footnote w:id="74">
    <w:p w14:paraId="370CC014" w14:textId="4A2CF361" w:rsidR="003E3AEB" w:rsidRPr="009E7327" w:rsidRDefault="003E3AEB" w:rsidP="007123DB">
      <w:pPr>
        <w:pStyle w:val="Tekstprzypisudolnego"/>
        <w:spacing w:after="120"/>
      </w:pPr>
      <w:r w:rsidRPr="009E7327">
        <w:rPr>
          <w:rStyle w:val="Odwoanieprzypisudolnego"/>
        </w:rPr>
        <w:footnoteRef/>
      </w:r>
      <w:r w:rsidRPr="009E7327">
        <w:t xml:space="preserve"> Zarządzenie nr 42 Prezesa Rady Ministrów z dnia 18 kwietnia 2024 r. w sprawie Zespołu „e-Legislacja” (M.P. poz. 319).</w:t>
      </w:r>
    </w:p>
  </w:footnote>
  <w:footnote w:id="75">
    <w:p w14:paraId="7F31A10B" w14:textId="77777777" w:rsidR="003E3AEB" w:rsidRPr="009E7327" w:rsidRDefault="003E3AEB" w:rsidP="007123DB">
      <w:pPr>
        <w:pStyle w:val="Tekstprzypisudolnego"/>
        <w:spacing w:after="120"/>
      </w:pPr>
      <w:r w:rsidRPr="009E7327">
        <w:rPr>
          <w:rStyle w:val="Odwoanieprzypisudolnego"/>
        </w:rPr>
        <w:footnoteRef/>
      </w:r>
      <w:r w:rsidRPr="009E7327">
        <w:t xml:space="preserve"> W przywołanej opinii EKES uznał, że usprawnienie procesu legislacyjnego za pomocą narzędzi cyfrowych można osiągnąć poprzez automatyzację szablonów regulacyjnych, promowanie elektronicznych platform administracji, wykorzystywanie sztucznej inteligencji oraz narzędzi służących analizie danych w ramach oceny skutków polityki. Jednocześnie EKES uznał, że analityka predykcyjna może służyć do oceny potencjalnego wpływu nowych przepisów na przedsiębiorstwa i wzrost gospodarczy.</w:t>
      </w:r>
    </w:p>
  </w:footnote>
  <w:footnote w:id="76">
    <w:p w14:paraId="2DFC24C6" w14:textId="77777777" w:rsidR="003E3AEB" w:rsidRPr="009E7327" w:rsidRDefault="003E3AEB" w:rsidP="007123DB">
      <w:pPr>
        <w:pStyle w:val="Tekstprzypisudolnego"/>
        <w:spacing w:after="120"/>
      </w:pPr>
      <w:r w:rsidRPr="009E7327">
        <w:rPr>
          <w:rStyle w:val="Odwoanieprzypisudolnego"/>
        </w:rPr>
        <w:footnoteRef/>
      </w:r>
      <w:r w:rsidRPr="009E7327">
        <w:t xml:space="preserve"> Na podstawie art. 70 ust. 6 pkt 3 Prawa przedsiębiorców.</w:t>
      </w:r>
    </w:p>
  </w:footnote>
  <w:footnote w:id="77">
    <w:p w14:paraId="3D1B8A7C" w14:textId="25CA9BB9" w:rsidR="003E3AEB" w:rsidRPr="009E7327" w:rsidRDefault="003E3AEB" w:rsidP="007123DB">
      <w:pPr>
        <w:pStyle w:val="Tekstprzypisudolnego"/>
        <w:spacing w:after="120"/>
      </w:pPr>
      <w:r w:rsidRPr="009E7327">
        <w:rPr>
          <w:rStyle w:val="Odwoanieprzypisudolnego"/>
        </w:rPr>
        <w:footnoteRef/>
      </w:r>
      <w:r w:rsidRPr="009E7327">
        <w:t xml:space="preserve"> </w:t>
      </w:r>
      <w:r w:rsidR="00001AA1" w:rsidRPr="009E7327">
        <w:t>P</w:t>
      </w:r>
      <w:r w:rsidRPr="009E7327">
        <w:t>or. Konkluzje Rady zalecające wprowadzenie europejskiego identyfikatora prawodawstwa (</w:t>
      </w:r>
      <w:r w:rsidRPr="009E7327">
        <w:t xml:space="preserve">European Legislation Identifier – ELI) (2012/C 325/02) oraz Konkluzje Rady w sprawie europejskiego identyfikatora prawodawstwa (2017/C 441/05). Więcej na temat ELI: </w:t>
      </w:r>
      <w:hyperlink r:id="rId49" w:history="1">
        <w:r w:rsidR="00E20C9B" w:rsidRPr="00526DA3">
          <w:rPr>
            <w:rStyle w:val="Hipercze"/>
          </w:rPr>
          <w:t>https://eli.gov.pl</w:t>
        </w:r>
      </w:hyperlink>
      <w:r w:rsidRPr="009E7327">
        <w:t>.</w:t>
      </w:r>
    </w:p>
  </w:footnote>
  <w:footnote w:id="78">
    <w:p w14:paraId="649C869E" w14:textId="705C732E" w:rsidR="003E3AEB" w:rsidRPr="009E7327" w:rsidRDefault="003E3AEB" w:rsidP="007123DB">
      <w:pPr>
        <w:pStyle w:val="Tekstprzypisudolnego"/>
        <w:spacing w:after="120"/>
      </w:pPr>
      <w:r w:rsidRPr="009E7327">
        <w:rPr>
          <w:rStyle w:val="Odwoanieprzypisudolnego"/>
        </w:rPr>
        <w:footnoteRef/>
      </w:r>
      <w:r w:rsidRPr="009E7327">
        <w:t xml:space="preserve"> ELI </w:t>
      </w:r>
      <w:r w:rsidRPr="009E7327">
        <w:t xml:space="preserve">ontology for draft legislation (ELI-DL): </w:t>
      </w:r>
      <w:hyperlink r:id="rId50" w:history="1">
        <w:r w:rsidR="00E20C9B" w:rsidRPr="00526DA3">
          <w:rPr>
            <w:rStyle w:val="Hipercze"/>
          </w:rPr>
          <w:t>https://interoperable-europe.ec.europa.eu/collection/eli-european-legislation-identifier/solution/eli-ontology-draft-legislation-eli-dl/distribution/eli-dl-v3-complete-package</w:t>
        </w:r>
      </w:hyperlink>
      <w:r w:rsidR="00E20C9B">
        <w:t xml:space="preserve">. </w:t>
      </w:r>
    </w:p>
  </w:footnote>
  <w:footnote w:id="79">
    <w:p w14:paraId="63E557DA" w14:textId="77777777" w:rsidR="003E3AEB" w:rsidRPr="009E7327" w:rsidRDefault="003E3AEB" w:rsidP="007123DB">
      <w:pPr>
        <w:pStyle w:val="Tekstprzypisudolnego"/>
        <w:spacing w:after="120"/>
      </w:pPr>
      <w:r w:rsidRPr="009E7327">
        <w:rPr>
          <w:rStyle w:val="Odwoanieprzypisudolnego"/>
        </w:rPr>
        <w:footnoteRef/>
      </w:r>
      <w:r w:rsidRPr="009E7327">
        <w:t xml:space="preserve"> Na podstawie art. 70 ust. 6 Prawa przedsiębiorców.</w:t>
      </w:r>
    </w:p>
  </w:footnote>
  <w:footnote w:id="80">
    <w:p w14:paraId="67924866" w14:textId="54A7AA80" w:rsidR="00E54CBF" w:rsidRPr="009E7327" w:rsidRDefault="00E54CBF" w:rsidP="007123DB">
      <w:pPr>
        <w:pStyle w:val="Tekstprzypisudolnego"/>
        <w:spacing w:after="120"/>
      </w:pPr>
      <w:r w:rsidRPr="009E7327">
        <w:rPr>
          <w:rStyle w:val="Odwoanieprzypisudolnego"/>
        </w:rPr>
        <w:footnoteRef/>
      </w:r>
      <w:r w:rsidRPr="009E7327">
        <w:t xml:space="preserve"> Ministerstw</w:t>
      </w:r>
      <w:r w:rsidR="00E2145A">
        <w:t>o</w:t>
      </w:r>
      <w:r w:rsidRPr="009E7327">
        <w:t xml:space="preserve"> Cyfryzacji, „Polityka rozwoju sztucznej inteligencji w Polsce do 2030 roku” </w:t>
      </w:r>
      <w:r w:rsidR="00E2145A">
        <w:t>–</w:t>
      </w:r>
      <w:r w:rsidRPr="009E7327">
        <w:t xml:space="preserve"> bezpieczne i</w:t>
      </w:r>
      <w:r>
        <w:t> </w:t>
      </w:r>
      <w:r w:rsidRPr="009E7327">
        <w:t>odpowiedzialne wykorzystanie sztucznej inteligencji, listopad 2025 r.</w:t>
      </w:r>
      <w:r w:rsidR="000B4CD3">
        <w:t>,</w:t>
      </w:r>
      <w:r w:rsidRPr="009E7327">
        <w:t xml:space="preserve"> </w:t>
      </w:r>
      <w:hyperlink r:id="rId51" w:history="1">
        <w:r w:rsidRPr="00526DA3">
          <w:rPr>
            <w:rStyle w:val="Hipercze"/>
          </w:rPr>
          <w:t>https://www.gov.pl/web/cyfryzacja/polityka-rozwoju-sztucznej-inteligencji-w-polsce-do-2030-roku--bezpieczne-i-odpowiedzialne-wykorzystanie-sztucznej-inteligencji</w:t>
        </w:r>
      </w:hyperlink>
      <w:r>
        <w:t>.</w:t>
      </w:r>
    </w:p>
  </w:footnote>
  <w:footnote w:id="81">
    <w:p w14:paraId="4AF08C7D" w14:textId="29AE1CD9" w:rsidR="001E4F7A" w:rsidRPr="009E7327" w:rsidRDefault="000F3A07" w:rsidP="007123DB">
      <w:pPr>
        <w:pStyle w:val="Tekstprzypisudolnego"/>
        <w:spacing w:after="120"/>
      </w:pPr>
      <w:r w:rsidRPr="009E7327">
        <w:rPr>
          <w:rStyle w:val="Odwoanieprzypisudolnego"/>
        </w:rPr>
        <w:footnoteRef/>
      </w:r>
      <w:r w:rsidR="000856B7">
        <w:t xml:space="preserve"> </w:t>
      </w:r>
      <w:r w:rsidR="001E4F7A" w:rsidRPr="009E7327">
        <w:t>Komunikat nr 1/2021 nt. prac Komitetu do spraw Europejskich w okresie 4-29.01.2021 r.</w:t>
      </w:r>
      <w:r w:rsidR="000B4CD3">
        <w:t>,</w:t>
      </w:r>
      <w:r w:rsidRPr="009E7327">
        <w:t xml:space="preserve"> </w:t>
      </w:r>
      <w:hyperlink r:id="rId52" w:history="1">
        <w:r w:rsidR="001E4F7A" w:rsidRPr="009E7327">
          <w:rPr>
            <w:rStyle w:val="Hipercze"/>
          </w:rPr>
          <w:t>https://www.gov.pl/attachment/0a768b7c-07ca-4be6-a269-2820a975b936</w:t>
        </w:r>
      </w:hyperlink>
      <w:r w:rsidR="000856B7">
        <w:t>.</w:t>
      </w:r>
    </w:p>
    <w:p w14:paraId="52E68AD0" w14:textId="31529666" w:rsidR="000F3A07" w:rsidRPr="009E7327" w:rsidRDefault="000F3A07" w:rsidP="007123DB">
      <w:pPr>
        <w:pStyle w:val="Tekstprzypisudolnego"/>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5BA9" w14:textId="77777777" w:rsidR="00FE3DB7" w:rsidRDefault="00FE3D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5FB"/>
    <w:multiLevelType w:val="hybridMultilevel"/>
    <w:tmpl w:val="ADA05C86"/>
    <w:lvl w:ilvl="0" w:tplc="01545F7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 w15:restartNumberingAfterBreak="0">
    <w:nsid w:val="064946D9"/>
    <w:multiLevelType w:val="hybridMultilevel"/>
    <w:tmpl w:val="E7E49A66"/>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34E59"/>
    <w:multiLevelType w:val="hybridMultilevel"/>
    <w:tmpl w:val="D9483214"/>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222B79"/>
    <w:multiLevelType w:val="hybridMultilevel"/>
    <w:tmpl w:val="E576682C"/>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54C09"/>
    <w:multiLevelType w:val="hybridMultilevel"/>
    <w:tmpl w:val="DF3EE218"/>
    <w:lvl w:ilvl="0" w:tplc="01545F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8478D7"/>
    <w:multiLevelType w:val="hybridMultilevel"/>
    <w:tmpl w:val="5A1E8E46"/>
    <w:lvl w:ilvl="0" w:tplc="01545F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F46EF5"/>
    <w:multiLevelType w:val="hybridMultilevel"/>
    <w:tmpl w:val="F0F22298"/>
    <w:lvl w:ilvl="0" w:tplc="01545F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2091D"/>
    <w:multiLevelType w:val="hybridMultilevel"/>
    <w:tmpl w:val="BC4C36AE"/>
    <w:lvl w:ilvl="0" w:tplc="01545F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0124A"/>
    <w:multiLevelType w:val="hybridMultilevel"/>
    <w:tmpl w:val="B858BAF2"/>
    <w:lvl w:ilvl="0" w:tplc="01545F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E1F50"/>
    <w:multiLevelType w:val="hybridMultilevel"/>
    <w:tmpl w:val="9E50D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2C0214"/>
    <w:multiLevelType w:val="hybridMultilevel"/>
    <w:tmpl w:val="7C7C3DCC"/>
    <w:lvl w:ilvl="0" w:tplc="A7C6DA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11A41"/>
    <w:multiLevelType w:val="hybridMultilevel"/>
    <w:tmpl w:val="A7EC915E"/>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B662CB"/>
    <w:multiLevelType w:val="hybridMultilevel"/>
    <w:tmpl w:val="86528D30"/>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9C3261"/>
    <w:multiLevelType w:val="hybridMultilevel"/>
    <w:tmpl w:val="9260E118"/>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54397A"/>
    <w:multiLevelType w:val="hybridMultilevel"/>
    <w:tmpl w:val="DBDC15D6"/>
    <w:lvl w:ilvl="0" w:tplc="01545F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D87A5C"/>
    <w:multiLevelType w:val="hybridMultilevel"/>
    <w:tmpl w:val="9446A9FC"/>
    <w:lvl w:ilvl="0" w:tplc="01545F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0D0E22"/>
    <w:multiLevelType w:val="hybridMultilevel"/>
    <w:tmpl w:val="1ABA91A8"/>
    <w:lvl w:ilvl="0" w:tplc="01545F7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2479432">
    <w:abstractNumId w:val="7"/>
  </w:num>
  <w:num w:numId="2" w16cid:durableId="490947442">
    <w:abstractNumId w:val="8"/>
  </w:num>
  <w:num w:numId="3" w16cid:durableId="2144929145">
    <w:abstractNumId w:val="6"/>
  </w:num>
  <w:num w:numId="4" w16cid:durableId="564682052">
    <w:abstractNumId w:val="10"/>
  </w:num>
  <w:num w:numId="5" w16cid:durableId="840123371">
    <w:abstractNumId w:val="9"/>
  </w:num>
  <w:num w:numId="6" w16cid:durableId="1855655561">
    <w:abstractNumId w:val="11"/>
  </w:num>
  <w:num w:numId="7" w16cid:durableId="1526945674">
    <w:abstractNumId w:val="16"/>
  </w:num>
  <w:num w:numId="8" w16cid:durableId="1182671059">
    <w:abstractNumId w:val="1"/>
  </w:num>
  <w:num w:numId="9" w16cid:durableId="1116753874">
    <w:abstractNumId w:val="14"/>
  </w:num>
  <w:num w:numId="10" w16cid:durableId="1668940844">
    <w:abstractNumId w:val="15"/>
  </w:num>
  <w:num w:numId="11" w16cid:durableId="1878541431">
    <w:abstractNumId w:val="13"/>
  </w:num>
  <w:num w:numId="12" w16cid:durableId="1302074350">
    <w:abstractNumId w:val="12"/>
  </w:num>
  <w:num w:numId="13" w16cid:durableId="120193500">
    <w:abstractNumId w:val="3"/>
  </w:num>
  <w:num w:numId="14" w16cid:durableId="73741351">
    <w:abstractNumId w:val="2"/>
  </w:num>
  <w:num w:numId="15" w16cid:durableId="1359575655">
    <w:abstractNumId w:val="5"/>
  </w:num>
  <w:num w:numId="16" w16cid:durableId="1558205813">
    <w:abstractNumId w:val="4"/>
  </w:num>
  <w:num w:numId="17" w16cid:durableId="12981429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A5"/>
    <w:rsid w:val="00001AA1"/>
    <w:rsid w:val="00003371"/>
    <w:rsid w:val="00005E97"/>
    <w:rsid w:val="00007BA8"/>
    <w:rsid w:val="000144B7"/>
    <w:rsid w:val="0002006E"/>
    <w:rsid w:val="00024515"/>
    <w:rsid w:val="00025635"/>
    <w:rsid w:val="00033999"/>
    <w:rsid w:val="000368DC"/>
    <w:rsid w:val="00040CD2"/>
    <w:rsid w:val="000438F3"/>
    <w:rsid w:val="000451FD"/>
    <w:rsid w:val="0004590E"/>
    <w:rsid w:val="000513AF"/>
    <w:rsid w:val="0005573F"/>
    <w:rsid w:val="000563ED"/>
    <w:rsid w:val="0006278A"/>
    <w:rsid w:val="00062DD2"/>
    <w:rsid w:val="00065881"/>
    <w:rsid w:val="00066329"/>
    <w:rsid w:val="00066F7D"/>
    <w:rsid w:val="00070D89"/>
    <w:rsid w:val="00072AB2"/>
    <w:rsid w:val="0008240A"/>
    <w:rsid w:val="000856B7"/>
    <w:rsid w:val="00092EA4"/>
    <w:rsid w:val="00093F63"/>
    <w:rsid w:val="00095A0D"/>
    <w:rsid w:val="00096B7E"/>
    <w:rsid w:val="000A52BE"/>
    <w:rsid w:val="000A654A"/>
    <w:rsid w:val="000A7997"/>
    <w:rsid w:val="000B0528"/>
    <w:rsid w:val="000B4CD3"/>
    <w:rsid w:val="000B56F3"/>
    <w:rsid w:val="000C2B32"/>
    <w:rsid w:val="000C3FEC"/>
    <w:rsid w:val="000C5C81"/>
    <w:rsid w:val="000C7C86"/>
    <w:rsid w:val="000D0A25"/>
    <w:rsid w:val="000D213E"/>
    <w:rsid w:val="000D24C7"/>
    <w:rsid w:val="000D2EE0"/>
    <w:rsid w:val="000D5756"/>
    <w:rsid w:val="000D5ED2"/>
    <w:rsid w:val="000D616A"/>
    <w:rsid w:val="000D7F56"/>
    <w:rsid w:val="000E01FC"/>
    <w:rsid w:val="000E0880"/>
    <w:rsid w:val="000E0F81"/>
    <w:rsid w:val="000E1331"/>
    <w:rsid w:val="000E300C"/>
    <w:rsid w:val="000E3589"/>
    <w:rsid w:val="000E3679"/>
    <w:rsid w:val="000E4434"/>
    <w:rsid w:val="000E4971"/>
    <w:rsid w:val="000E7EC9"/>
    <w:rsid w:val="000F199D"/>
    <w:rsid w:val="000F318F"/>
    <w:rsid w:val="000F3A07"/>
    <w:rsid w:val="00100D7A"/>
    <w:rsid w:val="0010189D"/>
    <w:rsid w:val="00102656"/>
    <w:rsid w:val="00103930"/>
    <w:rsid w:val="0010394F"/>
    <w:rsid w:val="00104924"/>
    <w:rsid w:val="00106E0C"/>
    <w:rsid w:val="00112BCA"/>
    <w:rsid w:val="00121515"/>
    <w:rsid w:val="00122595"/>
    <w:rsid w:val="00123D46"/>
    <w:rsid w:val="00124F38"/>
    <w:rsid w:val="0013214C"/>
    <w:rsid w:val="001322D7"/>
    <w:rsid w:val="0013537B"/>
    <w:rsid w:val="001428A2"/>
    <w:rsid w:val="001440B9"/>
    <w:rsid w:val="001473E8"/>
    <w:rsid w:val="001509B7"/>
    <w:rsid w:val="00151568"/>
    <w:rsid w:val="00152DAC"/>
    <w:rsid w:val="00156901"/>
    <w:rsid w:val="0015770C"/>
    <w:rsid w:val="00163530"/>
    <w:rsid w:val="00163D8F"/>
    <w:rsid w:val="00170777"/>
    <w:rsid w:val="00174F9C"/>
    <w:rsid w:val="00175704"/>
    <w:rsid w:val="00180B36"/>
    <w:rsid w:val="00180CED"/>
    <w:rsid w:val="00181F3C"/>
    <w:rsid w:val="00186D62"/>
    <w:rsid w:val="00192237"/>
    <w:rsid w:val="00192997"/>
    <w:rsid w:val="00196091"/>
    <w:rsid w:val="001A062D"/>
    <w:rsid w:val="001A2D1B"/>
    <w:rsid w:val="001A4A19"/>
    <w:rsid w:val="001B5A8E"/>
    <w:rsid w:val="001B61A3"/>
    <w:rsid w:val="001B7C19"/>
    <w:rsid w:val="001C00EE"/>
    <w:rsid w:val="001C6A63"/>
    <w:rsid w:val="001C7211"/>
    <w:rsid w:val="001D582F"/>
    <w:rsid w:val="001D66F8"/>
    <w:rsid w:val="001E0CAC"/>
    <w:rsid w:val="001E3C16"/>
    <w:rsid w:val="001E41BC"/>
    <w:rsid w:val="001E4584"/>
    <w:rsid w:val="001E4F7A"/>
    <w:rsid w:val="001F11C2"/>
    <w:rsid w:val="001F5534"/>
    <w:rsid w:val="001F6819"/>
    <w:rsid w:val="00200E41"/>
    <w:rsid w:val="002024DC"/>
    <w:rsid w:val="00202D9E"/>
    <w:rsid w:val="00204C0D"/>
    <w:rsid w:val="00204D94"/>
    <w:rsid w:val="00206B80"/>
    <w:rsid w:val="002107A5"/>
    <w:rsid w:val="00211E8D"/>
    <w:rsid w:val="002210EF"/>
    <w:rsid w:val="002216BD"/>
    <w:rsid w:val="0022425D"/>
    <w:rsid w:val="0022484D"/>
    <w:rsid w:val="0022674A"/>
    <w:rsid w:val="00226B14"/>
    <w:rsid w:val="00231D83"/>
    <w:rsid w:val="00235147"/>
    <w:rsid w:val="00235976"/>
    <w:rsid w:val="00245649"/>
    <w:rsid w:val="00246790"/>
    <w:rsid w:val="00246ACC"/>
    <w:rsid w:val="00247B79"/>
    <w:rsid w:val="00253CEB"/>
    <w:rsid w:val="002570BC"/>
    <w:rsid w:val="00260332"/>
    <w:rsid w:val="00262FC5"/>
    <w:rsid w:val="002646C3"/>
    <w:rsid w:val="00266804"/>
    <w:rsid w:val="00266A17"/>
    <w:rsid w:val="00272FC2"/>
    <w:rsid w:val="00275045"/>
    <w:rsid w:val="002758EC"/>
    <w:rsid w:val="002808F5"/>
    <w:rsid w:val="0028376E"/>
    <w:rsid w:val="002838C0"/>
    <w:rsid w:val="00290A5E"/>
    <w:rsid w:val="00291CCA"/>
    <w:rsid w:val="00296833"/>
    <w:rsid w:val="002A0D1E"/>
    <w:rsid w:val="002A414A"/>
    <w:rsid w:val="002A7458"/>
    <w:rsid w:val="002B2C7F"/>
    <w:rsid w:val="002B32EA"/>
    <w:rsid w:val="002B61AB"/>
    <w:rsid w:val="002C0334"/>
    <w:rsid w:val="002C25EF"/>
    <w:rsid w:val="002C2C4D"/>
    <w:rsid w:val="002C78F8"/>
    <w:rsid w:val="002D2794"/>
    <w:rsid w:val="002D4C7C"/>
    <w:rsid w:val="002D55B2"/>
    <w:rsid w:val="002D60A6"/>
    <w:rsid w:val="002D675B"/>
    <w:rsid w:val="002D75C5"/>
    <w:rsid w:val="002D7C56"/>
    <w:rsid w:val="002E2330"/>
    <w:rsid w:val="002E2CC2"/>
    <w:rsid w:val="002E7A5E"/>
    <w:rsid w:val="002F5CA5"/>
    <w:rsid w:val="002F755E"/>
    <w:rsid w:val="003033A4"/>
    <w:rsid w:val="00303C02"/>
    <w:rsid w:val="003062F6"/>
    <w:rsid w:val="00312AB8"/>
    <w:rsid w:val="00317CD9"/>
    <w:rsid w:val="00320506"/>
    <w:rsid w:val="00323954"/>
    <w:rsid w:val="00324CEC"/>
    <w:rsid w:val="003278B6"/>
    <w:rsid w:val="00331609"/>
    <w:rsid w:val="003329CA"/>
    <w:rsid w:val="003330BD"/>
    <w:rsid w:val="00334CA5"/>
    <w:rsid w:val="003365B9"/>
    <w:rsid w:val="00336E2C"/>
    <w:rsid w:val="003448AE"/>
    <w:rsid w:val="003517EB"/>
    <w:rsid w:val="00353D2C"/>
    <w:rsid w:val="003618DB"/>
    <w:rsid w:val="00362837"/>
    <w:rsid w:val="00363552"/>
    <w:rsid w:val="00365B66"/>
    <w:rsid w:val="003661EB"/>
    <w:rsid w:val="003751B8"/>
    <w:rsid w:val="003761C9"/>
    <w:rsid w:val="003855BD"/>
    <w:rsid w:val="00385CFD"/>
    <w:rsid w:val="003875A6"/>
    <w:rsid w:val="003878A8"/>
    <w:rsid w:val="00393285"/>
    <w:rsid w:val="0039484E"/>
    <w:rsid w:val="00394938"/>
    <w:rsid w:val="003953E8"/>
    <w:rsid w:val="00397A9A"/>
    <w:rsid w:val="003A700E"/>
    <w:rsid w:val="003B24CB"/>
    <w:rsid w:val="003B392D"/>
    <w:rsid w:val="003B7EA9"/>
    <w:rsid w:val="003C1466"/>
    <w:rsid w:val="003C3327"/>
    <w:rsid w:val="003C545B"/>
    <w:rsid w:val="003C60D3"/>
    <w:rsid w:val="003D0850"/>
    <w:rsid w:val="003D2462"/>
    <w:rsid w:val="003D3921"/>
    <w:rsid w:val="003D7F6B"/>
    <w:rsid w:val="003E3AEB"/>
    <w:rsid w:val="003E479E"/>
    <w:rsid w:val="003E7613"/>
    <w:rsid w:val="003F5251"/>
    <w:rsid w:val="003F7EEE"/>
    <w:rsid w:val="00401F7A"/>
    <w:rsid w:val="00402AE3"/>
    <w:rsid w:val="00403FB9"/>
    <w:rsid w:val="004078D3"/>
    <w:rsid w:val="004119DA"/>
    <w:rsid w:val="00412815"/>
    <w:rsid w:val="0041390D"/>
    <w:rsid w:val="00414D7C"/>
    <w:rsid w:val="00415075"/>
    <w:rsid w:val="00417E2E"/>
    <w:rsid w:val="004332FD"/>
    <w:rsid w:val="0043663F"/>
    <w:rsid w:val="00442738"/>
    <w:rsid w:val="0045197D"/>
    <w:rsid w:val="00456308"/>
    <w:rsid w:val="00460EAD"/>
    <w:rsid w:val="00463ED1"/>
    <w:rsid w:val="00467F0B"/>
    <w:rsid w:val="0047097B"/>
    <w:rsid w:val="00471854"/>
    <w:rsid w:val="00472836"/>
    <w:rsid w:val="00474F61"/>
    <w:rsid w:val="004753A2"/>
    <w:rsid w:val="00482F35"/>
    <w:rsid w:val="004831D4"/>
    <w:rsid w:val="0049056D"/>
    <w:rsid w:val="00491558"/>
    <w:rsid w:val="00491E81"/>
    <w:rsid w:val="00494165"/>
    <w:rsid w:val="00494CE1"/>
    <w:rsid w:val="00496631"/>
    <w:rsid w:val="004A05B9"/>
    <w:rsid w:val="004A3937"/>
    <w:rsid w:val="004A752C"/>
    <w:rsid w:val="004B4E09"/>
    <w:rsid w:val="004B5C5C"/>
    <w:rsid w:val="004B5D07"/>
    <w:rsid w:val="004B690B"/>
    <w:rsid w:val="004B786D"/>
    <w:rsid w:val="004C23A9"/>
    <w:rsid w:val="004C2617"/>
    <w:rsid w:val="004C2DBA"/>
    <w:rsid w:val="004D49E7"/>
    <w:rsid w:val="004D6EEB"/>
    <w:rsid w:val="004E31A1"/>
    <w:rsid w:val="004E3382"/>
    <w:rsid w:val="004E339C"/>
    <w:rsid w:val="004E3618"/>
    <w:rsid w:val="004E48A7"/>
    <w:rsid w:val="004E5B5D"/>
    <w:rsid w:val="004F14C4"/>
    <w:rsid w:val="004F1853"/>
    <w:rsid w:val="004F2E83"/>
    <w:rsid w:val="004F4461"/>
    <w:rsid w:val="004F5661"/>
    <w:rsid w:val="004F7D77"/>
    <w:rsid w:val="004F7E64"/>
    <w:rsid w:val="00500D93"/>
    <w:rsid w:val="005019D0"/>
    <w:rsid w:val="00505C94"/>
    <w:rsid w:val="00507E99"/>
    <w:rsid w:val="005132B6"/>
    <w:rsid w:val="005140ED"/>
    <w:rsid w:val="00523043"/>
    <w:rsid w:val="00524600"/>
    <w:rsid w:val="0052537D"/>
    <w:rsid w:val="00525A0E"/>
    <w:rsid w:val="00530165"/>
    <w:rsid w:val="0053066B"/>
    <w:rsid w:val="005320BF"/>
    <w:rsid w:val="005369BD"/>
    <w:rsid w:val="00536DF7"/>
    <w:rsid w:val="0053730A"/>
    <w:rsid w:val="00541071"/>
    <w:rsid w:val="0054172E"/>
    <w:rsid w:val="00541CBF"/>
    <w:rsid w:val="00541EB8"/>
    <w:rsid w:val="0054508F"/>
    <w:rsid w:val="005450D2"/>
    <w:rsid w:val="0054663E"/>
    <w:rsid w:val="00546951"/>
    <w:rsid w:val="0055017C"/>
    <w:rsid w:val="00550A48"/>
    <w:rsid w:val="00551840"/>
    <w:rsid w:val="0055281A"/>
    <w:rsid w:val="005530C8"/>
    <w:rsid w:val="00556355"/>
    <w:rsid w:val="00560D14"/>
    <w:rsid w:val="005622B4"/>
    <w:rsid w:val="0056372F"/>
    <w:rsid w:val="00565042"/>
    <w:rsid w:val="005661C4"/>
    <w:rsid w:val="0057425E"/>
    <w:rsid w:val="0057737F"/>
    <w:rsid w:val="005837D8"/>
    <w:rsid w:val="005839DA"/>
    <w:rsid w:val="0058432B"/>
    <w:rsid w:val="00585376"/>
    <w:rsid w:val="00591B3C"/>
    <w:rsid w:val="00592ED4"/>
    <w:rsid w:val="0059474C"/>
    <w:rsid w:val="00595AFC"/>
    <w:rsid w:val="00595BF4"/>
    <w:rsid w:val="00596E80"/>
    <w:rsid w:val="00597917"/>
    <w:rsid w:val="005A0C83"/>
    <w:rsid w:val="005A1E58"/>
    <w:rsid w:val="005A3BA2"/>
    <w:rsid w:val="005A5780"/>
    <w:rsid w:val="005A7D9F"/>
    <w:rsid w:val="005A7FFD"/>
    <w:rsid w:val="005B16B8"/>
    <w:rsid w:val="005B35C3"/>
    <w:rsid w:val="005B7502"/>
    <w:rsid w:val="005C21FE"/>
    <w:rsid w:val="005C4508"/>
    <w:rsid w:val="005C61DE"/>
    <w:rsid w:val="005C763D"/>
    <w:rsid w:val="005D37E0"/>
    <w:rsid w:val="005E23FA"/>
    <w:rsid w:val="005E5CDF"/>
    <w:rsid w:val="005F2403"/>
    <w:rsid w:val="005F2865"/>
    <w:rsid w:val="005F5163"/>
    <w:rsid w:val="005F5EB0"/>
    <w:rsid w:val="005F6AAA"/>
    <w:rsid w:val="005F727B"/>
    <w:rsid w:val="005F7909"/>
    <w:rsid w:val="006060DF"/>
    <w:rsid w:val="00606C9F"/>
    <w:rsid w:val="00607664"/>
    <w:rsid w:val="00611005"/>
    <w:rsid w:val="00611824"/>
    <w:rsid w:val="00611D5A"/>
    <w:rsid w:val="006121F0"/>
    <w:rsid w:val="006146BF"/>
    <w:rsid w:val="006147D4"/>
    <w:rsid w:val="0062144E"/>
    <w:rsid w:val="00624FDB"/>
    <w:rsid w:val="00632A34"/>
    <w:rsid w:val="0063310C"/>
    <w:rsid w:val="0063425F"/>
    <w:rsid w:val="0064194C"/>
    <w:rsid w:val="00643B79"/>
    <w:rsid w:val="00645253"/>
    <w:rsid w:val="00647DDB"/>
    <w:rsid w:val="00650236"/>
    <w:rsid w:val="0065235A"/>
    <w:rsid w:val="006542A6"/>
    <w:rsid w:val="00654760"/>
    <w:rsid w:val="006552EE"/>
    <w:rsid w:val="00660CB9"/>
    <w:rsid w:val="00664665"/>
    <w:rsid w:val="00665CEC"/>
    <w:rsid w:val="006674EF"/>
    <w:rsid w:val="006678BF"/>
    <w:rsid w:val="00667B64"/>
    <w:rsid w:val="00667D80"/>
    <w:rsid w:val="00670FCC"/>
    <w:rsid w:val="00676923"/>
    <w:rsid w:val="0067733D"/>
    <w:rsid w:val="006816E0"/>
    <w:rsid w:val="006826CA"/>
    <w:rsid w:val="006853CD"/>
    <w:rsid w:val="00687B2B"/>
    <w:rsid w:val="00696A05"/>
    <w:rsid w:val="006A02A6"/>
    <w:rsid w:val="006A3416"/>
    <w:rsid w:val="006A35D1"/>
    <w:rsid w:val="006A7E55"/>
    <w:rsid w:val="006B2298"/>
    <w:rsid w:val="006B2903"/>
    <w:rsid w:val="006B4B35"/>
    <w:rsid w:val="006B5085"/>
    <w:rsid w:val="006B610A"/>
    <w:rsid w:val="006C1118"/>
    <w:rsid w:val="006C207B"/>
    <w:rsid w:val="006C2C41"/>
    <w:rsid w:val="006C42E5"/>
    <w:rsid w:val="006C5B6E"/>
    <w:rsid w:val="006D085C"/>
    <w:rsid w:val="006D1CF7"/>
    <w:rsid w:val="006D5374"/>
    <w:rsid w:val="006D7E52"/>
    <w:rsid w:val="006E0012"/>
    <w:rsid w:val="006E36D3"/>
    <w:rsid w:val="006E4FEF"/>
    <w:rsid w:val="006E5914"/>
    <w:rsid w:val="006F197C"/>
    <w:rsid w:val="006F2977"/>
    <w:rsid w:val="006F3CC5"/>
    <w:rsid w:val="006F42FA"/>
    <w:rsid w:val="006F4381"/>
    <w:rsid w:val="00702DFF"/>
    <w:rsid w:val="00703757"/>
    <w:rsid w:val="00704A46"/>
    <w:rsid w:val="007123DB"/>
    <w:rsid w:val="0071345B"/>
    <w:rsid w:val="00723841"/>
    <w:rsid w:val="00723D9D"/>
    <w:rsid w:val="00725909"/>
    <w:rsid w:val="00726600"/>
    <w:rsid w:val="0073315E"/>
    <w:rsid w:val="007363D5"/>
    <w:rsid w:val="00737B53"/>
    <w:rsid w:val="007431A1"/>
    <w:rsid w:val="00745DD0"/>
    <w:rsid w:val="00746F88"/>
    <w:rsid w:val="007520DD"/>
    <w:rsid w:val="00753234"/>
    <w:rsid w:val="00756C79"/>
    <w:rsid w:val="00756FDB"/>
    <w:rsid w:val="00757B40"/>
    <w:rsid w:val="00761966"/>
    <w:rsid w:val="007654CF"/>
    <w:rsid w:val="00766B96"/>
    <w:rsid w:val="0077464F"/>
    <w:rsid w:val="00774BFD"/>
    <w:rsid w:val="007754F6"/>
    <w:rsid w:val="0077561E"/>
    <w:rsid w:val="0077564E"/>
    <w:rsid w:val="00777F24"/>
    <w:rsid w:val="00780E3E"/>
    <w:rsid w:val="00781BA2"/>
    <w:rsid w:val="00781CD1"/>
    <w:rsid w:val="007829C2"/>
    <w:rsid w:val="00782A32"/>
    <w:rsid w:val="007833F1"/>
    <w:rsid w:val="00784CA5"/>
    <w:rsid w:val="00786285"/>
    <w:rsid w:val="007916CE"/>
    <w:rsid w:val="00793C63"/>
    <w:rsid w:val="00795D6C"/>
    <w:rsid w:val="00796877"/>
    <w:rsid w:val="00796D13"/>
    <w:rsid w:val="007A0C35"/>
    <w:rsid w:val="007A672B"/>
    <w:rsid w:val="007A694C"/>
    <w:rsid w:val="007A7F22"/>
    <w:rsid w:val="007B078E"/>
    <w:rsid w:val="007B45A5"/>
    <w:rsid w:val="007C20CE"/>
    <w:rsid w:val="007C27FE"/>
    <w:rsid w:val="007C2A80"/>
    <w:rsid w:val="007C2EAF"/>
    <w:rsid w:val="007C33E5"/>
    <w:rsid w:val="007C4C03"/>
    <w:rsid w:val="007C6D9E"/>
    <w:rsid w:val="007D121C"/>
    <w:rsid w:val="007D76BA"/>
    <w:rsid w:val="007E2228"/>
    <w:rsid w:val="007E757D"/>
    <w:rsid w:val="007F07C4"/>
    <w:rsid w:val="007F09DD"/>
    <w:rsid w:val="007F1403"/>
    <w:rsid w:val="007F2BBA"/>
    <w:rsid w:val="007F4713"/>
    <w:rsid w:val="007F6F1D"/>
    <w:rsid w:val="00801768"/>
    <w:rsid w:val="00805173"/>
    <w:rsid w:val="00806520"/>
    <w:rsid w:val="008075F1"/>
    <w:rsid w:val="0081079E"/>
    <w:rsid w:val="00816C59"/>
    <w:rsid w:val="00822720"/>
    <w:rsid w:val="00825E02"/>
    <w:rsid w:val="0082720F"/>
    <w:rsid w:val="00827C59"/>
    <w:rsid w:val="0084326C"/>
    <w:rsid w:val="00846532"/>
    <w:rsid w:val="00856BA2"/>
    <w:rsid w:val="008603A8"/>
    <w:rsid w:val="00864A19"/>
    <w:rsid w:val="00876147"/>
    <w:rsid w:val="00880772"/>
    <w:rsid w:val="00882D8D"/>
    <w:rsid w:val="0088468A"/>
    <w:rsid w:val="0088605F"/>
    <w:rsid w:val="00893E3F"/>
    <w:rsid w:val="008977D2"/>
    <w:rsid w:val="008A0C29"/>
    <w:rsid w:val="008A2BC5"/>
    <w:rsid w:val="008B3054"/>
    <w:rsid w:val="008B57E6"/>
    <w:rsid w:val="008C06C9"/>
    <w:rsid w:val="008C0D4B"/>
    <w:rsid w:val="008C28C1"/>
    <w:rsid w:val="008C3C1D"/>
    <w:rsid w:val="008C56C1"/>
    <w:rsid w:val="008C5729"/>
    <w:rsid w:val="008C5A12"/>
    <w:rsid w:val="008C5E47"/>
    <w:rsid w:val="008C7820"/>
    <w:rsid w:val="008C7EA9"/>
    <w:rsid w:val="008D4D93"/>
    <w:rsid w:val="008D7112"/>
    <w:rsid w:val="008E0DE7"/>
    <w:rsid w:val="008E22F7"/>
    <w:rsid w:val="008E2452"/>
    <w:rsid w:val="008E33E1"/>
    <w:rsid w:val="008F3ED5"/>
    <w:rsid w:val="008F437F"/>
    <w:rsid w:val="008F5902"/>
    <w:rsid w:val="00901E59"/>
    <w:rsid w:val="009026B8"/>
    <w:rsid w:val="00904654"/>
    <w:rsid w:val="009050A3"/>
    <w:rsid w:val="00906DA2"/>
    <w:rsid w:val="009120C2"/>
    <w:rsid w:val="00912AE5"/>
    <w:rsid w:val="0091410B"/>
    <w:rsid w:val="00914DE5"/>
    <w:rsid w:val="00915D68"/>
    <w:rsid w:val="00916876"/>
    <w:rsid w:val="00921D98"/>
    <w:rsid w:val="00923607"/>
    <w:rsid w:val="00925958"/>
    <w:rsid w:val="00927672"/>
    <w:rsid w:val="00931822"/>
    <w:rsid w:val="00935C4E"/>
    <w:rsid w:val="00935CCE"/>
    <w:rsid w:val="00936723"/>
    <w:rsid w:val="00941CC1"/>
    <w:rsid w:val="00943642"/>
    <w:rsid w:val="00955328"/>
    <w:rsid w:val="009576D8"/>
    <w:rsid w:val="0095798F"/>
    <w:rsid w:val="00970638"/>
    <w:rsid w:val="0097164D"/>
    <w:rsid w:val="009725EA"/>
    <w:rsid w:val="009751C2"/>
    <w:rsid w:val="0098060C"/>
    <w:rsid w:val="00980A3D"/>
    <w:rsid w:val="00982E1B"/>
    <w:rsid w:val="0098446A"/>
    <w:rsid w:val="00985A55"/>
    <w:rsid w:val="009868BE"/>
    <w:rsid w:val="00987616"/>
    <w:rsid w:val="009879FC"/>
    <w:rsid w:val="00987BED"/>
    <w:rsid w:val="009912DD"/>
    <w:rsid w:val="00991620"/>
    <w:rsid w:val="0099223D"/>
    <w:rsid w:val="009934C5"/>
    <w:rsid w:val="009955E6"/>
    <w:rsid w:val="009A4440"/>
    <w:rsid w:val="009A4FDD"/>
    <w:rsid w:val="009A5B90"/>
    <w:rsid w:val="009A615B"/>
    <w:rsid w:val="009B0F23"/>
    <w:rsid w:val="009B102D"/>
    <w:rsid w:val="009B1450"/>
    <w:rsid w:val="009B1F30"/>
    <w:rsid w:val="009B4EE9"/>
    <w:rsid w:val="009C4BD0"/>
    <w:rsid w:val="009C6C2F"/>
    <w:rsid w:val="009C7D74"/>
    <w:rsid w:val="009D3BE4"/>
    <w:rsid w:val="009D3DF2"/>
    <w:rsid w:val="009D4F02"/>
    <w:rsid w:val="009D6003"/>
    <w:rsid w:val="009E3567"/>
    <w:rsid w:val="009E36F5"/>
    <w:rsid w:val="009E3A25"/>
    <w:rsid w:val="009E4237"/>
    <w:rsid w:val="009E7327"/>
    <w:rsid w:val="009F0C3E"/>
    <w:rsid w:val="00A013C5"/>
    <w:rsid w:val="00A0703F"/>
    <w:rsid w:val="00A07393"/>
    <w:rsid w:val="00A12449"/>
    <w:rsid w:val="00A13F08"/>
    <w:rsid w:val="00A1542D"/>
    <w:rsid w:val="00A1660D"/>
    <w:rsid w:val="00A214B8"/>
    <w:rsid w:val="00A21989"/>
    <w:rsid w:val="00A22435"/>
    <w:rsid w:val="00A37AC8"/>
    <w:rsid w:val="00A40A24"/>
    <w:rsid w:val="00A41F07"/>
    <w:rsid w:val="00A43A1D"/>
    <w:rsid w:val="00A43D1A"/>
    <w:rsid w:val="00A44258"/>
    <w:rsid w:val="00A4618E"/>
    <w:rsid w:val="00A46664"/>
    <w:rsid w:val="00A53D86"/>
    <w:rsid w:val="00A56804"/>
    <w:rsid w:val="00A570CA"/>
    <w:rsid w:val="00A626BC"/>
    <w:rsid w:val="00A6325A"/>
    <w:rsid w:val="00A64300"/>
    <w:rsid w:val="00A64445"/>
    <w:rsid w:val="00A72BA8"/>
    <w:rsid w:val="00A73BC6"/>
    <w:rsid w:val="00A756E4"/>
    <w:rsid w:val="00A75883"/>
    <w:rsid w:val="00A76DCD"/>
    <w:rsid w:val="00A81F75"/>
    <w:rsid w:val="00A8774F"/>
    <w:rsid w:val="00A946B8"/>
    <w:rsid w:val="00A94EA7"/>
    <w:rsid w:val="00A95C37"/>
    <w:rsid w:val="00A95E9C"/>
    <w:rsid w:val="00A97655"/>
    <w:rsid w:val="00AA4BA1"/>
    <w:rsid w:val="00AA525E"/>
    <w:rsid w:val="00AB09D8"/>
    <w:rsid w:val="00AB53D0"/>
    <w:rsid w:val="00AB7FBC"/>
    <w:rsid w:val="00AC70A1"/>
    <w:rsid w:val="00AD01C6"/>
    <w:rsid w:val="00AD163A"/>
    <w:rsid w:val="00AD1807"/>
    <w:rsid w:val="00AD4236"/>
    <w:rsid w:val="00AE0513"/>
    <w:rsid w:val="00AE0A4B"/>
    <w:rsid w:val="00AE0CEC"/>
    <w:rsid w:val="00AE1FE3"/>
    <w:rsid w:val="00AE39A4"/>
    <w:rsid w:val="00AE5B5B"/>
    <w:rsid w:val="00AE67D6"/>
    <w:rsid w:val="00AF27E6"/>
    <w:rsid w:val="00AF4739"/>
    <w:rsid w:val="00AF4EAE"/>
    <w:rsid w:val="00AF51D4"/>
    <w:rsid w:val="00B01DC9"/>
    <w:rsid w:val="00B24544"/>
    <w:rsid w:val="00B24C8B"/>
    <w:rsid w:val="00B2527C"/>
    <w:rsid w:val="00B2619C"/>
    <w:rsid w:val="00B30A4C"/>
    <w:rsid w:val="00B35632"/>
    <w:rsid w:val="00B4085E"/>
    <w:rsid w:val="00B426C4"/>
    <w:rsid w:val="00B43D25"/>
    <w:rsid w:val="00B45530"/>
    <w:rsid w:val="00B47657"/>
    <w:rsid w:val="00B4796A"/>
    <w:rsid w:val="00B514A5"/>
    <w:rsid w:val="00B52271"/>
    <w:rsid w:val="00B52B28"/>
    <w:rsid w:val="00B53243"/>
    <w:rsid w:val="00B57F1C"/>
    <w:rsid w:val="00B6004D"/>
    <w:rsid w:val="00B60AFC"/>
    <w:rsid w:val="00B66153"/>
    <w:rsid w:val="00B662C4"/>
    <w:rsid w:val="00B67558"/>
    <w:rsid w:val="00B70C6E"/>
    <w:rsid w:val="00B71E92"/>
    <w:rsid w:val="00B742F2"/>
    <w:rsid w:val="00B758D0"/>
    <w:rsid w:val="00B76B20"/>
    <w:rsid w:val="00B908E0"/>
    <w:rsid w:val="00B95B86"/>
    <w:rsid w:val="00B95DD4"/>
    <w:rsid w:val="00B97301"/>
    <w:rsid w:val="00BA00A2"/>
    <w:rsid w:val="00BA47F2"/>
    <w:rsid w:val="00BB0293"/>
    <w:rsid w:val="00BB1677"/>
    <w:rsid w:val="00BB76F9"/>
    <w:rsid w:val="00BB7BF9"/>
    <w:rsid w:val="00BC10E3"/>
    <w:rsid w:val="00BC4040"/>
    <w:rsid w:val="00BC5640"/>
    <w:rsid w:val="00BC636F"/>
    <w:rsid w:val="00BC7A7F"/>
    <w:rsid w:val="00BD1465"/>
    <w:rsid w:val="00BD2901"/>
    <w:rsid w:val="00BD571A"/>
    <w:rsid w:val="00BD625E"/>
    <w:rsid w:val="00BD728A"/>
    <w:rsid w:val="00BE2116"/>
    <w:rsid w:val="00BE2445"/>
    <w:rsid w:val="00BE4831"/>
    <w:rsid w:val="00BE67B8"/>
    <w:rsid w:val="00BF08C4"/>
    <w:rsid w:val="00BF202A"/>
    <w:rsid w:val="00BF2B48"/>
    <w:rsid w:val="00C045EC"/>
    <w:rsid w:val="00C10FBC"/>
    <w:rsid w:val="00C1264C"/>
    <w:rsid w:val="00C12BED"/>
    <w:rsid w:val="00C12D5D"/>
    <w:rsid w:val="00C14610"/>
    <w:rsid w:val="00C14B2E"/>
    <w:rsid w:val="00C23D73"/>
    <w:rsid w:val="00C250F4"/>
    <w:rsid w:val="00C3324E"/>
    <w:rsid w:val="00C33ECC"/>
    <w:rsid w:val="00C359E6"/>
    <w:rsid w:val="00C41268"/>
    <w:rsid w:val="00C42538"/>
    <w:rsid w:val="00C517AD"/>
    <w:rsid w:val="00C53329"/>
    <w:rsid w:val="00C541FC"/>
    <w:rsid w:val="00C55BFE"/>
    <w:rsid w:val="00C56433"/>
    <w:rsid w:val="00C57BFD"/>
    <w:rsid w:val="00C60221"/>
    <w:rsid w:val="00C6068E"/>
    <w:rsid w:val="00C624FC"/>
    <w:rsid w:val="00C700C6"/>
    <w:rsid w:val="00C70AE3"/>
    <w:rsid w:val="00C73AC5"/>
    <w:rsid w:val="00C75944"/>
    <w:rsid w:val="00C819B1"/>
    <w:rsid w:val="00C81FC7"/>
    <w:rsid w:val="00C82334"/>
    <w:rsid w:val="00C83EC0"/>
    <w:rsid w:val="00C8607A"/>
    <w:rsid w:val="00C95FAC"/>
    <w:rsid w:val="00C976E0"/>
    <w:rsid w:val="00CA17FD"/>
    <w:rsid w:val="00CB0122"/>
    <w:rsid w:val="00CB033A"/>
    <w:rsid w:val="00CB0377"/>
    <w:rsid w:val="00CB0C8B"/>
    <w:rsid w:val="00CB4D74"/>
    <w:rsid w:val="00CB518F"/>
    <w:rsid w:val="00CB7B1F"/>
    <w:rsid w:val="00CC0130"/>
    <w:rsid w:val="00CC031F"/>
    <w:rsid w:val="00CC4215"/>
    <w:rsid w:val="00CC449D"/>
    <w:rsid w:val="00CC6944"/>
    <w:rsid w:val="00CD055C"/>
    <w:rsid w:val="00CD1513"/>
    <w:rsid w:val="00CD3CEC"/>
    <w:rsid w:val="00CD414D"/>
    <w:rsid w:val="00CD7250"/>
    <w:rsid w:val="00CE5438"/>
    <w:rsid w:val="00CE577F"/>
    <w:rsid w:val="00CE7831"/>
    <w:rsid w:val="00CF1618"/>
    <w:rsid w:val="00CF27A8"/>
    <w:rsid w:val="00CF3190"/>
    <w:rsid w:val="00CF6BB6"/>
    <w:rsid w:val="00CF73A2"/>
    <w:rsid w:val="00D000B6"/>
    <w:rsid w:val="00D00D3B"/>
    <w:rsid w:val="00D01A4C"/>
    <w:rsid w:val="00D074E5"/>
    <w:rsid w:val="00D07B38"/>
    <w:rsid w:val="00D114A0"/>
    <w:rsid w:val="00D1338D"/>
    <w:rsid w:val="00D1388D"/>
    <w:rsid w:val="00D14E18"/>
    <w:rsid w:val="00D16657"/>
    <w:rsid w:val="00D16B4E"/>
    <w:rsid w:val="00D259F7"/>
    <w:rsid w:val="00D264C5"/>
    <w:rsid w:val="00D27BD0"/>
    <w:rsid w:val="00D33394"/>
    <w:rsid w:val="00D365B9"/>
    <w:rsid w:val="00D37BCB"/>
    <w:rsid w:val="00D42B5C"/>
    <w:rsid w:val="00D4694E"/>
    <w:rsid w:val="00D474F3"/>
    <w:rsid w:val="00D4793B"/>
    <w:rsid w:val="00D530C5"/>
    <w:rsid w:val="00D56096"/>
    <w:rsid w:val="00D61C7F"/>
    <w:rsid w:val="00D61EF4"/>
    <w:rsid w:val="00D622CF"/>
    <w:rsid w:val="00D66F23"/>
    <w:rsid w:val="00D70459"/>
    <w:rsid w:val="00D7474A"/>
    <w:rsid w:val="00D83B54"/>
    <w:rsid w:val="00D87BA1"/>
    <w:rsid w:val="00D9089B"/>
    <w:rsid w:val="00D930E8"/>
    <w:rsid w:val="00D94A88"/>
    <w:rsid w:val="00DA2A63"/>
    <w:rsid w:val="00DA5894"/>
    <w:rsid w:val="00DA65D3"/>
    <w:rsid w:val="00DB100F"/>
    <w:rsid w:val="00DB3680"/>
    <w:rsid w:val="00DC1C69"/>
    <w:rsid w:val="00DC6A55"/>
    <w:rsid w:val="00DD2254"/>
    <w:rsid w:val="00DD5228"/>
    <w:rsid w:val="00DD7A31"/>
    <w:rsid w:val="00DE623D"/>
    <w:rsid w:val="00DE7340"/>
    <w:rsid w:val="00DF1A20"/>
    <w:rsid w:val="00DF3824"/>
    <w:rsid w:val="00DF4695"/>
    <w:rsid w:val="00DF49E3"/>
    <w:rsid w:val="00DF5DBC"/>
    <w:rsid w:val="00DF7781"/>
    <w:rsid w:val="00DF7860"/>
    <w:rsid w:val="00E003A6"/>
    <w:rsid w:val="00E03ADF"/>
    <w:rsid w:val="00E0474B"/>
    <w:rsid w:val="00E04AA9"/>
    <w:rsid w:val="00E05732"/>
    <w:rsid w:val="00E12044"/>
    <w:rsid w:val="00E12C16"/>
    <w:rsid w:val="00E158EE"/>
    <w:rsid w:val="00E20C83"/>
    <w:rsid w:val="00E20C9B"/>
    <w:rsid w:val="00E20EE2"/>
    <w:rsid w:val="00E2145A"/>
    <w:rsid w:val="00E22DD0"/>
    <w:rsid w:val="00E23D02"/>
    <w:rsid w:val="00E27ED0"/>
    <w:rsid w:val="00E357D3"/>
    <w:rsid w:val="00E456F1"/>
    <w:rsid w:val="00E45CBD"/>
    <w:rsid w:val="00E47799"/>
    <w:rsid w:val="00E522FB"/>
    <w:rsid w:val="00E54CBF"/>
    <w:rsid w:val="00E54F91"/>
    <w:rsid w:val="00E55C8C"/>
    <w:rsid w:val="00E5602D"/>
    <w:rsid w:val="00E6075B"/>
    <w:rsid w:val="00E61D13"/>
    <w:rsid w:val="00E6274B"/>
    <w:rsid w:val="00E65743"/>
    <w:rsid w:val="00E67565"/>
    <w:rsid w:val="00E67A4E"/>
    <w:rsid w:val="00E70806"/>
    <w:rsid w:val="00E74D93"/>
    <w:rsid w:val="00E76023"/>
    <w:rsid w:val="00E76EE7"/>
    <w:rsid w:val="00E77529"/>
    <w:rsid w:val="00E80C95"/>
    <w:rsid w:val="00E83EC8"/>
    <w:rsid w:val="00E87199"/>
    <w:rsid w:val="00E908E0"/>
    <w:rsid w:val="00E91BC7"/>
    <w:rsid w:val="00E926EC"/>
    <w:rsid w:val="00E94218"/>
    <w:rsid w:val="00E96182"/>
    <w:rsid w:val="00E97C79"/>
    <w:rsid w:val="00EA2150"/>
    <w:rsid w:val="00EB2CA2"/>
    <w:rsid w:val="00EB5D91"/>
    <w:rsid w:val="00EB6F82"/>
    <w:rsid w:val="00EB78B6"/>
    <w:rsid w:val="00EC34CA"/>
    <w:rsid w:val="00EC67C9"/>
    <w:rsid w:val="00ED272B"/>
    <w:rsid w:val="00ED3ED8"/>
    <w:rsid w:val="00ED4320"/>
    <w:rsid w:val="00ED462B"/>
    <w:rsid w:val="00ED7105"/>
    <w:rsid w:val="00EE35CF"/>
    <w:rsid w:val="00EE6260"/>
    <w:rsid w:val="00EE6C0A"/>
    <w:rsid w:val="00EF21BA"/>
    <w:rsid w:val="00EF37AE"/>
    <w:rsid w:val="00EF5D0F"/>
    <w:rsid w:val="00F014A2"/>
    <w:rsid w:val="00F02CE9"/>
    <w:rsid w:val="00F05174"/>
    <w:rsid w:val="00F12E41"/>
    <w:rsid w:val="00F13D31"/>
    <w:rsid w:val="00F16091"/>
    <w:rsid w:val="00F17B5F"/>
    <w:rsid w:val="00F2102A"/>
    <w:rsid w:val="00F25082"/>
    <w:rsid w:val="00F254BA"/>
    <w:rsid w:val="00F266DA"/>
    <w:rsid w:val="00F267B6"/>
    <w:rsid w:val="00F27B2A"/>
    <w:rsid w:val="00F36786"/>
    <w:rsid w:val="00F507F1"/>
    <w:rsid w:val="00F52690"/>
    <w:rsid w:val="00F539F0"/>
    <w:rsid w:val="00F55F98"/>
    <w:rsid w:val="00F61AE0"/>
    <w:rsid w:val="00F61F5D"/>
    <w:rsid w:val="00F6341F"/>
    <w:rsid w:val="00F67C05"/>
    <w:rsid w:val="00F707DA"/>
    <w:rsid w:val="00F71D58"/>
    <w:rsid w:val="00F767FF"/>
    <w:rsid w:val="00F778D1"/>
    <w:rsid w:val="00F82C0C"/>
    <w:rsid w:val="00F87036"/>
    <w:rsid w:val="00F90E97"/>
    <w:rsid w:val="00F91911"/>
    <w:rsid w:val="00F97235"/>
    <w:rsid w:val="00FA6886"/>
    <w:rsid w:val="00FA7451"/>
    <w:rsid w:val="00FB7C9A"/>
    <w:rsid w:val="00FC083A"/>
    <w:rsid w:val="00FC27A5"/>
    <w:rsid w:val="00FC2A47"/>
    <w:rsid w:val="00FC33E4"/>
    <w:rsid w:val="00FC3B1E"/>
    <w:rsid w:val="00FC486F"/>
    <w:rsid w:val="00FC6C52"/>
    <w:rsid w:val="00FD0E77"/>
    <w:rsid w:val="00FD0F93"/>
    <w:rsid w:val="00FD1DDF"/>
    <w:rsid w:val="00FD2702"/>
    <w:rsid w:val="00FD2820"/>
    <w:rsid w:val="00FD3F08"/>
    <w:rsid w:val="00FE278D"/>
    <w:rsid w:val="00FE3DB7"/>
    <w:rsid w:val="00FE43A6"/>
    <w:rsid w:val="00FE52B5"/>
    <w:rsid w:val="00FE7B85"/>
    <w:rsid w:val="00FF0ED2"/>
    <w:rsid w:val="00FF1A1D"/>
    <w:rsid w:val="00FF280A"/>
    <w:rsid w:val="00FF317C"/>
    <w:rsid w:val="00FF43A8"/>
    <w:rsid w:val="00FF6801"/>
    <w:rsid w:val="00FF71D5"/>
    <w:rsid w:val="00FF7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8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10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210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107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107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107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107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07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07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07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07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2107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107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107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107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107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07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07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07A5"/>
    <w:rPr>
      <w:rFonts w:eastAsiaTheme="majorEastAsia" w:cstheme="majorBidi"/>
      <w:color w:val="272727" w:themeColor="text1" w:themeTint="D8"/>
    </w:rPr>
  </w:style>
  <w:style w:type="paragraph" w:styleId="Tytu">
    <w:name w:val="Title"/>
    <w:basedOn w:val="Normalny"/>
    <w:next w:val="Normalny"/>
    <w:link w:val="TytuZnak"/>
    <w:uiPriority w:val="10"/>
    <w:qFormat/>
    <w:rsid w:val="00210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07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07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07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07A5"/>
    <w:pPr>
      <w:spacing w:before="160"/>
      <w:jc w:val="center"/>
    </w:pPr>
    <w:rPr>
      <w:i/>
      <w:iCs/>
      <w:color w:val="404040" w:themeColor="text1" w:themeTint="BF"/>
    </w:rPr>
  </w:style>
  <w:style w:type="character" w:customStyle="1" w:styleId="CytatZnak">
    <w:name w:val="Cytat Znak"/>
    <w:basedOn w:val="Domylnaczcionkaakapitu"/>
    <w:link w:val="Cytat"/>
    <w:uiPriority w:val="29"/>
    <w:rsid w:val="002107A5"/>
    <w:rPr>
      <w:i/>
      <w:iCs/>
      <w:color w:val="404040" w:themeColor="text1" w:themeTint="BF"/>
    </w:rPr>
  </w:style>
  <w:style w:type="paragraph" w:styleId="Akapitzlist">
    <w:name w:val="List Paragraph"/>
    <w:basedOn w:val="Normalny"/>
    <w:uiPriority w:val="34"/>
    <w:qFormat/>
    <w:rsid w:val="002107A5"/>
    <w:pPr>
      <w:ind w:left="720"/>
      <w:contextualSpacing/>
    </w:pPr>
  </w:style>
  <w:style w:type="character" w:styleId="Wyrnienieintensywne">
    <w:name w:val="Intense Emphasis"/>
    <w:basedOn w:val="Domylnaczcionkaakapitu"/>
    <w:uiPriority w:val="21"/>
    <w:qFormat/>
    <w:rsid w:val="002107A5"/>
    <w:rPr>
      <w:i/>
      <w:iCs/>
      <w:color w:val="0F4761" w:themeColor="accent1" w:themeShade="BF"/>
    </w:rPr>
  </w:style>
  <w:style w:type="paragraph" w:styleId="Cytatintensywny">
    <w:name w:val="Intense Quote"/>
    <w:basedOn w:val="Normalny"/>
    <w:next w:val="Normalny"/>
    <w:link w:val="CytatintensywnyZnak"/>
    <w:uiPriority w:val="30"/>
    <w:qFormat/>
    <w:rsid w:val="00210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107A5"/>
    <w:rPr>
      <w:i/>
      <w:iCs/>
      <w:color w:val="0F4761" w:themeColor="accent1" w:themeShade="BF"/>
    </w:rPr>
  </w:style>
  <w:style w:type="character" w:styleId="Odwoanieintensywne">
    <w:name w:val="Intense Reference"/>
    <w:basedOn w:val="Domylnaczcionkaakapitu"/>
    <w:uiPriority w:val="32"/>
    <w:qFormat/>
    <w:rsid w:val="002107A5"/>
    <w:rPr>
      <w:b/>
      <w:bCs/>
      <w:smallCaps/>
      <w:color w:val="0F4761" w:themeColor="accent1" w:themeShade="BF"/>
      <w:spacing w:val="5"/>
    </w:rPr>
  </w:style>
  <w:style w:type="character" w:styleId="Hipercze">
    <w:name w:val="Hyperlink"/>
    <w:basedOn w:val="Domylnaczcionkaakapitu"/>
    <w:uiPriority w:val="99"/>
    <w:unhideWhenUsed/>
    <w:rsid w:val="000D616A"/>
    <w:rPr>
      <w:color w:val="467886" w:themeColor="hyperlink"/>
      <w:u w:val="single"/>
    </w:rPr>
  </w:style>
  <w:style w:type="paragraph" w:styleId="Tekstprzypisudolnego">
    <w:name w:val="footnote text"/>
    <w:basedOn w:val="Normalny"/>
    <w:link w:val="TekstprzypisudolnegoZnak"/>
    <w:uiPriority w:val="99"/>
    <w:unhideWhenUsed/>
    <w:rsid w:val="000D616A"/>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rsid w:val="000D616A"/>
    <w:rPr>
      <w:kern w:val="0"/>
      <w:sz w:val="20"/>
      <w:szCs w:val="20"/>
      <w14:ligatures w14:val="none"/>
    </w:rPr>
  </w:style>
  <w:style w:type="character" w:styleId="Odwoanieprzypisudolnego">
    <w:name w:val="footnote reference"/>
    <w:basedOn w:val="Domylnaczcionkaakapitu"/>
    <w:uiPriority w:val="99"/>
    <w:semiHidden/>
    <w:unhideWhenUsed/>
    <w:rsid w:val="000D616A"/>
    <w:rPr>
      <w:vertAlign w:val="superscript"/>
    </w:rPr>
  </w:style>
  <w:style w:type="character" w:styleId="Nierozpoznanawzmianka">
    <w:name w:val="Unresolved Mention"/>
    <w:basedOn w:val="Domylnaczcionkaakapitu"/>
    <w:uiPriority w:val="99"/>
    <w:semiHidden/>
    <w:unhideWhenUsed/>
    <w:rsid w:val="00F539F0"/>
    <w:rPr>
      <w:color w:val="605E5C"/>
      <w:shd w:val="clear" w:color="auto" w:fill="E1DFDD"/>
    </w:rPr>
  </w:style>
  <w:style w:type="paragraph" w:styleId="Nagwek">
    <w:name w:val="header"/>
    <w:basedOn w:val="Normalny"/>
    <w:link w:val="NagwekZnak"/>
    <w:uiPriority w:val="99"/>
    <w:unhideWhenUsed/>
    <w:rsid w:val="00685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3CD"/>
  </w:style>
  <w:style w:type="paragraph" w:styleId="Stopka">
    <w:name w:val="footer"/>
    <w:basedOn w:val="Normalny"/>
    <w:link w:val="StopkaZnak"/>
    <w:uiPriority w:val="99"/>
    <w:unhideWhenUsed/>
    <w:rsid w:val="00685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3CD"/>
  </w:style>
  <w:style w:type="character" w:styleId="Odwoaniedokomentarza">
    <w:name w:val="annotation reference"/>
    <w:basedOn w:val="Domylnaczcionkaakapitu"/>
    <w:uiPriority w:val="99"/>
    <w:semiHidden/>
    <w:unhideWhenUsed/>
    <w:rsid w:val="00C55BFE"/>
    <w:rPr>
      <w:sz w:val="16"/>
      <w:szCs w:val="16"/>
    </w:rPr>
  </w:style>
  <w:style w:type="paragraph" w:styleId="Tekstkomentarza">
    <w:name w:val="annotation text"/>
    <w:basedOn w:val="Normalny"/>
    <w:link w:val="TekstkomentarzaZnak"/>
    <w:uiPriority w:val="99"/>
    <w:unhideWhenUsed/>
    <w:rsid w:val="00C55BFE"/>
    <w:pPr>
      <w:spacing w:line="240" w:lineRule="auto"/>
    </w:pPr>
    <w:rPr>
      <w:sz w:val="20"/>
      <w:szCs w:val="20"/>
    </w:rPr>
  </w:style>
  <w:style w:type="character" w:customStyle="1" w:styleId="TekstkomentarzaZnak">
    <w:name w:val="Tekst komentarza Znak"/>
    <w:basedOn w:val="Domylnaczcionkaakapitu"/>
    <w:link w:val="Tekstkomentarza"/>
    <w:uiPriority w:val="99"/>
    <w:rsid w:val="00C55BFE"/>
    <w:rPr>
      <w:sz w:val="20"/>
      <w:szCs w:val="20"/>
    </w:rPr>
  </w:style>
  <w:style w:type="paragraph" w:styleId="Nagwekspisutreci">
    <w:name w:val="TOC Heading"/>
    <w:basedOn w:val="Nagwek1"/>
    <w:next w:val="Normalny"/>
    <w:uiPriority w:val="39"/>
    <w:unhideWhenUsed/>
    <w:qFormat/>
    <w:rsid w:val="008A2BC5"/>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8A2BC5"/>
    <w:pPr>
      <w:spacing w:after="100"/>
    </w:pPr>
  </w:style>
  <w:style w:type="paragraph" w:styleId="Spistreci2">
    <w:name w:val="toc 2"/>
    <w:basedOn w:val="Normalny"/>
    <w:next w:val="Normalny"/>
    <w:autoRedefine/>
    <w:uiPriority w:val="39"/>
    <w:unhideWhenUsed/>
    <w:rsid w:val="008A2BC5"/>
    <w:pPr>
      <w:spacing w:after="100"/>
      <w:ind w:left="220"/>
    </w:pPr>
  </w:style>
  <w:style w:type="paragraph" w:styleId="Spistreci3">
    <w:name w:val="toc 3"/>
    <w:basedOn w:val="Normalny"/>
    <w:next w:val="Normalny"/>
    <w:autoRedefine/>
    <w:uiPriority w:val="39"/>
    <w:unhideWhenUsed/>
    <w:rsid w:val="008A2BC5"/>
    <w:pPr>
      <w:spacing w:after="100"/>
      <w:ind w:left="440"/>
    </w:pPr>
  </w:style>
  <w:style w:type="paragraph" w:styleId="Tematkomentarza">
    <w:name w:val="annotation subject"/>
    <w:basedOn w:val="Tekstkomentarza"/>
    <w:next w:val="Tekstkomentarza"/>
    <w:link w:val="TematkomentarzaZnak"/>
    <w:uiPriority w:val="99"/>
    <w:semiHidden/>
    <w:unhideWhenUsed/>
    <w:rsid w:val="00B52271"/>
    <w:rPr>
      <w:b/>
      <w:bCs/>
    </w:rPr>
  </w:style>
  <w:style w:type="character" w:customStyle="1" w:styleId="TematkomentarzaZnak">
    <w:name w:val="Temat komentarza Znak"/>
    <w:basedOn w:val="TekstkomentarzaZnak"/>
    <w:link w:val="Tematkomentarza"/>
    <w:uiPriority w:val="99"/>
    <w:semiHidden/>
    <w:rsid w:val="00B52271"/>
    <w:rPr>
      <w:b/>
      <w:bCs/>
      <w:sz w:val="20"/>
      <w:szCs w:val="20"/>
    </w:rPr>
  </w:style>
  <w:style w:type="paragraph" w:styleId="Poprawka">
    <w:name w:val="Revision"/>
    <w:hidden/>
    <w:uiPriority w:val="99"/>
    <w:semiHidden/>
    <w:rsid w:val="00B52271"/>
    <w:pPr>
      <w:spacing w:after="0" w:line="240" w:lineRule="auto"/>
    </w:pPr>
  </w:style>
  <w:style w:type="character" w:styleId="UyteHipercze">
    <w:name w:val="FollowedHyperlink"/>
    <w:basedOn w:val="Domylnaczcionkaakapitu"/>
    <w:uiPriority w:val="99"/>
    <w:semiHidden/>
    <w:unhideWhenUsed/>
    <w:rsid w:val="00323954"/>
    <w:rPr>
      <w:color w:val="96607D" w:themeColor="followedHyperlink"/>
      <w:u w:val="single"/>
    </w:rPr>
  </w:style>
  <w:style w:type="paragraph" w:styleId="NormalnyWeb">
    <w:name w:val="Normal (Web)"/>
    <w:basedOn w:val="Normalny"/>
    <w:uiPriority w:val="99"/>
    <w:semiHidden/>
    <w:unhideWhenUsed/>
    <w:rsid w:val="00A946B8"/>
    <w:rPr>
      <w:rFonts w:ascii="Times New Roman" w:hAnsi="Times New Roman" w:cs="Times New Roman"/>
      <w:sz w:val="24"/>
      <w:szCs w:val="24"/>
    </w:rPr>
  </w:style>
  <w:style w:type="paragraph" w:customStyle="1" w:styleId="ARTartustawynprozporzdzenia">
    <w:name w:val="ART(§) – art. ustawy (§ np. rozporządzenia)"/>
    <w:uiPriority w:val="11"/>
    <w:qFormat/>
    <w:rsid w:val="00103930"/>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03930"/>
    <w:rPr>
      <w:bCs/>
    </w:rPr>
  </w:style>
  <w:style w:type="paragraph" w:styleId="Tekstprzypisukocowego">
    <w:name w:val="endnote text"/>
    <w:basedOn w:val="Normalny"/>
    <w:link w:val="TekstprzypisukocowegoZnak"/>
    <w:uiPriority w:val="99"/>
    <w:semiHidden/>
    <w:unhideWhenUsed/>
    <w:rsid w:val="001039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3930"/>
    <w:rPr>
      <w:sz w:val="20"/>
      <w:szCs w:val="20"/>
    </w:rPr>
  </w:style>
  <w:style w:type="character" w:styleId="Odwoanieprzypisukocowego">
    <w:name w:val="endnote reference"/>
    <w:basedOn w:val="Domylnaczcionkaakapitu"/>
    <w:uiPriority w:val="99"/>
    <w:semiHidden/>
    <w:unhideWhenUsed/>
    <w:rsid w:val="00103930"/>
    <w:rPr>
      <w:vertAlign w:val="superscript"/>
    </w:rPr>
  </w:style>
  <w:style w:type="paragraph" w:styleId="Legenda">
    <w:name w:val="caption"/>
    <w:basedOn w:val="Normalny"/>
    <w:next w:val="Normalny"/>
    <w:uiPriority w:val="35"/>
    <w:unhideWhenUsed/>
    <w:qFormat/>
    <w:rsid w:val="005B750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rcl.gov.pl/legislacja/wytyczne-do-przeprowadzania-oceny-wplywu-oraz-konsultacji-publicznych-w-ramach-rzadowego-procesu-legislacyjnego/" TargetMode="External"/><Relationship Id="rId18" Type="http://schemas.openxmlformats.org/officeDocument/2006/relationships/hyperlink" Target="https://eur-lex.europa.eu/legal-content/PL/TXT/HTML/?uri=OJ:C_202503995" TargetMode="External"/><Relationship Id="rId26" Type="http://schemas.openxmlformats.org/officeDocument/2006/relationships/hyperlink" Target="https://www.gov.pl/web/premier/projekt-ustawy-o-zmianie-ustawy-o-swiadczeniach-pienieznych-z-ubezpieczenia-spolecznego-w-razie-choroby-i-macierzynstwa" TargetMode="External"/><Relationship Id="rId39" Type="http://schemas.openxmlformats.org/officeDocument/2006/relationships/hyperlink" Target="https://eur-lex.europa.eu/legal-content/PL/TXT/HTML/?uri=OJ:C_202505146" TargetMode="External"/><Relationship Id="rId21" Type="http://schemas.openxmlformats.org/officeDocument/2006/relationships/hyperlink" Target="https://stat.gov.pl/obszary-tematyczne/podmioty-gospodarcze-wyniki-finansowe/przedsiebiorstwa-niefinansowe/przedsiebiorstwa-niefinansowe-powstale-w-latach-2019-2023,24,10.html" TargetMode="External"/><Relationship Id="rId34" Type="http://schemas.openxmlformats.org/officeDocument/2006/relationships/hyperlink" Target="https://www.sgi-network.org/2024/Poland" TargetMode="External"/><Relationship Id="rId42" Type="http://schemas.openxmlformats.org/officeDocument/2006/relationships/hyperlink" Target="https://rcl.gov.pl/wp-content/uploads/2020/11/WytyczneOW.pdf" TargetMode="External"/><Relationship Id="rId47" Type="http://schemas.openxmlformats.org/officeDocument/2006/relationships/hyperlink" Target="https://www.regeldrukmonitor.nl/life-eventsaanpak" TargetMode="External"/><Relationship Id="rId50" Type="http://schemas.openxmlformats.org/officeDocument/2006/relationships/hyperlink" Target="https://interoperable-europe.ec.europa.eu/collection/eli-european-legislation-identifier/solution/eli-ontology-draft-legislation-eli-dl/distribution/eli-dl-v3-complete-package" TargetMode="External"/><Relationship Id="rId7" Type="http://schemas.openxmlformats.org/officeDocument/2006/relationships/hyperlink" Target="https://www.bmjv.de/EN/topics/bureaucracy_reduction/bureaucracy_reduction_node.html" TargetMode="External"/><Relationship Id="rId2" Type="http://schemas.openxmlformats.org/officeDocument/2006/relationships/hyperlink" Target="https://stat.gov.pl/obszary-tematyczne/koniunktura/koniunktura/koniunktura-gospodarcza-20002025-grudzien-2025,4,104.html" TargetMode="External"/><Relationship Id="rId16" Type="http://schemas.openxmlformats.org/officeDocument/2006/relationships/hyperlink" Target="https://issuu.com/docs/bf956b453aef304a97a1639733862172" TargetMode="External"/><Relationship Id="rId29" Type="http://schemas.openxmlformats.org/officeDocument/2006/relationships/hyperlink" Target="https://legislacja.rcl.gov.pl/projekt/12398653" TargetMode="External"/><Relationship Id="rId11" Type="http://schemas.openxmlformats.org/officeDocument/2006/relationships/hyperlink" Target="https://eur-lex.europa.eu/legal-content/PL/TXT/HTML/?uri=OJ:C_202503995" TargetMode="External"/><Relationship Id="rId24" Type="http://schemas.openxmlformats.org/officeDocument/2006/relationships/hyperlink" Target="https://www.gov.pl/web/premier/projekt-ustawy-o-zmianie-niektorych-ustaw-w-celu-likwidacji-obowiazku-dolaczania-dokumentow-dostepnych-w-prowadzonych-elektronicznie-rejestrach-publicznych" TargetMode="External"/><Relationship Id="rId32" Type="http://schemas.openxmlformats.org/officeDocument/2006/relationships/hyperlink" Target="https://www.europarl.europa.eu/RegData/etudes/STUD/2017/585906/IPOL_STU(2017)585906_EN.pdf" TargetMode="External"/><Relationship Id="rId37" Type="http://schemas.openxmlformats.org/officeDocument/2006/relationships/hyperlink" Target="https://commission.europa.eu/document/download/88ebf8bb-79c1-4cf2-975b-c643dcc766f8_en?filename=BRT-2023-Chapter%206-How%20to%20carry%20out%20an%20evaluation%20and%20a%20fitness%20check_0.pdf" TargetMode="External"/><Relationship Id="rId40" Type="http://schemas.openxmlformats.org/officeDocument/2006/relationships/hyperlink" Target="https://www.gov.pl/web/cyfryzacja/strategia-cyfryzacji-polski-do-2035-roku" TargetMode="External"/><Relationship Id="rId45" Type="http://schemas.openxmlformats.org/officeDocument/2006/relationships/hyperlink" Target="https://regelforum.dk/english" TargetMode="External"/><Relationship Id="rId5" Type="http://schemas.openxmlformats.org/officeDocument/2006/relationships/hyperlink" Target="https://www.oecd.org/en/publications/recommendation-of-the-council-on-regulatory-policy-and-governance_9789264209022-en.html" TargetMode="External"/><Relationship Id="rId15" Type="http://schemas.openxmlformats.org/officeDocument/2006/relationships/hyperlink" Target="https://doi.org/10.1787/56b60e39-en" TargetMode="External"/><Relationship Id="rId23" Type="http://schemas.openxmlformats.org/officeDocument/2006/relationships/hyperlink" Target="https://www.gov.pl/web/deregulacja" TargetMode="External"/><Relationship Id="rId28" Type="http://schemas.openxmlformats.org/officeDocument/2006/relationships/hyperlink" Target="https://www.gov.pl/web/rozwoj-technologia/zasada-rownowazenia-obowiazkow-administracyjnych" TargetMode="External"/><Relationship Id="rId36" Type="http://schemas.openxmlformats.org/officeDocument/2006/relationships/hyperlink" Target="https://doi.org/10.1787/56b60e39-en" TargetMode="External"/><Relationship Id="rId49" Type="http://schemas.openxmlformats.org/officeDocument/2006/relationships/hyperlink" Target="https://eli.gov.pl" TargetMode="External"/><Relationship Id="rId10" Type="http://schemas.openxmlformats.org/officeDocument/2006/relationships/hyperlink" Target="https://sprawdzamy.com/" TargetMode="External"/><Relationship Id="rId19" Type="http://schemas.openxmlformats.org/officeDocument/2006/relationships/hyperlink" Target="https://europa.eu/eurobarometer/surveys/detail/3180" TargetMode="External"/><Relationship Id="rId31" Type="http://schemas.openxmlformats.org/officeDocument/2006/relationships/hyperlink" Target="https://www.kpo.gov.pl/" TargetMode="External"/><Relationship Id="rId44" Type="http://schemas.openxmlformats.org/officeDocument/2006/relationships/hyperlink" Target="https://www.canada.ca/en/government/system/laws/developing-improving-federal-regulations/modernizing-regulations/targeted-regulatory-reviews/round-1.html" TargetMode="External"/><Relationship Id="rId52" Type="http://schemas.openxmlformats.org/officeDocument/2006/relationships/hyperlink" Target="https://www.gov.pl/attachment/0a768b7c-07ca-4be6-a269-2820a975b936" TargetMode="External"/><Relationship Id="rId4" Type="http://schemas.openxmlformats.org/officeDocument/2006/relationships/hyperlink" Target="https://pie.net.pl/wp-content/uploads/2025/04/Tygodnik-PIE_15-2025.pdf" TargetMode="External"/><Relationship Id="rId9" Type="http://schemas.openxmlformats.org/officeDocument/2006/relationships/hyperlink" Target="https://www.canada.ca/en/government/system/laws/developing-improving-federal-regulations/requirements-developing-managing-reviewing-regulations/red-tape-reduction-action-plan.htm" TargetMode="External"/><Relationship Id="rId14" Type="http://schemas.openxmlformats.org/officeDocument/2006/relationships/hyperlink" Target="https://orka.sejm.gov.pl/opinie10.nsf/nazwa/gor_d1/$file/gor_d1.pdf" TargetMode="External"/><Relationship Id="rId22" Type="http://schemas.openxmlformats.org/officeDocument/2006/relationships/hyperlink" Target="https://grantthornton.pl/wp-content/uploads/2025/03/Barometr-Prawa-2025_RAPORT-Grant-Thornton-20-03.pdf" TargetMode="External"/><Relationship Id="rId27" Type="http://schemas.openxmlformats.org/officeDocument/2006/relationships/hyperlink" Target="https://www.gov.pl/web/premier/projekt-ustawy-o-zmianie-ustawy-o-systemie-ubezpieczen-spolecznych-oraz-niektorych-innych-ustaw13" TargetMode="External"/><Relationship Id="rId30" Type="http://schemas.openxmlformats.org/officeDocument/2006/relationships/hyperlink" Target="https://www.gov.pl/web/premier/projekt-ustawy-o-zmianie-ustawy-o-efektywnosci-energetycznej-oraz-niektorych-innych-ustaw4" TargetMode="External"/><Relationship Id="rId35" Type="http://schemas.openxmlformats.org/officeDocument/2006/relationships/hyperlink" Target="https://stat.gov.pl/obszary-tematyczne/koniunktura/koniunktura/" TargetMode="External"/><Relationship Id="rId43" Type="http://schemas.openxmlformats.org/officeDocument/2006/relationships/hyperlink" Target="https://www.oecd.org/en/publications/oecd-regulatory-policy-outlook-2025_56b60e39-en.html" TargetMode="External"/><Relationship Id="rId48" Type="http://schemas.openxmlformats.org/officeDocument/2006/relationships/hyperlink" Target="https://commission.europa.eu/law/law-making-process/better-regulation_en" TargetMode="External"/><Relationship Id="rId8" Type="http://schemas.openxmlformats.org/officeDocument/2006/relationships/hyperlink" Target="https://www.canada.ca/en/revenue-agency/programs/about-canada-revenue-agency-cra/acts-regulations/forward-regulatory-plan.html" TargetMode="External"/><Relationship Id="rId51" Type="http://schemas.openxmlformats.org/officeDocument/2006/relationships/hyperlink" Target="https://www.gov.pl/web/cyfryzacja/polityka-rozwoju-sztucznej-inteligencji-w-polsce-do-2030-roku--bezpieczne-i-odpowiedzialne-wykorzystanie-sztucznej-inteligencji" TargetMode="External"/><Relationship Id="rId3" Type="http://schemas.openxmlformats.org/officeDocument/2006/relationships/hyperlink" Target="https://www.parp.gov.pl/storage/publications/pdf/RAPORT-z-badania-GEM---Polski_WCAG-11_10_2024.pdf" TargetMode="External"/><Relationship Id="rId12" Type="http://schemas.openxmlformats.org/officeDocument/2006/relationships/hyperlink" Target="https://www.nik.gov.pl/kontrole/P/24/087/LWA/" TargetMode="External"/><Relationship Id="rId17" Type="http://schemas.openxmlformats.org/officeDocument/2006/relationships/hyperlink" Target="https://www.wipo.int/gii-ranking/en/poland/section/economy-profile" TargetMode="External"/><Relationship Id="rId25" Type="http://schemas.openxmlformats.org/officeDocument/2006/relationships/hyperlink" Target="https://www.gov.pl/web/premier/projekt-ustawy-o-uregulowaniu-praw-do-gruntow-zabudowanych-przez-spoldzielnie-mieszkaniowe-o-zmianie-ustawy-o-gospodarce-nieruchomosciami-oraz-niektorych-innych-ustaw" TargetMode="External"/><Relationship Id="rId33" Type="http://schemas.openxmlformats.org/officeDocument/2006/relationships/hyperlink" Target="https://www.normenkontrollrat.bund.de/Webs/NKR/SharedDocs/Newsletter/DE/2024/2024-3/05_artikel_goldplating.html" TargetMode="External"/><Relationship Id="rId38" Type="http://schemas.openxmlformats.org/officeDocument/2006/relationships/hyperlink" Target="https://plattform.egesetzgebung.bund.de/cockpit/" TargetMode="External"/><Relationship Id="rId46" Type="http://schemas.openxmlformats.org/officeDocument/2006/relationships/hyperlink" Target="https://commission.europa.eu/law/law-making-process/better-regulation_en" TargetMode="External"/><Relationship Id="rId20" Type="http://schemas.openxmlformats.org/officeDocument/2006/relationships/hyperlink" Target="https://www.eib.org/files/documents/lucalli/20240238_econ_eibis_2024_poland_en.pdf" TargetMode="External"/><Relationship Id="rId41" Type="http://schemas.openxmlformats.org/officeDocument/2006/relationships/hyperlink" Target="https://www.nik.gov.pl/kontrole/P/24/087/LWA/" TargetMode="External"/><Relationship Id="rId1" Type="http://schemas.openxmlformats.org/officeDocument/2006/relationships/hyperlink" Target="https://grantthornton.pl/wp-content/uploads/2025/04/Bariery-w-biznesie-2025-BADANIE-Grant-Thornton-17-04-2025.pdf" TargetMode="External"/><Relationship Id="rId6" Type="http://schemas.openxmlformats.org/officeDocument/2006/relationships/hyperlink" Target="https://www.regeldrukmonitor.nl/documenten/2024/12/9/kamerbrief-actieprogramma-mdmr0612020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0A5C1-87E3-498A-A789-6AE6E83C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11812</Words>
  <Characters>70872</Characters>
  <Application>Microsoft Office Word</Application>
  <DocSecurity>0</DocSecurity>
  <Lines>590</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2026-01-16T09:31:00Z</dcterms:created>
  <dcterms:modified xsi:type="dcterms:W3CDTF">2026-01-16T09:31:00Z</dcterms:modified>
</cp:coreProperties>
</file>