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8F" w:rsidRDefault="0031598F" w:rsidP="0031598F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nr 1 </w:t>
      </w:r>
    </w:p>
    <w:p w:rsidR="0031598F" w:rsidRDefault="0031598F" w:rsidP="00043E2D">
      <w:pPr>
        <w:jc w:val="center"/>
        <w:rPr>
          <w:rFonts w:ascii="Times New Roman" w:hAnsi="Times New Roman"/>
          <w:b/>
          <w:bCs/>
        </w:rPr>
      </w:pPr>
    </w:p>
    <w:p w:rsidR="00043E2D" w:rsidRDefault="00043E2D" w:rsidP="00043E2D">
      <w:pPr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INFORMACJA</w:t>
      </w:r>
    </w:p>
    <w:p w:rsidR="00F35340" w:rsidRPr="00043E2D" w:rsidRDefault="00D9024E" w:rsidP="00043E2D">
      <w:pPr>
        <w:spacing w:after="480"/>
        <w:jc w:val="center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dla sygnalistów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 xml:space="preserve">zasadach ochrony danych osobowych </w:t>
      </w:r>
      <w:r w:rsidR="0039381E" w:rsidRPr="00043E2D">
        <w:rPr>
          <w:rFonts w:ascii="Times New Roman" w:hAnsi="Times New Roman"/>
          <w:b/>
          <w:bCs/>
        </w:rPr>
        <w:t xml:space="preserve">- </w:t>
      </w:r>
      <w:r w:rsidRPr="00043E2D">
        <w:rPr>
          <w:rFonts w:ascii="Times New Roman" w:hAnsi="Times New Roman"/>
          <w:b/>
          <w:bCs/>
        </w:rPr>
        <w:t>umieszczan</w:t>
      </w:r>
      <w:r w:rsidR="0039381E" w:rsidRPr="00043E2D">
        <w:rPr>
          <w:rFonts w:ascii="Times New Roman" w:hAnsi="Times New Roman"/>
          <w:b/>
          <w:bCs/>
        </w:rPr>
        <w:t>a</w:t>
      </w:r>
      <w:r w:rsidRPr="00043E2D">
        <w:rPr>
          <w:rFonts w:ascii="Times New Roman" w:hAnsi="Times New Roman"/>
          <w:b/>
          <w:bCs/>
        </w:rPr>
        <w:t xml:space="preserve"> na stronach BIP (na podstawie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art.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48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ust.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6 ustawy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o</w:t>
      </w:r>
      <w:r w:rsidR="00043E2D">
        <w:rPr>
          <w:rFonts w:ascii="Times New Roman" w:hAnsi="Times New Roman"/>
          <w:b/>
          <w:bCs/>
        </w:rPr>
        <w:t> </w:t>
      </w:r>
      <w:r w:rsidR="00BF11A4" w:rsidRPr="00043E2D">
        <w:rPr>
          <w:rFonts w:ascii="Times New Roman" w:hAnsi="Times New Roman"/>
          <w:b/>
          <w:bCs/>
        </w:rPr>
        <w:t>ochronie sygnalistów</w:t>
      </w:r>
      <w:r w:rsidRPr="00043E2D">
        <w:rPr>
          <w:rFonts w:ascii="Times New Roman" w:hAnsi="Times New Roman"/>
          <w:b/>
          <w:bCs/>
        </w:rPr>
        <w:t>)</w:t>
      </w:r>
    </w:p>
    <w:p w:rsidR="009A7C91" w:rsidRPr="00043E2D" w:rsidRDefault="00312381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Ochrona poufności</w:t>
      </w:r>
    </w:p>
    <w:p w:rsidR="00F225BD" w:rsidRPr="00043E2D" w:rsidRDefault="003774E3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 xml:space="preserve">Danych Osobowych: </w:t>
      </w:r>
      <w:r w:rsidRPr="003774E3">
        <w:rPr>
          <w:rFonts w:ascii="Times New Roman" w:hAnsi="Times New Roman"/>
        </w:rPr>
        <w:t xml:space="preserve">Komendant </w:t>
      </w:r>
      <w:r w:rsidR="009A1FC5">
        <w:rPr>
          <w:rFonts w:ascii="Times New Roman" w:hAnsi="Times New Roman"/>
        </w:rPr>
        <w:t>Powiatowy</w:t>
      </w:r>
      <w:r w:rsidRPr="003774E3">
        <w:rPr>
          <w:rFonts w:ascii="Times New Roman" w:hAnsi="Times New Roman"/>
        </w:rPr>
        <w:t xml:space="preserve"> Państwowej Straży Pożarnej </w:t>
      </w:r>
      <w:r w:rsidR="009A1FC5">
        <w:rPr>
          <w:rFonts w:ascii="Times New Roman" w:hAnsi="Times New Roman"/>
        </w:rPr>
        <w:t xml:space="preserve">w Złotoryi </w:t>
      </w:r>
      <w:r w:rsidR="00312381" w:rsidRPr="00043E2D">
        <w:rPr>
          <w:rFonts w:ascii="Times New Roman" w:hAnsi="Times New Roman"/>
        </w:rPr>
        <w:t>zapewnia, że dostęp do danych osobowych sygnalisty</w:t>
      </w:r>
      <w:r w:rsidR="00904F61" w:rsidRPr="00043E2D">
        <w:rPr>
          <w:rFonts w:ascii="Times New Roman" w:hAnsi="Times New Roman"/>
        </w:rPr>
        <w:t xml:space="preserve"> uzyskują tylko osoby upoważnione. </w:t>
      </w:r>
    </w:p>
    <w:p w:rsidR="00F225BD" w:rsidRPr="00043E2D" w:rsidRDefault="00F225BD" w:rsidP="00F225BD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Zgoda na ujawnienie tożsamości</w:t>
      </w:r>
    </w:p>
    <w:p w:rsidR="0067703C" w:rsidRPr="00043E2D" w:rsidRDefault="00904F61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Sygnalista może wyrazić zgodę na ujawnienie danych osobowych </w:t>
      </w:r>
      <w:r w:rsidR="00F225BD" w:rsidRPr="00043E2D">
        <w:rPr>
          <w:rFonts w:ascii="Times New Roman" w:hAnsi="Times New Roman"/>
        </w:rPr>
        <w:t>umożliwiających ustalenie jego tożsamości.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przypadku wyrażenia zgody przez sygnalistę, administrator będzie informował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zgłoszeniu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 xml:space="preserve">podaniu ich danych przez sygnalistę </w:t>
      </w:r>
      <w:r w:rsidR="00043E2D" w:rsidRPr="00043E2D">
        <w:rPr>
          <w:rFonts w:ascii="Times New Roman" w:hAnsi="Times New Roman"/>
        </w:rPr>
        <w:t>(w</w:t>
      </w:r>
      <w:r w:rsidR="00043E2D">
        <w:rPr>
          <w:rFonts w:ascii="Times New Roman" w:hAnsi="Times New Roman"/>
        </w:rPr>
        <w:t> </w:t>
      </w:r>
      <w:r w:rsidR="001735A1" w:rsidRPr="00043E2D">
        <w:rPr>
          <w:rFonts w:ascii="Times New Roman" w:hAnsi="Times New Roman"/>
        </w:rPr>
        <w:t>ramach realizacji obowiązku informacyjnego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1735A1" w:rsidRPr="00043E2D">
        <w:rPr>
          <w:rFonts w:ascii="Times New Roman" w:hAnsi="Times New Roman"/>
        </w:rPr>
        <w:t xml:space="preserve">14 </w:t>
      </w:r>
      <w:r w:rsidR="00825A01" w:rsidRPr="00043E2D">
        <w:rPr>
          <w:rFonts w:ascii="Times New Roman" w:hAnsi="Times New Roman"/>
        </w:rPr>
        <w:t>rozporządzenia Parlamentu Europejskiego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Rady (UE) 2016/679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dnia 2</w:t>
      </w:r>
      <w:r w:rsidR="00043E2D" w:rsidRPr="00043E2D">
        <w:rPr>
          <w:rFonts w:ascii="Times New Roman" w:hAnsi="Times New Roman"/>
        </w:rPr>
        <w:t>7</w:t>
      </w:r>
      <w:r w:rsidR="00043E2D">
        <w:rPr>
          <w:rFonts w:ascii="Times New Roman" w:hAnsi="Times New Roman"/>
        </w:rPr>
        <w:t> kwietnia</w:t>
      </w:r>
      <w:r w:rsidR="00825A01" w:rsidRPr="00043E2D">
        <w:rPr>
          <w:rFonts w:ascii="Times New Roman" w:hAnsi="Times New Roman"/>
        </w:rPr>
        <w:t xml:space="preserve">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ochrony osób fizycznych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przetwarzaniem danych osobowych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sprawie swobodnego przepływu takich danych oraz uchylenia dyrektywy 95/46/WE (ogólne rozporządzenie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ochronie danych) (</w:t>
      </w:r>
      <w:r w:rsidR="00043E2D">
        <w:rPr>
          <w:rFonts w:ascii="Times New Roman" w:hAnsi="Times New Roman"/>
        </w:rPr>
        <w:t>Dz. U.</w:t>
      </w:r>
      <w:r w:rsidR="00825A01" w:rsidRPr="00043E2D">
        <w:rPr>
          <w:rFonts w:ascii="Times New Roman" w:hAnsi="Times New Roman"/>
        </w:rPr>
        <w:t xml:space="preserve"> UE.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</w:t>
      </w:r>
      <w:r w:rsidR="00043E2D">
        <w:rPr>
          <w:rFonts w:ascii="Times New Roman" w:hAnsi="Times New Roman"/>
        </w:rPr>
        <w:t>. </w:t>
      </w:r>
      <w:r w:rsidR="00825A01" w:rsidRPr="00043E2D">
        <w:rPr>
          <w:rFonts w:ascii="Times New Roman" w:hAnsi="Times New Roman"/>
        </w:rPr>
        <w:t>z 201</w:t>
      </w:r>
      <w:r w:rsidR="00043E2D" w:rsidRPr="00043E2D">
        <w:rPr>
          <w:rFonts w:ascii="Times New Roman" w:hAnsi="Times New Roman"/>
        </w:rPr>
        <w:t>6</w:t>
      </w:r>
      <w:r w:rsidR="00043E2D">
        <w:rPr>
          <w:rFonts w:ascii="Times New Roman" w:hAnsi="Times New Roman"/>
        </w:rPr>
        <w:t xml:space="preserve"> r. </w:t>
      </w:r>
      <w:r w:rsidR="00043E2D" w:rsidRPr="00043E2D">
        <w:rPr>
          <w:rFonts w:ascii="Times New Roman" w:hAnsi="Times New Roman"/>
        </w:rPr>
        <w:t>Nr</w:t>
      </w:r>
      <w:r w:rsidR="00043E2D">
        <w:rPr>
          <w:rFonts w:ascii="Times New Roman" w:hAnsi="Times New Roman"/>
        </w:rPr>
        <w:t> </w:t>
      </w:r>
      <w:r w:rsidR="00825A01" w:rsidRPr="00043E2D">
        <w:rPr>
          <w:rFonts w:ascii="Times New Roman" w:hAnsi="Times New Roman"/>
        </w:rPr>
        <w:t>119, str. 1</w:t>
      </w:r>
      <w:r w:rsidR="00043E2D">
        <w:rPr>
          <w:rFonts w:ascii="Times New Roman" w:hAnsi="Times New Roman"/>
        </w:rPr>
        <w:t xml:space="preserve"> z </w:t>
      </w:r>
      <w:proofErr w:type="spellStart"/>
      <w:r w:rsidR="00043E2D">
        <w:rPr>
          <w:rFonts w:ascii="Times New Roman" w:hAnsi="Times New Roman"/>
        </w:rPr>
        <w:t>późn</w:t>
      </w:r>
      <w:proofErr w:type="spellEnd"/>
      <w:r w:rsidR="00043E2D">
        <w:rPr>
          <w:rFonts w:ascii="Times New Roman" w:hAnsi="Times New Roman"/>
        </w:rPr>
        <w:t>. zm.</w:t>
      </w:r>
      <w:r w:rsidR="00825A01" w:rsidRPr="00043E2D">
        <w:rPr>
          <w:rFonts w:ascii="Times New Roman" w:hAnsi="Times New Roman"/>
        </w:rPr>
        <w:t>) - dalej RODO</w:t>
      </w:r>
      <w:r w:rsidR="001D341E" w:rsidRPr="00043E2D">
        <w:rPr>
          <w:rFonts w:ascii="Times New Roman" w:hAnsi="Times New Roman"/>
        </w:rPr>
        <w:t xml:space="preserve"> lub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1D341E" w:rsidRPr="00043E2D">
        <w:rPr>
          <w:rFonts w:ascii="Times New Roman" w:hAnsi="Times New Roman"/>
        </w:rPr>
        <w:t>ramach realizacji przez te osoby prawa dostępu do danych osobowych)</w:t>
      </w:r>
      <w:r w:rsidR="001735A1" w:rsidRPr="00043E2D">
        <w:rPr>
          <w:rFonts w:ascii="Times New Roman" w:hAnsi="Times New Roman"/>
        </w:rPr>
        <w:t>.</w:t>
      </w:r>
    </w:p>
    <w:p w:rsidR="0067703C" w:rsidRPr="00043E2D" w:rsidRDefault="0067703C" w:rsidP="0067703C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Wyjątek dotyczący zgody</w:t>
      </w:r>
    </w:p>
    <w:p w:rsidR="00BE1361" w:rsidRPr="00043E2D" w:rsidRDefault="0067703C" w:rsidP="0067703C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Zgoda sygnalisty nie jest wymagana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sytuacji, gdy ujawnienie jest koniecznym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proporcjonalnym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obowiązkiem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wynikającym</w:t>
      </w:r>
      <w:r w:rsidR="003774E3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przepisów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prawa</w:t>
      </w:r>
      <w:r w:rsidR="003774E3">
        <w:rPr>
          <w:rFonts w:ascii="Times New Roman" w:hAnsi="Times New Roman"/>
        </w:rPr>
        <w:t xml:space="preserve">,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postępowaniami</w:t>
      </w:r>
      <w:r w:rsidR="003774E3">
        <w:rPr>
          <w:rFonts w:ascii="Times New Roman" w:hAnsi="Times New Roman"/>
        </w:rPr>
        <w:t xml:space="preserve"> </w:t>
      </w:r>
      <w:r w:rsidRPr="00043E2D">
        <w:rPr>
          <w:rFonts w:ascii="Times New Roman" w:hAnsi="Times New Roman"/>
        </w:rPr>
        <w:t>wyjaśniającymi prowadzonymi przez organy publiczne lub postępowaniami przygotowawczymi lub sądowymi prowadzonymi przez sądy,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 xml:space="preserve">celu zagwarantowania prawa do obrony przysługującego osobie, której dotyczy zgłoszenie. </w:t>
      </w:r>
    </w:p>
    <w:p w:rsidR="00312381" w:rsidRPr="00043E2D" w:rsidRDefault="0067703C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Przed takim ujawnieniem danych osobowych sygnalisty, właściwy organ publiczny lub właściwy sąd powiadamia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sygnalistę, przesyłając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postaci papierowej lub elektronicznej wyjaśnienie powodów ujawnienia jego danych osobowych, chyba że takie powiadomienie zagrozi postępowaniu wyjaśniającemu lub postępowaniu przygotowawczemu, lub sądowemu.</w:t>
      </w:r>
    </w:p>
    <w:p w:rsidR="00312381" w:rsidRPr="00043E2D" w:rsidRDefault="00620C20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Niezbędność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minimalizacja</w:t>
      </w:r>
    </w:p>
    <w:p w:rsidR="00620C20" w:rsidRPr="00043E2D" w:rsidRDefault="003774E3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EB5C07" w:rsidRPr="00043E2D">
        <w:rPr>
          <w:rFonts w:ascii="Times New Roman" w:hAnsi="Times New Roman"/>
        </w:rPr>
        <w:t>przetwarza dane osobowe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 xml:space="preserve">minimalnym zakresie, </w:t>
      </w:r>
      <w:r w:rsidR="00043E2D" w:rsidRPr="00043E2D">
        <w:rPr>
          <w:rFonts w:ascii="Times New Roman" w:hAnsi="Times New Roman"/>
        </w:rPr>
        <w:t>tj.</w:t>
      </w:r>
      <w:r w:rsidR="00043E2D">
        <w:rPr>
          <w:rFonts w:ascii="Times New Roman" w:hAnsi="Times New Roman"/>
        </w:rPr>
        <w:t> </w:t>
      </w:r>
      <w:r w:rsidR="00EB5C07" w:rsidRPr="00043E2D">
        <w:rPr>
          <w:rFonts w:ascii="Times New Roman" w:hAnsi="Times New Roman"/>
        </w:rPr>
        <w:t>niezbędnym do przyjęcia zgłoszenia lub podjęcia ewentualnego działania następczego.</w:t>
      </w:r>
    </w:p>
    <w:p w:rsidR="00620C20" w:rsidRPr="00043E2D" w:rsidRDefault="00EB5C07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i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usuwanie danych</w:t>
      </w:r>
    </w:p>
    <w:p w:rsidR="00773A27" w:rsidRPr="00043E2D" w:rsidRDefault="003774E3" w:rsidP="00EB5C07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 xml:space="preserve">Administrator </w:t>
      </w:r>
      <w:r>
        <w:rPr>
          <w:rFonts w:ascii="Times New Roman" w:hAnsi="Times New Roman"/>
        </w:rPr>
        <w:t>Danych Osobowych</w:t>
      </w:r>
      <w:r w:rsidRPr="00043E2D">
        <w:rPr>
          <w:rFonts w:ascii="Times New Roman" w:hAnsi="Times New Roman"/>
        </w:rPr>
        <w:t xml:space="preserve"> </w:t>
      </w:r>
      <w:r w:rsidR="00773A27" w:rsidRPr="00043E2D">
        <w:rPr>
          <w:rFonts w:ascii="Times New Roman" w:hAnsi="Times New Roman"/>
        </w:rPr>
        <w:t>przechowuje dane osobowe, które przetwarza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przyjęciem zgłoszenia lub podjęciem działań następczych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tym zgłoszeniem przez okres 3 lat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773A27" w:rsidRPr="00043E2D">
        <w:rPr>
          <w:rFonts w:ascii="Times New Roman" w:hAnsi="Times New Roman"/>
        </w:rPr>
        <w:t>którym przekazano zgłoszenie zewnętrzne do organu publicznego właściwego do podjęcia działań następczych lub zakończono działania następcze, lub po zakończeniu postępowań zainicjowanych tymi działaniami.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 xml:space="preserve">zgłoszeniem stanowią część akt postępowań przygotowawczych lub spraw sądowych lub </w:t>
      </w:r>
      <w:proofErr w:type="spellStart"/>
      <w:r w:rsidR="00D558DF" w:rsidRPr="00043E2D">
        <w:rPr>
          <w:rFonts w:ascii="Times New Roman" w:hAnsi="Times New Roman"/>
        </w:rPr>
        <w:t>sądowoadministracyjnych</w:t>
      </w:r>
      <w:proofErr w:type="spellEnd"/>
      <w:r w:rsidR="00D558DF" w:rsidRPr="00043E2D">
        <w:rPr>
          <w:rFonts w:ascii="Times New Roman" w:hAnsi="Times New Roman"/>
        </w:rPr>
        <w:t>.</w:t>
      </w:r>
    </w:p>
    <w:p w:rsidR="00EB5C07" w:rsidRDefault="00EB5C07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zbiera tylko dane niezbędne. Dane niemające znaczenia dla zgłoszenia</w:t>
      </w:r>
      <w:r w:rsidR="007B6084" w:rsidRPr="00043E2D">
        <w:rPr>
          <w:rFonts w:ascii="Times New Roman" w:hAnsi="Times New Roman"/>
        </w:rPr>
        <w:t xml:space="preserve">, </w:t>
      </w:r>
      <w:r w:rsidR="00284AD5" w:rsidRPr="00043E2D">
        <w:rPr>
          <w:rFonts w:ascii="Times New Roman" w:hAnsi="Times New Roman"/>
        </w:rPr>
        <w:t>nie są zbierane. Dane przypadkowo zebrane są niezwłocznie usuwane</w:t>
      </w:r>
      <w:r w:rsidR="001A74D1" w:rsidRPr="00043E2D">
        <w:rPr>
          <w:rFonts w:ascii="Times New Roman" w:hAnsi="Times New Roman"/>
        </w:rPr>
        <w:t>, nie później niż do upływu 14 dni od momentu ustalenia, że nie są niezbędne.</w:t>
      </w:r>
    </w:p>
    <w:p w:rsidR="0031598F" w:rsidRPr="00043E2D" w:rsidRDefault="0031598F" w:rsidP="00043E2D">
      <w:pPr>
        <w:spacing w:after="240"/>
        <w:ind w:left="360"/>
        <w:jc w:val="both"/>
        <w:rPr>
          <w:rFonts w:ascii="Times New Roman" w:hAnsi="Times New Roman"/>
        </w:rPr>
      </w:pPr>
    </w:p>
    <w:p w:rsidR="00EB5C07" w:rsidRPr="00043E2D" w:rsidRDefault="009D53F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lastRenderedPageBreak/>
        <w:t>Informowanie osób wskazanych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zgłoszeniu</w:t>
      </w:r>
    </w:p>
    <w:p w:rsidR="009D53F5" w:rsidRPr="00043E2D" w:rsidRDefault="009D53F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informuje osoby wskazane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zgłoszeniu</w:t>
      </w:r>
      <w:r w:rsidR="00612242" w:rsidRPr="00043E2D">
        <w:rPr>
          <w:rFonts w:ascii="Times New Roman" w:hAnsi="Times New Roman"/>
        </w:rPr>
        <w:t xml:space="preserve"> lub osoby, których dotyczy zgłoszenie</w:t>
      </w:r>
      <w:r w:rsidRPr="00043E2D">
        <w:rPr>
          <w:rFonts w:ascii="Times New Roman" w:hAnsi="Times New Roman"/>
        </w:rPr>
        <w:t>, na podstawie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art.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14 RODO,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zasadach przetwarzania ich danych osobowych,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źródle danych osobowych, chyba, że 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Pr="00043E2D">
        <w:rPr>
          <w:rFonts w:ascii="Times New Roman" w:hAnsi="Times New Roman"/>
        </w:rPr>
        <w:t>albo wyraził wyraźną zgodę na ujawnienie swojej tożsamości</w:t>
      </w:r>
      <w:r w:rsidR="003B3E55" w:rsidRPr="00043E2D">
        <w:rPr>
          <w:rFonts w:ascii="Times New Roman" w:hAnsi="Times New Roman"/>
        </w:rPr>
        <w:t>.</w:t>
      </w:r>
    </w:p>
    <w:p w:rsidR="009D53F5" w:rsidRPr="00043E2D" w:rsidRDefault="00F12BE9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Ograniczenie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realizacji prawa dostępu do danych osobowych</w:t>
      </w:r>
    </w:p>
    <w:p w:rsidR="00F12BE9" w:rsidRPr="00043E2D" w:rsidRDefault="00F12BE9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realizuje prawo dostępu</w:t>
      </w:r>
      <w:r w:rsidR="00612242" w:rsidRPr="00043E2D">
        <w:rPr>
          <w:rFonts w:ascii="Times New Roman" w:hAnsi="Times New Roman"/>
        </w:rPr>
        <w:t xml:space="preserve"> do danych osobowych</w:t>
      </w:r>
      <w:r w:rsidRPr="00043E2D">
        <w:rPr>
          <w:rFonts w:ascii="Times New Roman" w:hAnsi="Times New Roman"/>
        </w:rPr>
        <w:t xml:space="preserve"> osób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612242" w:rsidRPr="00043E2D">
        <w:rPr>
          <w:rFonts w:ascii="Times New Roman" w:hAnsi="Times New Roman"/>
        </w:rPr>
        <w:t>zgłoszeniu lub osób, których dotyczy zgłoszenie,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wyłączeniem informacji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o</w:t>
      </w:r>
      <w:r w:rsidR="00043E2D">
        <w:rPr>
          <w:rFonts w:ascii="Times New Roman" w:hAnsi="Times New Roman"/>
        </w:rPr>
        <w:t> </w:t>
      </w:r>
      <w:r w:rsidR="003B3E55" w:rsidRPr="00043E2D">
        <w:rPr>
          <w:rFonts w:ascii="Times New Roman" w:hAnsi="Times New Roman"/>
        </w:rPr>
        <w:t>źródle danych osobowych, chyba, że e sygnalista nie spełnia warunków wskazanych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art. </w:t>
      </w:r>
      <w:r w:rsidR="003B3E55" w:rsidRPr="00043E2D">
        <w:rPr>
          <w:rFonts w:ascii="Times New Roman" w:hAnsi="Times New Roman"/>
        </w:rPr>
        <w:t xml:space="preserve">6 </w:t>
      </w:r>
      <w:r w:rsidR="00BE1361" w:rsidRPr="00043E2D">
        <w:rPr>
          <w:rFonts w:ascii="Times New Roman" w:hAnsi="Times New Roman"/>
        </w:rPr>
        <w:t xml:space="preserve">ustawy </w:t>
      </w:r>
      <w:r w:rsidR="003B3E55" w:rsidRPr="00043E2D">
        <w:rPr>
          <w:rFonts w:ascii="Times New Roman" w:hAnsi="Times New Roman"/>
        </w:rPr>
        <w:t>albo wyraził wyraźną zgodę na ujawnienie swojej tożsamości.</w:t>
      </w:r>
    </w:p>
    <w:p w:rsidR="00F12BE9" w:rsidRPr="00043E2D" w:rsidRDefault="00470095" w:rsidP="0031238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b/>
          <w:bCs/>
        </w:rPr>
      </w:pPr>
      <w:r w:rsidRPr="00043E2D">
        <w:rPr>
          <w:rFonts w:ascii="Times New Roman" w:hAnsi="Times New Roman"/>
          <w:b/>
          <w:bCs/>
        </w:rPr>
        <w:t>Przechowywanie danych osobowych</w:t>
      </w:r>
      <w:r w:rsidR="00043E2D">
        <w:rPr>
          <w:rFonts w:ascii="Times New Roman" w:hAnsi="Times New Roman"/>
          <w:b/>
          <w:bCs/>
        </w:rPr>
        <w:t xml:space="preserve"> </w:t>
      </w:r>
      <w:r w:rsidR="00043E2D" w:rsidRPr="00043E2D">
        <w:rPr>
          <w:rFonts w:ascii="Times New Roman" w:hAnsi="Times New Roman"/>
          <w:b/>
          <w:bCs/>
        </w:rPr>
        <w:t>w</w:t>
      </w:r>
      <w:r w:rsidR="00043E2D">
        <w:rPr>
          <w:rFonts w:ascii="Times New Roman" w:hAnsi="Times New Roman"/>
          <w:b/>
          <w:bCs/>
        </w:rPr>
        <w:t> </w:t>
      </w:r>
      <w:r w:rsidRPr="00043E2D">
        <w:rPr>
          <w:rFonts w:ascii="Times New Roman" w:hAnsi="Times New Roman"/>
          <w:b/>
          <w:bCs/>
        </w:rPr>
        <w:t>zakresie zgłoszeń zewnętrznych</w:t>
      </w:r>
    </w:p>
    <w:p w:rsidR="00470095" w:rsidRPr="00043E2D" w:rsidRDefault="00470095" w:rsidP="00043E2D">
      <w:pPr>
        <w:spacing w:after="240"/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Dane osobowe przetwarzane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związku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przyjęciem zgłoszenia zewnętrznego oraz dokumenty związane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tym zgłoszeniem są przechowywane przez Rzecznika Praw Obywatelskich przez okres 12 miesięcy po zakończeniu roku kalendarzowego,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Pr="00043E2D">
        <w:rPr>
          <w:rFonts w:ascii="Times New Roman" w:hAnsi="Times New Roman"/>
        </w:rPr>
        <w:t>którym przekazano zgłoszenie zewnętrzne do organu publicznego właściwego do podjęcia działań następczych</w:t>
      </w:r>
      <w:r w:rsidR="00773A27" w:rsidRPr="00043E2D">
        <w:rPr>
          <w:rFonts w:ascii="Times New Roman" w:hAnsi="Times New Roman"/>
        </w:rPr>
        <w:t>. Po tym czasie dane osobowe są usuwane</w:t>
      </w:r>
      <w:r w:rsidR="00D558DF" w:rsidRPr="00043E2D">
        <w:rPr>
          <w:rFonts w:ascii="Times New Roman" w:hAnsi="Times New Roman"/>
        </w:rPr>
        <w:t>, chyba że dokumenty związane</w:t>
      </w:r>
      <w:r w:rsidR="00043E2D" w:rsidRPr="00043E2D">
        <w:rPr>
          <w:rFonts w:ascii="Times New Roman" w:hAnsi="Times New Roman"/>
        </w:rPr>
        <w:t xml:space="preserve"> ze</w:t>
      </w:r>
      <w:r w:rsidR="00043E2D">
        <w:rPr>
          <w:rFonts w:ascii="Times New Roman" w:hAnsi="Times New Roman"/>
        </w:rPr>
        <w:t> </w:t>
      </w:r>
      <w:r w:rsidR="00D558DF" w:rsidRPr="00043E2D">
        <w:rPr>
          <w:rFonts w:ascii="Times New Roman" w:hAnsi="Times New Roman"/>
        </w:rPr>
        <w:t xml:space="preserve">zgłoszeniem stanowią część akt postępowań przygotowawczych lub spraw sądowych lub </w:t>
      </w:r>
      <w:proofErr w:type="spellStart"/>
      <w:r w:rsidR="00D558DF" w:rsidRPr="00043E2D">
        <w:rPr>
          <w:rFonts w:ascii="Times New Roman" w:hAnsi="Times New Roman"/>
        </w:rPr>
        <w:t>sądowoadministracyjnych</w:t>
      </w:r>
      <w:proofErr w:type="spellEnd"/>
      <w:r w:rsidR="00D558DF" w:rsidRPr="00043E2D">
        <w:rPr>
          <w:rFonts w:ascii="Times New Roman" w:hAnsi="Times New Roman"/>
        </w:rPr>
        <w:t>.</w:t>
      </w:r>
    </w:p>
    <w:p w:rsidR="00257194" w:rsidRPr="00043E2D" w:rsidRDefault="00257194" w:rsidP="00257194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Zasady ochrony danych osobowych</w:t>
      </w:r>
    </w:p>
    <w:p w:rsidR="00F279F4" w:rsidRPr="00043E2D" w:rsidRDefault="002E4EB0" w:rsidP="00F279F4">
      <w:pPr>
        <w:ind w:left="36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Administrator zapewnia, że dane osobowe będą:</w:t>
      </w:r>
    </w:p>
    <w:p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2E4EB0" w:rsidRPr="00043E2D">
        <w:rPr>
          <w:rFonts w:ascii="Times New Roman" w:hAnsi="Times New Roman"/>
        </w:rPr>
        <w:t>rzetwarzane zgodnie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rzetelnie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przejrzyście (zasada zgodności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prawem, rzetelności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przejrzystości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2E4EB0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a) RODO,</w:t>
      </w:r>
    </w:p>
    <w:p w:rsidR="002E4EB0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z</w:t>
      </w:r>
      <w:r w:rsidR="002E4EB0" w:rsidRPr="00043E2D">
        <w:rPr>
          <w:rFonts w:ascii="Times New Roman" w:hAnsi="Times New Roman"/>
        </w:rPr>
        <w:t>bierane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konkretnych, wyraźnych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2E4EB0" w:rsidRPr="00043E2D">
        <w:rPr>
          <w:rFonts w:ascii="Times New Roman" w:hAnsi="Times New Roman"/>
        </w:rPr>
        <w:t>prawnie uzasadnionych celach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nieprzetwarzane dalej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sposób niezgodny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tymi celami (zasada ograniczenia celu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b) RODO),</w:t>
      </w:r>
    </w:p>
    <w:p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a</w:t>
      </w:r>
      <w:r w:rsidR="00950313" w:rsidRPr="00043E2D">
        <w:rPr>
          <w:rFonts w:ascii="Times New Roman" w:hAnsi="Times New Roman"/>
        </w:rPr>
        <w:t>dekwatne, stosowne, ograniczone do tego co niezbędne (zasada minimalizacji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c) RODO),</w:t>
      </w:r>
    </w:p>
    <w:p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rawidłowe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razie potrzeby uaktualniane (zasada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50313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50313" w:rsidRPr="00043E2D">
        <w:rPr>
          <w:rFonts w:ascii="Times New Roman" w:hAnsi="Times New Roman"/>
        </w:rPr>
        <w:t>d) RODO),</w:t>
      </w:r>
    </w:p>
    <w:p w:rsidR="00950313" w:rsidRPr="00043E2D" w:rsidRDefault="001B6931" w:rsidP="002E4EB0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50313" w:rsidRPr="00043E2D">
        <w:rPr>
          <w:rFonts w:ascii="Times New Roman" w:hAnsi="Times New Roman"/>
        </w:rPr>
        <w:t>rzechowywane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formie umożliwiającej identyfikację osoby, której dane dotyczą, przez okres nie dłuższy niż niezbędny do celów przetwarzania (</w:t>
      </w:r>
      <w:r w:rsidR="00FE2C45" w:rsidRPr="00043E2D">
        <w:rPr>
          <w:rFonts w:ascii="Times New Roman" w:hAnsi="Times New Roman"/>
        </w:rPr>
        <w:t>zasada prawidłowości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947899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e) RODO),</w:t>
      </w:r>
    </w:p>
    <w:p w:rsidR="003D25FE" w:rsidRPr="003D25FE" w:rsidRDefault="001B6931" w:rsidP="003D25FE">
      <w:pPr>
        <w:pStyle w:val="Akapitzlist"/>
        <w:numPr>
          <w:ilvl w:val="0"/>
          <w:numId w:val="11"/>
        </w:numPr>
        <w:spacing w:after="240"/>
        <w:ind w:left="714" w:hanging="357"/>
        <w:contextualSpacing w:val="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</w:rPr>
        <w:t>p</w:t>
      </w:r>
      <w:r w:rsidR="00947899" w:rsidRPr="00043E2D">
        <w:rPr>
          <w:rFonts w:ascii="Times New Roman" w:hAnsi="Times New Roman"/>
        </w:rPr>
        <w:t>rzetwarzane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w</w:t>
      </w:r>
      <w:r w:rsidR="00043E2D">
        <w:rPr>
          <w:rFonts w:ascii="Times New Roman" w:hAnsi="Times New Roman"/>
        </w:rPr>
        <w:t> </w:t>
      </w:r>
      <w:r w:rsidR="00947899" w:rsidRPr="00043E2D">
        <w:rPr>
          <w:rFonts w:ascii="Times New Roman" w:hAnsi="Times New Roman"/>
        </w:rPr>
        <w:t>sposób zapewniający odpowiednie be</w:t>
      </w:r>
      <w:r w:rsidR="00FE2C45" w:rsidRPr="00043E2D">
        <w:rPr>
          <w:rFonts w:ascii="Times New Roman" w:hAnsi="Times New Roman"/>
        </w:rPr>
        <w:t>z</w:t>
      </w:r>
      <w:r w:rsidR="00947899" w:rsidRPr="00043E2D">
        <w:rPr>
          <w:rFonts w:ascii="Times New Roman" w:hAnsi="Times New Roman"/>
        </w:rPr>
        <w:t>pieczeńst</w:t>
      </w:r>
      <w:r w:rsidR="00FE2C45" w:rsidRPr="00043E2D">
        <w:rPr>
          <w:rFonts w:ascii="Times New Roman" w:hAnsi="Times New Roman"/>
        </w:rPr>
        <w:t>wo danych osobowych (zasada integralności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i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poufności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z</w:t>
      </w:r>
      <w:r w:rsidR="00043E2D">
        <w:rPr>
          <w:rFonts w:ascii="Times New Roman" w:hAnsi="Times New Roman"/>
        </w:rPr>
        <w:t> art. </w:t>
      </w:r>
      <w:r w:rsidR="00FE2C45" w:rsidRPr="00043E2D">
        <w:rPr>
          <w:rFonts w:ascii="Times New Roman" w:hAnsi="Times New Roman"/>
        </w:rPr>
        <w:t>5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ust.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1</w:t>
      </w:r>
      <w:r w:rsidR="00043E2D">
        <w:rPr>
          <w:rFonts w:ascii="Times New Roman" w:hAnsi="Times New Roman"/>
        </w:rPr>
        <w:t xml:space="preserve"> </w:t>
      </w:r>
      <w:r w:rsidR="00043E2D" w:rsidRPr="00043E2D">
        <w:rPr>
          <w:rFonts w:ascii="Times New Roman" w:hAnsi="Times New Roman"/>
        </w:rPr>
        <w:t>lit.</w:t>
      </w:r>
      <w:r w:rsidR="00043E2D">
        <w:rPr>
          <w:rFonts w:ascii="Times New Roman" w:hAnsi="Times New Roman"/>
        </w:rPr>
        <w:t> </w:t>
      </w:r>
      <w:r w:rsidR="00FE2C45" w:rsidRPr="00043E2D">
        <w:rPr>
          <w:rFonts w:ascii="Times New Roman" w:hAnsi="Times New Roman"/>
        </w:rPr>
        <w:t>f) RODO).</w:t>
      </w:r>
    </w:p>
    <w:p w:rsidR="008F46CB" w:rsidRPr="003D25FE" w:rsidRDefault="008F46CB" w:rsidP="00043E2D">
      <w:pPr>
        <w:pStyle w:val="Akapitzlist"/>
        <w:numPr>
          <w:ilvl w:val="0"/>
          <w:numId w:val="10"/>
        </w:numPr>
        <w:spacing w:before="240"/>
        <w:jc w:val="both"/>
        <w:rPr>
          <w:rFonts w:ascii="Times New Roman" w:hAnsi="Times New Roman"/>
        </w:rPr>
      </w:pPr>
      <w:r w:rsidRPr="00043E2D">
        <w:rPr>
          <w:rFonts w:ascii="Times New Roman" w:hAnsi="Times New Roman"/>
          <w:b/>
          <w:bCs/>
        </w:rPr>
        <w:t>Realizacja obowiązku informacyjnego wobec sygnalisty</w:t>
      </w:r>
      <w:r w:rsidR="003D25FE">
        <w:rPr>
          <w:rFonts w:ascii="Times New Roman" w:hAnsi="Times New Roman"/>
          <w:b/>
          <w:bCs/>
        </w:rPr>
        <w:t>:</w:t>
      </w:r>
    </w:p>
    <w:p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:rsidR="003D25FE" w:rsidRDefault="003D25FE" w:rsidP="003D25FE">
      <w:pPr>
        <w:spacing w:before="240"/>
        <w:jc w:val="both"/>
        <w:rPr>
          <w:rFonts w:ascii="Times New Roman" w:hAnsi="Times New Roman"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:rsidR="0031598F" w:rsidRDefault="0031598F" w:rsidP="0031598F">
      <w:pPr>
        <w:spacing w:line="259" w:lineRule="auto"/>
        <w:rPr>
          <w:rFonts w:ascii="Times New Roman" w:hAnsi="Times New Roman"/>
          <w:b/>
          <w:bCs/>
        </w:rPr>
      </w:pPr>
    </w:p>
    <w:p w:rsidR="0031598F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lastRenderedPageBreak/>
        <w:t xml:space="preserve">KLAUZULA INFORMACYJNA O </w:t>
      </w:r>
      <w:r>
        <w:rPr>
          <w:rFonts w:ascii="Times New Roman" w:hAnsi="Times New Roman"/>
          <w:b/>
          <w:bCs/>
          <w:kern w:val="2"/>
        </w:rPr>
        <w:t xml:space="preserve">ZASADACH </w:t>
      </w:r>
      <w:r w:rsidRPr="003D25FE">
        <w:rPr>
          <w:rFonts w:ascii="Times New Roman" w:hAnsi="Times New Roman"/>
          <w:b/>
          <w:bCs/>
          <w:kern w:val="2"/>
        </w:rPr>
        <w:t>PRZETWARZANI</w:t>
      </w:r>
      <w:r>
        <w:rPr>
          <w:rFonts w:ascii="Times New Roman" w:hAnsi="Times New Roman"/>
          <w:b/>
          <w:bCs/>
          <w:kern w:val="2"/>
        </w:rPr>
        <w:t>A</w:t>
      </w:r>
      <w:r w:rsidRPr="003D25FE">
        <w:rPr>
          <w:rFonts w:ascii="Times New Roman" w:hAnsi="Times New Roman"/>
          <w:b/>
          <w:bCs/>
          <w:kern w:val="2"/>
        </w:rPr>
        <w:t xml:space="preserve"> DANYCH OSOBOWYCH</w:t>
      </w:r>
      <w:bookmarkStart w:id="0" w:name="_Hlk136001672"/>
      <w:r>
        <w:rPr>
          <w:rFonts w:ascii="Times New Roman" w:hAnsi="Times New Roman"/>
          <w:b/>
          <w:bCs/>
          <w:kern w:val="2"/>
        </w:rPr>
        <w:t xml:space="preserve"> SYGNALISTY</w:t>
      </w:r>
    </w:p>
    <w:p w:rsidR="003D25FE" w:rsidRPr="003D25FE" w:rsidRDefault="003D25FE" w:rsidP="0031598F">
      <w:pPr>
        <w:spacing w:line="259" w:lineRule="auto"/>
        <w:jc w:val="center"/>
        <w:rPr>
          <w:rFonts w:ascii="Times New Roman" w:hAnsi="Times New Roman"/>
          <w:b/>
          <w:bCs/>
          <w:kern w:val="2"/>
        </w:rPr>
      </w:pPr>
      <w:r w:rsidRPr="003D25FE">
        <w:rPr>
          <w:rFonts w:ascii="Times New Roman" w:hAnsi="Times New Roman"/>
          <w:b/>
          <w:bCs/>
          <w:kern w:val="2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Administrator Danych Osobowych i kontakt:</w:t>
            </w:r>
          </w:p>
        </w:tc>
      </w:tr>
      <w:tr w:rsidR="003D25FE" w:rsidRPr="003D25FE" w:rsidTr="00D170FD">
        <w:tc>
          <w:tcPr>
            <w:tcW w:w="9062" w:type="dxa"/>
          </w:tcPr>
          <w:p w:rsidR="009A1FC5" w:rsidRDefault="009A1FC5" w:rsidP="009A1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Komendant Powiatowy Państwowej Straży Pożarnej w Złotoryi,  </w:t>
            </w:r>
          </w:p>
          <w:p w:rsidR="003D25FE" w:rsidRPr="003D25FE" w:rsidRDefault="009A1FC5" w:rsidP="009A1FC5">
            <w:pPr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ul. Legnicka 49, 59-500 Złotoryja, e-mail: </w:t>
            </w:r>
            <w:r w:rsidR="002710EF">
              <w:rPr>
                <w:rStyle w:val="Hipercze"/>
                <w:rFonts w:ascii="Times New Roman" w:eastAsiaTheme="majorEastAsia" w:hAnsi="Times New Roman"/>
              </w:rPr>
              <w:t>kpzlotoryja@kwpsp.wroc.pl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Dane kontaktowe Inspektora Ochrony Danych: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Pr="003D25FE" w:rsidRDefault="003D25FE" w:rsidP="00011597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3D25FE">
                <w:rPr>
                  <w:rFonts w:ascii="Times New Roman" w:hAnsi="Times New Roman"/>
                  <w:color w:val="0563C1" w:themeColor="hyperlink"/>
                  <w:u w:val="single"/>
                </w:rPr>
                <w:t>iod@kwpsp.wroc.pl</w:t>
              </w:r>
            </w:hyperlink>
            <w:r w:rsidRPr="003D25FE">
              <w:rPr>
                <w:rFonts w:ascii="Times New Roman" w:hAnsi="Times New Roman"/>
                <w:sz w:val="22"/>
                <w:szCs w:val="22"/>
              </w:rPr>
              <w:t>. lub listownie na adres: Komenda Wojew</w:t>
            </w:r>
            <w:r w:rsidRPr="003D25FE">
              <w:rPr>
                <w:rFonts w:ascii="Times New Roman" w:hAnsi="Times New Roman"/>
              </w:rPr>
              <w:t>ódzka PSP we Wrocławiu, ul. Borowska 138, 50-552 Wrocław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Cele i podstawy prawne przetwarzania danych osobowych: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Pr="00665E0E" w:rsidRDefault="003D25FE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717C32">
              <w:rPr>
                <w:rFonts w:ascii="Times New Roman" w:hAnsi="Times New Roman"/>
                <w:kern w:val="2"/>
              </w:rPr>
              <w:t xml:space="preserve">Pani/Pana dane osobowe będą przetwarzane </w:t>
            </w:r>
            <w:r w:rsidRPr="00717C32">
              <w:rPr>
                <w:rFonts w:ascii="Times New Roman" w:hAnsi="Times New Roman"/>
                <w:b/>
                <w:bCs/>
                <w:kern w:val="2"/>
              </w:rPr>
              <w:t xml:space="preserve">w </w:t>
            </w:r>
            <w:r w:rsidR="00717C32" w:rsidRPr="00717C32">
              <w:rPr>
                <w:rFonts w:ascii="Times New Roman" w:hAnsi="Times New Roman"/>
                <w:b/>
                <w:bCs/>
                <w:kern w:val="2"/>
              </w:rPr>
              <w:t>celu realizacji zadań związanych z obsługą zgłoszeń wewnętrznych</w:t>
            </w:r>
            <w:r w:rsidR="00113BFE">
              <w:rPr>
                <w:rFonts w:ascii="Times New Roman" w:hAnsi="Times New Roman"/>
                <w:b/>
                <w:bCs/>
                <w:kern w:val="2"/>
              </w:rPr>
              <w:t>, w tym prowadzenie rejestru zgłoszeń,</w:t>
            </w:r>
            <w:r w:rsidR="00717C32" w:rsidRPr="00717C32">
              <w:rPr>
                <w:rFonts w:ascii="Times New Roman" w:hAnsi="Times New Roman"/>
                <w:kern w:val="2"/>
              </w:rPr>
              <w:t xml:space="preserve"> zgodnie z 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przepisami ustawy </w:t>
            </w:r>
            <w:r w:rsidR="00717C32" w:rsidRPr="00665E0E">
              <w:rPr>
                <w:rFonts w:ascii="Times New Roman" w:hAnsi="Times New Roman"/>
              </w:rPr>
              <w:t xml:space="preserve">z dnia </w:t>
            </w:r>
            <w:r w:rsidR="00717C32" w:rsidRPr="00665E0E">
              <w:rPr>
                <w:rFonts w:ascii="Times New Roman" w:hAnsi="Times New Roman"/>
                <w:color w:val="000000"/>
                <w:lang w:eastAsia="pl-PL"/>
              </w:rPr>
              <w:t xml:space="preserve">14 czerwca 2024 r. o ochronie sygnalistów, </w:t>
            </w:r>
            <w:r w:rsidRPr="00665E0E">
              <w:rPr>
                <w:rFonts w:ascii="Times New Roman" w:hAnsi="Times New Roman"/>
                <w:kern w:val="2"/>
              </w:rPr>
              <w:t>w myśl art. 6 ust 1 lit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. </w:t>
            </w:r>
            <w:r w:rsidRPr="00665E0E">
              <w:rPr>
                <w:rFonts w:ascii="Times New Roman" w:hAnsi="Times New Roman"/>
                <w:kern w:val="2"/>
              </w:rPr>
              <w:t>c</w:t>
            </w:r>
            <w:r w:rsidR="00717C32" w:rsidRPr="00665E0E">
              <w:rPr>
                <w:rFonts w:ascii="Times New Roman" w:hAnsi="Times New Roman"/>
                <w:kern w:val="2"/>
              </w:rPr>
              <w:t xml:space="preserve"> </w:t>
            </w:r>
            <w:r w:rsidRPr="00665E0E">
              <w:rPr>
                <w:rFonts w:ascii="Times New Roman" w:hAnsi="Times New Roman"/>
                <w:kern w:val="2"/>
              </w:rPr>
              <w:t>oraz art. 9 ust. 2 lit. g RODO.</w:t>
            </w:r>
          </w:p>
          <w:p w:rsidR="003D25FE" w:rsidRPr="003D25FE" w:rsidRDefault="00717C32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6A065F">
              <w:rPr>
                <w:rFonts w:ascii="Times New Roman" w:hAnsi="Times New Roman"/>
                <w:i/>
                <w:iCs/>
              </w:rPr>
              <w:t xml:space="preserve">/Przetwarzanie danych w zakresie danych nadmiarowych (tj. danych niebędących niezbędnymi danymi do rozpatrzenia </w:t>
            </w:r>
            <w:r>
              <w:rPr>
                <w:rFonts w:ascii="Times New Roman" w:hAnsi="Times New Roman"/>
                <w:i/>
                <w:iCs/>
              </w:rPr>
              <w:t>zgłoszenia</w:t>
            </w:r>
            <w:r w:rsidRPr="006A065F">
              <w:rPr>
                <w:rFonts w:ascii="Times New Roman" w:hAnsi="Times New Roman"/>
                <w:i/>
                <w:iCs/>
              </w:rPr>
              <w:t>), ale wskazanych z własnej inicjatywy</w:t>
            </w:r>
            <w:r>
              <w:rPr>
                <w:rFonts w:ascii="Times New Roman" w:hAnsi="Times New Roman"/>
                <w:i/>
                <w:iCs/>
              </w:rPr>
              <w:t>:</w:t>
            </w:r>
            <w:r w:rsidRPr="006A065F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Obowiązek podania danych osobowych:</w:t>
            </w:r>
          </w:p>
        </w:tc>
      </w:tr>
      <w:tr w:rsidR="003D25FE" w:rsidRPr="003D25FE" w:rsidTr="00717C32">
        <w:trPr>
          <w:trHeight w:val="432"/>
        </w:trPr>
        <w:tc>
          <w:tcPr>
            <w:tcW w:w="9062" w:type="dxa"/>
          </w:tcPr>
          <w:p w:rsidR="003D25FE" w:rsidRPr="003D25FE" w:rsidRDefault="003D25FE" w:rsidP="003D25FE">
            <w:pPr>
              <w:ind w:left="22"/>
              <w:jc w:val="both"/>
              <w:rPr>
                <w:rFonts w:ascii="Times New Roman" w:hAnsi="Times New Roman"/>
              </w:rPr>
            </w:pPr>
            <w:r w:rsidRPr="003D25FE">
              <w:rPr>
                <w:rFonts w:ascii="Times New Roman" w:hAnsi="Times New Roman"/>
              </w:rPr>
              <w:t>Podanie danych jest dobrowolne</w:t>
            </w:r>
            <w:r w:rsidR="00717C32">
              <w:rPr>
                <w:rFonts w:ascii="Times New Roman" w:hAnsi="Times New Roman"/>
              </w:rPr>
              <w:t>.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Odbiorcy danych osobowych: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Pr="003D25FE" w:rsidRDefault="00B669CF" w:rsidP="003D25FE">
            <w:pPr>
              <w:jc w:val="both"/>
              <w:rPr>
                <w:rFonts w:ascii="Times New Roman" w:hAnsi="Times New Roman"/>
                <w:kern w:val="2"/>
              </w:rPr>
            </w:pPr>
            <w:r w:rsidRPr="00B669CF">
              <w:rPr>
                <w:rFonts w:ascii="Times New Roman" w:hAnsi="Times New Roman"/>
                <w:kern w:val="2"/>
              </w:rPr>
              <w:t>Administrator zapewnia poufność Pani/a danych, w związku z otrzymanym zgłoszeniem. 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IT.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Prawa związane z przetwarzaniem danych osobowych: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Default="003D25FE" w:rsidP="002710EF">
            <w:pPr>
              <w:ind w:left="22"/>
              <w:jc w:val="both"/>
              <w:rPr>
                <w:rFonts w:ascii="Times New Roman" w:hAnsi="Times New Roman"/>
                <w:i/>
                <w:iCs/>
              </w:rPr>
            </w:pPr>
            <w:r w:rsidRPr="003D25FE">
              <w:rPr>
                <w:rFonts w:ascii="Times New Roman" w:hAnsi="Times New Roman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</w:t>
            </w:r>
            <w:r w:rsidR="002710EF">
              <w:rPr>
                <w:rFonts w:ascii="Times New Roman" w:hAnsi="Times New Roman"/>
              </w:rPr>
              <w:t xml:space="preserve">ganu nadzorczego - Prezesa UODO. </w:t>
            </w:r>
            <w:r w:rsidRPr="003D25FE">
              <w:rPr>
                <w:rFonts w:ascii="Times New Roman" w:hAnsi="Times New Roman"/>
              </w:rPr>
              <w:t xml:space="preserve">Wymienione prawa mogą być ograniczone, kiedy Administrator jest zobowiązany prawnie do przetwarzania danych w celu realizacji obowiązku ustawowego lub występują inne nadrzędne prawne podstawy przetwarzania. </w:t>
            </w:r>
            <w:r w:rsidR="002710EF">
              <w:rPr>
                <w:rFonts w:ascii="Times New Roman" w:hAnsi="Times New Roman"/>
              </w:rPr>
              <w:br/>
            </w:r>
            <w:r w:rsidRPr="003D25FE">
              <w:rPr>
                <w:rFonts w:ascii="Times New Roman" w:hAnsi="Times New Roman"/>
                <w:i/>
                <w:iCs/>
              </w:rPr>
              <w:t>W przypadku danych przetwarzanych na podstawie art. 6 ust. 1 lit. a i/lub art. 9 ust. 2 lit. a RODO mogą Państwo</w:t>
            </w:r>
            <w:r w:rsidR="002710EF">
              <w:rPr>
                <w:rFonts w:ascii="Times New Roman" w:hAnsi="Times New Roman"/>
                <w:i/>
                <w:iCs/>
              </w:rPr>
              <w:t xml:space="preserve"> </w:t>
            </w:r>
            <w:r w:rsidRPr="003D25FE">
              <w:rPr>
                <w:rFonts w:ascii="Times New Roman" w:hAnsi="Times New Roman"/>
                <w:i/>
                <w:iCs/>
              </w:rPr>
              <w:t>w każdej chwili wycofać zgodę. Wycofanie zgody na przetwarzanie danych nie wpływa na zgodność z przepisami przetwarzania realizowanego przed wycofaniem zgody.</w:t>
            </w:r>
          </w:p>
          <w:p w:rsidR="002710EF" w:rsidRDefault="002710EF" w:rsidP="002710EF">
            <w:pPr>
              <w:ind w:left="22"/>
              <w:jc w:val="both"/>
              <w:rPr>
                <w:rFonts w:ascii="Times New Roman" w:hAnsi="Times New Roman"/>
                <w:i/>
                <w:iCs/>
              </w:rPr>
            </w:pPr>
          </w:p>
          <w:p w:rsidR="002710EF" w:rsidRPr="003D25FE" w:rsidRDefault="002710EF" w:rsidP="002710EF">
            <w:pPr>
              <w:ind w:left="22"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 w:bidi="hi-IN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lastRenderedPageBreak/>
              <w:t>Prawo do sprzeciwu: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Pr="003D25FE" w:rsidRDefault="003D25FE" w:rsidP="003D25FE">
            <w:pPr>
              <w:jc w:val="both"/>
              <w:rPr>
                <w:rFonts w:ascii="Times New Roman" w:hAnsi="Times New Roman"/>
                <w:b/>
                <w:bCs/>
                <w:kern w:val="2"/>
              </w:rPr>
            </w:pPr>
            <w:r w:rsidRPr="003D25FE">
              <w:rPr>
                <w:rFonts w:ascii="Times New Roman" w:hAnsi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</w:p>
        </w:tc>
      </w:tr>
      <w:tr w:rsidR="003D25FE" w:rsidRPr="003D25FE" w:rsidTr="00D170FD">
        <w:tc>
          <w:tcPr>
            <w:tcW w:w="9062" w:type="dxa"/>
            <w:shd w:val="clear" w:color="auto" w:fill="D9D9D9" w:themeFill="background1" w:themeFillShade="D9"/>
          </w:tcPr>
          <w:p w:rsidR="003D25FE" w:rsidRPr="003D25FE" w:rsidRDefault="003D25FE" w:rsidP="003D25FE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Cs w:val="20"/>
                <w:lang w:eastAsia="pl-PL"/>
              </w:rPr>
            </w:pPr>
            <w:r w:rsidRPr="003D25FE">
              <w:rPr>
                <w:rFonts w:ascii="Times New Roman" w:hAnsi="Times New Roman"/>
                <w:b/>
                <w:bCs/>
                <w:szCs w:val="20"/>
                <w:lang w:eastAsia="pl-PL"/>
              </w:rPr>
              <w:t>Okres przechowywania danych osobowych:</w:t>
            </w:r>
          </w:p>
        </w:tc>
      </w:tr>
      <w:tr w:rsidR="003D25FE" w:rsidRPr="003D25FE" w:rsidTr="00D170FD">
        <w:tc>
          <w:tcPr>
            <w:tcW w:w="9062" w:type="dxa"/>
          </w:tcPr>
          <w:p w:rsidR="003D25FE" w:rsidRPr="0031598F" w:rsidRDefault="0031598F" w:rsidP="0031598F">
            <w:pPr>
              <w:jc w:val="both"/>
              <w:rPr>
                <w:rFonts w:ascii="Times New Roman" w:hAnsi="Times New Roman"/>
                <w:color w:val="000000"/>
              </w:rPr>
            </w:pPr>
            <w:r w:rsidRPr="0031598F">
              <w:rPr>
                <w:rFonts w:ascii="Times New Roman" w:hAnsi="Times New Roman"/>
                <w:color w:val="000000"/>
              </w:rPr>
      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8F46CB" w:rsidRPr="0031598F" w:rsidRDefault="003D25FE" w:rsidP="0031598F">
      <w:pPr>
        <w:spacing w:after="160" w:line="259" w:lineRule="auto"/>
        <w:jc w:val="both"/>
        <w:rPr>
          <w:rFonts w:ascii="Times New Roman" w:hAnsi="Times New Roman"/>
          <w:i/>
          <w:iCs/>
          <w:kern w:val="2"/>
          <w:sz w:val="20"/>
          <w:szCs w:val="20"/>
        </w:rPr>
      </w:pP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t xml:space="preserve">*RODO - rozporządzenie Parlamentu Europejskiego i Rady (UE) 2016/679 z 27 kwietnia 2016 r. </w:t>
      </w:r>
      <w:r w:rsidRPr="003D25FE">
        <w:rPr>
          <w:rFonts w:ascii="Times New Roman" w:hAnsi="Times New Roman"/>
          <w:i/>
          <w:iCs/>
          <w:kern w:val="2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  <w:r w:rsidR="0031598F">
        <w:rPr>
          <w:rFonts w:ascii="Times New Roman" w:hAnsi="Times New Roman"/>
          <w:i/>
          <w:iCs/>
          <w:kern w:val="2"/>
          <w:sz w:val="20"/>
          <w:szCs w:val="20"/>
        </w:rPr>
        <w:t>.</w:t>
      </w:r>
    </w:p>
    <w:sectPr w:rsidR="008F46CB" w:rsidRPr="0031598F" w:rsidSect="0031598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0D227C67"/>
    <w:multiLevelType w:val="hybridMultilevel"/>
    <w:tmpl w:val="FFFFFFFF"/>
    <w:lvl w:ilvl="0" w:tplc="25E886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7D03E4"/>
    <w:multiLevelType w:val="hybridMultilevel"/>
    <w:tmpl w:val="FFFFFFFF"/>
    <w:lvl w:ilvl="0" w:tplc="628E4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634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687425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13855E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0251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3616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E67597B"/>
    <w:multiLevelType w:val="hybridMultilevel"/>
    <w:tmpl w:val="FFFFFFFF"/>
    <w:lvl w:ilvl="0" w:tplc="469EA2F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3A1D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D0E75E1"/>
    <w:multiLevelType w:val="hybridMultilevel"/>
    <w:tmpl w:val="FFFFFFFF"/>
    <w:lvl w:ilvl="0" w:tplc="148A38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5565FC"/>
    <w:multiLevelType w:val="hybridMultilevel"/>
    <w:tmpl w:val="FFFFFFFF"/>
    <w:lvl w:ilvl="0" w:tplc="6A04A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B7F6E7E-19C2-4501-942B-D57B18BCFE94}"/>
  </w:docVars>
  <w:rsids>
    <w:rsidRoot w:val="00F35340"/>
    <w:rsid w:val="00011597"/>
    <w:rsid w:val="00036967"/>
    <w:rsid w:val="00043E2D"/>
    <w:rsid w:val="00113BFE"/>
    <w:rsid w:val="001504CB"/>
    <w:rsid w:val="001735A1"/>
    <w:rsid w:val="001A74D1"/>
    <w:rsid w:val="001B6931"/>
    <w:rsid w:val="001D341E"/>
    <w:rsid w:val="00257194"/>
    <w:rsid w:val="002710EF"/>
    <w:rsid w:val="00284AD5"/>
    <w:rsid w:val="00287C43"/>
    <w:rsid w:val="002E4EB0"/>
    <w:rsid w:val="00312381"/>
    <w:rsid w:val="00312432"/>
    <w:rsid w:val="0031598F"/>
    <w:rsid w:val="0033034D"/>
    <w:rsid w:val="003774E3"/>
    <w:rsid w:val="0039381E"/>
    <w:rsid w:val="003A03C4"/>
    <w:rsid w:val="003B3E55"/>
    <w:rsid w:val="003D25FE"/>
    <w:rsid w:val="0043323F"/>
    <w:rsid w:val="004400EF"/>
    <w:rsid w:val="00455CC6"/>
    <w:rsid w:val="00470095"/>
    <w:rsid w:val="00601147"/>
    <w:rsid w:val="00612242"/>
    <w:rsid w:val="00620C20"/>
    <w:rsid w:val="00665E0E"/>
    <w:rsid w:val="0067703C"/>
    <w:rsid w:val="006A065F"/>
    <w:rsid w:val="00717C32"/>
    <w:rsid w:val="00752603"/>
    <w:rsid w:val="00773A27"/>
    <w:rsid w:val="007978CE"/>
    <w:rsid w:val="00797989"/>
    <w:rsid w:val="007B6084"/>
    <w:rsid w:val="00821834"/>
    <w:rsid w:val="00825A01"/>
    <w:rsid w:val="00856318"/>
    <w:rsid w:val="008840A2"/>
    <w:rsid w:val="008F46CB"/>
    <w:rsid w:val="00904F61"/>
    <w:rsid w:val="00947899"/>
    <w:rsid w:val="00950313"/>
    <w:rsid w:val="00970CBD"/>
    <w:rsid w:val="009A1FC5"/>
    <w:rsid w:val="009A7C91"/>
    <w:rsid w:val="009D1834"/>
    <w:rsid w:val="009D53F5"/>
    <w:rsid w:val="009F438D"/>
    <w:rsid w:val="009F797A"/>
    <w:rsid w:val="00A0612F"/>
    <w:rsid w:val="00A445F6"/>
    <w:rsid w:val="00A618C9"/>
    <w:rsid w:val="00AC62CC"/>
    <w:rsid w:val="00B125E0"/>
    <w:rsid w:val="00B669CF"/>
    <w:rsid w:val="00BE1361"/>
    <w:rsid w:val="00BF11A4"/>
    <w:rsid w:val="00C67185"/>
    <w:rsid w:val="00CD3CC2"/>
    <w:rsid w:val="00D170FD"/>
    <w:rsid w:val="00D2008B"/>
    <w:rsid w:val="00D47136"/>
    <w:rsid w:val="00D558DF"/>
    <w:rsid w:val="00D9024E"/>
    <w:rsid w:val="00DD5E66"/>
    <w:rsid w:val="00DE1553"/>
    <w:rsid w:val="00E62253"/>
    <w:rsid w:val="00EB5C07"/>
    <w:rsid w:val="00F12BE9"/>
    <w:rsid w:val="00F225BD"/>
    <w:rsid w:val="00F26F09"/>
    <w:rsid w:val="00F279F4"/>
    <w:rsid w:val="00F35340"/>
    <w:rsid w:val="00F85342"/>
    <w:rsid w:val="00F91C42"/>
    <w:rsid w:val="00F970C9"/>
    <w:rsid w:val="00FE2C45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25AF40-E6EC-48DB-9487-B50D8DF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340"/>
    <w:pPr>
      <w:spacing w:after="0" w:line="240" w:lineRule="auto"/>
    </w:pPr>
    <w:rPr>
      <w:rFonts w:cs="Times New Roman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340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3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340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340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340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340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340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340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340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340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340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340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340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340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340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340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340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340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340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3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340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340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340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3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340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340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340"/>
    <w:rPr>
      <w:rFonts w:cs="Times New Roman"/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279F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79F4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3D25F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wpsp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7F6E7E-19C2-4501-942B-D57B18BC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1455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ZNAKI:5235</dc:description>
  <cp:lastModifiedBy>M.Grubczyński</cp:lastModifiedBy>
  <cp:revision>7</cp:revision>
  <cp:lastPrinted>2024-09-06T07:21:00Z</cp:lastPrinted>
  <dcterms:created xsi:type="dcterms:W3CDTF">2024-09-17T11:50:00Z</dcterms:created>
  <dcterms:modified xsi:type="dcterms:W3CDTF">2025-05-16T06:46:00Z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2024-08-02 12:10:24</vt:lpwstr>
  </property>
  <property fmtid="{D5CDD505-2E9C-101B-9397-08002B2CF9AE}" pid="4" name="wk_stat:znaki:liczba">
    <vt:lpwstr>5235</vt:lpwstr>
  </property>
  <property fmtid="{D5CDD505-2E9C-101B-9397-08002B2CF9AE}" pid="5" name="ZNAKI:">
    <vt:lpwstr>5235</vt:lpwstr>
  </property>
  <property fmtid="{D5CDD505-2E9C-101B-9397-08002B2CF9AE}" pid="6" name="wk_stat:linki:liczba">
    <vt:lpwstr>0</vt:lpwstr>
  </property>
</Properties>
</file>