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A7ABE" w14:textId="4E1AE4C7" w:rsidR="00972BDF" w:rsidRPr="009B10C5" w:rsidRDefault="00972BDF" w:rsidP="00972BDF">
      <w:pPr>
        <w:pStyle w:val="Bezodstpw"/>
        <w:jc w:val="right"/>
      </w:pPr>
      <w:r w:rsidRPr="009B10C5">
        <w:t xml:space="preserve">dn. </w:t>
      </w:r>
      <w:r w:rsidR="008B5B4B">
        <w:t>31</w:t>
      </w:r>
      <w:r>
        <w:t>.0</w:t>
      </w:r>
      <w:r w:rsidR="008B5B4B">
        <w:t>3</w:t>
      </w:r>
      <w:r>
        <w:t>.202</w:t>
      </w:r>
      <w:r w:rsidR="008B5B4B">
        <w:t>6</w:t>
      </w:r>
    </w:p>
    <w:p w14:paraId="65E3AF5A" w14:textId="075E777F" w:rsidR="00972BDF" w:rsidRPr="009B10C5" w:rsidRDefault="00972BDF" w:rsidP="00972BDF">
      <w:pPr>
        <w:pStyle w:val="Bezodstpw"/>
      </w:pPr>
      <w:r w:rsidRPr="009B10C5">
        <w:br/>
      </w:r>
      <w:r w:rsidRPr="009B10C5">
        <w:br/>
      </w:r>
    </w:p>
    <w:p w14:paraId="30E19C27" w14:textId="77777777" w:rsidR="00972BDF" w:rsidRDefault="00972BDF" w:rsidP="00972BDF">
      <w:pPr>
        <w:rPr>
          <w:b/>
          <w:bCs/>
        </w:rPr>
      </w:pPr>
    </w:p>
    <w:p w14:paraId="26956259" w14:textId="7B1D5F65" w:rsidR="00972BDF" w:rsidRPr="009B10C5" w:rsidRDefault="00972BDF" w:rsidP="00972BDF">
      <w:pPr>
        <w:ind w:left="4956"/>
      </w:pPr>
      <w:r w:rsidRPr="00972BDF">
        <w:rPr>
          <w:b/>
          <w:bCs/>
        </w:rPr>
        <w:t>Minister Spraw Wewnętrznych i Administracji</w:t>
      </w:r>
      <w:r w:rsidRPr="00972BDF">
        <w:br/>
        <w:t>ul. Stefana Batorego 5</w:t>
      </w:r>
      <w:r w:rsidRPr="00972BDF">
        <w:br/>
        <w:t>02-591 Warszawa</w:t>
      </w:r>
    </w:p>
    <w:p w14:paraId="1E56E02A" w14:textId="77777777" w:rsidR="008B5B4B" w:rsidRDefault="008B5B4B" w:rsidP="00751641">
      <w:pPr>
        <w:jc w:val="center"/>
        <w:rPr>
          <w:b/>
          <w:bCs/>
        </w:rPr>
      </w:pPr>
    </w:p>
    <w:p w14:paraId="2A495592" w14:textId="36B379DD" w:rsidR="00972BDF" w:rsidRPr="00972BDF" w:rsidRDefault="00972BDF" w:rsidP="00751641">
      <w:pPr>
        <w:jc w:val="center"/>
        <w:rPr>
          <w:b/>
          <w:bCs/>
        </w:rPr>
      </w:pPr>
      <w:r w:rsidRPr="00972BDF">
        <w:rPr>
          <w:b/>
          <w:bCs/>
        </w:rPr>
        <w:t>PETYCJA</w:t>
      </w:r>
    </w:p>
    <w:p w14:paraId="5A647B5C" w14:textId="77777777" w:rsidR="00972BDF" w:rsidRPr="00972BDF" w:rsidRDefault="00972BDF" w:rsidP="00751641">
      <w:pPr>
        <w:jc w:val="center"/>
        <w:rPr>
          <w:b/>
          <w:bCs/>
        </w:rPr>
      </w:pPr>
      <w:r w:rsidRPr="00972BDF">
        <w:rPr>
          <w:b/>
          <w:bCs/>
        </w:rPr>
        <w:t>na podstawie ustawy z dnia 11 lipca 2014 r. o petycjach (Dz.U. 2014 poz. 1195 ze zm.)</w:t>
      </w:r>
    </w:p>
    <w:p w14:paraId="20D898C2" w14:textId="77777777" w:rsidR="00972BDF" w:rsidRPr="00972BDF" w:rsidRDefault="00972BDF" w:rsidP="00751641">
      <w:pPr>
        <w:jc w:val="center"/>
        <w:rPr>
          <w:b/>
          <w:bCs/>
        </w:rPr>
      </w:pPr>
      <w:r w:rsidRPr="00972BDF">
        <w:rPr>
          <w:b/>
          <w:bCs/>
        </w:rPr>
        <w:t>PRZEDMIOT PETYCJI</w:t>
      </w:r>
    </w:p>
    <w:p w14:paraId="30690BE4" w14:textId="3F9599E0" w:rsidR="00972BDF" w:rsidRPr="00972BDF" w:rsidRDefault="00972BDF" w:rsidP="008B5B4B">
      <w:pPr>
        <w:jc w:val="both"/>
      </w:pPr>
      <w:r w:rsidRPr="00972BDF">
        <w:t xml:space="preserve">Wnoszę o </w:t>
      </w:r>
      <w:bookmarkStart w:id="0" w:name="_GoBack"/>
      <w:r w:rsidRPr="00972BDF">
        <w:t xml:space="preserve">zmianę § 3 oraz § 6 rozporządzenia Ministra Spraw Wewnętrznych i Administracji z dnia 7 czerwca 2010 r. w sprawie ochrony przeciwpożarowej budynków, innych obiektów budowlanych i terenów (Dz.U. 2010 nr 109, poz. 719 ze zm.) </w:t>
      </w:r>
      <w:bookmarkEnd w:id="0"/>
      <w:r w:rsidRPr="00972BDF">
        <w:t>poprzez wyraźne doprecyzowanie, że obowiązkowe przeglądy techniczne i czynności konserwacyjne urządzeń przeciwpożarowych oraz gaśnic mogą być wykonywane przez wszystkie osoby i podmioty posiadające odpowiednie kwalifikacje zawodowe i udokumentowane kompetencje niezależnie od tego, czy uzyskały one autoryzację konkretnego producenta urządzenia. Jednocześnie wnoszę o podjęcie prac legislacyjnych zmierzających do określenia obiektywnych, powszechnie dostępnych i niezależnych od woli producentów kryteriów kwalifikacji wymaganych do wykonywania przeglądów poszczególnych kategorii urządzeń przeciwpożarowych.</w:t>
      </w:r>
    </w:p>
    <w:p w14:paraId="1458650E" w14:textId="77777777" w:rsidR="00C30CB6" w:rsidRPr="00C30CB6" w:rsidRDefault="00C30CB6" w:rsidP="00C30CB6">
      <w:pPr>
        <w:jc w:val="center"/>
        <w:rPr>
          <w:b/>
          <w:bCs/>
        </w:rPr>
      </w:pPr>
      <w:r w:rsidRPr="00C30CB6">
        <w:rPr>
          <w:b/>
          <w:bCs/>
        </w:rPr>
        <w:t>UZASADNIENIE</w:t>
      </w:r>
    </w:p>
    <w:p w14:paraId="1E2996AA" w14:textId="77777777" w:rsidR="00C30CB6" w:rsidRPr="00C30CB6" w:rsidRDefault="00C30CB6" w:rsidP="00C30CB6">
      <w:pPr>
        <w:rPr>
          <w:b/>
          <w:bCs/>
        </w:rPr>
      </w:pPr>
      <w:r w:rsidRPr="00C30CB6">
        <w:rPr>
          <w:b/>
          <w:bCs/>
        </w:rPr>
        <w:t>1. Stan prawny i jego praktyczne skutki</w:t>
      </w:r>
    </w:p>
    <w:p w14:paraId="3C85C3A9" w14:textId="77777777" w:rsidR="00C30CB6" w:rsidRPr="00C30CB6" w:rsidRDefault="00C30CB6" w:rsidP="00E8440D">
      <w:pPr>
        <w:jc w:val="both"/>
      </w:pPr>
      <w:r w:rsidRPr="00C30CB6">
        <w:t xml:space="preserve">Zgodnie z § 3 ust. 2 rozporządzenia MSWiA z dnia 7 czerwca 2010 r., urządzenia przeciwpożarowe i gaśnice poddaje się przeglądom technicznym i czynnościom konserwacyjnym zgodnie z zasadami i w sposób określony w Polskich Normach dotyczących urządzeń przeciwpożarowych i gaśnic, </w:t>
      </w:r>
      <w:r w:rsidRPr="00C30CB6">
        <w:rPr>
          <w:b/>
          <w:bCs/>
        </w:rPr>
        <w:t xml:space="preserve">w dokumentacji techniczno-ruchowej oraz w instrukcjach producenta. </w:t>
      </w:r>
      <w:r w:rsidRPr="00C30CB6">
        <w:t>Paragraf 3 ust. 3 uzupełnia, że przeglądy wykonuje się w okresach ustalonych przez producenta, nie rzadziej niż raz w roku. Z kolei § 6 nakłada na właścicieli i zarządców obowiązek prowadzenia instrukcji bezpieczeństwa pożarowego, która określa m.in. sposoby poddawania urządzeń przeglądom i konserwacji, aktualizowanej co najmniej raz na dwa lata.</w:t>
      </w:r>
    </w:p>
    <w:p w14:paraId="72B0044E" w14:textId="77777777" w:rsidR="00C30CB6" w:rsidRPr="00C30CB6" w:rsidRDefault="00C30CB6" w:rsidP="00E8440D">
      <w:pPr>
        <w:jc w:val="both"/>
      </w:pPr>
      <w:r w:rsidRPr="00C30CB6">
        <w:t>Przepisy te nie zawierają bezpośredniego zapisu przyznającego producentom wyłączność serwisową. Jednak przez szerokie odesłanie do dokumentacji techniczno-ruchowej i instrukcji producenta, rozporządzenie w praktyce oddaje producentom możliwość swobodnego kształtowania warunków dostępu do rynku usług obowiązkowych przeglądów. Jest to kluczowe rozróżnienie: monopol serwisowy nie wynika wprost z rozporządzenia, lecz z tego, że rozporządzenie oddaje producentowi bardzo szeroki wpływ na zasady obsługi obowiązkowej, a producenci świadomie i powszechnie ten mechanizm wykorzystują.</w:t>
      </w:r>
    </w:p>
    <w:p w14:paraId="65A22356" w14:textId="670B81DC" w:rsidR="00C30CB6" w:rsidRPr="00C30CB6" w:rsidRDefault="00C30CB6" w:rsidP="00592B7C">
      <w:pPr>
        <w:jc w:val="both"/>
      </w:pPr>
      <w:r w:rsidRPr="00C30CB6">
        <w:t>Producenci korzystają z tego odesłania, wpisując do dokumentacji techniczno-ruchowej postanowienia, które uzależniają prawidłowe wykonanie przeglądu</w:t>
      </w:r>
      <w:r w:rsidR="00592B7C">
        <w:t xml:space="preserve">, </w:t>
      </w:r>
      <w:r w:rsidRPr="00C30CB6">
        <w:t xml:space="preserve">a tym samym spełnienie obowiązku ustawowego od korzystania wyłącznie z </w:t>
      </w:r>
      <w:r w:rsidRPr="00C30CB6">
        <w:rPr>
          <w:b/>
          <w:bCs/>
        </w:rPr>
        <w:t>ich własnych służb serwisowych lub podmiotów przez nich autoryzowanych</w:t>
      </w:r>
      <w:r w:rsidRPr="00C30CB6">
        <w:t xml:space="preserve">. Tym samym prywatny dokument techniczny, jakim jest </w:t>
      </w:r>
      <w:r w:rsidRPr="00C30CB6">
        <w:lastRenderedPageBreak/>
        <w:t>DTR, staje się de facto źródłem normy prawnej określającej krąg podmiotów uprawnionych do wykonywania czynności obowiązkowych z zakresu bezpieczeństwa publicznego. Taka sytuacja nie ma podstawy w ustawie i stanowi poważną lukę prawną wymagającą pilnego usunięcia.</w:t>
      </w:r>
    </w:p>
    <w:p w14:paraId="183295F4" w14:textId="24E8BACE" w:rsidR="00C30CB6" w:rsidRPr="00C30CB6" w:rsidRDefault="00C30CB6" w:rsidP="00592B7C">
      <w:pPr>
        <w:jc w:val="both"/>
      </w:pPr>
      <w:r w:rsidRPr="00C30CB6">
        <w:t xml:space="preserve">Jako przykład ilustrujący powszechność tej praktyki można wskazać dwa szeroko stosowane w polskim budownictwie urządzenia, których dokumentacje techniczne dołączono do niniejszej petycji. Centrala sterująco-zasilająca </w:t>
      </w:r>
      <w:proofErr w:type="spellStart"/>
      <w:r w:rsidRPr="00C30CB6">
        <w:t>mcr</w:t>
      </w:r>
      <w:proofErr w:type="spellEnd"/>
      <w:r w:rsidRPr="00C30CB6">
        <w:t xml:space="preserve"> OMEGA pro firmy </w:t>
      </w:r>
      <w:proofErr w:type="spellStart"/>
      <w:r w:rsidRPr="00C30CB6">
        <w:t>Mercor</w:t>
      </w:r>
      <w:proofErr w:type="spellEnd"/>
      <w:r w:rsidRPr="00C30CB6">
        <w:t xml:space="preserve"> S.A. zawiera w swojej DTR zapis, że przeglądy i konserwacja powinny być przeprowadzane przez producenta lub przez firmy posiadające autoryzację na serwis urządzeń </w:t>
      </w:r>
      <w:proofErr w:type="spellStart"/>
      <w:r w:rsidRPr="00C30CB6">
        <w:t>Mercor</w:t>
      </w:r>
      <w:proofErr w:type="spellEnd"/>
      <w:r w:rsidRPr="00C30CB6">
        <w:t xml:space="preserve"> S.A., a obowiązek ten wynika wprost z przywołanego § 3 ust. 3 rozporządzenia. Analogicznie, dokumentacja techniczno-ruchowa klapy wentylacji pożarowej KWP-P firmy SMAY Sp. z o.o. zastrzega, że wszelkie czynności związane z wymianą lub modyfikacją podzespołów mogą być wykonane jedynie przez Serwis Producenta SMAY lub Autoryzowany Serwis SMAY, a brak realizacji tych wymogów skutkuje utratą ochrony gwarancyjnej i brakiem dopuszczenia urządzenia do dalszej eksploatacji. Wybór tych dwóch przykładów ma charakter wyłącznie ilustracyjny </w:t>
      </w:r>
      <w:r w:rsidR="00592B7C">
        <w:t xml:space="preserve"> a</w:t>
      </w:r>
      <w:r w:rsidRPr="00C30CB6">
        <w:t>nalogiczne zapisy można znaleźć w dokumentacjach technicznych producentów systemów sygnalizacji pożarowej, stałych urządzeń gaśniczych, dźwiękowych systemów ostrzegawczych i wielu innych kategorii urządzeń przeciwpożarowych. Problem ma zatem charakter systemowy i branżowy, a nie jednostkowy.</w:t>
      </w:r>
    </w:p>
    <w:p w14:paraId="67AF60D8" w14:textId="77777777" w:rsidR="00C30CB6" w:rsidRPr="00C30CB6" w:rsidRDefault="00C30CB6" w:rsidP="00C30CB6">
      <w:pPr>
        <w:rPr>
          <w:b/>
          <w:bCs/>
        </w:rPr>
      </w:pPr>
      <w:r w:rsidRPr="00C30CB6">
        <w:rPr>
          <w:b/>
          <w:bCs/>
        </w:rPr>
        <w:t>2. Problem ograniczenia dostępu do rynku serwisowego</w:t>
      </w:r>
    </w:p>
    <w:p w14:paraId="4E2328F1" w14:textId="77777777" w:rsidR="00C30CB6" w:rsidRPr="00C30CB6" w:rsidRDefault="00C30CB6" w:rsidP="00592B7C">
      <w:pPr>
        <w:jc w:val="both"/>
      </w:pPr>
      <w:r w:rsidRPr="00C30CB6">
        <w:t>Mechanizm opisany powyżej byłby do przyjęcia, gdyby producenci zapewniali powszechny i niedyskryminacyjny dostęp do autoryzacji poprzez otwarte, ogólnodostępne programy szkoleniowe. W praktyce jednak tak nie jest. Producenci prowadzą szkolenia autoryzacyjne wyłącznie dla wybranych przez siebie podmiotów współpracujących, co oznacza że dostęp do autoryzacji nie zależy od posiadanych kwalifikacji, lecz od woli producenta co do wyboru partnerów handlowych. Podmiot posiadający pełne kompetencje merytoryczne, lecz nieakceptowany przez producenta jako partner, jest skutecznie wykluczony z rynku obowiązkowych przeglądów.</w:t>
      </w:r>
    </w:p>
    <w:p w14:paraId="35E683A9" w14:textId="77777777" w:rsidR="00C30CB6" w:rsidRPr="00C30CB6" w:rsidRDefault="00C30CB6" w:rsidP="00592B7C">
      <w:pPr>
        <w:jc w:val="both"/>
      </w:pPr>
      <w:r w:rsidRPr="00C30CB6">
        <w:t>Co więcej, część producentów w ogóle zaprzestała prowadzenia jakichkolwiek zewnętrznych szkoleń autoryzacyjnych. Przykładem jest firma SMAY Sp. z o.o., która poinformowała publicznie, że z końcem stycznia 2024 roku zakończyła projekt szkoleń serwisowych dla zewnętrznych firm montażowych i instalacyjnych, po przeszkoleniu około 500 osób z ponad 200 firm. Od tego momentu uzyskanie nowej autoryzacji SMAY przez zewnętrzny podmiot jest niemożliwe, a liczba uprawnionych serwisantów będzie się wyłącznie zmniejszać wraz z upływem czasu i dezaktualizowaniem się posiadanych uprawnień.</w:t>
      </w:r>
    </w:p>
    <w:p w14:paraId="6755C9A0" w14:textId="77777777" w:rsidR="00C30CB6" w:rsidRPr="00C30CB6" w:rsidRDefault="00C30CB6" w:rsidP="00592B7C">
      <w:pPr>
        <w:jc w:val="both"/>
        <w:rPr>
          <w:b/>
          <w:bCs/>
        </w:rPr>
      </w:pPr>
      <w:r w:rsidRPr="00C30CB6">
        <w:rPr>
          <w:b/>
          <w:bCs/>
        </w:rPr>
        <w:t>Skutkiem tego stanu jest systematyczne zawężanie kręgu podmiotów uprawnionych do wykonywania obowiązkowych przeglądów urządzeń już zainstalowanych w tysiącach budynków w całej Polsce, rosnące uzależnienie właścicieli i zarządców nieruchomości od serwisu producenta lub wąskiej, zamkniętej grupy jego partnerów, eliminacja presji konkurencyjnej na ceny usług serwisowych przy jednoczesnym obowiązkowym charakterze tych usług, oraz realne ryzyko sytuacji, w której dla danego urządzenia nie będzie dostępnego autoryzowanego serwisanta w rozsądnej odległości geograficznej lub czasie, co zagrozi ciągłości wypełniania obowiązków ustawowych w zakresie ochrony przeciwpożarowej.</w:t>
      </w:r>
    </w:p>
    <w:p w14:paraId="6124FA28" w14:textId="77777777" w:rsidR="00C30CB6" w:rsidRPr="00C30CB6" w:rsidRDefault="00C30CB6" w:rsidP="00C30CB6">
      <w:pPr>
        <w:rPr>
          <w:b/>
          <w:bCs/>
        </w:rPr>
      </w:pPr>
      <w:r w:rsidRPr="00C30CB6">
        <w:rPr>
          <w:b/>
          <w:bCs/>
        </w:rPr>
        <w:t>3. Kolizja z przepisami o kwalifikacjach zawodowych i paradoks systemowy</w:t>
      </w:r>
    </w:p>
    <w:p w14:paraId="629DB41C" w14:textId="1222EAEB" w:rsidR="00C30CB6" w:rsidRPr="00C30CB6" w:rsidRDefault="00C30CB6" w:rsidP="00305271">
      <w:pPr>
        <w:jc w:val="both"/>
      </w:pPr>
      <w:r w:rsidRPr="00C30CB6">
        <w:t xml:space="preserve">Ustawa z dnia 24 sierpnia 1991 r. o ochronie przeciwpożarowej stanowi w art. 4 ust. 2, że czynności z zakresu ochrony przeciwpożarowej mogą wykonywać osoby posiadające odpowiednie </w:t>
      </w:r>
      <w:r w:rsidRPr="00C30CB6">
        <w:lastRenderedPageBreak/>
        <w:t>kwalifikacje. Ustawodawca posłużył się celowo szerokim pojęciem kwalifikacji nie zawężając go do autoryzacji konkretnego producenta. Tymczasem skutek obecnego brzmienia § 3 rozporządzenia jest taki, że kwalifikacje zawodowe potwierdzone w każdy inny, obiektywnie równoważny sposób mogą okazać się niewystarczające jedynie dlatego, że dany podmiot nie posiada autoryzacji konkretnego producenta.</w:t>
      </w:r>
    </w:p>
    <w:p w14:paraId="57137F5F" w14:textId="609AF935" w:rsidR="00C30CB6" w:rsidRPr="00C30CB6" w:rsidRDefault="00C30CB6" w:rsidP="00305271">
      <w:pPr>
        <w:jc w:val="both"/>
      </w:pPr>
      <w:r w:rsidRPr="00C30CB6">
        <w:t>Dotyczy to w szczególności osób i podmiotów legitymujących się wykształceniem wyższym technicznym na kierunkach takich jak inżynieria środowiska ze specjalizacją instalacyjną lub wentylacyjną, inżynieria bezpieczeństwa pożarowego lub budownictwo, ukończonymi szkoleniami branżowymi w zakresie projektowania, montażu i konserwacji urządzeń przeciwpożarowych, certyfikatami jakości usług w zakresie zabezpieczeń przeciwpożarowych, a także wieloletnią udokumentowaną praktyką zawodową. Osoby takie dysponują wiedzą techniczną w pełni odpowiednią do wykonywania przeglądów  a mimo to mogą być skutecznie wykluczone z rynku wolą producenta.</w:t>
      </w:r>
    </w:p>
    <w:p w14:paraId="220A3A41" w14:textId="34575D2B" w:rsidR="00C30CB6" w:rsidRPr="00C30CB6" w:rsidRDefault="00C30CB6" w:rsidP="00305271">
      <w:pPr>
        <w:jc w:val="both"/>
      </w:pPr>
      <w:r w:rsidRPr="00C30CB6">
        <w:t>W tym kontekście szczególnie istotna jest rola Centrum Naukowo-Badawczego Ochrony Przeciwpożarowej im. Józefa Tuliszkowskiego CNBOP-PIB w Józefowie, państwowej jednostki badawczej nadzorowanej przez Ministra Spraw Wewnętrznych i Administracji. CNBOP-PIB jest instytucją, która bada i certyfikuje urządzenia przeciwpożarowe wprowadzane na rynek, wydaje dopuszczenia i certyfikaty stałości właściwości użytkowych na podstawie badań zgodności z właściwymi normami technicznymi, prowadzi szkolenia branżowe dla projektantów, instalatorów i konserwatorów urządzeń przeciwpożarowych, a także certyfikuje jakość usług firm w zakresie projektowania, montażu i konserwacji systemów zabezpieczeń przeciwpożarowych.</w:t>
      </w:r>
    </w:p>
    <w:p w14:paraId="7D6981D0" w14:textId="7327C080" w:rsidR="00C30CB6" w:rsidRPr="00C30CB6" w:rsidRDefault="00C30CB6" w:rsidP="006B6561">
      <w:pPr>
        <w:jc w:val="both"/>
      </w:pPr>
      <w:r w:rsidRPr="00C30CB6">
        <w:t>Harmonogram szkoleń CNBOP-PIB na rok 2026, stanowiący załącznik do niniejszej petycji, obejmuje m.in. dedykowane szkolenia takie jak „Klapy przeciwpożarowe w instalacjach wentylacji", „Przegląd i konserwacja systemów wentylacji pożarowej w obiektach budowlanych", „Szkolenie dla konserwatorów systemów sygnalizacji pożarowej", „Szkolenie dla projektantów, instalatorów i konserwatorów systemów sygnalizacji pożarowej" oraz wiele innych. Szkolenia te prowadzone są w oparciu o te same normy techniczne PN-EN 12101, PN-EN 54 i inne</w:t>
      </w:r>
      <w:r w:rsidR="008B5B4B">
        <w:t>,</w:t>
      </w:r>
      <w:r w:rsidRPr="00C30CB6">
        <w:t xml:space="preserve"> według których urządzenia są projektowane, produkowane i certyfikowane przez tę samą instytucję. Obok CNBOP-PIB szkolenia branżowe prowadzą również inne ośrodki szkoleniowe, stowarzyszenia branżowe oraz uczelnie wyższe.</w:t>
      </w:r>
    </w:p>
    <w:p w14:paraId="53A5FD3A" w14:textId="51FB7D90" w:rsidR="00C30CB6" w:rsidRDefault="00C30CB6" w:rsidP="006B6561">
      <w:pPr>
        <w:jc w:val="both"/>
      </w:pPr>
      <w:r w:rsidRPr="00C30CB6">
        <w:t>Powstaje w ten sposób paradoks niemający racjonalnego uzasadnienia: państwowa instytucja naukowa nadzorowana przez Ministra Spraw Wewnętrznych i Administracji certyfikuje urządzenie do obrotu na podstawie danej normy, a następnie szkoli specjalistów z zakresu obsługi i konserwacji urządzeń tego samego rodzaju według tej samej normy jednak producent konkretnego wyrobu może skutecznie uniemożliwić przeszkolonemu w ten sposób specjaliście wykonanie obowiązkowego przeglądu, powołując się wyłącznie na brak własnej, producenckiej autoryzacji. Uprawnienia nadawane przez instytucję państwową okazują się w praktyce niewystarczające wobec uprawnień nadawanych przez podmiot prywatny. Co więcej</w:t>
      </w:r>
      <w:r w:rsidR="00C42E1D">
        <w:t xml:space="preserve">, </w:t>
      </w:r>
      <w:r w:rsidRPr="00C30CB6">
        <w:t>i jest to szczególnie istotne z perspektywy nadzoru państwowego</w:t>
      </w:r>
      <w:r w:rsidR="00C42E1D">
        <w:t xml:space="preserve">, </w:t>
      </w:r>
      <w:r w:rsidRPr="00C30CB6">
        <w:t>nawet sam CNBOP-PIB, jako instytucja certyfikująca urządzenia i szkoląca specjalistów, nie jest w stanie wystawić uprawnień, które zastąpiłyby autoryzację producenta w rozumieniu DTR, mimo że to właśnie CNBOP-PIB nadaje dopuszczenia dla tych urządzeń.</w:t>
      </w:r>
    </w:p>
    <w:p w14:paraId="36A5E4ED" w14:textId="79EE3979" w:rsidR="008B5B4B" w:rsidRPr="008B5B4B" w:rsidRDefault="008B5B4B" w:rsidP="008B5B4B">
      <w:pPr>
        <w:jc w:val="both"/>
        <w:rPr>
          <w:b/>
          <w:bCs/>
        </w:rPr>
      </w:pPr>
      <w:r>
        <w:rPr>
          <w:b/>
          <w:bCs/>
        </w:rPr>
        <w:t>4</w:t>
      </w:r>
      <w:r w:rsidRPr="008B5B4B">
        <w:rPr>
          <w:b/>
          <w:bCs/>
        </w:rPr>
        <w:t>. Brak uzasadnienia dla wyłączności z perspektywy ochrony wiedzy technicznej</w:t>
      </w:r>
    </w:p>
    <w:p w14:paraId="154C3B02" w14:textId="41E6FD7A" w:rsidR="008B5B4B" w:rsidRPr="008B5B4B" w:rsidRDefault="008B5B4B" w:rsidP="008B5B4B">
      <w:pPr>
        <w:jc w:val="both"/>
      </w:pPr>
      <w:r w:rsidRPr="008B5B4B">
        <w:t xml:space="preserve">Argument o konieczności posiadania autoryzacji producenta traci na znaczeniu również w świetle samej natury urządzeń przeciwpożarowych jako wyrobów budowlanych wprowadzanych do obrotu. </w:t>
      </w:r>
      <w:r w:rsidRPr="008B5B4B">
        <w:lastRenderedPageBreak/>
        <w:t>Każde urządzenie przeciwpożarowe dopuszczone do stosowania w Polsce musi być zaprojektowane, wyprodukowane i przebadane zgodnie z właściwymi normami technicznymi</w:t>
      </w:r>
      <w:r w:rsidR="005E3280">
        <w:t>,</w:t>
      </w:r>
      <w:r w:rsidRPr="008B5B4B">
        <w:t xml:space="preserve"> odpowiednio PN-EN 12101 dla systemów kontroli rozprzestrzeniania dymu i ciepła, PN-EN 54 dla systemów sygnalizacji pożarowej i zasilaczy, PN-EN 12094 dla stałych urządzeń gaśniczych i innymi. To norma, a nie swobodna decyzja producenta, determinuje budowę urządzenia, jego parametry techniczne, wymagane funkcje, metody badań oraz kryteria oceny. Dokumentacja techniczno-ruchowa jest z kolei dokumentem opisującym urządzenie właśnie w odniesieniu do tych norm  jej treść musi być zgodna z wymaganiami normatywnymi i w żadnym zakresie nie stanowi wiedzy tajnej ani zastrzeżonej wyłącznie dla producenta.</w:t>
      </w:r>
    </w:p>
    <w:p w14:paraId="288073DA" w14:textId="5AEF8CD2" w:rsidR="008B5B4B" w:rsidRPr="008B5B4B" w:rsidRDefault="008B5B4B" w:rsidP="008B5B4B">
      <w:pPr>
        <w:jc w:val="both"/>
      </w:pPr>
      <w:r w:rsidRPr="008B5B4B">
        <w:t xml:space="preserve">Oznacza to, że kompetentny </w:t>
      </w:r>
      <w:proofErr w:type="spellStart"/>
      <w:r w:rsidRPr="008B5B4B">
        <w:t>serwisant</w:t>
      </w:r>
      <w:proofErr w:type="spellEnd"/>
      <w:r w:rsidRPr="008B5B4B">
        <w:t xml:space="preserve"> nie musi znać żadnych tajemnic producen</w:t>
      </w:r>
      <w:r w:rsidR="005E3280">
        <w:t>t</w:t>
      </w:r>
      <w:r w:rsidR="008F0910">
        <w:t>,</w:t>
      </w:r>
      <w:r w:rsidRPr="008B5B4B">
        <w:t xml:space="preserve"> musi znać normę, według której urządzenie zostało wykonane, oraz DTR konkretnego wyrobu, która jest dokumentem jawnym dostarczanym każdemu nabywcy. Wiedza wymagana do prawidłowego wykonania przeglądu jest zatem wiedzą techniczną opartą na publicznie dostępnych aktach normalizacyjnych, możliwą do nabycia w ramach kształcenia akademickiego, szkoleń branżowych czy samokształcenia zawodowego. Nie istnieje żaden obiektywny techniczny powód, dla którego osoba posiadająca udokumentowaną znajomość właściwej normy oraz DTR danego urządzenia miałaby być uznana za niekompetentną wyłącznie z powodu braku autoryzacji producenta. Autoryzacja producenta nie jest dowodem kompetencji merytorycznych jest dowodem pozostawania w relacji handlowej z producentem. To fundamentalna różnica, której obecne przepisy rozporządzenia nie uwzględniają.</w:t>
      </w:r>
    </w:p>
    <w:p w14:paraId="21F06CDE" w14:textId="1B661800" w:rsidR="00C30CB6" w:rsidRPr="00C30CB6" w:rsidRDefault="008B5B4B" w:rsidP="00C30CB6">
      <w:pPr>
        <w:rPr>
          <w:b/>
          <w:bCs/>
        </w:rPr>
      </w:pPr>
      <w:r>
        <w:rPr>
          <w:b/>
          <w:bCs/>
        </w:rPr>
        <w:t>5</w:t>
      </w:r>
      <w:r w:rsidR="00C30CB6" w:rsidRPr="00C30CB6">
        <w:rPr>
          <w:b/>
          <w:bCs/>
        </w:rPr>
        <w:t>. Propozycja zmiany przepisów</w:t>
      </w:r>
    </w:p>
    <w:p w14:paraId="1F8D4F7A" w14:textId="77777777" w:rsidR="00C30CB6" w:rsidRPr="00C30CB6" w:rsidRDefault="00C30CB6" w:rsidP="00C30CB6">
      <w:r w:rsidRPr="00C30CB6">
        <w:t>Mając na uwadze powyższe, wnoszę o uzupełnienie § 3 rozporządzenia o przepis w następującym brzmieniu lub treści równoznacznej:</w:t>
      </w:r>
    </w:p>
    <w:p w14:paraId="0B2EB219" w14:textId="5B1F5FD6" w:rsidR="00C30CB6" w:rsidRPr="00C30CB6" w:rsidRDefault="00C30CB6" w:rsidP="00C30CB6">
      <w:r w:rsidRPr="00C30CB6">
        <w:rPr>
          <w:i/>
          <w:iCs/>
        </w:rPr>
        <w:t>„Obowiązkowe przeglądy techniczne i czynności konserwacyjne urządzeń przeciwpożarowych oraz gaśnic mogą być wykonywane przez osoby i podmioty posiadające odpowiednie kwalifikacje zawodowe do obsługi danego rodzaju urządzeń, potwierdzone w szczególności odpowiednim wykształceniem technicznym</w:t>
      </w:r>
      <w:r w:rsidR="0077355B">
        <w:rPr>
          <w:i/>
          <w:iCs/>
        </w:rPr>
        <w:t xml:space="preserve"> lub/i</w:t>
      </w:r>
      <w:r w:rsidRPr="00C30CB6">
        <w:rPr>
          <w:i/>
          <w:iCs/>
        </w:rPr>
        <w:t xml:space="preserve"> ukończonymi szkoleniami branżowymi lub</w:t>
      </w:r>
      <w:r w:rsidR="00D468EE">
        <w:rPr>
          <w:i/>
          <w:iCs/>
        </w:rPr>
        <w:t>/i</w:t>
      </w:r>
      <w:r w:rsidRPr="00C30CB6">
        <w:rPr>
          <w:i/>
          <w:iCs/>
        </w:rPr>
        <w:t xml:space="preserve"> certyfikatami wydanymi przez akredytowane ośrodki szkoleniowe bądź jednostki badawcze. Producent określa w dokumentacji techniczno-ruchowej zakres, technologię i częstotliwość przeglądów oraz wymagania kwalifikacyjne niezbędne do ich wykonania; nie może jednak uzależniać możliwości wykonania obowiązkowego przeglądu od posiadania własnej autoryzacji producenta ani zastrzegać wyłączności na wykonywanie obowiązkowych przeglądów i konserwacji dla siebie lub podmiotów przez siebie autoryzowanych."</w:t>
      </w:r>
    </w:p>
    <w:p w14:paraId="19731418" w14:textId="62380BD4" w:rsidR="00C30CB6" w:rsidRPr="00C30CB6" w:rsidRDefault="00C30CB6" w:rsidP="00C30CB6">
      <w:r w:rsidRPr="00C30CB6">
        <w:t>Jednocześnie wnoszę o podjęcie prac legislacyjnych zmierzających do określenia  w drodze rozporządzenia lub przy współudziale właściwych jednostek normalizacyjnych i badawczych obiektywnych, powszechnie dostępnych i weryfikowalnych kryteriów kwalifikacji wymaganych do wykonywania przeglądów poszczególnych kategorii urządzeń przeciwpożarowych, niezależnych od woli poszczególnych producentów.</w:t>
      </w:r>
    </w:p>
    <w:p w14:paraId="39E7CE82" w14:textId="77777777" w:rsidR="00C30CB6" w:rsidRPr="00C30CB6" w:rsidRDefault="00C30CB6" w:rsidP="00D468EE">
      <w:pPr>
        <w:jc w:val="center"/>
        <w:rPr>
          <w:b/>
          <w:bCs/>
        </w:rPr>
      </w:pPr>
      <w:r w:rsidRPr="00C30CB6">
        <w:rPr>
          <w:b/>
          <w:bCs/>
        </w:rPr>
        <w:t>PODSUMOWANIE</w:t>
      </w:r>
    </w:p>
    <w:p w14:paraId="0CEA1B7C" w14:textId="6DE59EC4" w:rsidR="00C30CB6" w:rsidRPr="00C30CB6" w:rsidRDefault="00C30CB6" w:rsidP="006234F8">
      <w:pPr>
        <w:jc w:val="both"/>
      </w:pPr>
      <w:r w:rsidRPr="00C30CB6">
        <w:t xml:space="preserve">Obecna konstrukcja § 3 rozporządzenia tworzy sytuację, w której producent poprzez zapisy dokumentacji prywatnej, jaką jest DTR  może faktycznie decydować o tym, kto jest uprawniony do wykonywania obowiązkowych przeglądów urządzeń przeciwpożarowych, nawet długo po wygaśnięciu okresu gwarancyjnego i niezależnie od faktycznych kompetencji zainteresowanych podmiotów. Producent może przy tym prowadzić szkolenia autoryzacyjne wyłącznie dla wybranych </w:t>
      </w:r>
      <w:r w:rsidRPr="00C30CB6">
        <w:lastRenderedPageBreak/>
        <w:t>partnerów handlowych i w dowolnym momencie je zakończyć, nie dając rynkowi żadnej alternatywnej ścieżki uzyskania uprawnień. Mechanizm ten nie jest przypadkowy ani incydentalny jest powszechnie stosowaną praktyką branżową, możliwą dzięki niedookreśleniu przepisów rozporządzenia.</w:t>
      </w:r>
    </w:p>
    <w:p w14:paraId="0C2D17C0" w14:textId="6FC72F5C" w:rsidR="00C30CB6" w:rsidRPr="00C30CB6" w:rsidRDefault="00C30CB6" w:rsidP="006234F8">
      <w:pPr>
        <w:jc w:val="both"/>
      </w:pPr>
      <w:r w:rsidRPr="00C30CB6">
        <w:t>Prowadzi to do erozji konkurencji na rynku obowiązkowych usług serwisowych, wzrostu kosztów dla właścicieli i zarządców budynków, marginalizowania kompetentnych podmiotów posiadających pełne kwalifikacje merytoryczne lecz nieakceptowanych przez producenta jako partnerzy handlowi, a w perspektywie długoterminowej do realnego ryzyka niedostępności uprawnionych serwisantów dla urządzeń zainstalowanych w tysiącach budynków na terenie całego kraju.</w:t>
      </w:r>
    </w:p>
    <w:p w14:paraId="38F4E0F7" w14:textId="77777777" w:rsidR="00C30CB6" w:rsidRDefault="00C30CB6" w:rsidP="006234F8">
      <w:pPr>
        <w:jc w:val="both"/>
      </w:pPr>
      <w:r w:rsidRPr="00C30CB6">
        <w:t>Zmiana przepisów zgodna z treścią niniejszej petycji leży w interesie publicznym, służy ochronie konkurencji i bezpieczeństwa publicznego, zapewnia właścicielom i zarządcom budynków realny dostęp do kompetentnych usług serwisowych oraz eliminuje lukę prawną, która w obecnym kształcie jest powszechnie wykorzystywana przez producentów urządzeń przeciwpożarowych do budowania zamkniętych monopoli serwisowych na rynku usług obowiązkowych z zakresu bezpieczeństwa pożarowego.</w:t>
      </w:r>
    </w:p>
    <w:p w14:paraId="563A2ED7" w14:textId="613F9F8B" w:rsidR="000E61AF" w:rsidRPr="00C30CB6" w:rsidRDefault="000E61AF" w:rsidP="000E61AF">
      <w:pPr>
        <w:jc w:val="center"/>
        <w:rPr>
          <w:b/>
          <w:bCs/>
        </w:rPr>
      </w:pPr>
      <w:r>
        <w:rPr>
          <w:b/>
          <w:bCs/>
        </w:rPr>
        <w:t>WNIOSEK</w:t>
      </w:r>
    </w:p>
    <w:p w14:paraId="256730C2" w14:textId="77777777" w:rsidR="00C30CB6" w:rsidRPr="00C30CB6" w:rsidRDefault="00C30CB6" w:rsidP="006234F8">
      <w:pPr>
        <w:jc w:val="both"/>
      </w:pPr>
      <w:r w:rsidRPr="00C30CB6">
        <w:t>Wnoszę o rozpatrzenie niniejszej petycji i poinformowanie o zajętym stanowisku w terminie przewidzianym przez ustawę o petycjach.</w:t>
      </w:r>
    </w:p>
    <w:p w14:paraId="720232E7" w14:textId="6FA30256" w:rsidR="00543CEF" w:rsidRDefault="005E3280" w:rsidP="00972BDF">
      <w:r>
        <w:t>Nie</w:t>
      </w:r>
      <w:r w:rsidR="00543CEF" w:rsidRPr="00543CEF">
        <w:t xml:space="preserve"> wyrażam zgody na ujawnienie na stronie internetowej podmiotu rozpatrującego petycję moich danych osobowych.</w:t>
      </w:r>
    </w:p>
    <w:p w14:paraId="4D88D94B" w14:textId="2309B3C8" w:rsidR="00B91D6B" w:rsidRDefault="00B91D6B" w:rsidP="00972BDF"/>
    <w:p w14:paraId="5412BDD8" w14:textId="77777777" w:rsidR="004D62E1" w:rsidRPr="004D62E1" w:rsidRDefault="004D62E1" w:rsidP="004D62E1">
      <w:r w:rsidRPr="004D62E1">
        <w:rPr>
          <w:b/>
          <w:bCs/>
        </w:rPr>
        <w:t>Załączniki:</w:t>
      </w:r>
    </w:p>
    <w:p w14:paraId="6E09EF18" w14:textId="3A3CD0E7" w:rsidR="004D62E1" w:rsidRPr="004D62E1" w:rsidRDefault="00B91D6B" w:rsidP="004D62E1">
      <w:pPr>
        <w:numPr>
          <w:ilvl w:val="0"/>
          <w:numId w:val="3"/>
        </w:numPr>
      </w:pPr>
      <w:r>
        <w:t>DTR</w:t>
      </w:r>
      <w:r w:rsidR="004D62E1" w:rsidRPr="004D62E1">
        <w:t xml:space="preserve"> centrali </w:t>
      </w:r>
      <w:proofErr w:type="spellStart"/>
      <w:r w:rsidR="004D62E1" w:rsidRPr="004D62E1">
        <w:t>mcr</w:t>
      </w:r>
      <w:proofErr w:type="spellEnd"/>
      <w:r w:rsidR="004D62E1" w:rsidRPr="004D62E1">
        <w:t xml:space="preserve"> OMEGA pro firmy </w:t>
      </w:r>
      <w:proofErr w:type="spellStart"/>
      <w:r w:rsidR="004D62E1" w:rsidRPr="004D62E1">
        <w:t>Mercor</w:t>
      </w:r>
      <w:proofErr w:type="spellEnd"/>
      <w:r w:rsidR="004D62E1" w:rsidRPr="004D62E1">
        <w:t xml:space="preserve"> S.A. </w:t>
      </w:r>
      <w:r w:rsidR="009B4FC8">
        <w:t>-</w:t>
      </w:r>
      <w:r w:rsidR="004D62E1" w:rsidRPr="004D62E1">
        <w:t xml:space="preserve"> zapisy dotyczące wymogu autoryzowanego serwisu (rozdział 9 Konserwacja i Serwis)</w:t>
      </w:r>
    </w:p>
    <w:p w14:paraId="0E264D94" w14:textId="67F16A2A" w:rsidR="004D62E1" w:rsidRPr="004D62E1" w:rsidRDefault="004D62E1" w:rsidP="004D62E1">
      <w:pPr>
        <w:numPr>
          <w:ilvl w:val="0"/>
          <w:numId w:val="3"/>
        </w:numPr>
      </w:pPr>
      <w:r w:rsidRPr="004D62E1">
        <w:t>DTR klapy KWP-P firmy SMAY Sp. z o.o.</w:t>
      </w:r>
      <w:r w:rsidR="009B4FC8">
        <w:t xml:space="preserve"> -</w:t>
      </w:r>
      <w:r w:rsidRPr="004D62E1">
        <w:t xml:space="preserve"> zapisy dotyczące wymogu autoryzowanego serwisu (rozdział 10 i 12)</w:t>
      </w:r>
    </w:p>
    <w:p w14:paraId="6E7AE2EE" w14:textId="174996D0" w:rsidR="004D62E1" w:rsidRPr="004D62E1" w:rsidRDefault="004D62E1" w:rsidP="004D62E1">
      <w:pPr>
        <w:numPr>
          <w:ilvl w:val="0"/>
          <w:numId w:val="3"/>
        </w:numPr>
      </w:pPr>
      <w:r w:rsidRPr="004D62E1">
        <w:t xml:space="preserve">Harmonogram szkoleń CNBOP-PIB na rok 2026 </w:t>
      </w:r>
      <w:r w:rsidR="009B4FC8">
        <w:t>-</w:t>
      </w:r>
      <w:r w:rsidRPr="004D62E1">
        <w:t xml:space="preserve"> potwierdzający istnienie niezależnych, branżowych ścieżek kształcenia w zakresie konserwacji urządzeń przeciwpożarowych</w:t>
      </w:r>
    </w:p>
    <w:p w14:paraId="38F1A329" w14:textId="7098E6D7" w:rsidR="002D7241" w:rsidRDefault="004D62E1" w:rsidP="0064438F">
      <w:pPr>
        <w:numPr>
          <w:ilvl w:val="0"/>
          <w:numId w:val="3"/>
        </w:numPr>
      </w:pPr>
      <w:r w:rsidRPr="004D62E1">
        <w:t>Publiczna informacja firmy SMAY Sp. z o.o. o zakończeniu zewnętrznego programu szkoleń serwisowych z końcem stycznia 2024 r.</w:t>
      </w:r>
    </w:p>
    <w:sectPr w:rsidR="002D7241" w:rsidSect="00972B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236"/>
    <w:multiLevelType w:val="multilevel"/>
    <w:tmpl w:val="F738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E0144"/>
    <w:multiLevelType w:val="multilevel"/>
    <w:tmpl w:val="8A5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32765"/>
    <w:multiLevelType w:val="multilevel"/>
    <w:tmpl w:val="2144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DF"/>
    <w:rsid w:val="00026714"/>
    <w:rsid w:val="000E61AF"/>
    <w:rsid w:val="002D7241"/>
    <w:rsid w:val="00305271"/>
    <w:rsid w:val="004540B8"/>
    <w:rsid w:val="004634F3"/>
    <w:rsid w:val="004D62E1"/>
    <w:rsid w:val="00543CEF"/>
    <w:rsid w:val="00592B7C"/>
    <w:rsid w:val="005B267A"/>
    <w:rsid w:val="005E3280"/>
    <w:rsid w:val="006234F8"/>
    <w:rsid w:val="0064438F"/>
    <w:rsid w:val="006B6561"/>
    <w:rsid w:val="00751641"/>
    <w:rsid w:val="0077355B"/>
    <w:rsid w:val="0078615E"/>
    <w:rsid w:val="007913AC"/>
    <w:rsid w:val="00835E53"/>
    <w:rsid w:val="008B5B4B"/>
    <w:rsid w:val="008F0910"/>
    <w:rsid w:val="009642CC"/>
    <w:rsid w:val="00972BDF"/>
    <w:rsid w:val="009B4FC8"/>
    <w:rsid w:val="00B91D6B"/>
    <w:rsid w:val="00BE5AA1"/>
    <w:rsid w:val="00C30CB6"/>
    <w:rsid w:val="00C42E1D"/>
    <w:rsid w:val="00D468EE"/>
    <w:rsid w:val="00E844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5EAB"/>
  <w15:chartTrackingRefBased/>
  <w15:docId w15:val="{682A7A45-26F8-4E5A-9B66-4DA6A22A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BDF"/>
  </w:style>
  <w:style w:type="paragraph" w:styleId="Nagwek1">
    <w:name w:val="heading 1"/>
    <w:basedOn w:val="Normalny"/>
    <w:next w:val="Normalny"/>
    <w:link w:val="Nagwek1Znak"/>
    <w:uiPriority w:val="9"/>
    <w:qFormat/>
    <w:rsid w:val="0097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7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72B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72B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72B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72B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2B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2B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2B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2B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72B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72B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72B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72B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72B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2B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2B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2BDF"/>
    <w:rPr>
      <w:rFonts w:eastAsiaTheme="majorEastAsia" w:cstheme="majorBidi"/>
      <w:color w:val="272727" w:themeColor="text1" w:themeTint="D8"/>
    </w:rPr>
  </w:style>
  <w:style w:type="paragraph" w:styleId="Tytu">
    <w:name w:val="Title"/>
    <w:basedOn w:val="Normalny"/>
    <w:next w:val="Normalny"/>
    <w:link w:val="TytuZnak"/>
    <w:uiPriority w:val="10"/>
    <w:qFormat/>
    <w:rsid w:val="0097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2B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2B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2B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2BDF"/>
    <w:pPr>
      <w:spacing w:before="160"/>
      <w:jc w:val="center"/>
    </w:pPr>
    <w:rPr>
      <w:i/>
      <w:iCs/>
      <w:color w:val="404040" w:themeColor="text1" w:themeTint="BF"/>
    </w:rPr>
  </w:style>
  <w:style w:type="character" w:customStyle="1" w:styleId="CytatZnak">
    <w:name w:val="Cytat Znak"/>
    <w:basedOn w:val="Domylnaczcionkaakapitu"/>
    <w:link w:val="Cytat"/>
    <w:uiPriority w:val="29"/>
    <w:rsid w:val="00972BDF"/>
    <w:rPr>
      <w:i/>
      <w:iCs/>
      <w:color w:val="404040" w:themeColor="text1" w:themeTint="BF"/>
    </w:rPr>
  </w:style>
  <w:style w:type="paragraph" w:styleId="Akapitzlist">
    <w:name w:val="List Paragraph"/>
    <w:basedOn w:val="Normalny"/>
    <w:uiPriority w:val="34"/>
    <w:qFormat/>
    <w:rsid w:val="00972BDF"/>
    <w:pPr>
      <w:ind w:left="720"/>
      <w:contextualSpacing/>
    </w:pPr>
  </w:style>
  <w:style w:type="character" w:styleId="Wyrnienieintensywne">
    <w:name w:val="Intense Emphasis"/>
    <w:basedOn w:val="Domylnaczcionkaakapitu"/>
    <w:uiPriority w:val="21"/>
    <w:qFormat/>
    <w:rsid w:val="00972BDF"/>
    <w:rPr>
      <w:i/>
      <w:iCs/>
      <w:color w:val="0F4761" w:themeColor="accent1" w:themeShade="BF"/>
    </w:rPr>
  </w:style>
  <w:style w:type="paragraph" w:styleId="Cytatintensywny">
    <w:name w:val="Intense Quote"/>
    <w:basedOn w:val="Normalny"/>
    <w:next w:val="Normalny"/>
    <w:link w:val="CytatintensywnyZnak"/>
    <w:uiPriority w:val="30"/>
    <w:qFormat/>
    <w:rsid w:val="0097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72BDF"/>
    <w:rPr>
      <w:i/>
      <w:iCs/>
      <w:color w:val="0F4761" w:themeColor="accent1" w:themeShade="BF"/>
    </w:rPr>
  </w:style>
  <w:style w:type="character" w:styleId="Odwoanieintensywne">
    <w:name w:val="Intense Reference"/>
    <w:basedOn w:val="Domylnaczcionkaakapitu"/>
    <w:uiPriority w:val="32"/>
    <w:qFormat/>
    <w:rsid w:val="00972BDF"/>
    <w:rPr>
      <w:b/>
      <w:bCs/>
      <w:smallCaps/>
      <w:color w:val="0F4761" w:themeColor="accent1" w:themeShade="BF"/>
      <w:spacing w:val="5"/>
    </w:rPr>
  </w:style>
  <w:style w:type="paragraph" w:styleId="Bezodstpw">
    <w:name w:val="No Spacing"/>
    <w:uiPriority w:val="1"/>
    <w:qFormat/>
    <w:rsid w:val="00972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2343</Words>
  <Characters>13357</Characters>
  <Application>Microsoft Office Word</Application>
  <DocSecurity>0</DocSecurity>
  <Lines>111</Lines>
  <Paragraphs>31</Paragraphs>
  <ScaleCrop>false</ScaleCrop>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Staszczyk</dc:creator>
  <cp:keywords/>
  <dc:description/>
  <cp:lastModifiedBy>Tymczyszyn Paweł</cp:lastModifiedBy>
  <cp:revision>2</cp:revision>
  <cp:lastPrinted>2026-03-31T09:32:00Z</cp:lastPrinted>
  <dcterms:created xsi:type="dcterms:W3CDTF">2026-06-18T14:30:00Z</dcterms:created>
  <dcterms:modified xsi:type="dcterms:W3CDTF">2026-06-18T14:30:00Z</dcterms:modified>
</cp:coreProperties>
</file>