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4722C3FC" w:rsidR="009276B2" w:rsidRPr="001C051E" w:rsidRDefault="009276B2" w:rsidP="00190FA0">
      <w:pPr>
        <w:spacing w:after="0" w:line="260" w:lineRule="exact"/>
        <w:rPr>
          <w:rFonts w:ascii="Lato" w:hAnsi="Lato"/>
          <w:spacing w:val="4"/>
        </w:rPr>
      </w:pPr>
      <w:r w:rsidRPr="001C051E">
        <w:rPr>
          <w:rFonts w:ascii="Lato" w:hAnsi="Lato"/>
          <w:spacing w:val="4"/>
        </w:rPr>
        <w:t xml:space="preserve">Znak </w:t>
      </w:r>
      <w:r w:rsidR="00D876AA" w:rsidRPr="001C051E">
        <w:rPr>
          <w:rFonts w:ascii="Lato" w:hAnsi="Lato"/>
          <w:spacing w:val="4"/>
        </w:rPr>
        <w:t>sprawy</w:t>
      </w:r>
      <w:r w:rsidR="00B36262" w:rsidRPr="001C051E">
        <w:rPr>
          <w:rFonts w:ascii="Lato" w:hAnsi="Lato"/>
          <w:spacing w:val="4"/>
        </w:rPr>
        <w:t>:</w:t>
      </w:r>
      <w:r w:rsidR="002830CF" w:rsidRPr="001C051E">
        <w:rPr>
          <w:rFonts w:ascii="Lato" w:hAnsi="Lato"/>
          <w:spacing w:val="4"/>
        </w:rPr>
        <w:t xml:space="preserve"> </w:t>
      </w:r>
      <w:r w:rsidR="00697B5C" w:rsidRPr="001C051E">
        <w:rPr>
          <w:rFonts w:ascii="Lato" w:hAnsi="Lato"/>
          <w:spacing w:val="4"/>
        </w:rPr>
        <w:t>DLI-I</w:t>
      </w:r>
      <w:r w:rsidR="00C32FEB" w:rsidRPr="001C051E">
        <w:rPr>
          <w:rFonts w:ascii="Lato" w:hAnsi="Lato"/>
          <w:spacing w:val="4"/>
        </w:rPr>
        <w:t>.</w:t>
      </w:r>
      <w:r w:rsidR="00A852A3" w:rsidRPr="001C051E">
        <w:rPr>
          <w:rFonts w:ascii="Lato" w:hAnsi="Lato"/>
          <w:spacing w:val="4"/>
        </w:rPr>
        <w:t>7620.</w:t>
      </w:r>
      <w:r w:rsidR="00C8106B">
        <w:rPr>
          <w:rFonts w:ascii="Lato" w:hAnsi="Lato"/>
          <w:spacing w:val="4"/>
        </w:rPr>
        <w:t>23.2024.APR.1</w:t>
      </w:r>
      <w:r w:rsidR="00AD501C">
        <w:rPr>
          <w:rFonts w:ascii="Lato" w:hAnsi="Lato"/>
          <w:spacing w:val="4"/>
        </w:rPr>
        <w:t>2</w:t>
      </w:r>
      <w:r w:rsidR="00C8106B">
        <w:rPr>
          <w:rFonts w:ascii="Lato" w:hAnsi="Lato"/>
          <w:spacing w:val="4"/>
        </w:rPr>
        <w:t xml:space="preserve"> (HW)</w:t>
      </w:r>
    </w:p>
    <w:p w14:paraId="45F8E480" w14:textId="19DAD615" w:rsidR="009276B2" w:rsidRPr="001C051E" w:rsidRDefault="006E7A16" w:rsidP="006B473A">
      <w:pPr>
        <w:spacing w:after="600" w:line="260" w:lineRule="exact"/>
        <w:rPr>
          <w:rFonts w:ascii="Lato" w:hAnsi="Lato"/>
          <w:spacing w:val="4"/>
        </w:rPr>
      </w:pPr>
      <w:r w:rsidRPr="001C051E">
        <w:rPr>
          <w:rFonts w:ascii="Lato" w:hAnsi="Lato"/>
          <w:spacing w:val="4"/>
        </w:rPr>
        <w:t>Warszawa,</w:t>
      </w:r>
      <w:bookmarkStart w:id="0" w:name="ezdDataPodpisu"/>
      <w:r w:rsidR="00864949">
        <w:rPr>
          <w:rFonts w:ascii="Lato" w:hAnsi="Lato"/>
          <w:spacing w:val="4"/>
        </w:rPr>
        <w:t xml:space="preserve"> 16</w:t>
      </w:r>
      <w:r w:rsidR="00F90C9A">
        <w:rPr>
          <w:rFonts w:ascii="Lato" w:hAnsi="Lato"/>
          <w:spacing w:val="4"/>
        </w:rPr>
        <w:t xml:space="preserve"> stycznia 2026 r. </w:t>
      </w:r>
      <w:bookmarkEnd w:id="0"/>
    </w:p>
    <w:p w14:paraId="7DEA8DCC" w14:textId="561E44DA" w:rsidR="0008300C" w:rsidRPr="001C051E" w:rsidRDefault="001652ED" w:rsidP="00894E96">
      <w:pPr>
        <w:spacing w:after="360" w:line="240" w:lineRule="exact"/>
        <w:jc w:val="center"/>
        <w:rPr>
          <w:rFonts w:ascii="Lato" w:hAnsi="Lato"/>
        </w:rPr>
      </w:pPr>
      <w:r w:rsidRPr="001C051E">
        <w:rPr>
          <w:rFonts w:ascii="Lato" w:hAnsi="Lato"/>
          <w:b/>
        </w:rPr>
        <w:t>DECYZJA</w:t>
      </w:r>
    </w:p>
    <w:p w14:paraId="3A37740D" w14:textId="426B0899" w:rsidR="001D44E6" w:rsidRPr="001C051E" w:rsidRDefault="0008300C" w:rsidP="00190FA0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spacing w:val="4"/>
        </w:rPr>
        <w:t xml:space="preserve">Na podstawie art. </w:t>
      </w:r>
      <w:r w:rsidR="001D44E6" w:rsidRPr="001C051E">
        <w:rPr>
          <w:rFonts w:ascii="Lato" w:hAnsi="Lato" w:cs="Arial"/>
          <w:spacing w:val="4"/>
        </w:rPr>
        <w:t>1</w:t>
      </w:r>
      <w:r w:rsidR="00697B5C" w:rsidRPr="001C051E">
        <w:rPr>
          <w:rFonts w:ascii="Lato" w:hAnsi="Lato" w:cs="Arial"/>
          <w:spacing w:val="4"/>
        </w:rPr>
        <w:t>38 § 1 pkt</w:t>
      </w:r>
      <w:r w:rsidR="00A05E74" w:rsidRPr="001C051E">
        <w:rPr>
          <w:rFonts w:ascii="Lato" w:hAnsi="Lato" w:cs="Arial"/>
          <w:spacing w:val="4"/>
        </w:rPr>
        <w:t xml:space="preserve"> 1</w:t>
      </w:r>
      <w:r w:rsidR="001D44E6" w:rsidRPr="001C051E">
        <w:rPr>
          <w:rFonts w:ascii="Lato" w:hAnsi="Lato" w:cs="Arial"/>
          <w:spacing w:val="4"/>
        </w:rPr>
        <w:t xml:space="preserve"> </w:t>
      </w:r>
      <w:r w:rsidRPr="001C051E">
        <w:rPr>
          <w:rFonts w:ascii="Lato" w:hAnsi="Lato" w:cs="Arial"/>
          <w:spacing w:val="4"/>
        </w:rPr>
        <w:t>ustawy z dnia 14 czerwca 1960 r. – Kodeks postępowania administracyjnego (</w:t>
      </w:r>
      <w:proofErr w:type="spellStart"/>
      <w:r w:rsidRPr="001C051E">
        <w:rPr>
          <w:rFonts w:ascii="Lato" w:hAnsi="Lato" w:cs="Arial"/>
          <w:spacing w:val="4"/>
        </w:rPr>
        <w:t>t.j</w:t>
      </w:r>
      <w:proofErr w:type="spellEnd"/>
      <w:r w:rsidRPr="001C051E">
        <w:rPr>
          <w:rFonts w:ascii="Lato" w:hAnsi="Lato" w:cs="Arial"/>
          <w:spacing w:val="4"/>
        </w:rPr>
        <w:t>. Dz.U. z 202</w:t>
      </w:r>
      <w:r w:rsidR="00C8106B">
        <w:rPr>
          <w:rFonts w:ascii="Lato" w:hAnsi="Lato" w:cs="Arial"/>
          <w:spacing w:val="4"/>
        </w:rPr>
        <w:t>5</w:t>
      </w:r>
      <w:r w:rsidRPr="001C051E">
        <w:rPr>
          <w:rFonts w:ascii="Lato" w:hAnsi="Lato" w:cs="Arial"/>
          <w:spacing w:val="4"/>
        </w:rPr>
        <w:t xml:space="preserve"> r. poz.</w:t>
      </w:r>
      <w:r w:rsidR="00C8106B">
        <w:rPr>
          <w:rFonts w:ascii="Lato" w:hAnsi="Lato" w:cs="Arial"/>
          <w:spacing w:val="4"/>
        </w:rPr>
        <w:t xml:space="preserve"> 1691</w:t>
      </w:r>
      <w:r w:rsidRPr="001C051E">
        <w:rPr>
          <w:rFonts w:ascii="Lato" w:hAnsi="Lato" w:cs="Arial"/>
          <w:spacing w:val="4"/>
        </w:rPr>
        <w:t xml:space="preserve">), zwanej dalej „kpa”, </w:t>
      </w:r>
      <w:r w:rsidR="006F24D2" w:rsidRPr="001C051E">
        <w:rPr>
          <w:rFonts w:ascii="Lato" w:hAnsi="Lato" w:cs="Arial"/>
          <w:spacing w:val="4"/>
        </w:rPr>
        <w:t xml:space="preserve">oraz </w:t>
      </w:r>
      <w:r w:rsidR="00447F5E" w:rsidRPr="001C051E">
        <w:rPr>
          <w:rFonts w:ascii="Lato" w:hAnsi="Lato" w:cs="Arial"/>
          <w:bCs/>
          <w:spacing w:val="4"/>
        </w:rPr>
        <w:t xml:space="preserve">art. 5 ust. 4 </w:t>
      </w:r>
      <w:r w:rsidR="00F90C9A">
        <w:rPr>
          <w:rFonts w:ascii="Lato" w:hAnsi="Lato" w:cs="Arial"/>
          <w:bCs/>
          <w:spacing w:val="4"/>
        </w:rPr>
        <w:br/>
        <w:t xml:space="preserve">w zw. z art. 3b </w:t>
      </w:r>
      <w:r w:rsidR="00447F5E" w:rsidRPr="001C051E">
        <w:rPr>
          <w:rFonts w:ascii="Lato" w:hAnsi="Lato" w:cs="Arial"/>
          <w:bCs/>
          <w:spacing w:val="4"/>
        </w:rPr>
        <w:t xml:space="preserve">ustawy z dnia 24 lipca 2015 r. o przygotowaniu i realizacji strategicznych inwestycji w </w:t>
      </w:r>
      <w:r w:rsidR="009462E2">
        <w:rPr>
          <w:rFonts w:ascii="Lato" w:hAnsi="Lato" w:cs="Arial"/>
          <w:bCs/>
          <w:spacing w:val="4"/>
        </w:rPr>
        <w:t> </w:t>
      </w:r>
      <w:r w:rsidR="00447F5E" w:rsidRPr="001C051E">
        <w:rPr>
          <w:rFonts w:ascii="Lato" w:hAnsi="Lato" w:cs="Arial"/>
          <w:bCs/>
          <w:spacing w:val="4"/>
        </w:rPr>
        <w:t>zakresie sieci przesyłowych</w:t>
      </w:r>
      <w:r w:rsidR="00697B5C" w:rsidRPr="001C051E">
        <w:rPr>
          <w:rFonts w:ascii="Lato" w:hAnsi="Lato" w:cs="Arial"/>
          <w:spacing w:val="4"/>
        </w:rPr>
        <w:t xml:space="preserve"> (</w:t>
      </w:r>
      <w:proofErr w:type="spellStart"/>
      <w:r w:rsidR="00697B5C" w:rsidRPr="001C051E">
        <w:rPr>
          <w:rFonts w:ascii="Lato" w:hAnsi="Lato" w:cs="Arial"/>
          <w:spacing w:val="4"/>
        </w:rPr>
        <w:t>t.j</w:t>
      </w:r>
      <w:proofErr w:type="spellEnd"/>
      <w:r w:rsidR="00697B5C" w:rsidRPr="001C051E">
        <w:rPr>
          <w:rFonts w:ascii="Lato" w:hAnsi="Lato" w:cs="Arial"/>
          <w:spacing w:val="4"/>
        </w:rPr>
        <w:t>.</w:t>
      </w:r>
      <w:r w:rsidR="00884C76" w:rsidRPr="001C051E">
        <w:rPr>
          <w:rFonts w:ascii="Lato" w:hAnsi="Lato" w:cs="Arial"/>
          <w:spacing w:val="4"/>
        </w:rPr>
        <w:t xml:space="preserve"> Dz.U. z 2024 r. poz. 1199)</w:t>
      </w:r>
      <w:r w:rsidR="00697B5C" w:rsidRPr="001C051E">
        <w:rPr>
          <w:rFonts w:ascii="Lato" w:hAnsi="Lato" w:cs="Arial"/>
          <w:spacing w:val="4"/>
        </w:rPr>
        <w:t>, zwanej dalej „specustawą przesyłową”</w:t>
      </w:r>
      <w:r w:rsidR="006F24D2" w:rsidRPr="001C051E">
        <w:rPr>
          <w:rFonts w:ascii="Lato" w:hAnsi="Lato" w:cs="Arial"/>
          <w:spacing w:val="4"/>
        </w:rPr>
        <w:t>,</w:t>
      </w:r>
      <w:r w:rsidR="00E91DFA" w:rsidRPr="001C051E">
        <w:rPr>
          <w:rFonts w:ascii="Lato" w:hAnsi="Lato" w:cs="Arial"/>
          <w:spacing w:val="4"/>
        </w:rPr>
        <w:t xml:space="preserve"> </w:t>
      </w:r>
      <w:r w:rsidR="001D44E6" w:rsidRPr="001C051E">
        <w:rPr>
          <w:rFonts w:ascii="Lato" w:hAnsi="Lato" w:cs="Arial"/>
          <w:spacing w:val="4"/>
        </w:rPr>
        <w:t xml:space="preserve">po rozpatrzeniu </w:t>
      </w:r>
      <w:r w:rsidR="000115E9" w:rsidRPr="001C051E">
        <w:rPr>
          <w:rFonts w:ascii="Lato" w:hAnsi="Lato" w:cs="Arial"/>
          <w:spacing w:val="4"/>
        </w:rPr>
        <w:t>odwołania</w:t>
      </w:r>
      <w:r w:rsidR="001D44E6" w:rsidRPr="001C051E">
        <w:rPr>
          <w:rFonts w:ascii="Lato" w:hAnsi="Lato" w:cs="Arial"/>
          <w:spacing w:val="4"/>
        </w:rPr>
        <w:t xml:space="preserve"> </w:t>
      </w:r>
      <w:bookmarkStart w:id="1" w:name="_Hlk214797013"/>
      <w:r w:rsidR="0035767B" w:rsidRPr="001C051E">
        <w:rPr>
          <w:rFonts w:ascii="Lato" w:hAnsi="Lato" w:cs="Arial"/>
          <w:bCs/>
          <w:spacing w:val="4"/>
        </w:rPr>
        <w:t xml:space="preserve">Pana </w:t>
      </w:r>
      <w:bookmarkEnd w:id="1"/>
      <w:r w:rsidR="00D8127E">
        <w:rPr>
          <w:rFonts w:ascii="Lato" w:hAnsi="Lato" w:cs="Arial"/>
          <w:bCs/>
          <w:spacing w:val="4"/>
        </w:rPr>
        <w:t>A</w:t>
      </w:r>
      <w:r w:rsidR="00BB200F">
        <w:rPr>
          <w:rFonts w:ascii="Lato" w:hAnsi="Lato" w:cs="Arial"/>
          <w:bCs/>
          <w:spacing w:val="4"/>
        </w:rPr>
        <w:t>.</w:t>
      </w:r>
      <w:r w:rsidR="00D8127E">
        <w:rPr>
          <w:rFonts w:ascii="Lato" w:hAnsi="Lato" w:cs="Arial"/>
          <w:bCs/>
          <w:spacing w:val="4"/>
        </w:rPr>
        <w:t xml:space="preserve"> B</w:t>
      </w:r>
      <w:r w:rsidR="00BB200F">
        <w:rPr>
          <w:rFonts w:ascii="Lato" w:hAnsi="Lato" w:cs="Arial"/>
          <w:bCs/>
          <w:spacing w:val="4"/>
        </w:rPr>
        <w:t>.</w:t>
      </w:r>
      <w:r w:rsidR="00D8127E">
        <w:rPr>
          <w:rFonts w:ascii="Lato" w:hAnsi="Lato" w:cs="Arial"/>
          <w:bCs/>
          <w:spacing w:val="4"/>
        </w:rPr>
        <w:t xml:space="preserve"> i Pani B</w:t>
      </w:r>
      <w:r w:rsidR="00BB200F">
        <w:rPr>
          <w:rFonts w:ascii="Lato" w:hAnsi="Lato" w:cs="Arial"/>
          <w:bCs/>
          <w:spacing w:val="4"/>
        </w:rPr>
        <w:t>.</w:t>
      </w:r>
      <w:r w:rsidR="00D8127E">
        <w:rPr>
          <w:rFonts w:ascii="Lato" w:hAnsi="Lato" w:cs="Arial"/>
          <w:bCs/>
          <w:spacing w:val="4"/>
        </w:rPr>
        <w:t xml:space="preserve"> B</w:t>
      </w:r>
      <w:r w:rsidR="00BB200F">
        <w:rPr>
          <w:rFonts w:ascii="Lato" w:hAnsi="Lato" w:cs="Arial"/>
          <w:bCs/>
          <w:spacing w:val="4"/>
        </w:rPr>
        <w:t xml:space="preserve">. </w:t>
      </w:r>
      <w:r w:rsidR="00056D9E" w:rsidRPr="001C051E">
        <w:rPr>
          <w:rFonts w:ascii="Lato" w:hAnsi="Lato" w:cs="Arial"/>
          <w:spacing w:val="4"/>
        </w:rPr>
        <w:t>od</w:t>
      </w:r>
      <w:r w:rsidR="000115E9" w:rsidRPr="001C051E">
        <w:rPr>
          <w:rFonts w:ascii="Lato" w:hAnsi="Lato" w:cs="Arial"/>
          <w:spacing w:val="4"/>
        </w:rPr>
        <w:t xml:space="preserve"> decyzji</w:t>
      </w:r>
      <w:r w:rsidR="00447F5E" w:rsidRPr="001C051E">
        <w:rPr>
          <w:rFonts w:ascii="Lato" w:hAnsi="Lato" w:cs="Arial"/>
          <w:spacing w:val="4"/>
        </w:rPr>
        <w:t xml:space="preserve"> </w:t>
      </w:r>
      <w:bookmarkStart w:id="2" w:name="_Hlk136434409"/>
      <w:bookmarkStart w:id="3" w:name="_Hlk187401417"/>
      <w:r w:rsidR="00A05E74" w:rsidRPr="001C051E">
        <w:rPr>
          <w:rFonts w:ascii="Lato" w:hAnsi="Lato" w:cs="Arial"/>
          <w:bCs/>
          <w:spacing w:val="4"/>
        </w:rPr>
        <w:t xml:space="preserve">Wojewody </w:t>
      </w:r>
      <w:r w:rsidR="00D8127E">
        <w:rPr>
          <w:rFonts w:ascii="Lato" w:hAnsi="Lato" w:cs="Arial"/>
          <w:bCs/>
          <w:spacing w:val="4"/>
        </w:rPr>
        <w:t>Podkarpacki</w:t>
      </w:r>
      <w:r w:rsidR="002345F3">
        <w:rPr>
          <w:rFonts w:ascii="Lato" w:hAnsi="Lato" w:cs="Arial"/>
          <w:bCs/>
          <w:spacing w:val="4"/>
        </w:rPr>
        <w:t>ego</w:t>
      </w:r>
      <w:r w:rsidR="00DA0450">
        <w:rPr>
          <w:rFonts w:ascii="Lato" w:hAnsi="Lato" w:cs="Arial"/>
          <w:bCs/>
          <w:spacing w:val="4"/>
        </w:rPr>
        <w:t xml:space="preserve"> </w:t>
      </w:r>
      <w:r w:rsidR="00056D9E" w:rsidRPr="001C051E">
        <w:rPr>
          <w:rFonts w:ascii="Lato" w:hAnsi="Lato" w:cs="Arial"/>
          <w:bCs/>
          <w:spacing w:val="4"/>
        </w:rPr>
        <w:t xml:space="preserve">z dnia </w:t>
      </w:r>
      <w:r w:rsidR="00DA0450">
        <w:rPr>
          <w:rFonts w:ascii="Lato" w:hAnsi="Lato" w:cs="Arial"/>
          <w:bCs/>
          <w:spacing w:val="4"/>
        </w:rPr>
        <w:t>7</w:t>
      </w:r>
      <w:r w:rsidR="00056D9E" w:rsidRPr="001C051E">
        <w:rPr>
          <w:rFonts w:ascii="Lato" w:hAnsi="Lato" w:cs="Arial"/>
          <w:bCs/>
          <w:spacing w:val="4"/>
        </w:rPr>
        <w:t xml:space="preserve"> </w:t>
      </w:r>
      <w:r w:rsidR="00DA0450">
        <w:rPr>
          <w:rFonts w:ascii="Lato" w:hAnsi="Lato" w:cs="Arial"/>
          <w:bCs/>
          <w:spacing w:val="4"/>
        </w:rPr>
        <w:t>sierp</w:t>
      </w:r>
      <w:r w:rsidR="00CE646D">
        <w:rPr>
          <w:rFonts w:ascii="Lato" w:hAnsi="Lato" w:cs="Arial"/>
          <w:bCs/>
          <w:spacing w:val="4"/>
        </w:rPr>
        <w:t>nia</w:t>
      </w:r>
      <w:r w:rsidR="00056D9E" w:rsidRPr="001C051E">
        <w:rPr>
          <w:rFonts w:ascii="Lato" w:hAnsi="Lato" w:cs="Arial"/>
          <w:bCs/>
          <w:spacing w:val="4"/>
        </w:rPr>
        <w:t xml:space="preserve"> 2024 r., </w:t>
      </w:r>
      <w:bookmarkStart w:id="4" w:name="_Hlk214798417"/>
      <w:r w:rsidR="00056D9E" w:rsidRPr="001C051E">
        <w:rPr>
          <w:rFonts w:ascii="Lato" w:hAnsi="Lato" w:cs="Arial"/>
          <w:bCs/>
          <w:spacing w:val="4"/>
        </w:rPr>
        <w:t>znak:</w:t>
      </w:r>
      <w:bookmarkEnd w:id="4"/>
      <w:r w:rsidR="00DA0450">
        <w:rPr>
          <w:rFonts w:ascii="Lato" w:hAnsi="Lato" w:cs="Arial"/>
          <w:bCs/>
          <w:spacing w:val="4"/>
        </w:rPr>
        <w:t xml:space="preserve"> N-VIII.747.4.4.2024</w:t>
      </w:r>
      <w:r w:rsidR="00A05E74" w:rsidRPr="001C051E">
        <w:rPr>
          <w:rFonts w:ascii="Lato" w:hAnsi="Lato" w:cs="Arial"/>
          <w:bCs/>
          <w:spacing w:val="4"/>
        </w:rPr>
        <w:t xml:space="preserve">, o </w:t>
      </w:r>
      <w:r w:rsidR="001409F2">
        <w:rPr>
          <w:rFonts w:ascii="Lato" w:hAnsi="Lato" w:cs="Arial"/>
          <w:bCs/>
          <w:spacing w:val="4"/>
        </w:rPr>
        <w:t> </w:t>
      </w:r>
      <w:r w:rsidR="00A05E74" w:rsidRPr="001C051E">
        <w:rPr>
          <w:rFonts w:ascii="Lato" w:hAnsi="Lato" w:cs="Arial"/>
          <w:bCs/>
          <w:spacing w:val="4"/>
        </w:rPr>
        <w:t xml:space="preserve">ustaleniu </w:t>
      </w:r>
      <w:bookmarkStart w:id="5" w:name="_Hlk214796666"/>
      <w:r w:rsidR="00A05E74" w:rsidRPr="001C051E">
        <w:rPr>
          <w:rFonts w:ascii="Lato" w:hAnsi="Lato" w:cs="Arial"/>
          <w:bCs/>
          <w:spacing w:val="4"/>
        </w:rPr>
        <w:t xml:space="preserve">lokalizacji </w:t>
      </w:r>
      <w:bookmarkEnd w:id="2"/>
      <w:r w:rsidR="00056D9E" w:rsidRPr="001C051E">
        <w:rPr>
          <w:rFonts w:ascii="Lato" w:hAnsi="Lato" w:cs="Arial"/>
          <w:bCs/>
          <w:spacing w:val="4"/>
        </w:rPr>
        <w:t>inwestycji towarzyszącej strategicznej inwestycji w zakresie sieci przesyłowej</w:t>
      </w:r>
      <w:r w:rsidR="00741C5F">
        <w:rPr>
          <w:rFonts w:ascii="Lato" w:hAnsi="Lato" w:cs="Arial"/>
          <w:bCs/>
          <w:spacing w:val="4"/>
        </w:rPr>
        <w:t xml:space="preserve"> </w:t>
      </w:r>
      <w:r w:rsidR="00056D9E" w:rsidRPr="001C051E">
        <w:rPr>
          <w:rFonts w:ascii="Lato" w:hAnsi="Lato" w:cs="Arial"/>
          <w:bCs/>
          <w:spacing w:val="4"/>
        </w:rPr>
        <w:t>pn.: „</w:t>
      </w:r>
      <w:r w:rsidR="00DA0450">
        <w:rPr>
          <w:rFonts w:ascii="Lato" w:hAnsi="Lato" w:cs="Arial"/>
          <w:bCs/>
          <w:spacing w:val="4"/>
        </w:rPr>
        <w:t xml:space="preserve">Przebudowa linii napowietrznej 110 </w:t>
      </w:r>
      <w:proofErr w:type="spellStart"/>
      <w:r w:rsidR="00DA0450">
        <w:rPr>
          <w:rFonts w:ascii="Lato" w:hAnsi="Lato" w:cs="Arial"/>
          <w:bCs/>
          <w:spacing w:val="4"/>
        </w:rPr>
        <w:t>kV</w:t>
      </w:r>
      <w:proofErr w:type="spellEnd"/>
      <w:r w:rsidR="00DA0450">
        <w:rPr>
          <w:rFonts w:ascii="Lato" w:hAnsi="Lato" w:cs="Arial"/>
          <w:bCs/>
          <w:spacing w:val="4"/>
        </w:rPr>
        <w:t xml:space="preserve"> Tomaszów Południe – </w:t>
      </w:r>
      <w:r w:rsidR="001409F2">
        <w:rPr>
          <w:rFonts w:ascii="Lato" w:hAnsi="Lato" w:cs="Arial"/>
          <w:bCs/>
          <w:spacing w:val="4"/>
        </w:rPr>
        <w:t> </w:t>
      </w:r>
      <w:r w:rsidR="00DA0450">
        <w:rPr>
          <w:rFonts w:ascii="Lato" w:hAnsi="Lato" w:cs="Arial"/>
          <w:bCs/>
          <w:spacing w:val="4"/>
        </w:rPr>
        <w:t>Lubaczów”</w:t>
      </w:r>
      <w:r w:rsidR="00292E3B" w:rsidRPr="001C051E">
        <w:rPr>
          <w:rFonts w:ascii="Lato" w:hAnsi="Lato" w:cs="Arial"/>
          <w:bCs/>
          <w:spacing w:val="4"/>
        </w:rPr>
        <w:t>,</w:t>
      </w:r>
      <w:bookmarkEnd w:id="5"/>
    </w:p>
    <w:bookmarkEnd w:id="3"/>
    <w:p w14:paraId="361169A6" w14:textId="77777777" w:rsidR="00A05E74" w:rsidRPr="001C051E" w:rsidRDefault="00A05E74" w:rsidP="00A05E74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1C051E">
        <w:rPr>
          <w:rFonts w:ascii="Lato" w:hAnsi="Lato" w:cs="Arial"/>
          <w:b/>
          <w:spacing w:val="4"/>
        </w:rPr>
        <w:t>u</w:t>
      </w:r>
      <w:r w:rsidRPr="001C051E">
        <w:rPr>
          <w:rFonts w:ascii="Lato" w:hAnsi="Lato" w:cs="Arial"/>
          <w:b/>
          <w:bCs/>
          <w:spacing w:val="4"/>
        </w:rPr>
        <w:t>trzymuję w mocy zaskarżoną decyzję.</w:t>
      </w:r>
    </w:p>
    <w:p w14:paraId="7AD4B555" w14:textId="77777777" w:rsidR="00E331E2" w:rsidRPr="001C051E" w:rsidRDefault="00E331E2" w:rsidP="00E331E2">
      <w:pPr>
        <w:spacing w:after="240" w:line="240" w:lineRule="exact"/>
        <w:jc w:val="both"/>
        <w:rPr>
          <w:rFonts w:ascii="Lato" w:hAnsi="Lato" w:cs="Arial"/>
          <w:b/>
          <w:spacing w:val="4"/>
        </w:rPr>
      </w:pPr>
    </w:p>
    <w:p w14:paraId="603AA65E" w14:textId="5E0FB837" w:rsidR="0026582A" w:rsidRPr="001C051E" w:rsidRDefault="0026582A" w:rsidP="00CF3636">
      <w:pPr>
        <w:pStyle w:val="Akapitzlist"/>
        <w:spacing w:after="240" w:line="240" w:lineRule="exact"/>
        <w:ind w:left="74"/>
        <w:contextualSpacing w:val="0"/>
        <w:jc w:val="center"/>
        <w:outlineLvl w:val="0"/>
        <w:rPr>
          <w:rFonts w:ascii="Lato" w:hAnsi="Lato"/>
          <w:sz w:val="22"/>
          <w:szCs w:val="22"/>
        </w:rPr>
      </w:pPr>
      <w:r w:rsidRPr="001C051E">
        <w:rPr>
          <w:rFonts w:ascii="Lato" w:hAnsi="Lato" w:cs="Arial"/>
          <w:b/>
          <w:bCs/>
          <w:spacing w:val="4"/>
          <w:sz w:val="22"/>
          <w:szCs w:val="22"/>
        </w:rPr>
        <w:t>UZASADNIENIE</w:t>
      </w:r>
    </w:p>
    <w:p w14:paraId="18FD83D3" w14:textId="26D9AD66" w:rsidR="000D3688" w:rsidRPr="001C051E" w:rsidRDefault="004524B7" w:rsidP="000D3688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hAnsi="Lato"/>
          <w:bCs/>
          <w:spacing w:val="4"/>
        </w:rPr>
      </w:pPr>
      <w:r w:rsidRPr="001C051E">
        <w:rPr>
          <w:rFonts w:ascii="Lato" w:hAnsi="Lato"/>
          <w:bCs/>
          <w:spacing w:val="4"/>
        </w:rPr>
        <w:t xml:space="preserve">Wnioskiem z dnia </w:t>
      </w:r>
      <w:r w:rsidR="007E47A7">
        <w:rPr>
          <w:rFonts w:ascii="Lato" w:hAnsi="Lato"/>
          <w:bCs/>
          <w:spacing w:val="4"/>
        </w:rPr>
        <w:t>1</w:t>
      </w:r>
      <w:r w:rsidR="002345F3">
        <w:rPr>
          <w:rFonts w:ascii="Lato" w:hAnsi="Lato"/>
          <w:bCs/>
          <w:spacing w:val="4"/>
        </w:rPr>
        <w:t>7</w:t>
      </w:r>
      <w:r w:rsidR="007E47A7" w:rsidRPr="001C051E">
        <w:rPr>
          <w:rFonts w:ascii="Lato" w:hAnsi="Lato"/>
          <w:bCs/>
          <w:spacing w:val="4"/>
        </w:rPr>
        <w:t xml:space="preserve"> </w:t>
      </w:r>
      <w:r w:rsidR="00741C5F">
        <w:rPr>
          <w:rFonts w:ascii="Lato" w:hAnsi="Lato"/>
          <w:bCs/>
          <w:spacing w:val="4"/>
        </w:rPr>
        <w:t>czerwca</w:t>
      </w:r>
      <w:r w:rsidR="00292E3B" w:rsidRPr="001C051E">
        <w:rPr>
          <w:rFonts w:ascii="Lato" w:hAnsi="Lato"/>
          <w:bCs/>
          <w:spacing w:val="4"/>
        </w:rPr>
        <w:t xml:space="preserve"> 2024</w:t>
      </w:r>
      <w:r w:rsidR="00A05E74" w:rsidRPr="001C051E">
        <w:rPr>
          <w:rFonts w:ascii="Lato" w:hAnsi="Lato"/>
          <w:bCs/>
          <w:spacing w:val="4"/>
        </w:rPr>
        <w:t xml:space="preserve"> </w:t>
      </w:r>
      <w:r w:rsidRPr="001C051E">
        <w:rPr>
          <w:rFonts w:ascii="Lato" w:hAnsi="Lato"/>
          <w:bCs/>
          <w:spacing w:val="4"/>
        </w:rPr>
        <w:t xml:space="preserve">r., uzupełnionym w trakcie prowadzonego postępowania, </w:t>
      </w:r>
      <w:r w:rsidR="000D3688" w:rsidRPr="001C051E">
        <w:rPr>
          <w:rFonts w:ascii="Lato" w:hAnsi="Lato"/>
          <w:bCs/>
          <w:spacing w:val="4"/>
        </w:rPr>
        <w:t xml:space="preserve">spółka </w:t>
      </w:r>
      <w:bookmarkStart w:id="6" w:name="_Hlk214797522"/>
      <w:r w:rsidR="005A61CD">
        <w:rPr>
          <w:rFonts w:ascii="Lato" w:hAnsi="Lato"/>
          <w:bCs/>
          <w:spacing w:val="4"/>
        </w:rPr>
        <w:t>PGE Dystrybucja S.A.</w:t>
      </w:r>
      <w:r w:rsidR="00292E3B" w:rsidRPr="001C051E">
        <w:rPr>
          <w:rFonts w:ascii="Lato" w:hAnsi="Lato"/>
          <w:bCs/>
          <w:spacing w:val="4"/>
        </w:rPr>
        <w:t xml:space="preserve"> z siedzibą w </w:t>
      </w:r>
      <w:bookmarkEnd w:id="6"/>
      <w:r w:rsidR="005A61CD">
        <w:rPr>
          <w:rFonts w:ascii="Lato" w:hAnsi="Lato"/>
          <w:bCs/>
          <w:spacing w:val="4"/>
        </w:rPr>
        <w:t>Lublinie</w:t>
      </w:r>
      <w:r w:rsidR="000D3688" w:rsidRPr="001C051E">
        <w:rPr>
          <w:rFonts w:ascii="Lato" w:hAnsi="Lato"/>
          <w:bCs/>
          <w:spacing w:val="4"/>
        </w:rPr>
        <w:t>, zwana dalej „inwestorem”,</w:t>
      </w:r>
      <w:r w:rsidRPr="001C051E">
        <w:rPr>
          <w:rFonts w:ascii="Lato" w:hAnsi="Lato"/>
          <w:bCs/>
          <w:spacing w:val="4"/>
        </w:rPr>
        <w:t xml:space="preserve"> </w:t>
      </w:r>
      <w:r w:rsidRPr="001C051E">
        <w:rPr>
          <w:rFonts w:ascii="Lato" w:hAnsi="Lato" w:cs="Arial"/>
          <w:spacing w:val="4"/>
        </w:rPr>
        <w:t>reprezentowana przez ustanowion</w:t>
      </w:r>
      <w:r w:rsidR="00884C76" w:rsidRPr="001C051E">
        <w:rPr>
          <w:rFonts w:ascii="Lato" w:hAnsi="Lato" w:cs="Arial"/>
          <w:spacing w:val="4"/>
        </w:rPr>
        <w:t>ego</w:t>
      </w:r>
      <w:r w:rsidRPr="001C051E">
        <w:rPr>
          <w:rFonts w:ascii="Lato" w:hAnsi="Lato" w:cs="Arial"/>
          <w:spacing w:val="4"/>
        </w:rPr>
        <w:t xml:space="preserve"> w sprawie pełnomocnik</w:t>
      </w:r>
      <w:r w:rsidR="00884C76" w:rsidRPr="001C051E">
        <w:rPr>
          <w:rFonts w:ascii="Lato" w:hAnsi="Lato" w:cs="Arial"/>
          <w:spacing w:val="4"/>
        </w:rPr>
        <w:t>a</w:t>
      </w:r>
      <w:r w:rsidRPr="001C051E">
        <w:rPr>
          <w:rFonts w:ascii="Lato" w:hAnsi="Lato"/>
          <w:bCs/>
          <w:spacing w:val="4"/>
        </w:rPr>
        <w:t xml:space="preserve">, wystąpiła do Wojewody </w:t>
      </w:r>
      <w:r w:rsidR="005A61CD">
        <w:rPr>
          <w:rFonts w:ascii="Lato" w:hAnsi="Lato"/>
          <w:bCs/>
          <w:spacing w:val="4"/>
        </w:rPr>
        <w:t>Podkarpackiego</w:t>
      </w:r>
      <w:r w:rsidRPr="001C051E">
        <w:rPr>
          <w:rFonts w:ascii="Lato" w:hAnsi="Lato"/>
          <w:bCs/>
          <w:spacing w:val="4"/>
        </w:rPr>
        <w:t xml:space="preserve"> </w:t>
      </w:r>
      <w:bookmarkStart w:id="7" w:name="_Hlk153110588"/>
      <w:r w:rsidRPr="001C051E">
        <w:rPr>
          <w:rFonts w:ascii="Lato" w:hAnsi="Lato"/>
          <w:bCs/>
          <w:spacing w:val="4"/>
        </w:rPr>
        <w:t xml:space="preserve">o wydanie decyzji o ustaleniu </w:t>
      </w:r>
      <w:bookmarkEnd w:id="7"/>
      <w:r w:rsidR="00292E3B" w:rsidRPr="001C051E">
        <w:rPr>
          <w:rFonts w:ascii="Lato" w:hAnsi="Lato" w:cs="Arial"/>
          <w:bCs/>
          <w:spacing w:val="4"/>
        </w:rPr>
        <w:t xml:space="preserve">lokalizacji </w:t>
      </w:r>
      <w:bookmarkStart w:id="8" w:name="_Hlk214796940"/>
      <w:r w:rsidR="00292E3B" w:rsidRPr="001C051E">
        <w:rPr>
          <w:rFonts w:ascii="Lato" w:hAnsi="Lato" w:cs="Arial"/>
          <w:bCs/>
          <w:spacing w:val="4"/>
        </w:rPr>
        <w:t xml:space="preserve">inwestycji towarzyszącej </w:t>
      </w:r>
      <w:bookmarkEnd w:id="8"/>
      <w:r w:rsidR="00292E3B" w:rsidRPr="001C051E">
        <w:rPr>
          <w:rFonts w:ascii="Lato" w:hAnsi="Lato" w:cs="Arial"/>
          <w:bCs/>
          <w:spacing w:val="4"/>
        </w:rPr>
        <w:t xml:space="preserve">strategicznej inwestycji w zakresie sieci przesyłowej </w:t>
      </w:r>
      <w:r w:rsidR="00002C59" w:rsidRPr="001C051E">
        <w:rPr>
          <w:rFonts w:ascii="Lato" w:hAnsi="Lato" w:cs="Arial"/>
          <w:bCs/>
          <w:spacing w:val="4"/>
        </w:rPr>
        <w:t xml:space="preserve">pn.: </w:t>
      </w:r>
      <w:r w:rsidR="00CA5914">
        <w:rPr>
          <w:rFonts w:ascii="Lato" w:hAnsi="Lato" w:cs="Arial"/>
          <w:bCs/>
          <w:spacing w:val="4"/>
        </w:rPr>
        <w:t> </w:t>
      </w:r>
      <w:r w:rsidR="00002C59" w:rsidRPr="001C051E">
        <w:rPr>
          <w:rFonts w:ascii="Lato" w:hAnsi="Lato" w:cs="Arial"/>
          <w:bCs/>
          <w:spacing w:val="4"/>
        </w:rPr>
        <w:t>„</w:t>
      </w:r>
      <w:r w:rsidR="00002C59">
        <w:rPr>
          <w:rFonts w:ascii="Lato" w:hAnsi="Lato" w:cs="Arial"/>
          <w:bCs/>
          <w:spacing w:val="4"/>
        </w:rPr>
        <w:t xml:space="preserve">Przebudowa linii napowietrznej 110 </w:t>
      </w:r>
      <w:proofErr w:type="spellStart"/>
      <w:r w:rsidR="00002C59">
        <w:rPr>
          <w:rFonts w:ascii="Lato" w:hAnsi="Lato" w:cs="Arial"/>
          <w:bCs/>
          <w:spacing w:val="4"/>
        </w:rPr>
        <w:t>kV</w:t>
      </w:r>
      <w:proofErr w:type="spellEnd"/>
      <w:r w:rsidR="00002C59">
        <w:rPr>
          <w:rFonts w:ascii="Lato" w:hAnsi="Lato" w:cs="Arial"/>
          <w:bCs/>
          <w:spacing w:val="4"/>
        </w:rPr>
        <w:t xml:space="preserve"> Tomaszów Południe –  Lubaczów</w:t>
      </w:r>
      <w:r w:rsidR="005515A9" w:rsidRPr="001C051E">
        <w:rPr>
          <w:rFonts w:ascii="Lato" w:hAnsi="Lato"/>
          <w:bCs/>
          <w:spacing w:val="4"/>
        </w:rPr>
        <w:t>.</w:t>
      </w:r>
    </w:p>
    <w:p w14:paraId="021D4D35" w14:textId="4176632A" w:rsidR="004524B7" w:rsidRPr="001C051E" w:rsidRDefault="004524B7" w:rsidP="00CF3636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hAnsi="Lato"/>
          <w:bCs/>
          <w:spacing w:val="4"/>
        </w:rPr>
      </w:pPr>
      <w:r w:rsidRPr="001C051E">
        <w:rPr>
          <w:rFonts w:ascii="Lato" w:hAnsi="Lato"/>
          <w:bCs/>
          <w:spacing w:val="4"/>
        </w:rPr>
        <w:t>Po przeprowadzeniu postępowania w sprawie ww. wniosku, Wojewoda</w:t>
      </w:r>
      <w:r w:rsidR="005515A9" w:rsidRPr="001C051E">
        <w:rPr>
          <w:rFonts w:ascii="Lato" w:hAnsi="Lato"/>
          <w:bCs/>
          <w:spacing w:val="4"/>
        </w:rPr>
        <w:t xml:space="preserve"> </w:t>
      </w:r>
      <w:r w:rsidR="00002C59">
        <w:rPr>
          <w:rFonts w:ascii="Lato" w:hAnsi="Lato"/>
          <w:bCs/>
          <w:spacing w:val="4"/>
        </w:rPr>
        <w:t>Podkarpack</w:t>
      </w:r>
      <w:r w:rsidR="00B92F75" w:rsidRPr="001C051E">
        <w:rPr>
          <w:rFonts w:ascii="Lato" w:hAnsi="Lato"/>
          <w:bCs/>
          <w:spacing w:val="4"/>
        </w:rPr>
        <w:t>i</w:t>
      </w:r>
      <w:r w:rsidRPr="001C051E">
        <w:rPr>
          <w:rFonts w:ascii="Lato" w:hAnsi="Lato"/>
          <w:bCs/>
          <w:spacing w:val="4"/>
        </w:rPr>
        <w:t xml:space="preserve"> wydał</w:t>
      </w:r>
      <w:r w:rsidR="007B5EBE" w:rsidRPr="001C051E">
        <w:rPr>
          <w:rFonts w:ascii="Lato" w:hAnsi="Lato"/>
          <w:bCs/>
          <w:spacing w:val="4"/>
        </w:rPr>
        <w:t xml:space="preserve"> </w:t>
      </w:r>
      <w:r w:rsidRPr="001C051E">
        <w:rPr>
          <w:rFonts w:ascii="Lato" w:hAnsi="Lato"/>
          <w:bCs/>
          <w:spacing w:val="4"/>
        </w:rPr>
        <w:t xml:space="preserve">w dniu </w:t>
      </w:r>
      <w:bookmarkStart w:id="9" w:name="_Hlk190417268"/>
      <w:r w:rsidR="00002C59">
        <w:rPr>
          <w:rFonts w:ascii="Lato" w:hAnsi="Lato"/>
          <w:bCs/>
          <w:spacing w:val="4"/>
        </w:rPr>
        <w:t>7 sierpnia</w:t>
      </w:r>
      <w:r w:rsidR="00B92F75" w:rsidRPr="001C051E">
        <w:rPr>
          <w:rFonts w:ascii="Lato" w:hAnsi="Lato"/>
          <w:bCs/>
          <w:spacing w:val="4"/>
        </w:rPr>
        <w:t xml:space="preserve"> 2024 r. decyzję</w:t>
      </w:r>
      <w:r w:rsidR="002A5A04">
        <w:rPr>
          <w:rFonts w:ascii="Lato" w:hAnsi="Lato" w:cs="Arial"/>
          <w:bCs/>
          <w:spacing w:val="4"/>
        </w:rPr>
        <w:t xml:space="preserve">, </w:t>
      </w:r>
      <w:r w:rsidR="00B92F75" w:rsidRPr="001C051E">
        <w:rPr>
          <w:rFonts w:ascii="Lato" w:hAnsi="Lato"/>
          <w:bCs/>
          <w:spacing w:val="4"/>
        </w:rPr>
        <w:t>znak:</w:t>
      </w:r>
      <w:r w:rsidR="00B92F75" w:rsidRPr="001C051E">
        <w:rPr>
          <w:rFonts w:ascii="Lato" w:hAnsi="Lato" w:cs="Arial"/>
          <w:bCs/>
          <w:spacing w:val="4"/>
        </w:rPr>
        <w:t xml:space="preserve"> </w:t>
      </w:r>
      <w:r w:rsidR="00002C59">
        <w:rPr>
          <w:rFonts w:ascii="Lato" w:hAnsi="Lato" w:cs="Arial"/>
          <w:bCs/>
          <w:spacing w:val="4"/>
        </w:rPr>
        <w:t>N-VIII.747.4.4.2024</w:t>
      </w:r>
      <w:r w:rsidRPr="001C051E">
        <w:rPr>
          <w:rFonts w:ascii="Lato" w:hAnsi="Lato"/>
          <w:bCs/>
          <w:spacing w:val="4"/>
        </w:rPr>
        <w:t>, zwaną dalej „decyzją Wojewody</w:t>
      </w:r>
      <w:r w:rsidR="000D3688" w:rsidRPr="001C051E">
        <w:rPr>
          <w:rFonts w:ascii="Lato" w:hAnsi="Lato"/>
          <w:bCs/>
          <w:spacing w:val="4"/>
        </w:rPr>
        <w:t xml:space="preserve"> </w:t>
      </w:r>
      <w:r w:rsidR="00002C59">
        <w:rPr>
          <w:rFonts w:ascii="Lato" w:hAnsi="Lato"/>
          <w:bCs/>
          <w:spacing w:val="4"/>
        </w:rPr>
        <w:t>Podkarpackiego</w:t>
      </w:r>
      <w:r w:rsidRPr="001C051E">
        <w:rPr>
          <w:rFonts w:ascii="Lato" w:hAnsi="Lato"/>
          <w:bCs/>
          <w:spacing w:val="4"/>
        </w:rPr>
        <w:t xml:space="preserve">”, </w:t>
      </w:r>
      <w:r w:rsidR="000D3688" w:rsidRPr="001C051E">
        <w:rPr>
          <w:rFonts w:ascii="Lato" w:hAnsi="Lato"/>
          <w:bCs/>
          <w:spacing w:val="4"/>
        </w:rPr>
        <w:t xml:space="preserve">o ustaleniu lokalizacji </w:t>
      </w:r>
      <w:r w:rsidR="00B92F75" w:rsidRPr="001C051E">
        <w:rPr>
          <w:rFonts w:ascii="Lato" w:hAnsi="Lato" w:cs="Arial"/>
          <w:bCs/>
          <w:spacing w:val="4"/>
        </w:rPr>
        <w:t xml:space="preserve">inwestycji towarzyszącej </w:t>
      </w:r>
      <w:r w:rsidR="000D3688" w:rsidRPr="001C051E">
        <w:rPr>
          <w:rFonts w:ascii="Lato" w:hAnsi="Lato"/>
          <w:bCs/>
          <w:spacing w:val="4"/>
        </w:rPr>
        <w:t xml:space="preserve">strategicznej inwestycji w zakresie sieci przesyłowej obejmującej wnioskowane zamierzenie inwestycyjne.   </w:t>
      </w:r>
    </w:p>
    <w:bookmarkEnd w:id="9"/>
    <w:p w14:paraId="0CC5F50C" w14:textId="1FD8A667" w:rsidR="000D3688" w:rsidRPr="001C051E" w:rsidRDefault="004524B7" w:rsidP="00CF3636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hAnsi="Lato"/>
          <w:bCs/>
          <w:spacing w:val="4"/>
        </w:rPr>
      </w:pPr>
      <w:r w:rsidRPr="001C051E">
        <w:rPr>
          <w:rFonts w:ascii="Lato" w:hAnsi="Lato"/>
          <w:bCs/>
          <w:spacing w:val="4"/>
        </w:rPr>
        <w:t xml:space="preserve">Od decyzji Wojewody </w:t>
      </w:r>
      <w:r w:rsidR="00002C59">
        <w:rPr>
          <w:rFonts w:ascii="Lato" w:hAnsi="Lato"/>
          <w:bCs/>
          <w:spacing w:val="4"/>
        </w:rPr>
        <w:t>Podkarpackiego</w:t>
      </w:r>
      <w:r w:rsidRPr="001C051E">
        <w:rPr>
          <w:rFonts w:ascii="Lato" w:hAnsi="Lato"/>
          <w:bCs/>
          <w:spacing w:val="4"/>
        </w:rPr>
        <w:t xml:space="preserve"> odwołanie, za pośrednictwem organu I instancji, wni</w:t>
      </w:r>
      <w:r w:rsidR="00B92F75" w:rsidRPr="001C051E">
        <w:rPr>
          <w:rFonts w:ascii="Lato" w:hAnsi="Lato"/>
          <w:bCs/>
          <w:spacing w:val="4"/>
        </w:rPr>
        <w:t xml:space="preserve">eśli: </w:t>
      </w:r>
      <w:r w:rsidR="00B92F75" w:rsidRPr="001C051E">
        <w:rPr>
          <w:rFonts w:ascii="Lato" w:hAnsi="Lato" w:cs="Arial"/>
          <w:bCs/>
          <w:spacing w:val="4"/>
        </w:rPr>
        <w:t xml:space="preserve">Pan </w:t>
      </w:r>
      <w:r w:rsidR="00002C59">
        <w:rPr>
          <w:rFonts w:ascii="Lato" w:hAnsi="Lato" w:cs="Arial"/>
          <w:bCs/>
          <w:spacing w:val="4"/>
        </w:rPr>
        <w:t>A</w:t>
      </w:r>
      <w:r w:rsidR="00483DE6">
        <w:rPr>
          <w:rFonts w:ascii="Lato" w:hAnsi="Lato" w:cs="Arial"/>
          <w:bCs/>
          <w:spacing w:val="4"/>
        </w:rPr>
        <w:t>.</w:t>
      </w:r>
      <w:r w:rsidR="00002C59">
        <w:rPr>
          <w:rFonts w:ascii="Lato" w:hAnsi="Lato" w:cs="Arial"/>
          <w:bCs/>
          <w:spacing w:val="4"/>
        </w:rPr>
        <w:t xml:space="preserve"> B</w:t>
      </w:r>
      <w:r w:rsidR="00483DE6">
        <w:rPr>
          <w:rFonts w:ascii="Lato" w:hAnsi="Lato" w:cs="Arial"/>
          <w:bCs/>
          <w:spacing w:val="4"/>
        </w:rPr>
        <w:t>.</w:t>
      </w:r>
      <w:r w:rsidR="00002C59">
        <w:rPr>
          <w:rFonts w:ascii="Lato" w:hAnsi="Lato" w:cs="Arial"/>
          <w:bCs/>
          <w:spacing w:val="4"/>
        </w:rPr>
        <w:t xml:space="preserve"> i Pani B</w:t>
      </w:r>
      <w:r w:rsidR="00483DE6">
        <w:rPr>
          <w:rFonts w:ascii="Lato" w:hAnsi="Lato" w:cs="Arial"/>
          <w:bCs/>
          <w:spacing w:val="4"/>
        </w:rPr>
        <w:t>.</w:t>
      </w:r>
      <w:r w:rsidR="00002C59">
        <w:rPr>
          <w:rFonts w:ascii="Lato" w:hAnsi="Lato" w:cs="Arial"/>
          <w:bCs/>
          <w:spacing w:val="4"/>
        </w:rPr>
        <w:t xml:space="preserve"> B</w:t>
      </w:r>
      <w:r w:rsidR="0097507E" w:rsidRPr="001C051E">
        <w:rPr>
          <w:rFonts w:ascii="Lato" w:hAnsi="Lato" w:cs="Arial"/>
          <w:spacing w:val="4"/>
        </w:rPr>
        <w:t>.</w:t>
      </w:r>
      <w:r w:rsidR="000D3688" w:rsidRPr="001C051E">
        <w:rPr>
          <w:rFonts w:ascii="Lato" w:hAnsi="Lato"/>
          <w:bCs/>
          <w:spacing w:val="4"/>
        </w:rPr>
        <w:t xml:space="preserve"> </w:t>
      </w:r>
      <w:r w:rsidR="00431D8D" w:rsidRPr="001C051E">
        <w:rPr>
          <w:rFonts w:ascii="Lato" w:hAnsi="Lato"/>
          <w:bCs/>
          <w:spacing w:val="4"/>
        </w:rPr>
        <w:t>Odwołani</w:t>
      </w:r>
      <w:r w:rsidR="005515A9" w:rsidRPr="001C051E">
        <w:rPr>
          <w:rFonts w:ascii="Lato" w:hAnsi="Lato"/>
          <w:bCs/>
          <w:spacing w:val="4"/>
        </w:rPr>
        <w:t>e</w:t>
      </w:r>
      <w:r w:rsidR="00431D8D" w:rsidRPr="001C051E">
        <w:rPr>
          <w:rFonts w:ascii="Lato" w:hAnsi="Lato"/>
          <w:bCs/>
          <w:spacing w:val="4"/>
        </w:rPr>
        <w:t xml:space="preserve"> wniesiono w terminie. </w:t>
      </w:r>
    </w:p>
    <w:p w14:paraId="3E0C156E" w14:textId="7F09EB63" w:rsidR="004524B7" w:rsidRDefault="004E3E67" w:rsidP="00CF3636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>
        <w:rPr>
          <w:rFonts w:ascii="Lato" w:hAnsi="Lato"/>
          <w:bCs/>
          <w:spacing w:val="4"/>
        </w:rPr>
        <w:t>W odwołaniu z dnia 23 sierpnia 2024 r. s</w:t>
      </w:r>
      <w:r w:rsidR="000D3688" w:rsidRPr="001C051E">
        <w:rPr>
          <w:rFonts w:ascii="Lato" w:hAnsi="Lato"/>
          <w:bCs/>
          <w:spacing w:val="4"/>
        </w:rPr>
        <w:t>karżąc</w:t>
      </w:r>
      <w:r w:rsidR="0097507E" w:rsidRPr="001C051E">
        <w:rPr>
          <w:rFonts w:ascii="Lato" w:hAnsi="Lato"/>
          <w:bCs/>
          <w:spacing w:val="4"/>
        </w:rPr>
        <w:t>y</w:t>
      </w:r>
      <w:r w:rsidR="000D3688" w:rsidRPr="001C051E">
        <w:rPr>
          <w:rFonts w:ascii="Lato" w:hAnsi="Lato"/>
          <w:bCs/>
          <w:spacing w:val="4"/>
        </w:rPr>
        <w:t xml:space="preserve"> podni</w:t>
      </w:r>
      <w:r w:rsidR="0097507E" w:rsidRPr="001C051E">
        <w:rPr>
          <w:rFonts w:ascii="Lato" w:hAnsi="Lato"/>
          <w:bCs/>
          <w:spacing w:val="4"/>
        </w:rPr>
        <w:t>eśli</w:t>
      </w:r>
      <w:r w:rsidR="004524B7" w:rsidRPr="001C051E">
        <w:rPr>
          <w:rFonts w:ascii="Lato" w:hAnsi="Lato"/>
          <w:bCs/>
          <w:spacing w:val="4"/>
        </w:rPr>
        <w:t xml:space="preserve"> zarzuty </w:t>
      </w:r>
      <w:r w:rsidR="004524B7" w:rsidRPr="001C051E">
        <w:rPr>
          <w:rFonts w:ascii="Lato" w:hAnsi="Lato" w:cs="Arial"/>
          <w:bCs/>
          <w:spacing w:val="4"/>
        </w:rPr>
        <w:t xml:space="preserve">odnoszące się do decyzji Wojewody </w:t>
      </w:r>
      <w:r w:rsidR="00080662">
        <w:rPr>
          <w:rFonts w:ascii="Lato" w:hAnsi="Lato" w:cs="Arial"/>
          <w:bCs/>
          <w:spacing w:val="4"/>
        </w:rPr>
        <w:t>Podkarpackiego</w:t>
      </w:r>
      <w:r w:rsidR="004524B7" w:rsidRPr="001C051E">
        <w:rPr>
          <w:rFonts w:ascii="Lato" w:hAnsi="Lato" w:cs="Arial"/>
          <w:bCs/>
          <w:spacing w:val="4"/>
        </w:rPr>
        <w:t>, określi</w:t>
      </w:r>
      <w:r w:rsidR="0097507E" w:rsidRPr="001C051E">
        <w:rPr>
          <w:rFonts w:ascii="Lato" w:hAnsi="Lato" w:cs="Arial"/>
          <w:bCs/>
          <w:spacing w:val="4"/>
        </w:rPr>
        <w:t>li</w:t>
      </w:r>
      <w:r w:rsidR="004524B7" w:rsidRPr="001C051E">
        <w:rPr>
          <w:rFonts w:ascii="Lato" w:hAnsi="Lato" w:cs="Arial"/>
          <w:bCs/>
          <w:spacing w:val="4"/>
        </w:rPr>
        <w:t xml:space="preserve"> istotę</w:t>
      </w:r>
      <w:r w:rsidR="001C051E">
        <w:rPr>
          <w:rFonts w:ascii="Lato" w:hAnsi="Lato" w:cs="Arial"/>
          <w:bCs/>
          <w:spacing w:val="4"/>
        </w:rPr>
        <w:t xml:space="preserve"> </w:t>
      </w:r>
      <w:r w:rsidR="004524B7" w:rsidRPr="001C051E">
        <w:rPr>
          <w:rFonts w:ascii="Lato" w:hAnsi="Lato" w:cs="Arial"/>
          <w:bCs/>
          <w:spacing w:val="4"/>
        </w:rPr>
        <w:t>i zakres żądania będącego przedmiotem odwołania oraz wskaza</w:t>
      </w:r>
      <w:r w:rsidR="0097507E" w:rsidRPr="001C051E">
        <w:rPr>
          <w:rFonts w:ascii="Lato" w:hAnsi="Lato" w:cs="Arial"/>
          <w:bCs/>
          <w:spacing w:val="4"/>
        </w:rPr>
        <w:t>li</w:t>
      </w:r>
      <w:r w:rsidR="004524B7" w:rsidRPr="001C051E">
        <w:rPr>
          <w:rFonts w:ascii="Lato" w:hAnsi="Lato" w:cs="Arial"/>
          <w:bCs/>
          <w:spacing w:val="4"/>
        </w:rPr>
        <w:t xml:space="preserve"> na dowody uzasadniające to żądanie. </w:t>
      </w:r>
    </w:p>
    <w:p w14:paraId="2626B6B3" w14:textId="75694E14" w:rsidR="002A5A04" w:rsidRPr="001C051E" w:rsidRDefault="002A5A04" w:rsidP="00CF3636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hAnsi="Lato"/>
          <w:bCs/>
          <w:spacing w:val="4"/>
        </w:rPr>
      </w:pPr>
      <w:r>
        <w:rPr>
          <w:rFonts w:ascii="Lato" w:hAnsi="Lato" w:cs="Arial"/>
          <w:spacing w:val="4"/>
        </w:rPr>
        <w:t xml:space="preserve">Ponadto odwołanie od decyzji Wojewody </w:t>
      </w:r>
      <w:r w:rsidR="00080662">
        <w:rPr>
          <w:rFonts w:ascii="Lato" w:hAnsi="Lato"/>
          <w:bCs/>
          <w:spacing w:val="4"/>
        </w:rPr>
        <w:t>Podkarpackiego</w:t>
      </w:r>
      <w:r>
        <w:rPr>
          <w:rFonts w:ascii="Lato" w:hAnsi="Lato" w:cs="Arial"/>
          <w:spacing w:val="4"/>
        </w:rPr>
        <w:t xml:space="preserve">, za pośrednictwem organu </w:t>
      </w:r>
      <w:r w:rsidR="009B630F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>I instancji, wniosły także dwie inne strony, które to odwołani</w:t>
      </w:r>
      <w:r w:rsidR="004E3E67">
        <w:rPr>
          <w:rFonts w:ascii="Lato" w:hAnsi="Lato" w:cs="Arial"/>
          <w:spacing w:val="4"/>
        </w:rPr>
        <w:t>a</w:t>
      </w:r>
      <w:r>
        <w:rPr>
          <w:rFonts w:ascii="Lato" w:hAnsi="Lato" w:cs="Arial"/>
          <w:spacing w:val="4"/>
        </w:rPr>
        <w:t xml:space="preserve"> został</w:t>
      </w:r>
      <w:r w:rsidR="004E3E67">
        <w:rPr>
          <w:rFonts w:ascii="Lato" w:hAnsi="Lato" w:cs="Arial"/>
          <w:spacing w:val="4"/>
        </w:rPr>
        <w:t>y</w:t>
      </w:r>
      <w:r>
        <w:rPr>
          <w:rFonts w:ascii="Lato" w:hAnsi="Lato" w:cs="Arial"/>
          <w:spacing w:val="4"/>
        </w:rPr>
        <w:t xml:space="preserve"> pozostawione bez rozpoznania z powodu nieusunięcia braków formalnych, o czym poinformowano </w:t>
      </w:r>
      <w:r w:rsidR="009B630F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>w odrębny</w:t>
      </w:r>
      <w:r w:rsidR="004E3E67">
        <w:rPr>
          <w:rFonts w:ascii="Lato" w:hAnsi="Lato" w:cs="Arial"/>
          <w:spacing w:val="4"/>
        </w:rPr>
        <w:t>ch</w:t>
      </w:r>
      <w:r>
        <w:rPr>
          <w:rFonts w:ascii="Lato" w:hAnsi="Lato" w:cs="Arial"/>
          <w:spacing w:val="4"/>
        </w:rPr>
        <w:t xml:space="preserve"> pi</w:t>
      </w:r>
      <w:r w:rsidR="00F15FF3">
        <w:rPr>
          <w:rFonts w:ascii="Lato" w:hAnsi="Lato" w:cs="Arial"/>
          <w:spacing w:val="4"/>
        </w:rPr>
        <w:t>s</w:t>
      </w:r>
      <w:r>
        <w:rPr>
          <w:rFonts w:ascii="Lato" w:hAnsi="Lato" w:cs="Arial"/>
          <w:spacing w:val="4"/>
        </w:rPr>
        <w:t>m</w:t>
      </w:r>
      <w:r w:rsidR="004E3E67">
        <w:rPr>
          <w:rFonts w:ascii="Lato" w:hAnsi="Lato" w:cs="Arial"/>
          <w:spacing w:val="4"/>
        </w:rPr>
        <w:t xml:space="preserve">ach </w:t>
      </w:r>
      <w:r>
        <w:rPr>
          <w:rFonts w:ascii="Lato" w:hAnsi="Lato" w:cs="Arial"/>
          <w:spacing w:val="4"/>
        </w:rPr>
        <w:t>organu odwoławczego.</w:t>
      </w:r>
    </w:p>
    <w:p w14:paraId="3748D5B3" w14:textId="1347CAAD" w:rsidR="00884C76" w:rsidRDefault="002A5A04" w:rsidP="00CF363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>Na wstępie wyjaśnić należy</w:t>
      </w:r>
      <w:r w:rsidR="007B5EBE" w:rsidRPr="001C051E">
        <w:rPr>
          <w:rFonts w:ascii="Lato" w:hAnsi="Lato" w:cs="Arial"/>
          <w:bCs/>
          <w:spacing w:val="4"/>
        </w:rPr>
        <w:t xml:space="preserve">, iż właściwym w przedmiotowej sprawie - </w:t>
      </w:r>
      <w:r w:rsidR="005D2BF0" w:rsidRPr="001C051E">
        <w:rPr>
          <w:rFonts w:ascii="Lato" w:hAnsi="Lato" w:cs="Arial"/>
          <w:bCs/>
          <w:spacing w:val="4"/>
        </w:rPr>
        <w:t xml:space="preserve">stosownie do treści rozporządzenia Prezesa Rady Ministrów z dnia 25 lipca 2025 r. w sprawie szczegółowego zakresu działania Ministra </w:t>
      </w:r>
      <w:bookmarkStart w:id="10" w:name="_Hlk204788863"/>
      <w:r w:rsidR="005D2BF0" w:rsidRPr="001C051E">
        <w:rPr>
          <w:rFonts w:ascii="Lato" w:hAnsi="Lato" w:cs="Arial"/>
          <w:bCs/>
          <w:spacing w:val="4"/>
        </w:rPr>
        <w:t xml:space="preserve">Finansów i Gospodarki </w:t>
      </w:r>
      <w:bookmarkEnd w:id="10"/>
      <w:r w:rsidR="005D2BF0" w:rsidRPr="001C051E">
        <w:rPr>
          <w:rFonts w:ascii="Lato" w:hAnsi="Lato" w:cs="Arial"/>
          <w:bCs/>
          <w:spacing w:val="4"/>
        </w:rPr>
        <w:t xml:space="preserve">(Dz.U. z 2025 r. </w:t>
      </w:r>
      <w:r w:rsidR="0002409E">
        <w:rPr>
          <w:rFonts w:ascii="Lato" w:hAnsi="Lato" w:cs="Arial"/>
          <w:bCs/>
          <w:spacing w:val="4"/>
        </w:rPr>
        <w:br/>
      </w:r>
      <w:r w:rsidR="005D2BF0" w:rsidRPr="001C051E">
        <w:rPr>
          <w:rFonts w:ascii="Lato" w:hAnsi="Lato" w:cs="Arial"/>
          <w:bCs/>
          <w:spacing w:val="4"/>
        </w:rPr>
        <w:t xml:space="preserve">poz. 997) - jest obecnie Minister Finansów i Gospodarki, zwany dalej „Ministrem”. Natomiast zgodnie § 1 ust. 4 pkt 1 lit. a i b ww. rozporządzenia Prezesa Rady Ministrów </w:t>
      </w:r>
      <w:r w:rsidR="009B630F">
        <w:rPr>
          <w:rFonts w:ascii="Lato" w:hAnsi="Lato" w:cs="Arial"/>
          <w:bCs/>
          <w:spacing w:val="4"/>
        </w:rPr>
        <w:br/>
      </w:r>
      <w:r w:rsidR="005D2BF0" w:rsidRPr="001C051E">
        <w:rPr>
          <w:rFonts w:ascii="Lato" w:hAnsi="Lato" w:cs="Arial"/>
          <w:bCs/>
          <w:spacing w:val="4"/>
        </w:rPr>
        <w:t>z dnia 25 lipca 2025 r. obsługę Ministra zapewnia</w:t>
      </w:r>
      <w:bookmarkStart w:id="11" w:name="mip78902002"/>
      <w:bookmarkEnd w:id="11"/>
      <w:r w:rsidR="005D2BF0" w:rsidRPr="001C051E">
        <w:rPr>
          <w:rFonts w:ascii="Lato" w:hAnsi="Lato" w:cs="Arial"/>
          <w:bCs/>
          <w:spacing w:val="4"/>
        </w:rPr>
        <w:t xml:space="preserve"> Ministerstwo Rozwoju i Technologii </w:t>
      </w:r>
      <w:r w:rsidR="009B630F">
        <w:rPr>
          <w:rFonts w:ascii="Lato" w:hAnsi="Lato" w:cs="Arial"/>
          <w:bCs/>
          <w:spacing w:val="4"/>
        </w:rPr>
        <w:br/>
      </w:r>
      <w:r w:rsidR="005D2BF0" w:rsidRPr="001C051E">
        <w:rPr>
          <w:rFonts w:ascii="Lato" w:hAnsi="Lato" w:cs="Arial"/>
          <w:bCs/>
          <w:spacing w:val="4"/>
        </w:rPr>
        <w:lastRenderedPageBreak/>
        <w:t xml:space="preserve">w zakresie działów administracji rządowej: budownictwo, planowanie </w:t>
      </w:r>
      <w:r w:rsidR="009B630F">
        <w:rPr>
          <w:rFonts w:ascii="Lato" w:hAnsi="Lato" w:cs="Arial"/>
          <w:bCs/>
          <w:spacing w:val="4"/>
        </w:rPr>
        <w:br/>
      </w:r>
      <w:r w:rsidR="005D2BF0" w:rsidRPr="001C051E">
        <w:rPr>
          <w:rFonts w:ascii="Lato" w:hAnsi="Lato" w:cs="Arial"/>
          <w:bCs/>
          <w:spacing w:val="4"/>
        </w:rPr>
        <w:t>i</w:t>
      </w:r>
      <w:r w:rsidR="009B630F">
        <w:rPr>
          <w:rFonts w:ascii="Lato" w:hAnsi="Lato" w:cs="Arial"/>
          <w:bCs/>
          <w:spacing w:val="4"/>
        </w:rPr>
        <w:t xml:space="preserve"> </w:t>
      </w:r>
      <w:r w:rsidR="005D2BF0" w:rsidRPr="001C051E">
        <w:rPr>
          <w:rFonts w:ascii="Lato" w:hAnsi="Lato" w:cs="Arial"/>
          <w:bCs/>
          <w:spacing w:val="4"/>
        </w:rPr>
        <w:t>zagospodarowanie przestrzenne oraz mieszkalnictwo; gospodarka</w:t>
      </w:r>
      <w:r>
        <w:rPr>
          <w:rFonts w:ascii="Lato" w:hAnsi="Lato" w:cs="Arial"/>
          <w:bCs/>
          <w:spacing w:val="4"/>
        </w:rPr>
        <w:t>.</w:t>
      </w:r>
    </w:p>
    <w:p w14:paraId="03A4195A" w14:textId="4111245E" w:rsidR="002A5A04" w:rsidRPr="001C051E" w:rsidRDefault="002A5A04" w:rsidP="00CF363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 xml:space="preserve">Organ odwoławczy stwierdził, co następuje. </w:t>
      </w:r>
    </w:p>
    <w:p w14:paraId="4FF31B6E" w14:textId="43F6FC0C" w:rsidR="000005E7" w:rsidRPr="001C051E" w:rsidRDefault="000005E7" w:rsidP="000C15C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C051E">
        <w:rPr>
          <w:rFonts w:ascii="Lato" w:hAnsi="Lato" w:cs="Arial"/>
          <w:spacing w:val="4"/>
        </w:rPr>
        <w:t>Kompetencje organu odwoławczego obejmują zarówno korygowanie wad prawnych decyzji organu I instancji, polegających na niewłaściwym zastosowaniu przepisu prawa materialnego, bądź postępowania administracyjnego, jak i wad polegających na</w:t>
      </w:r>
      <w:r w:rsidR="004F1AF2" w:rsidRPr="001C051E">
        <w:rPr>
          <w:rFonts w:ascii="Lato" w:hAnsi="Lato" w:cs="Arial"/>
          <w:spacing w:val="4"/>
        </w:rPr>
        <w:t xml:space="preserve"> </w:t>
      </w:r>
      <w:r w:rsidRPr="001C051E">
        <w:rPr>
          <w:rFonts w:ascii="Lato" w:hAnsi="Lato" w:cs="Arial"/>
          <w:spacing w:val="4"/>
        </w:rPr>
        <w:t xml:space="preserve">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 wynika z art. 7 i art. 77 kpa. Dlatego też trafność rozstrzygnięcia w każdym indywidualnym przypadku wymaga szczegółowego zbadania i rozważenia wszelkich argumentów, które stanowiłyby podstawę do przyjęcia określonego stanowiska. Wydając decyzję, organ zobowiązany jest do przestrzegania przepisów kpa, a przede wszystkim do podejmowania wszelkich działań niezbędnych do dokładnego wyjaśnienia stanu faktycznego. </w:t>
      </w:r>
    </w:p>
    <w:p w14:paraId="0EA6F067" w14:textId="6E679E02" w:rsidR="000C15C1" w:rsidRPr="001C051E" w:rsidRDefault="000C15C1" w:rsidP="000C15C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C051E">
        <w:rPr>
          <w:rFonts w:ascii="Lato" w:hAnsi="Lato" w:cs="Arial"/>
          <w:spacing w:val="4"/>
        </w:rPr>
        <w:t xml:space="preserve">W trakcie przeprowadzonego postępowania odwoławczego Minister rozpatrzył ponownie wniosek inwestora o wydanie przedmiotowej decyzji, przeanalizował materiał dowodowy zgromadzony przez Wojewodę </w:t>
      </w:r>
      <w:r w:rsidR="009462E2">
        <w:rPr>
          <w:rFonts w:ascii="Lato" w:hAnsi="Lato" w:cs="Arial"/>
          <w:spacing w:val="4"/>
        </w:rPr>
        <w:t>Podkarpackiego</w:t>
      </w:r>
      <w:r w:rsidRPr="001C051E">
        <w:rPr>
          <w:rFonts w:ascii="Lato" w:hAnsi="Lato" w:cs="Arial"/>
          <w:spacing w:val="4"/>
        </w:rPr>
        <w:t xml:space="preserve">, w tym zbadał poprawność postępowania organu I instancji oraz poprawność kończącej to postępowanie decyzji Wojewody </w:t>
      </w:r>
      <w:r w:rsidR="009462E2">
        <w:rPr>
          <w:rFonts w:ascii="Lato" w:hAnsi="Lato" w:cs="Arial"/>
          <w:spacing w:val="4"/>
        </w:rPr>
        <w:t>Podkarpackiego</w:t>
      </w:r>
      <w:r w:rsidRPr="001C051E">
        <w:rPr>
          <w:rFonts w:ascii="Lato" w:hAnsi="Lato" w:cs="Arial"/>
          <w:spacing w:val="4"/>
        </w:rPr>
        <w:t>, jak również rozpoznał zarzuty podniesione przez skarżąc</w:t>
      </w:r>
      <w:r w:rsidR="00413F82">
        <w:rPr>
          <w:rFonts w:ascii="Lato" w:hAnsi="Lato" w:cs="Arial"/>
          <w:spacing w:val="4"/>
        </w:rPr>
        <w:t>e</w:t>
      </w:r>
      <w:r w:rsidRPr="001C051E">
        <w:rPr>
          <w:rFonts w:ascii="Lato" w:hAnsi="Lato" w:cs="Arial"/>
          <w:spacing w:val="4"/>
        </w:rPr>
        <w:t xml:space="preserve"> stron</w:t>
      </w:r>
      <w:r w:rsidR="00413F82">
        <w:rPr>
          <w:rFonts w:ascii="Lato" w:hAnsi="Lato" w:cs="Arial"/>
          <w:spacing w:val="4"/>
        </w:rPr>
        <w:t>y</w:t>
      </w:r>
      <w:r w:rsidRPr="001C051E">
        <w:rPr>
          <w:rFonts w:ascii="Lato" w:hAnsi="Lato" w:cs="Arial"/>
          <w:spacing w:val="4"/>
        </w:rPr>
        <w:t>.</w:t>
      </w:r>
    </w:p>
    <w:p w14:paraId="44449F34" w14:textId="1A865F50" w:rsidR="009448DB" w:rsidRDefault="009448DB" w:rsidP="009448DB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W art. 3b pkt 1 specustawy przesyłowej wskazano, iż przepisy tej ustawy stosuje się również do </w:t>
      </w:r>
      <w:r w:rsidRPr="009448DB">
        <w:rPr>
          <w:rFonts w:ascii="Lato" w:hAnsi="Lato" w:cs="Arial"/>
          <w:spacing w:val="4"/>
        </w:rPr>
        <w:t>inwestycji towarzyszących, z wyłączeniem</w:t>
      </w:r>
      <w:r w:rsidR="00413F82">
        <w:rPr>
          <w:rFonts w:ascii="Lato" w:hAnsi="Lato" w:cs="Arial"/>
          <w:spacing w:val="4"/>
        </w:rPr>
        <w:t xml:space="preserve"> </w:t>
      </w:r>
      <w:hyperlink r:id="rId8" w:history="1">
        <w:r w:rsidR="00413F82" w:rsidRPr="00413F82">
          <w:rPr>
            <w:rStyle w:val="Hipercze"/>
            <w:rFonts w:ascii="Lato" w:hAnsi="Lato" w:cs="Arial"/>
            <w:color w:val="auto"/>
            <w:spacing w:val="4"/>
            <w:u w:val="none"/>
          </w:rPr>
          <w:t>art. 3a</w:t>
        </w:r>
      </w:hyperlink>
      <w:r w:rsidR="00413F82" w:rsidRPr="00413F82">
        <w:rPr>
          <w:rFonts w:ascii="Lato" w:hAnsi="Lato" w:cs="Arial"/>
          <w:spacing w:val="4"/>
        </w:rPr>
        <w:t xml:space="preserve">, </w:t>
      </w:r>
      <w:hyperlink r:id="rId9" w:history="1">
        <w:r w:rsidR="00413F82" w:rsidRPr="00413F82">
          <w:rPr>
            <w:rStyle w:val="Hipercze"/>
            <w:rFonts w:ascii="Lato" w:hAnsi="Lato" w:cs="Arial"/>
            <w:color w:val="auto"/>
            <w:spacing w:val="4"/>
            <w:u w:val="none"/>
          </w:rPr>
          <w:t>art. 4 ust. 1 pkt 14 i ust. 2 pkt 2-2b</w:t>
        </w:r>
      </w:hyperlink>
      <w:r w:rsidR="00413F82" w:rsidRPr="00413F82">
        <w:rPr>
          <w:rFonts w:ascii="Lato" w:hAnsi="Lato" w:cs="Arial"/>
          <w:spacing w:val="4"/>
        </w:rPr>
        <w:t xml:space="preserve">, </w:t>
      </w:r>
      <w:hyperlink r:id="rId10" w:history="1">
        <w:r w:rsidR="00413F82" w:rsidRPr="00413F82">
          <w:rPr>
            <w:rStyle w:val="Hipercze"/>
            <w:rFonts w:ascii="Lato" w:hAnsi="Lato" w:cs="Arial"/>
            <w:color w:val="auto"/>
            <w:spacing w:val="4"/>
            <w:u w:val="none"/>
          </w:rPr>
          <w:t>art. 8 ust. 1 pkt 10</w:t>
        </w:r>
      </w:hyperlink>
      <w:r w:rsidR="00413F82" w:rsidRPr="00413F82">
        <w:rPr>
          <w:rFonts w:ascii="Lato" w:hAnsi="Lato" w:cs="Arial"/>
          <w:spacing w:val="4"/>
        </w:rPr>
        <w:t xml:space="preserve">, </w:t>
      </w:r>
      <w:hyperlink r:id="rId11" w:history="1">
        <w:r w:rsidR="00413F82" w:rsidRPr="00413F82">
          <w:rPr>
            <w:rStyle w:val="Hipercze"/>
            <w:rFonts w:ascii="Lato" w:hAnsi="Lato" w:cs="Arial"/>
            <w:color w:val="auto"/>
            <w:spacing w:val="4"/>
            <w:u w:val="none"/>
          </w:rPr>
          <w:t>art. 27c</w:t>
        </w:r>
      </w:hyperlink>
      <w:r w:rsidR="00413F82" w:rsidRPr="00413F82">
        <w:rPr>
          <w:rFonts w:ascii="Lato" w:hAnsi="Lato" w:cs="Arial"/>
          <w:spacing w:val="4"/>
        </w:rPr>
        <w:t xml:space="preserve"> oraz </w:t>
      </w:r>
      <w:hyperlink r:id="rId12" w:history="1">
        <w:r w:rsidR="00413F82" w:rsidRPr="00413F82">
          <w:rPr>
            <w:rStyle w:val="Hipercze"/>
            <w:rFonts w:ascii="Lato" w:hAnsi="Lato" w:cs="Arial"/>
            <w:color w:val="auto"/>
            <w:spacing w:val="4"/>
            <w:u w:val="none"/>
          </w:rPr>
          <w:t>art. 27d</w:t>
        </w:r>
      </w:hyperlink>
      <w:r w:rsidR="00413F82" w:rsidRPr="00413F82">
        <w:rPr>
          <w:rFonts w:ascii="Lato" w:hAnsi="Lato" w:cs="Arial"/>
          <w:spacing w:val="4"/>
        </w:rPr>
        <w:t>, z tym że</w:t>
      </w:r>
      <w:r w:rsidR="00413F82">
        <w:rPr>
          <w:rFonts w:ascii="Lato" w:hAnsi="Lato" w:cs="Arial"/>
          <w:spacing w:val="4"/>
        </w:rPr>
        <w:t xml:space="preserve"> </w:t>
      </w:r>
      <w:r w:rsidRPr="009517B5">
        <w:rPr>
          <w:rFonts w:ascii="Lato" w:hAnsi="Lato" w:cs="Arial"/>
          <w:spacing w:val="4"/>
        </w:rPr>
        <w:t>w przypadku inwestycji towarzyszących przez</w:t>
      </w:r>
      <w:bookmarkStart w:id="12" w:name="mip74564210"/>
      <w:bookmarkEnd w:id="12"/>
      <w:r w:rsidRPr="009517B5">
        <w:rPr>
          <w:rFonts w:ascii="Lato" w:hAnsi="Lato" w:cs="Arial"/>
          <w:spacing w:val="4"/>
        </w:rPr>
        <w:t xml:space="preserve"> inwestora rozumie się operatora systemu dystrybucyjnego </w:t>
      </w:r>
      <w:r w:rsidR="009B630F" w:rsidRPr="009517B5">
        <w:rPr>
          <w:rFonts w:ascii="Lato" w:hAnsi="Lato" w:cs="Arial"/>
          <w:spacing w:val="4"/>
        </w:rPr>
        <w:br/>
      </w:r>
      <w:r w:rsidRPr="009517B5">
        <w:rPr>
          <w:rFonts w:ascii="Lato" w:hAnsi="Lato" w:cs="Arial"/>
          <w:spacing w:val="4"/>
        </w:rPr>
        <w:t>w rozumieniu</w:t>
      </w:r>
      <w:r w:rsidR="009517B5">
        <w:rPr>
          <w:rFonts w:ascii="Lato" w:hAnsi="Lato" w:cs="Arial"/>
          <w:spacing w:val="4"/>
        </w:rPr>
        <w:t xml:space="preserve"> art. 3 pkt 25 </w:t>
      </w:r>
      <w:r w:rsidRPr="009448DB">
        <w:rPr>
          <w:rFonts w:ascii="Lato" w:hAnsi="Lato" w:cs="Arial"/>
          <w:spacing w:val="4"/>
        </w:rPr>
        <w:t xml:space="preserve">ustawy z dnia 10 kwietnia 1997 r. - Prawo energetyczne </w:t>
      </w:r>
      <w:r w:rsidR="009B630F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 xml:space="preserve">(Dz. U. z 2024 r. poz. 266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 xml:space="preserve">. zm.), zwanej dalej „ustawą Prawo energetyczne”, </w:t>
      </w:r>
      <w:r w:rsidRPr="009448DB">
        <w:rPr>
          <w:rFonts w:ascii="Lato" w:hAnsi="Lato" w:cs="Arial"/>
          <w:spacing w:val="4"/>
        </w:rPr>
        <w:t>realizującego inwestycję towarzyszącą</w:t>
      </w:r>
      <w:r>
        <w:rPr>
          <w:rFonts w:ascii="Lato" w:hAnsi="Lato" w:cs="Arial"/>
          <w:spacing w:val="4"/>
        </w:rPr>
        <w:t xml:space="preserve">. Zgodnie z treścią art. 3 pkt 25 ustawy Prawo energetyczne </w:t>
      </w:r>
      <w:r w:rsidRPr="009448DB">
        <w:rPr>
          <w:rFonts w:ascii="Lato" w:hAnsi="Lato" w:cs="Arial"/>
          <w:spacing w:val="4"/>
        </w:rPr>
        <w:t xml:space="preserve">operator systemu dystrybucyjnego </w:t>
      </w:r>
      <w:r>
        <w:rPr>
          <w:rFonts w:ascii="Lato" w:hAnsi="Lato" w:cs="Arial"/>
          <w:spacing w:val="4"/>
        </w:rPr>
        <w:t>to</w:t>
      </w:r>
      <w:r w:rsidRPr="009448DB">
        <w:rPr>
          <w:rFonts w:ascii="Lato" w:hAnsi="Lato" w:cs="Arial"/>
          <w:spacing w:val="4"/>
        </w:rPr>
        <w:t xml:space="preserve"> przedsiębiorstwo energetyczne zajmujące się dystrybucją paliw gazowych lub energii elektrycznej, odpowiedzialne za ruch sieciowy w systemie dystrybucyjnym gazowym albo systemie dystrybucyjnym elektroenergetycznym, bieżące i długookresowe bezpieczeństwo funkcjonowania tego systemu, eksploatację, konserwację, remonty oraz niezbędną rozbudowę sieci dystrybucyjnej, w tym połączeń z innymi systemami gazowymi albo innymi systemami elektroenergetycznymi</w:t>
      </w:r>
      <w:r>
        <w:rPr>
          <w:rFonts w:ascii="Lato" w:hAnsi="Lato" w:cs="Arial"/>
          <w:spacing w:val="4"/>
        </w:rPr>
        <w:t>.</w:t>
      </w:r>
    </w:p>
    <w:p w14:paraId="43747EFA" w14:textId="07637E5B" w:rsidR="00A97A45" w:rsidRDefault="009448DB" w:rsidP="009448DB">
      <w:pPr>
        <w:tabs>
          <w:tab w:val="center" w:pos="1470"/>
          <w:tab w:val="left" w:pos="5387"/>
        </w:tabs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 xml:space="preserve">W niniejszym przypadku ww. wniosek z dnia </w:t>
      </w:r>
      <w:r w:rsidR="00A97A45">
        <w:rPr>
          <w:rFonts w:ascii="Lato" w:hAnsi="Lato" w:cs="Arial"/>
          <w:bCs/>
          <w:spacing w:val="4"/>
        </w:rPr>
        <w:t>1</w:t>
      </w:r>
      <w:r w:rsidR="00DE7053">
        <w:rPr>
          <w:rFonts w:ascii="Lato" w:hAnsi="Lato" w:cs="Arial"/>
          <w:bCs/>
          <w:spacing w:val="4"/>
        </w:rPr>
        <w:t>7</w:t>
      </w:r>
      <w:r w:rsidR="00A97A45">
        <w:rPr>
          <w:rFonts w:ascii="Lato" w:hAnsi="Lato" w:cs="Arial"/>
          <w:bCs/>
          <w:spacing w:val="4"/>
        </w:rPr>
        <w:t xml:space="preserve"> </w:t>
      </w:r>
      <w:r w:rsidR="004A5E5C">
        <w:rPr>
          <w:rFonts w:ascii="Lato" w:hAnsi="Lato" w:cs="Arial"/>
          <w:bCs/>
          <w:spacing w:val="4"/>
        </w:rPr>
        <w:t>czerwca</w:t>
      </w:r>
      <w:r w:rsidR="00A97A45">
        <w:rPr>
          <w:rFonts w:ascii="Lato" w:hAnsi="Lato" w:cs="Arial"/>
          <w:bCs/>
          <w:spacing w:val="4"/>
        </w:rPr>
        <w:t xml:space="preserve"> 2024</w:t>
      </w:r>
      <w:r>
        <w:rPr>
          <w:rFonts w:ascii="Lato" w:hAnsi="Lato" w:cs="Arial"/>
          <w:bCs/>
          <w:spacing w:val="4"/>
        </w:rPr>
        <w:t xml:space="preserve"> r. o wydanie zaskarżonej decyzji</w:t>
      </w:r>
      <w:r w:rsidR="00A97A45">
        <w:rPr>
          <w:rFonts w:ascii="Lato" w:hAnsi="Lato" w:cs="Arial"/>
          <w:bCs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t xml:space="preserve">został złożony przez uprawniony podmiot, tj. </w:t>
      </w:r>
      <w:r w:rsidR="004A5E5C" w:rsidRPr="001C051E">
        <w:rPr>
          <w:rFonts w:ascii="Lato" w:hAnsi="Lato"/>
          <w:bCs/>
          <w:spacing w:val="4"/>
        </w:rPr>
        <w:t>spółk</w:t>
      </w:r>
      <w:r w:rsidR="00612D9A">
        <w:rPr>
          <w:rFonts w:ascii="Lato" w:hAnsi="Lato"/>
          <w:bCs/>
          <w:spacing w:val="4"/>
        </w:rPr>
        <w:t>ę</w:t>
      </w:r>
      <w:r w:rsidR="004A5E5C" w:rsidRPr="001C051E">
        <w:rPr>
          <w:rFonts w:ascii="Lato" w:hAnsi="Lato"/>
          <w:bCs/>
          <w:spacing w:val="4"/>
        </w:rPr>
        <w:t xml:space="preserve"> </w:t>
      </w:r>
      <w:r w:rsidR="004A5E5C">
        <w:rPr>
          <w:rFonts w:ascii="Lato" w:hAnsi="Lato"/>
          <w:bCs/>
          <w:spacing w:val="4"/>
        </w:rPr>
        <w:t>PGE Dystrybucja S.A.</w:t>
      </w:r>
      <w:r w:rsidR="004A5E5C" w:rsidRPr="001C051E">
        <w:rPr>
          <w:rFonts w:ascii="Lato" w:hAnsi="Lato"/>
          <w:bCs/>
          <w:spacing w:val="4"/>
        </w:rPr>
        <w:t xml:space="preserve"> z </w:t>
      </w:r>
      <w:r w:rsidR="00612D9A">
        <w:rPr>
          <w:rFonts w:ascii="Lato" w:hAnsi="Lato"/>
          <w:bCs/>
          <w:spacing w:val="4"/>
        </w:rPr>
        <w:t> </w:t>
      </w:r>
      <w:r w:rsidR="004A5E5C" w:rsidRPr="001C051E">
        <w:rPr>
          <w:rFonts w:ascii="Lato" w:hAnsi="Lato"/>
          <w:bCs/>
          <w:spacing w:val="4"/>
        </w:rPr>
        <w:t xml:space="preserve">siedzibą w </w:t>
      </w:r>
      <w:r w:rsidR="004A5E5C">
        <w:rPr>
          <w:rFonts w:ascii="Lato" w:hAnsi="Lato"/>
          <w:bCs/>
          <w:spacing w:val="4"/>
        </w:rPr>
        <w:t>Lublinie</w:t>
      </w:r>
      <w:r>
        <w:rPr>
          <w:rFonts w:ascii="Lato" w:hAnsi="Lato" w:cs="Arial"/>
          <w:bCs/>
          <w:spacing w:val="4"/>
        </w:rPr>
        <w:t xml:space="preserve">, będącą </w:t>
      </w:r>
      <w:r w:rsidR="00A97A45" w:rsidRPr="009448DB">
        <w:rPr>
          <w:rFonts w:ascii="Lato" w:hAnsi="Lato" w:cs="Arial"/>
          <w:spacing w:val="4"/>
        </w:rPr>
        <w:t>operator</w:t>
      </w:r>
      <w:r w:rsidR="00A97A45">
        <w:rPr>
          <w:rFonts w:ascii="Lato" w:hAnsi="Lato" w:cs="Arial"/>
          <w:spacing w:val="4"/>
        </w:rPr>
        <w:t>em</w:t>
      </w:r>
      <w:r w:rsidR="00A97A45" w:rsidRPr="009448DB">
        <w:rPr>
          <w:rFonts w:ascii="Lato" w:hAnsi="Lato" w:cs="Arial"/>
          <w:spacing w:val="4"/>
        </w:rPr>
        <w:t xml:space="preserve"> systemu dystrybucyjnego</w:t>
      </w:r>
      <w:r>
        <w:rPr>
          <w:rFonts w:ascii="Lato" w:hAnsi="Lato" w:cs="Arial"/>
          <w:bCs/>
          <w:spacing w:val="4"/>
        </w:rPr>
        <w:t xml:space="preserve"> w rozumieniu </w:t>
      </w:r>
      <w:r w:rsidR="009B630F">
        <w:rPr>
          <w:rFonts w:ascii="Lato" w:hAnsi="Lato" w:cs="Arial"/>
          <w:bCs/>
          <w:spacing w:val="4"/>
        </w:rPr>
        <w:br/>
      </w:r>
      <w:r w:rsidR="00A97A45">
        <w:rPr>
          <w:rFonts w:ascii="Lato" w:hAnsi="Lato" w:cs="Arial"/>
          <w:spacing w:val="4"/>
        </w:rPr>
        <w:t xml:space="preserve">art. 3 pkt 25 ustawy Prawo energetyczne, który </w:t>
      </w:r>
      <w:r w:rsidR="00A97A45" w:rsidRPr="00A97A45">
        <w:rPr>
          <w:rFonts w:ascii="Lato" w:hAnsi="Lato" w:cs="Arial"/>
          <w:spacing w:val="4"/>
        </w:rPr>
        <w:t>realizuj</w:t>
      </w:r>
      <w:r w:rsidR="009462E2">
        <w:rPr>
          <w:rFonts w:ascii="Lato" w:hAnsi="Lato" w:cs="Arial"/>
          <w:spacing w:val="4"/>
        </w:rPr>
        <w:t>e</w:t>
      </w:r>
      <w:r w:rsidR="00A97A45" w:rsidRPr="00A97A45">
        <w:rPr>
          <w:rFonts w:ascii="Lato" w:hAnsi="Lato" w:cs="Arial"/>
          <w:spacing w:val="4"/>
        </w:rPr>
        <w:t xml:space="preserve"> inwestycję towarzyszącą</w:t>
      </w:r>
      <w:r>
        <w:rPr>
          <w:rFonts w:ascii="Lato" w:hAnsi="Lato" w:cs="Arial"/>
          <w:bCs/>
          <w:spacing w:val="4"/>
        </w:rPr>
        <w:t xml:space="preserve">. </w:t>
      </w:r>
      <w:r w:rsidR="00612D9A">
        <w:rPr>
          <w:rFonts w:ascii="Lato" w:hAnsi="Lato" w:cs="Arial"/>
          <w:spacing w:val="4"/>
        </w:rPr>
        <w:t xml:space="preserve">Linia napowietrzna 110 </w:t>
      </w:r>
      <w:proofErr w:type="spellStart"/>
      <w:r w:rsidR="00612D9A">
        <w:rPr>
          <w:rFonts w:ascii="Lato" w:hAnsi="Lato" w:cs="Arial"/>
          <w:spacing w:val="4"/>
        </w:rPr>
        <w:t>kV</w:t>
      </w:r>
      <w:proofErr w:type="spellEnd"/>
      <w:r w:rsidR="00612D9A">
        <w:rPr>
          <w:rFonts w:ascii="Lato" w:hAnsi="Lato" w:cs="Arial"/>
          <w:spacing w:val="4"/>
        </w:rPr>
        <w:t xml:space="preserve"> Tomaszów Południe – Lubaczów stanowi </w:t>
      </w:r>
      <w:r w:rsidR="00623786">
        <w:rPr>
          <w:rFonts w:ascii="Lato" w:hAnsi="Lato" w:cs="Arial"/>
          <w:spacing w:val="4"/>
        </w:rPr>
        <w:t xml:space="preserve">bowiem </w:t>
      </w:r>
      <w:r w:rsidR="00612D9A">
        <w:rPr>
          <w:rFonts w:ascii="Lato" w:hAnsi="Lato" w:cs="Arial"/>
          <w:spacing w:val="4"/>
        </w:rPr>
        <w:t xml:space="preserve">fragment ciągu liniowego 110 </w:t>
      </w:r>
      <w:proofErr w:type="spellStart"/>
      <w:r w:rsidR="00612D9A">
        <w:rPr>
          <w:rFonts w:ascii="Lato" w:hAnsi="Lato" w:cs="Arial"/>
          <w:spacing w:val="4"/>
        </w:rPr>
        <w:t>kV</w:t>
      </w:r>
      <w:proofErr w:type="spellEnd"/>
      <w:r w:rsidR="00612D9A">
        <w:rPr>
          <w:rFonts w:ascii="Lato" w:hAnsi="Lato" w:cs="Arial"/>
          <w:spacing w:val="4"/>
        </w:rPr>
        <w:t xml:space="preserve"> Zamość – Tomaszów Północ – Tomaszów Południe – Lubaczów, który został objęty wykazem inwestycji towarzyszących polegających na przebudowie istniejących linii elektroenergetycznych stanowiących elementy sieci dystrybucyjnej o  napięciu równym lub wyższym niż 110 </w:t>
      </w:r>
      <w:proofErr w:type="spellStart"/>
      <w:r w:rsidR="00612D9A">
        <w:rPr>
          <w:rFonts w:ascii="Lato" w:hAnsi="Lato" w:cs="Arial"/>
          <w:spacing w:val="4"/>
        </w:rPr>
        <w:t>kV</w:t>
      </w:r>
      <w:proofErr w:type="spellEnd"/>
      <w:r w:rsidR="00612D9A">
        <w:rPr>
          <w:rFonts w:ascii="Lato" w:hAnsi="Lato" w:cs="Arial"/>
          <w:spacing w:val="4"/>
        </w:rPr>
        <w:t xml:space="preserve"> </w:t>
      </w:r>
      <w:r w:rsidR="00623786">
        <w:rPr>
          <w:rFonts w:ascii="Lato" w:hAnsi="Lato" w:cs="Arial"/>
          <w:spacing w:val="4"/>
        </w:rPr>
        <w:t>[</w:t>
      </w:r>
      <w:r w:rsidR="00612D9A">
        <w:rPr>
          <w:rFonts w:ascii="Lato" w:hAnsi="Lato" w:cs="Arial"/>
          <w:spacing w:val="4"/>
        </w:rPr>
        <w:t xml:space="preserve">pkt 166 Rozporządzenia Rady Ministrów z </w:t>
      </w:r>
      <w:r w:rsidR="00813EE1">
        <w:rPr>
          <w:rFonts w:ascii="Lato" w:hAnsi="Lato" w:cs="Arial"/>
          <w:spacing w:val="4"/>
        </w:rPr>
        <w:t> </w:t>
      </w:r>
      <w:r w:rsidR="00612D9A">
        <w:rPr>
          <w:rFonts w:ascii="Lato" w:hAnsi="Lato" w:cs="Arial"/>
          <w:spacing w:val="4"/>
        </w:rPr>
        <w:t xml:space="preserve">dnia 21 </w:t>
      </w:r>
      <w:r w:rsidR="009462E2">
        <w:rPr>
          <w:rFonts w:ascii="Lato" w:hAnsi="Lato" w:cs="Arial"/>
          <w:spacing w:val="4"/>
        </w:rPr>
        <w:t> </w:t>
      </w:r>
      <w:r w:rsidR="00612D9A">
        <w:rPr>
          <w:rFonts w:ascii="Lato" w:hAnsi="Lato" w:cs="Arial"/>
          <w:spacing w:val="4"/>
        </w:rPr>
        <w:t xml:space="preserve">listopada 2023 r. w sprawie wykazu inwestycji towarzszących polegających na przebudowie istniejących linii elektroenergetycznych stanowiących elementy sieci dystrybucyjnej o napięciu równym lub wyższym 110 </w:t>
      </w:r>
      <w:proofErr w:type="spellStart"/>
      <w:r w:rsidR="00612D9A">
        <w:rPr>
          <w:rFonts w:ascii="Lato" w:hAnsi="Lato" w:cs="Arial"/>
          <w:spacing w:val="4"/>
        </w:rPr>
        <w:t>kV</w:t>
      </w:r>
      <w:proofErr w:type="spellEnd"/>
      <w:r w:rsidR="00623786">
        <w:rPr>
          <w:rFonts w:ascii="Lato" w:hAnsi="Lato" w:cs="Arial"/>
          <w:spacing w:val="4"/>
        </w:rPr>
        <w:t xml:space="preserve"> (</w:t>
      </w:r>
      <w:r w:rsidR="00623786" w:rsidRPr="00C63208">
        <w:rPr>
          <w:rFonts w:ascii="Lato" w:hAnsi="Lato" w:cs="TimesNewRomanPSMT"/>
          <w:spacing w:val="4"/>
        </w:rPr>
        <w:t>Dz.U. z 2023 r. poz. 2570)</w:t>
      </w:r>
      <w:r w:rsidR="006A57D4">
        <w:rPr>
          <w:rFonts w:ascii="Lato" w:hAnsi="Lato" w:cs="TimesNewRomanPSMT"/>
          <w:spacing w:val="4"/>
        </w:rPr>
        <w:t xml:space="preserve"> </w:t>
      </w:r>
      <w:r w:rsidR="00B02890">
        <w:rPr>
          <w:rFonts w:ascii="Lato" w:hAnsi="Lato" w:cs="TimesNewRomanPSMT"/>
          <w:spacing w:val="4"/>
        </w:rPr>
        <w:br/>
      </w:r>
      <w:r w:rsidR="006A57D4">
        <w:rPr>
          <w:rFonts w:ascii="Lato" w:hAnsi="Lato" w:cs="TimesNewRomanPSMT"/>
          <w:spacing w:val="4"/>
        </w:rPr>
        <w:t>w zw. z art. 2a specustawy przesyłowej</w:t>
      </w:r>
      <w:r w:rsidR="00623786">
        <w:rPr>
          <w:rFonts w:ascii="Lato" w:hAnsi="Lato" w:cs="Arial"/>
          <w:spacing w:val="4"/>
        </w:rPr>
        <w:t>]</w:t>
      </w:r>
      <w:r w:rsidR="00A97A45" w:rsidRPr="001C051E">
        <w:rPr>
          <w:rFonts w:ascii="Lato" w:hAnsi="Lato" w:cs="Arial"/>
          <w:spacing w:val="4"/>
        </w:rPr>
        <w:t>.</w:t>
      </w:r>
    </w:p>
    <w:p w14:paraId="2AA11387" w14:textId="6B167347" w:rsidR="003A18A5" w:rsidRPr="001C051E" w:rsidRDefault="003A18A5" w:rsidP="000C15C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C051E">
        <w:rPr>
          <w:rFonts w:ascii="Lato" w:hAnsi="Lato" w:cs="Arial"/>
          <w:spacing w:val="4"/>
        </w:rPr>
        <w:lastRenderedPageBreak/>
        <w:t xml:space="preserve">Analizując złożony przez inwestora wniosek o wydanie przedmiotowej decyzji </w:t>
      </w:r>
      <w:r w:rsidR="00807AC2" w:rsidRPr="001C051E">
        <w:rPr>
          <w:rFonts w:ascii="Lato" w:hAnsi="Lato" w:cs="Arial"/>
          <w:spacing w:val="4"/>
        </w:rPr>
        <w:br/>
        <w:t xml:space="preserve">o ustaleniu lokalizacji inwestycji </w:t>
      </w:r>
      <w:r w:rsidR="001C07E6" w:rsidRPr="001C051E">
        <w:rPr>
          <w:rFonts w:ascii="Lato" w:hAnsi="Lato" w:cs="Arial"/>
          <w:bCs/>
          <w:spacing w:val="4"/>
        </w:rPr>
        <w:t xml:space="preserve">towarzyszącej strategicznej inwestycji </w:t>
      </w:r>
      <w:r w:rsidR="00807AC2" w:rsidRPr="001C051E">
        <w:rPr>
          <w:rFonts w:ascii="Lato" w:hAnsi="Lato" w:cs="Arial"/>
          <w:spacing w:val="4"/>
        </w:rPr>
        <w:t>w zakresie sieci</w:t>
      </w:r>
      <w:r w:rsidR="001C07E6">
        <w:rPr>
          <w:rFonts w:ascii="Lato" w:hAnsi="Lato" w:cs="Arial"/>
          <w:spacing w:val="4"/>
        </w:rPr>
        <w:t xml:space="preserve"> przesyłowej</w:t>
      </w:r>
      <w:r w:rsidRPr="001C051E">
        <w:rPr>
          <w:rFonts w:ascii="Lato" w:hAnsi="Lato" w:cs="Arial"/>
          <w:spacing w:val="4"/>
        </w:rPr>
        <w:t>, Minister stwierdził, że jest on</w:t>
      </w:r>
      <w:r w:rsidR="00807AC2" w:rsidRPr="001C051E">
        <w:rPr>
          <w:rFonts w:ascii="Lato" w:hAnsi="Lato" w:cs="Arial"/>
          <w:spacing w:val="4"/>
        </w:rPr>
        <w:t xml:space="preserve"> </w:t>
      </w:r>
      <w:r w:rsidRPr="001C051E">
        <w:rPr>
          <w:rFonts w:ascii="Lato" w:hAnsi="Lato" w:cs="Arial"/>
          <w:spacing w:val="4"/>
        </w:rPr>
        <w:t>kompletny i zawiera elementy</w:t>
      </w:r>
      <w:r w:rsidR="0027787D" w:rsidRPr="001C051E">
        <w:rPr>
          <w:rFonts w:ascii="Lato" w:hAnsi="Lato" w:cs="Arial"/>
          <w:spacing w:val="4"/>
        </w:rPr>
        <w:t xml:space="preserve"> </w:t>
      </w:r>
      <w:r w:rsidRPr="001C051E">
        <w:rPr>
          <w:rFonts w:ascii="Lato" w:hAnsi="Lato" w:cs="Arial"/>
          <w:spacing w:val="4"/>
        </w:rPr>
        <w:t xml:space="preserve">wskazane </w:t>
      </w:r>
      <w:r w:rsidR="009B630F">
        <w:rPr>
          <w:rFonts w:ascii="Lato" w:hAnsi="Lato" w:cs="Arial"/>
          <w:spacing w:val="4"/>
        </w:rPr>
        <w:br/>
      </w:r>
      <w:r w:rsidRPr="001C051E">
        <w:rPr>
          <w:rFonts w:ascii="Lato" w:hAnsi="Lato" w:cs="Arial"/>
          <w:spacing w:val="4"/>
        </w:rPr>
        <w:t xml:space="preserve">w art. 4 ust. 1 i ust. 2 </w:t>
      </w:r>
      <w:r w:rsidR="002C229F" w:rsidRPr="001C051E">
        <w:rPr>
          <w:rFonts w:ascii="Lato" w:hAnsi="Lato" w:cs="Arial"/>
          <w:spacing w:val="4"/>
        </w:rPr>
        <w:t xml:space="preserve">w zw. z art. 3b </w:t>
      </w:r>
      <w:r w:rsidRPr="001C051E">
        <w:rPr>
          <w:rFonts w:ascii="Lato" w:hAnsi="Lato" w:cs="Arial"/>
          <w:spacing w:val="4"/>
        </w:rPr>
        <w:t xml:space="preserve">specustawy przesyłowej, wymagane </w:t>
      </w:r>
      <w:r w:rsidR="009B630F">
        <w:rPr>
          <w:rFonts w:ascii="Lato" w:hAnsi="Lato" w:cs="Arial"/>
          <w:spacing w:val="4"/>
        </w:rPr>
        <w:br/>
      </w:r>
      <w:r w:rsidRPr="001C051E">
        <w:rPr>
          <w:rFonts w:ascii="Lato" w:hAnsi="Lato" w:cs="Arial"/>
          <w:spacing w:val="4"/>
        </w:rPr>
        <w:t xml:space="preserve">w okolicznościach niniejszej sprawy. </w:t>
      </w:r>
    </w:p>
    <w:p w14:paraId="07565190" w14:textId="68DFD8EC" w:rsidR="000C15C1" w:rsidRPr="001C051E" w:rsidRDefault="000C15C1" w:rsidP="000C15C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C051E">
        <w:rPr>
          <w:rFonts w:ascii="Lato" w:hAnsi="Lato" w:cs="Arial"/>
          <w:spacing w:val="4"/>
        </w:rPr>
        <w:t xml:space="preserve">Następnie, organ odwoławczy poddał kontroli przeprowadzone przez Wojewodę </w:t>
      </w:r>
      <w:r w:rsidR="00CC7A65">
        <w:rPr>
          <w:rFonts w:ascii="Lato" w:hAnsi="Lato" w:cs="Arial"/>
          <w:spacing w:val="4"/>
        </w:rPr>
        <w:t>Podkarpackiego</w:t>
      </w:r>
      <w:r w:rsidRPr="001C051E">
        <w:rPr>
          <w:rFonts w:ascii="Lato" w:hAnsi="Lato" w:cs="Arial"/>
          <w:spacing w:val="4"/>
        </w:rPr>
        <w:t xml:space="preserve"> postępowanie w sprawie wydania decyzji lokalizacyjnej dla projektowanego przedsięwzięcia przesyłowego i stwierdził, co następuje. </w:t>
      </w:r>
    </w:p>
    <w:p w14:paraId="1583B551" w14:textId="38CC492E" w:rsidR="000C15C1" w:rsidRPr="001C051E" w:rsidRDefault="000C15C1" w:rsidP="000C15C1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bCs/>
          <w:spacing w:val="4"/>
        </w:rPr>
        <w:t xml:space="preserve">W ocenie organu II instancji Wojewoda </w:t>
      </w:r>
      <w:r w:rsidR="00CC7A65">
        <w:rPr>
          <w:rFonts w:ascii="Lato" w:hAnsi="Lato" w:cs="Arial"/>
          <w:spacing w:val="4"/>
        </w:rPr>
        <w:t>Podkarpacki</w:t>
      </w:r>
      <w:r w:rsidRPr="001C051E">
        <w:rPr>
          <w:rFonts w:ascii="Lato" w:hAnsi="Lato" w:cs="Arial"/>
          <w:spacing w:val="4"/>
        </w:rPr>
        <w:t xml:space="preserve"> </w:t>
      </w:r>
      <w:r w:rsidRPr="001C051E">
        <w:rPr>
          <w:rFonts w:ascii="Lato" w:hAnsi="Lato" w:cs="Arial"/>
          <w:bCs/>
          <w:spacing w:val="4"/>
        </w:rPr>
        <w:t xml:space="preserve">prawidłowo poinformował strony </w:t>
      </w:r>
      <w:r w:rsidRPr="001C051E">
        <w:rPr>
          <w:rFonts w:ascii="Lato" w:hAnsi="Lato" w:cs="Arial"/>
          <w:bCs/>
          <w:spacing w:val="4"/>
        </w:rPr>
        <w:br/>
        <w:t xml:space="preserve">o wszczętym postępowaniu, podał jego podstawę prawną, pouczył o prawie do składania wniosków, uwag i zastrzeżeń, wskazując miejsce, w którym strony mogą zapoznać się </w:t>
      </w:r>
      <w:r w:rsidR="0027787D" w:rsidRPr="001C051E">
        <w:rPr>
          <w:rFonts w:ascii="Lato" w:hAnsi="Lato" w:cs="Arial"/>
          <w:bCs/>
          <w:spacing w:val="4"/>
        </w:rPr>
        <w:br/>
      </w:r>
      <w:r w:rsidRPr="001C051E">
        <w:rPr>
          <w:rFonts w:ascii="Lato" w:hAnsi="Lato" w:cs="Arial"/>
          <w:bCs/>
          <w:spacing w:val="4"/>
        </w:rPr>
        <w:t xml:space="preserve">z aktami sprawy, a zatem należycie i wyczerpująco poinformował strony </w:t>
      </w:r>
      <w:r w:rsidR="001C051E">
        <w:rPr>
          <w:rFonts w:ascii="Lato" w:hAnsi="Lato" w:cs="Arial"/>
          <w:bCs/>
          <w:spacing w:val="4"/>
        </w:rPr>
        <w:br/>
      </w:r>
      <w:r w:rsidRPr="001C051E">
        <w:rPr>
          <w:rFonts w:ascii="Lato" w:hAnsi="Lato" w:cs="Arial"/>
          <w:bCs/>
          <w:spacing w:val="4"/>
        </w:rPr>
        <w:t>o okolicznościach faktycznych i prawnych, będących przedmiotem postępowania administracyjnego, które mogły mieć wpływ na ustalenie ich praw i obowiązków.</w:t>
      </w:r>
    </w:p>
    <w:p w14:paraId="45D21DE2" w14:textId="4047B25F" w:rsidR="000C15C1" w:rsidRPr="001C051E" w:rsidRDefault="000C15C1" w:rsidP="000C15C1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bCs/>
          <w:spacing w:val="4"/>
        </w:rPr>
        <w:t xml:space="preserve">Zgodnie z art. 7 ust. 1 specustawy przesyłowej Wojewoda </w:t>
      </w:r>
      <w:r w:rsidR="00DD2E2B">
        <w:rPr>
          <w:rFonts w:ascii="Lato" w:hAnsi="Lato" w:cs="Arial"/>
          <w:spacing w:val="4"/>
        </w:rPr>
        <w:t>Podkarpacki</w:t>
      </w:r>
      <w:r w:rsidRPr="001C051E">
        <w:rPr>
          <w:rFonts w:ascii="Lato" w:hAnsi="Lato" w:cs="Arial"/>
          <w:bCs/>
          <w:spacing w:val="4"/>
        </w:rPr>
        <w:t xml:space="preserve"> </w:t>
      </w:r>
      <w:r w:rsidR="004A0CAE">
        <w:rPr>
          <w:rFonts w:ascii="Lato" w:hAnsi="Lato" w:cs="Arial"/>
          <w:bCs/>
          <w:spacing w:val="4"/>
        </w:rPr>
        <w:t xml:space="preserve">pismem z dnia </w:t>
      </w:r>
      <w:r w:rsidR="004709E1">
        <w:rPr>
          <w:rFonts w:ascii="Lato" w:hAnsi="Lato" w:cs="Arial"/>
          <w:bCs/>
          <w:spacing w:val="4"/>
        </w:rPr>
        <w:t xml:space="preserve">26 czerwca </w:t>
      </w:r>
      <w:r w:rsidR="004A0CAE">
        <w:rPr>
          <w:rFonts w:ascii="Lato" w:hAnsi="Lato" w:cs="Arial"/>
          <w:bCs/>
          <w:spacing w:val="4"/>
        </w:rPr>
        <w:t xml:space="preserve">2024 r., znak: </w:t>
      </w:r>
      <w:r w:rsidR="004709E1">
        <w:rPr>
          <w:rFonts w:ascii="Lato" w:hAnsi="Lato" w:cs="Arial"/>
          <w:bCs/>
          <w:spacing w:val="4"/>
        </w:rPr>
        <w:t>N-VIII.747.4.4.2024</w:t>
      </w:r>
      <w:r w:rsidR="004A0CAE">
        <w:rPr>
          <w:rFonts w:ascii="Lato" w:hAnsi="Lato" w:cs="Arial"/>
          <w:bCs/>
          <w:spacing w:val="4"/>
        </w:rPr>
        <w:t xml:space="preserve">, </w:t>
      </w:r>
      <w:r w:rsidRPr="001C051E">
        <w:rPr>
          <w:rFonts w:ascii="Lato" w:hAnsi="Lato" w:cs="Arial"/>
          <w:bCs/>
          <w:spacing w:val="4"/>
        </w:rPr>
        <w:t xml:space="preserve">zawiadomił wnioskodawcę oraz właścicieli i użytkowników wieczystych nieruchomości objętych wnioskiem o wszczęciu postępowania w sprawie wydania decyzji o ustaleniu lokalizacji przedmiotowej </w:t>
      </w:r>
      <w:r w:rsidR="004A0CAE">
        <w:rPr>
          <w:rFonts w:ascii="Lato" w:hAnsi="Lato" w:cs="Arial"/>
          <w:bCs/>
          <w:spacing w:val="4"/>
        </w:rPr>
        <w:t xml:space="preserve">inwestycji towarzyszącej </w:t>
      </w:r>
      <w:r w:rsidRPr="001C051E">
        <w:rPr>
          <w:rFonts w:ascii="Lato" w:hAnsi="Lato" w:cs="Arial"/>
          <w:bCs/>
          <w:spacing w:val="4"/>
        </w:rPr>
        <w:t xml:space="preserve">strategicznej inwestycji w zakresie sieci przesyłowej, wysyłając zawiadomienie odpowiednio na adres wskazany we wniosku oraz na adresy wskazane </w:t>
      </w:r>
      <w:r w:rsidR="009B630F">
        <w:rPr>
          <w:rFonts w:ascii="Lato" w:hAnsi="Lato" w:cs="Arial"/>
          <w:bCs/>
          <w:spacing w:val="4"/>
        </w:rPr>
        <w:br/>
      </w:r>
      <w:r w:rsidRPr="001C051E">
        <w:rPr>
          <w:rFonts w:ascii="Lato" w:hAnsi="Lato" w:cs="Arial"/>
          <w:bCs/>
          <w:spacing w:val="4"/>
        </w:rPr>
        <w:t xml:space="preserve">w katastrze nieruchomości. Pozostałe strony postępowania zostały poinformowane </w:t>
      </w:r>
      <w:r w:rsidR="001C051E">
        <w:rPr>
          <w:rFonts w:ascii="Lato" w:hAnsi="Lato" w:cs="Arial"/>
          <w:bCs/>
          <w:spacing w:val="4"/>
        </w:rPr>
        <w:br/>
      </w:r>
      <w:r w:rsidRPr="001C051E">
        <w:rPr>
          <w:rFonts w:ascii="Lato" w:hAnsi="Lato" w:cs="Arial"/>
          <w:bCs/>
          <w:spacing w:val="4"/>
        </w:rPr>
        <w:t xml:space="preserve">o powyższym w drodze obwieszczenia. W przedmiotowym obwieszczeniu oraz zawiadomieniu organ I instancji zawarł oznaczenie nieruchomości objętych wnioskiem </w:t>
      </w:r>
      <w:r w:rsidR="001C051E">
        <w:rPr>
          <w:rFonts w:ascii="Lato" w:hAnsi="Lato" w:cs="Arial"/>
          <w:bCs/>
          <w:spacing w:val="4"/>
        </w:rPr>
        <w:br/>
      </w:r>
      <w:r w:rsidRPr="001C051E">
        <w:rPr>
          <w:rFonts w:ascii="Lato" w:hAnsi="Lato" w:cs="Arial"/>
          <w:bCs/>
          <w:spacing w:val="4"/>
        </w:rPr>
        <w:t xml:space="preserve">o wydanie decyzji o ustaleniu lokalizacji omawianej inwestycji, a także informację </w:t>
      </w:r>
      <w:r w:rsidR="001C051E">
        <w:rPr>
          <w:rFonts w:ascii="Lato" w:hAnsi="Lato" w:cs="Arial"/>
          <w:bCs/>
          <w:spacing w:val="4"/>
        </w:rPr>
        <w:br/>
      </w:r>
      <w:r w:rsidRPr="001C051E">
        <w:rPr>
          <w:rFonts w:ascii="Lato" w:hAnsi="Lato" w:cs="Arial"/>
          <w:bCs/>
          <w:spacing w:val="4"/>
        </w:rPr>
        <w:t>o miejscu, w którym strony mogą zapoznać się z aktami sprawy.</w:t>
      </w:r>
    </w:p>
    <w:p w14:paraId="1AD0EE68" w14:textId="6E493C6B" w:rsidR="000C15C1" w:rsidRPr="001C051E" w:rsidRDefault="000C15C1" w:rsidP="000C15C1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bCs/>
          <w:spacing w:val="4"/>
        </w:rPr>
        <w:t xml:space="preserve">Uznając, że zebrany w sprawie materiał dowodowy pozwala na wydanie rozstrzygnięcia, Wojewoda </w:t>
      </w:r>
      <w:r w:rsidR="004709E1">
        <w:rPr>
          <w:rFonts w:ascii="Lato" w:hAnsi="Lato" w:cs="Arial"/>
          <w:bCs/>
          <w:spacing w:val="4"/>
        </w:rPr>
        <w:t>Podkarpacki</w:t>
      </w:r>
      <w:r w:rsidR="00F85B50" w:rsidRPr="001C051E">
        <w:rPr>
          <w:rFonts w:ascii="Lato" w:hAnsi="Lato" w:cs="Arial"/>
          <w:bCs/>
          <w:spacing w:val="4"/>
        </w:rPr>
        <w:t xml:space="preserve"> </w:t>
      </w:r>
      <w:r w:rsidRPr="001C051E">
        <w:rPr>
          <w:rFonts w:ascii="Lato" w:hAnsi="Lato" w:cs="Arial"/>
          <w:bCs/>
          <w:spacing w:val="4"/>
        </w:rPr>
        <w:t xml:space="preserve">wydał w dniu </w:t>
      </w:r>
      <w:r w:rsidR="004709E1">
        <w:rPr>
          <w:rFonts w:ascii="Lato" w:hAnsi="Lato" w:cs="Arial"/>
          <w:bCs/>
          <w:spacing w:val="4"/>
        </w:rPr>
        <w:t>7 sierpnia</w:t>
      </w:r>
      <w:r w:rsidR="00F562E5" w:rsidRPr="001C051E">
        <w:rPr>
          <w:rFonts w:ascii="Lato" w:hAnsi="Lato" w:cs="Arial"/>
          <w:bCs/>
          <w:spacing w:val="4"/>
        </w:rPr>
        <w:t xml:space="preserve"> 2024 r.</w:t>
      </w:r>
      <w:r w:rsidR="004A0CAE">
        <w:rPr>
          <w:rFonts w:ascii="Lato" w:hAnsi="Lato" w:cs="Arial"/>
          <w:bCs/>
          <w:spacing w:val="4"/>
        </w:rPr>
        <w:t xml:space="preserve"> decyzję,</w:t>
      </w:r>
      <w:r w:rsidR="00F562E5" w:rsidRPr="001C051E">
        <w:rPr>
          <w:rFonts w:ascii="Lato" w:hAnsi="Lato" w:cs="Arial"/>
          <w:bCs/>
          <w:spacing w:val="4"/>
        </w:rPr>
        <w:t xml:space="preserve"> </w:t>
      </w:r>
      <w:r w:rsidR="007C02F4">
        <w:rPr>
          <w:rFonts w:ascii="Lato" w:hAnsi="Lato" w:cs="Arial"/>
          <w:bCs/>
          <w:spacing w:val="4"/>
        </w:rPr>
        <w:br/>
      </w:r>
      <w:r w:rsidR="00F562E5" w:rsidRPr="001C051E">
        <w:rPr>
          <w:rFonts w:ascii="Lato" w:hAnsi="Lato" w:cs="Arial"/>
          <w:bCs/>
          <w:spacing w:val="4"/>
        </w:rPr>
        <w:t xml:space="preserve">znak: </w:t>
      </w:r>
      <w:r w:rsidR="009414FC">
        <w:rPr>
          <w:rFonts w:ascii="Lato" w:hAnsi="Lato" w:cs="Arial"/>
          <w:bCs/>
          <w:spacing w:val="4"/>
        </w:rPr>
        <w:t>N-VIII.747.4.4.2024</w:t>
      </w:r>
      <w:r w:rsidR="004A0CAE">
        <w:rPr>
          <w:rFonts w:ascii="Lato" w:hAnsi="Lato" w:cs="Arial"/>
          <w:bCs/>
          <w:spacing w:val="4"/>
        </w:rPr>
        <w:t xml:space="preserve">, </w:t>
      </w:r>
      <w:r w:rsidRPr="001C051E">
        <w:rPr>
          <w:rFonts w:ascii="Lato" w:hAnsi="Lato" w:cs="Arial"/>
          <w:bCs/>
          <w:spacing w:val="4"/>
        </w:rPr>
        <w:t xml:space="preserve">o ustaleniu lokalizacji ww. </w:t>
      </w:r>
      <w:r w:rsidR="002C229F" w:rsidRPr="001C051E">
        <w:rPr>
          <w:rFonts w:ascii="Lato" w:hAnsi="Lato" w:cs="Arial"/>
          <w:bCs/>
          <w:spacing w:val="4"/>
        </w:rPr>
        <w:t xml:space="preserve">inwestycji towarzyszącej </w:t>
      </w:r>
      <w:r w:rsidRPr="001C051E">
        <w:rPr>
          <w:rFonts w:ascii="Lato" w:hAnsi="Lato" w:cs="Arial"/>
          <w:bCs/>
          <w:spacing w:val="4"/>
        </w:rPr>
        <w:t>strategicznej inwestycji w zakresie sieci przesyłowej.</w:t>
      </w:r>
    </w:p>
    <w:p w14:paraId="26C735C3" w14:textId="1C55FFCA" w:rsidR="00C87301" w:rsidRPr="001C051E" w:rsidRDefault="00095906" w:rsidP="00CF363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bCs/>
          <w:spacing w:val="4"/>
        </w:rPr>
        <w:t xml:space="preserve">Kontrolowana decyzja Wojewody </w:t>
      </w:r>
      <w:r w:rsidR="009414FC">
        <w:rPr>
          <w:rFonts w:ascii="Lato" w:hAnsi="Lato" w:cs="Arial"/>
          <w:bCs/>
          <w:spacing w:val="4"/>
        </w:rPr>
        <w:t>Podkarpackiego</w:t>
      </w:r>
      <w:r w:rsidRPr="001C051E">
        <w:rPr>
          <w:rFonts w:ascii="Lato" w:hAnsi="Lato" w:cs="Arial"/>
          <w:bCs/>
          <w:spacing w:val="4"/>
        </w:rPr>
        <w:t xml:space="preserve"> czyni zadość wymogom przedstawionym w art. 8 ust. 1 specustawy przesyłowej, zawiera bowiem wszystkie niezbędne w okolicznościach niniejszej sprawy elementy określone w tym przepisie. </w:t>
      </w:r>
    </w:p>
    <w:p w14:paraId="08EB686E" w14:textId="52BA0C87" w:rsidR="00C87301" w:rsidRPr="001C051E" w:rsidRDefault="00C87301" w:rsidP="00C87301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bCs/>
          <w:spacing w:val="4"/>
        </w:rPr>
        <w:t xml:space="preserve">Analizując decyzję Wojewody </w:t>
      </w:r>
      <w:r w:rsidR="009414FC">
        <w:rPr>
          <w:rFonts w:ascii="Lato" w:hAnsi="Lato" w:cs="Arial"/>
          <w:bCs/>
          <w:spacing w:val="4"/>
        </w:rPr>
        <w:t>Podkarpackiego</w:t>
      </w:r>
      <w:r w:rsidRPr="001C051E">
        <w:rPr>
          <w:rFonts w:ascii="Lato" w:hAnsi="Lato" w:cs="Arial"/>
          <w:bCs/>
          <w:spacing w:val="4"/>
        </w:rPr>
        <w:t>, organ odwoławczy stwierdził,</w:t>
      </w:r>
      <w:r w:rsidR="00F562E5" w:rsidRPr="001C051E">
        <w:rPr>
          <w:rFonts w:ascii="Lato" w:hAnsi="Lato" w:cs="Arial"/>
          <w:bCs/>
          <w:spacing w:val="4"/>
        </w:rPr>
        <w:br/>
      </w:r>
      <w:r w:rsidRPr="001C051E">
        <w:rPr>
          <w:rFonts w:ascii="Lato" w:hAnsi="Lato" w:cs="Arial"/>
          <w:bCs/>
          <w:spacing w:val="4"/>
        </w:rPr>
        <w:t xml:space="preserve">iż w związku z brakiem przejścia z mocy prawa jakichkolwiek nieruchomości na własność Skarbu Państwa, z dniem, w którym decyzja o ustaleniu lokalizacji </w:t>
      </w:r>
      <w:r w:rsidR="00F562E5" w:rsidRPr="001C051E">
        <w:rPr>
          <w:rFonts w:ascii="Lato" w:hAnsi="Lato" w:cs="Arial"/>
          <w:bCs/>
          <w:spacing w:val="4"/>
        </w:rPr>
        <w:t xml:space="preserve">inwestycji towarzyszącej </w:t>
      </w:r>
      <w:r w:rsidRPr="001C051E">
        <w:rPr>
          <w:rFonts w:ascii="Lato" w:hAnsi="Lato" w:cs="Arial"/>
          <w:bCs/>
          <w:spacing w:val="4"/>
        </w:rPr>
        <w:t xml:space="preserve">strategicznej inwestycji w zakresie sieci przesyłowej stanie się ostateczna, organ I instancji prawidłowo nie ustalił terminu wydania nieruchomości. Zakresem decyzji Wojewody </w:t>
      </w:r>
      <w:r w:rsidR="00A86911">
        <w:rPr>
          <w:rFonts w:ascii="Lato" w:hAnsi="Lato" w:cs="Arial"/>
          <w:bCs/>
          <w:spacing w:val="4"/>
        </w:rPr>
        <w:t>Podkarpackiego</w:t>
      </w:r>
      <w:r w:rsidRPr="001C051E">
        <w:rPr>
          <w:rFonts w:ascii="Lato" w:hAnsi="Lato" w:cs="Arial"/>
          <w:bCs/>
          <w:spacing w:val="4"/>
        </w:rPr>
        <w:t xml:space="preserve"> objęte są bowiem działki, w stosunku do których sposób wykonywania prawa własności został ograniczony poprzez zapewnienie inwestorowi prawa do wejścia na jej teren, w celu wykonania niezbędnych robót budowlanych, o których mowa w art. 22 ust. 1 specustawy przesyłowej.</w:t>
      </w:r>
    </w:p>
    <w:p w14:paraId="68342CAB" w14:textId="7C0BFD40" w:rsidR="00C87301" w:rsidRPr="001C051E" w:rsidRDefault="00BE1CD4" w:rsidP="00CF363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bCs/>
          <w:spacing w:val="4"/>
        </w:rPr>
        <w:t xml:space="preserve">Prawidłowość takiego stanowiska potwierdza orzecznictwo Naczelnego Sądu Administracyjnego, w którym przyjęto, że warunek ten dotyczy nieruchomości, </w:t>
      </w:r>
      <w:r w:rsidR="001C051E">
        <w:rPr>
          <w:rFonts w:ascii="Lato" w:hAnsi="Lato" w:cs="Arial"/>
          <w:bCs/>
          <w:spacing w:val="4"/>
        </w:rPr>
        <w:br/>
      </w:r>
      <w:r w:rsidRPr="001C051E">
        <w:rPr>
          <w:rFonts w:ascii="Lato" w:hAnsi="Lato" w:cs="Arial"/>
          <w:bCs/>
          <w:spacing w:val="4"/>
        </w:rPr>
        <w:t xml:space="preserve">w stosunku do których decyzja o ustaleniu lokalizacji inwestycji ma wywołać skutek, </w:t>
      </w:r>
      <w:r w:rsidR="001C051E">
        <w:rPr>
          <w:rFonts w:ascii="Lato" w:hAnsi="Lato" w:cs="Arial"/>
          <w:bCs/>
          <w:spacing w:val="4"/>
        </w:rPr>
        <w:br/>
      </w:r>
      <w:r w:rsidRPr="001C051E">
        <w:rPr>
          <w:rFonts w:ascii="Lato" w:hAnsi="Lato" w:cs="Arial"/>
          <w:bCs/>
          <w:spacing w:val="4"/>
        </w:rPr>
        <w:t>o którym mowa w art. 19 ust. 3-5</w:t>
      </w:r>
      <w:r w:rsidR="00140A52" w:rsidRPr="001C051E">
        <w:rPr>
          <w:rFonts w:ascii="Lato" w:hAnsi="Lato" w:cs="Arial"/>
          <w:bCs/>
          <w:spacing w:val="4"/>
        </w:rPr>
        <w:t xml:space="preserve"> specustawy przesyłowej</w:t>
      </w:r>
      <w:r w:rsidRPr="001C051E">
        <w:rPr>
          <w:rFonts w:ascii="Lato" w:hAnsi="Lato" w:cs="Arial"/>
          <w:bCs/>
          <w:spacing w:val="4"/>
        </w:rPr>
        <w:t>, a z takim przypadkiem nie mamy do czynienia w tej sprawie</w:t>
      </w:r>
      <w:r w:rsidR="00C13F2F" w:rsidRPr="001C051E">
        <w:rPr>
          <w:rFonts w:ascii="Lato" w:hAnsi="Lato" w:cs="Arial"/>
          <w:bCs/>
          <w:spacing w:val="4"/>
        </w:rPr>
        <w:t xml:space="preserve"> (por. wyrok z dnia 21 listopada 2017 r., sygn. akt </w:t>
      </w:r>
      <w:r w:rsidR="00C136EB">
        <w:rPr>
          <w:rFonts w:ascii="Lato" w:hAnsi="Lato" w:cs="Arial"/>
          <w:bCs/>
          <w:spacing w:val="4"/>
        </w:rPr>
        <w:br/>
      </w:r>
      <w:r w:rsidR="00C13F2F" w:rsidRPr="001C051E">
        <w:rPr>
          <w:rFonts w:ascii="Lato" w:hAnsi="Lato" w:cs="Arial"/>
          <w:bCs/>
          <w:spacing w:val="4"/>
        </w:rPr>
        <w:t xml:space="preserve">II OSK 1956/17, </w:t>
      </w:r>
      <w:proofErr w:type="spellStart"/>
      <w:r w:rsidR="00C13F2F" w:rsidRPr="001C051E">
        <w:rPr>
          <w:rFonts w:ascii="Lato" w:hAnsi="Lato" w:cs="Arial"/>
          <w:bCs/>
          <w:spacing w:val="4"/>
        </w:rPr>
        <w:t>opubl</w:t>
      </w:r>
      <w:proofErr w:type="spellEnd"/>
      <w:r w:rsidR="00C13F2F" w:rsidRPr="001C051E">
        <w:rPr>
          <w:rFonts w:ascii="Lato" w:hAnsi="Lato" w:cs="Arial"/>
          <w:bCs/>
          <w:spacing w:val="4"/>
        </w:rPr>
        <w:t xml:space="preserve">. Centralna Baza Orzeczeń Sądów Administracyjnych). </w:t>
      </w:r>
    </w:p>
    <w:p w14:paraId="3E906E2A" w14:textId="34A280AD" w:rsidR="00BE1CD4" w:rsidRPr="001C051E" w:rsidRDefault="00095906" w:rsidP="00CF3636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bCs/>
          <w:spacing w:val="4"/>
        </w:rPr>
        <w:lastRenderedPageBreak/>
        <w:t xml:space="preserve">Projekt </w:t>
      </w:r>
      <w:r w:rsidRPr="001C051E">
        <w:rPr>
          <w:rFonts w:ascii="Lato" w:hAnsi="Lato" w:cs="Arial"/>
          <w:bCs/>
          <w:spacing w:val="4"/>
          <w:lang w:val="x-none"/>
        </w:rPr>
        <w:t>powyższej decyzji został sporządzony przez osobę</w:t>
      </w:r>
      <w:r w:rsidRPr="001C051E">
        <w:rPr>
          <w:rFonts w:ascii="Lato" w:hAnsi="Lato" w:cs="Arial"/>
          <w:bCs/>
          <w:spacing w:val="4"/>
        </w:rPr>
        <w:t xml:space="preserve"> spełniającą warunki, o których mowa w</w:t>
      </w:r>
      <w:r w:rsidRPr="001C051E">
        <w:rPr>
          <w:rFonts w:ascii="Lato" w:hAnsi="Lato" w:cs="Arial"/>
          <w:bCs/>
          <w:spacing w:val="4"/>
          <w:lang w:val="x-none"/>
        </w:rPr>
        <w:t xml:space="preserve"> art. 8 ust. 2 specustawy przesyłowej</w:t>
      </w:r>
      <w:r w:rsidRPr="001C051E">
        <w:rPr>
          <w:rFonts w:ascii="Lato" w:hAnsi="Lato" w:cs="Arial"/>
          <w:bCs/>
          <w:spacing w:val="4"/>
        </w:rPr>
        <w:t xml:space="preserve">. </w:t>
      </w:r>
    </w:p>
    <w:p w14:paraId="7404E44C" w14:textId="102BCA25" w:rsidR="00C87301" w:rsidRPr="001C051E" w:rsidRDefault="00C87301" w:rsidP="00C87301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bCs/>
          <w:spacing w:val="4"/>
        </w:rPr>
        <w:t xml:space="preserve">Stosownie do art. 25 ust. 1 specustawy przesyłowej decyzja Wojewody </w:t>
      </w:r>
      <w:r w:rsidR="0035477E">
        <w:rPr>
          <w:rFonts w:ascii="Lato" w:hAnsi="Lato" w:cs="Arial"/>
          <w:bCs/>
          <w:spacing w:val="4"/>
        </w:rPr>
        <w:t>Podkarpackiego</w:t>
      </w:r>
      <w:r w:rsidR="00A15194" w:rsidRPr="001C051E">
        <w:rPr>
          <w:rFonts w:ascii="Lato" w:hAnsi="Lato" w:cs="Arial"/>
          <w:bCs/>
          <w:spacing w:val="4"/>
        </w:rPr>
        <w:t xml:space="preserve"> </w:t>
      </w:r>
      <w:r w:rsidRPr="001C051E">
        <w:rPr>
          <w:rFonts w:ascii="Lato" w:hAnsi="Lato" w:cs="Arial"/>
          <w:bCs/>
          <w:spacing w:val="4"/>
        </w:rPr>
        <w:t>podlega natychmiastowemu wykonaniu.</w:t>
      </w:r>
    </w:p>
    <w:p w14:paraId="54C093FF" w14:textId="7D683114" w:rsidR="00C87301" w:rsidRDefault="00C87301" w:rsidP="00C87301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bCs/>
          <w:spacing w:val="4"/>
        </w:rPr>
        <w:t xml:space="preserve">W myśl art. 10 ust. 1 specustawy przesyłowej Wojewoda </w:t>
      </w:r>
      <w:r w:rsidR="0035477E">
        <w:rPr>
          <w:rFonts w:ascii="Lato" w:hAnsi="Lato" w:cs="Arial"/>
          <w:bCs/>
          <w:spacing w:val="4"/>
        </w:rPr>
        <w:t>Podkarpacki</w:t>
      </w:r>
      <w:r w:rsidRPr="001C051E">
        <w:rPr>
          <w:rFonts w:ascii="Lato" w:hAnsi="Lato" w:cs="Arial"/>
          <w:bCs/>
          <w:spacing w:val="4"/>
        </w:rPr>
        <w:t xml:space="preserve"> doręczył </w:t>
      </w:r>
      <w:r w:rsidR="0027787D" w:rsidRPr="001C051E">
        <w:rPr>
          <w:rFonts w:ascii="Lato" w:hAnsi="Lato" w:cs="Arial"/>
          <w:bCs/>
          <w:spacing w:val="4"/>
        </w:rPr>
        <w:br/>
      </w:r>
      <w:r w:rsidRPr="001C051E">
        <w:rPr>
          <w:rFonts w:ascii="Lato" w:hAnsi="Lato" w:cs="Arial"/>
          <w:bCs/>
          <w:spacing w:val="4"/>
        </w:rPr>
        <w:t>ww. decyzję wnioskodawcy oraz zawiadomił o jej wydaniu pozostałe strony w drodze obwieszczenia</w:t>
      </w:r>
      <w:r w:rsidR="008F168A" w:rsidRPr="008F168A">
        <w:rPr>
          <w:rFonts w:ascii="Lato" w:hAnsi="Lato" w:cs="Arial"/>
          <w:bCs/>
          <w:spacing w:val="4"/>
        </w:rPr>
        <w:t xml:space="preserve"> </w:t>
      </w:r>
      <w:r w:rsidR="008F168A" w:rsidRPr="008F168A">
        <w:rPr>
          <w:rFonts w:ascii="Lato" w:hAnsi="Lato" w:cs="Arial"/>
          <w:spacing w:val="4"/>
        </w:rPr>
        <w:t>w urzędzie wojewódzkim i urzędach gmin właściwych ze względu na lokalizację tej inwestycji, na stronach internetowych urzędu wojewódzkiego oraz tych gmin, a także w prasie o zasięgu ogólnopolskim, ze skutkiem doręczenia na dzień obwieszczenia w urzędzie wojewódzkim</w:t>
      </w:r>
      <w:r w:rsidRPr="008F168A">
        <w:rPr>
          <w:rFonts w:ascii="Lato" w:hAnsi="Lato" w:cs="Arial"/>
          <w:bCs/>
          <w:spacing w:val="4"/>
        </w:rPr>
        <w:t xml:space="preserve">. </w:t>
      </w:r>
      <w:r w:rsidRPr="001C051E">
        <w:rPr>
          <w:rFonts w:ascii="Lato" w:hAnsi="Lato" w:cs="Arial"/>
          <w:bCs/>
          <w:spacing w:val="4"/>
        </w:rPr>
        <w:t xml:space="preserve">Właścicieli i użytkowników wieczystych nieruchomości objętych decyzją Wojewody </w:t>
      </w:r>
      <w:r w:rsidR="00902AFC">
        <w:rPr>
          <w:rFonts w:ascii="Lato" w:hAnsi="Lato" w:cs="Arial"/>
          <w:bCs/>
          <w:spacing w:val="4"/>
        </w:rPr>
        <w:t>Podkarpackiego</w:t>
      </w:r>
      <w:r w:rsidRPr="001C051E">
        <w:rPr>
          <w:rFonts w:ascii="Lato" w:hAnsi="Lato" w:cs="Arial"/>
          <w:bCs/>
          <w:spacing w:val="4"/>
        </w:rPr>
        <w:t xml:space="preserve"> organ I instancji poinformował o wydaniu decyzji w drodze zawiadomienia </w:t>
      </w:r>
      <w:r w:rsidR="00036668">
        <w:rPr>
          <w:rFonts w:ascii="Lato" w:hAnsi="Lato" w:cs="Arial"/>
          <w:bCs/>
          <w:spacing w:val="4"/>
        </w:rPr>
        <w:t xml:space="preserve">z dnia </w:t>
      </w:r>
      <w:r w:rsidR="00902AFC">
        <w:rPr>
          <w:rFonts w:ascii="Lato" w:hAnsi="Lato" w:cs="Arial"/>
          <w:bCs/>
          <w:spacing w:val="4"/>
        </w:rPr>
        <w:t>14 sierpnia</w:t>
      </w:r>
      <w:r w:rsidR="00036668">
        <w:rPr>
          <w:rFonts w:ascii="Lato" w:hAnsi="Lato" w:cs="Arial"/>
          <w:bCs/>
          <w:spacing w:val="4"/>
        </w:rPr>
        <w:t xml:space="preserve"> 2024 r., znak: </w:t>
      </w:r>
      <w:r w:rsidR="00902AFC">
        <w:rPr>
          <w:rFonts w:ascii="Lato" w:hAnsi="Lato" w:cs="Arial"/>
          <w:bCs/>
          <w:spacing w:val="4"/>
        </w:rPr>
        <w:t>N-VIII.747.4.4.2024</w:t>
      </w:r>
      <w:r w:rsidR="00036668">
        <w:rPr>
          <w:rFonts w:ascii="Lato" w:hAnsi="Lato" w:cs="Arial"/>
          <w:bCs/>
          <w:spacing w:val="4"/>
        </w:rPr>
        <w:t xml:space="preserve">, </w:t>
      </w:r>
      <w:r w:rsidRPr="001C051E">
        <w:rPr>
          <w:rFonts w:ascii="Lato" w:hAnsi="Lato" w:cs="Arial"/>
          <w:bCs/>
          <w:spacing w:val="4"/>
        </w:rPr>
        <w:t xml:space="preserve">wysłanego na adresy wskazane w katastrze nieruchomości. W zawiadomieniu oraz w obwieszczeniu zamieszczono, zgodnie z art. 10 ust. 2 specustawy przesyłowej, informację o miejscu, w którym strony mogą zapoznać się z </w:t>
      </w:r>
      <w:r w:rsidR="007016AE">
        <w:rPr>
          <w:rFonts w:ascii="Lato" w:hAnsi="Lato" w:cs="Arial"/>
          <w:bCs/>
          <w:spacing w:val="4"/>
        </w:rPr>
        <w:t> </w:t>
      </w:r>
      <w:r w:rsidRPr="001C051E">
        <w:rPr>
          <w:rFonts w:ascii="Lato" w:hAnsi="Lato" w:cs="Arial"/>
          <w:bCs/>
          <w:spacing w:val="4"/>
        </w:rPr>
        <w:t>treścią decyzji</w:t>
      </w:r>
      <w:r w:rsidR="008F168A">
        <w:rPr>
          <w:rFonts w:ascii="Lato" w:hAnsi="Lato" w:cs="Arial"/>
          <w:bCs/>
          <w:spacing w:val="4"/>
        </w:rPr>
        <w:t>.</w:t>
      </w:r>
    </w:p>
    <w:p w14:paraId="27798DC1" w14:textId="25B267D7" w:rsidR="00A15194" w:rsidRPr="001C051E" w:rsidRDefault="00A15194" w:rsidP="00A15194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1C051E">
        <w:rPr>
          <w:rFonts w:ascii="Lato" w:hAnsi="Lato" w:cs="Arial"/>
          <w:bCs/>
          <w:spacing w:val="4"/>
          <w:lang w:bidi="pl-PL"/>
        </w:rPr>
        <w:t xml:space="preserve">Mając na uwadze powyższe, Minister za zasadne uznał utrzymanie w mocy decyzji Wojewody </w:t>
      </w:r>
      <w:r w:rsidR="00E929E1">
        <w:rPr>
          <w:rFonts w:ascii="Lato" w:hAnsi="Lato" w:cs="Arial"/>
          <w:bCs/>
          <w:spacing w:val="4"/>
        </w:rPr>
        <w:t>Podkarpackiego</w:t>
      </w:r>
      <w:r w:rsidRPr="001C051E">
        <w:rPr>
          <w:rFonts w:ascii="Lato" w:hAnsi="Lato" w:cs="Arial"/>
          <w:bCs/>
          <w:spacing w:val="4"/>
          <w:lang w:bidi="pl-PL"/>
        </w:rPr>
        <w:t xml:space="preserve">, na podstawie art. 138 § 1 pkt 1 kpa. </w:t>
      </w:r>
    </w:p>
    <w:p w14:paraId="65A055AA" w14:textId="37927C70" w:rsidR="00EE2CD4" w:rsidRPr="001C051E" w:rsidRDefault="00EE2CD4" w:rsidP="00EE2CD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C051E">
        <w:rPr>
          <w:rFonts w:ascii="Lato" w:hAnsi="Lato" w:cs="Arial"/>
          <w:spacing w:val="4"/>
        </w:rPr>
        <w:t>Rozpatrując odwołani</w:t>
      </w:r>
      <w:r w:rsidR="0085642E" w:rsidRPr="001C051E">
        <w:rPr>
          <w:rFonts w:ascii="Lato" w:hAnsi="Lato" w:cs="Arial"/>
          <w:spacing w:val="4"/>
        </w:rPr>
        <w:t>e</w:t>
      </w:r>
      <w:r w:rsidRPr="001C051E">
        <w:rPr>
          <w:rFonts w:ascii="Lato" w:hAnsi="Lato" w:cs="Arial"/>
          <w:spacing w:val="4"/>
        </w:rPr>
        <w:t xml:space="preserve"> skarżąc</w:t>
      </w:r>
      <w:r w:rsidR="00F562E5" w:rsidRPr="001C051E">
        <w:rPr>
          <w:rFonts w:ascii="Lato" w:hAnsi="Lato" w:cs="Arial"/>
          <w:spacing w:val="4"/>
        </w:rPr>
        <w:t>ych</w:t>
      </w:r>
      <w:r w:rsidR="00D10B63" w:rsidRPr="001C051E">
        <w:rPr>
          <w:rFonts w:ascii="Lato" w:hAnsi="Lato" w:cs="Arial"/>
          <w:spacing w:val="4"/>
        </w:rPr>
        <w:t xml:space="preserve"> </w:t>
      </w:r>
      <w:r w:rsidRPr="001C051E">
        <w:rPr>
          <w:rFonts w:ascii="Lato" w:hAnsi="Lato" w:cs="Arial"/>
          <w:spacing w:val="4"/>
        </w:rPr>
        <w:t xml:space="preserve">od decyzji Wojewody </w:t>
      </w:r>
      <w:r w:rsidR="00E929E1">
        <w:rPr>
          <w:rFonts w:ascii="Lato" w:hAnsi="Lato" w:cs="Arial"/>
          <w:bCs/>
          <w:spacing w:val="4"/>
        </w:rPr>
        <w:t>Podkarpackiego</w:t>
      </w:r>
      <w:r w:rsidRPr="001C051E">
        <w:rPr>
          <w:rFonts w:ascii="Lato" w:hAnsi="Lato" w:cs="Arial"/>
          <w:spacing w:val="4"/>
        </w:rPr>
        <w:t xml:space="preserve"> w pierwszej kolejności wskazać należy, że zarówno Wojewoda </w:t>
      </w:r>
      <w:r w:rsidR="00E929E1">
        <w:rPr>
          <w:rFonts w:ascii="Lato" w:hAnsi="Lato" w:cs="Arial"/>
          <w:bCs/>
          <w:spacing w:val="4"/>
        </w:rPr>
        <w:t>Podkarpacki</w:t>
      </w:r>
      <w:r w:rsidR="00A15194" w:rsidRPr="001C051E">
        <w:rPr>
          <w:rFonts w:ascii="Lato" w:hAnsi="Lato" w:cs="Arial"/>
          <w:spacing w:val="4"/>
        </w:rPr>
        <w:t xml:space="preserve"> </w:t>
      </w:r>
      <w:r w:rsidRPr="001C051E">
        <w:rPr>
          <w:rFonts w:ascii="Lato" w:hAnsi="Lato" w:cs="Arial"/>
          <w:spacing w:val="4"/>
        </w:rPr>
        <w:t xml:space="preserve">orzekający w sprawie jako organ I instancji, jak i Minister działający jako organ odwoławczy, pełnią w procesie inwestycyjnym funkcję organów, które będąc właściwe do wydania decyzji </w:t>
      </w:r>
      <w:r w:rsidR="001C051E">
        <w:rPr>
          <w:rFonts w:ascii="Lato" w:hAnsi="Lato" w:cs="Arial"/>
          <w:spacing w:val="4"/>
        </w:rPr>
        <w:br/>
      </w:r>
      <w:r w:rsidRPr="001C051E">
        <w:rPr>
          <w:rFonts w:ascii="Lato" w:hAnsi="Lato" w:cs="Arial"/>
          <w:spacing w:val="4"/>
        </w:rPr>
        <w:t xml:space="preserve">w przedmiocie ustalenia lokalizacji </w:t>
      </w:r>
      <w:r w:rsidR="00EA3F2F">
        <w:rPr>
          <w:rFonts w:ascii="Lato" w:hAnsi="Lato" w:cs="Arial"/>
          <w:spacing w:val="4"/>
        </w:rPr>
        <w:t xml:space="preserve">inwestycji towarzyszącej </w:t>
      </w:r>
      <w:r w:rsidRPr="001C051E">
        <w:rPr>
          <w:rFonts w:ascii="Lato" w:hAnsi="Lato" w:cs="Arial"/>
          <w:spacing w:val="4"/>
        </w:rPr>
        <w:t xml:space="preserve">strategicznej inwestycji </w:t>
      </w:r>
      <w:r w:rsidR="00E3760A">
        <w:rPr>
          <w:rFonts w:ascii="Lato" w:hAnsi="Lato" w:cs="Arial"/>
          <w:spacing w:val="4"/>
        </w:rPr>
        <w:br/>
      </w:r>
      <w:r w:rsidRPr="001C051E">
        <w:rPr>
          <w:rFonts w:ascii="Lato" w:hAnsi="Lato" w:cs="Arial"/>
          <w:spacing w:val="4"/>
        </w:rPr>
        <w:t xml:space="preserve">w zakresie sieci przesyłowej, nie są jednocześnie uprawnione do wyznaczania </w:t>
      </w:r>
      <w:r w:rsidR="00E3760A">
        <w:rPr>
          <w:rFonts w:ascii="Lato" w:hAnsi="Lato" w:cs="Arial"/>
          <w:spacing w:val="4"/>
        </w:rPr>
        <w:br/>
      </w:r>
      <w:r w:rsidRPr="001C051E">
        <w:rPr>
          <w:rFonts w:ascii="Lato" w:hAnsi="Lato" w:cs="Arial"/>
          <w:spacing w:val="4"/>
        </w:rPr>
        <w:t xml:space="preserve">i korygowania trasy inwestycji, ani do zmiany proponowanych we wniosku rozwiązań. Niedopuszczalna jest również ocena przez ww. organy racjonalności, czy aspektów ekonomicznych i społecznych koncepcji przedstawionej przez inwestora. </w:t>
      </w:r>
    </w:p>
    <w:p w14:paraId="53034C80" w14:textId="730C6EC1" w:rsidR="00EE2CD4" w:rsidRDefault="00EE2CD4" w:rsidP="00EE2CD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C051E">
        <w:rPr>
          <w:rFonts w:ascii="Lato" w:hAnsi="Lato" w:cs="Arial"/>
          <w:spacing w:val="4"/>
        </w:rPr>
        <w:t xml:space="preserve">To inwestor we wniosku o wydanie decyzji o ustaleniu lokalizacji </w:t>
      </w:r>
      <w:r w:rsidR="00EA3F2F">
        <w:rPr>
          <w:rFonts w:ascii="Lato" w:hAnsi="Lato" w:cs="Arial"/>
          <w:spacing w:val="4"/>
        </w:rPr>
        <w:t xml:space="preserve">inwestycji towarzyszącej </w:t>
      </w:r>
      <w:r w:rsidRPr="001C051E">
        <w:rPr>
          <w:rFonts w:ascii="Lato" w:hAnsi="Lato" w:cs="Arial"/>
          <w:spacing w:val="4"/>
        </w:rPr>
        <w:t xml:space="preserve">strategicznej inwestycji w zakresie sieci przesyłowej decyduje o przebiegu inwestycji oraz o wielkości terenu niezbędnego dla realizacji inwestycji. Inwestor samodzielnie dokonuje wyboru najbardziej korzystnych rozwiązań lokalizacyjnych </w:t>
      </w:r>
      <w:r w:rsidR="00E3760A">
        <w:rPr>
          <w:rFonts w:ascii="Lato" w:hAnsi="Lato" w:cs="Arial"/>
          <w:spacing w:val="4"/>
        </w:rPr>
        <w:br/>
      </w:r>
      <w:r w:rsidRPr="001C051E">
        <w:rPr>
          <w:rFonts w:ascii="Lato" w:hAnsi="Lato" w:cs="Arial"/>
          <w:spacing w:val="4"/>
        </w:rPr>
        <w:t xml:space="preserve">i następnie techniczno-wykonawczych inwestycji. Zarówno wojewoda, jak i organ odwoławczy, mogą działać tylko w granicach tego wniosku i nie mają możliwości ingerowania w lokalizację inwestycji. Ocenie dokonanej przez organy I </w:t>
      </w:r>
      <w:proofErr w:type="spellStart"/>
      <w:r w:rsidRPr="001C051E">
        <w:rPr>
          <w:rFonts w:ascii="Lato" w:hAnsi="Lato" w:cs="Arial"/>
          <w:spacing w:val="4"/>
        </w:rPr>
        <w:t>i</w:t>
      </w:r>
      <w:proofErr w:type="spellEnd"/>
      <w:r w:rsidRPr="001C051E">
        <w:rPr>
          <w:rFonts w:ascii="Lato" w:hAnsi="Lato" w:cs="Arial"/>
          <w:spacing w:val="4"/>
        </w:rPr>
        <w:t xml:space="preserve"> II instancji podlega zgodność z prawem planowanego przedsięwzięcia, w szczególności spełnienie warunków zawartych w przepisach specustawy przesyłowej. Inwestor jest zatem kreatorem miejsca, sposobu i kształtu realizacji inwestycji, natomiast organ orzekający wyznacza dopuszczalne prawem granice tej kreacji, poprzez dokonywanie oceny prawnej, kończącej się aktem władztwa publicznego, zakreślającego te granice. </w:t>
      </w:r>
    </w:p>
    <w:p w14:paraId="23BC6AC5" w14:textId="26AF759A" w:rsidR="0026699C" w:rsidRPr="001C051E" w:rsidRDefault="0026699C" w:rsidP="00EE2CD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C051E">
        <w:rPr>
          <w:rFonts w:ascii="Lato" w:hAnsi="Lato" w:cs="Arial"/>
          <w:bCs/>
          <w:spacing w:val="4"/>
          <w:lang w:bidi="pl-PL"/>
        </w:rPr>
        <w:t xml:space="preserve">Skoro ustawodawca precyzyjnie określił zakres wniosku składanego przez inwestora, </w:t>
      </w:r>
      <w:r w:rsidRPr="001C051E">
        <w:rPr>
          <w:rFonts w:ascii="Lato" w:hAnsi="Lato" w:cs="Arial"/>
          <w:bCs/>
          <w:spacing w:val="4"/>
          <w:lang w:bidi="pl-PL"/>
        </w:rPr>
        <w:br/>
        <w:t xml:space="preserve">to porównując jego zawartość z ustawowo wyznaczoną treścią orzeczniczą decyzji </w:t>
      </w:r>
      <w:r w:rsidRPr="001C051E">
        <w:rPr>
          <w:rFonts w:ascii="Lato" w:hAnsi="Lato" w:cs="Arial"/>
          <w:bCs/>
          <w:spacing w:val="4"/>
          <w:lang w:bidi="pl-PL"/>
        </w:rPr>
        <w:br/>
        <w:t xml:space="preserve">o ustaleniu lokalizacji </w:t>
      </w:r>
      <w:r>
        <w:rPr>
          <w:rFonts w:ascii="Lato" w:hAnsi="Lato" w:cs="Arial"/>
          <w:bCs/>
          <w:spacing w:val="4"/>
        </w:rPr>
        <w:t>inwestycji towarzyszącej</w:t>
      </w:r>
      <w:r w:rsidRPr="001C051E">
        <w:rPr>
          <w:rFonts w:ascii="Lato" w:hAnsi="Lato" w:cs="Arial"/>
          <w:bCs/>
          <w:spacing w:val="4"/>
          <w:lang w:bidi="pl-PL"/>
        </w:rPr>
        <w:t xml:space="preserve"> strategicznej inwestycji w zakresie sieci przesyłowej, określoną w art. 8 specustawy przesyłowej, stwierdzić należy, że organy orzekające nie mogą modyfikować ustaleń i parametrów zawartych we wniosku </w:t>
      </w:r>
      <w:r>
        <w:rPr>
          <w:rFonts w:ascii="Lato" w:hAnsi="Lato" w:cs="Arial"/>
          <w:bCs/>
          <w:spacing w:val="4"/>
          <w:lang w:bidi="pl-PL"/>
        </w:rPr>
        <w:br/>
      </w:r>
      <w:r w:rsidRPr="001C051E">
        <w:rPr>
          <w:rFonts w:ascii="Lato" w:hAnsi="Lato" w:cs="Arial"/>
          <w:bCs/>
          <w:spacing w:val="4"/>
          <w:lang w:bidi="pl-PL"/>
        </w:rPr>
        <w:t xml:space="preserve">o wydanie ww. decyzji, jeżeli nie wynika to z wiążących organ przepisów prawa. Ponownie należy zaznaczyć, iż organy wydające decyzję w przedmiocie lokalizacji </w:t>
      </w:r>
      <w:r>
        <w:rPr>
          <w:rFonts w:ascii="Lato" w:hAnsi="Lato" w:cs="Arial"/>
          <w:bCs/>
          <w:spacing w:val="4"/>
        </w:rPr>
        <w:t>inwestycji towarzyszącej</w:t>
      </w:r>
      <w:r w:rsidRPr="001C051E">
        <w:rPr>
          <w:rFonts w:ascii="Lato" w:hAnsi="Lato" w:cs="Arial"/>
          <w:bCs/>
          <w:spacing w:val="4"/>
          <w:lang w:bidi="pl-PL"/>
        </w:rPr>
        <w:t xml:space="preserve"> strategicznej inwestycji w zakresie sieci przesyłowej są uprawnione jedynie do oceny prawnej całości przedsięwzięcia inwestycyjnego </w:t>
      </w:r>
      <w:r>
        <w:rPr>
          <w:rFonts w:ascii="Lato" w:hAnsi="Lato" w:cs="Arial"/>
          <w:bCs/>
          <w:spacing w:val="4"/>
          <w:lang w:bidi="pl-PL"/>
        </w:rPr>
        <w:br/>
      </w:r>
      <w:r w:rsidRPr="001C051E">
        <w:rPr>
          <w:rFonts w:ascii="Lato" w:hAnsi="Lato" w:cs="Arial"/>
          <w:bCs/>
          <w:spacing w:val="4"/>
          <w:lang w:bidi="pl-PL"/>
        </w:rPr>
        <w:lastRenderedPageBreak/>
        <w:t xml:space="preserve">i dokumentacji przedłożonej przez wnioskodawcę. Tylko bowiem stwierdzenie przez organ, iż kształt inwestycji w wersji zgłoszonej we wniosku narusza normę wynikającą </w:t>
      </w:r>
      <w:r>
        <w:rPr>
          <w:rFonts w:ascii="Lato" w:hAnsi="Lato" w:cs="Arial"/>
          <w:bCs/>
          <w:spacing w:val="4"/>
          <w:lang w:bidi="pl-PL"/>
        </w:rPr>
        <w:br/>
      </w:r>
      <w:r w:rsidRPr="001C051E">
        <w:rPr>
          <w:rFonts w:ascii="Lato" w:hAnsi="Lato" w:cs="Arial"/>
          <w:bCs/>
          <w:spacing w:val="4"/>
          <w:lang w:bidi="pl-PL"/>
        </w:rPr>
        <w:t xml:space="preserve">z określonych przepisów prawa, zobowiązuje ten organ do odmowy wydania decyzji </w:t>
      </w:r>
      <w:r>
        <w:rPr>
          <w:rFonts w:ascii="Lato" w:hAnsi="Lato" w:cs="Arial"/>
          <w:bCs/>
          <w:spacing w:val="4"/>
          <w:lang w:bidi="pl-PL"/>
        </w:rPr>
        <w:br/>
      </w:r>
      <w:r w:rsidRPr="001C051E">
        <w:rPr>
          <w:rFonts w:ascii="Lato" w:hAnsi="Lato" w:cs="Arial"/>
          <w:bCs/>
          <w:spacing w:val="4"/>
          <w:lang w:bidi="pl-PL"/>
        </w:rPr>
        <w:t>o ustaleniu lokalizacji inwestycji w wersji wnioskowanej przez inwestora</w:t>
      </w:r>
      <w:r w:rsidR="00A00530">
        <w:rPr>
          <w:rFonts w:ascii="Lato" w:hAnsi="Lato" w:cs="Arial"/>
          <w:bCs/>
          <w:spacing w:val="4"/>
          <w:lang w:bidi="pl-PL"/>
        </w:rPr>
        <w:t>.</w:t>
      </w:r>
    </w:p>
    <w:p w14:paraId="409A9A00" w14:textId="22AB173B" w:rsidR="00EE2CD4" w:rsidRDefault="00EE2CD4" w:rsidP="00EE2CD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C051E">
        <w:rPr>
          <w:rFonts w:ascii="Lato" w:hAnsi="Lato" w:cs="Arial"/>
          <w:spacing w:val="4"/>
        </w:rPr>
        <w:t xml:space="preserve">Orzecznictwo </w:t>
      </w:r>
      <w:proofErr w:type="spellStart"/>
      <w:r w:rsidR="00DE19E5" w:rsidRPr="001C051E">
        <w:rPr>
          <w:rFonts w:ascii="Lato" w:hAnsi="Lato" w:cs="Arial"/>
          <w:spacing w:val="4"/>
        </w:rPr>
        <w:t>sądowoadministracyjne</w:t>
      </w:r>
      <w:proofErr w:type="spellEnd"/>
      <w:r w:rsidRPr="001C051E">
        <w:rPr>
          <w:rFonts w:ascii="Lato" w:hAnsi="Lato" w:cs="Arial"/>
          <w:spacing w:val="4"/>
        </w:rPr>
        <w:t xml:space="preserve"> – zapadłe wprawdzie w odniesieniu do regulacji ustawy z dnia 10 kwietnia 2003 r. o szczególnych zasadach przygotowania i realizacji inwestycji w zakresie dróg publicznych</w:t>
      </w:r>
      <w:r w:rsidRPr="001C051E">
        <w:rPr>
          <w:rFonts w:ascii="Lato" w:hAnsi="Lato" w:cs="Arial"/>
          <w:bCs/>
          <w:spacing w:val="4"/>
        </w:rPr>
        <w:t xml:space="preserve"> (</w:t>
      </w:r>
      <w:proofErr w:type="spellStart"/>
      <w:r w:rsidRPr="001C051E">
        <w:rPr>
          <w:rFonts w:ascii="Lato" w:hAnsi="Lato" w:cs="Arial"/>
          <w:bCs/>
          <w:spacing w:val="4"/>
        </w:rPr>
        <w:t>t.j</w:t>
      </w:r>
      <w:proofErr w:type="spellEnd"/>
      <w:r w:rsidRPr="001C051E">
        <w:rPr>
          <w:rFonts w:ascii="Lato" w:hAnsi="Lato" w:cs="Arial"/>
          <w:bCs/>
          <w:spacing w:val="4"/>
        </w:rPr>
        <w:t>. Dz. U. z 202</w:t>
      </w:r>
      <w:r w:rsidR="0071700C" w:rsidRPr="001C051E">
        <w:rPr>
          <w:rFonts w:ascii="Lato" w:hAnsi="Lato" w:cs="Arial"/>
          <w:bCs/>
          <w:spacing w:val="4"/>
        </w:rPr>
        <w:t>4</w:t>
      </w:r>
      <w:r w:rsidRPr="001C051E">
        <w:rPr>
          <w:rFonts w:ascii="Lato" w:hAnsi="Lato" w:cs="Arial"/>
          <w:bCs/>
          <w:spacing w:val="4"/>
        </w:rPr>
        <w:t xml:space="preserve"> r. poz. </w:t>
      </w:r>
      <w:r w:rsidR="0071700C" w:rsidRPr="001C051E">
        <w:rPr>
          <w:rFonts w:ascii="Lato" w:hAnsi="Lato" w:cs="Arial"/>
          <w:bCs/>
          <w:spacing w:val="4"/>
        </w:rPr>
        <w:t>311</w:t>
      </w:r>
      <w:r w:rsidRPr="001C051E">
        <w:rPr>
          <w:rFonts w:ascii="Lato" w:hAnsi="Lato" w:cs="Arial"/>
          <w:bCs/>
          <w:spacing w:val="4"/>
        </w:rPr>
        <w:t>)</w:t>
      </w:r>
      <w:r w:rsidR="00F9681B">
        <w:rPr>
          <w:rFonts w:ascii="Lato" w:hAnsi="Lato" w:cs="Arial"/>
          <w:bCs/>
          <w:spacing w:val="4"/>
        </w:rPr>
        <w:t>, zwanej dalej „specustawą drogową”</w:t>
      </w:r>
      <w:r w:rsidRPr="001C051E">
        <w:rPr>
          <w:rFonts w:ascii="Lato" w:hAnsi="Lato" w:cs="Arial"/>
          <w:bCs/>
          <w:spacing w:val="4"/>
        </w:rPr>
        <w:t xml:space="preserve">, </w:t>
      </w:r>
      <w:r w:rsidRPr="001C051E">
        <w:rPr>
          <w:rFonts w:ascii="Lato" w:hAnsi="Lato" w:cs="Arial"/>
          <w:spacing w:val="4"/>
        </w:rPr>
        <w:t xml:space="preserve">ale aktualne w pełni w świetle rozwiązań przyjętych w </w:t>
      </w:r>
      <w:r w:rsidR="00AA6100">
        <w:rPr>
          <w:rFonts w:ascii="Lato" w:hAnsi="Lato" w:cs="Arial"/>
          <w:spacing w:val="4"/>
        </w:rPr>
        <w:t> </w:t>
      </w:r>
      <w:r w:rsidRPr="001C051E">
        <w:rPr>
          <w:rFonts w:ascii="Lato" w:hAnsi="Lato" w:cs="Arial"/>
          <w:spacing w:val="4"/>
        </w:rPr>
        <w:t>specustawie przesyłowej wzorowanych m.in. na tej ustawie – nie pozostawia co do ww. zagadnienia jakichkolwiek wątpliwości (vide: wyroki Naczelnego Sądu Administracyjnego z dnia 13 września 2017 r., sygn. akt II OSK 1705/17, z dnia 24 lutego 2015 r., sygn. akt II OSK 3221/14, i z dnia 28 lutego 2014 r., sygn. akt II OSK 93/14; wyroki Wojewódzkiego Sądu Administracyjnego w Warszawie z dnia 25 kwietnia 2017 r., sygn. akt VII SA/</w:t>
      </w:r>
      <w:proofErr w:type="spellStart"/>
      <w:r w:rsidRPr="001C051E">
        <w:rPr>
          <w:rFonts w:ascii="Lato" w:hAnsi="Lato" w:cs="Arial"/>
          <w:spacing w:val="4"/>
        </w:rPr>
        <w:t>Wa</w:t>
      </w:r>
      <w:proofErr w:type="spellEnd"/>
      <w:r w:rsidRPr="001C051E">
        <w:rPr>
          <w:rFonts w:ascii="Lato" w:hAnsi="Lato" w:cs="Arial"/>
          <w:spacing w:val="4"/>
        </w:rPr>
        <w:t xml:space="preserve"> 2952/16, z dnia 30 stycznia 2017 r., sygn. akt VII SA/</w:t>
      </w:r>
      <w:proofErr w:type="spellStart"/>
      <w:r w:rsidRPr="001C051E">
        <w:rPr>
          <w:rFonts w:ascii="Lato" w:hAnsi="Lato" w:cs="Arial"/>
          <w:spacing w:val="4"/>
        </w:rPr>
        <w:t>Wa</w:t>
      </w:r>
      <w:proofErr w:type="spellEnd"/>
      <w:r w:rsidRPr="001C051E">
        <w:rPr>
          <w:rFonts w:ascii="Lato" w:hAnsi="Lato" w:cs="Arial"/>
          <w:spacing w:val="4"/>
        </w:rPr>
        <w:t xml:space="preserve"> 2513/16, i z dnia 15 stycznia 2016 r., sygn. akt VII SA/</w:t>
      </w:r>
      <w:proofErr w:type="spellStart"/>
      <w:r w:rsidRPr="001C051E">
        <w:rPr>
          <w:rFonts w:ascii="Lato" w:hAnsi="Lato" w:cs="Arial"/>
          <w:spacing w:val="4"/>
        </w:rPr>
        <w:t>Wa</w:t>
      </w:r>
      <w:proofErr w:type="spellEnd"/>
      <w:r w:rsidRPr="001C051E">
        <w:rPr>
          <w:rFonts w:ascii="Lato" w:hAnsi="Lato" w:cs="Arial"/>
          <w:spacing w:val="4"/>
        </w:rPr>
        <w:t xml:space="preserve"> 2446/15, </w:t>
      </w:r>
      <w:proofErr w:type="spellStart"/>
      <w:r w:rsidRPr="001C051E">
        <w:rPr>
          <w:rFonts w:ascii="Lato" w:hAnsi="Lato" w:cs="Arial"/>
          <w:spacing w:val="4"/>
        </w:rPr>
        <w:t>opubl</w:t>
      </w:r>
      <w:proofErr w:type="spellEnd"/>
      <w:r w:rsidRPr="001C051E">
        <w:rPr>
          <w:rFonts w:ascii="Lato" w:hAnsi="Lato" w:cs="Arial"/>
          <w:spacing w:val="4"/>
        </w:rPr>
        <w:t>. Centralna Baza Orzeczeń Sądów Administracyjnych).</w:t>
      </w:r>
    </w:p>
    <w:p w14:paraId="0612C121" w14:textId="52D7340A" w:rsidR="00EE2CD4" w:rsidRPr="001C051E" w:rsidRDefault="00EE2CD4" w:rsidP="00EE2CD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C051E">
        <w:rPr>
          <w:rFonts w:ascii="Lato" w:hAnsi="Lato" w:cs="Arial"/>
          <w:spacing w:val="4"/>
        </w:rPr>
        <w:t xml:space="preserve">Wobec powyższego, organ odwoławczy wezwał inwestora do wypowiedzenia się </w:t>
      </w:r>
      <w:r w:rsidR="001662BE" w:rsidRPr="001C051E">
        <w:rPr>
          <w:rFonts w:ascii="Lato" w:hAnsi="Lato" w:cs="Arial"/>
          <w:spacing w:val="4"/>
        </w:rPr>
        <w:br/>
      </w:r>
      <w:r w:rsidRPr="001C051E">
        <w:rPr>
          <w:rFonts w:ascii="Lato" w:hAnsi="Lato" w:cs="Arial"/>
          <w:spacing w:val="4"/>
        </w:rPr>
        <w:t>w sprawie zagadnień poruszonych przez skarżąc</w:t>
      </w:r>
      <w:r w:rsidR="00BE3391">
        <w:rPr>
          <w:rFonts w:ascii="Lato" w:hAnsi="Lato" w:cs="Arial"/>
          <w:spacing w:val="4"/>
        </w:rPr>
        <w:t>e</w:t>
      </w:r>
      <w:r w:rsidRPr="001C051E">
        <w:rPr>
          <w:rFonts w:ascii="Lato" w:hAnsi="Lato" w:cs="Arial"/>
          <w:spacing w:val="4"/>
        </w:rPr>
        <w:t xml:space="preserve"> </w:t>
      </w:r>
      <w:r w:rsidR="0071700C" w:rsidRPr="001C051E">
        <w:rPr>
          <w:rFonts w:ascii="Lato" w:hAnsi="Lato" w:cs="Arial"/>
          <w:spacing w:val="4"/>
        </w:rPr>
        <w:t>stron</w:t>
      </w:r>
      <w:r w:rsidR="00BE3391">
        <w:rPr>
          <w:rFonts w:ascii="Lato" w:hAnsi="Lato" w:cs="Arial"/>
          <w:spacing w:val="4"/>
        </w:rPr>
        <w:t>y</w:t>
      </w:r>
      <w:r w:rsidR="00F15FF3">
        <w:rPr>
          <w:rFonts w:ascii="Lato" w:hAnsi="Lato" w:cs="Arial"/>
          <w:spacing w:val="4"/>
        </w:rPr>
        <w:t xml:space="preserve"> we wniesionym odwołaniu</w:t>
      </w:r>
      <w:r w:rsidR="0071700C" w:rsidRPr="001C051E">
        <w:rPr>
          <w:rFonts w:ascii="Lato" w:hAnsi="Lato" w:cs="Arial"/>
          <w:spacing w:val="4"/>
        </w:rPr>
        <w:t>.</w:t>
      </w:r>
      <w:r w:rsidRPr="001C051E">
        <w:rPr>
          <w:rFonts w:ascii="Lato" w:hAnsi="Lato" w:cs="Arial"/>
          <w:spacing w:val="4"/>
        </w:rPr>
        <w:t xml:space="preserve">  </w:t>
      </w:r>
    </w:p>
    <w:p w14:paraId="2A282D52" w14:textId="75DF2C3A" w:rsidR="00EE2CD4" w:rsidRPr="001C051E" w:rsidRDefault="005532A6" w:rsidP="00EE2CD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C051E">
        <w:rPr>
          <w:rFonts w:ascii="Lato" w:hAnsi="Lato" w:cs="Arial"/>
          <w:spacing w:val="4"/>
        </w:rPr>
        <w:t xml:space="preserve">Inwestor, stosownie do wezwania organu odwoławczego, odniósł się </w:t>
      </w:r>
      <w:r w:rsidR="00F15FF3">
        <w:rPr>
          <w:rFonts w:ascii="Lato" w:hAnsi="Lato" w:cs="Arial"/>
          <w:spacing w:val="4"/>
        </w:rPr>
        <w:t xml:space="preserve">do </w:t>
      </w:r>
      <w:r w:rsidRPr="001C051E">
        <w:rPr>
          <w:rFonts w:ascii="Lato" w:hAnsi="Lato" w:cs="Arial"/>
          <w:spacing w:val="4"/>
        </w:rPr>
        <w:t>zarzutów</w:t>
      </w:r>
      <w:r w:rsidR="00F15FF3">
        <w:rPr>
          <w:rFonts w:ascii="Lato" w:hAnsi="Lato" w:cs="Arial"/>
          <w:spacing w:val="4"/>
        </w:rPr>
        <w:t>,</w:t>
      </w:r>
      <w:r w:rsidRPr="001C051E">
        <w:rPr>
          <w:rFonts w:ascii="Lato" w:hAnsi="Lato" w:cs="Arial"/>
          <w:spacing w:val="4"/>
        </w:rPr>
        <w:t xml:space="preserve"> wskazując,</w:t>
      </w:r>
      <w:r w:rsidR="002A2666">
        <w:rPr>
          <w:rFonts w:ascii="Lato" w:hAnsi="Lato" w:cs="Arial"/>
          <w:spacing w:val="4"/>
        </w:rPr>
        <w:t xml:space="preserve"> </w:t>
      </w:r>
      <w:r w:rsidRPr="001C051E">
        <w:rPr>
          <w:rFonts w:ascii="Lato" w:hAnsi="Lato" w:cs="Arial"/>
          <w:spacing w:val="4"/>
        </w:rPr>
        <w:t xml:space="preserve">iż w jego ocenie nie zasługują one na uwzględnienie. </w:t>
      </w:r>
      <w:r w:rsidR="002A2666">
        <w:rPr>
          <w:rFonts w:ascii="Lato" w:hAnsi="Lato" w:cs="Arial"/>
          <w:spacing w:val="4"/>
        </w:rPr>
        <w:t>O</w:t>
      </w:r>
      <w:r w:rsidR="002A2666" w:rsidRPr="001C051E">
        <w:rPr>
          <w:rFonts w:ascii="Lato" w:hAnsi="Lato" w:cs="Arial"/>
          <w:spacing w:val="4"/>
        </w:rPr>
        <w:t xml:space="preserve">rgan odwoławczy przesłał skarżącej stronie </w:t>
      </w:r>
      <w:r w:rsidR="002A2666">
        <w:rPr>
          <w:rFonts w:ascii="Lato" w:hAnsi="Lato" w:cs="Arial"/>
          <w:spacing w:val="4"/>
        </w:rPr>
        <w:t>s</w:t>
      </w:r>
      <w:r w:rsidRPr="001C051E">
        <w:rPr>
          <w:rFonts w:ascii="Lato" w:hAnsi="Lato" w:cs="Arial"/>
          <w:spacing w:val="4"/>
        </w:rPr>
        <w:t>tanowisko inwestora, zawiadamiając jednocześnie, stosownie do art. 10 kpa, o prawie wypowiedzenia się, co do zebranych dowodów i materiałów</w:t>
      </w:r>
      <w:r w:rsidR="00EE2CD4" w:rsidRPr="001C051E">
        <w:rPr>
          <w:rFonts w:ascii="Lato" w:hAnsi="Lato" w:cs="Arial"/>
          <w:spacing w:val="4"/>
        </w:rPr>
        <w:t xml:space="preserve"> oraz zgłoszonych żądań, a także o możliwości zapoznania się z aktami sprawy, z której to możliwości </w:t>
      </w:r>
      <w:r w:rsidR="002A2666">
        <w:rPr>
          <w:rFonts w:ascii="Lato" w:hAnsi="Lato" w:cs="Arial"/>
          <w:spacing w:val="4"/>
        </w:rPr>
        <w:t>strony skarżące</w:t>
      </w:r>
      <w:r w:rsidR="00A15194" w:rsidRPr="001C051E">
        <w:rPr>
          <w:rFonts w:ascii="Lato" w:hAnsi="Lato" w:cs="Arial"/>
          <w:spacing w:val="4"/>
        </w:rPr>
        <w:t xml:space="preserve"> </w:t>
      </w:r>
      <w:r w:rsidR="00EE2CD4" w:rsidRPr="001C051E">
        <w:rPr>
          <w:rFonts w:ascii="Lato" w:hAnsi="Lato" w:cs="Arial"/>
          <w:spacing w:val="4"/>
        </w:rPr>
        <w:t>nie skorzystał</w:t>
      </w:r>
      <w:r w:rsidR="002A2666">
        <w:rPr>
          <w:rFonts w:ascii="Lato" w:hAnsi="Lato" w:cs="Arial"/>
          <w:spacing w:val="4"/>
        </w:rPr>
        <w:t>y</w:t>
      </w:r>
      <w:r w:rsidR="00EE2CD4" w:rsidRPr="001C051E">
        <w:rPr>
          <w:rFonts w:ascii="Lato" w:hAnsi="Lato" w:cs="Arial"/>
          <w:spacing w:val="4"/>
        </w:rPr>
        <w:t>.</w:t>
      </w:r>
    </w:p>
    <w:p w14:paraId="625F61CD" w14:textId="55CFEF4E" w:rsidR="00EE2CD4" w:rsidRDefault="00EE2CD4" w:rsidP="00566B8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C051E">
        <w:rPr>
          <w:rFonts w:ascii="Lato" w:hAnsi="Lato" w:cs="Arial"/>
          <w:spacing w:val="4"/>
        </w:rPr>
        <w:t>Po uzyskaniu stanowiska inwestora oraz przeanalizowaniu zarzutów skarżąc</w:t>
      </w:r>
      <w:r w:rsidR="002A2666">
        <w:rPr>
          <w:rFonts w:ascii="Lato" w:hAnsi="Lato" w:cs="Arial"/>
          <w:spacing w:val="4"/>
        </w:rPr>
        <w:t>ych</w:t>
      </w:r>
      <w:r w:rsidR="00A15194" w:rsidRPr="001C051E">
        <w:rPr>
          <w:rFonts w:ascii="Lato" w:hAnsi="Lato" w:cs="Arial"/>
          <w:spacing w:val="4"/>
        </w:rPr>
        <w:t xml:space="preserve"> stron </w:t>
      </w:r>
      <w:r w:rsidRPr="001C051E">
        <w:rPr>
          <w:rFonts w:ascii="Lato" w:hAnsi="Lato" w:cs="Arial"/>
          <w:spacing w:val="4"/>
        </w:rPr>
        <w:t>Minister stwierdził, co następuje.</w:t>
      </w:r>
    </w:p>
    <w:p w14:paraId="149FFBF1" w14:textId="086F0494" w:rsidR="00277548" w:rsidRDefault="00F22F0F" w:rsidP="00566B8D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Na uwzględnienie nie zasługują zarzuty skarżących dotyczące naruszenia przez organ </w:t>
      </w:r>
      <w:r w:rsidR="00B02890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 xml:space="preserve">I instancji przepisów poprzez brak określenia terminu, w jakim kontrolowana decyzja ma wywołać skutek, o jakim mowa w art. 22 ust. 1 i 5 specustawy przesyłowej. </w:t>
      </w:r>
      <w:r w:rsidR="00B02890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>W pkt IX</w:t>
      </w:r>
      <w:r w:rsidR="008E7E03">
        <w:rPr>
          <w:rFonts w:ascii="Lato" w:hAnsi="Lato" w:cs="Arial"/>
          <w:spacing w:val="4"/>
        </w:rPr>
        <w:t xml:space="preserve"> </w:t>
      </w:r>
      <w:proofErr w:type="spellStart"/>
      <w:r w:rsidR="008E7E03">
        <w:rPr>
          <w:rFonts w:ascii="Lato" w:hAnsi="Lato" w:cs="Arial"/>
          <w:spacing w:val="4"/>
        </w:rPr>
        <w:t>ppkt</w:t>
      </w:r>
      <w:proofErr w:type="spellEnd"/>
      <w:r w:rsidR="00FB1A02">
        <w:rPr>
          <w:rFonts w:ascii="Lato" w:hAnsi="Lato" w:cs="Arial"/>
          <w:spacing w:val="4"/>
        </w:rPr>
        <w:t xml:space="preserve"> 1 </w:t>
      </w:r>
      <w:r>
        <w:rPr>
          <w:rFonts w:ascii="Lato" w:hAnsi="Lato" w:cs="Arial"/>
          <w:spacing w:val="4"/>
        </w:rPr>
        <w:t>decyzji Wojewody Podkarpackiego organ I instancji, stosownie do art. 8 ust. 1 pkt 8 specustawy przesyłowej</w:t>
      </w:r>
      <w:r w:rsidR="00277548">
        <w:rPr>
          <w:rFonts w:ascii="Lato" w:hAnsi="Lato" w:cs="Arial"/>
          <w:spacing w:val="4"/>
        </w:rPr>
        <w:t>,</w:t>
      </w:r>
      <w:r>
        <w:rPr>
          <w:rFonts w:ascii="Lato" w:hAnsi="Lato" w:cs="Arial"/>
          <w:spacing w:val="4"/>
        </w:rPr>
        <w:t xml:space="preserve"> </w:t>
      </w:r>
      <w:r w:rsidRPr="00F22F0F">
        <w:rPr>
          <w:rFonts w:ascii="Lato" w:hAnsi="Lato" w:cs="Arial"/>
          <w:spacing w:val="4"/>
        </w:rPr>
        <w:t>oznacz</w:t>
      </w:r>
      <w:r>
        <w:rPr>
          <w:rFonts w:ascii="Lato" w:hAnsi="Lato" w:cs="Arial"/>
          <w:spacing w:val="4"/>
        </w:rPr>
        <w:t>ył</w:t>
      </w:r>
      <w:r w:rsidRPr="00F22F0F">
        <w:rPr>
          <w:rFonts w:ascii="Lato" w:hAnsi="Lato" w:cs="Arial"/>
          <w:spacing w:val="4"/>
        </w:rPr>
        <w:t xml:space="preserve"> nieruchomości, w stosunku do których </w:t>
      </w:r>
      <w:r>
        <w:rPr>
          <w:rFonts w:ascii="Lato" w:hAnsi="Lato" w:cs="Arial"/>
          <w:spacing w:val="4"/>
        </w:rPr>
        <w:t xml:space="preserve">przedmiotowa </w:t>
      </w:r>
      <w:r w:rsidRPr="00F22F0F">
        <w:rPr>
          <w:rFonts w:ascii="Lato" w:hAnsi="Lato" w:cs="Arial"/>
          <w:spacing w:val="4"/>
        </w:rPr>
        <w:t xml:space="preserve">decyzja o ustaleniu lokalizacji </w:t>
      </w:r>
      <w:r>
        <w:rPr>
          <w:rFonts w:ascii="Lato" w:hAnsi="Lato" w:cs="Arial"/>
          <w:spacing w:val="4"/>
        </w:rPr>
        <w:t xml:space="preserve">inwestycji towarzyszącej </w:t>
      </w:r>
      <w:r w:rsidRPr="00F22F0F">
        <w:rPr>
          <w:rFonts w:ascii="Lato" w:hAnsi="Lato" w:cs="Arial"/>
          <w:spacing w:val="4"/>
        </w:rPr>
        <w:t xml:space="preserve">strategicznej inwestycji w zakresie sieci przesyłowej ma wywołać </w:t>
      </w:r>
      <w:r w:rsidR="00277548">
        <w:rPr>
          <w:rFonts w:ascii="Lato" w:hAnsi="Lato" w:cs="Arial"/>
          <w:spacing w:val="4"/>
        </w:rPr>
        <w:t xml:space="preserve">trwały </w:t>
      </w:r>
      <w:r w:rsidRPr="00F22F0F">
        <w:rPr>
          <w:rFonts w:ascii="Lato" w:hAnsi="Lato" w:cs="Arial"/>
          <w:spacing w:val="4"/>
        </w:rPr>
        <w:t xml:space="preserve">skutek, o którym mowa </w:t>
      </w:r>
      <w:r w:rsidR="00B02890">
        <w:rPr>
          <w:rFonts w:ascii="Lato" w:hAnsi="Lato" w:cs="Arial"/>
          <w:spacing w:val="4"/>
        </w:rPr>
        <w:br/>
      </w:r>
      <w:r w:rsidRPr="00F22F0F">
        <w:rPr>
          <w:rFonts w:ascii="Lato" w:hAnsi="Lato" w:cs="Arial"/>
          <w:spacing w:val="4"/>
        </w:rPr>
        <w:t xml:space="preserve">w </w:t>
      </w:r>
      <w:hyperlink r:id="rId13" w:history="1">
        <w:r w:rsidRPr="003D27EC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>art. 22 ust. 1</w:t>
        </w:r>
      </w:hyperlink>
      <w:r w:rsidR="00277548">
        <w:rPr>
          <w:rFonts w:ascii="Lato" w:hAnsi="Lato" w:cs="Arial"/>
          <w:spacing w:val="4"/>
        </w:rPr>
        <w:t>. Wyjaśnić należy, że właściciele nieruchomości objętych omawianym skutkiem</w:t>
      </w:r>
      <w:r w:rsidR="00277548" w:rsidRPr="00277548">
        <w:rPr>
          <w:rFonts w:ascii="Lato" w:hAnsi="Lato" w:cs="Arial"/>
          <w:bCs/>
          <w:spacing w:val="4"/>
        </w:rPr>
        <w:t xml:space="preserve"> muszą umożliwić inwestorowi realizację inwestycji przesyłowej, a następnie dostęp do niej w celu utrzymania, eksploatacji, użytkowania, remontu bądź usunięcia awarii. </w:t>
      </w:r>
      <w:r w:rsidR="00277548" w:rsidRPr="00277548">
        <w:rPr>
          <w:rFonts w:ascii="Lato" w:hAnsi="Lato" w:cs="Arial"/>
          <w:bCs/>
          <w:iCs/>
          <w:spacing w:val="4"/>
          <w:lang w:bidi="pl-PL"/>
        </w:rPr>
        <w:t xml:space="preserve">Celem, dla którego wprowadzono </w:t>
      </w:r>
      <w:r w:rsidR="00277548" w:rsidRPr="00277548">
        <w:rPr>
          <w:rFonts w:ascii="Lato" w:hAnsi="Lato" w:cs="Arial"/>
          <w:bCs/>
          <w:spacing w:val="4"/>
        </w:rPr>
        <w:t>art. 22 ust. 1 specustawy przesyłowej,</w:t>
      </w:r>
      <w:r w:rsidR="00277548" w:rsidRPr="00277548">
        <w:rPr>
          <w:rFonts w:ascii="Lato" w:hAnsi="Lato" w:cs="Arial"/>
          <w:bCs/>
          <w:iCs/>
          <w:spacing w:val="4"/>
          <w:lang w:bidi="pl-PL"/>
        </w:rPr>
        <w:t xml:space="preserve"> jest zatem umożliwienie nie tylko budowy, ale i również utrzymywania w należytym stanie wybudowanej sieci przesyłowej, co </w:t>
      </w:r>
      <w:r w:rsidR="00277548">
        <w:rPr>
          <w:rFonts w:ascii="Lato" w:hAnsi="Lato" w:cs="Arial"/>
          <w:bCs/>
          <w:iCs/>
          <w:spacing w:val="4"/>
          <w:lang w:bidi="pl-PL"/>
        </w:rPr>
        <w:t xml:space="preserve">niewątpliwie </w:t>
      </w:r>
      <w:r w:rsidR="00277548" w:rsidRPr="00277548">
        <w:rPr>
          <w:rFonts w:ascii="Lato" w:hAnsi="Lato" w:cs="Arial"/>
          <w:bCs/>
          <w:iCs/>
          <w:spacing w:val="4"/>
          <w:lang w:bidi="pl-PL"/>
        </w:rPr>
        <w:t xml:space="preserve">wiąże się z </w:t>
      </w:r>
      <w:r w:rsidR="00277548">
        <w:rPr>
          <w:rFonts w:ascii="Lato" w:hAnsi="Lato" w:cs="Arial"/>
          <w:bCs/>
          <w:iCs/>
          <w:spacing w:val="4"/>
          <w:lang w:bidi="pl-PL"/>
        </w:rPr>
        <w:t xml:space="preserve">trwałym </w:t>
      </w:r>
      <w:r w:rsidR="00277548" w:rsidRPr="00277548">
        <w:rPr>
          <w:rFonts w:ascii="Lato" w:hAnsi="Lato" w:cs="Arial"/>
          <w:bCs/>
          <w:iCs/>
          <w:spacing w:val="4"/>
          <w:lang w:bidi="pl-PL"/>
        </w:rPr>
        <w:t>ograniczeniem sposobu korzystania z nieruchomości dla realizacji tego celu.</w:t>
      </w:r>
      <w:r w:rsidR="00277548">
        <w:rPr>
          <w:rFonts w:ascii="Lato" w:hAnsi="Lato" w:cs="Arial"/>
          <w:bCs/>
          <w:iCs/>
          <w:spacing w:val="4"/>
          <w:lang w:bidi="pl-PL"/>
        </w:rPr>
        <w:t xml:space="preserve"> Natomiast w odniesieniu do regulacji przepisu art. 8 ust. 1 pkt 8b specustawy przesyłowej, tj. </w:t>
      </w:r>
      <w:r w:rsidR="00277548" w:rsidRPr="00277548">
        <w:rPr>
          <w:rFonts w:ascii="Lato" w:hAnsi="Lato" w:cs="Arial"/>
          <w:bCs/>
          <w:iCs/>
          <w:spacing w:val="4"/>
          <w:lang w:bidi="pl-PL"/>
        </w:rPr>
        <w:t>wskazani</w:t>
      </w:r>
      <w:r w:rsidR="00277548">
        <w:rPr>
          <w:rFonts w:ascii="Lato" w:hAnsi="Lato" w:cs="Arial"/>
          <w:bCs/>
          <w:iCs/>
          <w:spacing w:val="4"/>
          <w:lang w:bidi="pl-PL"/>
        </w:rPr>
        <w:t xml:space="preserve">a w decyzji </w:t>
      </w:r>
      <w:r w:rsidR="00277548" w:rsidRPr="00277548">
        <w:rPr>
          <w:rFonts w:ascii="Lato" w:hAnsi="Lato" w:cs="Arial"/>
          <w:bCs/>
          <w:iCs/>
          <w:spacing w:val="4"/>
          <w:lang w:bidi="pl-PL"/>
        </w:rPr>
        <w:t xml:space="preserve">okresu, w jakim decyzja o ustaleniu lokalizacji strategicznej inwestycji w zakresie sieci przesyłowej ma wywoływać skutek, o którym mowa w </w:t>
      </w:r>
      <w:hyperlink r:id="rId14" w:history="1">
        <w:r w:rsidR="00277548" w:rsidRPr="003D27EC">
          <w:rPr>
            <w:rStyle w:val="Hipercze"/>
            <w:rFonts w:ascii="Lato" w:hAnsi="Lato" w:cs="Arial"/>
            <w:bCs/>
            <w:iCs/>
            <w:color w:val="000000" w:themeColor="text1"/>
            <w:spacing w:val="4"/>
            <w:u w:val="none"/>
            <w:lang w:bidi="pl-PL"/>
          </w:rPr>
          <w:t>art. 22 ust. 1</w:t>
        </w:r>
      </w:hyperlink>
      <w:r w:rsidR="00277548" w:rsidRPr="003D27EC">
        <w:rPr>
          <w:rFonts w:ascii="Lato" w:hAnsi="Lato" w:cs="Arial"/>
          <w:bCs/>
          <w:iCs/>
          <w:color w:val="000000" w:themeColor="text1"/>
          <w:spacing w:val="4"/>
          <w:lang w:bidi="pl-PL"/>
        </w:rPr>
        <w:t xml:space="preserve">, w przypadku gdy ograniczenie sposobu korzystania z nieruchomości, o którym mowa w </w:t>
      </w:r>
      <w:hyperlink r:id="rId15" w:history="1">
        <w:r w:rsidR="00277548" w:rsidRPr="003D27EC">
          <w:rPr>
            <w:rStyle w:val="Hipercze"/>
            <w:rFonts w:ascii="Lato" w:hAnsi="Lato" w:cs="Arial"/>
            <w:bCs/>
            <w:iCs/>
            <w:color w:val="000000" w:themeColor="text1"/>
            <w:spacing w:val="4"/>
            <w:u w:val="none"/>
            <w:lang w:bidi="pl-PL"/>
          </w:rPr>
          <w:t>art. 22 ust. 1</w:t>
        </w:r>
      </w:hyperlink>
      <w:r w:rsidR="00277548" w:rsidRPr="003D27EC">
        <w:rPr>
          <w:rFonts w:ascii="Lato" w:hAnsi="Lato" w:cs="Arial"/>
          <w:bCs/>
          <w:iCs/>
          <w:color w:val="000000" w:themeColor="text1"/>
          <w:spacing w:val="4"/>
          <w:lang w:bidi="pl-PL"/>
        </w:rPr>
        <w:t>,</w:t>
      </w:r>
      <w:r w:rsidR="00277548" w:rsidRPr="00277548">
        <w:rPr>
          <w:rFonts w:ascii="Lato" w:hAnsi="Lato" w:cs="Arial"/>
          <w:bCs/>
          <w:iCs/>
          <w:spacing w:val="4"/>
          <w:lang w:bidi="pl-PL"/>
        </w:rPr>
        <w:t xml:space="preserve"> ma nastąpić na czas określony</w:t>
      </w:r>
      <w:r w:rsidR="00381197">
        <w:rPr>
          <w:rFonts w:ascii="Lato" w:hAnsi="Lato" w:cs="Arial"/>
          <w:bCs/>
          <w:iCs/>
          <w:spacing w:val="4"/>
          <w:lang w:bidi="pl-PL"/>
        </w:rPr>
        <w:t xml:space="preserve">, wyjaśnić skarżącym należy, że inwestor nie wskazywał we wniosku nieruchomości przeznaczonych do ograniczonego </w:t>
      </w:r>
      <w:r w:rsidR="00FB1A02">
        <w:rPr>
          <w:rFonts w:ascii="Lato" w:hAnsi="Lato" w:cs="Arial"/>
          <w:bCs/>
          <w:iCs/>
          <w:spacing w:val="4"/>
          <w:lang w:bidi="pl-PL"/>
        </w:rPr>
        <w:t>sposobu korzystania na czas określony i nie skorzystał z możliwości zawartej w art. 22 ust. 5 ustawy, a zatem Wojewoda Podkarpacki w pkt IX</w:t>
      </w:r>
      <w:r w:rsidR="008E7E03">
        <w:rPr>
          <w:rFonts w:ascii="Lato" w:hAnsi="Lato" w:cs="Arial"/>
          <w:bCs/>
          <w:iCs/>
          <w:spacing w:val="4"/>
          <w:lang w:bidi="pl-PL"/>
        </w:rPr>
        <w:t xml:space="preserve"> </w:t>
      </w:r>
      <w:proofErr w:type="spellStart"/>
      <w:r w:rsidR="008E7E03">
        <w:rPr>
          <w:rFonts w:ascii="Lato" w:hAnsi="Lato" w:cs="Arial"/>
          <w:bCs/>
          <w:iCs/>
          <w:spacing w:val="4"/>
          <w:lang w:bidi="pl-PL"/>
        </w:rPr>
        <w:t>ppkt</w:t>
      </w:r>
      <w:proofErr w:type="spellEnd"/>
      <w:r w:rsidR="008E7E03">
        <w:rPr>
          <w:rFonts w:ascii="Lato" w:hAnsi="Lato" w:cs="Arial"/>
          <w:bCs/>
          <w:iCs/>
          <w:spacing w:val="4"/>
          <w:lang w:bidi="pl-PL"/>
        </w:rPr>
        <w:t xml:space="preserve"> 2</w:t>
      </w:r>
      <w:r w:rsidR="00FB1A02">
        <w:rPr>
          <w:rFonts w:ascii="Lato" w:hAnsi="Lato" w:cs="Arial"/>
          <w:bCs/>
          <w:iCs/>
          <w:spacing w:val="4"/>
          <w:lang w:bidi="pl-PL"/>
        </w:rPr>
        <w:t xml:space="preserve"> słusznie nie określił takich nieruchomości. </w:t>
      </w:r>
    </w:p>
    <w:p w14:paraId="1A47BA08" w14:textId="526E0D9A" w:rsidR="00180910" w:rsidRDefault="00180910" w:rsidP="00566B8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52CA7">
        <w:rPr>
          <w:rFonts w:ascii="Lato" w:hAnsi="Lato" w:cs="Arial"/>
          <w:spacing w:val="4"/>
        </w:rPr>
        <w:lastRenderedPageBreak/>
        <w:t>Odnośnie podniesionej przez skarżących kwestii braku określenia wymagań dotyczących ochrony interesów osób trzecich, należy zauważyć, że w zaskarżonej decyzji znajduje się zapis z</w:t>
      </w:r>
      <w:r w:rsidR="007B132B">
        <w:rPr>
          <w:rFonts w:ascii="Lato" w:hAnsi="Lato" w:cs="Arial"/>
          <w:spacing w:val="4"/>
        </w:rPr>
        <w:t>e</w:t>
      </w:r>
      <w:r w:rsidRPr="00752CA7">
        <w:rPr>
          <w:rFonts w:ascii="Lato" w:hAnsi="Lato" w:cs="Arial"/>
          <w:spacing w:val="4"/>
        </w:rPr>
        <w:t xml:space="preserve"> skonkretyzowanymi wymogami odnoszącymi się do ochrony interesów osób trzecich.</w:t>
      </w:r>
      <w:r w:rsidR="007B132B">
        <w:rPr>
          <w:rFonts w:ascii="Lato" w:hAnsi="Lato" w:cs="Arial"/>
          <w:spacing w:val="4"/>
        </w:rPr>
        <w:t xml:space="preserve"> </w:t>
      </w:r>
      <w:r w:rsidR="00BF4B6A">
        <w:rPr>
          <w:rFonts w:ascii="Lato" w:hAnsi="Lato" w:cs="Arial"/>
          <w:spacing w:val="4"/>
        </w:rPr>
        <w:t>Wojewoda</w:t>
      </w:r>
      <w:r w:rsidR="003C3A66">
        <w:rPr>
          <w:rFonts w:ascii="Lato" w:hAnsi="Lato" w:cs="Arial"/>
          <w:spacing w:val="4"/>
        </w:rPr>
        <w:t xml:space="preserve"> Podkarpacki</w:t>
      </w:r>
      <w:r w:rsidR="00BF4B6A">
        <w:rPr>
          <w:rFonts w:ascii="Lato" w:hAnsi="Lato" w:cs="Arial"/>
          <w:spacing w:val="4"/>
        </w:rPr>
        <w:t xml:space="preserve"> w pkt V </w:t>
      </w:r>
      <w:proofErr w:type="spellStart"/>
      <w:r w:rsidR="00BF4B6A">
        <w:rPr>
          <w:rFonts w:ascii="Lato" w:hAnsi="Lato" w:cs="Arial"/>
          <w:spacing w:val="4"/>
        </w:rPr>
        <w:t>ppkt</w:t>
      </w:r>
      <w:proofErr w:type="spellEnd"/>
      <w:r w:rsidR="00BF4B6A">
        <w:rPr>
          <w:rFonts w:ascii="Lato" w:hAnsi="Lato" w:cs="Arial"/>
          <w:spacing w:val="4"/>
        </w:rPr>
        <w:t xml:space="preserve"> 1 zastrzegł, że zabezpieczenie interesów osób trzecich powinno być zapewnione poprzez ochronę przed pozbawieniem dostępu do drogi publicznej, pozbawieniem możliwości korzystania z wody, kanalizacji, energii elektrycznej i cieplnej oraz ze środków łączności, a także przed uciążliwościami powodowanymi przez hałas, wibracje, zakłócenia elektryczne i promieniowanie.</w:t>
      </w:r>
    </w:p>
    <w:p w14:paraId="2B17C2A5" w14:textId="0C89ACD4" w:rsidR="00180910" w:rsidRDefault="008E7BC2" w:rsidP="00566B8D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Za chybiony należy uznać zarzut skarżących</w:t>
      </w:r>
      <w:r w:rsidR="00D252AA">
        <w:rPr>
          <w:rFonts w:ascii="Lato" w:hAnsi="Lato" w:cs="Arial"/>
          <w:spacing w:val="4"/>
        </w:rPr>
        <w:t xml:space="preserve"> dotyczący sprzecznej terminologii użytej </w:t>
      </w:r>
      <w:r w:rsidR="00B02890">
        <w:rPr>
          <w:rFonts w:ascii="Lato" w:hAnsi="Lato" w:cs="Arial"/>
          <w:spacing w:val="4"/>
        </w:rPr>
        <w:br/>
      </w:r>
      <w:r w:rsidR="00D252AA">
        <w:rPr>
          <w:rFonts w:ascii="Lato" w:hAnsi="Lato" w:cs="Arial"/>
          <w:spacing w:val="4"/>
        </w:rPr>
        <w:t xml:space="preserve">w zaskarżonej decyzji w zakresie określenia obszaru inwestycji oraz szerokości pasa technologicznego z </w:t>
      </w:r>
      <w:r w:rsidR="0032333B">
        <w:rPr>
          <w:rFonts w:ascii="Lato" w:hAnsi="Lato" w:cs="Arial"/>
          <w:spacing w:val="4"/>
        </w:rPr>
        <w:t>decyzj</w:t>
      </w:r>
      <w:r w:rsidR="00D252AA">
        <w:rPr>
          <w:rFonts w:ascii="Lato" w:hAnsi="Lato" w:cs="Arial"/>
          <w:spacing w:val="4"/>
        </w:rPr>
        <w:t xml:space="preserve">ą </w:t>
      </w:r>
      <w:r w:rsidR="0032333B">
        <w:rPr>
          <w:rFonts w:ascii="Lato" w:hAnsi="Lato" w:cs="Arial"/>
          <w:spacing w:val="4"/>
        </w:rPr>
        <w:t xml:space="preserve">o </w:t>
      </w:r>
      <w:r w:rsidR="00626178">
        <w:rPr>
          <w:rFonts w:ascii="Lato" w:hAnsi="Lato" w:cs="Arial"/>
          <w:spacing w:val="4"/>
        </w:rPr>
        <w:t> </w:t>
      </w:r>
      <w:r w:rsidR="0032333B">
        <w:rPr>
          <w:rFonts w:ascii="Lato" w:hAnsi="Lato" w:cs="Arial"/>
          <w:spacing w:val="4"/>
        </w:rPr>
        <w:t xml:space="preserve">warunkach zabudowy </w:t>
      </w:r>
      <w:r w:rsidR="00D252AA">
        <w:rPr>
          <w:rFonts w:ascii="Lato" w:hAnsi="Lato" w:cs="Arial"/>
          <w:spacing w:val="4"/>
        </w:rPr>
        <w:t xml:space="preserve">wydaną przez Wójta Gminy Lubaczów. </w:t>
      </w:r>
    </w:p>
    <w:p w14:paraId="5B30AD45" w14:textId="1B307AC2" w:rsidR="005333D3" w:rsidRDefault="0032333B" w:rsidP="001C7DAC">
      <w:pPr>
        <w:spacing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Zgodnie </w:t>
      </w:r>
      <w:r w:rsidR="00D252AA">
        <w:rPr>
          <w:rFonts w:ascii="Lato" w:hAnsi="Lato" w:cs="Arial"/>
          <w:spacing w:val="4"/>
        </w:rPr>
        <w:t xml:space="preserve">bowiem </w:t>
      </w:r>
      <w:r>
        <w:rPr>
          <w:rFonts w:ascii="Lato" w:hAnsi="Lato" w:cs="Arial"/>
          <w:spacing w:val="4"/>
        </w:rPr>
        <w:t xml:space="preserve">z art. 8 ust 1. pkt 1 </w:t>
      </w:r>
      <w:r w:rsidR="008F0A60">
        <w:rPr>
          <w:rFonts w:ascii="Lato" w:hAnsi="Lato" w:cs="Arial"/>
          <w:spacing w:val="4"/>
        </w:rPr>
        <w:t>specustawy przesyłowej</w:t>
      </w:r>
      <w:r w:rsidR="000F644F">
        <w:rPr>
          <w:rFonts w:ascii="Lato" w:hAnsi="Lato" w:cs="Arial"/>
          <w:spacing w:val="4"/>
        </w:rPr>
        <w:t xml:space="preserve"> </w:t>
      </w:r>
      <w:r w:rsidR="008E7BC2">
        <w:rPr>
          <w:rFonts w:ascii="Lato" w:hAnsi="Lato" w:cs="Arial"/>
          <w:spacing w:val="4"/>
        </w:rPr>
        <w:t>d</w:t>
      </w:r>
      <w:r w:rsidR="005333D3" w:rsidRPr="005333D3">
        <w:rPr>
          <w:rFonts w:ascii="Lato" w:hAnsi="Lato" w:cs="Arial"/>
          <w:spacing w:val="4"/>
        </w:rPr>
        <w:t>ecyzja o ustaleniu lokalizacji strategicznej inwestycji w zakresie sieci przesyłowej zawiera</w:t>
      </w:r>
      <w:r w:rsidR="000C571F">
        <w:rPr>
          <w:rFonts w:ascii="Lato" w:hAnsi="Lato" w:cs="Arial"/>
          <w:spacing w:val="4"/>
        </w:rPr>
        <w:t xml:space="preserve"> </w:t>
      </w:r>
      <w:r w:rsidR="005333D3" w:rsidRPr="005333D3">
        <w:rPr>
          <w:rFonts w:ascii="Lato" w:hAnsi="Lato" w:cs="Arial"/>
          <w:spacing w:val="4"/>
        </w:rPr>
        <w:t xml:space="preserve">określenie granic terenu objętego strategiczną inwestycją w zakresie sieci przesyłowej, w tym określenie: linii rozgraniczających teren inwestycji,  </w:t>
      </w:r>
      <w:r w:rsidR="000C571F" w:rsidRPr="000C571F">
        <w:rPr>
          <w:rFonts w:ascii="Lato" w:hAnsi="Lato" w:cs="Arial"/>
          <w:spacing w:val="4"/>
        </w:rPr>
        <w:t xml:space="preserve">granic obszaru, w stosunku do którego decyzja o ustaleniu lokalizacji strategicznej inwestycji w zakresie sieci przesyłowej ma wywołać skutek, o którym mowa w </w:t>
      </w:r>
      <w:hyperlink r:id="rId16" w:history="1">
        <w:r w:rsidR="000C571F" w:rsidRPr="003D27EC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>art. 19 ust. 3</w:t>
        </w:r>
      </w:hyperlink>
      <w:r w:rsidR="000C571F" w:rsidRPr="003D27EC">
        <w:rPr>
          <w:rFonts w:ascii="Lato" w:hAnsi="Lato" w:cs="Arial"/>
          <w:color w:val="000000" w:themeColor="text1"/>
          <w:spacing w:val="4"/>
        </w:rPr>
        <w:t xml:space="preserve"> i </w:t>
      </w:r>
      <w:hyperlink r:id="rId17" w:history="1">
        <w:r w:rsidR="000C571F" w:rsidRPr="003D27EC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>art. 23 ust. 1 oraz 1a</w:t>
        </w:r>
      </w:hyperlink>
      <w:r w:rsidR="000C571F" w:rsidRPr="003D27EC">
        <w:rPr>
          <w:rFonts w:ascii="Lato" w:hAnsi="Lato" w:cs="Arial"/>
          <w:color w:val="000000" w:themeColor="text1"/>
          <w:spacing w:val="4"/>
        </w:rPr>
        <w:t xml:space="preserve">, </w:t>
      </w:r>
      <w:r w:rsidR="005333D3" w:rsidRPr="005333D3">
        <w:rPr>
          <w:rFonts w:ascii="Lato" w:hAnsi="Lato" w:cs="Arial"/>
          <w:spacing w:val="4"/>
        </w:rPr>
        <w:t xml:space="preserve">granic obszaru, w stosunku do którego decyzja o ustaleniu lokalizacji strategicznej inwestycji w zakresie sieci przesyłowej ma wywołać skutek, o którym mowa w </w:t>
      </w:r>
      <w:hyperlink r:id="rId18" w:history="1">
        <w:r w:rsidR="005333D3" w:rsidRPr="005333D3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>art. 22 ust. 1</w:t>
        </w:r>
      </w:hyperlink>
      <w:r w:rsidR="005333D3" w:rsidRPr="00B54E29">
        <w:rPr>
          <w:rFonts w:ascii="Lato" w:hAnsi="Lato" w:cs="Arial"/>
          <w:color w:val="000000" w:themeColor="text1"/>
          <w:spacing w:val="4"/>
        </w:rPr>
        <w:t xml:space="preserve">, </w:t>
      </w:r>
      <w:r w:rsidR="005333D3" w:rsidRPr="005333D3">
        <w:rPr>
          <w:rFonts w:ascii="Lato" w:hAnsi="Lato" w:cs="Arial"/>
          <w:spacing w:val="4"/>
        </w:rPr>
        <w:t xml:space="preserve">w tym obszaru objętego zakazem lub nakazem, o którym mowa w </w:t>
      </w:r>
      <w:hyperlink r:id="rId19" w:history="1">
        <w:r w:rsidR="005333D3" w:rsidRPr="00B54E29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>art. 22 ust. 2</w:t>
        </w:r>
      </w:hyperlink>
      <w:r w:rsidR="00B54E29" w:rsidRPr="00B54E29">
        <w:rPr>
          <w:rFonts w:ascii="Lato" w:hAnsi="Lato" w:cs="Arial"/>
          <w:color w:val="000000" w:themeColor="text1"/>
          <w:spacing w:val="4"/>
        </w:rPr>
        <w:t>.</w:t>
      </w:r>
    </w:p>
    <w:p w14:paraId="43E8105A" w14:textId="05BF1D58" w:rsidR="00191E41" w:rsidRDefault="00B54E29" w:rsidP="001C7DAC">
      <w:pPr>
        <w:spacing w:line="240" w:lineRule="exact"/>
        <w:jc w:val="both"/>
        <w:rPr>
          <w:rFonts w:ascii="Lato" w:hAnsi="Lato" w:cs="Arial"/>
          <w:spacing w:val="4"/>
        </w:rPr>
      </w:pPr>
      <w:r w:rsidRPr="00894AF9">
        <w:rPr>
          <w:rFonts w:ascii="Lato" w:hAnsi="Lato" w:cs="Arial"/>
          <w:spacing w:val="4"/>
        </w:rPr>
        <w:t>Z</w:t>
      </w:r>
      <w:r w:rsidR="008F0A60" w:rsidRPr="00894AF9">
        <w:rPr>
          <w:rFonts w:ascii="Lato" w:hAnsi="Lato" w:cs="Arial"/>
          <w:spacing w:val="4"/>
        </w:rPr>
        <w:t>askarżona decyzja zawiera określenie granic terenu objętego inwestycją towarzyszącą strategicznej inwestycji w zakresie sieci przesyłowej</w:t>
      </w:r>
      <w:r w:rsidR="003F7A9C">
        <w:rPr>
          <w:rFonts w:ascii="Lato" w:hAnsi="Lato" w:cs="Arial"/>
          <w:spacing w:val="4"/>
        </w:rPr>
        <w:t xml:space="preserve">, w tym </w:t>
      </w:r>
      <w:r w:rsidR="003F7A9C" w:rsidRPr="005333D3">
        <w:rPr>
          <w:rFonts w:ascii="Lato" w:hAnsi="Lato" w:cs="Arial"/>
          <w:spacing w:val="4"/>
        </w:rPr>
        <w:t xml:space="preserve">granic obszaru, w stosunku do którego decyzja o ustaleniu lokalizacji strategicznej inwestycji w zakresie sieci przesyłowej ma wywołać skutek, o którym mowa w </w:t>
      </w:r>
      <w:hyperlink r:id="rId20" w:history="1">
        <w:r w:rsidR="003F7A9C" w:rsidRPr="005333D3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>art. 22 ust. 1</w:t>
        </w:r>
      </w:hyperlink>
      <w:r w:rsidR="003F7A9C" w:rsidRPr="00B54E29">
        <w:rPr>
          <w:rFonts w:ascii="Lato" w:hAnsi="Lato" w:cs="Arial"/>
          <w:color w:val="000000" w:themeColor="text1"/>
          <w:spacing w:val="4"/>
        </w:rPr>
        <w:t xml:space="preserve">, </w:t>
      </w:r>
      <w:r w:rsidR="00786DD2">
        <w:rPr>
          <w:rFonts w:ascii="Lato" w:hAnsi="Lato" w:cs="Arial"/>
          <w:spacing w:val="4"/>
        </w:rPr>
        <w:t xml:space="preserve"> </w:t>
      </w:r>
      <w:r w:rsidR="003F7A9C">
        <w:rPr>
          <w:rFonts w:ascii="Lato" w:hAnsi="Lato" w:cs="Arial"/>
          <w:spacing w:val="4"/>
        </w:rPr>
        <w:t>w pkt I rozstrzygnięcia, a także na załącznikach graficznych</w:t>
      </w:r>
      <w:r w:rsidR="007E2D20" w:rsidRPr="00894AF9">
        <w:rPr>
          <w:rFonts w:ascii="Lato" w:hAnsi="Lato" w:cs="Arial"/>
          <w:spacing w:val="4"/>
        </w:rPr>
        <w:t xml:space="preserve">. </w:t>
      </w:r>
      <w:r w:rsidR="003F7A9C">
        <w:rPr>
          <w:rFonts w:ascii="Lato" w:hAnsi="Lato" w:cs="Arial"/>
          <w:spacing w:val="4"/>
        </w:rPr>
        <w:t>N</w:t>
      </w:r>
      <w:r w:rsidRPr="00894AF9">
        <w:rPr>
          <w:rFonts w:ascii="Lato" w:hAnsi="Lato" w:cs="Arial"/>
          <w:spacing w:val="4"/>
        </w:rPr>
        <w:t xml:space="preserve">ależy </w:t>
      </w:r>
      <w:r w:rsidR="003F7A9C">
        <w:rPr>
          <w:rFonts w:ascii="Lato" w:hAnsi="Lato" w:cs="Arial"/>
          <w:spacing w:val="4"/>
        </w:rPr>
        <w:t>podkreślić,</w:t>
      </w:r>
      <w:r w:rsidR="003F7A9C" w:rsidRPr="00894AF9">
        <w:rPr>
          <w:rFonts w:ascii="Lato" w:hAnsi="Lato" w:cs="Arial"/>
          <w:spacing w:val="4"/>
        </w:rPr>
        <w:t xml:space="preserve"> </w:t>
      </w:r>
      <w:r w:rsidRPr="00894AF9">
        <w:rPr>
          <w:rFonts w:ascii="Lato" w:hAnsi="Lato" w:cs="Arial"/>
          <w:spacing w:val="4"/>
        </w:rPr>
        <w:t>iż</w:t>
      </w:r>
      <w:r w:rsidR="00894AF9" w:rsidRPr="00894AF9">
        <w:rPr>
          <w:rFonts w:ascii="Lato" w:hAnsi="Lato" w:cs="Arial"/>
          <w:spacing w:val="4"/>
        </w:rPr>
        <w:t xml:space="preserve"> decyzja</w:t>
      </w:r>
      <w:r w:rsidRPr="00894AF9">
        <w:rPr>
          <w:rFonts w:ascii="Lato" w:hAnsi="Lato" w:cs="Arial"/>
          <w:spacing w:val="4"/>
        </w:rPr>
        <w:t xml:space="preserve"> </w:t>
      </w:r>
      <w:r w:rsidR="00894AF9" w:rsidRPr="00894AF9">
        <w:rPr>
          <w:rFonts w:ascii="Lato" w:hAnsi="Lato" w:cs="Arial"/>
          <w:spacing w:val="4"/>
        </w:rPr>
        <w:t>podlega analizie łącznie z jej załącznikami, stanowiącymi jej integralną część.</w:t>
      </w:r>
      <w:r w:rsidR="003F7A9C">
        <w:rPr>
          <w:rFonts w:ascii="Lato" w:hAnsi="Lato" w:cs="Arial"/>
          <w:spacing w:val="4"/>
        </w:rPr>
        <w:t xml:space="preserve"> W związku z powyższym uznać należy, że kontrolowana decyzja zawiera elementy wskazane w art. 8 ust. 1 pkt 1 niezbędne w okolicznościach niniejszej sprawy</w:t>
      </w:r>
      <w:r w:rsidR="00CD67E7">
        <w:rPr>
          <w:rFonts w:ascii="Lato" w:hAnsi="Lato" w:cs="Arial"/>
          <w:spacing w:val="4"/>
        </w:rPr>
        <w:t>.</w:t>
      </w:r>
    </w:p>
    <w:p w14:paraId="5EB76EB9" w14:textId="47644348" w:rsidR="00B60D84" w:rsidRDefault="00B60D84" w:rsidP="00CD67E7">
      <w:pPr>
        <w:spacing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Decyzja Wojewody Podkarpackiego zawiera ponadto wyraźne wskazanie, </w:t>
      </w:r>
      <w:r w:rsidR="00B02890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 xml:space="preserve">iż przedmiotowa inwestycja winna spełniać warunki określone w decyzji Burmistrza Miasta i Gminy Cieszanów z dnia 16 czerwca 2021 r., znak: GPiMK.6220.3.2020, </w:t>
      </w:r>
      <w:r w:rsidR="00B02890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 xml:space="preserve">o środowiskowych uwarunkowaniach zgody na realizację omawianego przedsięwzięcia, zwanej dalej „decyzją o środowiskowych uwarunkowaniach”, w tym w zakresie parametrów inwestycji, tj. pasa technologicznego szerokości 20 m. </w:t>
      </w:r>
    </w:p>
    <w:p w14:paraId="477CD9F9" w14:textId="07B9663A" w:rsidR="00942D8A" w:rsidRDefault="00B60D84" w:rsidP="00AA6100">
      <w:pPr>
        <w:spacing w:line="240" w:lineRule="exact"/>
        <w:jc w:val="both"/>
        <w:rPr>
          <w:rFonts w:ascii="Lato" w:hAnsi="Lato" w:cs="Arial"/>
          <w:bCs/>
          <w:spacing w:val="4"/>
        </w:rPr>
      </w:pPr>
      <w:r>
        <w:rPr>
          <w:rFonts w:ascii="Lato" w:hAnsi="Lato" w:cs="Arial"/>
          <w:spacing w:val="4"/>
        </w:rPr>
        <w:t>Wyjaśnienia w tym miejscu wymaga</w:t>
      </w:r>
      <w:r w:rsidR="00CD67E7">
        <w:rPr>
          <w:rFonts w:ascii="Lato" w:hAnsi="Lato" w:cs="Arial"/>
          <w:spacing w:val="4"/>
        </w:rPr>
        <w:t xml:space="preserve">, iż w myśl art. 11 </w:t>
      </w:r>
      <w:r w:rsidR="000A7140">
        <w:rPr>
          <w:rFonts w:ascii="Lato" w:hAnsi="Lato" w:cs="Arial"/>
          <w:spacing w:val="4"/>
        </w:rPr>
        <w:t xml:space="preserve">ust. 1 </w:t>
      </w:r>
      <w:r w:rsidR="00CD67E7">
        <w:rPr>
          <w:rFonts w:ascii="Lato" w:hAnsi="Lato" w:cs="Arial"/>
          <w:spacing w:val="4"/>
        </w:rPr>
        <w:t xml:space="preserve">specustawy przesyłowej </w:t>
      </w:r>
      <w:r w:rsidR="00B02890">
        <w:rPr>
          <w:rFonts w:ascii="Lato" w:hAnsi="Lato" w:cs="Arial"/>
          <w:spacing w:val="4"/>
        </w:rPr>
        <w:br/>
      </w:r>
      <w:r w:rsidR="00CD67E7">
        <w:rPr>
          <w:rFonts w:ascii="Lato" w:hAnsi="Lato" w:cs="Arial"/>
          <w:spacing w:val="4"/>
        </w:rPr>
        <w:t>w</w:t>
      </w:r>
      <w:r w:rsidR="00CD67E7" w:rsidRPr="00CD67E7">
        <w:rPr>
          <w:rFonts w:ascii="Lato" w:hAnsi="Lato" w:cs="Arial"/>
          <w:spacing w:val="4"/>
        </w:rPr>
        <w:t xml:space="preserve"> sprawach określonych w niniejszym rozdziale </w:t>
      </w:r>
      <w:r w:rsidR="00CD67E7">
        <w:rPr>
          <w:rFonts w:ascii="Lato" w:hAnsi="Lato" w:cs="Arial"/>
          <w:spacing w:val="4"/>
        </w:rPr>
        <w:t xml:space="preserve">(rozdział 2 – Przygotowanie strategicznej inwestycji w zakresie sieci przesyłowej) </w:t>
      </w:r>
      <w:r w:rsidR="00CD67E7" w:rsidRPr="00CD67E7">
        <w:rPr>
          <w:rFonts w:ascii="Lato" w:hAnsi="Lato" w:cs="Arial"/>
          <w:spacing w:val="4"/>
        </w:rPr>
        <w:t xml:space="preserve">nie mają zastosowania przepisy </w:t>
      </w:r>
      <w:r w:rsidR="00B02890">
        <w:rPr>
          <w:rFonts w:ascii="Lato" w:hAnsi="Lato" w:cs="Arial"/>
          <w:spacing w:val="4"/>
        </w:rPr>
        <w:br/>
      </w:r>
      <w:r w:rsidR="00CD67E7" w:rsidRPr="00CD67E7">
        <w:rPr>
          <w:rFonts w:ascii="Lato" w:hAnsi="Lato" w:cs="Arial"/>
          <w:spacing w:val="4"/>
        </w:rPr>
        <w:t xml:space="preserve">o planowaniu i zagospodarowaniu przestrzennym, z wyjątkiem przepisów </w:t>
      </w:r>
      <w:hyperlink r:id="rId21" w:history="1">
        <w:r w:rsidR="00CD67E7" w:rsidRPr="0012372A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 xml:space="preserve">art. 57 ust. 1 </w:t>
        </w:r>
        <w:r w:rsidR="00B02890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br/>
        </w:r>
        <w:r w:rsidR="00CD67E7" w:rsidRPr="0012372A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>i 4</w:t>
        </w:r>
      </w:hyperlink>
      <w:r w:rsidR="00CD67E7" w:rsidRPr="0012372A">
        <w:rPr>
          <w:rFonts w:ascii="Lato" w:hAnsi="Lato" w:cs="Arial"/>
          <w:color w:val="000000" w:themeColor="text1"/>
          <w:spacing w:val="4"/>
        </w:rPr>
        <w:t xml:space="preserve"> ustawy z dnia 27 marca 2003 r. o planowaniu i zagospodarowaniu przestrzennym</w:t>
      </w:r>
      <w:r w:rsidR="0012372A" w:rsidRPr="0012372A">
        <w:rPr>
          <w:rFonts w:ascii="Lato" w:hAnsi="Lato" w:cs="Arial"/>
          <w:color w:val="000000" w:themeColor="text1"/>
          <w:spacing w:val="4"/>
        </w:rPr>
        <w:t xml:space="preserve"> </w:t>
      </w:r>
      <w:hyperlink r:id="rId22" w:history="1">
        <w:r w:rsidR="0012372A" w:rsidRPr="0012372A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>(Dz.U. z 2024 r. poz. 1130)</w:t>
        </w:r>
      </w:hyperlink>
      <w:r w:rsidR="00CD67E7" w:rsidRPr="0012372A">
        <w:rPr>
          <w:rFonts w:ascii="Lato" w:hAnsi="Lato" w:cs="Arial"/>
          <w:color w:val="000000" w:themeColor="text1"/>
          <w:spacing w:val="4"/>
        </w:rPr>
        <w:t>,</w:t>
      </w:r>
      <w:r w:rsidR="0012372A">
        <w:rPr>
          <w:rFonts w:ascii="Lato" w:hAnsi="Lato" w:cs="Arial"/>
          <w:color w:val="000000" w:themeColor="text1"/>
          <w:spacing w:val="4"/>
        </w:rPr>
        <w:t xml:space="preserve"> zwanej dalej „</w:t>
      </w:r>
      <w:r w:rsidR="006D6C24" w:rsidRPr="006D6C24">
        <w:rPr>
          <w:rFonts w:ascii="Lato" w:hAnsi="Lato" w:cs="Arial"/>
          <w:iCs/>
          <w:spacing w:val="4"/>
        </w:rPr>
        <w:t>ustaw</w:t>
      </w:r>
      <w:r w:rsidR="006D6C24">
        <w:rPr>
          <w:rFonts w:ascii="Lato" w:hAnsi="Lato" w:cs="Arial"/>
          <w:iCs/>
          <w:spacing w:val="4"/>
        </w:rPr>
        <w:t>ą</w:t>
      </w:r>
      <w:r w:rsidR="006D6C24" w:rsidRPr="006D6C24">
        <w:rPr>
          <w:rFonts w:ascii="Lato" w:hAnsi="Lato" w:cs="Arial"/>
          <w:iCs/>
          <w:spacing w:val="4"/>
        </w:rPr>
        <w:t xml:space="preserve"> o planowaniu i zagospodarowaniu przestrzennym</w:t>
      </w:r>
      <w:r w:rsidR="0012372A">
        <w:rPr>
          <w:rFonts w:ascii="Lato" w:hAnsi="Lato" w:cs="Arial"/>
          <w:color w:val="000000" w:themeColor="text1"/>
          <w:spacing w:val="4"/>
        </w:rPr>
        <w:t>”,</w:t>
      </w:r>
      <w:r w:rsidR="00CD67E7" w:rsidRPr="0012372A">
        <w:rPr>
          <w:rFonts w:ascii="Lato" w:hAnsi="Lato" w:cs="Arial"/>
          <w:color w:val="000000" w:themeColor="text1"/>
          <w:spacing w:val="4"/>
        </w:rPr>
        <w:t xml:space="preserve"> które stosuje się odpowiednio do decyzji o ustaleniu lokalizacji strategicznej inwestycji w zakresie sieci przesyłowej, oraz przepisy ustawy z dnia </w:t>
      </w:r>
      <w:r w:rsidR="00B02890">
        <w:rPr>
          <w:rFonts w:ascii="Lato" w:hAnsi="Lato" w:cs="Arial"/>
          <w:color w:val="000000" w:themeColor="text1"/>
          <w:spacing w:val="4"/>
        </w:rPr>
        <w:br/>
      </w:r>
      <w:r w:rsidR="00CD67E7" w:rsidRPr="0012372A">
        <w:rPr>
          <w:rFonts w:ascii="Lato" w:hAnsi="Lato" w:cs="Arial"/>
          <w:color w:val="000000" w:themeColor="text1"/>
          <w:spacing w:val="4"/>
        </w:rPr>
        <w:t xml:space="preserve">9 października 2015 r. o rewitalizacji (Dz.U. z 2024 r. </w:t>
      </w:r>
      <w:hyperlink r:id="rId23" w:history="1">
        <w:r w:rsidR="00CD67E7" w:rsidRPr="0012372A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>poz. 278</w:t>
        </w:r>
      </w:hyperlink>
      <w:r w:rsidR="00CD67E7" w:rsidRPr="0012372A">
        <w:rPr>
          <w:rFonts w:ascii="Lato" w:hAnsi="Lato" w:cs="Arial"/>
          <w:color w:val="000000" w:themeColor="text1"/>
          <w:spacing w:val="4"/>
        </w:rPr>
        <w:t>).</w:t>
      </w:r>
      <w:r w:rsidR="000A7140" w:rsidRPr="0012372A">
        <w:rPr>
          <w:rFonts w:ascii="Lato" w:hAnsi="Lato" w:cs="Arial"/>
          <w:color w:val="000000" w:themeColor="text1"/>
          <w:spacing w:val="4"/>
        </w:rPr>
        <w:t xml:space="preserve"> Zgodnie z ust. </w:t>
      </w:r>
      <w:r w:rsidR="00CD67E7" w:rsidRPr="0012372A">
        <w:rPr>
          <w:rFonts w:ascii="Lato" w:hAnsi="Lato" w:cs="Arial"/>
          <w:color w:val="000000" w:themeColor="text1"/>
          <w:spacing w:val="4"/>
        </w:rPr>
        <w:t xml:space="preserve">3 </w:t>
      </w:r>
      <w:r w:rsidR="000A7140" w:rsidRPr="0012372A">
        <w:rPr>
          <w:rFonts w:ascii="Lato" w:hAnsi="Lato" w:cs="Arial"/>
          <w:color w:val="000000" w:themeColor="text1"/>
          <w:spacing w:val="4"/>
        </w:rPr>
        <w:t>d</w:t>
      </w:r>
      <w:r w:rsidR="00CD67E7" w:rsidRPr="0012372A">
        <w:rPr>
          <w:rFonts w:ascii="Lato" w:hAnsi="Lato" w:cs="Arial"/>
          <w:color w:val="000000" w:themeColor="text1"/>
          <w:spacing w:val="4"/>
        </w:rPr>
        <w:t>e</w:t>
      </w:r>
      <w:r w:rsidR="00CD67E7" w:rsidRPr="00CD67E7">
        <w:rPr>
          <w:rFonts w:ascii="Lato" w:hAnsi="Lato" w:cs="Arial"/>
          <w:spacing w:val="4"/>
        </w:rPr>
        <w:t xml:space="preserve">cyzja </w:t>
      </w:r>
      <w:r w:rsidR="00B02890">
        <w:rPr>
          <w:rFonts w:ascii="Lato" w:hAnsi="Lato" w:cs="Arial"/>
          <w:spacing w:val="4"/>
        </w:rPr>
        <w:br/>
      </w:r>
      <w:r w:rsidR="00CD67E7" w:rsidRPr="00CD67E7">
        <w:rPr>
          <w:rFonts w:ascii="Lato" w:hAnsi="Lato" w:cs="Arial"/>
          <w:spacing w:val="4"/>
        </w:rPr>
        <w:t xml:space="preserve">o ustaleniu lokalizacji strategicznej inwestycji w zakresie sieci przesyłowej jest wiążąca dla właściwych organów w zakresie wydawania decyzji o warunkach zabudowy </w:t>
      </w:r>
      <w:r w:rsidR="00B02890">
        <w:rPr>
          <w:rFonts w:ascii="Lato" w:hAnsi="Lato" w:cs="Arial"/>
          <w:spacing w:val="4"/>
        </w:rPr>
        <w:br/>
      </w:r>
      <w:r w:rsidR="00CD67E7" w:rsidRPr="00CD67E7">
        <w:rPr>
          <w:rFonts w:ascii="Lato" w:hAnsi="Lato" w:cs="Arial"/>
          <w:spacing w:val="4"/>
        </w:rPr>
        <w:t>i zagospodarowania terenu oraz pozwolenia na budowę.</w:t>
      </w:r>
      <w:r w:rsidR="000A7140">
        <w:rPr>
          <w:rFonts w:ascii="Lato" w:hAnsi="Lato" w:cs="Arial"/>
          <w:spacing w:val="4"/>
        </w:rPr>
        <w:t xml:space="preserve"> Powyższe przepisy, stosownie do art. 3b ustawy, znajdują zastosowaniu również w przypadku inwestycji towarzyszących. </w:t>
      </w:r>
    </w:p>
    <w:p w14:paraId="2072E38C" w14:textId="515084D4" w:rsidR="00D252AA" w:rsidRDefault="00D252AA" w:rsidP="00D252AA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CC3B6A">
        <w:rPr>
          <w:rFonts w:ascii="Lato" w:hAnsi="Lato" w:cs="Arial"/>
          <w:bCs/>
          <w:spacing w:val="4"/>
        </w:rPr>
        <w:lastRenderedPageBreak/>
        <w:t xml:space="preserve">Odnosząc się </w:t>
      </w:r>
      <w:r w:rsidR="008D3F4C">
        <w:rPr>
          <w:rFonts w:ascii="Lato" w:hAnsi="Lato" w:cs="Arial"/>
          <w:bCs/>
          <w:spacing w:val="4"/>
        </w:rPr>
        <w:t xml:space="preserve">zaś </w:t>
      </w:r>
      <w:r w:rsidRPr="00CC3B6A">
        <w:rPr>
          <w:rFonts w:ascii="Lato" w:hAnsi="Lato" w:cs="Arial"/>
          <w:bCs/>
          <w:spacing w:val="4"/>
        </w:rPr>
        <w:t>do zarzutu podniesionego w odwołaniu</w:t>
      </w:r>
      <w:r>
        <w:rPr>
          <w:rFonts w:ascii="Lato" w:hAnsi="Lato" w:cs="Arial"/>
          <w:bCs/>
          <w:spacing w:val="4"/>
        </w:rPr>
        <w:t xml:space="preserve"> skarżących</w:t>
      </w:r>
      <w:r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t xml:space="preserve">w kwestii sprzeczności </w:t>
      </w:r>
      <w:r w:rsidR="008D3F4C">
        <w:rPr>
          <w:rFonts w:ascii="Lato" w:hAnsi="Lato" w:cs="Arial"/>
          <w:bCs/>
          <w:spacing w:val="4"/>
        </w:rPr>
        <w:t xml:space="preserve">kontrolowanej decyzji </w:t>
      </w:r>
      <w:r>
        <w:rPr>
          <w:rFonts w:ascii="Lato" w:hAnsi="Lato" w:cs="Arial"/>
          <w:bCs/>
          <w:spacing w:val="4"/>
        </w:rPr>
        <w:t>z ustaleniami planu miejscowego</w:t>
      </w:r>
      <w:r w:rsidR="00AA1C26">
        <w:rPr>
          <w:rFonts w:ascii="Lato" w:hAnsi="Lato" w:cs="Arial"/>
          <w:bCs/>
          <w:spacing w:val="4"/>
        </w:rPr>
        <w:t>, dodatkowo</w:t>
      </w:r>
      <w:r w:rsidR="00AA1C26">
        <w:rPr>
          <w:rFonts w:ascii="Lato" w:hAnsi="Lato" w:cs="Arial"/>
          <w:spacing w:val="4"/>
        </w:rPr>
        <w:t xml:space="preserve"> p</w:t>
      </w:r>
      <w:r w:rsidR="008D3F4C">
        <w:rPr>
          <w:rFonts w:ascii="Lato" w:hAnsi="Lato" w:cs="Arial"/>
          <w:spacing w:val="4"/>
        </w:rPr>
        <w:t>rzytoczyć należy brzmienie art. 11 ust. 2 specustawy przesyłowej, zgodnie z którym d</w:t>
      </w:r>
      <w:r w:rsidRPr="009231CB">
        <w:rPr>
          <w:rFonts w:ascii="Lato" w:hAnsi="Lato" w:cs="Arial"/>
          <w:spacing w:val="4"/>
        </w:rPr>
        <w:t xml:space="preserve">ecyzja o ustaleniu lokalizacji </w:t>
      </w:r>
      <w:r>
        <w:rPr>
          <w:rFonts w:ascii="Lato" w:hAnsi="Lato" w:cs="Arial"/>
          <w:spacing w:val="4"/>
        </w:rPr>
        <w:t xml:space="preserve">inwestycji towarzyszącej </w:t>
      </w:r>
      <w:r w:rsidRPr="009231CB">
        <w:rPr>
          <w:rFonts w:ascii="Lato" w:hAnsi="Lato" w:cs="Arial"/>
          <w:spacing w:val="4"/>
        </w:rPr>
        <w:t xml:space="preserve">strategicznej inwestycji </w:t>
      </w:r>
      <w:r w:rsidR="00AA1C26">
        <w:rPr>
          <w:rFonts w:ascii="Lato" w:hAnsi="Lato" w:cs="Arial"/>
          <w:spacing w:val="4"/>
        </w:rPr>
        <w:br/>
      </w:r>
      <w:r w:rsidRPr="009231CB">
        <w:rPr>
          <w:rFonts w:ascii="Lato" w:hAnsi="Lato" w:cs="Arial"/>
          <w:spacing w:val="4"/>
        </w:rPr>
        <w:t xml:space="preserve">w zakresie sieci przesyłowej wiąże właściwe organy przy sporządzaniu studium uwarunkowań i kierunków zagospodarowania przestrzennego oraz miejscowego planu zagospodarowania przestrzennego. Wojewoda przekazuje niezwłocznie wydane decyzje o ustaleniu lokalizacji </w:t>
      </w:r>
      <w:r>
        <w:rPr>
          <w:rFonts w:ascii="Lato" w:hAnsi="Lato" w:cs="Arial"/>
          <w:spacing w:val="4"/>
        </w:rPr>
        <w:t xml:space="preserve">inwestycji towarzyszącej </w:t>
      </w:r>
      <w:r w:rsidRPr="009231CB">
        <w:rPr>
          <w:rFonts w:ascii="Lato" w:hAnsi="Lato" w:cs="Arial"/>
          <w:spacing w:val="4"/>
        </w:rPr>
        <w:t>strategicznej inwestycji w zakresie sieci przesyłowej właściwym wójtom (burmistrzom, prezydentom miasta).</w:t>
      </w:r>
      <w:r>
        <w:rPr>
          <w:rFonts w:ascii="Lato" w:hAnsi="Lato" w:cs="Arial"/>
          <w:spacing w:val="4"/>
        </w:rPr>
        <w:t xml:space="preserve"> Wobec powyższego, twierdzenia strony skarżącej w tym zakresie pozostają bez znaczenia dla przedmiotowej sprawy. </w:t>
      </w:r>
    </w:p>
    <w:p w14:paraId="729035AB" w14:textId="719691AC" w:rsidR="00D252AA" w:rsidRPr="00472978" w:rsidRDefault="00D252AA" w:rsidP="00D252AA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472978">
        <w:rPr>
          <w:rFonts w:ascii="Lato" w:hAnsi="Lato" w:cs="Arial"/>
          <w:spacing w:val="4"/>
        </w:rPr>
        <w:t xml:space="preserve">W konsekwencji decyzja o ustaleniu lokalizacji </w:t>
      </w:r>
      <w:r w:rsidR="008D3F4C">
        <w:rPr>
          <w:rFonts w:ascii="Lato" w:hAnsi="Lato" w:cs="Arial"/>
          <w:spacing w:val="4"/>
        </w:rPr>
        <w:t xml:space="preserve">inwestycji towarzyszącej </w:t>
      </w:r>
      <w:r w:rsidRPr="00472978">
        <w:rPr>
          <w:rFonts w:ascii="Lato" w:hAnsi="Lato" w:cs="Arial"/>
          <w:spacing w:val="4"/>
        </w:rPr>
        <w:t>strategicznej inwestycji w zakresie sieci przesyłowej wydawana jest w oderwaniu od istnienia lub treści planów</w:t>
      </w:r>
      <w:r>
        <w:rPr>
          <w:rFonts w:ascii="Lato" w:hAnsi="Lato" w:cs="Arial"/>
          <w:spacing w:val="4"/>
        </w:rPr>
        <w:t xml:space="preserve"> </w:t>
      </w:r>
      <w:r w:rsidRPr="00472978">
        <w:rPr>
          <w:rFonts w:ascii="Lato" w:hAnsi="Lato" w:cs="Arial"/>
          <w:spacing w:val="4"/>
        </w:rPr>
        <w:t xml:space="preserve">zagospodarowania przestrzennego oraz </w:t>
      </w:r>
      <w:r w:rsidRPr="00472978">
        <w:rPr>
          <w:rFonts w:ascii="Lato" w:hAnsi="Lato" w:cs="Arial"/>
          <w:bCs/>
          <w:spacing w:val="4"/>
        </w:rPr>
        <w:t xml:space="preserve">studium uwarunkowań </w:t>
      </w:r>
      <w:r w:rsidR="00B02890">
        <w:rPr>
          <w:rFonts w:ascii="Lato" w:hAnsi="Lato" w:cs="Arial"/>
          <w:bCs/>
          <w:spacing w:val="4"/>
        </w:rPr>
        <w:br/>
      </w:r>
      <w:r w:rsidRPr="00472978">
        <w:rPr>
          <w:rFonts w:ascii="Lato" w:hAnsi="Lato" w:cs="Arial"/>
          <w:bCs/>
          <w:spacing w:val="4"/>
        </w:rPr>
        <w:t>i kierunków zagospodarowania przestrzennego gminy</w:t>
      </w:r>
      <w:r w:rsidRPr="00472978">
        <w:rPr>
          <w:rFonts w:ascii="Lato" w:hAnsi="Lato" w:cs="Arial"/>
          <w:spacing w:val="4"/>
        </w:rPr>
        <w:t xml:space="preserve">. Takie rozwiązanie pozwala na szybsze przygotowanie realizacji inwestycji, które wynika z konieczności zapewnienia bezpieczeństwa energetycznego państwa oraz wykorzystania środków pochodzących z </w:t>
      </w:r>
      <w:r w:rsidR="00AA6100">
        <w:rPr>
          <w:rFonts w:ascii="Lato" w:hAnsi="Lato" w:cs="Arial"/>
          <w:spacing w:val="4"/>
        </w:rPr>
        <w:t> </w:t>
      </w:r>
      <w:r w:rsidRPr="00472978">
        <w:rPr>
          <w:rFonts w:ascii="Lato" w:hAnsi="Lato" w:cs="Arial"/>
          <w:spacing w:val="4"/>
        </w:rPr>
        <w:t>budżetu Unii Europejskiej, a tym samym uzasadnia pominięcie etapu planowania przestrzennego (por. ww. wyrok Wojewódzkiego Sądu Administracyjnego w Warszawie z dnia 10 października 2018 r., sygn. akt IV SA/</w:t>
      </w:r>
      <w:proofErr w:type="spellStart"/>
      <w:r w:rsidRPr="00472978">
        <w:rPr>
          <w:rFonts w:ascii="Lato" w:hAnsi="Lato" w:cs="Arial"/>
          <w:spacing w:val="4"/>
        </w:rPr>
        <w:t>Wa</w:t>
      </w:r>
      <w:proofErr w:type="spellEnd"/>
      <w:r w:rsidRPr="00472978">
        <w:rPr>
          <w:rFonts w:ascii="Lato" w:hAnsi="Lato" w:cs="Arial"/>
          <w:spacing w:val="4"/>
        </w:rPr>
        <w:t xml:space="preserve"> 2480/17).</w:t>
      </w:r>
    </w:p>
    <w:p w14:paraId="5F46E758" w14:textId="1D182483" w:rsidR="00A76580" w:rsidRPr="006D6C24" w:rsidRDefault="00D252AA" w:rsidP="00566B8D">
      <w:pPr>
        <w:spacing w:after="240" w:line="240" w:lineRule="exact"/>
        <w:jc w:val="both"/>
        <w:rPr>
          <w:rFonts w:ascii="Lato" w:hAnsi="Lato" w:cs="Arial"/>
          <w:b/>
          <w:bCs/>
          <w:spacing w:val="4"/>
        </w:rPr>
      </w:pPr>
      <w:r w:rsidRPr="00472978">
        <w:rPr>
          <w:rFonts w:ascii="Lato" w:hAnsi="Lato" w:cs="Arial"/>
          <w:spacing w:val="4"/>
        </w:rPr>
        <w:t xml:space="preserve">Zgodnie z utrwalonym w orzecznictwie </w:t>
      </w:r>
      <w:proofErr w:type="spellStart"/>
      <w:r w:rsidRPr="00472978">
        <w:rPr>
          <w:rFonts w:ascii="Lato" w:hAnsi="Lato" w:cs="Arial"/>
          <w:spacing w:val="4"/>
        </w:rPr>
        <w:t>sądowoadministracyjnym</w:t>
      </w:r>
      <w:proofErr w:type="spellEnd"/>
      <w:r w:rsidRPr="00472978">
        <w:rPr>
          <w:rFonts w:ascii="Lato" w:hAnsi="Lato" w:cs="Arial"/>
          <w:spacing w:val="4"/>
        </w:rPr>
        <w:t xml:space="preserve"> poglądem (wyrok Naczelnego Sądu Administracyjnego w Warszawie z dnia 27 marca 2012 r., sygn. akt </w:t>
      </w:r>
      <w:r>
        <w:rPr>
          <w:rFonts w:ascii="Lato" w:hAnsi="Lato" w:cs="Arial"/>
          <w:spacing w:val="4"/>
        </w:rPr>
        <w:br/>
      </w:r>
      <w:r w:rsidRPr="00472978">
        <w:rPr>
          <w:rFonts w:ascii="Lato" w:hAnsi="Lato" w:cs="Arial"/>
          <w:spacing w:val="4"/>
        </w:rPr>
        <w:t xml:space="preserve">II OSK 208/12, LEX nr 1251906 oraz wyrok Wojewódzkiego Sądu Administracyjnego </w:t>
      </w:r>
      <w:r>
        <w:rPr>
          <w:rFonts w:ascii="Lato" w:hAnsi="Lato" w:cs="Arial"/>
          <w:spacing w:val="4"/>
        </w:rPr>
        <w:br/>
      </w:r>
      <w:r w:rsidRPr="00472978">
        <w:rPr>
          <w:rFonts w:ascii="Lato" w:hAnsi="Lato" w:cs="Arial"/>
          <w:spacing w:val="4"/>
        </w:rPr>
        <w:t>w Poznaniu z dnia 11 maja 2011 r., sygn. akt IV SA/Po 1093/10, LEX nr 795747), dotyczącym wprawdzie</w:t>
      </w:r>
      <w:r w:rsidR="006D6C24">
        <w:rPr>
          <w:rFonts w:ascii="Lato" w:hAnsi="Lato" w:cs="Arial"/>
          <w:spacing w:val="4"/>
        </w:rPr>
        <w:t xml:space="preserve"> </w:t>
      </w:r>
      <w:r w:rsidR="00F9681B">
        <w:rPr>
          <w:rFonts w:ascii="Lato" w:hAnsi="Lato" w:cs="Arial"/>
          <w:spacing w:val="4"/>
        </w:rPr>
        <w:t>specustawy drogowej,</w:t>
      </w:r>
      <w:r w:rsidRPr="00472978">
        <w:rPr>
          <w:rFonts w:ascii="Lato" w:hAnsi="Lato" w:cs="Arial"/>
          <w:spacing w:val="4"/>
        </w:rPr>
        <w:t xml:space="preserve"> lecz aktualnym w zakresie postępowań prowadzonych w trybie </w:t>
      </w:r>
      <w:r w:rsidRPr="006D6C24">
        <w:rPr>
          <w:rFonts w:ascii="Lato" w:hAnsi="Lato" w:cs="Arial"/>
          <w:iCs/>
          <w:spacing w:val="4"/>
        </w:rPr>
        <w:t>specustawy przesyłowej</w:t>
      </w:r>
      <w:r w:rsidRPr="00472978">
        <w:rPr>
          <w:rFonts w:ascii="Lato" w:hAnsi="Lato" w:cs="Arial"/>
          <w:spacing w:val="4"/>
        </w:rPr>
        <w:t xml:space="preserve">, jeżeli </w:t>
      </w:r>
      <w:r w:rsidRPr="006D6C24">
        <w:rPr>
          <w:rFonts w:ascii="Lato" w:hAnsi="Lato" w:cs="Arial"/>
          <w:iCs/>
          <w:spacing w:val="4"/>
        </w:rPr>
        <w:t>inwestor</w:t>
      </w:r>
      <w:r w:rsidRPr="00472978">
        <w:rPr>
          <w:rFonts w:ascii="Lato" w:hAnsi="Lato" w:cs="Arial"/>
          <w:spacing w:val="4"/>
        </w:rPr>
        <w:t xml:space="preserve"> występuje z wnioskiem o wydanie decyzji w trybie </w:t>
      </w:r>
      <w:r w:rsidRPr="006D6C24">
        <w:rPr>
          <w:rFonts w:ascii="Lato" w:hAnsi="Lato" w:cs="Arial"/>
          <w:iCs/>
          <w:spacing w:val="4"/>
        </w:rPr>
        <w:t>specustawy przesyłowej</w:t>
      </w:r>
      <w:r w:rsidRPr="00472978">
        <w:rPr>
          <w:rFonts w:ascii="Lato" w:hAnsi="Lato" w:cs="Arial"/>
          <w:spacing w:val="4"/>
        </w:rPr>
        <w:t xml:space="preserve">, to organy właściwe w sprawie wydawania decyzji o ustaleniu lokalizacji inwestycji w zakresie sieci przesyłowych nie dokonują oceny zamierzenia inwestycyjnego przez pryzmat przepisów </w:t>
      </w:r>
      <w:r w:rsidRPr="006D6C24">
        <w:rPr>
          <w:rFonts w:ascii="Lato" w:hAnsi="Lato" w:cs="Arial"/>
          <w:iCs/>
          <w:spacing w:val="4"/>
        </w:rPr>
        <w:t xml:space="preserve">ustawy o </w:t>
      </w:r>
      <w:r w:rsidR="00AA6100">
        <w:rPr>
          <w:rFonts w:ascii="Lato" w:hAnsi="Lato" w:cs="Arial"/>
          <w:iCs/>
          <w:spacing w:val="4"/>
        </w:rPr>
        <w:t> </w:t>
      </w:r>
      <w:r w:rsidRPr="006D6C24">
        <w:rPr>
          <w:rFonts w:ascii="Lato" w:hAnsi="Lato" w:cs="Arial"/>
          <w:iCs/>
          <w:spacing w:val="4"/>
        </w:rPr>
        <w:t>planowaniu i zagospodarowaniu przestrzennym</w:t>
      </w:r>
      <w:r w:rsidRPr="00472978">
        <w:rPr>
          <w:rFonts w:ascii="Lato" w:hAnsi="Lato" w:cs="Arial"/>
          <w:spacing w:val="4"/>
        </w:rPr>
        <w:t xml:space="preserve">, w tym nie ustalają, czy na danym terenie obowiązuje plan miejscowy i nie badają zgodności planowanej inwestycji energetycznej z ustaleniami obowiązującego planu zagospodarowania przestrzennego, czy </w:t>
      </w:r>
      <w:r w:rsidRPr="00472978">
        <w:rPr>
          <w:rFonts w:ascii="Lato" w:hAnsi="Lato" w:cs="Arial"/>
          <w:bCs/>
          <w:spacing w:val="4"/>
        </w:rPr>
        <w:t>studium uwarunkowań i kierunków zagospodarowania przestrzennego gminy.</w:t>
      </w:r>
    </w:p>
    <w:p w14:paraId="50E8CEF7" w14:textId="548523B5" w:rsidR="00EB6405" w:rsidRDefault="00DF674A" w:rsidP="00566B8D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Nie mają racji strony skarżące, twierdząc, iż dla przedmiotowej inwestycji brak jest</w:t>
      </w:r>
      <w:r w:rsidR="00EB6405">
        <w:rPr>
          <w:rFonts w:ascii="Lato" w:hAnsi="Lato" w:cs="Arial"/>
          <w:spacing w:val="4"/>
        </w:rPr>
        <w:t xml:space="preserve"> </w:t>
      </w:r>
      <w:r w:rsidR="00D91CE2">
        <w:rPr>
          <w:rFonts w:ascii="Lato" w:hAnsi="Lato" w:cs="Arial"/>
          <w:spacing w:val="4"/>
        </w:rPr>
        <w:t>decyzji</w:t>
      </w:r>
      <w:r w:rsidR="00626178">
        <w:rPr>
          <w:rFonts w:ascii="Lato" w:hAnsi="Lato" w:cs="Arial"/>
          <w:spacing w:val="4"/>
        </w:rPr>
        <w:t xml:space="preserve"> </w:t>
      </w:r>
      <w:r w:rsidR="00D91CE2">
        <w:rPr>
          <w:rFonts w:ascii="Lato" w:hAnsi="Lato" w:cs="Arial"/>
          <w:spacing w:val="4"/>
        </w:rPr>
        <w:t xml:space="preserve">o </w:t>
      </w:r>
      <w:r w:rsidR="00650C97">
        <w:rPr>
          <w:rFonts w:ascii="Lato" w:hAnsi="Lato" w:cs="Arial"/>
          <w:spacing w:val="4"/>
        </w:rPr>
        <w:t> </w:t>
      </w:r>
      <w:r w:rsidR="00D91CE2">
        <w:rPr>
          <w:rFonts w:ascii="Lato" w:hAnsi="Lato" w:cs="Arial"/>
          <w:spacing w:val="4"/>
        </w:rPr>
        <w:t>środowiskowych uwarunkowaniach dla obszar</w:t>
      </w:r>
      <w:r>
        <w:rPr>
          <w:rFonts w:ascii="Lato" w:hAnsi="Lato" w:cs="Arial"/>
          <w:spacing w:val="4"/>
        </w:rPr>
        <w:t>u</w:t>
      </w:r>
      <w:r w:rsidR="00D91CE2">
        <w:rPr>
          <w:rFonts w:ascii="Lato" w:hAnsi="Lato" w:cs="Arial"/>
          <w:spacing w:val="4"/>
        </w:rPr>
        <w:t xml:space="preserve"> gminy Lubaczów</w:t>
      </w:r>
      <w:r w:rsidR="00EB6405">
        <w:rPr>
          <w:rFonts w:ascii="Lato" w:hAnsi="Lato" w:cs="Arial"/>
          <w:spacing w:val="4"/>
        </w:rPr>
        <w:t>.</w:t>
      </w:r>
    </w:p>
    <w:p w14:paraId="050AD74A" w14:textId="4ED36A34" w:rsidR="00781C52" w:rsidRDefault="00EB6405" w:rsidP="00566B8D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Odpowiadając na wyżej postawiony zarzut, należy podkreślić, że d</w:t>
      </w:r>
      <w:r w:rsidR="00D91CE2">
        <w:rPr>
          <w:rFonts w:ascii="Lato" w:hAnsi="Lato" w:cs="Arial"/>
          <w:spacing w:val="4"/>
        </w:rPr>
        <w:t xml:space="preserve">ecyzja o </w:t>
      </w:r>
      <w:r w:rsidR="00626178">
        <w:rPr>
          <w:rFonts w:ascii="Lato" w:hAnsi="Lato" w:cs="Arial"/>
          <w:spacing w:val="4"/>
        </w:rPr>
        <w:t> </w:t>
      </w:r>
      <w:r w:rsidR="00D91CE2">
        <w:rPr>
          <w:rFonts w:ascii="Lato" w:hAnsi="Lato" w:cs="Arial"/>
          <w:spacing w:val="4"/>
        </w:rPr>
        <w:t>uwarunkowaniach środowiskowych została wydana przez Burmistrza Miasta i</w:t>
      </w:r>
      <w:r w:rsidR="00650C97">
        <w:rPr>
          <w:rFonts w:ascii="Lato" w:hAnsi="Lato" w:cs="Arial"/>
          <w:spacing w:val="4"/>
        </w:rPr>
        <w:t> </w:t>
      </w:r>
      <w:r w:rsidR="00D91CE2">
        <w:rPr>
          <w:rFonts w:ascii="Lato" w:hAnsi="Lato" w:cs="Arial"/>
          <w:spacing w:val="4"/>
        </w:rPr>
        <w:t xml:space="preserve">Gminy Cieszanów dla </w:t>
      </w:r>
      <w:r w:rsidR="006A534B">
        <w:rPr>
          <w:rFonts w:ascii="Lato" w:hAnsi="Lato" w:cs="Arial"/>
          <w:spacing w:val="4"/>
        </w:rPr>
        <w:t xml:space="preserve">inwestycji pn. „Przebudowa linii napowietrznej 110 </w:t>
      </w:r>
      <w:proofErr w:type="spellStart"/>
      <w:r w:rsidR="006A534B">
        <w:rPr>
          <w:rFonts w:ascii="Lato" w:hAnsi="Lato" w:cs="Arial"/>
          <w:spacing w:val="4"/>
        </w:rPr>
        <w:t>kV</w:t>
      </w:r>
      <w:proofErr w:type="spellEnd"/>
      <w:r w:rsidR="006A534B">
        <w:rPr>
          <w:rFonts w:ascii="Lato" w:hAnsi="Lato" w:cs="Arial"/>
          <w:spacing w:val="4"/>
        </w:rPr>
        <w:t xml:space="preserve"> Tomaszów-Lubaczów”</w:t>
      </w:r>
      <w:r w:rsidR="00D91CE2">
        <w:rPr>
          <w:rFonts w:ascii="Lato" w:hAnsi="Lato" w:cs="Arial"/>
          <w:spacing w:val="4"/>
        </w:rPr>
        <w:t xml:space="preserve"> i obejmuje teren ośmiu gmin, w tym również teren gminy Lubaczów</w:t>
      </w:r>
      <w:r w:rsidR="006A534B">
        <w:rPr>
          <w:rFonts w:ascii="Lato" w:hAnsi="Lato" w:cs="Arial"/>
          <w:spacing w:val="4"/>
        </w:rPr>
        <w:t xml:space="preserve"> – odcinek ok. 4,7 km</w:t>
      </w:r>
      <w:r w:rsidR="00D91CE2">
        <w:rPr>
          <w:rFonts w:ascii="Lato" w:hAnsi="Lato" w:cs="Arial"/>
          <w:spacing w:val="4"/>
        </w:rPr>
        <w:t>.</w:t>
      </w:r>
      <w:r>
        <w:rPr>
          <w:rFonts w:ascii="Lato" w:hAnsi="Lato" w:cs="Arial"/>
          <w:spacing w:val="4"/>
        </w:rPr>
        <w:t xml:space="preserve"> </w:t>
      </w:r>
    </w:p>
    <w:p w14:paraId="48DFA1D5" w14:textId="2A16D908" w:rsidR="00D43939" w:rsidRPr="00D43939" w:rsidRDefault="0016578F" w:rsidP="00566B8D">
      <w:pPr>
        <w:spacing w:after="240" w:line="240" w:lineRule="exact"/>
        <w:jc w:val="both"/>
        <w:rPr>
          <w:rFonts w:ascii="Lato" w:hAnsi="Lato" w:cs="Arial"/>
          <w:spacing w:val="4"/>
          <w:sz w:val="24"/>
          <w:szCs w:val="24"/>
        </w:rPr>
      </w:pPr>
      <w:r>
        <w:rPr>
          <w:rFonts w:ascii="Lato" w:hAnsi="Lato" w:cs="Arial"/>
          <w:spacing w:val="4"/>
        </w:rPr>
        <w:t>W kontekście zarzucanego braku konsultacji społecznych w ramach postępowania środowiskowego po pierwsze podkreślić trzeba, że powyższa argumentacja dotyczy odrębnego postępowania prowadzonego przez inny organ administracyjny. Po drugie, w</w:t>
      </w:r>
      <w:r w:rsidR="00D43939" w:rsidRPr="00D43939">
        <w:rPr>
          <w:rFonts w:ascii="Lato" w:hAnsi="Lato" w:cs="Arial"/>
          <w:spacing w:val="4"/>
        </w:rPr>
        <w:t xml:space="preserve">yjaśnienia </w:t>
      </w:r>
      <w:r w:rsidR="002F04A2">
        <w:rPr>
          <w:rFonts w:ascii="Lato" w:hAnsi="Lato" w:cs="Arial"/>
          <w:spacing w:val="4"/>
        </w:rPr>
        <w:t xml:space="preserve">dodatkowo </w:t>
      </w:r>
      <w:r w:rsidR="00D43939" w:rsidRPr="00D43939">
        <w:rPr>
          <w:rFonts w:ascii="Lato" w:hAnsi="Lato" w:cs="Arial"/>
          <w:spacing w:val="4"/>
        </w:rPr>
        <w:t>wymaga, że –</w:t>
      </w:r>
      <w:r w:rsidR="00D43939" w:rsidRPr="00D43939">
        <w:rPr>
          <w:rFonts w:ascii="Lato" w:eastAsia="NSimSun" w:hAnsi="Lato" w:cs="Arial"/>
          <w:color w:val="000000"/>
          <w:spacing w:val="4"/>
          <w:kern w:val="3"/>
        </w:rPr>
        <w:t xml:space="preserve"> jak wskazano na stronie 35 decyzji </w:t>
      </w:r>
      <w:r w:rsidR="00B02890">
        <w:rPr>
          <w:rFonts w:ascii="Lato" w:eastAsia="NSimSun" w:hAnsi="Lato" w:cs="Arial"/>
          <w:color w:val="000000"/>
          <w:spacing w:val="4"/>
          <w:kern w:val="3"/>
        </w:rPr>
        <w:br/>
      </w:r>
      <w:r w:rsidR="002F04A2">
        <w:rPr>
          <w:rFonts w:ascii="Lato" w:eastAsia="NSimSun" w:hAnsi="Lato" w:cs="Arial"/>
          <w:color w:val="000000"/>
          <w:spacing w:val="4"/>
          <w:kern w:val="3"/>
        </w:rPr>
        <w:t>o środowiskowych uwarunkowaniach</w:t>
      </w:r>
      <w:r w:rsidR="002F04A2" w:rsidRPr="00D43939">
        <w:rPr>
          <w:rFonts w:ascii="Lato" w:eastAsia="NSimSun" w:hAnsi="Lato" w:cs="Arial"/>
          <w:color w:val="000000"/>
          <w:spacing w:val="4"/>
          <w:kern w:val="3"/>
        </w:rPr>
        <w:t xml:space="preserve"> </w:t>
      </w:r>
      <w:r w:rsidR="00D43939" w:rsidRPr="00D43939">
        <w:rPr>
          <w:rFonts w:ascii="Lato" w:eastAsia="NSimSun" w:hAnsi="Lato" w:cs="Arial"/>
          <w:i/>
          <w:color w:val="000000"/>
          <w:spacing w:val="4"/>
          <w:kern w:val="3"/>
        </w:rPr>
        <w:t xml:space="preserve">– </w:t>
      </w:r>
      <w:r w:rsidR="00D43939" w:rsidRPr="00D43939">
        <w:rPr>
          <w:rFonts w:ascii="Lato" w:eastAsia="NSimSun" w:hAnsi="Lato" w:cs="Arial"/>
          <w:iCs/>
          <w:color w:val="000000"/>
          <w:spacing w:val="4"/>
          <w:kern w:val="3"/>
        </w:rPr>
        <w:t>organ prowadzący tj. Burmistrz Miasta i Gminy Cieszanów informował o wszelkich czynnościach podejmowanych w trakcie postępowania administracyjnego.</w:t>
      </w:r>
      <w:r w:rsidR="002C2212">
        <w:rPr>
          <w:rFonts w:ascii="Lato" w:eastAsia="NSimSun" w:hAnsi="Lato" w:cs="Arial"/>
          <w:color w:val="000000"/>
          <w:spacing w:val="4"/>
          <w:kern w:val="3"/>
        </w:rPr>
        <w:t xml:space="preserve"> </w:t>
      </w:r>
      <w:r w:rsidR="00D43939" w:rsidRPr="00D43939">
        <w:rPr>
          <w:rFonts w:ascii="Lato" w:eastAsia="NSimSun" w:hAnsi="Lato" w:cs="Arial"/>
          <w:color w:val="000000"/>
          <w:spacing w:val="4"/>
          <w:kern w:val="3"/>
        </w:rPr>
        <w:t xml:space="preserve">Obwieszczenia informujące społeczeństwo </w:t>
      </w:r>
      <w:r w:rsidR="00B02890">
        <w:rPr>
          <w:rFonts w:ascii="Lato" w:eastAsia="NSimSun" w:hAnsi="Lato" w:cs="Arial"/>
          <w:color w:val="000000"/>
          <w:spacing w:val="4"/>
          <w:kern w:val="3"/>
        </w:rPr>
        <w:br/>
      </w:r>
      <w:r w:rsidR="00D43939" w:rsidRPr="00D43939">
        <w:rPr>
          <w:rFonts w:ascii="Lato" w:eastAsia="NSimSun" w:hAnsi="Lato" w:cs="Arial"/>
          <w:color w:val="000000"/>
          <w:spacing w:val="4"/>
          <w:kern w:val="3"/>
        </w:rPr>
        <w:t xml:space="preserve">o </w:t>
      </w:r>
      <w:r w:rsidR="002F04A2">
        <w:rPr>
          <w:rFonts w:ascii="Lato" w:eastAsia="NSimSun" w:hAnsi="Lato" w:cs="Arial"/>
          <w:color w:val="000000"/>
          <w:spacing w:val="4"/>
          <w:kern w:val="3"/>
        </w:rPr>
        <w:t>wszczęciu postępowania w sprawie wydania</w:t>
      </w:r>
      <w:r w:rsidR="00D43939" w:rsidRPr="00D43939">
        <w:rPr>
          <w:rFonts w:ascii="Lato" w:eastAsia="NSimSun" w:hAnsi="Lato" w:cs="Arial"/>
          <w:color w:val="000000"/>
          <w:spacing w:val="4"/>
          <w:kern w:val="3"/>
        </w:rPr>
        <w:t xml:space="preserve"> decyzji o </w:t>
      </w:r>
      <w:r w:rsidR="002C2212">
        <w:rPr>
          <w:rFonts w:ascii="Lato" w:eastAsia="NSimSun" w:hAnsi="Lato" w:cs="Arial"/>
          <w:color w:val="000000"/>
          <w:spacing w:val="4"/>
          <w:kern w:val="3"/>
        </w:rPr>
        <w:t> </w:t>
      </w:r>
      <w:r w:rsidR="00D43939" w:rsidRPr="00D43939">
        <w:rPr>
          <w:rFonts w:ascii="Lato" w:eastAsia="NSimSun" w:hAnsi="Lato" w:cs="Arial"/>
          <w:color w:val="000000"/>
          <w:spacing w:val="4"/>
          <w:kern w:val="3"/>
        </w:rPr>
        <w:t xml:space="preserve">środowiskowych uwarunkowaniach planowanego przedsięwzięcia oraz o możliwości składania uwag </w:t>
      </w:r>
      <w:r w:rsidR="00B02890">
        <w:rPr>
          <w:rFonts w:ascii="Lato" w:eastAsia="NSimSun" w:hAnsi="Lato" w:cs="Arial"/>
          <w:color w:val="000000"/>
          <w:spacing w:val="4"/>
          <w:kern w:val="3"/>
        </w:rPr>
        <w:br/>
      </w:r>
      <w:r w:rsidR="00D43939" w:rsidRPr="00D43939">
        <w:rPr>
          <w:rFonts w:ascii="Lato" w:eastAsia="NSimSun" w:hAnsi="Lato" w:cs="Arial"/>
          <w:color w:val="000000"/>
          <w:spacing w:val="4"/>
          <w:kern w:val="3"/>
        </w:rPr>
        <w:lastRenderedPageBreak/>
        <w:t>i wniosków, został</w:t>
      </w:r>
      <w:r w:rsidR="009B22C0">
        <w:rPr>
          <w:rFonts w:ascii="Lato" w:eastAsia="NSimSun" w:hAnsi="Lato" w:cs="Arial"/>
          <w:color w:val="000000"/>
          <w:spacing w:val="4"/>
          <w:kern w:val="3"/>
        </w:rPr>
        <w:t>y</w:t>
      </w:r>
      <w:r w:rsidR="00D43939" w:rsidRPr="00D43939">
        <w:rPr>
          <w:rFonts w:ascii="Lato" w:eastAsia="NSimSun" w:hAnsi="Lato" w:cs="Arial"/>
          <w:color w:val="000000"/>
          <w:spacing w:val="4"/>
          <w:kern w:val="3"/>
        </w:rPr>
        <w:t xml:space="preserve"> zamieszczone na tablicach ogłoszeń </w:t>
      </w:r>
      <w:r w:rsidR="002F04A2" w:rsidRPr="00D43939">
        <w:rPr>
          <w:rFonts w:ascii="Lato" w:eastAsia="NSimSun" w:hAnsi="Lato" w:cs="Arial"/>
          <w:color w:val="000000"/>
          <w:spacing w:val="4"/>
          <w:kern w:val="3"/>
        </w:rPr>
        <w:t xml:space="preserve">oraz Biuletynie Informacji Publicznej </w:t>
      </w:r>
      <w:r w:rsidR="002F04A2">
        <w:rPr>
          <w:rFonts w:ascii="Lato" w:eastAsia="NSimSun" w:hAnsi="Lato" w:cs="Arial"/>
          <w:color w:val="000000"/>
          <w:spacing w:val="4"/>
          <w:kern w:val="3"/>
        </w:rPr>
        <w:t xml:space="preserve">wszystkich urzędów gmin objętych przedmiotową inwestycją, w tym </w:t>
      </w:r>
      <w:r w:rsidR="00D43939" w:rsidRPr="00D43939">
        <w:rPr>
          <w:rFonts w:ascii="Lato" w:eastAsia="NSimSun" w:hAnsi="Lato" w:cs="Arial"/>
          <w:color w:val="000000"/>
          <w:spacing w:val="4"/>
          <w:kern w:val="3"/>
        </w:rPr>
        <w:t>Urzęd</w:t>
      </w:r>
      <w:r w:rsidR="002F04A2">
        <w:rPr>
          <w:rFonts w:ascii="Lato" w:eastAsia="NSimSun" w:hAnsi="Lato" w:cs="Arial"/>
          <w:color w:val="000000"/>
          <w:spacing w:val="4"/>
          <w:kern w:val="3"/>
        </w:rPr>
        <w:t xml:space="preserve">u </w:t>
      </w:r>
      <w:r w:rsidR="00D43939" w:rsidRPr="00D43939">
        <w:rPr>
          <w:rFonts w:ascii="Lato" w:eastAsia="NSimSun" w:hAnsi="Lato" w:cs="Arial"/>
          <w:color w:val="000000"/>
          <w:spacing w:val="4"/>
          <w:kern w:val="3"/>
        </w:rPr>
        <w:t xml:space="preserve"> Gminy w Lubaczowie. W postępowaniu z udziałem społeczeństwa nie zgłoszono żadnych uwag i wniosków.</w:t>
      </w:r>
    </w:p>
    <w:p w14:paraId="1E42B256" w14:textId="39E54C52" w:rsidR="000223D4" w:rsidRDefault="000223D4" w:rsidP="00EB6405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>Na aprobatę nie zasługuj</w:t>
      </w:r>
      <w:r w:rsidR="0015710A">
        <w:rPr>
          <w:rFonts w:ascii="Lato" w:hAnsi="Lato" w:cs="Arial"/>
          <w:bCs/>
          <w:spacing w:val="4"/>
        </w:rPr>
        <w:t>e również argumentacja skarżących dotycząca:</w:t>
      </w:r>
    </w:p>
    <w:p w14:paraId="351DD5D9" w14:textId="364B1017" w:rsidR="00EB6405" w:rsidRPr="0072729E" w:rsidRDefault="0015710A" w:rsidP="00EB6405">
      <w:pPr>
        <w:pStyle w:val="Akapitzlist"/>
        <w:numPr>
          <w:ilvl w:val="0"/>
          <w:numId w:val="45"/>
        </w:numPr>
        <w:spacing w:after="240" w:line="240" w:lineRule="exact"/>
        <w:jc w:val="both"/>
        <w:rPr>
          <w:rFonts w:ascii="Lato" w:hAnsi="Lato" w:cs="Arial"/>
          <w:bCs/>
          <w:spacing w:val="4"/>
          <w:sz w:val="22"/>
          <w:szCs w:val="22"/>
        </w:rPr>
      </w:pPr>
      <w:r>
        <w:rPr>
          <w:rFonts w:ascii="Lato" w:hAnsi="Lato" w:cs="Arial"/>
          <w:bCs/>
          <w:spacing w:val="4"/>
          <w:sz w:val="22"/>
          <w:szCs w:val="22"/>
        </w:rPr>
        <w:t xml:space="preserve">bezpodstawnego </w:t>
      </w:r>
      <w:r w:rsidR="00EB6405">
        <w:rPr>
          <w:rFonts w:ascii="Lato" w:hAnsi="Lato" w:cs="Arial"/>
          <w:bCs/>
          <w:spacing w:val="4"/>
          <w:sz w:val="22"/>
          <w:szCs w:val="22"/>
        </w:rPr>
        <w:t>d</w:t>
      </w:r>
      <w:r w:rsidR="00EB6405" w:rsidRPr="0072729E">
        <w:rPr>
          <w:rFonts w:ascii="Lato" w:hAnsi="Lato" w:cs="Arial"/>
          <w:bCs/>
          <w:spacing w:val="4"/>
          <w:sz w:val="22"/>
          <w:szCs w:val="22"/>
        </w:rPr>
        <w:t>opuszczeni</w:t>
      </w:r>
      <w:r>
        <w:rPr>
          <w:rFonts w:ascii="Lato" w:hAnsi="Lato" w:cs="Arial"/>
          <w:bCs/>
          <w:spacing w:val="4"/>
          <w:sz w:val="22"/>
          <w:szCs w:val="22"/>
        </w:rPr>
        <w:t>a</w:t>
      </w:r>
      <w:r w:rsidR="00EB6405" w:rsidRPr="0072729E">
        <w:rPr>
          <w:rFonts w:ascii="Lato" w:hAnsi="Lato" w:cs="Arial"/>
          <w:bCs/>
          <w:spacing w:val="4"/>
          <w:sz w:val="22"/>
          <w:szCs w:val="22"/>
        </w:rPr>
        <w:t xml:space="preserve"> zawieszenia przewodów z liniami światłowodowymi</w:t>
      </w:r>
      <w:r>
        <w:rPr>
          <w:rFonts w:ascii="Lato" w:hAnsi="Lato" w:cs="Arial"/>
          <w:bCs/>
          <w:spacing w:val="4"/>
          <w:sz w:val="22"/>
          <w:szCs w:val="22"/>
        </w:rPr>
        <w:t xml:space="preserve"> bez określenia oddziaływania na środowisko oraz zdrowie</w:t>
      </w:r>
      <w:r w:rsidR="00EB6405" w:rsidRPr="0072729E">
        <w:rPr>
          <w:rFonts w:ascii="Lato" w:hAnsi="Lato" w:cs="Arial"/>
          <w:bCs/>
          <w:spacing w:val="4"/>
          <w:sz w:val="22"/>
          <w:szCs w:val="22"/>
        </w:rPr>
        <w:t>,</w:t>
      </w:r>
    </w:p>
    <w:p w14:paraId="54A1ABD0" w14:textId="61A34A30" w:rsidR="00EB6405" w:rsidRPr="0072729E" w:rsidRDefault="0015710A" w:rsidP="00EB6405">
      <w:pPr>
        <w:pStyle w:val="Akapitzlist"/>
        <w:numPr>
          <w:ilvl w:val="0"/>
          <w:numId w:val="45"/>
        </w:numPr>
        <w:spacing w:after="240" w:line="240" w:lineRule="exact"/>
        <w:jc w:val="both"/>
        <w:rPr>
          <w:rFonts w:ascii="Lato" w:hAnsi="Lato" w:cs="Arial"/>
          <w:bCs/>
          <w:spacing w:val="4"/>
          <w:sz w:val="22"/>
          <w:szCs w:val="22"/>
        </w:rPr>
      </w:pPr>
      <w:r>
        <w:rPr>
          <w:rFonts w:ascii="Lato" w:hAnsi="Lato" w:cs="Arial"/>
          <w:bCs/>
          <w:spacing w:val="4"/>
          <w:sz w:val="22"/>
          <w:szCs w:val="22"/>
        </w:rPr>
        <w:t xml:space="preserve">niejednoznacznego i sprzecznego </w:t>
      </w:r>
      <w:r w:rsidR="00EB6405">
        <w:rPr>
          <w:rFonts w:ascii="Lato" w:hAnsi="Lato" w:cs="Arial"/>
          <w:bCs/>
          <w:spacing w:val="4"/>
          <w:sz w:val="22"/>
          <w:szCs w:val="22"/>
        </w:rPr>
        <w:t>o</w:t>
      </w:r>
      <w:r w:rsidR="00EB6405" w:rsidRPr="0072729E">
        <w:rPr>
          <w:rFonts w:ascii="Lato" w:hAnsi="Lato" w:cs="Arial"/>
          <w:bCs/>
          <w:spacing w:val="4"/>
          <w:sz w:val="22"/>
          <w:szCs w:val="22"/>
        </w:rPr>
        <w:t>kreśleni</w:t>
      </w:r>
      <w:r>
        <w:rPr>
          <w:rFonts w:ascii="Lato" w:hAnsi="Lato" w:cs="Arial"/>
          <w:bCs/>
          <w:spacing w:val="4"/>
          <w:sz w:val="22"/>
          <w:szCs w:val="22"/>
        </w:rPr>
        <w:t>a</w:t>
      </w:r>
      <w:r w:rsidR="00EB6405" w:rsidRPr="0072729E">
        <w:rPr>
          <w:rFonts w:ascii="Lato" w:hAnsi="Lato" w:cs="Arial"/>
          <w:bCs/>
          <w:spacing w:val="4"/>
          <w:sz w:val="22"/>
          <w:szCs w:val="22"/>
        </w:rPr>
        <w:t xml:space="preserve"> wartości prądu,</w:t>
      </w:r>
    </w:p>
    <w:p w14:paraId="59493D6D" w14:textId="21B9A9E4" w:rsidR="00EB6405" w:rsidRDefault="00EB6405" w:rsidP="00EB6405">
      <w:pPr>
        <w:pStyle w:val="Akapitzlist"/>
        <w:numPr>
          <w:ilvl w:val="0"/>
          <w:numId w:val="45"/>
        </w:numPr>
        <w:spacing w:after="240" w:line="240" w:lineRule="exact"/>
        <w:jc w:val="both"/>
        <w:rPr>
          <w:rFonts w:ascii="Lato" w:hAnsi="Lato" w:cs="Arial"/>
          <w:bCs/>
          <w:spacing w:val="4"/>
          <w:sz w:val="22"/>
          <w:szCs w:val="22"/>
        </w:rPr>
      </w:pPr>
      <w:r>
        <w:rPr>
          <w:rFonts w:ascii="Lato" w:hAnsi="Lato" w:cs="Arial"/>
          <w:bCs/>
          <w:spacing w:val="4"/>
          <w:sz w:val="22"/>
          <w:szCs w:val="22"/>
        </w:rPr>
        <w:t>d</w:t>
      </w:r>
      <w:r w:rsidRPr="0072729E">
        <w:rPr>
          <w:rFonts w:ascii="Lato" w:hAnsi="Lato" w:cs="Arial"/>
          <w:bCs/>
          <w:spacing w:val="4"/>
          <w:sz w:val="22"/>
          <w:szCs w:val="22"/>
        </w:rPr>
        <w:t>opuszczeni</w:t>
      </w:r>
      <w:r w:rsidR="0015710A">
        <w:rPr>
          <w:rFonts w:ascii="Lato" w:hAnsi="Lato" w:cs="Arial"/>
          <w:bCs/>
          <w:spacing w:val="4"/>
          <w:sz w:val="22"/>
          <w:szCs w:val="22"/>
        </w:rPr>
        <w:t>a</w:t>
      </w:r>
      <w:r w:rsidRPr="0072729E">
        <w:rPr>
          <w:rFonts w:ascii="Lato" w:hAnsi="Lato" w:cs="Arial"/>
          <w:bCs/>
          <w:spacing w:val="4"/>
          <w:sz w:val="22"/>
          <w:szCs w:val="22"/>
        </w:rPr>
        <w:t xml:space="preserve"> styropianu do zabezpieczania drzew,</w:t>
      </w:r>
    </w:p>
    <w:p w14:paraId="69C669E5" w14:textId="7D76491A" w:rsidR="00EB6405" w:rsidRDefault="0015710A" w:rsidP="00EB6405">
      <w:pPr>
        <w:pStyle w:val="Akapitzlist"/>
        <w:numPr>
          <w:ilvl w:val="0"/>
          <w:numId w:val="45"/>
        </w:numPr>
        <w:spacing w:after="240" w:line="240" w:lineRule="exact"/>
        <w:jc w:val="both"/>
        <w:rPr>
          <w:rFonts w:ascii="Lato" w:hAnsi="Lato" w:cs="Arial"/>
          <w:bCs/>
          <w:spacing w:val="4"/>
          <w:sz w:val="22"/>
          <w:szCs w:val="22"/>
        </w:rPr>
      </w:pPr>
      <w:r>
        <w:rPr>
          <w:rFonts w:ascii="Lato" w:hAnsi="Lato" w:cs="Arial"/>
          <w:bCs/>
          <w:spacing w:val="4"/>
          <w:sz w:val="22"/>
          <w:szCs w:val="22"/>
        </w:rPr>
        <w:t xml:space="preserve">braku </w:t>
      </w:r>
      <w:r w:rsidR="00EB6405">
        <w:rPr>
          <w:rFonts w:ascii="Lato" w:hAnsi="Lato" w:cs="Arial"/>
          <w:bCs/>
          <w:spacing w:val="4"/>
          <w:sz w:val="22"/>
          <w:szCs w:val="22"/>
        </w:rPr>
        <w:t>ustaleni</w:t>
      </w:r>
      <w:r>
        <w:rPr>
          <w:rFonts w:ascii="Lato" w:hAnsi="Lato" w:cs="Arial"/>
          <w:bCs/>
          <w:spacing w:val="4"/>
          <w:sz w:val="22"/>
          <w:szCs w:val="22"/>
        </w:rPr>
        <w:t>a</w:t>
      </w:r>
      <w:r w:rsidR="00EB6405">
        <w:rPr>
          <w:rFonts w:ascii="Lato" w:hAnsi="Lato" w:cs="Arial"/>
          <w:bCs/>
          <w:spacing w:val="4"/>
          <w:sz w:val="22"/>
          <w:szCs w:val="22"/>
        </w:rPr>
        <w:t xml:space="preserve"> osłony w postaci ekran</w:t>
      </w:r>
      <w:r>
        <w:rPr>
          <w:rFonts w:ascii="Lato" w:hAnsi="Lato" w:cs="Arial"/>
          <w:bCs/>
          <w:spacing w:val="4"/>
          <w:sz w:val="22"/>
          <w:szCs w:val="22"/>
        </w:rPr>
        <w:t>u</w:t>
      </w:r>
      <w:r w:rsidR="00EB6405">
        <w:rPr>
          <w:rFonts w:ascii="Lato" w:hAnsi="Lato" w:cs="Arial"/>
          <w:bCs/>
          <w:spacing w:val="4"/>
          <w:sz w:val="22"/>
          <w:szCs w:val="22"/>
        </w:rPr>
        <w:t xml:space="preserve"> akustyczn</w:t>
      </w:r>
      <w:r>
        <w:rPr>
          <w:rFonts w:ascii="Lato" w:hAnsi="Lato" w:cs="Arial"/>
          <w:bCs/>
          <w:spacing w:val="4"/>
          <w:sz w:val="22"/>
          <w:szCs w:val="22"/>
        </w:rPr>
        <w:t xml:space="preserve">ego dla stanowiska słupa </w:t>
      </w:r>
      <w:r w:rsidR="00B02890">
        <w:rPr>
          <w:rFonts w:ascii="Lato" w:hAnsi="Lato" w:cs="Arial"/>
          <w:bCs/>
          <w:spacing w:val="4"/>
          <w:sz w:val="22"/>
          <w:szCs w:val="22"/>
        </w:rPr>
        <w:br/>
      </w:r>
      <w:r>
        <w:rPr>
          <w:rFonts w:ascii="Lato" w:hAnsi="Lato" w:cs="Arial"/>
          <w:bCs/>
          <w:spacing w:val="4"/>
          <w:sz w:val="22"/>
          <w:szCs w:val="22"/>
        </w:rPr>
        <w:t>nr 134 w pobliżu budynków mieszkalnych</w:t>
      </w:r>
      <w:r w:rsidR="00EB6405">
        <w:rPr>
          <w:rFonts w:ascii="Lato" w:hAnsi="Lato" w:cs="Arial"/>
          <w:bCs/>
          <w:spacing w:val="4"/>
          <w:sz w:val="22"/>
          <w:szCs w:val="22"/>
        </w:rPr>
        <w:t>,</w:t>
      </w:r>
    </w:p>
    <w:p w14:paraId="7BD95439" w14:textId="33698BED" w:rsidR="00EB6405" w:rsidRDefault="0015710A" w:rsidP="00EB6405">
      <w:pPr>
        <w:pStyle w:val="Akapitzlist"/>
        <w:numPr>
          <w:ilvl w:val="0"/>
          <w:numId w:val="45"/>
        </w:numPr>
        <w:spacing w:after="240" w:line="240" w:lineRule="exact"/>
        <w:jc w:val="both"/>
        <w:rPr>
          <w:rFonts w:ascii="Lato" w:hAnsi="Lato" w:cs="Arial"/>
          <w:bCs/>
          <w:spacing w:val="4"/>
          <w:sz w:val="22"/>
          <w:szCs w:val="22"/>
        </w:rPr>
      </w:pPr>
      <w:r>
        <w:rPr>
          <w:rFonts w:ascii="Lato" w:hAnsi="Lato" w:cs="Arial"/>
          <w:bCs/>
          <w:spacing w:val="4"/>
          <w:sz w:val="22"/>
          <w:szCs w:val="22"/>
        </w:rPr>
        <w:t xml:space="preserve">braku </w:t>
      </w:r>
      <w:bookmarkStart w:id="13" w:name="_Hlk219193501"/>
      <w:r>
        <w:rPr>
          <w:rFonts w:ascii="Lato" w:hAnsi="Lato" w:cs="Arial"/>
          <w:bCs/>
          <w:spacing w:val="4"/>
          <w:sz w:val="22"/>
          <w:szCs w:val="22"/>
        </w:rPr>
        <w:t xml:space="preserve">jednoznacznego określenia </w:t>
      </w:r>
      <w:r w:rsidR="00EB6405">
        <w:rPr>
          <w:rFonts w:ascii="Lato" w:hAnsi="Lato" w:cs="Arial"/>
          <w:bCs/>
          <w:spacing w:val="4"/>
          <w:sz w:val="22"/>
          <w:szCs w:val="22"/>
        </w:rPr>
        <w:t xml:space="preserve">lokalizacji </w:t>
      </w:r>
      <w:r>
        <w:rPr>
          <w:rFonts w:ascii="Lato" w:hAnsi="Lato" w:cs="Arial"/>
          <w:bCs/>
          <w:spacing w:val="4"/>
          <w:sz w:val="22"/>
          <w:szCs w:val="22"/>
        </w:rPr>
        <w:t>przenośnych sanitariatów na zapleczu budowy</w:t>
      </w:r>
      <w:r w:rsidR="00EB6405">
        <w:rPr>
          <w:rFonts w:ascii="Lato" w:hAnsi="Lato" w:cs="Arial"/>
          <w:bCs/>
          <w:spacing w:val="4"/>
          <w:sz w:val="22"/>
          <w:szCs w:val="22"/>
        </w:rPr>
        <w:t>,</w:t>
      </w:r>
    </w:p>
    <w:bookmarkEnd w:id="13"/>
    <w:p w14:paraId="5B810D56" w14:textId="2617CFB3" w:rsidR="00EB6405" w:rsidRDefault="00F40DD6" w:rsidP="00EB6405">
      <w:pPr>
        <w:pStyle w:val="Akapitzlist"/>
        <w:numPr>
          <w:ilvl w:val="0"/>
          <w:numId w:val="45"/>
        </w:numPr>
        <w:spacing w:after="240" w:line="240" w:lineRule="exact"/>
        <w:jc w:val="both"/>
        <w:rPr>
          <w:rFonts w:ascii="Lato" w:hAnsi="Lato" w:cs="Arial"/>
          <w:bCs/>
          <w:spacing w:val="4"/>
          <w:sz w:val="22"/>
          <w:szCs w:val="22"/>
        </w:rPr>
      </w:pPr>
      <w:r>
        <w:rPr>
          <w:rFonts w:ascii="Lato" w:hAnsi="Lato" w:cs="Arial"/>
          <w:bCs/>
          <w:spacing w:val="4"/>
          <w:sz w:val="22"/>
          <w:szCs w:val="22"/>
        </w:rPr>
        <w:t xml:space="preserve">zobowiązania do </w:t>
      </w:r>
      <w:r w:rsidR="00EB6405">
        <w:rPr>
          <w:rFonts w:ascii="Lato" w:hAnsi="Lato" w:cs="Arial"/>
          <w:bCs/>
          <w:spacing w:val="4"/>
          <w:sz w:val="22"/>
          <w:szCs w:val="22"/>
        </w:rPr>
        <w:t>użyci</w:t>
      </w:r>
      <w:r>
        <w:rPr>
          <w:rFonts w:ascii="Lato" w:hAnsi="Lato" w:cs="Arial"/>
          <w:bCs/>
          <w:spacing w:val="4"/>
          <w:sz w:val="22"/>
          <w:szCs w:val="22"/>
        </w:rPr>
        <w:t>a</w:t>
      </w:r>
      <w:r w:rsidR="00EB6405">
        <w:rPr>
          <w:rFonts w:ascii="Lato" w:hAnsi="Lato" w:cs="Arial"/>
          <w:bCs/>
          <w:spacing w:val="4"/>
          <w:sz w:val="22"/>
          <w:szCs w:val="22"/>
        </w:rPr>
        <w:t xml:space="preserve"> materiałów niepalnych z palnymi</w:t>
      </w:r>
      <w:r>
        <w:rPr>
          <w:rFonts w:ascii="Lato" w:hAnsi="Lato" w:cs="Arial"/>
          <w:bCs/>
          <w:spacing w:val="4"/>
          <w:sz w:val="22"/>
          <w:szCs w:val="22"/>
        </w:rPr>
        <w:t>.</w:t>
      </w:r>
    </w:p>
    <w:p w14:paraId="616007E5" w14:textId="77777777" w:rsidR="00F40DD6" w:rsidRDefault="00F40DD6" w:rsidP="00EB6405">
      <w:pPr>
        <w:spacing w:after="0" w:line="240" w:lineRule="exact"/>
        <w:jc w:val="both"/>
        <w:rPr>
          <w:rFonts w:ascii="Lato" w:hAnsi="Lato" w:cs="Arial"/>
          <w:bCs/>
          <w:spacing w:val="4"/>
        </w:rPr>
      </w:pPr>
    </w:p>
    <w:p w14:paraId="2311115D" w14:textId="1AB0BD22" w:rsidR="00432A2F" w:rsidRDefault="00C41C8C" w:rsidP="00C41C8C">
      <w:pPr>
        <w:spacing w:after="0" w:line="240" w:lineRule="exact"/>
        <w:jc w:val="both"/>
        <w:rPr>
          <w:rFonts w:ascii="Lato" w:hAnsi="Lato" w:cs="Arial"/>
          <w:bCs/>
          <w:spacing w:val="4"/>
        </w:rPr>
      </w:pPr>
      <w:r w:rsidRPr="00C41C8C">
        <w:rPr>
          <w:rFonts w:ascii="Lato" w:hAnsi="Lato" w:cs="Arial"/>
          <w:bCs/>
          <w:spacing w:val="4"/>
        </w:rPr>
        <w:t xml:space="preserve">Podkreślenia wymaga, iż </w:t>
      </w:r>
      <w:r w:rsidRPr="00C41C8C">
        <w:rPr>
          <w:rFonts w:ascii="Lato" w:hAnsi="Lato" w:cs="Arial"/>
          <w:bCs/>
          <w:spacing w:val="4"/>
          <w:lang w:bidi="pl-PL"/>
        </w:rPr>
        <w:t xml:space="preserve">wszelkie kwestie dotyczące oddziaływania planowanej inwestycji przesyłowej na środowisko i ludzi zostały przeanalizowane w postępowaniu w sprawie wydania </w:t>
      </w:r>
      <w:r w:rsidRPr="001C4E3A">
        <w:rPr>
          <w:rFonts w:ascii="Lato" w:hAnsi="Lato" w:cs="Arial"/>
          <w:bCs/>
          <w:iCs/>
          <w:spacing w:val="4"/>
          <w:lang w:bidi="pl-PL"/>
        </w:rPr>
        <w:t xml:space="preserve">decyzji </w:t>
      </w:r>
      <w:r>
        <w:rPr>
          <w:rFonts w:ascii="Lato" w:hAnsi="Lato" w:cs="Arial"/>
          <w:bCs/>
          <w:iCs/>
          <w:spacing w:val="4"/>
          <w:lang w:bidi="pl-PL"/>
        </w:rPr>
        <w:t>o środowiskowych uwarunkowaniach</w:t>
      </w:r>
      <w:r w:rsidRPr="00C41C8C">
        <w:rPr>
          <w:rFonts w:ascii="Lato" w:hAnsi="Lato" w:cs="Arial"/>
          <w:bCs/>
          <w:spacing w:val="4"/>
        </w:rPr>
        <w:t>.</w:t>
      </w:r>
      <w:r w:rsidRPr="00C41C8C">
        <w:rPr>
          <w:rFonts w:ascii="Lato" w:hAnsi="Lato" w:cs="Arial"/>
          <w:bCs/>
          <w:spacing w:val="4"/>
          <w:lang w:bidi="pl-PL"/>
        </w:rPr>
        <w:t xml:space="preserve"> </w:t>
      </w:r>
      <w:r w:rsidRPr="00C41C8C">
        <w:rPr>
          <w:rFonts w:ascii="Lato" w:hAnsi="Lato" w:cs="Arial"/>
          <w:bCs/>
          <w:spacing w:val="4"/>
        </w:rPr>
        <w:t xml:space="preserve">Natomiast zarówno Wojewoda </w:t>
      </w:r>
      <w:r>
        <w:rPr>
          <w:rFonts w:ascii="Lato" w:hAnsi="Lato" w:cs="Arial"/>
          <w:bCs/>
          <w:spacing w:val="4"/>
        </w:rPr>
        <w:t>Podkarpacki</w:t>
      </w:r>
      <w:r w:rsidRPr="00C41C8C">
        <w:rPr>
          <w:rFonts w:ascii="Lato" w:hAnsi="Lato" w:cs="Arial"/>
          <w:bCs/>
          <w:spacing w:val="4"/>
        </w:rPr>
        <w:t xml:space="preserve">, jak i </w:t>
      </w:r>
      <w:r w:rsidRPr="00C41C8C">
        <w:rPr>
          <w:rFonts w:ascii="Lato" w:hAnsi="Lato" w:cs="Arial"/>
          <w:bCs/>
          <w:i/>
          <w:spacing w:val="4"/>
        </w:rPr>
        <w:t>Minister</w:t>
      </w:r>
      <w:r w:rsidRPr="00C41C8C">
        <w:rPr>
          <w:rFonts w:ascii="Lato" w:hAnsi="Lato" w:cs="Arial"/>
          <w:bCs/>
          <w:spacing w:val="4"/>
        </w:rPr>
        <w:t xml:space="preserve">, w ramach postępowania w sprawie wydania decyzji </w:t>
      </w:r>
      <w:r w:rsidRPr="00C41C8C">
        <w:rPr>
          <w:rFonts w:ascii="Lato" w:hAnsi="Lato" w:cs="Arial"/>
          <w:bCs/>
          <w:iCs/>
          <w:spacing w:val="4"/>
        </w:rPr>
        <w:t xml:space="preserve">o ustaleniu lokalizacji omawianej inwestycji </w:t>
      </w:r>
      <w:r>
        <w:rPr>
          <w:rFonts w:ascii="Lato" w:hAnsi="Lato" w:cs="Arial"/>
          <w:bCs/>
          <w:iCs/>
          <w:spacing w:val="4"/>
        </w:rPr>
        <w:t xml:space="preserve">towarzyszącej strategicznej inwestycji </w:t>
      </w:r>
      <w:r w:rsidRPr="00C41C8C">
        <w:rPr>
          <w:rFonts w:ascii="Lato" w:hAnsi="Lato" w:cs="Arial"/>
          <w:bCs/>
          <w:iCs/>
          <w:spacing w:val="4"/>
        </w:rPr>
        <w:t>w zakresie sieci przesyłowej</w:t>
      </w:r>
      <w:r w:rsidRPr="00C41C8C">
        <w:rPr>
          <w:rFonts w:ascii="Lato" w:hAnsi="Lato" w:cs="Arial"/>
          <w:bCs/>
          <w:spacing w:val="4"/>
        </w:rPr>
        <w:t xml:space="preserve"> związani byli ustaleniami </w:t>
      </w:r>
      <w:r w:rsidRPr="00697A39">
        <w:rPr>
          <w:rFonts w:ascii="Lato" w:hAnsi="Lato" w:cs="Arial"/>
          <w:bCs/>
          <w:iCs/>
          <w:spacing w:val="4"/>
          <w:lang w:bidi="pl-PL"/>
        </w:rPr>
        <w:t xml:space="preserve">decyzji </w:t>
      </w:r>
      <w:r>
        <w:rPr>
          <w:rFonts w:ascii="Lato" w:hAnsi="Lato" w:cs="Arial"/>
          <w:bCs/>
          <w:iCs/>
          <w:spacing w:val="4"/>
          <w:lang w:bidi="pl-PL"/>
        </w:rPr>
        <w:t xml:space="preserve">o </w:t>
      </w:r>
      <w:r w:rsidR="001C4E3A">
        <w:rPr>
          <w:rFonts w:ascii="Lato" w:hAnsi="Lato" w:cs="Arial"/>
          <w:bCs/>
          <w:iCs/>
          <w:spacing w:val="4"/>
          <w:lang w:bidi="pl-PL"/>
        </w:rPr>
        <w:t> </w:t>
      </w:r>
      <w:r>
        <w:rPr>
          <w:rFonts w:ascii="Lato" w:hAnsi="Lato" w:cs="Arial"/>
          <w:bCs/>
          <w:iCs/>
          <w:spacing w:val="4"/>
          <w:lang w:bidi="pl-PL"/>
        </w:rPr>
        <w:t>środowiskowych uwarunkowaniach</w:t>
      </w:r>
      <w:r w:rsidRPr="00C41C8C">
        <w:rPr>
          <w:rFonts w:ascii="Lato" w:hAnsi="Lato" w:cs="Arial"/>
          <w:bCs/>
          <w:spacing w:val="4"/>
        </w:rPr>
        <w:t xml:space="preserve">. </w:t>
      </w:r>
    </w:p>
    <w:p w14:paraId="0612627F" w14:textId="77777777" w:rsidR="003F0015" w:rsidRDefault="003F0015" w:rsidP="00C41C8C">
      <w:pPr>
        <w:spacing w:after="0" w:line="240" w:lineRule="exact"/>
        <w:jc w:val="both"/>
        <w:rPr>
          <w:rFonts w:ascii="Lato" w:hAnsi="Lato" w:cs="Arial"/>
          <w:bCs/>
          <w:spacing w:val="4"/>
        </w:rPr>
      </w:pPr>
    </w:p>
    <w:p w14:paraId="46F75AB6" w14:textId="3C9D0291" w:rsidR="006607DA" w:rsidRPr="001C4E3A" w:rsidRDefault="006607DA" w:rsidP="006607DA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1C4E3A">
        <w:rPr>
          <w:rFonts w:ascii="Lato" w:eastAsia="Times New Roman" w:hAnsi="Lato" w:cs="Arial"/>
          <w:spacing w:val="4"/>
          <w:lang w:eastAsia="pl-PL"/>
        </w:rPr>
        <w:t xml:space="preserve">Decyzja o środowiskowych uwarunkowaniach jest jedną z pierwszych decyzji administracyjnych uzyskiwanych przed realizacją przedsięwzięcia mogącego znacząco oddziaływać na środowisko. Decyzja o środowiskowych uwarunkowaniach określa środowiskowe uwarunkowania realizacji przedsięwzięcia (art. 71 </w:t>
      </w:r>
      <w:r w:rsidRPr="001C4E3A">
        <w:rPr>
          <w:rFonts w:ascii="Lato" w:eastAsia="Times New Roman" w:hAnsi="Lato" w:cs="Arial"/>
          <w:bCs/>
          <w:spacing w:val="4"/>
          <w:lang w:eastAsia="pl-PL"/>
        </w:rPr>
        <w:t xml:space="preserve">ustawy z dnia 3 </w:t>
      </w:r>
      <w:r w:rsidR="001C4E3A">
        <w:rPr>
          <w:rFonts w:ascii="Lato" w:eastAsia="Times New Roman" w:hAnsi="Lato" w:cs="Arial"/>
          <w:bCs/>
          <w:spacing w:val="4"/>
          <w:lang w:eastAsia="pl-PL"/>
        </w:rPr>
        <w:t> </w:t>
      </w:r>
      <w:r w:rsidRPr="001C4E3A">
        <w:rPr>
          <w:rFonts w:ascii="Lato" w:eastAsia="Times New Roman" w:hAnsi="Lato" w:cs="Arial"/>
          <w:bCs/>
          <w:spacing w:val="4"/>
          <w:lang w:eastAsia="pl-PL"/>
        </w:rPr>
        <w:t xml:space="preserve">października 2008 r. o udostępnianiu informacji o środowisku i jego ochronie, udziale społeczeństwa w ochronie środowiska oraz o ocenach oddziaływania na środowisko </w:t>
      </w:r>
      <w:r w:rsidR="00B02890">
        <w:rPr>
          <w:rFonts w:ascii="Lato" w:eastAsia="Times New Roman" w:hAnsi="Lato" w:cs="Arial"/>
          <w:bCs/>
          <w:spacing w:val="4"/>
          <w:lang w:eastAsia="pl-PL"/>
        </w:rPr>
        <w:br/>
      </w:r>
      <w:r w:rsidRPr="001C4E3A">
        <w:rPr>
          <w:rFonts w:ascii="Lato" w:eastAsia="Times New Roman" w:hAnsi="Lato" w:cs="Arial"/>
          <w:bCs/>
          <w:spacing w:val="4"/>
          <w:lang w:eastAsia="pl-PL"/>
        </w:rPr>
        <w:t>(</w:t>
      </w:r>
      <w:proofErr w:type="spellStart"/>
      <w:r w:rsidRPr="001C4E3A">
        <w:rPr>
          <w:rFonts w:ascii="Lato" w:eastAsia="Times New Roman" w:hAnsi="Lato" w:cs="Arial"/>
          <w:bCs/>
          <w:spacing w:val="4"/>
          <w:lang w:eastAsia="pl-PL"/>
        </w:rPr>
        <w:t>t.j</w:t>
      </w:r>
      <w:proofErr w:type="spellEnd"/>
      <w:r w:rsidRPr="001C4E3A">
        <w:rPr>
          <w:rFonts w:ascii="Lato" w:eastAsia="Times New Roman" w:hAnsi="Lato" w:cs="Arial"/>
          <w:bCs/>
          <w:spacing w:val="4"/>
          <w:lang w:eastAsia="pl-PL"/>
        </w:rPr>
        <w:t>. Dz. U. z 202</w:t>
      </w:r>
      <w:r>
        <w:rPr>
          <w:rFonts w:ascii="Lato" w:eastAsia="Times New Roman" w:hAnsi="Lato" w:cs="Arial"/>
          <w:bCs/>
          <w:spacing w:val="4"/>
          <w:lang w:eastAsia="pl-PL"/>
        </w:rPr>
        <w:t>4</w:t>
      </w:r>
      <w:r w:rsidRPr="001C4E3A">
        <w:rPr>
          <w:rFonts w:ascii="Lato" w:eastAsia="Times New Roman" w:hAnsi="Lato" w:cs="Arial"/>
          <w:bCs/>
          <w:spacing w:val="4"/>
          <w:lang w:eastAsia="pl-PL"/>
        </w:rPr>
        <w:t xml:space="preserve"> r. poz. 1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112 </w:t>
      </w:r>
      <w:r w:rsidRPr="001C4E3A">
        <w:rPr>
          <w:rFonts w:ascii="Lato" w:eastAsia="Times New Roman" w:hAnsi="Lato" w:cs="Arial"/>
          <w:bCs/>
          <w:spacing w:val="4"/>
          <w:lang w:eastAsia="pl-PL"/>
        </w:rPr>
        <w:t xml:space="preserve">z </w:t>
      </w:r>
      <w:proofErr w:type="spellStart"/>
      <w:r w:rsidRPr="001C4E3A">
        <w:rPr>
          <w:rFonts w:ascii="Lato" w:eastAsia="Times New Roman" w:hAnsi="Lato" w:cs="Arial"/>
          <w:bCs/>
          <w:spacing w:val="4"/>
          <w:lang w:eastAsia="pl-PL"/>
        </w:rPr>
        <w:t>późn</w:t>
      </w:r>
      <w:proofErr w:type="spellEnd"/>
      <w:r w:rsidRPr="001C4E3A">
        <w:rPr>
          <w:rFonts w:ascii="Lato" w:eastAsia="Times New Roman" w:hAnsi="Lato" w:cs="Arial"/>
          <w:bCs/>
          <w:spacing w:val="4"/>
          <w:lang w:eastAsia="pl-PL"/>
        </w:rPr>
        <w:t>. zm.), zwanej dalej „ustawą o udostępnianiu informacji o środowisku i jego ochronie”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). Postępowanie toczące się w przedmiocie jej wydania dotyczy planowanego dopiero przedsięwzięcia i sprowadza się do ustalenia, </w:t>
      </w:r>
      <w:r w:rsidRPr="001C4E3A">
        <w:rPr>
          <w:rFonts w:ascii="Lato" w:eastAsia="Times New Roman" w:hAnsi="Lato" w:cs="Arial"/>
          <w:bCs/>
          <w:spacing w:val="4"/>
          <w:lang w:eastAsia="pl-PL"/>
        </w:rPr>
        <w:t>czy inwestycja w kształcie opisanym przez inwestora we wniosku zagraża środowisku oraz czy spełnia wymagania i parametry w zakresie ochrony środowiska</w:t>
      </w:r>
      <w:r w:rsidRPr="001C4E3A">
        <w:rPr>
          <w:rFonts w:ascii="Lato" w:eastAsia="Times New Roman" w:hAnsi="Lato" w:cs="Arial"/>
          <w:spacing w:val="4"/>
          <w:lang w:eastAsia="pl-PL"/>
        </w:rPr>
        <w:t>.</w:t>
      </w:r>
    </w:p>
    <w:p w14:paraId="1A5FC572" w14:textId="34643C17" w:rsidR="006607DA" w:rsidRPr="001C4E3A" w:rsidRDefault="006607DA" w:rsidP="006607DA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1C4E3A">
        <w:rPr>
          <w:rFonts w:ascii="Lato" w:eastAsia="Times New Roman" w:hAnsi="Lato" w:cs="Arial"/>
          <w:spacing w:val="4"/>
          <w:lang w:eastAsia="pl-PL"/>
        </w:rPr>
        <w:t xml:space="preserve">Decyzja o środowiskowych uwarunkowaniach odgrywa bardzo ważną rolę w procesie inwestycyjnym. Choć sama nie jest decyzją, na podstawie której inwestor może przystąpić do realizacji inwestycji, to niewątpliwie jest decyzją, od której uzależnione jest wydanie innych aktów administracyjnych w toku procesu inwestycyjnego. Katalog decyzji, których wydanie uzależnione jest od decyzji środowiskowej, określony został w </w:t>
      </w:r>
      <w:r w:rsidR="001C4E3A">
        <w:rPr>
          <w:rFonts w:ascii="Lato" w:eastAsia="Times New Roman" w:hAnsi="Lato" w:cs="Arial"/>
          <w:spacing w:val="4"/>
          <w:lang w:eastAsia="pl-PL"/>
        </w:rPr>
        <w:t> 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art. 72 ust. 1 </w:t>
      </w:r>
      <w:r w:rsidRPr="001C4E3A">
        <w:rPr>
          <w:rFonts w:ascii="Lato" w:eastAsia="Times New Roman" w:hAnsi="Lato" w:cs="Arial"/>
          <w:iCs/>
          <w:spacing w:val="4"/>
          <w:lang w:eastAsia="pl-PL"/>
        </w:rPr>
        <w:t>ustawy o udostępnianiu informacji o środowisku i jego ochronie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. </w:t>
      </w:r>
    </w:p>
    <w:p w14:paraId="67266B45" w14:textId="6C75ACFC" w:rsidR="006607DA" w:rsidRPr="001C4E3A" w:rsidRDefault="006607DA" w:rsidP="006607DA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1C4E3A">
        <w:rPr>
          <w:rFonts w:ascii="Lato" w:eastAsia="Times New Roman" w:hAnsi="Lato" w:cs="Arial"/>
          <w:spacing w:val="4"/>
          <w:lang w:eastAsia="pl-PL"/>
        </w:rPr>
        <w:t xml:space="preserve">Zauważyć trzeba, iż zgodnie z art. 72 ust. 1 pkt 22 </w:t>
      </w:r>
      <w:r w:rsidRPr="001C4E3A">
        <w:rPr>
          <w:rFonts w:ascii="Lato" w:eastAsia="Times New Roman" w:hAnsi="Lato" w:cs="Arial"/>
          <w:iCs/>
          <w:spacing w:val="4"/>
          <w:lang w:eastAsia="pl-PL"/>
        </w:rPr>
        <w:t xml:space="preserve">ustawy o udostępnianiu informacji o </w:t>
      </w:r>
      <w:r w:rsidR="001C4E3A">
        <w:rPr>
          <w:rFonts w:ascii="Lato" w:eastAsia="Times New Roman" w:hAnsi="Lato" w:cs="Arial"/>
          <w:iCs/>
          <w:spacing w:val="4"/>
          <w:lang w:eastAsia="pl-PL"/>
        </w:rPr>
        <w:t> </w:t>
      </w:r>
      <w:r w:rsidRPr="001C4E3A">
        <w:rPr>
          <w:rFonts w:ascii="Lato" w:eastAsia="Times New Roman" w:hAnsi="Lato" w:cs="Arial"/>
          <w:iCs/>
          <w:spacing w:val="4"/>
          <w:lang w:eastAsia="pl-PL"/>
        </w:rPr>
        <w:t>środowisku i jego ochronie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 wydanie decyzji o środowiskowych uwarunkowaniach następuje przed uzyskaniem decyzji o ustaleniu lokalizacji </w:t>
      </w:r>
      <w:r>
        <w:rPr>
          <w:rFonts w:ascii="Lato" w:eastAsia="Times New Roman" w:hAnsi="Lato" w:cs="Arial"/>
          <w:spacing w:val="4"/>
          <w:lang w:eastAsia="pl-PL"/>
        </w:rPr>
        <w:t xml:space="preserve">inwestycji towarzyszącej 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strategicznej inwestycji w zakresie sieci przesyłowej. W myśl art. 72 ust. 3 powołanej ustawy, decyzję o środowiskowych uwarunkowaniach dołącza się do wniosku o wydanie </w:t>
      </w:r>
      <w:r w:rsidRPr="001C4E3A">
        <w:rPr>
          <w:rFonts w:ascii="Lato" w:eastAsia="Times New Roman" w:hAnsi="Lato" w:cs="Arial"/>
          <w:spacing w:val="4"/>
          <w:lang w:eastAsia="pl-PL"/>
        </w:rPr>
        <w:br/>
        <w:t xml:space="preserve">ww. decyzji lokalizacyjnej. Omawiana regulacja znajduje odzwierciedlenie w przepisach </w:t>
      </w:r>
      <w:r w:rsidRPr="001C4E3A">
        <w:rPr>
          <w:rFonts w:ascii="Lato" w:eastAsia="Times New Roman" w:hAnsi="Lato" w:cs="Arial"/>
          <w:iCs/>
          <w:spacing w:val="4"/>
          <w:lang w:eastAsia="pl-PL"/>
        </w:rPr>
        <w:t>specustawy przesyłowej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, określających obligatoryjne elementy wniosku o wydanie decyzji o ustaleniu lokalizacji </w:t>
      </w:r>
      <w:r w:rsidR="00F17EAC">
        <w:rPr>
          <w:rFonts w:ascii="Lato" w:eastAsia="Times New Roman" w:hAnsi="Lato" w:cs="Arial"/>
          <w:spacing w:val="4"/>
          <w:lang w:eastAsia="pl-PL"/>
        </w:rPr>
        <w:t xml:space="preserve">inwestycji towarzyszącej 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strategicznej inwestycji w zakresie </w:t>
      </w:r>
      <w:r w:rsidRPr="001C4E3A">
        <w:rPr>
          <w:rFonts w:ascii="Lato" w:eastAsia="Times New Roman" w:hAnsi="Lato" w:cs="Arial"/>
          <w:spacing w:val="4"/>
          <w:lang w:eastAsia="pl-PL"/>
        </w:rPr>
        <w:lastRenderedPageBreak/>
        <w:t xml:space="preserve">sieci przesyłowej, wśród których znajduje się decyzja o środowiskowych uwarunkowaniach (art. 4 ust. 1 pkt 5 </w:t>
      </w:r>
      <w:r w:rsidRPr="001C4E3A">
        <w:rPr>
          <w:rFonts w:ascii="Lato" w:eastAsia="Times New Roman" w:hAnsi="Lato" w:cs="Arial"/>
          <w:iCs/>
          <w:spacing w:val="4"/>
          <w:lang w:eastAsia="pl-PL"/>
        </w:rPr>
        <w:t>specustawy przesyłowej</w:t>
      </w:r>
      <w:r w:rsidR="00F17EAC">
        <w:rPr>
          <w:rFonts w:ascii="Lato" w:eastAsia="Times New Roman" w:hAnsi="Lato" w:cs="Arial"/>
          <w:iCs/>
          <w:spacing w:val="4"/>
          <w:lang w:eastAsia="pl-PL"/>
        </w:rPr>
        <w:t xml:space="preserve"> w zw. z art. 3b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). </w:t>
      </w:r>
    </w:p>
    <w:p w14:paraId="47EE337F" w14:textId="3948A481" w:rsidR="006607DA" w:rsidRPr="001C4E3A" w:rsidRDefault="006607DA" w:rsidP="006607DA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1C4E3A">
        <w:rPr>
          <w:rFonts w:ascii="Lato" w:eastAsia="Calibri" w:hAnsi="Lato" w:cs="Arial"/>
          <w:spacing w:val="4"/>
        </w:rPr>
        <w:t xml:space="preserve">W myśl art. 86 pkt 2 </w:t>
      </w:r>
      <w:r w:rsidRPr="001C4E3A">
        <w:rPr>
          <w:rFonts w:ascii="Lato" w:eastAsia="Calibri" w:hAnsi="Lato" w:cs="Arial"/>
          <w:iCs/>
          <w:spacing w:val="4"/>
        </w:rPr>
        <w:t>ustawy o udostępnianiu informacji o środowisku i jego ochronie</w:t>
      </w:r>
      <w:r w:rsidRPr="001C4E3A">
        <w:rPr>
          <w:rFonts w:ascii="Lato" w:eastAsia="Calibri" w:hAnsi="Lato" w:cs="Arial"/>
          <w:spacing w:val="4"/>
        </w:rPr>
        <w:t xml:space="preserve">, decyzja o środowiskowych uwarunkowaniach wiąże organy wydające decyzje, o których mowa w art. 72 ust. 1 tej ustawy, zatem m.in. organy administracji publicznej rozstrzygające w przedmiocie 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lokalizacji </w:t>
      </w:r>
      <w:r w:rsidR="00F17EAC">
        <w:rPr>
          <w:rFonts w:ascii="Lato" w:eastAsia="Times New Roman" w:hAnsi="Lato" w:cs="Arial"/>
          <w:spacing w:val="4"/>
          <w:lang w:eastAsia="pl-PL"/>
        </w:rPr>
        <w:t xml:space="preserve">inwestycji towarzyszącej </w:t>
      </w:r>
      <w:r w:rsidRPr="001C4E3A">
        <w:rPr>
          <w:rFonts w:ascii="Lato" w:eastAsia="Times New Roman" w:hAnsi="Lato" w:cs="Arial"/>
          <w:spacing w:val="4"/>
          <w:lang w:eastAsia="pl-PL"/>
        </w:rPr>
        <w:t>strategicznej inwestycji w zakresie sieci przesyłowej</w:t>
      </w:r>
      <w:r w:rsidRPr="001C4E3A">
        <w:rPr>
          <w:rFonts w:ascii="Lato" w:eastAsia="Calibri" w:hAnsi="Lato" w:cs="Arial"/>
          <w:spacing w:val="4"/>
        </w:rPr>
        <w:t xml:space="preserve"> (art. 72 ust. 1 pkt 22 </w:t>
      </w:r>
      <w:r w:rsidRPr="001C4E3A">
        <w:rPr>
          <w:rFonts w:ascii="Lato" w:eastAsia="Calibri" w:hAnsi="Lato" w:cs="Arial"/>
          <w:iCs/>
          <w:spacing w:val="4"/>
        </w:rPr>
        <w:t>ustawy o udostępnianiu informacji o środowisku i jego ochronie</w:t>
      </w:r>
      <w:r w:rsidRPr="001C4E3A">
        <w:rPr>
          <w:rFonts w:ascii="Lato" w:eastAsia="Calibri" w:hAnsi="Lato" w:cs="Arial"/>
          <w:spacing w:val="4"/>
        </w:rPr>
        <w:t xml:space="preserve">). Oznacza to, że decyzja o środowiskowych uwarunkowaniach ma charakter „rozstrzygnięcia wstępnego” względem przyszłego zezwolenia na realizację konkretnego przedsięwzięcia inwestycyjnego i pełni wobec niego funkcję prejudycjalną. 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Określone w decyzji o środowiskowych uwarunkowaniach środowiskowe warunki realizacji przedsięwzięcia nie mogą być zatem na dalszych etapach procesu inwestycyjnego modyfikowane, a decyzja o odmowie określenia środowiskowych uwarunkowań i tym samym wyrażenia zgody na realizację przedsięwzięcia przesądza </w:t>
      </w:r>
      <w:r w:rsidRPr="001C4E3A">
        <w:rPr>
          <w:rFonts w:ascii="Lato" w:eastAsia="Times New Roman" w:hAnsi="Lato" w:cs="Arial"/>
          <w:i/>
          <w:iCs/>
          <w:spacing w:val="4"/>
          <w:lang w:eastAsia="pl-PL"/>
        </w:rPr>
        <w:t>de facto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 o braku możliwości realizacji określonego przedsięwzięcia w danym miejscu, czasie i na proponowanych warunkach (vide: wyroki Naczelnego Sądu Administracyjnego z dnia 8 maja 2019 r., sygn. akt II OSK 652/19, z </w:t>
      </w:r>
      <w:r w:rsidR="001C4E3A">
        <w:rPr>
          <w:rFonts w:ascii="Lato" w:eastAsia="Times New Roman" w:hAnsi="Lato" w:cs="Arial"/>
          <w:spacing w:val="4"/>
          <w:lang w:eastAsia="pl-PL"/>
        </w:rPr>
        <w:t> 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dnia 16 stycznia 2019 r., </w:t>
      </w:r>
      <w:r w:rsidRPr="001C4E3A">
        <w:rPr>
          <w:rFonts w:ascii="Lato" w:eastAsia="Calibri" w:hAnsi="Lato" w:cs="Arial"/>
          <w:spacing w:val="4"/>
        </w:rPr>
        <w:t xml:space="preserve">sygn. akt II OSK 304/17, i z dnia 12 lipca 2016 r., sygn. akt </w:t>
      </w:r>
      <w:bookmarkStart w:id="14" w:name="orz.361448026"/>
      <w:r w:rsidR="00B02890">
        <w:rPr>
          <w:rFonts w:ascii="Lato" w:eastAsia="Calibri" w:hAnsi="Lato" w:cs="Arial"/>
          <w:spacing w:val="4"/>
        </w:rPr>
        <w:br/>
      </w:r>
      <w:r w:rsidRPr="001C4E3A">
        <w:rPr>
          <w:rFonts w:ascii="Lato" w:eastAsia="Calibri" w:hAnsi="Lato" w:cs="Arial"/>
          <w:spacing w:val="4"/>
        </w:rPr>
        <w:t>II OSK 2732/14</w:t>
      </w:r>
      <w:bookmarkEnd w:id="14"/>
      <w:r w:rsidRPr="001C4E3A">
        <w:rPr>
          <w:rFonts w:ascii="Lato" w:eastAsia="Calibri" w:hAnsi="Lato" w:cs="Arial"/>
          <w:spacing w:val="4"/>
        </w:rPr>
        <w:t>).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183A6B87" w14:textId="5A374A78" w:rsidR="006607DA" w:rsidRPr="001C4E3A" w:rsidRDefault="006607DA" w:rsidP="006607DA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1C4E3A">
        <w:rPr>
          <w:rFonts w:ascii="Lato" w:eastAsia="Times New Roman" w:hAnsi="Lato" w:cs="Arial"/>
          <w:spacing w:val="4"/>
          <w:lang w:eastAsia="pl-PL"/>
        </w:rPr>
        <w:t xml:space="preserve">W związku ze wspomnianą prejudycjalnością decyzji o środowiskowych uwarunkowaniach w stosunku do decyzji wymienionych w art. 72 ust. 1 </w:t>
      </w:r>
      <w:r w:rsidRPr="001C4E3A">
        <w:rPr>
          <w:rFonts w:ascii="Lato" w:eastAsia="Times New Roman" w:hAnsi="Lato" w:cs="Arial"/>
          <w:i/>
          <w:spacing w:val="4"/>
          <w:lang w:eastAsia="pl-PL"/>
        </w:rPr>
        <w:t xml:space="preserve">ustawy o </w:t>
      </w:r>
      <w:r w:rsidR="001C4E3A">
        <w:rPr>
          <w:rFonts w:ascii="Lato" w:eastAsia="Times New Roman" w:hAnsi="Lato" w:cs="Arial"/>
          <w:i/>
          <w:spacing w:val="4"/>
          <w:lang w:eastAsia="pl-PL"/>
        </w:rPr>
        <w:t> </w:t>
      </w:r>
      <w:r w:rsidRPr="001C4E3A">
        <w:rPr>
          <w:rFonts w:ascii="Lato" w:eastAsia="Times New Roman" w:hAnsi="Lato" w:cs="Arial"/>
          <w:iCs/>
          <w:spacing w:val="4"/>
          <w:lang w:eastAsia="pl-PL"/>
        </w:rPr>
        <w:t>udostępnianiu informacji o środowisku i jego ochronie</w:t>
      </w:r>
      <w:r w:rsidRPr="001C4E3A">
        <w:rPr>
          <w:rFonts w:ascii="Lato" w:eastAsia="Times New Roman" w:hAnsi="Lato" w:cs="Arial"/>
          <w:spacing w:val="4"/>
          <w:lang w:eastAsia="pl-PL"/>
        </w:rPr>
        <w:t xml:space="preserve">, w kolejnych decyzjach inwestycyjnych należy uwzględniać ustalenia decyzji o środowiskowych uwarunkowaniach. Tym samym, ustalenia decyzji o środowiskowych uwarunkowaniach w dużym stopniu determinują kształt inwestycji, który nie może w zasadzie ulec zmianom w kolejnych decyzjach inwestycyjnych. </w:t>
      </w:r>
    </w:p>
    <w:p w14:paraId="143BCC19" w14:textId="210B59F8" w:rsidR="006607DA" w:rsidRPr="001C4E3A" w:rsidRDefault="006607DA" w:rsidP="00AA6100">
      <w:pPr>
        <w:widowControl w:val="0"/>
        <w:autoSpaceDN w:val="0"/>
        <w:adjustRightInd w:val="0"/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kern w:val="1"/>
          <w:lang w:eastAsia="pl-PL" w:bidi="hi-IN"/>
        </w:rPr>
      </w:pPr>
      <w:r w:rsidRPr="001C4E3A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Tak więc należy stwierdzić, że ewentualne uwagi i zastrzeżenia co do skutków środowiskowych realizacji przedmiotowej inwestycji strony mogły zgłaszać w toku </w:t>
      </w:r>
      <w:r w:rsidR="00B02890">
        <w:rPr>
          <w:rFonts w:ascii="Lato" w:eastAsia="Times New Roman" w:hAnsi="Lato" w:cs="Arial"/>
          <w:bCs/>
          <w:spacing w:val="4"/>
          <w:kern w:val="1"/>
          <w:lang w:eastAsia="pl-PL" w:bidi="hi-IN"/>
        </w:rPr>
        <w:br/>
      </w:r>
      <w:r w:rsidRPr="001C4E3A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ww. postępowania środowiskowego. Z uzasadnienia decyzji </w:t>
      </w:r>
      <w:r w:rsidR="00F17EAC">
        <w:rPr>
          <w:rFonts w:ascii="Lato" w:eastAsia="Times New Roman" w:hAnsi="Lato" w:cs="Arial"/>
          <w:bCs/>
          <w:spacing w:val="4"/>
          <w:kern w:val="1"/>
          <w:lang w:eastAsia="pl-PL" w:bidi="hi-IN"/>
        </w:rPr>
        <w:t>Burmistrza Miasta i Gminy Cieszanów</w:t>
      </w:r>
      <w:r w:rsidRPr="001C4E3A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 nie wynika natomiast, aby na etapie postępowania w sprawie określenia środowiskowych uwarunkowań dla omawianej inwestycji skarżące </w:t>
      </w:r>
      <w:r w:rsidR="00E83A21">
        <w:rPr>
          <w:rFonts w:ascii="Lato" w:eastAsia="Times New Roman" w:hAnsi="Lato" w:cs="Arial"/>
          <w:bCs/>
          <w:spacing w:val="4"/>
          <w:kern w:val="1"/>
          <w:lang w:eastAsia="pl-PL" w:bidi="hi-IN"/>
        </w:rPr>
        <w:t>strony</w:t>
      </w:r>
      <w:r w:rsidR="00E83A21" w:rsidRPr="001C4E3A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 </w:t>
      </w:r>
      <w:r w:rsidRPr="001C4E3A">
        <w:rPr>
          <w:rFonts w:ascii="Lato" w:eastAsia="Times New Roman" w:hAnsi="Lato" w:cs="Arial"/>
          <w:bCs/>
          <w:spacing w:val="4"/>
          <w:kern w:val="1"/>
          <w:lang w:eastAsia="pl-PL" w:bidi="hi-IN"/>
        </w:rPr>
        <w:t>wnosiły jakiekolwiek uwagi czy zastrzeżenia</w:t>
      </w:r>
      <w:r w:rsidR="00F17EAC">
        <w:rPr>
          <w:rFonts w:ascii="Lato" w:eastAsia="Times New Roman" w:hAnsi="Lato" w:cs="Arial"/>
          <w:bCs/>
          <w:spacing w:val="4"/>
          <w:kern w:val="1"/>
          <w:lang w:eastAsia="pl-PL" w:bidi="hi-IN"/>
        </w:rPr>
        <w:t>, co było już sygnalizowane w niniejszym rozstrzygnięciu</w:t>
      </w:r>
      <w:r w:rsidRPr="001C4E3A">
        <w:rPr>
          <w:rFonts w:ascii="Lato" w:eastAsia="Times New Roman" w:hAnsi="Lato" w:cs="Arial"/>
          <w:bCs/>
          <w:spacing w:val="4"/>
          <w:kern w:val="1"/>
          <w:lang w:eastAsia="pl-PL" w:bidi="hi-IN"/>
        </w:rPr>
        <w:t>.</w:t>
      </w:r>
    </w:p>
    <w:p w14:paraId="18A2D08A" w14:textId="39CF8659" w:rsidR="006302CD" w:rsidRPr="006302CD" w:rsidRDefault="006607DA" w:rsidP="00AA6100">
      <w:pPr>
        <w:widowControl w:val="0"/>
        <w:autoSpaceDN w:val="0"/>
        <w:adjustRightInd w:val="0"/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kern w:val="1"/>
          <w:lang w:eastAsia="pl-PL" w:bidi="hi-IN"/>
        </w:rPr>
      </w:pPr>
      <w:r w:rsidRPr="001C4E3A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W przedmiotowej decyzji środowiskowej </w:t>
      </w:r>
      <w:r w:rsidR="002B122F">
        <w:rPr>
          <w:rFonts w:ascii="Lato" w:eastAsia="Times New Roman" w:hAnsi="Lato" w:cs="Arial"/>
          <w:bCs/>
          <w:spacing w:val="4"/>
          <w:kern w:val="1"/>
          <w:lang w:eastAsia="pl-PL" w:bidi="hi-IN"/>
        </w:rPr>
        <w:t>wskazano, iż zakres przedsięwzięcia obejmuje – w odcinku od stacji Tomaszów Południe do słupa nr 7 – wymianę przewodu odgromowego aluminiowo-stalowego z włóknami światłowodowymi typu OGPW na przewód aluminiowo-stalowy</w:t>
      </w:r>
      <w:r w:rsidR="002B122F" w:rsidRPr="002B122F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 </w:t>
      </w:r>
      <w:r w:rsidR="002B122F">
        <w:rPr>
          <w:rFonts w:ascii="Lato" w:eastAsia="Times New Roman" w:hAnsi="Lato" w:cs="Arial"/>
          <w:bCs/>
          <w:spacing w:val="4"/>
          <w:kern w:val="1"/>
          <w:lang w:eastAsia="pl-PL" w:bidi="hi-IN"/>
        </w:rPr>
        <w:t>z włóknami światłowodowymi typu OGPW, zaś w odcinku od słupa nr 7 do stacji Lubaczów demontaż przewodów fazowych aluminiowo-stalowych AFL-6 120 mm2 i przewodu odgromowego aluminiowo-stalowego z włóknami światłowodowymi oraz zawieszenie nowych przewodów fazowych aluminiowo-stalowych AFLs-10 300 mm2 oraz odgromowego stalowo-aluminiowego z włóknami światłowodowymi typu OPGW. Realizacja omawianego przedsięwzięcia ma na celu przede wszystkim poprawę bezpieczeństwa energetycznego i niezawodności zasilania,</w:t>
      </w:r>
      <w:r w:rsidR="00CC435D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 a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 w:rsidR="00CC435D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także </w:t>
      </w:r>
      <w:r w:rsidR="002B122F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zwiększenie przepustowości linii przez zastosowanie przewodów fazowych o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 w:rsidR="002B122F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zwiększonej </w:t>
      </w:r>
      <w:r w:rsidR="00CC435D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obciążalności prądowej. Dodatkowo, jak podkreślał inwestor w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 w:rsidR="00CC435D">
        <w:rPr>
          <w:rFonts w:ascii="Lato" w:eastAsia="Times New Roman" w:hAnsi="Lato" w:cs="Arial"/>
          <w:bCs/>
          <w:spacing w:val="4"/>
          <w:kern w:val="1"/>
          <w:lang w:eastAsia="pl-PL" w:bidi="hi-IN"/>
        </w:rPr>
        <w:t>wyjaśnieniach, światłowód to włókno szklane</w:t>
      </w:r>
      <w:r w:rsidR="006302CD">
        <w:rPr>
          <w:rFonts w:ascii="Lato" w:eastAsia="Times New Roman" w:hAnsi="Lato" w:cs="Arial"/>
          <w:bCs/>
          <w:spacing w:val="4"/>
          <w:kern w:val="1"/>
          <w:lang w:eastAsia="pl-PL" w:bidi="hi-IN"/>
        </w:rPr>
        <w:t>, p</w:t>
      </w:r>
      <w:r w:rsidR="00CC435D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rzy użyciu którego </w:t>
      </w:r>
      <w:r w:rsidR="006302CD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przesyłane są sygnały optyczne. </w:t>
      </w:r>
      <w:r w:rsidR="006302CD" w:rsidRPr="006302CD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Są to materiały powszechnie używane i bezpieczne w użytkowaniu i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 w:rsidR="006302CD" w:rsidRPr="006302CD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w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 w:rsidR="006302CD" w:rsidRPr="006302CD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żaden sposób nie oddziałują szkodliwie na środowisko i zdrowie ludzi. </w:t>
      </w:r>
      <w:r w:rsidR="006302CD">
        <w:rPr>
          <w:rFonts w:ascii="Lato" w:eastAsia="Times New Roman" w:hAnsi="Lato" w:cs="Arial"/>
          <w:bCs/>
          <w:spacing w:val="4"/>
          <w:kern w:val="1"/>
          <w:lang w:eastAsia="pl-PL" w:bidi="hi-IN"/>
        </w:rPr>
        <w:t>Podkreślenia również wymaga</w:t>
      </w:r>
      <w:r w:rsidR="006302CD" w:rsidRPr="006302CD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, że nowe przewody OPGW będą, jako część linii, zawieszone w tym samym korytarzu przestrzennym, w którym funkcjonują dotychczasowe przewody </w:t>
      </w:r>
      <w:r w:rsidR="006302CD" w:rsidRPr="006302CD">
        <w:rPr>
          <w:rFonts w:ascii="Lato" w:eastAsia="Times New Roman" w:hAnsi="Lato" w:cs="Arial"/>
          <w:bCs/>
          <w:spacing w:val="4"/>
          <w:kern w:val="1"/>
          <w:lang w:eastAsia="pl-PL" w:bidi="hi-IN"/>
        </w:rPr>
        <w:lastRenderedPageBreak/>
        <w:t>OPGW, które również zawierają włókna światłowodowe.</w:t>
      </w:r>
      <w:r w:rsidR="006302CD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 </w:t>
      </w:r>
    </w:p>
    <w:p w14:paraId="3CEABBD3" w14:textId="6EA4961F" w:rsidR="00F17EAC" w:rsidRDefault="008B42E7" w:rsidP="00AA6100">
      <w:pPr>
        <w:widowControl w:val="0"/>
        <w:autoSpaceDN w:val="0"/>
        <w:adjustRightInd w:val="0"/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kern w:val="1"/>
          <w:lang w:eastAsia="pl-PL" w:bidi="hi-IN"/>
        </w:rPr>
      </w:pPr>
      <w:r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W decyzji o środowiskowych uwarunkowaniach wśród parametrów przedsięwzięcia wskazano </w:t>
      </w:r>
      <w:r w:rsidR="00574E65">
        <w:rPr>
          <w:rFonts w:ascii="Lato" w:eastAsia="Times New Roman" w:hAnsi="Lato" w:cs="Arial"/>
          <w:bCs/>
          <w:spacing w:val="4"/>
          <w:kern w:val="1"/>
          <w:lang w:eastAsia="pl-PL" w:bidi="hi-IN"/>
        </w:rPr>
        <w:t>wartości prądu obciążenia około 400A, 830A. Jednocześnie, jak wyjaśnił inwestor, wartość prądu obciążenia jest zmienna w zależności od zewnętrznych warunków atmosferycznych, jednak nie może przekroczyć maksymalnej wartości 830A</w:t>
      </w:r>
      <w:r w:rsidR="00FB618A">
        <w:rPr>
          <w:rFonts w:ascii="Lato" w:eastAsia="Times New Roman" w:hAnsi="Lato" w:cs="Arial"/>
          <w:bCs/>
          <w:spacing w:val="4"/>
          <w:kern w:val="1"/>
          <w:lang w:eastAsia="pl-PL" w:bidi="hi-IN"/>
        </w:rPr>
        <w:t>.</w:t>
      </w:r>
    </w:p>
    <w:p w14:paraId="116B3780" w14:textId="3A733CD3" w:rsidR="00B43454" w:rsidRPr="00AA6100" w:rsidRDefault="00FB618A" w:rsidP="00AA6100">
      <w:pPr>
        <w:widowControl w:val="0"/>
        <w:autoSpaceDN w:val="0"/>
        <w:adjustRightInd w:val="0"/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kern w:val="1"/>
          <w:lang w:eastAsia="pl-PL" w:bidi="hi-IN"/>
        </w:rPr>
      </w:pPr>
      <w:r>
        <w:rPr>
          <w:rFonts w:ascii="Lato" w:eastAsia="Times New Roman" w:hAnsi="Lato" w:cs="Arial"/>
          <w:bCs/>
          <w:spacing w:val="4"/>
          <w:kern w:val="1"/>
          <w:lang w:eastAsia="pl-PL" w:bidi="hi-IN"/>
        </w:rPr>
        <w:t>W odniesieniu do podnoszonej przez skarżących kwestii użycia styropianu do zabezpieczania drzew, który to materiał „może być zgryzany przez zwierzęta oraz rozrzucany w terenie i roznoszony przez wiatr” decyzja Burmistrza Miasta i Gminy Cieszanów traktuje, iż na etapie realizacji i eksploatacji przedsięwzięcia pnie drzew nieprzeznaczonych do wycinki znajdujących się w bezpośrednim sąsiedztwie prowadzonych prac zostaną zabezpieczone poprzez obłożenie ich matami słomianymi, tkaninami jutowymi lub ekranami z desek. Mocowanie osłon do pni drzew zostanie wykonane bez użycia gwoździ. W przypadku użycia desek, nie będą się one opierały na szyjkach korzeniowych, ale na podłożu. Pomiędzy deskami a pniem wyłożony zostanie materiał zapobiegający ich</w:t>
      </w:r>
      <w:r w:rsidR="000C2F50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 bezpośredniemu przyleganiu, np. materiały jutowe, maty słomiane, rury elastyczne PCV, styropian. Ostatecznie oszalowanie zostanie zabezpieczone sznurem lub drutem. Podsumowując powyższe, co wynika też z wyjaśnień inwestora, warunki wskazane w decyzji o środowiskowych uwarunkowaniach </w:t>
      </w:r>
      <w:r w:rsidR="000C2F50" w:rsidRPr="000C2F50">
        <w:rPr>
          <w:rFonts w:ascii="Lato" w:eastAsia="Times New Roman" w:hAnsi="Lato" w:cs="Arial"/>
          <w:bCs/>
          <w:spacing w:val="4"/>
          <w:kern w:val="1"/>
          <w:lang w:eastAsia="pl-PL" w:bidi="hi-IN"/>
        </w:rPr>
        <w:t>dopuszczają wprawdzie użycie styropianu do zabezpieczenia pni drzew</w:t>
      </w:r>
      <w:r w:rsidR="000C2F50" w:rsidRPr="000C2F50">
        <w:rPr>
          <w:rFonts w:ascii="Lato" w:eastAsia="Times New Roman" w:hAnsi="Lato" w:cs="Arial"/>
          <w:bCs/>
          <w:i/>
          <w:iCs/>
          <w:spacing w:val="4"/>
          <w:kern w:val="1"/>
          <w:lang w:eastAsia="pl-PL" w:bidi="hi-IN"/>
        </w:rPr>
        <w:t xml:space="preserve"> (</w:t>
      </w:r>
      <w:r w:rsidR="000C2F50" w:rsidRPr="009A040E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jako jednego z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 w:rsidR="000C2F50" w:rsidRPr="009A040E">
        <w:rPr>
          <w:rFonts w:ascii="Lato" w:eastAsia="Times New Roman" w:hAnsi="Lato" w:cs="Arial"/>
          <w:bCs/>
          <w:spacing w:val="4"/>
          <w:kern w:val="1"/>
          <w:lang w:eastAsia="pl-PL" w:bidi="hi-IN"/>
        </w:rPr>
        <w:t>możliwych materiałów</w:t>
      </w:r>
      <w:r w:rsidR="000C2F50" w:rsidRPr="000C2F50">
        <w:rPr>
          <w:rFonts w:ascii="Lato" w:eastAsia="Times New Roman" w:hAnsi="Lato" w:cs="Arial"/>
          <w:bCs/>
          <w:i/>
          <w:iCs/>
          <w:spacing w:val="4"/>
          <w:kern w:val="1"/>
          <w:lang w:eastAsia="pl-PL" w:bidi="hi-IN"/>
        </w:rPr>
        <w:t>),</w:t>
      </w:r>
      <w:r w:rsidR="000C2F50" w:rsidRPr="000C2F50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 jednakże wyłącznie jako „wypełniacza" przestrzeni pomiędzy pniem a deskami, żeby zapobiec przyleganiu desek bezpośrednio do pnia. Oszalowanie ma zostać zabezpieczone sznurem lub drutem. Z powyższego wynika, że </w:t>
      </w:r>
      <w:r w:rsidR="000C2F50" w:rsidRPr="00AA6100">
        <w:rPr>
          <w:rFonts w:ascii="Lato" w:eastAsia="Times New Roman" w:hAnsi="Lato" w:cs="Arial"/>
          <w:bCs/>
          <w:spacing w:val="4"/>
          <w:kern w:val="1"/>
          <w:lang w:eastAsia="pl-PL" w:bidi="hi-IN"/>
        </w:rPr>
        <w:t>styropian, jeśli w ogóle zostanie użyty, będzie niedostępny dla zwierząt i nie będzie mógł zostać rozrzucany w terenie lub rozniesiony przez wiatr.</w:t>
      </w:r>
    </w:p>
    <w:p w14:paraId="5A0F729B" w14:textId="6476005C" w:rsidR="00913229" w:rsidRDefault="003E5592" w:rsidP="00AA6100">
      <w:pPr>
        <w:widowControl w:val="0"/>
        <w:autoSpaceDN w:val="0"/>
        <w:adjustRightInd w:val="0"/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kern w:val="1"/>
          <w:lang w:eastAsia="pl-PL" w:bidi="hi-IN"/>
        </w:rPr>
      </w:pPr>
      <w:r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Co do zaś obaw o brak ustalenia osłony w postaci ekranu akustycznego dla słupa nr 134, projektowanego na działce nr 488, obręb 0021 Załuże, wyjaśnić należy, iż w pkt II.9 decyzji o środowiskowych uwarunkowaniach wskazano, że w trakcie prac budowlanych zastosowane będzie przenośne pełne ogrodzenie pełniące rolę ekranu akustycznego o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wysokości min. 3 m n.p.t. W szczególności zastosowane będzie ono w celu ochrony akustycznej budynków mieszkalnych położonych w rejonie słupów: nr 27, nr 37, nr 117, nr 155. Podkreślenia wymaga, że użyte w treści rozstrzygnięcia sformułowanie „w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szczególności” nie zamyka możliwości </w:t>
      </w:r>
      <w:r w:rsidR="00913229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zastosowania ww. ogrodzenia również w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 w:rsidR="00913229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rejonie słupa nr 134. Jeśli w jego pobliżu znajdują się budynki mieszkalne wymagające ochrony akustycznej, inwestor będzie zobowiązany do zastosowania ww. zabezpieczenia. </w:t>
      </w:r>
    </w:p>
    <w:p w14:paraId="5B1121FA" w14:textId="154E0477" w:rsidR="00F17EAC" w:rsidRDefault="007A441F" w:rsidP="00AA6100">
      <w:pPr>
        <w:widowControl w:val="0"/>
        <w:autoSpaceDN w:val="0"/>
        <w:adjustRightInd w:val="0"/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kern w:val="1"/>
          <w:lang w:eastAsia="pl-PL" w:bidi="hi-IN"/>
        </w:rPr>
      </w:pPr>
      <w:r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Bezzasadny jest także zarzut dotyczący braku </w:t>
      </w:r>
      <w:r w:rsidRPr="007A441F">
        <w:rPr>
          <w:rFonts w:ascii="Lato" w:eastAsia="Times New Roman" w:hAnsi="Lato" w:cs="Arial"/>
          <w:bCs/>
          <w:spacing w:val="4"/>
          <w:kern w:val="1"/>
          <w:lang w:eastAsia="pl-PL" w:bidi="hi-IN"/>
        </w:rPr>
        <w:t>jednoznacznego określenia lokalizacji przenośnych sanitariatów na zapleczu budowy</w:t>
      </w:r>
      <w:r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. Decyzja o środowiskowych uwarunkowaniach uwzględnia wprawdzie, że biuro budowy będzie zorganizowane w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wynajętych pomieszczeniach z sanitariatami lub jako kontener z węzłem sanitarnym. </w:t>
      </w:r>
      <w:r w:rsidR="001614B5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Natomiast </w:t>
      </w:r>
      <w:r w:rsidR="00A16D44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nie można oczekiwać, aby </w:t>
      </w:r>
      <w:r w:rsidR="001614B5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decyzja środowiskowa ani decyzja o ustaleniu lokalizacji inwestycji towarzyszącej strategicznej inwestycji w zakresie sieci przesyłowej </w:t>
      </w:r>
      <w:r w:rsidR="00A16D44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konkretyzowała lokalizację zaplecza budowy. </w:t>
      </w:r>
      <w:r w:rsidR="00A16D44" w:rsidRPr="00A16D44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W tym miejscu wyjaśnić trzeba, że decyzja o ustaleniu lokalizacji </w:t>
      </w:r>
      <w:r w:rsidR="00A16D44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inwestycji towarzyszącej </w:t>
      </w:r>
      <w:r w:rsidR="00A16D44" w:rsidRPr="00A16D4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strategicznej inwestycji w zakresie sieci przesyłowej wyznacza jedynie ogólne, podstawowe kierunki zamierzenia inwestycyjnego, podlegające dalszym uszczegółowieniom, przewidzianym w prawie budowlanym i przepisach o warunkach technicznych</w:t>
      </w:r>
      <w:r w:rsidR="00A16D4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.</w:t>
      </w:r>
    </w:p>
    <w:p w14:paraId="51D758A8" w14:textId="348910B4" w:rsidR="00A16D44" w:rsidRDefault="00A16D44" w:rsidP="00AA6100">
      <w:pPr>
        <w:widowControl w:val="0"/>
        <w:autoSpaceDN w:val="0"/>
        <w:adjustRightInd w:val="0"/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kern w:val="1"/>
          <w:lang w:eastAsia="pl-PL" w:bidi="hi-IN"/>
        </w:rPr>
      </w:pPr>
      <w:r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Błędne są </w:t>
      </w:r>
      <w:r w:rsidR="00CB1DEA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twierdzenia skarżących o wewnętrznie sprzecznej decyzji zobowiązującej do użycia materiałów niepalnych przy jednoczesnym dopuszczeniu użycia styropianu i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 w:rsidR="00CB1DEA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drewna. Wyjaśnić w tym miejscu należy, że decyzja Wojewody Podkarpackiego w pkt IV określającym warunki </w:t>
      </w:r>
      <w:r w:rsidR="009C1728">
        <w:rPr>
          <w:rFonts w:ascii="Lato" w:eastAsia="Times New Roman" w:hAnsi="Lato" w:cs="Arial"/>
          <w:bCs/>
          <w:spacing w:val="4"/>
          <w:kern w:val="1"/>
          <w:lang w:eastAsia="pl-PL" w:bidi="hi-IN"/>
        </w:rPr>
        <w:t>ochrony przeciwpożarowej</w:t>
      </w:r>
      <w:r w:rsidR="00133C7A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 dla przedmiotowej inwestycji </w:t>
      </w:r>
      <w:r w:rsidR="00133C7A">
        <w:rPr>
          <w:rFonts w:ascii="Lato" w:eastAsia="Times New Roman" w:hAnsi="Lato" w:cs="Arial"/>
          <w:bCs/>
          <w:spacing w:val="4"/>
          <w:kern w:val="1"/>
          <w:lang w:eastAsia="pl-PL" w:bidi="hi-IN"/>
        </w:rPr>
        <w:lastRenderedPageBreak/>
        <w:t xml:space="preserve">zastrzega, że przy realizacji przedsięwzięcia należy wykorzystać materiały niepalne. Natomiast odrębną kwestią jest wskazywany już w niniejszym rozstrzygnięciu wymóg ochrony drzew - określony w decyzji o środowiskowych uwarunkowaniach - przy użyciu desek i styropianu (jako jednych z możliwych materiałów) jedynie na czas trwania robót budowlanych w pobliżu drzew. </w:t>
      </w:r>
    </w:p>
    <w:p w14:paraId="1F8D0B58" w14:textId="6049C961" w:rsidR="00F17EAC" w:rsidRDefault="005F69C1" w:rsidP="00AA6100">
      <w:pPr>
        <w:widowControl w:val="0"/>
        <w:autoSpaceDN w:val="0"/>
        <w:adjustRightInd w:val="0"/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kern w:val="1"/>
          <w:lang w:eastAsia="pl-PL" w:bidi="hi-IN"/>
        </w:rPr>
      </w:pPr>
      <w:r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Podsumowując, stwierdzić należy, że organ środowiskowy nałożył na inwestora określone warunki, jakie należy uwzględnić przy realizacji przedmiotowej inwestycji. Jednocześnie w pkt III kontrolowanej decyzji Wojewoda Podkarpacki określił warunki wynikające z potrzeb ochrony środowiska, wskazując, iż omawiana inwestycja winna spełniać warunki określone w ww. decyzji Burmistrza Miasta i Gminy Cieszanów z dnia 16 czerwca 2021 r. </w:t>
      </w:r>
    </w:p>
    <w:p w14:paraId="42D38C02" w14:textId="6B25F3C1" w:rsidR="00C41C8C" w:rsidRPr="009A040E" w:rsidRDefault="006607DA" w:rsidP="00AA6100">
      <w:pPr>
        <w:widowControl w:val="0"/>
        <w:autoSpaceDN w:val="0"/>
        <w:adjustRightInd w:val="0"/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kern w:val="1"/>
          <w:lang w:eastAsia="pl-PL" w:bidi="hi-IN"/>
        </w:rPr>
      </w:pPr>
      <w:r w:rsidRPr="009A040E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W związku z powyższym, zarówno Wojewoda </w:t>
      </w:r>
      <w:r w:rsidR="005F69C1">
        <w:rPr>
          <w:rFonts w:ascii="Lato" w:eastAsia="Times New Roman" w:hAnsi="Lato" w:cs="Arial"/>
          <w:bCs/>
          <w:spacing w:val="4"/>
          <w:kern w:val="1"/>
          <w:lang w:eastAsia="pl-PL" w:bidi="hi-IN"/>
        </w:rPr>
        <w:t>Podkarpacki</w:t>
      </w:r>
      <w:r w:rsidRPr="009A040E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, jak i </w:t>
      </w:r>
      <w:r w:rsidRPr="009A040E">
        <w:rPr>
          <w:rFonts w:ascii="Lato" w:eastAsia="Times New Roman" w:hAnsi="Lato" w:cs="Arial"/>
          <w:bCs/>
          <w:i/>
          <w:iCs/>
          <w:spacing w:val="4"/>
          <w:kern w:val="1"/>
          <w:lang w:eastAsia="pl-PL" w:bidi="hi-IN"/>
        </w:rPr>
        <w:t>Minister</w:t>
      </w:r>
      <w:r w:rsidRPr="009A040E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, w ramach postępowania w sprawie wydania decyzji o ustaleniu lokalizacji inwestycji </w:t>
      </w:r>
      <w:r w:rsidR="005F69C1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towarzyszącej strategicznej inwestycji </w:t>
      </w:r>
      <w:r w:rsidRPr="009A040E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w zakresie sieci przesyłowej, związani byli ustaleniami decyzji w </w:t>
      </w:r>
      <w:r w:rsidR="00527684">
        <w:rPr>
          <w:rFonts w:ascii="Lato" w:eastAsia="Times New Roman" w:hAnsi="Lato" w:cs="Arial"/>
          <w:bCs/>
          <w:spacing w:val="4"/>
          <w:kern w:val="1"/>
          <w:lang w:eastAsia="pl-PL" w:bidi="hi-IN"/>
        </w:rPr>
        <w:t> </w:t>
      </w:r>
      <w:r w:rsidRPr="009A040E">
        <w:rPr>
          <w:rFonts w:ascii="Lato" w:eastAsia="Times New Roman" w:hAnsi="Lato" w:cs="Arial"/>
          <w:bCs/>
          <w:spacing w:val="4"/>
          <w:kern w:val="1"/>
          <w:lang w:eastAsia="pl-PL" w:bidi="hi-IN"/>
        </w:rPr>
        <w:t>przedmiocie środowiskowych uwarunkowań realizacji omawianego przedsięwzięcia. Nie można zatem podważać decyzji podjętej na podstawie specustawy przesyłowej przez podnoszenie nowych okoliczności w dziedzinie, w której zapadło już ostateczne rozstrzygnięcie organu właściwego dla ochrony środowiska (vide: wyrok Wojewódzkiego Sądu Administracyjnego w Warszawie z dnia 4 kwietnia 2017 r., sygn. akt VII SA/</w:t>
      </w:r>
      <w:proofErr w:type="spellStart"/>
      <w:r w:rsidRPr="009A040E">
        <w:rPr>
          <w:rFonts w:ascii="Lato" w:eastAsia="Times New Roman" w:hAnsi="Lato" w:cs="Arial"/>
          <w:bCs/>
          <w:spacing w:val="4"/>
          <w:kern w:val="1"/>
          <w:lang w:eastAsia="pl-PL" w:bidi="hi-IN"/>
        </w:rPr>
        <w:t>Wa</w:t>
      </w:r>
      <w:proofErr w:type="spellEnd"/>
      <w:r w:rsidRPr="009A040E">
        <w:rPr>
          <w:rFonts w:ascii="Lato" w:eastAsia="Times New Roman" w:hAnsi="Lato" w:cs="Arial"/>
          <w:bCs/>
          <w:spacing w:val="4"/>
          <w:kern w:val="1"/>
          <w:lang w:eastAsia="pl-PL" w:bidi="hi-IN"/>
        </w:rPr>
        <w:t xml:space="preserve"> 199/17). </w:t>
      </w:r>
    </w:p>
    <w:p w14:paraId="00E97530" w14:textId="3B785461" w:rsidR="00EB6405" w:rsidRDefault="008967BE" w:rsidP="00EB6405">
      <w:pPr>
        <w:spacing w:after="0" w:line="240" w:lineRule="exact"/>
        <w:jc w:val="both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>W</w:t>
      </w:r>
      <w:r w:rsidR="00EB6405" w:rsidRPr="0072729E">
        <w:rPr>
          <w:rFonts w:ascii="Lato" w:hAnsi="Lato" w:cs="Arial"/>
          <w:bCs/>
          <w:spacing w:val="4"/>
        </w:rPr>
        <w:t xml:space="preserve">yjaśnić bowiem należy, że organy właściwe do wydania decyzji o ustaleniu lokalizacji inwestycji towarzyszącej inwestycjom w zakresie </w:t>
      </w:r>
      <w:r w:rsidR="00EB6405">
        <w:rPr>
          <w:rFonts w:ascii="Lato" w:hAnsi="Lato" w:cs="Arial"/>
          <w:bCs/>
          <w:spacing w:val="4"/>
        </w:rPr>
        <w:t>sieci przesyłowych</w:t>
      </w:r>
      <w:r w:rsidR="00EB6405" w:rsidRPr="0072729E">
        <w:rPr>
          <w:rFonts w:ascii="Lato" w:hAnsi="Lato" w:cs="Arial"/>
          <w:bCs/>
          <w:spacing w:val="4"/>
        </w:rPr>
        <w:t xml:space="preserve">, nie są uprawnione </w:t>
      </w:r>
      <w:r w:rsidR="00EB6405" w:rsidRPr="0072729E">
        <w:rPr>
          <w:rFonts w:ascii="Lato" w:hAnsi="Lato" w:cs="Arial"/>
          <w:bCs/>
          <w:spacing w:val="4"/>
        </w:rPr>
        <w:br/>
        <w:t xml:space="preserve">do oceny prawidłowości postępowania zakończonego wydaniem decyzji </w:t>
      </w:r>
      <w:r w:rsidR="00EB6405" w:rsidRPr="0072729E">
        <w:rPr>
          <w:rFonts w:ascii="Lato" w:hAnsi="Lato" w:cs="Arial"/>
          <w:bCs/>
          <w:spacing w:val="4"/>
        </w:rPr>
        <w:br/>
        <w:t xml:space="preserve">o środowiskowych uwarunkowaniach zgody na realizację przedsięwzięcia, </w:t>
      </w:r>
      <w:r w:rsidR="00EB6405" w:rsidRPr="0072729E">
        <w:rPr>
          <w:rFonts w:ascii="Lato" w:hAnsi="Lato" w:cs="Arial"/>
          <w:bCs/>
          <w:spacing w:val="4"/>
        </w:rPr>
        <w:br/>
        <w:t xml:space="preserve">jak i zgodności z prawem samej decyzji o środowiskowych uwarunkowaniach przedsięwzięcia. Kompetencja w tym zakresie przysługuje organom wskazanym </w:t>
      </w:r>
      <w:r w:rsidR="00EB6405" w:rsidRPr="0072729E">
        <w:rPr>
          <w:rFonts w:ascii="Lato" w:hAnsi="Lato" w:cs="Arial"/>
          <w:bCs/>
          <w:spacing w:val="4"/>
        </w:rPr>
        <w:br/>
        <w:t xml:space="preserve">w ustawie o udostępnianiu informacji o środowisku i jego ochronie. Niedopuszczalna jest zatem, w postępowaniu o wydanie decyzji o ustaleniu lokalizacji inwestycji towarzyszącej inwestycjom w zakresie </w:t>
      </w:r>
      <w:r w:rsidR="00EB6405">
        <w:rPr>
          <w:rFonts w:ascii="Lato" w:hAnsi="Lato" w:cs="Arial"/>
          <w:bCs/>
          <w:spacing w:val="4"/>
        </w:rPr>
        <w:t>sieci przesyłowych</w:t>
      </w:r>
      <w:r w:rsidR="00EB6405" w:rsidRPr="0072729E">
        <w:rPr>
          <w:rFonts w:ascii="Lato" w:hAnsi="Lato" w:cs="Arial"/>
          <w:bCs/>
          <w:spacing w:val="4"/>
        </w:rPr>
        <w:t xml:space="preserve">, analiza (ocena) decyzji </w:t>
      </w:r>
      <w:r w:rsidR="00EB6405" w:rsidRPr="0072729E">
        <w:rPr>
          <w:rFonts w:ascii="Lato" w:hAnsi="Lato" w:cs="Arial"/>
          <w:bCs/>
          <w:spacing w:val="4"/>
        </w:rPr>
        <w:br/>
        <w:t xml:space="preserve">o środowiskowych uwarunkowaniach (pod kątem jej prawidłowości i zgodności </w:t>
      </w:r>
      <w:r w:rsidR="00EB6405" w:rsidRPr="0072729E">
        <w:rPr>
          <w:rFonts w:ascii="Lato" w:hAnsi="Lato" w:cs="Arial"/>
          <w:bCs/>
          <w:spacing w:val="4"/>
        </w:rPr>
        <w:br/>
        <w:t xml:space="preserve">z przepisami prawa), wydanej w odrębnym postępowaniu, jak również dokumentów stanowiących podstawę jej wydania (por. wyroki Naczelnego Sądu Administracyjnego z </w:t>
      </w:r>
      <w:r w:rsidR="00626178">
        <w:rPr>
          <w:rFonts w:ascii="Lato" w:hAnsi="Lato" w:cs="Arial"/>
          <w:bCs/>
          <w:spacing w:val="4"/>
        </w:rPr>
        <w:t> </w:t>
      </w:r>
      <w:r w:rsidR="00EB6405" w:rsidRPr="0072729E">
        <w:rPr>
          <w:rFonts w:ascii="Lato" w:hAnsi="Lato" w:cs="Arial"/>
          <w:bCs/>
          <w:spacing w:val="4"/>
        </w:rPr>
        <w:t xml:space="preserve">dnia 22 stycznia 2013 r., sygn. akt II OSK 1737/11 z dnia 27 czerwca 2012 r., sygn. akt II OSK 710/11, </w:t>
      </w:r>
      <w:proofErr w:type="spellStart"/>
      <w:r w:rsidR="00EB6405" w:rsidRPr="0072729E">
        <w:rPr>
          <w:rFonts w:ascii="Lato" w:hAnsi="Lato" w:cs="Arial"/>
          <w:bCs/>
          <w:spacing w:val="4"/>
        </w:rPr>
        <w:t>opubl</w:t>
      </w:r>
      <w:proofErr w:type="spellEnd"/>
      <w:r w:rsidR="00EB6405" w:rsidRPr="0072729E">
        <w:rPr>
          <w:rFonts w:ascii="Lato" w:hAnsi="Lato" w:cs="Arial"/>
          <w:bCs/>
          <w:spacing w:val="4"/>
        </w:rPr>
        <w:t xml:space="preserve">. Centralna Baza Orzeczeń Sądów Administracyjnych - zapadłe co prawda na podstawie </w:t>
      </w:r>
      <w:r w:rsidR="00EB6405" w:rsidRPr="009A040E">
        <w:rPr>
          <w:rFonts w:ascii="Lato" w:hAnsi="Lato" w:cs="Arial"/>
          <w:bCs/>
          <w:spacing w:val="4"/>
        </w:rPr>
        <w:t>specustawy drogowej</w:t>
      </w:r>
      <w:r w:rsidR="00EB6405" w:rsidRPr="0072729E">
        <w:rPr>
          <w:rFonts w:ascii="Lato" w:hAnsi="Lato" w:cs="Arial"/>
          <w:bCs/>
          <w:spacing w:val="4"/>
        </w:rPr>
        <w:t xml:space="preserve">, ale aktualne w świetle przepisów </w:t>
      </w:r>
      <w:r w:rsidR="00EB6405" w:rsidRPr="009A040E">
        <w:rPr>
          <w:rFonts w:ascii="Lato" w:hAnsi="Lato" w:cs="Arial"/>
          <w:bCs/>
          <w:spacing w:val="4"/>
        </w:rPr>
        <w:t>specustawy przesyłowej</w:t>
      </w:r>
      <w:r w:rsidR="00EB6405" w:rsidRPr="0072729E">
        <w:rPr>
          <w:rFonts w:ascii="Lato" w:hAnsi="Lato" w:cs="Arial"/>
          <w:bCs/>
          <w:spacing w:val="4"/>
        </w:rPr>
        <w:t>).</w:t>
      </w:r>
    </w:p>
    <w:p w14:paraId="228495CC" w14:textId="1BE7A677" w:rsidR="006607DA" w:rsidRDefault="00EB6405" w:rsidP="008967BE">
      <w:pPr>
        <w:spacing w:after="0" w:line="240" w:lineRule="exact"/>
        <w:jc w:val="both"/>
        <w:rPr>
          <w:rFonts w:ascii="Lato" w:hAnsi="Lato" w:cs="Arial"/>
          <w:bCs/>
          <w:spacing w:val="4"/>
        </w:rPr>
      </w:pPr>
      <w:r w:rsidRPr="0072729E">
        <w:rPr>
          <w:rFonts w:ascii="Lato" w:hAnsi="Lato" w:cs="Arial"/>
          <w:bCs/>
          <w:spacing w:val="4"/>
        </w:rPr>
        <w:br/>
        <w:t xml:space="preserve">W niniejszej sprawie do wniosku o wydanie decyzji o ustaleniu lokalizacji ww. inwestycji towarzyszącej </w:t>
      </w:r>
      <w:r w:rsidR="008967BE">
        <w:rPr>
          <w:rFonts w:ascii="Lato" w:hAnsi="Lato" w:cs="Arial"/>
          <w:bCs/>
          <w:spacing w:val="4"/>
        </w:rPr>
        <w:t xml:space="preserve">strategicznej </w:t>
      </w:r>
      <w:r w:rsidRPr="0072729E">
        <w:rPr>
          <w:rFonts w:ascii="Lato" w:hAnsi="Lato" w:cs="Arial"/>
          <w:bCs/>
          <w:spacing w:val="4"/>
        </w:rPr>
        <w:t>inwestycj</w:t>
      </w:r>
      <w:r w:rsidR="008967BE">
        <w:rPr>
          <w:rFonts w:ascii="Lato" w:hAnsi="Lato" w:cs="Arial"/>
          <w:bCs/>
          <w:spacing w:val="4"/>
        </w:rPr>
        <w:t>i</w:t>
      </w:r>
      <w:r w:rsidRPr="0072729E">
        <w:rPr>
          <w:rFonts w:ascii="Lato" w:hAnsi="Lato" w:cs="Arial"/>
          <w:bCs/>
          <w:spacing w:val="4"/>
        </w:rPr>
        <w:t xml:space="preserve"> w zakresie </w:t>
      </w:r>
      <w:r>
        <w:rPr>
          <w:rFonts w:ascii="Lato" w:hAnsi="Lato" w:cs="Arial"/>
          <w:bCs/>
          <w:spacing w:val="4"/>
        </w:rPr>
        <w:t>sieci przesyłowych</w:t>
      </w:r>
      <w:r w:rsidRPr="0072729E">
        <w:rPr>
          <w:rFonts w:ascii="Lato" w:hAnsi="Lato" w:cs="Arial"/>
          <w:bCs/>
          <w:spacing w:val="4"/>
        </w:rPr>
        <w:t xml:space="preserve">, inwestor przedłożył ostateczną decyzję o środowiskowych uwarunkowaniach. Decyzja ta, jako ostateczna w </w:t>
      </w:r>
      <w:r w:rsidR="00C37427">
        <w:rPr>
          <w:rFonts w:ascii="Lato" w:hAnsi="Lato" w:cs="Arial"/>
          <w:bCs/>
          <w:spacing w:val="4"/>
        </w:rPr>
        <w:t> </w:t>
      </w:r>
      <w:r w:rsidRPr="0072729E">
        <w:rPr>
          <w:rFonts w:ascii="Lato" w:hAnsi="Lato" w:cs="Arial"/>
          <w:bCs/>
          <w:spacing w:val="4"/>
        </w:rPr>
        <w:t xml:space="preserve">toku instancji, korzysta z wyrażonej w art. 16 § 1 </w:t>
      </w:r>
      <w:r w:rsidRPr="0072729E">
        <w:rPr>
          <w:rFonts w:ascii="Lato" w:hAnsi="Lato" w:cs="Arial"/>
          <w:bCs/>
          <w:i/>
          <w:iCs/>
          <w:spacing w:val="4"/>
        </w:rPr>
        <w:t>kpa</w:t>
      </w:r>
      <w:r w:rsidRPr="0072729E">
        <w:rPr>
          <w:rFonts w:ascii="Lato" w:hAnsi="Lato" w:cs="Arial"/>
          <w:bCs/>
          <w:spacing w:val="4"/>
        </w:rPr>
        <w:t xml:space="preserve"> zasady ochrony trwałości takich decyzji. Decyzje ostateczne objęte są domniemaniem prawidłowości. W </w:t>
      </w:r>
      <w:r w:rsidR="00392B42">
        <w:rPr>
          <w:rFonts w:ascii="Lato" w:hAnsi="Lato" w:cs="Arial"/>
          <w:bCs/>
          <w:spacing w:val="4"/>
        </w:rPr>
        <w:t> </w:t>
      </w:r>
      <w:r w:rsidRPr="0072729E">
        <w:rPr>
          <w:rFonts w:ascii="Lato" w:hAnsi="Lato" w:cs="Arial"/>
          <w:bCs/>
          <w:spacing w:val="4"/>
        </w:rPr>
        <w:t xml:space="preserve">systemie prawa polskiego każda ostateczna decyzja administracyjna korzysta z </w:t>
      </w:r>
      <w:r w:rsidR="00527684">
        <w:rPr>
          <w:rFonts w:ascii="Lato" w:hAnsi="Lato" w:cs="Arial"/>
          <w:bCs/>
          <w:spacing w:val="4"/>
        </w:rPr>
        <w:t> </w:t>
      </w:r>
      <w:r w:rsidRPr="0072729E">
        <w:rPr>
          <w:rFonts w:ascii="Lato" w:hAnsi="Lato" w:cs="Arial"/>
          <w:bCs/>
          <w:spacing w:val="4"/>
        </w:rPr>
        <w:t xml:space="preserve">domniemania prawidłowości (por. art. 16 kpa, red. Wierzbowski 2018, </w:t>
      </w:r>
      <w:r w:rsidR="00B02890">
        <w:rPr>
          <w:rFonts w:ascii="Lato" w:hAnsi="Lato" w:cs="Arial"/>
          <w:bCs/>
          <w:spacing w:val="4"/>
        </w:rPr>
        <w:br/>
      </w:r>
      <w:r w:rsidRPr="0072729E">
        <w:rPr>
          <w:rFonts w:ascii="Lato" w:hAnsi="Lato" w:cs="Arial"/>
          <w:bCs/>
          <w:spacing w:val="4"/>
        </w:rPr>
        <w:t xml:space="preserve">wyd. 26/Komentarz, </w:t>
      </w:r>
      <w:proofErr w:type="spellStart"/>
      <w:r w:rsidRPr="0072729E">
        <w:rPr>
          <w:rFonts w:ascii="Lato" w:hAnsi="Lato" w:cs="Arial"/>
          <w:bCs/>
          <w:spacing w:val="4"/>
        </w:rPr>
        <w:t>Legalis</w:t>
      </w:r>
      <w:proofErr w:type="spellEnd"/>
      <w:r w:rsidRPr="0072729E">
        <w:rPr>
          <w:rFonts w:ascii="Lato" w:hAnsi="Lato" w:cs="Arial"/>
          <w:bCs/>
          <w:spacing w:val="4"/>
        </w:rPr>
        <w:t xml:space="preserve">). </w:t>
      </w:r>
    </w:p>
    <w:p w14:paraId="7FEE0213" w14:textId="77777777" w:rsidR="000A10FF" w:rsidRPr="00EB6405" w:rsidRDefault="000A10FF" w:rsidP="00EB6405">
      <w:pPr>
        <w:spacing w:after="0" w:line="240" w:lineRule="exact"/>
        <w:jc w:val="both"/>
        <w:rPr>
          <w:rFonts w:ascii="Lato" w:hAnsi="Lato" w:cs="Arial"/>
          <w:bCs/>
          <w:spacing w:val="4"/>
        </w:rPr>
      </w:pPr>
    </w:p>
    <w:p w14:paraId="1FA2A91D" w14:textId="7242E0E0" w:rsidR="005948B6" w:rsidRPr="005948B6" w:rsidRDefault="00DE12F5" w:rsidP="005948B6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Ustosunkowując się do </w:t>
      </w:r>
      <w:r w:rsidR="005948B6">
        <w:rPr>
          <w:rFonts w:ascii="Lato" w:hAnsi="Lato" w:cs="Arial"/>
          <w:spacing w:val="4"/>
        </w:rPr>
        <w:t xml:space="preserve">zastrzeżeń skarżących w zakresie braku określenia przez organ I </w:t>
      </w:r>
      <w:r w:rsidR="00527684">
        <w:rPr>
          <w:rFonts w:ascii="Lato" w:hAnsi="Lato" w:cs="Arial"/>
          <w:spacing w:val="4"/>
        </w:rPr>
        <w:t> </w:t>
      </w:r>
      <w:r w:rsidR="005948B6">
        <w:rPr>
          <w:rFonts w:ascii="Lato" w:hAnsi="Lato" w:cs="Arial"/>
          <w:spacing w:val="4"/>
        </w:rPr>
        <w:t xml:space="preserve">instancji szczegółowych rozwiązań projektowych, tj. braku jednoznacznego sprecyzowania, które słupy będą kratowe, a które rurowe, określenia zakresu robót, braku określenia zakresu zmian lokalizacji słupów przy jednoczesnym zastrzeżeniu dopuszczalności zmiany lokalizacji słupów, wyjaśnić należy – co było już sygnalizowane </w:t>
      </w:r>
      <w:r w:rsidR="005948B6">
        <w:rPr>
          <w:rFonts w:ascii="Lato" w:hAnsi="Lato" w:cs="Arial"/>
          <w:spacing w:val="4"/>
        </w:rPr>
        <w:lastRenderedPageBreak/>
        <w:t xml:space="preserve">w niniejszej decyzji – że </w:t>
      </w:r>
      <w:r w:rsidR="005948B6" w:rsidRPr="005948B6">
        <w:rPr>
          <w:rFonts w:ascii="Lato" w:hAnsi="Lato" w:cs="Arial"/>
          <w:bCs/>
          <w:spacing w:val="4"/>
        </w:rPr>
        <w:t xml:space="preserve">decyzja o ustaleniu lokalizacji </w:t>
      </w:r>
      <w:r w:rsidR="005948B6">
        <w:rPr>
          <w:rFonts w:ascii="Lato" w:hAnsi="Lato" w:cs="Arial"/>
          <w:bCs/>
          <w:spacing w:val="4"/>
        </w:rPr>
        <w:t xml:space="preserve">inwestycji towarzyszącej </w:t>
      </w:r>
      <w:r w:rsidR="005948B6" w:rsidRPr="005948B6">
        <w:rPr>
          <w:rFonts w:ascii="Lato" w:hAnsi="Lato" w:cs="Arial"/>
          <w:bCs/>
          <w:spacing w:val="4"/>
        </w:rPr>
        <w:t xml:space="preserve">strategicznej inwestycji w zakresie sieci przesyłowej wyznacza jedynie ogólne, podstawowe kierunki zamierzenia inwestycyjnego, podlegające dalszym uszczegółowieniom, przewidzianym w prawie budowlanym i przepisach o warunkach technicznych, w tym w zakresie szczegółowego określenia </w:t>
      </w:r>
      <w:r w:rsidR="00F63F85">
        <w:rPr>
          <w:rFonts w:ascii="Lato" w:hAnsi="Lato" w:cs="Arial"/>
          <w:bCs/>
          <w:spacing w:val="4"/>
        </w:rPr>
        <w:t>powyższych zagadnień.</w:t>
      </w:r>
    </w:p>
    <w:p w14:paraId="247BB2EC" w14:textId="0BE03EB5" w:rsidR="00F63F85" w:rsidRDefault="005948B6" w:rsidP="005948B6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5948B6">
        <w:rPr>
          <w:rFonts w:ascii="Lato" w:hAnsi="Lato" w:cs="Arial"/>
          <w:bCs/>
          <w:spacing w:val="4"/>
        </w:rPr>
        <w:t>Słuszne w tym miejscu jest przywołanie wyroku Wojewódzkiego Sądu Administracyjnego w Warszawie z dnia 9 września 2020 r., sygn. akt IV SA/</w:t>
      </w:r>
      <w:proofErr w:type="spellStart"/>
      <w:r w:rsidRPr="005948B6">
        <w:rPr>
          <w:rFonts w:ascii="Lato" w:hAnsi="Lato" w:cs="Arial"/>
          <w:bCs/>
          <w:spacing w:val="4"/>
        </w:rPr>
        <w:t>Wa</w:t>
      </w:r>
      <w:proofErr w:type="spellEnd"/>
      <w:r w:rsidRPr="005948B6">
        <w:rPr>
          <w:rFonts w:ascii="Lato" w:hAnsi="Lato" w:cs="Arial"/>
          <w:bCs/>
          <w:spacing w:val="4"/>
        </w:rPr>
        <w:t xml:space="preserve"> 594/20, w którym wyrażono stanowisko, iż decyzja o ustaleniu lokalizacji inwestycji jest pierwszą z cyklu decyzji wydawanych w procesie inwestycyjnym. Ma ona charakter wstępny - określa dopuszczalność zamierzenia inwestycyjnego w wyznaczonej przez inwestora lokalizacji, z punktu widzenia przepisów prawa, a także wskazuje ogólne warunki i zasady, którym inwestycja powinna odpowiadać. Uszczegółowienie tych warunków i zasad następuje natomiast przed organami administracji architektoniczno-budowlanej w </w:t>
      </w:r>
      <w:r w:rsidR="00527684">
        <w:rPr>
          <w:rFonts w:ascii="Lato" w:hAnsi="Lato" w:cs="Arial"/>
          <w:bCs/>
          <w:spacing w:val="4"/>
        </w:rPr>
        <w:t> </w:t>
      </w:r>
      <w:r w:rsidRPr="005948B6">
        <w:rPr>
          <w:rFonts w:ascii="Lato" w:hAnsi="Lato" w:cs="Arial"/>
          <w:bCs/>
          <w:spacing w:val="4"/>
        </w:rPr>
        <w:t xml:space="preserve">ramach postępowania o wydanie pozwolenia na budowę. Zasadne jest stanowisko, że to w projekcie budowlanym, przedłożonym przez inwestora wraz z wnioskiem o </w:t>
      </w:r>
      <w:r w:rsidR="00527684">
        <w:rPr>
          <w:rFonts w:ascii="Lato" w:hAnsi="Lato" w:cs="Arial"/>
          <w:bCs/>
          <w:spacing w:val="4"/>
        </w:rPr>
        <w:t> </w:t>
      </w:r>
      <w:r w:rsidRPr="005948B6">
        <w:rPr>
          <w:rFonts w:ascii="Lato" w:hAnsi="Lato" w:cs="Arial"/>
          <w:bCs/>
          <w:spacing w:val="4"/>
        </w:rPr>
        <w:t>udzielenie pozwolenia na budowę, zostan</w:t>
      </w:r>
      <w:r w:rsidR="00F63F85">
        <w:rPr>
          <w:rFonts w:ascii="Lato" w:hAnsi="Lato" w:cs="Arial"/>
          <w:bCs/>
          <w:spacing w:val="4"/>
        </w:rPr>
        <w:t>ą</w:t>
      </w:r>
      <w:r w:rsidRPr="005948B6">
        <w:rPr>
          <w:rFonts w:ascii="Lato" w:hAnsi="Lato" w:cs="Arial"/>
          <w:bCs/>
          <w:spacing w:val="4"/>
        </w:rPr>
        <w:t xml:space="preserve"> uszczegółowion</w:t>
      </w:r>
      <w:r w:rsidR="00F63F85">
        <w:rPr>
          <w:rFonts w:ascii="Lato" w:hAnsi="Lato" w:cs="Arial"/>
          <w:bCs/>
          <w:spacing w:val="4"/>
        </w:rPr>
        <w:t xml:space="preserve">e rodzaj i parametry projektowanych słupów, zakres robót i ewentualnych możliwych zmian. </w:t>
      </w:r>
    </w:p>
    <w:p w14:paraId="3764C54E" w14:textId="0981C8E9" w:rsidR="005948B6" w:rsidRDefault="00D834AE" w:rsidP="00822EA6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bCs/>
          <w:spacing w:val="4"/>
        </w:rPr>
        <w:t>Jedynie n</w:t>
      </w:r>
      <w:r w:rsidR="00401CA9">
        <w:rPr>
          <w:rFonts w:ascii="Lato" w:hAnsi="Lato" w:cs="Arial"/>
          <w:bCs/>
          <w:spacing w:val="4"/>
        </w:rPr>
        <w:t xml:space="preserve">a marginesie wskazać wypada, że </w:t>
      </w:r>
      <w:r>
        <w:rPr>
          <w:rFonts w:ascii="Lato" w:hAnsi="Lato" w:cs="Arial"/>
          <w:bCs/>
          <w:spacing w:val="4"/>
        </w:rPr>
        <w:t xml:space="preserve">jak wynika z treści kontrolowanej decyzji oraz załączników graficznych, a także z wyjaśnień inwestora, </w:t>
      </w:r>
      <w:r w:rsidR="008F71AA">
        <w:rPr>
          <w:rFonts w:ascii="Lato" w:hAnsi="Lato" w:cs="Arial"/>
          <w:bCs/>
          <w:spacing w:val="4"/>
        </w:rPr>
        <w:t xml:space="preserve">w odcinku od stacji Tomaszów Południe do słupa nr 7 nastąpi przebudowa słupa nr 1 (projektowany słup rurowy), zaś słupy istniejące od nr 2 do nr 7 pozostają bez zmian (słupy kratowe). W odcinku od słupa nr 7 do stacji Lubaczów nastąpi demontaż 147 słupów kratowych wraz z fundamentami (słupy od nr 8 do nr 154) i budowa nowych słupów rurowych, za wyjątkiem słupów </w:t>
      </w:r>
      <w:r w:rsidR="004F0EA1" w:rsidRPr="004F0EA1">
        <w:rPr>
          <w:rFonts w:ascii="Lato" w:hAnsi="Lato" w:cs="Arial"/>
          <w:bCs/>
          <w:spacing w:val="4"/>
        </w:rPr>
        <w:t>załomowych, na których występuje zmiana kierunku trasy linii</w:t>
      </w:r>
      <w:r w:rsidR="004F0EA1">
        <w:rPr>
          <w:rFonts w:ascii="Lato" w:hAnsi="Lato" w:cs="Arial"/>
          <w:bCs/>
          <w:spacing w:val="4"/>
        </w:rPr>
        <w:t>. S</w:t>
      </w:r>
      <w:r w:rsidR="004F0EA1" w:rsidRPr="004F0EA1">
        <w:rPr>
          <w:rFonts w:ascii="Lato" w:hAnsi="Lato" w:cs="Arial"/>
          <w:bCs/>
          <w:spacing w:val="4"/>
        </w:rPr>
        <w:t>łupy załomowe będą budowane w miejscach istniejących obecnie słupów, aby nie zmieniać przebiegu linii.</w:t>
      </w:r>
    </w:p>
    <w:p w14:paraId="5233FE61" w14:textId="5190F6AC" w:rsidR="00822EA6" w:rsidRPr="00626178" w:rsidRDefault="00822EA6" w:rsidP="00822EA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626178">
        <w:rPr>
          <w:rFonts w:ascii="Lato" w:hAnsi="Lato" w:cs="Arial"/>
          <w:spacing w:val="4"/>
        </w:rPr>
        <w:t>Odnośnie podniesion</w:t>
      </w:r>
      <w:r w:rsidR="005772EC">
        <w:rPr>
          <w:rFonts w:ascii="Lato" w:hAnsi="Lato" w:cs="Arial"/>
          <w:spacing w:val="4"/>
        </w:rPr>
        <w:t>ych</w:t>
      </w:r>
      <w:r w:rsidRPr="00626178">
        <w:rPr>
          <w:rFonts w:ascii="Lato" w:hAnsi="Lato" w:cs="Arial"/>
          <w:spacing w:val="4"/>
        </w:rPr>
        <w:t xml:space="preserve"> przez skarżących kwestii naruszenia prawa własności</w:t>
      </w:r>
      <w:r w:rsidR="000E6664">
        <w:rPr>
          <w:rFonts w:ascii="Lato" w:hAnsi="Lato" w:cs="Arial"/>
          <w:spacing w:val="4"/>
        </w:rPr>
        <w:t xml:space="preserve">, </w:t>
      </w:r>
      <w:r w:rsidR="005772EC">
        <w:rPr>
          <w:rFonts w:ascii="Lato" w:hAnsi="Lato" w:cs="Arial"/>
          <w:spacing w:val="4"/>
        </w:rPr>
        <w:t>„</w:t>
      </w:r>
      <w:r w:rsidR="000E6664">
        <w:rPr>
          <w:rFonts w:ascii="Lato" w:hAnsi="Lato" w:cs="Arial"/>
          <w:spacing w:val="4"/>
        </w:rPr>
        <w:t xml:space="preserve">naruszenia ustawy zasadniczej poprzez wydanie skarżonej decyzji bez ustalenia warunków odszkodowania za nieruchomości objęte </w:t>
      </w:r>
      <w:r w:rsidR="005772EC">
        <w:rPr>
          <w:rFonts w:ascii="Lato" w:hAnsi="Lato" w:cs="Arial"/>
          <w:spacing w:val="4"/>
        </w:rPr>
        <w:t xml:space="preserve">przedmiotową </w:t>
      </w:r>
      <w:r w:rsidR="000E6664">
        <w:rPr>
          <w:rFonts w:ascii="Lato" w:hAnsi="Lato" w:cs="Arial"/>
          <w:spacing w:val="4"/>
        </w:rPr>
        <w:t>decyzją</w:t>
      </w:r>
      <w:r w:rsidR="005772EC">
        <w:rPr>
          <w:rFonts w:ascii="Lato" w:hAnsi="Lato" w:cs="Arial"/>
          <w:spacing w:val="4"/>
        </w:rPr>
        <w:t>”</w:t>
      </w:r>
      <w:r w:rsidR="000E6664">
        <w:rPr>
          <w:rFonts w:ascii="Lato" w:hAnsi="Lato" w:cs="Arial"/>
          <w:spacing w:val="4"/>
        </w:rPr>
        <w:t xml:space="preserve">, </w:t>
      </w:r>
      <w:r w:rsidR="005772EC">
        <w:rPr>
          <w:rFonts w:ascii="Lato" w:hAnsi="Lato" w:cs="Arial"/>
          <w:spacing w:val="4"/>
        </w:rPr>
        <w:t xml:space="preserve">„braku określenia wysokości odszkodowania za ograniczenie sposobu korzystania z </w:t>
      </w:r>
      <w:r w:rsidR="00942D8A">
        <w:rPr>
          <w:rFonts w:ascii="Lato" w:hAnsi="Lato" w:cs="Arial"/>
          <w:spacing w:val="4"/>
        </w:rPr>
        <w:t> </w:t>
      </w:r>
      <w:r w:rsidR="005772EC">
        <w:rPr>
          <w:rFonts w:ascii="Lato" w:hAnsi="Lato" w:cs="Arial"/>
          <w:spacing w:val="4"/>
        </w:rPr>
        <w:t xml:space="preserve">nieruchomości tudzież służebności </w:t>
      </w:r>
      <w:proofErr w:type="spellStart"/>
      <w:r w:rsidR="005772EC">
        <w:rPr>
          <w:rFonts w:ascii="Lato" w:hAnsi="Lato" w:cs="Arial"/>
          <w:spacing w:val="4"/>
        </w:rPr>
        <w:t>przesyłu</w:t>
      </w:r>
      <w:proofErr w:type="spellEnd"/>
      <w:r w:rsidR="005772EC">
        <w:rPr>
          <w:rFonts w:ascii="Lato" w:hAnsi="Lato" w:cs="Arial"/>
          <w:spacing w:val="4"/>
        </w:rPr>
        <w:t xml:space="preserve">”, </w:t>
      </w:r>
      <w:r w:rsidRPr="00626178">
        <w:rPr>
          <w:rFonts w:ascii="Lato" w:hAnsi="Lato" w:cs="Arial"/>
          <w:spacing w:val="4"/>
        </w:rPr>
        <w:t xml:space="preserve">wyjaśnić należy, co następuje. </w:t>
      </w:r>
    </w:p>
    <w:p w14:paraId="0A19C061" w14:textId="5B2D1F58" w:rsidR="00B56991" w:rsidRDefault="00B56991" w:rsidP="00B56991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W pierwszej kolejności podkreślić trzeba, że nieruchomości oznaczone jako </w:t>
      </w:r>
      <w:r w:rsidRPr="00C9168C">
        <w:rPr>
          <w:rFonts w:ascii="Lato" w:hAnsi="Lato" w:cs="Arial"/>
          <w:spacing w:val="4"/>
        </w:rPr>
        <w:t xml:space="preserve">działki </w:t>
      </w:r>
      <w:r w:rsidR="00B02890">
        <w:rPr>
          <w:rFonts w:ascii="Lato" w:hAnsi="Lato" w:cs="Arial"/>
          <w:spacing w:val="4"/>
        </w:rPr>
        <w:br/>
      </w:r>
      <w:r w:rsidRPr="00C9168C">
        <w:rPr>
          <w:rFonts w:ascii="Lato" w:hAnsi="Lato" w:cs="Arial"/>
          <w:spacing w:val="4"/>
        </w:rPr>
        <w:t xml:space="preserve">nr </w:t>
      </w:r>
      <w:r>
        <w:rPr>
          <w:rFonts w:ascii="Lato" w:hAnsi="Lato" w:cs="Arial"/>
          <w:spacing w:val="4"/>
        </w:rPr>
        <w:t>481</w:t>
      </w:r>
      <w:r w:rsidRPr="00C9168C">
        <w:rPr>
          <w:rFonts w:ascii="Lato" w:hAnsi="Lato" w:cs="Arial"/>
          <w:spacing w:val="4"/>
        </w:rPr>
        <w:t>,</w:t>
      </w:r>
      <w:r>
        <w:rPr>
          <w:rFonts w:ascii="Lato" w:hAnsi="Lato" w:cs="Arial"/>
          <w:spacing w:val="4"/>
        </w:rPr>
        <w:t xml:space="preserve"> 488, 522,</w:t>
      </w:r>
      <w:r w:rsidRPr="00C9168C">
        <w:rPr>
          <w:rFonts w:ascii="Lato" w:hAnsi="Lato" w:cs="Arial"/>
          <w:spacing w:val="4"/>
        </w:rPr>
        <w:t xml:space="preserve"> obręb 00</w:t>
      </w:r>
      <w:r>
        <w:rPr>
          <w:rFonts w:ascii="Lato" w:hAnsi="Lato" w:cs="Arial"/>
          <w:spacing w:val="4"/>
        </w:rPr>
        <w:t>21</w:t>
      </w:r>
      <w:r w:rsidRPr="00C9168C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>Załuże</w:t>
      </w:r>
      <w:r w:rsidRPr="00C9168C">
        <w:rPr>
          <w:rFonts w:ascii="Lato" w:hAnsi="Lato" w:cs="Arial"/>
          <w:spacing w:val="4"/>
        </w:rPr>
        <w:t xml:space="preserve"> </w:t>
      </w:r>
      <w:r w:rsidR="00E52EE6">
        <w:rPr>
          <w:rFonts w:ascii="Lato" w:hAnsi="Lato" w:cs="Arial"/>
          <w:spacing w:val="4"/>
        </w:rPr>
        <w:t>(stanowiące własność Pana A</w:t>
      </w:r>
      <w:r w:rsidR="00D13600">
        <w:rPr>
          <w:rFonts w:ascii="Lato" w:hAnsi="Lato" w:cs="Arial"/>
          <w:spacing w:val="4"/>
        </w:rPr>
        <w:t>.</w:t>
      </w:r>
      <w:r w:rsidR="00E52EE6">
        <w:rPr>
          <w:rFonts w:ascii="Lato" w:hAnsi="Lato" w:cs="Arial"/>
          <w:spacing w:val="4"/>
        </w:rPr>
        <w:t xml:space="preserve"> B</w:t>
      </w:r>
      <w:r w:rsidR="00D13600">
        <w:rPr>
          <w:rFonts w:ascii="Lato" w:hAnsi="Lato" w:cs="Arial"/>
          <w:spacing w:val="4"/>
        </w:rPr>
        <w:t>.</w:t>
      </w:r>
      <w:r w:rsidR="00E52EE6">
        <w:rPr>
          <w:rFonts w:ascii="Lato" w:hAnsi="Lato" w:cs="Arial"/>
          <w:spacing w:val="4"/>
        </w:rPr>
        <w:t xml:space="preserve"> i Pani B</w:t>
      </w:r>
      <w:r w:rsidR="00D13600">
        <w:rPr>
          <w:rFonts w:ascii="Lato" w:hAnsi="Lato" w:cs="Arial"/>
          <w:spacing w:val="4"/>
        </w:rPr>
        <w:t>.</w:t>
      </w:r>
      <w:r w:rsidR="00E52EE6">
        <w:rPr>
          <w:rFonts w:ascii="Lato" w:hAnsi="Lato" w:cs="Arial"/>
          <w:spacing w:val="4"/>
        </w:rPr>
        <w:t xml:space="preserve"> B</w:t>
      </w:r>
      <w:r w:rsidR="00D13600">
        <w:rPr>
          <w:rFonts w:ascii="Lato" w:hAnsi="Lato" w:cs="Arial"/>
          <w:spacing w:val="4"/>
        </w:rPr>
        <w:t>.</w:t>
      </w:r>
      <w:r w:rsidR="00E52EE6">
        <w:rPr>
          <w:rFonts w:ascii="Lato" w:hAnsi="Lato" w:cs="Arial"/>
          <w:spacing w:val="4"/>
        </w:rPr>
        <w:t xml:space="preserve"> – działki nr 481 i 522, stanowiące własność Pana A</w:t>
      </w:r>
      <w:r w:rsidR="00D13600">
        <w:rPr>
          <w:rFonts w:ascii="Lato" w:hAnsi="Lato" w:cs="Arial"/>
          <w:spacing w:val="4"/>
        </w:rPr>
        <w:t>.</w:t>
      </w:r>
      <w:r w:rsidR="00E52EE6">
        <w:rPr>
          <w:rFonts w:ascii="Lato" w:hAnsi="Lato" w:cs="Arial"/>
          <w:spacing w:val="4"/>
        </w:rPr>
        <w:t xml:space="preserve"> B</w:t>
      </w:r>
      <w:r w:rsidR="00D13600">
        <w:rPr>
          <w:rFonts w:ascii="Lato" w:hAnsi="Lato" w:cs="Arial"/>
          <w:spacing w:val="4"/>
        </w:rPr>
        <w:t>.</w:t>
      </w:r>
      <w:r w:rsidR="00E52EE6">
        <w:rPr>
          <w:rFonts w:ascii="Lato" w:hAnsi="Lato" w:cs="Arial"/>
          <w:spacing w:val="4"/>
        </w:rPr>
        <w:t xml:space="preserve">– działka nr 488) </w:t>
      </w:r>
      <w:r w:rsidRPr="00C9168C">
        <w:rPr>
          <w:rFonts w:ascii="Lato" w:hAnsi="Lato" w:cs="Arial"/>
          <w:spacing w:val="4"/>
        </w:rPr>
        <w:t>uwidocznione na mapie określającej granice terenu objętego przedmiotową inwestycją (</w:t>
      </w:r>
      <w:r>
        <w:rPr>
          <w:rFonts w:ascii="Lato" w:hAnsi="Lato" w:cs="Arial"/>
          <w:spacing w:val="4"/>
        </w:rPr>
        <w:t>arkusz nr 29/34 i 30/34</w:t>
      </w:r>
      <w:r w:rsidRPr="00C9168C">
        <w:rPr>
          <w:rFonts w:ascii="Lato" w:hAnsi="Lato" w:cs="Arial"/>
          <w:spacing w:val="4"/>
        </w:rPr>
        <w:t xml:space="preserve">), stanowiącej załącznik nr 1 do </w:t>
      </w:r>
      <w:r w:rsidRPr="00527684">
        <w:rPr>
          <w:rFonts w:ascii="Lato" w:hAnsi="Lato" w:cs="Arial"/>
          <w:spacing w:val="4"/>
        </w:rPr>
        <w:t>decyzji</w:t>
      </w:r>
      <w:r w:rsidRPr="00C9168C">
        <w:rPr>
          <w:rFonts w:ascii="Lato" w:hAnsi="Lato" w:cs="Arial"/>
          <w:i/>
          <w:iCs/>
          <w:spacing w:val="4"/>
        </w:rPr>
        <w:t xml:space="preserve"> </w:t>
      </w:r>
      <w:r w:rsidRPr="00C9168C">
        <w:rPr>
          <w:rFonts w:ascii="Lato" w:hAnsi="Lato" w:cs="Arial"/>
          <w:spacing w:val="4"/>
        </w:rPr>
        <w:t xml:space="preserve">Wojewody Podkarpackiego, znajdują się w obszarze oznaczonym linią przerywaną w kolorze </w:t>
      </w:r>
      <w:r>
        <w:rPr>
          <w:rFonts w:ascii="Lato" w:hAnsi="Lato" w:cs="Arial"/>
          <w:spacing w:val="4"/>
        </w:rPr>
        <w:t xml:space="preserve">czarnym określającą granicę terenu objętego wnioskiem inwestora. Decyzja Wojewody Podkarpackiego nie wywołuje względem działek będących własnością skarżących </w:t>
      </w:r>
      <w:r w:rsidR="00E52EE6">
        <w:rPr>
          <w:rFonts w:ascii="Lato" w:hAnsi="Lato" w:cs="Arial"/>
          <w:spacing w:val="4"/>
        </w:rPr>
        <w:t xml:space="preserve">skutku w postaci wywłaszczenia części nieruchomości ani </w:t>
      </w:r>
      <w:r>
        <w:rPr>
          <w:rFonts w:ascii="Lato" w:hAnsi="Lato" w:cs="Arial"/>
          <w:spacing w:val="4"/>
        </w:rPr>
        <w:t xml:space="preserve">nie nakłada </w:t>
      </w:r>
      <w:r w:rsidR="002C511C">
        <w:rPr>
          <w:rFonts w:ascii="Lato" w:hAnsi="Lato" w:cs="Arial"/>
          <w:spacing w:val="4"/>
        </w:rPr>
        <w:t xml:space="preserve">na ww. działki </w:t>
      </w:r>
      <w:r>
        <w:rPr>
          <w:rFonts w:ascii="Lato" w:hAnsi="Lato" w:cs="Arial"/>
          <w:spacing w:val="4"/>
        </w:rPr>
        <w:t xml:space="preserve">ograniczenia sposobu korzystania z nich zgodnie z art. 22 ust. 1 specustawy przesyłowej. </w:t>
      </w:r>
      <w:r w:rsidR="002C511C">
        <w:rPr>
          <w:rFonts w:ascii="Lato" w:hAnsi="Lato" w:cs="Arial"/>
          <w:spacing w:val="4"/>
        </w:rPr>
        <w:t>W związku z tym skarżący nie są uprawnieni do otrzymania odszkodowania z tego tytułu.</w:t>
      </w:r>
    </w:p>
    <w:p w14:paraId="2E4D6292" w14:textId="52D83439" w:rsidR="002C511C" w:rsidRPr="00B658D2" w:rsidRDefault="00F25AE8" w:rsidP="005E672E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>Abstrahując od powyższego, stwierdzić należy, że o</w:t>
      </w:r>
      <w:r w:rsidR="00B658D2" w:rsidRPr="00B658D2">
        <w:rPr>
          <w:rFonts w:ascii="Lato" w:hAnsi="Lato" w:cs="Arial"/>
          <w:bCs/>
          <w:iCs/>
          <w:spacing w:val="4"/>
          <w:lang w:bidi="pl-PL"/>
        </w:rPr>
        <w:t xml:space="preserve">dszkodowanie, o którym mowa </w:t>
      </w:r>
      <w:r w:rsidR="00B02890">
        <w:rPr>
          <w:rFonts w:ascii="Lato" w:hAnsi="Lato" w:cs="Arial"/>
          <w:bCs/>
          <w:iCs/>
          <w:spacing w:val="4"/>
          <w:lang w:bidi="pl-PL"/>
        </w:rPr>
        <w:br/>
      </w:r>
      <w:r w:rsidR="00B658D2" w:rsidRPr="00B658D2">
        <w:rPr>
          <w:rFonts w:ascii="Lato" w:hAnsi="Lato" w:cs="Arial"/>
          <w:bCs/>
          <w:iCs/>
          <w:spacing w:val="4"/>
          <w:lang w:bidi="pl-PL"/>
        </w:rPr>
        <w:t xml:space="preserve">w art. 124 ust. 4 w zw. z art. 128 ust. 4 </w:t>
      </w:r>
      <w:r w:rsidR="00B658D2" w:rsidRPr="00B658D2">
        <w:rPr>
          <w:rFonts w:ascii="Lato" w:hAnsi="Lato" w:cs="Arial"/>
          <w:spacing w:val="4"/>
        </w:rPr>
        <w:t xml:space="preserve">ustawy </w:t>
      </w:r>
      <w:r w:rsidR="00527684">
        <w:rPr>
          <w:rFonts w:ascii="Lato" w:hAnsi="Lato" w:cs="Arial"/>
          <w:spacing w:val="4"/>
        </w:rPr>
        <w:t xml:space="preserve">z dnia 21 sierpnia 1997 r. </w:t>
      </w:r>
      <w:r w:rsidR="00B658D2" w:rsidRPr="00B658D2">
        <w:rPr>
          <w:rFonts w:ascii="Lato" w:hAnsi="Lato" w:cs="Arial"/>
          <w:spacing w:val="4"/>
        </w:rPr>
        <w:t>o gospodarce nieruchomościami</w:t>
      </w:r>
      <w:r w:rsidR="00527684">
        <w:rPr>
          <w:rFonts w:ascii="Lato" w:hAnsi="Lato" w:cs="Arial"/>
          <w:spacing w:val="4"/>
        </w:rPr>
        <w:t xml:space="preserve"> </w:t>
      </w:r>
      <w:hyperlink r:id="rId24" w:history="1">
        <w:r w:rsidR="00527684" w:rsidRPr="00527684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>(Dz.U. z 2024 r. poz. 1145)</w:t>
        </w:r>
      </w:hyperlink>
      <w:r w:rsidR="00B658D2" w:rsidRPr="00B658D2">
        <w:rPr>
          <w:rFonts w:ascii="Lato" w:hAnsi="Lato" w:cs="Arial"/>
          <w:bCs/>
          <w:iCs/>
          <w:spacing w:val="4"/>
          <w:lang w:bidi="pl-PL"/>
        </w:rPr>
        <w:t xml:space="preserve"> jest odszkodowaniem za szkody wynikające z ograniczenia sposobu korzystania z nieruchomości, a więc w istocie za ograniczenia prawa do nieruchomości. Zaznaczenia wymaga jednak, iż na etapie postępowania w sprawie o ustalenie lokalizacji inwestycji towarzyszącej strategiczn</w:t>
      </w:r>
      <w:r w:rsidR="00B658D2">
        <w:rPr>
          <w:rFonts w:ascii="Lato" w:hAnsi="Lato" w:cs="Arial"/>
          <w:bCs/>
          <w:iCs/>
          <w:spacing w:val="4"/>
          <w:lang w:bidi="pl-PL"/>
        </w:rPr>
        <w:t>ej</w:t>
      </w:r>
      <w:r w:rsidR="00B658D2" w:rsidRPr="00B658D2">
        <w:rPr>
          <w:rFonts w:ascii="Lato" w:hAnsi="Lato" w:cs="Arial"/>
          <w:bCs/>
          <w:iCs/>
          <w:spacing w:val="4"/>
          <w:lang w:bidi="pl-PL"/>
        </w:rPr>
        <w:t xml:space="preserve"> inwestycji w zakresie sieci przesyłow</w:t>
      </w:r>
      <w:r w:rsidR="00B658D2">
        <w:rPr>
          <w:rFonts w:ascii="Lato" w:hAnsi="Lato" w:cs="Arial"/>
          <w:bCs/>
          <w:iCs/>
          <w:spacing w:val="4"/>
          <w:lang w:bidi="pl-PL"/>
        </w:rPr>
        <w:t>ej</w:t>
      </w:r>
      <w:r w:rsidR="00B658D2" w:rsidRPr="00B658D2">
        <w:rPr>
          <w:rFonts w:ascii="Lato" w:hAnsi="Lato" w:cs="Arial"/>
          <w:bCs/>
          <w:iCs/>
          <w:spacing w:val="4"/>
          <w:lang w:bidi="pl-PL"/>
        </w:rPr>
        <w:t xml:space="preserve"> organ nie zajmuje się kwestiami odszkodowawczymi</w:t>
      </w:r>
      <w:r w:rsidR="00B658D2">
        <w:rPr>
          <w:rFonts w:ascii="Lato" w:hAnsi="Lato" w:cs="Arial"/>
          <w:bCs/>
          <w:iCs/>
          <w:spacing w:val="4"/>
          <w:lang w:bidi="pl-PL"/>
        </w:rPr>
        <w:t>.</w:t>
      </w:r>
      <w:r w:rsidR="00B658D2" w:rsidRPr="00B658D2">
        <w:rPr>
          <w:rFonts w:ascii="Lato" w:hAnsi="Lato" w:cs="Arial"/>
          <w:bCs/>
          <w:iCs/>
          <w:spacing w:val="4"/>
          <w:lang w:bidi="pl-PL"/>
        </w:rPr>
        <w:t xml:space="preserve"> Kwestie te są przedmiotem odrębnych rozstrzygnięć.  </w:t>
      </w:r>
    </w:p>
    <w:p w14:paraId="7C3CF43A" w14:textId="3AE8AF95" w:rsidR="00B02890" w:rsidRDefault="00F25AE8" w:rsidP="005E672E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lastRenderedPageBreak/>
        <w:t xml:space="preserve">Co do zaś podniesionego zagadnienia służebności </w:t>
      </w:r>
      <w:proofErr w:type="spellStart"/>
      <w:r>
        <w:rPr>
          <w:rFonts w:ascii="Lato" w:hAnsi="Lato" w:cs="Arial"/>
          <w:spacing w:val="4"/>
        </w:rPr>
        <w:t>przesyłu</w:t>
      </w:r>
      <w:proofErr w:type="spellEnd"/>
      <w:r>
        <w:rPr>
          <w:rFonts w:ascii="Lato" w:hAnsi="Lato" w:cs="Arial"/>
          <w:spacing w:val="4"/>
        </w:rPr>
        <w:t xml:space="preserve"> wyjaśnić skarżącym należy, że </w:t>
      </w:r>
      <w:r w:rsidR="005E672E" w:rsidRPr="00626178">
        <w:rPr>
          <w:rFonts w:ascii="Lato" w:hAnsi="Lato" w:cs="Arial"/>
          <w:spacing w:val="4"/>
        </w:rPr>
        <w:t xml:space="preserve">decyzja o ustaleniu lokalizacji inwestycji wydawana na podstawie </w:t>
      </w:r>
      <w:r w:rsidR="005E672E" w:rsidRPr="00242C06">
        <w:rPr>
          <w:rFonts w:ascii="Lato" w:hAnsi="Lato" w:cs="Arial"/>
          <w:spacing w:val="4"/>
        </w:rPr>
        <w:t>specustawy przesyłowej</w:t>
      </w:r>
      <w:r w:rsidR="005E672E" w:rsidRPr="00626178">
        <w:rPr>
          <w:rFonts w:ascii="Lato" w:hAnsi="Lato" w:cs="Arial"/>
          <w:spacing w:val="4"/>
        </w:rPr>
        <w:t xml:space="preserve"> nie dotyczy cywilnoprawnej kwestii ustanowienia służebności </w:t>
      </w:r>
      <w:proofErr w:type="spellStart"/>
      <w:r w:rsidR="005E672E" w:rsidRPr="00626178">
        <w:rPr>
          <w:rFonts w:ascii="Lato" w:hAnsi="Lato" w:cs="Arial"/>
          <w:spacing w:val="4"/>
        </w:rPr>
        <w:t>przesyłu</w:t>
      </w:r>
      <w:proofErr w:type="spellEnd"/>
      <w:r w:rsidR="005E672E" w:rsidRPr="00626178">
        <w:rPr>
          <w:rFonts w:ascii="Lato" w:hAnsi="Lato" w:cs="Arial"/>
          <w:spacing w:val="4"/>
        </w:rPr>
        <w:t xml:space="preserve">. Służebność </w:t>
      </w:r>
      <w:proofErr w:type="spellStart"/>
      <w:r w:rsidR="005E672E" w:rsidRPr="00626178">
        <w:rPr>
          <w:rFonts w:ascii="Lato" w:hAnsi="Lato" w:cs="Arial"/>
          <w:spacing w:val="4"/>
        </w:rPr>
        <w:t>przesyłu</w:t>
      </w:r>
      <w:proofErr w:type="spellEnd"/>
      <w:r w:rsidR="005E672E" w:rsidRPr="00626178">
        <w:rPr>
          <w:rFonts w:ascii="Lato" w:hAnsi="Lato" w:cs="Arial"/>
          <w:spacing w:val="4"/>
        </w:rPr>
        <w:t xml:space="preserve"> jest instytucją prawa rzeczowego uregulowaną przepisami ustawy z dnia 23 kwietnia 1964 r. – Kodeks cywilny (tj. </w:t>
      </w:r>
      <w:r w:rsidR="00942D8A" w:rsidRPr="00942D8A">
        <w:rPr>
          <w:rFonts w:ascii="Lato" w:hAnsi="Lato" w:cs="Arial"/>
          <w:spacing w:val="4"/>
        </w:rPr>
        <w:t>(Dz.U. z 2025 r. poz. 1071)</w:t>
      </w:r>
      <w:r w:rsidR="005E672E" w:rsidRPr="00626178">
        <w:rPr>
          <w:rFonts w:ascii="Lato" w:hAnsi="Lato" w:cs="Arial"/>
          <w:spacing w:val="4"/>
        </w:rPr>
        <w:t>, zwanej dalej „</w:t>
      </w:r>
      <w:proofErr w:type="spellStart"/>
      <w:r w:rsidR="005E672E" w:rsidRPr="00626178">
        <w:rPr>
          <w:rFonts w:ascii="Lato" w:hAnsi="Lato" w:cs="Arial"/>
          <w:i/>
          <w:iCs/>
          <w:spacing w:val="4"/>
        </w:rPr>
        <w:t>kc</w:t>
      </w:r>
      <w:proofErr w:type="spellEnd"/>
      <w:r w:rsidR="005E672E" w:rsidRPr="00626178">
        <w:rPr>
          <w:rFonts w:ascii="Lato" w:hAnsi="Lato" w:cs="Arial"/>
          <w:spacing w:val="4"/>
        </w:rPr>
        <w:t>”.</w:t>
      </w:r>
      <w:r w:rsidR="007F70C1">
        <w:rPr>
          <w:rFonts w:ascii="Lato" w:hAnsi="Lato" w:cs="Arial"/>
          <w:spacing w:val="4"/>
        </w:rPr>
        <w:t xml:space="preserve"> Stosowanie regulacji określonych w </w:t>
      </w:r>
      <w:r w:rsidR="005E672E" w:rsidRPr="00626178">
        <w:rPr>
          <w:rFonts w:ascii="Lato" w:hAnsi="Lato" w:cs="Arial"/>
          <w:spacing w:val="4"/>
        </w:rPr>
        <w:t>art. 305</w:t>
      </w:r>
      <w:r w:rsidR="005E672E" w:rsidRPr="00626178">
        <w:rPr>
          <w:rFonts w:ascii="Lato" w:hAnsi="Lato" w:cs="Arial"/>
          <w:spacing w:val="4"/>
          <w:vertAlign w:val="superscript"/>
        </w:rPr>
        <w:t>1</w:t>
      </w:r>
      <w:r w:rsidR="005E672E" w:rsidRPr="00626178">
        <w:rPr>
          <w:rFonts w:ascii="Lato" w:hAnsi="Lato" w:cs="Arial"/>
          <w:spacing w:val="4"/>
        </w:rPr>
        <w:t xml:space="preserve"> i art. 305</w:t>
      </w:r>
      <w:r w:rsidR="005E672E" w:rsidRPr="00626178">
        <w:rPr>
          <w:rFonts w:ascii="Lato" w:hAnsi="Lato" w:cs="Arial"/>
          <w:spacing w:val="4"/>
          <w:vertAlign w:val="superscript"/>
        </w:rPr>
        <w:t>2</w:t>
      </w:r>
      <w:r w:rsidR="005E672E" w:rsidRPr="00626178">
        <w:rPr>
          <w:rFonts w:ascii="Lato" w:hAnsi="Lato" w:cs="Arial"/>
          <w:spacing w:val="4"/>
        </w:rPr>
        <w:t xml:space="preserve"> </w:t>
      </w:r>
      <w:proofErr w:type="spellStart"/>
      <w:r w:rsidR="005E672E" w:rsidRPr="00626178">
        <w:rPr>
          <w:rFonts w:ascii="Lato" w:hAnsi="Lato" w:cs="Arial"/>
          <w:i/>
          <w:iCs/>
          <w:spacing w:val="4"/>
        </w:rPr>
        <w:t>kc</w:t>
      </w:r>
      <w:proofErr w:type="spellEnd"/>
      <w:r w:rsidR="005E672E" w:rsidRPr="00626178">
        <w:rPr>
          <w:rFonts w:ascii="Lato" w:hAnsi="Lato" w:cs="Arial"/>
          <w:spacing w:val="4"/>
        </w:rPr>
        <w:t xml:space="preserve"> odbywa się na drodze cywilnej, a nie administracyjnej.</w:t>
      </w:r>
      <w:r w:rsidR="005E672E" w:rsidRPr="005E672E">
        <w:rPr>
          <w:rFonts w:ascii="Lato" w:hAnsi="Lato" w:cs="Arial"/>
          <w:spacing w:val="4"/>
        </w:rPr>
        <w:t xml:space="preserve"> </w:t>
      </w:r>
    </w:p>
    <w:p w14:paraId="2E37EC3C" w14:textId="11E0363A" w:rsidR="00E7480B" w:rsidRDefault="00E7480B" w:rsidP="005E672E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Za nietrafny należy uznać</w:t>
      </w:r>
      <w:r w:rsidR="00A42381">
        <w:rPr>
          <w:rFonts w:ascii="Lato" w:hAnsi="Lato" w:cs="Arial"/>
          <w:spacing w:val="4"/>
        </w:rPr>
        <w:t xml:space="preserve"> za</w:t>
      </w:r>
      <w:r>
        <w:rPr>
          <w:rFonts w:ascii="Lato" w:hAnsi="Lato" w:cs="Arial"/>
          <w:spacing w:val="4"/>
        </w:rPr>
        <w:t xml:space="preserve">rzut skarżących, iż w </w:t>
      </w:r>
      <w:r w:rsidR="00942D8A">
        <w:rPr>
          <w:rFonts w:ascii="Lato" w:hAnsi="Lato" w:cs="Arial"/>
          <w:spacing w:val="4"/>
        </w:rPr>
        <w:t> </w:t>
      </w:r>
      <w:r>
        <w:rPr>
          <w:rFonts w:ascii="Lato" w:hAnsi="Lato" w:cs="Arial"/>
          <w:spacing w:val="4"/>
        </w:rPr>
        <w:t xml:space="preserve">kontrolowanej decyzji brak jest tabeli określającej parametry linii elektroenergetycznej, o której to tabeli mowa treści zaskarżonego rozstrzygnięcia. </w:t>
      </w:r>
      <w:r w:rsidRPr="00E7480B">
        <w:rPr>
          <w:rFonts w:ascii="Lato" w:hAnsi="Lato" w:cs="Arial"/>
          <w:spacing w:val="4"/>
        </w:rPr>
        <w:t xml:space="preserve">W pkt III </w:t>
      </w:r>
      <w:proofErr w:type="spellStart"/>
      <w:r w:rsidRPr="00E7480B">
        <w:rPr>
          <w:rFonts w:ascii="Lato" w:hAnsi="Lato" w:cs="Arial"/>
          <w:spacing w:val="4"/>
        </w:rPr>
        <w:t>ppkt</w:t>
      </w:r>
      <w:proofErr w:type="spellEnd"/>
      <w:r w:rsidRPr="00E7480B">
        <w:rPr>
          <w:rFonts w:ascii="Lato" w:hAnsi="Lato" w:cs="Arial"/>
          <w:spacing w:val="4"/>
        </w:rPr>
        <w:t xml:space="preserve"> 1) lit. f) </w:t>
      </w:r>
      <w:r>
        <w:rPr>
          <w:rFonts w:ascii="Lato" w:hAnsi="Lato" w:cs="Arial"/>
          <w:spacing w:val="4"/>
        </w:rPr>
        <w:t>ww. decyzji</w:t>
      </w:r>
      <w:r w:rsidRPr="00E7480B">
        <w:rPr>
          <w:rFonts w:ascii="Lato" w:hAnsi="Lato" w:cs="Arial"/>
          <w:spacing w:val="4"/>
        </w:rPr>
        <w:t xml:space="preserve"> rzeczywiście znalazła się wzmianka o tabeli, w której miałyby być wskazane parametry przebudowanej linii, jednak samej tabeli brak. Jest to omyłka pisarska wynikająca z przeniesienia do pkt </w:t>
      </w:r>
      <w:r w:rsidR="00B02890">
        <w:rPr>
          <w:rFonts w:ascii="Lato" w:hAnsi="Lato" w:cs="Arial"/>
          <w:spacing w:val="4"/>
        </w:rPr>
        <w:br/>
      </w:r>
      <w:r w:rsidRPr="00E7480B">
        <w:rPr>
          <w:rFonts w:ascii="Lato" w:hAnsi="Lato" w:cs="Arial"/>
          <w:spacing w:val="4"/>
        </w:rPr>
        <w:t xml:space="preserve">III </w:t>
      </w:r>
      <w:r w:rsidR="008E7E03">
        <w:rPr>
          <w:rFonts w:ascii="Lato" w:hAnsi="Lato" w:cs="Arial"/>
          <w:spacing w:val="4"/>
        </w:rPr>
        <w:t>decyzji Wojewody Podkarpackiego</w:t>
      </w:r>
      <w:r w:rsidRPr="00E7480B">
        <w:rPr>
          <w:rFonts w:ascii="Lato" w:hAnsi="Lato" w:cs="Arial"/>
          <w:i/>
          <w:iCs/>
          <w:spacing w:val="4"/>
        </w:rPr>
        <w:t xml:space="preserve"> </w:t>
      </w:r>
      <w:r w:rsidR="008E7E03">
        <w:rPr>
          <w:rFonts w:ascii="Lato" w:hAnsi="Lato" w:cs="Arial"/>
          <w:spacing w:val="4"/>
        </w:rPr>
        <w:t xml:space="preserve">dotyczącego warunków </w:t>
      </w:r>
      <w:r w:rsidRPr="00942D8A">
        <w:rPr>
          <w:rFonts w:ascii="Lato" w:hAnsi="Lato" w:cs="Arial"/>
          <w:spacing w:val="4"/>
        </w:rPr>
        <w:t>wynikając</w:t>
      </w:r>
      <w:r w:rsidR="008E7E03" w:rsidRPr="00942D8A">
        <w:rPr>
          <w:rFonts w:ascii="Lato" w:hAnsi="Lato" w:cs="Arial"/>
          <w:spacing w:val="4"/>
        </w:rPr>
        <w:t>ych</w:t>
      </w:r>
      <w:r w:rsidRPr="00942D8A">
        <w:rPr>
          <w:rFonts w:ascii="Lato" w:hAnsi="Lato" w:cs="Arial"/>
          <w:spacing w:val="4"/>
        </w:rPr>
        <w:t xml:space="preserve"> z potrzeb ochrony środowiska</w:t>
      </w:r>
      <w:r w:rsidRPr="008E7E03">
        <w:rPr>
          <w:rFonts w:ascii="Lato" w:hAnsi="Lato" w:cs="Arial"/>
          <w:spacing w:val="4"/>
        </w:rPr>
        <w:t xml:space="preserve"> </w:t>
      </w:r>
      <w:r w:rsidRPr="00E7480B">
        <w:rPr>
          <w:rFonts w:ascii="Lato" w:hAnsi="Lato" w:cs="Arial"/>
          <w:spacing w:val="4"/>
        </w:rPr>
        <w:t xml:space="preserve">treści </w:t>
      </w:r>
      <w:r w:rsidR="008E7E03">
        <w:rPr>
          <w:rFonts w:ascii="Lato" w:hAnsi="Lato" w:cs="Arial"/>
          <w:spacing w:val="4"/>
        </w:rPr>
        <w:t xml:space="preserve">decyzji o </w:t>
      </w:r>
      <w:r w:rsidR="00942D8A">
        <w:rPr>
          <w:rFonts w:ascii="Lato" w:hAnsi="Lato" w:cs="Arial"/>
          <w:spacing w:val="4"/>
        </w:rPr>
        <w:t> </w:t>
      </w:r>
      <w:r w:rsidR="008E7E03">
        <w:rPr>
          <w:rFonts w:ascii="Lato" w:hAnsi="Lato" w:cs="Arial"/>
          <w:spacing w:val="4"/>
        </w:rPr>
        <w:t>środowiskowych uwarunkowaniach</w:t>
      </w:r>
      <w:r w:rsidRPr="00E7480B">
        <w:rPr>
          <w:rFonts w:ascii="Lato" w:hAnsi="Lato" w:cs="Arial"/>
          <w:i/>
          <w:iCs/>
          <w:spacing w:val="4"/>
        </w:rPr>
        <w:t>.</w:t>
      </w:r>
      <w:r w:rsidRPr="00E7480B">
        <w:rPr>
          <w:rFonts w:ascii="Lato" w:hAnsi="Lato" w:cs="Arial"/>
          <w:spacing w:val="4"/>
        </w:rPr>
        <w:t xml:space="preserve"> </w:t>
      </w:r>
      <w:r w:rsidR="008E7E03">
        <w:rPr>
          <w:rFonts w:ascii="Lato" w:hAnsi="Lato" w:cs="Arial"/>
          <w:spacing w:val="4"/>
        </w:rPr>
        <w:t>Powyższa omyłka</w:t>
      </w:r>
      <w:r w:rsidRPr="00E7480B">
        <w:rPr>
          <w:rFonts w:ascii="Lato" w:hAnsi="Lato" w:cs="Arial"/>
          <w:spacing w:val="4"/>
        </w:rPr>
        <w:t xml:space="preserve"> i brak tabeli nie zmienia jednak faktu, że </w:t>
      </w:r>
      <w:r w:rsidR="008E7E03" w:rsidRPr="00AA6100">
        <w:rPr>
          <w:rFonts w:ascii="Lato" w:hAnsi="Lato" w:cs="Arial"/>
          <w:spacing w:val="4"/>
        </w:rPr>
        <w:t>zaskarżona decyzja</w:t>
      </w:r>
      <w:r w:rsidRPr="00AA6100">
        <w:rPr>
          <w:rFonts w:ascii="Lato" w:hAnsi="Lato" w:cs="Arial"/>
          <w:spacing w:val="4"/>
        </w:rPr>
        <w:t xml:space="preserve"> zawiera określenie parametrów przebudowanej linii i nie wymaga przez to uzupełnienia w tym zakresie</w:t>
      </w:r>
      <w:r w:rsidRPr="00B02890">
        <w:rPr>
          <w:rFonts w:ascii="Lato" w:hAnsi="Lato" w:cs="Arial"/>
          <w:spacing w:val="4"/>
        </w:rPr>
        <w:t xml:space="preserve">. </w:t>
      </w:r>
      <w:r w:rsidRPr="00AA6100">
        <w:rPr>
          <w:rFonts w:ascii="Lato" w:hAnsi="Lato" w:cs="Arial"/>
          <w:spacing w:val="4"/>
        </w:rPr>
        <w:t xml:space="preserve">Parametry te wskazuje pkt III </w:t>
      </w:r>
      <w:proofErr w:type="spellStart"/>
      <w:r w:rsidRPr="00AA6100">
        <w:rPr>
          <w:rFonts w:ascii="Lato" w:hAnsi="Lato" w:cs="Arial"/>
          <w:spacing w:val="4"/>
        </w:rPr>
        <w:t>ppkt</w:t>
      </w:r>
      <w:proofErr w:type="spellEnd"/>
      <w:r w:rsidRPr="00AA6100">
        <w:rPr>
          <w:rFonts w:ascii="Lato" w:hAnsi="Lato" w:cs="Arial"/>
          <w:spacing w:val="4"/>
        </w:rPr>
        <w:t xml:space="preserve"> 1 lit</w:t>
      </w:r>
      <w:r w:rsidR="008E7E03" w:rsidRPr="00AA6100">
        <w:rPr>
          <w:rFonts w:ascii="Lato" w:hAnsi="Lato" w:cs="Arial"/>
          <w:spacing w:val="4"/>
        </w:rPr>
        <w:t>.</w:t>
      </w:r>
      <w:r w:rsidRPr="00AA6100">
        <w:rPr>
          <w:rFonts w:ascii="Lato" w:hAnsi="Lato" w:cs="Arial"/>
          <w:spacing w:val="4"/>
        </w:rPr>
        <w:t xml:space="preserve"> e) </w:t>
      </w:r>
      <w:r w:rsidR="008E7E03" w:rsidRPr="00AA6100">
        <w:rPr>
          <w:rFonts w:ascii="Lato" w:hAnsi="Lato" w:cs="Arial"/>
          <w:spacing w:val="4"/>
        </w:rPr>
        <w:t>d</w:t>
      </w:r>
      <w:r w:rsidRPr="00AA6100">
        <w:rPr>
          <w:rFonts w:ascii="Lato" w:hAnsi="Lato" w:cs="Arial"/>
          <w:spacing w:val="4"/>
        </w:rPr>
        <w:t>ecyzji</w:t>
      </w:r>
      <w:r w:rsidRPr="00B02890">
        <w:rPr>
          <w:rFonts w:ascii="Lato" w:hAnsi="Lato" w:cs="Arial"/>
          <w:spacing w:val="4"/>
        </w:rPr>
        <w:t>.</w:t>
      </w:r>
      <w:r w:rsidRPr="00E7480B">
        <w:rPr>
          <w:rFonts w:ascii="Lato" w:hAnsi="Lato" w:cs="Arial"/>
          <w:spacing w:val="4"/>
        </w:rPr>
        <w:t xml:space="preserve"> Okoliczność braku tabeli nie stanowi zatem o wadliwości </w:t>
      </w:r>
      <w:r w:rsidR="008E7E03">
        <w:rPr>
          <w:rFonts w:ascii="Lato" w:hAnsi="Lato" w:cs="Arial"/>
          <w:spacing w:val="4"/>
        </w:rPr>
        <w:t>decyzji lokalizacyjnej</w:t>
      </w:r>
      <w:r w:rsidRPr="00E7480B">
        <w:rPr>
          <w:rFonts w:ascii="Lato" w:hAnsi="Lato" w:cs="Arial"/>
          <w:spacing w:val="4"/>
        </w:rPr>
        <w:t xml:space="preserve">, skoro zawiera ona wymaganą treść, tyle </w:t>
      </w:r>
      <w:r w:rsidR="00B02890">
        <w:rPr>
          <w:rFonts w:ascii="Lato" w:hAnsi="Lato" w:cs="Arial"/>
          <w:spacing w:val="4"/>
        </w:rPr>
        <w:br/>
      </w:r>
      <w:r w:rsidRPr="00E7480B">
        <w:rPr>
          <w:rFonts w:ascii="Lato" w:hAnsi="Lato" w:cs="Arial"/>
          <w:spacing w:val="4"/>
        </w:rPr>
        <w:t>że w innym miejscu i bez formy tabeli.</w:t>
      </w:r>
    </w:p>
    <w:p w14:paraId="7B340D91" w14:textId="268FC568" w:rsidR="007451DB" w:rsidRDefault="001667B8" w:rsidP="005E672E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W odpowiedzi na</w:t>
      </w:r>
      <w:r w:rsidR="00954E73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 xml:space="preserve">zarzuty związane z nieoznaczeniem </w:t>
      </w:r>
      <w:r w:rsidR="008E7E03">
        <w:rPr>
          <w:rFonts w:ascii="Lato" w:hAnsi="Lato" w:cs="Arial"/>
          <w:spacing w:val="4"/>
        </w:rPr>
        <w:t xml:space="preserve">w treści decyzji </w:t>
      </w:r>
      <w:r>
        <w:rPr>
          <w:rFonts w:ascii="Lato" w:hAnsi="Lato" w:cs="Arial"/>
          <w:spacing w:val="4"/>
        </w:rPr>
        <w:t xml:space="preserve">nieruchomości, w </w:t>
      </w:r>
      <w:r w:rsidR="00A9526F">
        <w:rPr>
          <w:rFonts w:ascii="Lato" w:hAnsi="Lato" w:cs="Arial"/>
          <w:spacing w:val="4"/>
        </w:rPr>
        <w:t> </w:t>
      </w:r>
      <w:r>
        <w:rPr>
          <w:rFonts w:ascii="Lato" w:hAnsi="Lato" w:cs="Arial"/>
          <w:spacing w:val="4"/>
        </w:rPr>
        <w:t>stosunku do których decyzja miałaby wywołać skutek</w:t>
      </w:r>
      <w:r w:rsidR="00C84B99">
        <w:rPr>
          <w:rFonts w:ascii="Lato" w:hAnsi="Lato" w:cs="Arial"/>
          <w:spacing w:val="4"/>
        </w:rPr>
        <w:t>, o którym mowa w art. 19 ust. 3, art. 22 ust. 5 oraz w art. 23 ust. 1 i 1a specustawy przesyłowej, stwierdz</w:t>
      </w:r>
      <w:r w:rsidR="008E7E03">
        <w:rPr>
          <w:rFonts w:ascii="Lato" w:hAnsi="Lato" w:cs="Arial"/>
          <w:spacing w:val="4"/>
        </w:rPr>
        <w:t>ić należy</w:t>
      </w:r>
      <w:r w:rsidR="00C84B99">
        <w:rPr>
          <w:rFonts w:ascii="Lato" w:hAnsi="Lato" w:cs="Arial"/>
          <w:spacing w:val="4"/>
        </w:rPr>
        <w:t xml:space="preserve">, </w:t>
      </w:r>
      <w:r w:rsidR="00B02890">
        <w:rPr>
          <w:rFonts w:ascii="Lato" w:hAnsi="Lato" w:cs="Arial"/>
          <w:spacing w:val="4"/>
        </w:rPr>
        <w:br/>
      </w:r>
      <w:r w:rsidR="00C84B99">
        <w:rPr>
          <w:rFonts w:ascii="Lato" w:hAnsi="Lato" w:cs="Arial"/>
          <w:spacing w:val="4"/>
        </w:rPr>
        <w:t xml:space="preserve">że </w:t>
      </w:r>
      <w:r w:rsidR="008E7E03">
        <w:rPr>
          <w:rFonts w:ascii="Lato" w:hAnsi="Lato" w:cs="Arial"/>
          <w:spacing w:val="4"/>
        </w:rPr>
        <w:t>i</w:t>
      </w:r>
      <w:r w:rsidR="00C84B99">
        <w:rPr>
          <w:rFonts w:ascii="Lato" w:hAnsi="Lato" w:cs="Arial"/>
          <w:spacing w:val="4"/>
        </w:rPr>
        <w:t xml:space="preserve">nwestor nie wystąpił z żądaniem oznaczenia takich nieruchomości we wniosku, dlatego </w:t>
      </w:r>
      <w:r w:rsidR="00E424B1">
        <w:rPr>
          <w:rFonts w:ascii="Lato" w:hAnsi="Lato" w:cs="Arial"/>
          <w:spacing w:val="4"/>
        </w:rPr>
        <w:t xml:space="preserve">takie oznaczenia nieruchomości </w:t>
      </w:r>
      <w:r w:rsidR="00C84B99">
        <w:rPr>
          <w:rFonts w:ascii="Lato" w:hAnsi="Lato" w:cs="Arial"/>
          <w:spacing w:val="4"/>
        </w:rPr>
        <w:t>nie pojawiły się w zaskarżonej decyzji.</w:t>
      </w:r>
      <w:r w:rsidR="0002467C">
        <w:rPr>
          <w:rFonts w:ascii="Lato" w:hAnsi="Lato" w:cs="Arial"/>
          <w:spacing w:val="4"/>
        </w:rPr>
        <w:t xml:space="preserve"> Co do zaś </w:t>
      </w:r>
      <w:r w:rsidR="007451DB">
        <w:rPr>
          <w:rFonts w:ascii="Lato" w:hAnsi="Lato" w:cs="Arial"/>
          <w:spacing w:val="4"/>
        </w:rPr>
        <w:t xml:space="preserve">oznaczenia </w:t>
      </w:r>
      <w:r w:rsidR="0002467C">
        <w:rPr>
          <w:rFonts w:ascii="Lato" w:hAnsi="Lato" w:cs="Arial"/>
          <w:spacing w:val="4"/>
        </w:rPr>
        <w:t>nieruchomości</w:t>
      </w:r>
      <w:r w:rsidR="007451DB">
        <w:rPr>
          <w:rFonts w:ascii="Lato" w:hAnsi="Lato" w:cs="Arial"/>
          <w:spacing w:val="4"/>
        </w:rPr>
        <w:t xml:space="preserve">, w stosunku do których decyzja o ustaleniu lokalizacji przedmiotowej inwestycji towarzyszącej strategicznej inwestycji w zakresie sieci przesyłowej ma wywołać skutek, o którym mowa w art. 22 ust. 1 ustawy, wskazać ponownie trzeba, że powyższe znajduje odzwierciedlenie w pkt IX </w:t>
      </w:r>
      <w:proofErr w:type="spellStart"/>
      <w:r w:rsidR="007451DB">
        <w:rPr>
          <w:rFonts w:ascii="Lato" w:hAnsi="Lato" w:cs="Arial"/>
          <w:spacing w:val="4"/>
        </w:rPr>
        <w:t>ppkt</w:t>
      </w:r>
      <w:proofErr w:type="spellEnd"/>
      <w:r w:rsidR="007451DB">
        <w:rPr>
          <w:rFonts w:ascii="Lato" w:hAnsi="Lato" w:cs="Arial"/>
          <w:spacing w:val="4"/>
        </w:rPr>
        <w:t xml:space="preserve"> 1 kontrolowanej decyzji. </w:t>
      </w:r>
    </w:p>
    <w:p w14:paraId="75C26221" w14:textId="035907C6" w:rsidR="004448B6" w:rsidRPr="00327301" w:rsidRDefault="00E424B1" w:rsidP="005E672E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W zakresie zarzutu </w:t>
      </w:r>
      <w:r w:rsidR="00221A27">
        <w:rPr>
          <w:rFonts w:ascii="Lato" w:hAnsi="Lato" w:cs="Arial"/>
          <w:spacing w:val="4"/>
        </w:rPr>
        <w:t xml:space="preserve">dotyczącego </w:t>
      </w:r>
      <w:r>
        <w:rPr>
          <w:rFonts w:ascii="Lato" w:hAnsi="Lato" w:cs="Arial"/>
          <w:spacing w:val="4"/>
        </w:rPr>
        <w:t>błędnego nazewnictwa inwestycji,</w:t>
      </w:r>
      <w:r w:rsidR="00221A27">
        <w:rPr>
          <w:rFonts w:ascii="Lato" w:hAnsi="Lato" w:cs="Arial"/>
          <w:spacing w:val="4"/>
        </w:rPr>
        <w:t xml:space="preserve"> która – w ocenie skarżących – w rzeczywistości jest rozbudową, a nie przebudową,</w:t>
      </w:r>
      <w:r>
        <w:rPr>
          <w:rFonts w:ascii="Lato" w:hAnsi="Lato" w:cs="Arial"/>
          <w:spacing w:val="4"/>
        </w:rPr>
        <w:t xml:space="preserve"> należy powołać się na art. 3 pkt 7a ustawy </w:t>
      </w:r>
      <w:r w:rsidRPr="009963B9">
        <w:rPr>
          <w:rFonts w:ascii="Lato" w:hAnsi="Lato" w:cs="Arial"/>
          <w:color w:val="000000" w:themeColor="text1"/>
          <w:spacing w:val="4"/>
        </w:rPr>
        <w:t>Prawo budowlane</w:t>
      </w:r>
      <w:r w:rsidR="009963B9" w:rsidRPr="009963B9">
        <w:rPr>
          <w:rFonts w:ascii="Lato" w:hAnsi="Lato" w:cs="Arial"/>
          <w:color w:val="000000" w:themeColor="text1"/>
          <w:spacing w:val="4"/>
        </w:rPr>
        <w:t xml:space="preserve"> z dnia 7 lipca 1994 r. </w:t>
      </w:r>
      <w:hyperlink r:id="rId25" w:history="1">
        <w:r w:rsidR="009963B9" w:rsidRPr="009963B9">
          <w:rPr>
            <w:rStyle w:val="Hipercze"/>
            <w:rFonts w:ascii="Lato" w:hAnsi="Lato" w:cs="Arial"/>
            <w:color w:val="000000" w:themeColor="text1"/>
            <w:spacing w:val="4"/>
            <w:u w:val="none"/>
          </w:rPr>
          <w:t>(Dz.U. z 2025 r. poz. 418)</w:t>
        </w:r>
      </w:hyperlink>
      <w:r w:rsidR="009963B9" w:rsidRPr="009963B9">
        <w:rPr>
          <w:rFonts w:ascii="Lato" w:hAnsi="Lato" w:cs="Arial"/>
          <w:color w:val="000000" w:themeColor="text1"/>
          <w:spacing w:val="4"/>
        </w:rPr>
        <w:t>, zwane</w:t>
      </w:r>
      <w:r w:rsidR="00B02890">
        <w:rPr>
          <w:rFonts w:ascii="Lato" w:hAnsi="Lato" w:cs="Arial"/>
          <w:color w:val="000000" w:themeColor="text1"/>
          <w:spacing w:val="4"/>
        </w:rPr>
        <w:t>j</w:t>
      </w:r>
      <w:r w:rsidR="009963B9" w:rsidRPr="009963B9">
        <w:rPr>
          <w:rFonts w:ascii="Lato" w:hAnsi="Lato" w:cs="Arial"/>
          <w:color w:val="000000" w:themeColor="text1"/>
          <w:spacing w:val="4"/>
        </w:rPr>
        <w:t xml:space="preserve"> dalej „</w:t>
      </w:r>
      <w:r w:rsidR="00E43460">
        <w:rPr>
          <w:rFonts w:ascii="Lato" w:hAnsi="Lato" w:cs="Arial"/>
          <w:color w:val="000000" w:themeColor="text1"/>
          <w:spacing w:val="4"/>
        </w:rPr>
        <w:t xml:space="preserve">ustawą </w:t>
      </w:r>
      <w:r w:rsidR="009963B9" w:rsidRPr="009963B9">
        <w:rPr>
          <w:rFonts w:ascii="Lato" w:hAnsi="Lato" w:cs="Arial"/>
          <w:color w:val="000000" w:themeColor="text1"/>
          <w:spacing w:val="4"/>
        </w:rPr>
        <w:t>Praw</w:t>
      </w:r>
      <w:r w:rsidR="00E43460">
        <w:rPr>
          <w:rFonts w:ascii="Lato" w:hAnsi="Lato" w:cs="Arial"/>
          <w:color w:val="000000" w:themeColor="text1"/>
          <w:spacing w:val="4"/>
        </w:rPr>
        <w:t>o</w:t>
      </w:r>
      <w:r w:rsidR="009963B9" w:rsidRPr="009963B9">
        <w:rPr>
          <w:rFonts w:ascii="Lato" w:hAnsi="Lato" w:cs="Arial"/>
          <w:color w:val="000000" w:themeColor="text1"/>
          <w:spacing w:val="4"/>
        </w:rPr>
        <w:t xml:space="preserve"> budowlan</w:t>
      </w:r>
      <w:r w:rsidR="00E43460">
        <w:rPr>
          <w:rFonts w:ascii="Lato" w:hAnsi="Lato" w:cs="Arial"/>
          <w:color w:val="000000" w:themeColor="text1"/>
          <w:spacing w:val="4"/>
        </w:rPr>
        <w:t>e</w:t>
      </w:r>
      <w:r w:rsidR="009963B9">
        <w:rPr>
          <w:rFonts w:ascii="Lato" w:hAnsi="Lato" w:cs="Arial"/>
          <w:spacing w:val="4"/>
        </w:rPr>
        <w:t>”</w:t>
      </w:r>
      <w:r w:rsidR="00B02890">
        <w:rPr>
          <w:rFonts w:ascii="Lato" w:hAnsi="Lato" w:cs="Arial"/>
          <w:spacing w:val="4"/>
        </w:rPr>
        <w:t>,</w:t>
      </w:r>
      <w:r>
        <w:rPr>
          <w:rFonts w:ascii="Lato" w:hAnsi="Lato" w:cs="Arial"/>
          <w:spacing w:val="4"/>
        </w:rPr>
        <w:t xml:space="preserve"> stwierdzający, iż </w:t>
      </w:r>
      <w:r w:rsidRPr="00327301">
        <w:rPr>
          <w:rFonts w:ascii="Lato" w:hAnsi="Lato" w:cs="Arial"/>
          <w:spacing w:val="4"/>
        </w:rPr>
        <w:t xml:space="preserve">przebudowę należy rozumieć </w:t>
      </w:r>
      <w:r w:rsidR="004448B6" w:rsidRPr="00327301">
        <w:rPr>
          <w:rFonts w:ascii="Lato" w:hAnsi="Lato" w:cs="Arial"/>
          <w:spacing w:val="4"/>
        </w:rPr>
        <w:t xml:space="preserve">jako </w:t>
      </w:r>
      <w:r w:rsidRPr="00327301">
        <w:rPr>
          <w:rFonts w:ascii="Lato" w:hAnsi="Lato" w:cs="Arial"/>
          <w:spacing w:val="4"/>
        </w:rPr>
        <w:t xml:space="preserve">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kondygnacji; w </w:t>
      </w:r>
      <w:r w:rsidR="00942D8A">
        <w:rPr>
          <w:rFonts w:ascii="Lato" w:hAnsi="Lato" w:cs="Arial"/>
          <w:spacing w:val="4"/>
        </w:rPr>
        <w:t> </w:t>
      </w:r>
      <w:r w:rsidRPr="00327301">
        <w:rPr>
          <w:rFonts w:ascii="Lato" w:hAnsi="Lato" w:cs="Arial"/>
          <w:spacing w:val="4"/>
        </w:rPr>
        <w:t>przypadku dróg są dopuszczalne zmiany charakterystycznych parametrów w zakresie niewymagającym zmiany granic pasa drogowego</w:t>
      </w:r>
      <w:r w:rsidR="004448B6" w:rsidRPr="00327301">
        <w:rPr>
          <w:rFonts w:ascii="Lato" w:hAnsi="Lato" w:cs="Arial"/>
          <w:spacing w:val="4"/>
        </w:rPr>
        <w:t xml:space="preserve">. </w:t>
      </w:r>
    </w:p>
    <w:p w14:paraId="2164AB06" w14:textId="740068FA" w:rsidR="00E424B1" w:rsidRPr="005E672E" w:rsidRDefault="004448B6" w:rsidP="005E672E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Zgodnie ze stanowiskiem inwestora</w:t>
      </w:r>
      <w:r w:rsidR="00221A27">
        <w:rPr>
          <w:rFonts w:ascii="Lato" w:hAnsi="Lato" w:cs="Arial"/>
          <w:i/>
          <w:iCs/>
          <w:spacing w:val="4"/>
        </w:rPr>
        <w:t xml:space="preserve"> </w:t>
      </w:r>
      <w:r w:rsidRPr="00123898">
        <w:rPr>
          <w:rFonts w:ascii="Lato" w:hAnsi="Lato" w:cs="Arial"/>
          <w:spacing w:val="4"/>
        </w:rPr>
        <w:t>inwestycja</w:t>
      </w:r>
      <w:r w:rsidR="00221A27">
        <w:rPr>
          <w:rFonts w:ascii="Lato" w:hAnsi="Lato" w:cs="Arial"/>
          <w:spacing w:val="4"/>
        </w:rPr>
        <w:t xml:space="preserve"> będąca przedmiotem decyzji Wojewody Podkarpackiego </w:t>
      </w:r>
      <w:r w:rsidRPr="00123898">
        <w:rPr>
          <w:rFonts w:ascii="Lato" w:hAnsi="Lato" w:cs="Arial"/>
          <w:spacing w:val="4"/>
        </w:rPr>
        <w:t xml:space="preserve">nie spowoduje zmiany parametru charakterystycznego linii elektroenergetycznej jako obiektu budowlanego liniowego, jakim jest długość. Długość linii po wykonaniu inwestycji w </w:t>
      </w:r>
      <w:r w:rsidR="00C837A4">
        <w:rPr>
          <w:rFonts w:ascii="Lato" w:hAnsi="Lato" w:cs="Arial"/>
          <w:spacing w:val="4"/>
        </w:rPr>
        <w:t> </w:t>
      </w:r>
      <w:r w:rsidRPr="00123898">
        <w:rPr>
          <w:rFonts w:ascii="Lato" w:hAnsi="Lato" w:cs="Arial"/>
          <w:spacing w:val="4"/>
        </w:rPr>
        <w:t>zakresie, którego dotyczy decyzja pozostanie niezmieniona</w:t>
      </w:r>
      <w:r>
        <w:rPr>
          <w:rFonts w:ascii="Lato" w:hAnsi="Lato" w:cs="Arial"/>
          <w:i/>
          <w:iCs/>
          <w:spacing w:val="4"/>
        </w:rPr>
        <w:t>.</w:t>
      </w:r>
      <w:r>
        <w:rPr>
          <w:rFonts w:ascii="Lato" w:hAnsi="Lato" w:cs="Arial"/>
          <w:spacing w:val="4"/>
        </w:rPr>
        <w:t xml:space="preserve"> Na tej podstawie można stwierdzić, że inwestycja jest przebudową</w:t>
      </w:r>
      <w:r w:rsidR="00221A27">
        <w:rPr>
          <w:rFonts w:ascii="Lato" w:hAnsi="Lato" w:cs="Arial"/>
          <w:spacing w:val="4"/>
        </w:rPr>
        <w:t xml:space="preserve"> w </w:t>
      </w:r>
      <w:r w:rsidR="00942D8A">
        <w:rPr>
          <w:rFonts w:ascii="Lato" w:hAnsi="Lato" w:cs="Arial"/>
          <w:spacing w:val="4"/>
        </w:rPr>
        <w:t> </w:t>
      </w:r>
      <w:r w:rsidR="00221A27">
        <w:rPr>
          <w:rFonts w:ascii="Lato" w:hAnsi="Lato" w:cs="Arial"/>
          <w:spacing w:val="4"/>
        </w:rPr>
        <w:t>rozumieniu przepisów ustawy Prawo budo</w:t>
      </w:r>
      <w:r w:rsidR="007F6F30">
        <w:rPr>
          <w:rFonts w:ascii="Lato" w:hAnsi="Lato" w:cs="Arial"/>
          <w:spacing w:val="4"/>
        </w:rPr>
        <w:t>wl</w:t>
      </w:r>
      <w:r w:rsidR="00221A27">
        <w:rPr>
          <w:rFonts w:ascii="Lato" w:hAnsi="Lato" w:cs="Arial"/>
          <w:spacing w:val="4"/>
        </w:rPr>
        <w:t>ane</w:t>
      </w:r>
      <w:r>
        <w:rPr>
          <w:rFonts w:ascii="Lato" w:hAnsi="Lato" w:cs="Arial"/>
          <w:spacing w:val="4"/>
        </w:rPr>
        <w:t>.</w:t>
      </w:r>
    </w:p>
    <w:p w14:paraId="04D99F73" w14:textId="5B2D3CD0" w:rsidR="00BA4F8C" w:rsidRPr="00942D8A" w:rsidRDefault="00BA4F8C" w:rsidP="00BA4F8C">
      <w:pPr>
        <w:spacing w:after="240" w:line="240" w:lineRule="exact"/>
        <w:jc w:val="both"/>
        <w:outlineLvl w:val="0"/>
        <w:rPr>
          <w:rFonts w:ascii="Lato" w:hAnsi="Lato" w:cs="Arial"/>
          <w:spacing w:val="4"/>
          <w:shd w:val="clear" w:color="auto" w:fill="FFFFFF"/>
        </w:rPr>
      </w:pPr>
      <w:r>
        <w:rPr>
          <w:rFonts w:ascii="Lato" w:hAnsi="Lato" w:cs="Arial"/>
          <w:spacing w:val="4"/>
          <w:shd w:val="clear" w:color="auto" w:fill="FFFFFF"/>
        </w:rPr>
        <w:t>Na aprobatę nie zasługuje zarzut skarżących</w:t>
      </w:r>
      <w:r w:rsidR="0085349F">
        <w:rPr>
          <w:rFonts w:ascii="Lato" w:hAnsi="Lato" w:cs="Arial"/>
          <w:spacing w:val="4"/>
          <w:shd w:val="clear" w:color="auto" w:fill="FFFFFF"/>
        </w:rPr>
        <w:t>, iż „zainteresowane strony nie brały udziału w przedmiotowym postępowaniu, a właściciel</w:t>
      </w:r>
      <w:r w:rsidR="00FF4B38">
        <w:rPr>
          <w:rFonts w:ascii="Lato" w:hAnsi="Lato" w:cs="Arial"/>
          <w:spacing w:val="4"/>
          <w:shd w:val="clear" w:color="auto" w:fill="FFFFFF"/>
        </w:rPr>
        <w:t>e</w:t>
      </w:r>
      <w:r w:rsidR="0085349F">
        <w:rPr>
          <w:rFonts w:ascii="Lato" w:hAnsi="Lato" w:cs="Arial"/>
          <w:spacing w:val="4"/>
          <w:shd w:val="clear" w:color="auto" w:fill="FFFFFF"/>
        </w:rPr>
        <w:t xml:space="preserve"> nie zostali poinformowani o </w:t>
      </w:r>
      <w:r w:rsidR="00942D8A">
        <w:rPr>
          <w:rFonts w:ascii="Lato" w:hAnsi="Lato" w:cs="Arial"/>
          <w:spacing w:val="4"/>
          <w:shd w:val="clear" w:color="auto" w:fill="FFFFFF"/>
        </w:rPr>
        <w:t> </w:t>
      </w:r>
      <w:r w:rsidR="0085349F">
        <w:rPr>
          <w:rFonts w:ascii="Lato" w:hAnsi="Lato" w:cs="Arial"/>
          <w:spacing w:val="4"/>
          <w:shd w:val="clear" w:color="auto" w:fill="FFFFFF"/>
        </w:rPr>
        <w:t xml:space="preserve">postępowaniu w sprawie wydania decyzji o warunkach zabudowy, która wstępnie określiła lokalizację inwestycji”. Po pierwsze, </w:t>
      </w:r>
      <w:r w:rsidR="0085349F">
        <w:rPr>
          <w:rFonts w:ascii="Lato" w:hAnsi="Lato" w:cs="Arial"/>
          <w:bCs/>
          <w:spacing w:val="4"/>
        </w:rPr>
        <w:t>z</w:t>
      </w:r>
      <w:r w:rsidRPr="001C051E">
        <w:rPr>
          <w:rFonts w:ascii="Lato" w:hAnsi="Lato" w:cs="Arial"/>
          <w:bCs/>
          <w:spacing w:val="4"/>
        </w:rPr>
        <w:t xml:space="preserve">godnie z art. 7 ust. 1 specustawy </w:t>
      </w:r>
      <w:r w:rsidRPr="001C051E">
        <w:rPr>
          <w:rFonts w:ascii="Lato" w:hAnsi="Lato" w:cs="Arial"/>
          <w:bCs/>
          <w:spacing w:val="4"/>
        </w:rPr>
        <w:lastRenderedPageBreak/>
        <w:t xml:space="preserve">przesyłowej Wojewoda </w:t>
      </w:r>
      <w:r>
        <w:rPr>
          <w:rFonts w:ascii="Lato" w:hAnsi="Lato" w:cs="Arial"/>
          <w:bCs/>
          <w:spacing w:val="4"/>
        </w:rPr>
        <w:t>Podkarpacki pismem z dnia 26 czerwca 2024 r., znak: N-</w:t>
      </w:r>
      <w:r w:rsidR="00942D8A">
        <w:rPr>
          <w:rFonts w:ascii="Lato" w:hAnsi="Lato" w:cs="Arial"/>
          <w:bCs/>
          <w:spacing w:val="4"/>
        </w:rPr>
        <w:t> </w:t>
      </w:r>
      <w:r>
        <w:rPr>
          <w:rFonts w:ascii="Lato" w:hAnsi="Lato" w:cs="Arial"/>
          <w:bCs/>
          <w:spacing w:val="4"/>
        </w:rPr>
        <w:t xml:space="preserve">VIII.747.4.4.2024, </w:t>
      </w:r>
      <w:r w:rsidRPr="001C051E">
        <w:rPr>
          <w:rFonts w:ascii="Lato" w:hAnsi="Lato" w:cs="Arial"/>
          <w:bCs/>
          <w:spacing w:val="4"/>
        </w:rPr>
        <w:t xml:space="preserve">zawiadomił wnioskodawcę oraz właścicieli i użytkowników wieczystych nieruchomości objętych wnioskiem o wszczęciu postępowania w sprawie wydania decyzji o ustaleniu lokalizacji przedmiotowej </w:t>
      </w:r>
      <w:r>
        <w:rPr>
          <w:rFonts w:ascii="Lato" w:hAnsi="Lato" w:cs="Arial"/>
          <w:bCs/>
          <w:spacing w:val="4"/>
        </w:rPr>
        <w:t xml:space="preserve">inwestycji towarzyszącej </w:t>
      </w:r>
      <w:r w:rsidRPr="001C051E">
        <w:rPr>
          <w:rFonts w:ascii="Lato" w:hAnsi="Lato" w:cs="Arial"/>
          <w:bCs/>
          <w:spacing w:val="4"/>
        </w:rPr>
        <w:t xml:space="preserve">strategicznej inwestycji w zakresie sieci przesyłowej, wysyłając zawiadomienie odpowiednio na adres wskazany we wniosku oraz na adresy wskazane w katastrze nieruchomości. Pozostałe strony postępowania zostały poinformowane o powyższym w </w:t>
      </w:r>
      <w:r w:rsidR="00942D8A">
        <w:rPr>
          <w:rFonts w:ascii="Lato" w:hAnsi="Lato" w:cs="Arial"/>
          <w:bCs/>
          <w:spacing w:val="4"/>
        </w:rPr>
        <w:t> </w:t>
      </w:r>
      <w:r w:rsidRPr="001C051E">
        <w:rPr>
          <w:rFonts w:ascii="Lato" w:hAnsi="Lato" w:cs="Arial"/>
          <w:bCs/>
          <w:spacing w:val="4"/>
        </w:rPr>
        <w:t xml:space="preserve">drodze obwieszczenia. W przedmiotowym obwieszczeniu oraz zawiadomieniu organ I </w:t>
      </w:r>
      <w:r w:rsidR="00942D8A">
        <w:rPr>
          <w:rFonts w:ascii="Lato" w:hAnsi="Lato" w:cs="Arial"/>
          <w:bCs/>
          <w:spacing w:val="4"/>
        </w:rPr>
        <w:t> </w:t>
      </w:r>
      <w:r w:rsidRPr="001C051E">
        <w:rPr>
          <w:rFonts w:ascii="Lato" w:hAnsi="Lato" w:cs="Arial"/>
          <w:bCs/>
          <w:spacing w:val="4"/>
        </w:rPr>
        <w:t xml:space="preserve">instancji zawarł oznaczenie nieruchomości objętych wnioskiem o wydanie decyzji o </w:t>
      </w:r>
      <w:r w:rsidR="00942D8A">
        <w:rPr>
          <w:rFonts w:ascii="Lato" w:hAnsi="Lato" w:cs="Arial"/>
          <w:bCs/>
          <w:spacing w:val="4"/>
        </w:rPr>
        <w:t> </w:t>
      </w:r>
      <w:r w:rsidRPr="001C051E">
        <w:rPr>
          <w:rFonts w:ascii="Lato" w:hAnsi="Lato" w:cs="Arial"/>
          <w:bCs/>
          <w:spacing w:val="4"/>
        </w:rPr>
        <w:t>ustaleniu lokalizacji omawianej inwestycji, a także informację o miejscu, w którym strony mogą zapoznać się z aktami sprawy.</w:t>
      </w:r>
      <w:r w:rsidR="00FF4B38">
        <w:rPr>
          <w:rFonts w:ascii="Lato" w:hAnsi="Lato" w:cs="Arial"/>
          <w:bCs/>
          <w:spacing w:val="4"/>
        </w:rPr>
        <w:t xml:space="preserve"> </w:t>
      </w:r>
    </w:p>
    <w:p w14:paraId="2BC6BDA5" w14:textId="0B65620C" w:rsidR="00BA4F8C" w:rsidRDefault="00BA4F8C" w:rsidP="00BA4F8C">
      <w:pPr>
        <w:spacing w:after="240" w:line="240" w:lineRule="exact"/>
        <w:jc w:val="both"/>
        <w:rPr>
          <w:rFonts w:ascii="Lato" w:hAnsi="Lato" w:cs="Arial"/>
          <w:spacing w:val="4"/>
          <w:shd w:val="clear" w:color="auto" w:fill="FFFFFF"/>
        </w:rPr>
      </w:pPr>
      <w:r w:rsidRPr="001C051E">
        <w:rPr>
          <w:rFonts w:ascii="Lato" w:hAnsi="Lato" w:cs="Arial"/>
          <w:spacing w:val="4"/>
          <w:shd w:val="clear" w:color="auto" w:fill="FFFFFF"/>
        </w:rPr>
        <w:t xml:space="preserve">Jednocześnie </w:t>
      </w:r>
      <w:r w:rsidRPr="00F84B03">
        <w:rPr>
          <w:rFonts w:ascii="Lato" w:hAnsi="Lato" w:cs="Arial"/>
          <w:iCs/>
          <w:spacing w:val="4"/>
          <w:shd w:val="clear" w:color="auto" w:fill="FFFFFF"/>
        </w:rPr>
        <w:t>wyjaśnić należy, iż zarzut naruszenia</w:t>
      </w:r>
      <w:r w:rsidR="00FF4B38">
        <w:rPr>
          <w:rFonts w:ascii="Lato" w:hAnsi="Lato" w:cs="Arial"/>
          <w:iCs/>
          <w:spacing w:val="4"/>
          <w:shd w:val="clear" w:color="auto" w:fill="FFFFFF"/>
        </w:rPr>
        <w:t xml:space="preserve"> obowiązku zapewnienia stronie czynnego udziału w postępowaniu</w:t>
      </w:r>
      <w:r w:rsidRPr="00F84B03">
        <w:rPr>
          <w:rFonts w:ascii="Lato" w:hAnsi="Lato" w:cs="Arial"/>
          <w:iCs/>
          <w:spacing w:val="4"/>
          <w:shd w:val="clear" w:color="auto" w:fill="FFFFFF"/>
        </w:rPr>
        <w:t xml:space="preserve"> może odnieść skutek wówcz</w:t>
      </w:r>
      <w:r w:rsidRPr="001C051E">
        <w:rPr>
          <w:rFonts w:ascii="Lato" w:hAnsi="Lato" w:cs="Arial"/>
          <w:spacing w:val="4"/>
          <w:shd w:val="clear" w:color="auto" w:fill="FFFFFF"/>
        </w:rPr>
        <w:t xml:space="preserve">as, gdy stawiająca go strona wykaże, że zarzucane uchybienie uniemożliwiło jej dokonanie konkretnych czynności procesowych. Warunkiem </w:t>
      </w:r>
      <w:r w:rsidRPr="001C051E">
        <w:rPr>
          <w:rFonts w:ascii="Lato" w:hAnsi="Lato" w:cs="Arial"/>
          <w:i/>
          <w:spacing w:val="4"/>
          <w:shd w:val="clear" w:color="auto" w:fill="FFFFFF"/>
        </w:rPr>
        <w:t>sine qua non</w:t>
      </w:r>
      <w:r w:rsidRPr="001C051E">
        <w:rPr>
          <w:rFonts w:ascii="Lato" w:hAnsi="Lato" w:cs="Arial"/>
          <w:spacing w:val="4"/>
          <w:shd w:val="clear" w:color="auto" w:fill="FFFFFF"/>
        </w:rPr>
        <w:t xml:space="preserve"> uchylenia decyzji</w:t>
      </w:r>
      <w:r>
        <w:rPr>
          <w:rFonts w:ascii="Lato" w:hAnsi="Lato" w:cs="Arial"/>
          <w:spacing w:val="4"/>
          <w:shd w:val="clear" w:color="auto" w:fill="FFFFFF"/>
        </w:rPr>
        <w:t xml:space="preserve"> </w:t>
      </w:r>
      <w:r w:rsidRPr="001C051E">
        <w:rPr>
          <w:rFonts w:ascii="Lato" w:hAnsi="Lato" w:cs="Arial"/>
          <w:spacing w:val="4"/>
          <w:shd w:val="clear" w:color="auto" w:fill="FFFFFF"/>
        </w:rPr>
        <w:t xml:space="preserve">z powodu naruszenia przepisów postępowania jest bowiem wykazanie, że takie naruszenie mogło mieć istotny wpływ na wynik sprawy i ten obowiązek spoczywa na stronie stawiającej taki zarzut. W </w:t>
      </w:r>
      <w:r w:rsidR="00942D8A">
        <w:rPr>
          <w:rFonts w:ascii="Lato" w:hAnsi="Lato" w:cs="Arial"/>
          <w:spacing w:val="4"/>
          <w:shd w:val="clear" w:color="auto" w:fill="FFFFFF"/>
        </w:rPr>
        <w:t> </w:t>
      </w:r>
      <w:r w:rsidRPr="001C051E">
        <w:rPr>
          <w:rFonts w:ascii="Lato" w:hAnsi="Lato" w:cs="Arial"/>
          <w:spacing w:val="4"/>
          <w:shd w:val="clear" w:color="auto" w:fill="FFFFFF"/>
        </w:rPr>
        <w:t xml:space="preserve">takiej sytuacji konieczne jest zatem udowodnienie przez stronę, jakiej konkretnie czynności procesowej nie mogła dokonać, jakiego dowodu w sprawie nie mogła przedstawić i jaki wpływ na wynik sprawy mogło mieć tak stwierdzone uchybienie. Dopiero wykazanie, że naruszenie przez organ administracji publicznej zasady czynnego udziału strony w postępowaniu uniemożliwiło stronie podjęcie konkretnie wskazanej czynności procesowej (najczęściej w sferze postępowania dowodowego), a także wykazanie, że uchybienie to miało istotny wpływ na wynik sprawy, daje podstawy do przyjęcia, że doszło do naruszenia art. 10 </w:t>
      </w:r>
      <w:r w:rsidRPr="00C608C4">
        <w:rPr>
          <w:rFonts w:ascii="Lato" w:hAnsi="Lato" w:cs="Arial"/>
          <w:iCs/>
          <w:spacing w:val="4"/>
          <w:shd w:val="clear" w:color="auto" w:fill="FFFFFF"/>
        </w:rPr>
        <w:t>kpa</w:t>
      </w:r>
      <w:r w:rsidRPr="001C051E">
        <w:rPr>
          <w:rFonts w:ascii="Lato" w:hAnsi="Lato" w:cs="Arial"/>
          <w:spacing w:val="4"/>
          <w:shd w:val="clear" w:color="auto" w:fill="FFFFFF"/>
        </w:rPr>
        <w:t xml:space="preserve"> (por. wyroki Naczelnego Sądu Administracyjnego</w:t>
      </w:r>
      <w:r w:rsidRPr="001C051E">
        <w:rPr>
          <w:rFonts w:ascii="Lato" w:hAnsi="Lato" w:cs="Arial"/>
          <w:bCs/>
          <w:spacing w:val="4"/>
          <w:shd w:val="clear" w:color="auto" w:fill="FFFFFF"/>
        </w:rPr>
        <w:t xml:space="preserve"> z dnia 27 marca 2015 r., sygn. akt I OSK 1767/13, i</w:t>
      </w:r>
      <w:r w:rsidRPr="001C051E">
        <w:rPr>
          <w:rFonts w:ascii="Lato" w:hAnsi="Lato" w:cs="Arial"/>
          <w:spacing w:val="4"/>
          <w:shd w:val="clear" w:color="auto" w:fill="FFFFFF"/>
        </w:rPr>
        <w:t xml:space="preserve"> z dnia 2 września 2009 r., sygn. akt II OSK 1320/08, wyrok Wojewódzkiego Sądu Administracyjnego w </w:t>
      </w:r>
      <w:r w:rsidR="00942D8A">
        <w:rPr>
          <w:rFonts w:ascii="Lato" w:hAnsi="Lato" w:cs="Arial"/>
          <w:spacing w:val="4"/>
          <w:shd w:val="clear" w:color="auto" w:fill="FFFFFF"/>
        </w:rPr>
        <w:t> </w:t>
      </w:r>
      <w:r w:rsidRPr="001C051E">
        <w:rPr>
          <w:rFonts w:ascii="Lato" w:hAnsi="Lato" w:cs="Arial"/>
          <w:spacing w:val="4"/>
          <w:shd w:val="clear" w:color="auto" w:fill="FFFFFF"/>
        </w:rPr>
        <w:t>Poznaniu z dnia 15 maja 2018 r., sygn. akt IV SA/Po 344/18).</w:t>
      </w:r>
    </w:p>
    <w:p w14:paraId="3CAE09EF" w14:textId="0FCEB937" w:rsidR="009E67E4" w:rsidRPr="009E67E4" w:rsidRDefault="00BA4F8C" w:rsidP="00BA4F8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32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spacing w:val="4"/>
        </w:rPr>
        <w:t>Wobec powyższego wskazać należy, iż w toku prowadzonego postępowania przez organ I instancji strony miały możliwość wypowiedzenia się co do zebranych w sprawie dowodów i materiałów, z czego jednak nie skorzystały. Zawiadomieni</w:t>
      </w:r>
      <w:r>
        <w:rPr>
          <w:rFonts w:ascii="Lato" w:hAnsi="Lato" w:cs="Arial"/>
          <w:spacing w:val="4"/>
        </w:rPr>
        <w:t>e</w:t>
      </w:r>
      <w:r w:rsidRPr="001C051E">
        <w:rPr>
          <w:rFonts w:ascii="Lato" w:hAnsi="Lato" w:cs="Arial"/>
          <w:spacing w:val="4"/>
        </w:rPr>
        <w:t xml:space="preserve"> o wszczęciu postępowania w sprawie </w:t>
      </w:r>
      <w:r w:rsidRPr="001C051E">
        <w:rPr>
          <w:rFonts w:ascii="Lato" w:hAnsi="Lato" w:cs="Arial"/>
          <w:bCs/>
          <w:spacing w:val="4"/>
        </w:rPr>
        <w:t xml:space="preserve">wydania decyzji o ustaleniu lokalizacji inwestycji towarzyszącej </w:t>
      </w:r>
      <w:r>
        <w:rPr>
          <w:rFonts w:ascii="Lato" w:hAnsi="Lato" w:cs="Arial"/>
          <w:bCs/>
          <w:spacing w:val="4"/>
        </w:rPr>
        <w:t xml:space="preserve">strategicznej inwestycji </w:t>
      </w:r>
      <w:r w:rsidRPr="001C051E">
        <w:rPr>
          <w:rFonts w:ascii="Lato" w:hAnsi="Lato" w:cs="Arial"/>
          <w:bCs/>
          <w:spacing w:val="4"/>
        </w:rPr>
        <w:t xml:space="preserve">w zakresie sieci przesyłowej z dnia </w:t>
      </w:r>
      <w:r>
        <w:rPr>
          <w:rFonts w:ascii="Lato" w:hAnsi="Lato" w:cs="Arial"/>
          <w:bCs/>
          <w:spacing w:val="4"/>
        </w:rPr>
        <w:t>2</w:t>
      </w:r>
      <w:r w:rsidR="005877B4">
        <w:rPr>
          <w:rFonts w:ascii="Lato" w:hAnsi="Lato" w:cs="Arial"/>
          <w:bCs/>
          <w:spacing w:val="4"/>
        </w:rPr>
        <w:t xml:space="preserve">6 czerwca </w:t>
      </w:r>
      <w:r w:rsidRPr="001C051E">
        <w:rPr>
          <w:rFonts w:ascii="Lato" w:hAnsi="Lato" w:cs="Arial"/>
          <w:bCs/>
          <w:spacing w:val="4"/>
        </w:rPr>
        <w:t>2024 r., w który</w:t>
      </w:r>
      <w:r>
        <w:rPr>
          <w:rFonts w:ascii="Lato" w:hAnsi="Lato" w:cs="Arial"/>
          <w:bCs/>
          <w:spacing w:val="4"/>
        </w:rPr>
        <w:t>m</w:t>
      </w:r>
      <w:r w:rsidRPr="001C051E">
        <w:rPr>
          <w:rFonts w:ascii="Lato" w:hAnsi="Lato" w:cs="Arial"/>
          <w:bCs/>
          <w:spacing w:val="4"/>
        </w:rPr>
        <w:t xml:space="preserve"> wskazano na możliwość zapoznania się z aktami sprawy, został</w:t>
      </w:r>
      <w:r>
        <w:rPr>
          <w:rFonts w:ascii="Lato" w:hAnsi="Lato" w:cs="Arial"/>
          <w:bCs/>
          <w:spacing w:val="4"/>
        </w:rPr>
        <w:t>o</w:t>
      </w:r>
      <w:r w:rsidRPr="001C051E">
        <w:rPr>
          <w:rFonts w:ascii="Lato" w:hAnsi="Lato" w:cs="Arial"/>
          <w:bCs/>
          <w:spacing w:val="4"/>
        </w:rPr>
        <w:t xml:space="preserve"> bowiem skutecznie doręczone Pan</w:t>
      </w:r>
      <w:r>
        <w:rPr>
          <w:rFonts w:ascii="Lato" w:hAnsi="Lato" w:cs="Arial"/>
          <w:bCs/>
          <w:spacing w:val="4"/>
        </w:rPr>
        <w:t>u</w:t>
      </w:r>
      <w:r w:rsidRPr="001C051E">
        <w:rPr>
          <w:rFonts w:ascii="Lato" w:hAnsi="Lato" w:cs="Arial"/>
          <w:bCs/>
          <w:spacing w:val="4"/>
        </w:rPr>
        <w:t xml:space="preserve"> </w:t>
      </w:r>
      <w:r w:rsidR="00230EF2">
        <w:rPr>
          <w:rFonts w:ascii="Lato" w:hAnsi="Lato" w:cs="Arial"/>
          <w:bCs/>
          <w:spacing w:val="4"/>
        </w:rPr>
        <w:t>A</w:t>
      </w:r>
      <w:r w:rsidR="00662FE0">
        <w:rPr>
          <w:rFonts w:ascii="Lato" w:hAnsi="Lato" w:cs="Arial"/>
          <w:bCs/>
          <w:spacing w:val="4"/>
        </w:rPr>
        <w:t>.</w:t>
      </w:r>
      <w:r w:rsidR="00230EF2">
        <w:rPr>
          <w:rFonts w:ascii="Lato" w:hAnsi="Lato" w:cs="Arial"/>
          <w:bCs/>
          <w:spacing w:val="4"/>
        </w:rPr>
        <w:t xml:space="preserve"> B</w:t>
      </w:r>
      <w:r w:rsidR="00662FE0">
        <w:rPr>
          <w:rFonts w:ascii="Lato" w:hAnsi="Lato" w:cs="Arial"/>
          <w:bCs/>
          <w:spacing w:val="4"/>
        </w:rPr>
        <w:t>.</w:t>
      </w:r>
      <w:r w:rsidRPr="001C051E">
        <w:rPr>
          <w:rFonts w:ascii="Lato" w:hAnsi="Lato" w:cs="Arial"/>
          <w:bCs/>
          <w:spacing w:val="4"/>
        </w:rPr>
        <w:t xml:space="preserve"> </w:t>
      </w:r>
      <w:r w:rsidR="00AB28A3">
        <w:rPr>
          <w:rFonts w:ascii="Lato" w:hAnsi="Lato" w:cs="Arial"/>
          <w:bCs/>
          <w:spacing w:val="4"/>
        </w:rPr>
        <w:t>i Pani B</w:t>
      </w:r>
      <w:r w:rsidR="00662FE0">
        <w:rPr>
          <w:rFonts w:ascii="Lato" w:hAnsi="Lato" w:cs="Arial"/>
          <w:bCs/>
          <w:spacing w:val="4"/>
        </w:rPr>
        <w:t>.</w:t>
      </w:r>
      <w:r w:rsidR="00AB28A3">
        <w:rPr>
          <w:rFonts w:ascii="Lato" w:hAnsi="Lato" w:cs="Arial"/>
          <w:bCs/>
          <w:spacing w:val="4"/>
        </w:rPr>
        <w:t xml:space="preserve"> B</w:t>
      </w:r>
      <w:r w:rsidR="00662FE0">
        <w:rPr>
          <w:rFonts w:ascii="Lato" w:hAnsi="Lato" w:cs="Arial"/>
          <w:bCs/>
          <w:spacing w:val="4"/>
        </w:rPr>
        <w:t>.</w:t>
      </w:r>
      <w:r w:rsidR="00AB28A3">
        <w:rPr>
          <w:rFonts w:ascii="Lato" w:hAnsi="Lato" w:cs="Arial"/>
          <w:bCs/>
          <w:spacing w:val="4"/>
        </w:rPr>
        <w:t xml:space="preserve"> </w:t>
      </w:r>
      <w:r w:rsidRPr="001C051E">
        <w:rPr>
          <w:rFonts w:ascii="Lato" w:hAnsi="Lato" w:cs="Arial"/>
          <w:bCs/>
          <w:spacing w:val="4"/>
        </w:rPr>
        <w:t xml:space="preserve">w dniu  </w:t>
      </w:r>
      <w:r w:rsidR="00AB28A3">
        <w:rPr>
          <w:rFonts w:ascii="Lato" w:hAnsi="Lato" w:cs="Arial"/>
          <w:bCs/>
          <w:spacing w:val="4"/>
        </w:rPr>
        <w:t>27 czerwca</w:t>
      </w:r>
      <w:r w:rsidRPr="001C051E">
        <w:rPr>
          <w:rFonts w:ascii="Lato" w:hAnsi="Lato" w:cs="Arial"/>
          <w:bCs/>
          <w:spacing w:val="4"/>
        </w:rPr>
        <w:t xml:space="preserve"> 2024 r.</w:t>
      </w:r>
      <w:r w:rsidR="00AB28A3">
        <w:rPr>
          <w:rFonts w:ascii="Lato" w:hAnsi="Lato" w:cs="Arial"/>
          <w:bCs/>
          <w:spacing w:val="4"/>
        </w:rPr>
        <w:t xml:space="preserve"> </w:t>
      </w:r>
      <w:r w:rsidRPr="001C051E">
        <w:rPr>
          <w:rFonts w:ascii="Lato" w:hAnsi="Lato" w:cs="Arial"/>
          <w:bCs/>
          <w:spacing w:val="4"/>
        </w:rPr>
        <w:t>Tym samym,</w:t>
      </w:r>
      <w:r>
        <w:rPr>
          <w:rFonts w:ascii="Lato" w:hAnsi="Lato" w:cs="Arial"/>
          <w:bCs/>
          <w:spacing w:val="4"/>
        </w:rPr>
        <w:t xml:space="preserve"> stwierdzić należy, iż</w:t>
      </w:r>
      <w:r w:rsidRPr="001C051E">
        <w:rPr>
          <w:rFonts w:ascii="Lato" w:hAnsi="Lato" w:cs="Arial"/>
          <w:bCs/>
          <w:spacing w:val="4"/>
        </w:rPr>
        <w:t xml:space="preserve"> skarżący mogli, przed wydaniem przedmiotowej decyzji z </w:t>
      </w:r>
      <w:r w:rsidR="00AB28A3">
        <w:rPr>
          <w:rFonts w:ascii="Lato" w:hAnsi="Lato" w:cs="Arial"/>
          <w:bCs/>
          <w:spacing w:val="4"/>
        </w:rPr>
        <w:t> </w:t>
      </w:r>
      <w:r w:rsidRPr="001C051E">
        <w:rPr>
          <w:rFonts w:ascii="Lato" w:hAnsi="Lato" w:cs="Arial"/>
          <w:bCs/>
          <w:spacing w:val="4"/>
        </w:rPr>
        <w:t xml:space="preserve">dnia </w:t>
      </w:r>
      <w:r w:rsidR="00AB28A3">
        <w:rPr>
          <w:rFonts w:ascii="Lato" w:hAnsi="Lato" w:cs="Arial"/>
          <w:bCs/>
          <w:spacing w:val="4"/>
        </w:rPr>
        <w:t>7</w:t>
      </w:r>
      <w:r w:rsidRPr="001C051E">
        <w:rPr>
          <w:rFonts w:ascii="Lato" w:hAnsi="Lato" w:cs="Arial"/>
          <w:bCs/>
          <w:spacing w:val="4"/>
        </w:rPr>
        <w:t xml:space="preserve"> </w:t>
      </w:r>
      <w:r w:rsidR="00AB28A3">
        <w:rPr>
          <w:rFonts w:ascii="Lato" w:hAnsi="Lato" w:cs="Arial"/>
          <w:bCs/>
          <w:spacing w:val="4"/>
        </w:rPr>
        <w:t>sierpnia</w:t>
      </w:r>
      <w:r w:rsidRPr="001C051E">
        <w:rPr>
          <w:rFonts w:ascii="Lato" w:hAnsi="Lato" w:cs="Arial"/>
          <w:bCs/>
          <w:spacing w:val="4"/>
        </w:rPr>
        <w:t xml:space="preserve"> 2024 r., zgłosić wskazywane przez nich w odwołaniu wnioski dowodowe i zapoznać się z materiałem dowodowym zgromadzonym w sprawie. </w:t>
      </w:r>
    </w:p>
    <w:p w14:paraId="7EB19A87" w14:textId="001D80FE" w:rsidR="00B85FE9" w:rsidRDefault="00BA4F8C" w:rsidP="003078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32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1C051E">
        <w:rPr>
          <w:rFonts w:ascii="Lato" w:hAnsi="Lato" w:cs="Arial"/>
          <w:bCs/>
          <w:spacing w:val="4"/>
        </w:rPr>
        <w:t xml:space="preserve">Jednocześnie zauważyć należy, iż przedmiotowe zastrzeżenia skarżących zostały aktualnie rozpatrzone przez organ II instancji, który w niniejszej decyzji stwierdził, </w:t>
      </w:r>
      <w:r>
        <w:rPr>
          <w:rFonts w:ascii="Lato" w:hAnsi="Lato" w:cs="Arial"/>
          <w:bCs/>
          <w:spacing w:val="4"/>
        </w:rPr>
        <w:br/>
      </w:r>
      <w:r w:rsidRPr="001C051E">
        <w:rPr>
          <w:rFonts w:ascii="Lato" w:hAnsi="Lato" w:cs="Arial"/>
          <w:bCs/>
          <w:spacing w:val="4"/>
        </w:rPr>
        <w:t>iż pozostają one bez wpływu na wynik sprawy.</w:t>
      </w:r>
    </w:p>
    <w:p w14:paraId="0E4F873F" w14:textId="787D622B" w:rsidR="00902597" w:rsidRDefault="00902597" w:rsidP="003078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32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 xml:space="preserve">Po drugie zaś, w kontekście zarzucanego braku poinformowania stron skarżących o </w:t>
      </w:r>
      <w:r w:rsidR="00C3300D">
        <w:rPr>
          <w:rFonts w:ascii="Lato" w:hAnsi="Lato" w:cs="Arial"/>
          <w:bCs/>
          <w:spacing w:val="4"/>
        </w:rPr>
        <w:t> </w:t>
      </w:r>
      <w:r>
        <w:rPr>
          <w:rFonts w:ascii="Lato" w:hAnsi="Lato" w:cs="Arial"/>
          <w:bCs/>
          <w:spacing w:val="4"/>
        </w:rPr>
        <w:t xml:space="preserve">postępowaniu w sprawie wydania decyzji o warunkach zabudowy, stanowczego podkreślenia wymaga, że postępowanie </w:t>
      </w:r>
      <w:r w:rsidR="007B1722">
        <w:rPr>
          <w:rFonts w:ascii="Lato" w:hAnsi="Lato" w:cs="Arial"/>
          <w:bCs/>
          <w:spacing w:val="4"/>
        </w:rPr>
        <w:t xml:space="preserve">prowadzone w sprawie wydania decyzji o </w:t>
      </w:r>
      <w:r w:rsidR="00C3300D">
        <w:rPr>
          <w:rFonts w:ascii="Lato" w:hAnsi="Lato" w:cs="Arial"/>
          <w:bCs/>
          <w:spacing w:val="4"/>
        </w:rPr>
        <w:t> </w:t>
      </w:r>
      <w:r w:rsidR="007B1722">
        <w:rPr>
          <w:rFonts w:ascii="Lato" w:hAnsi="Lato" w:cs="Arial"/>
          <w:bCs/>
          <w:spacing w:val="4"/>
        </w:rPr>
        <w:t xml:space="preserve">warunkach zabudowy stanowi odrębne postępowanie prowadzone przez inny organ administracji, a podnoszona w tym zakresie argumentacja pozostaje poza przedmiotem postępowania w sprawie wydania decyzji o ustaleniu lokalizacji inwestycji towarzyszącej strategicznej inwestycji w zakresie sieci przesyłowej i w żadnym stopniu nie może stanowić o jej wadliwości. </w:t>
      </w:r>
    </w:p>
    <w:p w14:paraId="707FAB5F" w14:textId="3BEB34E1" w:rsidR="007B1722" w:rsidRDefault="007B1722" w:rsidP="003078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32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lastRenderedPageBreak/>
        <w:t>Poza przedmiotem niniejszego postępowania pozostają propozycje skarżących dotyczące przeprowadzenia referendum w zakresie przyłączenia obszaru ewidencyjnego Załuże do obszaru administracyjnego gminy Cieszanów</w:t>
      </w:r>
      <w:r w:rsidR="00FF5BDB">
        <w:rPr>
          <w:rFonts w:ascii="Lato" w:hAnsi="Lato" w:cs="Arial"/>
          <w:bCs/>
          <w:spacing w:val="4"/>
        </w:rPr>
        <w:t>.</w:t>
      </w:r>
    </w:p>
    <w:p w14:paraId="7C8716D9" w14:textId="7D2C1423" w:rsidR="00902597" w:rsidRPr="0030783D" w:rsidRDefault="00FF5BDB" w:rsidP="003078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32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</w:rPr>
        <w:t>Przedmiotem postępowania w sprawie ustalenia lokalizacji inwestycji towarzyszącej strategicznej inwestycji w zakresie sieci przesyłowej nie jest również wskazywana przez strony skarżące procedura wstrzymania robót budowlanych określona w przepisach ustawy Prawo budowlane. D</w:t>
      </w:r>
      <w:r w:rsidRPr="005948B6">
        <w:rPr>
          <w:rFonts w:ascii="Lato" w:hAnsi="Lato" w:cs="Arial"/>
          <w:bCs/>
          <w:spacing w:val="4"/>
        </w:rPr>
        <w:t xml:space="preserve">ecyzja o ustaleniu lokalizacji inwestycji </w:t>
      </w:r>
      <w:r>
        <w:rPr>
          <w:rFonts w:ascii="Lato" w:hAnsi="Lato" w:cs="Arial"/>
          <w:bCs/>
          <w:spacing w:val="4"/>
        </w:rPr>
        <w:t xml:space="preserve">– co było już wyjaśniane – </w:t>
      </w:r>
      <w:r w:rsidRPr="005948B6">
        <w:rPr>
          <w:rFonts w:ascii="Lato" w:hAnsi="Lato" w:cs="Arial"/>
          <w:bCs/>
          <w:spacing w:val="4"/>
        </w:rPr>
        <w:t xml:space="preserve">jest pierwszą z cyklu decyzji wydawanych w procesie inwestycyjnym. Ma ona charakter wstępny - określa dopuszczalność zamierzenia inwestycyjnego w </w:t>
      </w:r>
      <w:r w:rsidR="00C3300D">
        <w:rPr>
          <w:rFonts w:ascii="Lato" w:hAnsi="Lato" w:cs="Arial"/>
          <w:bCs/>
          <w:spacing w:val="4"/>
        </w:rPr>
        <w:t> </w:t>
      </w:r>
      <w:r w:rsidRPr="005948B6">
        <w:rPr>
          <w:rFonts w:ascii="Lato" w:hAnsi="Lato" w:cs="Arial"/>
          <w:bCs/>
          <w:spacing w:val="4"/>
        </w:rPr>
        <w:t>wyznaczonej przez inwestora lokalizacji, z punktu widzenia przepisów prawa, a także wskazuje ogólne warunki i zasady, którym inwestycja powinna odpowiadać.</w:t>
      </w:r>
      <w:r>
        <w:rPr>
          <w:rFonts w:ascii="Lato" w:hAnsi="Lato" w:cs="Arial"/>
          <w:bCs/>
          <w:spacing w:val="4"/>
        </w:rPr>
        <w:t xml:space="preserve"> Ewentualne wstrzymanie robót budowlanych związane jest z przyszłą realizacją inwestycji i może być następstwem odstępstw od decyzji o pozwoleniu na budowę. </w:t>
      </w:r>
    </w:p>
    <w:p w14:paraId="09133622" w14:textId="096DC428" w:rsidR="00EE2CD4" w:rsidRPr="001C051E" w:rsidRDefault="00EE2CD4" w:rsidP="00EE2CD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35E39">
        <w:rPr>
          <w:rFonts w:ascii="Lato" w:hAnsi="Lato" w:cs="Arial"/>
          <w:bCs/>
          <w:spacing w:val="4"/>
        </w:rPr>
        <w:t xml:space="preserve">Reasumując, organ odwoławczy uznał, że przebieg planowanej inwestycji przesyłowej został ustalony prawidłowo. </w:t>
      </w:r>
      <w:r w:rsidRPr="00A35E39">
        <w:rPr>
          <w:rFonts w:ascii="Lato" w:hAnsi="Lato" w:cs="Arial"/>
          <w:spacing w:val="4"/>
        </w:rPr>
        <w:t xml:space="preserve">Stwierdzić należy także, że zarówno wniosek inwestora, postępowanie przeprowadzone przez organ I instancji, jak i zaskarżona decyzja Wojewody </w:t>
      </w:r>
      <w:r w:rsidR="00A35E39">
        <w:rPr>
          <w:rFonts w:ascii="Lato" w:hAnsi="Lato" w:cs="Arial"/>
          <w:spacing w:val="4"/>
        </w:rPr>
        <w:t>Podkarpackieg</w:t>
      </w:r>
      <w:r w:rsidR="002A1939" w:rsidRPr="00A35E39">
        <w:rPr>
          <w:rFonts w:ascii="Lato" w:hAnsi="Lato" w:cs="Arial"/>
          <w:spacing w:val="4"/>
        </w:rPr>
        <w:t>o</w:t>
      </w:r>
      <w:r w:rsidRPr="00A35E39">
        <w:rPr>
          <w:rFonts w:ascii="Lato" w:hAnsi="Lato" w:cs="Arial"/>
          <w:spacing w:val="4"/>
        </w:rPr>
        <w:t xml:space="preserve"> nie naruszają prawa, a zarzuty </w:t>
      </w:r>
      <w:r w:rsidR="00F75094" w:rsidRPr="00A35E39">
        <w:rPr>
          <w:rFonts w:ascii="Lato" w:hAnsi="Lato" w:cs="Arial"/>
          <w:spacing w:val="4"/>
        </w:rPr>
        <w:t xml:space="preserve">stron </w:t>
      </w:r>
      <w:r w:rsidRPr="00A35E39">
        <w:rPr>
          <w:rFonts w:ascii="Lato" w:hAnsi="Lato" w:cs="Arial"/>
          <w:spacing w:val="4"/>
        </w:rPr>
        <w:t>skarżąc</w:t>
      </w:r>
      <w:r w:rsidR="00F928BD" w:rsidRPr="00A35E39">
        <w:rPr>
          <w:rFonts w:ascii="Lato" w:hAnsi="Lato" w:cs="Arial"/>
          <w:spacing w:val="4"/>
        </w:rPr>
        <w:t>ych</w:t>
      </w:r>
      <w:r w:rsidRPr="00A35E39">
        <w:rPr>
          <w:rFonts w:ascii="Lato" w:hAnsi="Lato" w:cs="Arial"/>
          <w:spacing w:val="4"/>
        </w:rPr>
        <w:t xml:space="preserve"> nie zasługują na uwzględnienie, wobec czego orzeczono jak w rozstrzygnięciu.</w:t>
      </w:r>
    </w:p>
    <w:p w14:paraId="11F4EBE1" w14:textId="7C09DC58" w:rsidR="00FF1FB4" w:rsidRPr="001C051E" w:rsidRDefault="00B24838" w:rsidP="004D2997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 w:rsidRPr="001C051E">
        <w:rPr>
          <w:rFonts w:ascii="Lato" w:hAnsi="Lato" w:cs="Arial"/>
          <w:bCs/>
          <w:spacing w:val="4"/>
          <w:lang w:bidi="pl-PL"/>
        </w:rPr>
        <w:t>Niniejsza decyzja jest ostateczna.</w:t>
      </w:r>
    </w:p>
    <w:p w14:paraId="0F2EA762" w14:textId="25AD9D90" w:rsidR="003D0759" w:rsidRPr="001C051E" w:rsidRDefault="003D0759" w:rsidP="004D2997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spacing w:val="4"/>
          <w:lang w:bidi="pl-PL"/>
        </w:rPr>
      </w:pPr>
      <w:r w:rsidRPr="001C051E">
        <w:rPr>
          <w:rFonts w:ascii="Lato" w:hAnsi="Lato" w:cs="Arial"/>
          <w:bCs/>
          <w:spacing w:val="4"/>
          <w:lang w:bidi="pl-PL"/>
        </w:rPr>
        <w:t>Na decyzję, na podstawie art. 53 § 1 i art. 54 § 1 ustawy z dnia 30 sierpnia 2002 r. – Prawo o postępowaniu przed sądami administracyjnymi (</w:t>
      </w:r>
      <w:proofErr w:type="spellStart"/>
      <w:r w:rsidRPr="001C051E">
        <w:rPr>
          <w:rFonts w:ascii="Lato" w:hAnsi="Lato" w:cs="Arial"/>
          <w:bCs/>
          <w:spacing w:val="4"/>
          <w:lang w:bidi="pl-PL"/>
        </w:rPr>
        <w:t>t.j</w:t>
      </w:r>
      <w:proofErr w:type="spellEnd"/>
      <w:r w:rsidRPr="001C051E">
        <w:rPr>
          <w:rFonts w:ascii="Lato" w:hAnsi="Lato" w:cs="Arial"/>
          <w:bCs/>
          <w:spacing w:val="4"/>
          <w:lang w:bidi="pl-PL"/>
        </w:rPr>
        <w:t>. Dz.U. z 2024 r. poz. 935</w:t>
      </w:r>
      <w:r w:rsidR="009E4791" w:rsidRPr="001C051E">
        <w:rPr>
          <w:rFonts w:ascii="Lato" w:hAnsi="Lato" w:cs="Arial"/>
          <w:bCs/>
          <w:spacing w:val="4"/>
          <w:lang w:bidi="pl-PL"/>
        </w:rPr>
        <w:t xml:space="preserve">, </w:t>
      </w:r>
      <w:r w:rsidR="009E4791" w:rsidRPr="001C051E">
        <w:rPr>
          <w:rFonts w:ascii="Lato" w:hAnsi="Lato" w:cs="Arial"/>
          <w:bCs/>
          <w:spacing w:val="4"/>
          <w:lang w:bidi="pl-PL"/>
        </w:rPr>
        <w:br/>
        <w:t>z</w:t>
      </w:r>
      <w:r w:rsidR="00832762" w:rsidRPr="001C051E">
        <w:rPr>
          <w:rFonts w:ascii="Lato" w:hAnsi="Lato" w:cs="Arial"/>
          <w:bCs/>
          <w:spacing w:val="4"/>
          <w:lang w:bidi="pl-PL"/>
        </w:rPr>
        <w:t xml:space="preserve"> </w:t>
      </w:r>
      <w:proofErr w:type="spellStart"/>
      <w:r w:rsidR="009E4791" w:rsidRPr="001C051E">
        <w:rPr>
          <w:rFonts w:ascii="Lato" w:hAnsi="Lato" w:cs="Arial"/>
          <w:bCs/>
          <w:spacing w:val="4"/>
          <w:lang w:bidi="pl-PL"/>
        </w:rPr>
        <w:t>późn</w:t>
      </w:r>
      <w:proofErr w:type="spellEnd"/>
      <w:r w:rsidR="009E4791" w:rsidRPr="001C051E">
        <w:rPr>
          <w:rFonts w:ascii="Lato" w:hAnsi="Lato" w:cs="Arial"/>
          <w:bCs/>
          <w:spacing w:val="4"/>
          <w:lang w:bidi="pl-PL"/>
        </w:rPr>
        <w:t>.</w:t>
      </w:r>
      <w:r w:rsidR="00D56C27" w:rsidRPr="001C051E">
        <w:rPr>
          <w:rFonts w:ascii="Lato" w:hAnsi="Lato" w:cs="Arial"/>
          <w:bCs/>
          <w:spacing w:val="4"/>
          <w:lang w:bidi="pl-PL"/>
        </w:rPr>
        <w:t xml:space="preserve"> </w:t>
      </w:r>
      <w:r w:rsidR="009E4791" w:rsidRPr="001C051E">
        <w:rPr>
          <w:rFonts w:ascii="Lato" w:hAnsi="Lato" w:cs="Arial"/>
          <w:bCs/>
          <w:spacing w:val="4"/>
          <w:lang w:bidi="pl-PL"/>
        </w:rPr>
        <w:t>zm.</w:t>
      </w:r>
      <w:r w:rsidRPr="001C051E">
        <w:rPr>
          <w:rFonts w:ascii="Lato" w:hAnsi="Lato" w:cs="Arial"/>
          <w:bCs/>
          <w:spacing w:val="4"/>
          <w:lang w:bidi="pl-PL"/>
        </w:rPr>
        <w:t>), zwanej dalej „</w:t>
      </w:r>
      <w:proofErr w:type="spellStart"/>
      <w:r w:rsidRPr="001C051E">
        <w:rPr>
          <w:rFonts w:ascii="Lato" w:hAnsi="Lato" w:cs="Arial"/>
          <w:bCs/>
          <w:spacing w:val="4"/>
          <w:lang w:bidi="pl-PL"/>
        </w:rPr>
        <w:t>ppsa</w:t>
      </w:r>
      <w:proofErr w:type="spellEnd"/>
      <w:r w:rsidRPr="001C051E">
        <w:rPr>
          <w:rFonts w:ascii="Lato" w:hAnsi="Lato" w:cs="Arial"/>
          <w:bCs/>
          <w:spacing w:val="4"/>
          <w:lang w:bidi="pl-PL"/>
        </w:rPr>
        <w:t>”, przysługuje skarga do Wojewódzkiego Sądu Administracyjnego w Warszawie, wnoszona za pośrednictwem</w:t>
      </w:r>
      <w:r w:rsidR="00D56C27" w:rsidRPr="001C051E">
        <w:rPr>
          <w:rFonts w:ascii="Lato" w:hAnsi="Lato" w:cs="Arial"/>
          <w:bCs/>
          <w:spacing w:val="4"/>
          <w:lang w:bidi="pl-PL"/>
        </w:rPr>
        <w:t xml:space="preserve"> </w:t>
      </w:r>
      <w:r w:rsidRPr="001C051E">
        <w:rPr>
          <w:rFonts w:ascii="Lato" w:hAnsi="Lato" w:cs="Arial"/>
          <w:bCs/>
          <w:spacing w:val="4"/>
          <w:lang w:bidi="pl-PL"/>
        </w:rPr>
        <w:t xml:space="preserve">Ministra </w:t>
      </w:r>
      <w:r w:rsidR="00832762" w:rsidRPr="001C051E">
        <w:rPr>
          <w:rFonts w:ascii="Lato" w:hAnsi="Lato" w:cs="Arial"/>
          <w:bCs/>
          <w:spacing w:val="4"/>
          <w:lang w:bidi="pl-PL"/>
        </w:rPr>
        <w:t xml:space="preserve">Finansów </w:t>
      </w:r>
      <w:r w:rsidR="008733F9">
        <w:rPr>
          <w:rFonts w:ascii="Lato" w:hAnsi="Lato" w:cs="Arial"/>
          <w:bCs/>
          <w:spacing w:val="4"/>
          <w:lang w:bidi="pl-PL"/>
        </w:rPr>
        <w:br/>
      </w:r>
      <w:r w:rsidR="00832762" w:rsidRPr="001C051E">
        <w:rPr>
          <w:rFonts w:ascii="Lato" w:hAnsi="Lato" w:cs="Arial"/>
          <w:bCs/>
          <w:spacing w:val="4"/>
          <w:lang w:bidi="pl-PL"/>
        </w:rPr>
        <w:t>i Gospodarki</w:t>
      </w:r>
      <w:r w:rsidRPr="001C051E">
        <w:rPr>
          <w:rFonts w:ascii="Lato" w:hAnsi="Lato" w:cs="Arial"/>
          <w:bCs/>
          <w:spacing w:val="4"/>
          <w:lang w:bidi="pl-PL"/>
        </w:rPr>
        <w:t>, w terminie 30 dni od dnia doręczenia decyzji.</w:t>
      </w:r>
    </w:p>
    <w:p w14:paraId="1C04F262" w14:textId="09B2C1F7" w:rsidR="00C21D5A" w:rsidRPr="006772C5" w:rsidRDefault="003D0759" w:rsidP="006772C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spacing w:val="4"/>
          <w:lang w:bidi="pl-PL"/>
        </w:rPr>
      </w:pPr>
      <w:r w:rsidRPr="001C051E">
        <w:rPr>
          <w:rFonts w:ascii="Lato" w:hAnsi="Lato" w:cs="Arial"/>
          <w:bCs/>
          <w:spacing w:val="4"/>
          <w:lang w:bidi="pl-PL"/>
        </w:rPr>
        <w:t xml:space="preserve">Jednocześnie informuję, że do skargi należy załączyć dowód uiszczenia wpisu </w:t>
      </w:r>
      <w:r w:rsidR="00CF3636" w:rsidRPr="001C051E">
        <w:rPr>
          <w:rFonts w:ascii="Lato" w:hAnsi="Lato" w:cs="Arial"/>
          <w:bCs/>
          <w:spacing w:val="4"/>
          <w:lang w:bidi="pl-PL"/>
        </w:rPr>
        <w:br/>
      </w:r>
      <w:r w:rsidRPr="001C051E">
        <w:rPr>
          <w:rFonts w:ascii="Lato" w:hAnsi="Lato" w:cs="Arial"/>
          <w:bCs/>
          <w:spacing w:val="4"/>
          <w:lang w:bidi="pl-PL"/>
        </w:rPr>
        <w:t xml:space="preserve">od wniesienia skargi w kwocie 500 zł, płatnego w kasie sądu lub na rachunek bankowy sądu wskazany w publikatorze teleinformatycznym – Biuletynie Informacji Publicznej sądu (http://bip.warszawa.wsa.gov.pl).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1C051E">
        <w:rPr>
          <w:rFonts w:ascii="Lato" w:hAnsi="Lato" w:cs="Arial"/>
          <w:bCs/>
          <w:spacing w:val="4"/>
          <w:lang w:bidi="pl-PL"/>
        </w:rPr>
        <w:t>ppsa</w:t>
      </w:r>
      <w:proofErr w:type="spellEnd"/>
      <w:r w:rsidRPr="001C051E">
        <w:rPr>
          <w:rFonts w:ascii="Lato" w:hAnsi="Lato" w:cs="Arial"/>
          <w:bCs/>
          <w:spacing w:val="4"/>
          <w:lang w:bidi="pl-PL"/>
        </w:rPr>
        <w:t>.</w:t>
      </w:r>
    </w:p>
    <w:p w14:paraId="74E356DA" w14:textId="77777777" w:rsidR="006772C5" w:rsidRPr="0052341D" w:rsidRDefault="006772C5" w:rsidP="006772C5">
      <w:pPr>
        <w:spacing w:after="120" w:line="240" w:lineRule="exact"/>
        <w:ind w:left="4253"/>
        <w:rPr>
          <w:rFonts w:ascii="Lato" w:hAnsi="Lato"/>
          <w:b/>
          <w:bCs/>
        </w:rPr>
      </w:pPr>
      <w:r w:rsidRPr="0052341D">
        <w:rPr>
          <w:rFonts w:ascii="Lato" w:hAnsi="Lato"/>
          <w:b/>
          <w:bCs/>
        </w:rPr>
        <w:t>Z upoważnienia</w:t>
      </w:r>
    </w:p>
    <w:p w14:paraId="5087DAA3" w14:textId="77777777" w:rsidR="006772C5" w:rsidRPr="0052341D" w:rsidRDefault="006772C5" w:rsidP="006772C5">
      <w:pPr>
        <w:spacing w:after="120" w:line="240" w:lineRule="exact"/>
        <w:ind w:left="4253"/>
        <w:rPr>
          <w:rFonts w:ascii="Lato" w:hAnsi="Lato"/>
        </w:rPr>
      </w:pPr>
      <w:r w:rsidRPr="0052341D">
        <w:rPr>
          <w:rFonts w:ascii="Lato" w:hAnsi="Lato"/>
        </w:rPr>
        <w:t>Edyta Lubaszewska</w:t>
      </w:r>
    </w:p>
    <w:p w14:paraId="06DB795B" w14:textId="77777777" w:rsidR="006772C5" w:rsidRPr="0052341D" w:rsidRDefault="006772C5" w:rsidP="006772C5">
      <w:pPr>
        <w:spacing w:after="120" w:line="240" w:lineRule="exact"/>
        <w:ind w:left="4253"/>
        <w:rPr>
          <w:rFonts w:ascii="Lato" w:hAnsi="Lato"/>
        </w:rPr>
      </w:pPr>
      <w:r w:rsidRPr="0052341D">
        <w:rPr>
          <w:rFonts w:ascii="Lato" w:hAnsi="Lato"/>
        </w:rPr>
        <w:t>dyrektor departamentu</w:t>
      </w:r>
    </w:p>
    <w:p w14:paraId="2CCB5F3E" w14:textId="77777777" w:rsidR="006772C5" w:rsidRPr="0052341D" w:rsidRDefault="006772C5" w:rsidP="006772C5">
      <w:pPr>
        <w:spacing w:after="120" w:line="240" w:lineRule="exact"/>
        <w:ind w:left="4253"/>
        <w:rPr>
          <w:rFonts w:ascii="Lato" w:hAnsi="Lato"/>
        </w:rPr>
      </w:pPr>
      <w:r w:rsidRPr="0052341D">
        <w:rPr>
          <w:rFonts w:ascii="Lato" w:hAnsi="Lato"/>
        </w:rPr>
        <w:t xml:space="preserve">/ kwalifikowany podpis elektroniczny / </w:t>
      </w:r>
    </w:p>
    <w:p w14:paraId="4873619A" w14:textId="09E6934B" w:rsidR="00051D5F" w:rsidRPr="00662FE0" w:rsidRDefault="006772C5" w:rsidP="00662FE0">
      <w:pPr>
        <w:spacing w:after="80" w:line="240" w:lineRule="auto"/>
        <w:ind w:firstLine="4253"/>
        <w:jc w:val="both"/>
        <w:rPr>
          <w:rFonts w:ascii="Lato" w:eastAsia="Times New Roman" w:hAnsi="Lato" w:cs="Arial"/>
          <w:b/>
          <w:spacing w:val="4"/>
          <w:lang w:eastAsia="pl-PL"/>
        </w:rPr>
      </w:pPr>
      <w:r w:rsidRPr="0052341D">
        <w:rPr>
          <w:rFonts w:ascii="Lato" w:hAnsi="Lato"/>
          <w:color w:val="000000" w:themeColor="text1"/>
        </w:rPr>
        <w:t>w Ministerstwie Rozwoju i Technologii</w:t>
      </w:r>
    </w:p>
    <w:sectPr w:rsidR="00051D5F" w:rsidRPr="00662FE0" w:rsidSect="00186348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2268" w:right="1133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4579B" w14:textId="77777777" w:rsidR="001F5510" w:rsidRDefault="001F5510" w:rsidP="009276B2">
      <w:pPr>
        <w:spacing w:after="0" w:line="240" w:lineRule="auto"/>
      </w:pPr>
      <w:r>
        <w:separator/>
      </w:r>
    </w:p>
  </w:endnote>
  <w:endnote w:type="continuationSeparator" w:id="0">
    <w:p w14:paraId="25E77BFC" w14:textId="77777777" w:rsidR="001F5510" w:rsidRDefault="001F551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064779E-5D56-4D49-9C43-B9BBD28E3D93}"/>
    <w:embedBold r:id="rId2" w:fontKey="{019CE1AF-0AB1-4BE0-A282-3364C4222B5C}"/>
    <w:embedItalic r:id="rId3" w:fontKey="{8BB65220-BC84-4D8C-A24A-FD2A18263EC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E1F9368-3379-4A34-AD9F-3ADD3575A57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7B47ED9D-B120-49AF-880E-813697FC85D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3C7790F5-FAE4-4CF8-B8A1-AADEA8E78C33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7" w:fontKey="{DF4908FE-5661-49C2-982A-2D3FF5A9CB9A}"/>
    <w:embedBold r:id="rId8" w:fontKey="{483BA1DC-5345-40AF-AF4A-753B9EDA91B3}"/>
    <w:embedItalic r:id="rId9" w:fontKey="{6FD43581-CAA0-48A8-884C-4D109BFEC8B3}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2822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3248A2D" w14:textId="72037B5D" w:rsidR="00890721" w:rsidRPr="004A33FA" w:rsidRDefault="00000000">
        <w:pPr>
          <w:pStyle w:val="Stopka"/>
          <w:jc w:val="center"/>
          <w:rPr>
            <w:sz w:val="16"/>
            <w:szCs w:val="16"/>
          </w:rPr>
        </w:pPr>
        <w:sdt>
          <w:sdtPr>
            <w:rPr>
              <w:rFonts w:ascii="Lato" w:hAnsi="Lato"/>
            </w:r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16"/>
            </w:rPr>
          </w:sdtEndPr>
          <w:sdtContent>
            <w:r w:rsidR="00890721" w:rsidRPr="004A33FA">
              <w:rPr>
                <w:rFonts w:ascii="Lato" w:hAnsi="Lato"/>
                <w:sz w:val="16"/>
                <w:szCs w:val="16"/>
              </w:rPr>
              <w:fldChar w:fldCharType="begin"/>
            </w:r>
            <w:r w:rsidR="00890721" w:rsidRPr="004A33FA">
              <w:rPr>
                <w:rFonts w:ascii="Lato" w:hAnsi="Lato"/>
                <w:sz w:val="16"/>
                <w:szCs w:val="16"/>
              </w:rPr>
              <w:instrText>PAGE</w:instrText>
            </w:r>
            <w:r w:rsidR="00890721" w:rsidRPr="004A33FA">
              <w:rPr>
                <w:rFonts w:ascii="Lato" w:hAnsi="Lato"/>
                <w:sz w:val="16"/>
                <w:szCs w:val="16"/>
              </w:rPr>
              <w:fldChar w:fldCharType="separate"/>
            </w:r>
            <w:r w:rsidR="00890721" w:rsidRPr="004A33FA">
              <w:rPr>
                <w:rFonts w:ascii="Lato" w:hAnsi="Lato"/>
                <w:sz w:val="16"/>
                <w:szCs w:val="16"/>
              </w:rPr>
              <w:t>2</w:t>
            </w:r>
            <w:r w:rsidR="00890721" w:rsidRPr="004A33FA">
              <w:rPr>
                <w:rFonts w:ascii="Lato" w:hAnsi="Lato"/>
                <w:sz w:val="16"/>
                <w:szCs w:val="16"/>
              </w:rPr>
              <w:fldChar w:fldCharType="end"/>
            </w:r>
            <w:r w:rsidR="00890721" w:rsidRPr="004A33FA">
              <w:rPr>
                <w:rFonts w:ascii="Lato" w:hAnsi="Lato"/>
                <w:sz w:val="16"/>
                <w:szCs w:val="16"/>
              </w:rPr>
              <w:t xml:space="preserve"> (</w:t>
            </w:r>
            <w:r w:rsidR="00890721" w:rsidRPr="004A33FA">
              <w:rPr>
                <w:rFonts w:ascii="Lato" w:hAnsi="Lato"/>
                <w:sz w:val="16"/>
                <w:szCs w:val="16"/>
              </w:rPr>
              <w:fldChar w:fldCharType="begin"/>
            </w:r>
            <w:r w:rsidR="00890721" w:rsidRPr="004A33FA">
              <w:rPr>
                <w:rFonts w:ascii="Lato" w:hAnsi="Lato"/>
                <w:sz w:val="16"/>
                <w:szCs w:val="16"/>
              </w:rPr>
              <w:instrText>NUMPAGES</w:instrText>
            </w:r>
            <w:r w:rsidR="00890721" w:rsidRPr="004A33FA">
              <w:rPr>
                <w:rFonts w:ascii="Lato" w:hAnsi="Lato"/>
                <w:sz w:val="16"/>
                <w:szCs w:val="16"/>
              </w:rPr>
              <w:fldChar w:fldCharType="separate"/>
            </w:r>
            <w:r w:rsidR="00890721" w:rsidRPr="004A33FA">
              <w:rPr>
                <w:rFonts w:ascii="Lato" w:hAnsi="Lato"/>
                <w:sz w:val="16"/>
                <w:szCs w:val="16"/>
              </w:rPr>
              <w:t>2</w:t>
            </w:r>
            <w:r w:rsidR="00890721" w:rsidRPr="004A33FA">
              <w:rPr>
                <w:rFonts w:ascii="Lato" w:hAnsi="Lato"/>
                <w:sz w:val="16"/>
                <w:szCs w:val="16"/>
              </w:rPr>
              <w:fldChar w:fldCharType="end"/>
            </w:r>
          </w:sdtContent>
        </w:sdt>
        <w:r w:rsidR="00890721" w:rsidRPr="004A33FA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764293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86FDB" w14:textId="77777777" w:rsidR="001F5510" w:rsidRDefault="001F5510" w:rsidP="009276B2">
      <w:pPr>
        <w:spacing w:after="0" w:line="240" w:lineRule="auto"/>
      </w:pPr>
      <w:r>
        <w:separator/>
      </w:r>
    </w:p>
  </w:footnote>
  <w:footnote w:type="continuationSeparator" w:id="0">
    <w:p w14:paraId="5F599D08" w14:textId="77777777" w:rsidR="001F5510" w:rsidRDefault="001F551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8AD5483" w:rsidR="00947F4D" w:rsidRDefault="005D2BF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65B1D9" wp14:editId="4E2E3154">
          <wp:simplePos x="0" y="0"/>
          <wp:positionH relativeFrom="column">
            <wp:posOffset>-880044</wp:posOffset>
          </wp:positionH>
          <wp:positionV relativeFrom="paragraph">
            <wp:posOffset>415637</wp:posOffset>
          </wp:positionV>
          <wp:extent cx="3169920" cy="1017905"/>
          <wp:effectExtent l="0" t="0" r="0" b="0"/>
          <wp:wrapNone/>
          <wp:docPr id="9504188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331E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3405ED7"/>
    <w:multiLevelType w:val="hybridMultilevel"/>
    <w:tmpl w:val="EE608712"/>
    <w:lvl w:ilvl="0" w:tplc="61F2FAA8">
      <w:start w:val="4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43CAE"/>
    <w:multiLevelType w:val="hybridMultilevel"/>
    <w:tmpl w:val="DE10CB2A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E51D9"/>
    <w:multiLevelType w:val="hybridMultilevel"/>
    <w:tmpl w:val="C9E4BE0A"/>
    <w:lvl w:ilvl="0" w:tplc="DE4E073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313A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50D537E"/>
    <w:multiLevelType w:val="hybridMultilevel"/>
    <w:tmpl w:val="7974FA42"/>
    <w:lvl w:ilvl="0" w:tplc="2D0A26E2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CE438C"/>
    <w:multiLevelType w:val="hybridMultilevel"/>
    <w:tmpl w:val="29EA3A70"/>
    <w:lvl w:ilvl="0" w:tplc="0AA01B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87276A2"/>
    <w:multiLevelType w:val="hybridMultilevel"/>
    <w:tmpl w:val="5BE0F222"/>
    <w:lvl w:ilvl="0" w:tplc="0415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93F41BA"/>
    <w:multiLevelType w:val="hybridMultilevel"/>
    <w:tmpl w:val="AEDCA8F6"/>
    <w:lvl w:ilvl="0" w:tplc="8A9C0D78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2" w15:restartNumberingAfterBreak="0">
    <w:nsid w:val="1D8C3D77"/>
    <w:multiLevelType w:val="hybridMultilevel"/>
    <w:tmpl w:val="95FC8EF0"/>
    <w:lvl w:ilvl="0" w:tplc="7B5AC32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40076"/>
    <w:multiLevelType w:val="hybridMultilevel"/>
    <w:tmpl w:val="BA587BC4"/>
    <w:lvl w:ilvl="0" w:tplc="FD1013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0A747A"/>
    <w:multiLevelType w:val="hybridMultilevel"/>
    <w:tmpl w:val="59FEE9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233BF4"/>
    <w:multiLevelType w:val="hybridMultilevel"/>
    <w:tmpl w:val="8342F76E"/>
    <w:lvl w:ilvl="0" w:tplc="69C89C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E3F5A19"/>
    <w:multiLevelType w:val="hybridMultilevel"/>
    <w:tmpl w:val="F0BAA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C355C"/>
    <w:multiLevelType w:val="hybridMultilevel"/>
    <w:tmpl w:val="C76400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F13EB"/>
    <w:multiLevelType w:val="hybridMultilevel"/>
    <w:tmpl w:val="8A0EE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BEE1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8B86EB5"/>
    <w:multiLevelType w:val="hybridMultilevel"/>
    <w:tmpl w:val="663C6604"/>
    <w:lvl w:ilvl="0" w:tplc="E5EC553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B7403"/>
    <w:multiLevelType w:val="hybridMultilevel"/>
    <w:tmpl w:val="B18A7692"/>
    <w:lvl w:ilvl="0" w:tplc="7B5AC326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CEE0E50"/>
    <w:multiLevelType w:val="hybridMultilevel"/>
    <w:tmpl w:val="7340022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7" w15:restartNumberingAfterBreak="0">
    <w:nsid w:val="56F24E69"/>
    <w:multiLevelType w:val="multilevel"/>
    <w:tmpl w:val="AE6E1DA8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" w:hAnsi="Arial" w:cs="Arial"/>
        <w:b w:val="0"/>
        <w:color w:val="000000"/>
        <w:spacing w:val="4"/>
        <w:sz w:val="2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57A17B48"/>
    <w:multiLevelType w:val="hybridMultilevel"/>
    <w:tmpl w:val="94260A10"/>
    <w:lvl w:ilvl="0" w:tplc="FD1013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D47C3"/>
    <w:multiLevelType w:val="hybridMultilevel"/>
    <w:tmpl w:val="91F84AA4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C7048E"/>
    <w:multiLevelType w:val="hybridMultilevel"/>
    <w:tmpl w:val="9B6AB1D2"/>
    <w:lvl w:ilvl="0" w:tplc="7B5AC326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80FF0"/>
    <w:multiLevelType w:val="hybridMultilevel"/>
    <w:tmpl w:val="C7640050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34" w15:restartNumberingAfterBreak="0">
    <w:nsid w:val="694004D2"/>
    <w:multiLevelType w:val="hybridMultilevel"/>
    <w:tmpl w:val="1E7AB980"/>
    <w:lvl w:ilvl="0" w:tplc="7A16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6B40AE"/>
    <w:multiLevelType w:val="hybridMultilevel"/>
    <w:tmpl w:val="202469AC"/>
    <w:lvl w:ilvl="0" w:tplc="7A16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A57B2E"/>
    <w:multiLevelType w:val="hybridMultilevel"/>
    <w:tmpl w:val="2730B598"/>
    <w:lvl w:ilvl="0" w:tplc="851E5220">
      <w:start w:val="1"/>
      <w:numFmt w:val="decimal"/>
      <w:lvlText w:val="(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3235BF5"/>
    <w:multiLevelType w:val="hybridMultilevel"/>
    <w:tmpl w:val="834EE802"/>
    <w:lvl w:ilvl="0" w:tplc="21AE9228">
      <w:start w:val="1"/>
      <w:numFmt w:val="bullet"/>
      <w:lvlText w:val=""/>
      <w:lvlJc w:val="center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6463F1C"/>
    <w:multiLevelType w:val="hybridMultilevel"/>
    <w:tmpl w:val="94C6DFF2"/>
    <w:lvl w:ilvl="0" w:tplc="2152C65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C92F25"/>
    <w:multiLevelType w:val="hybridMultilevel"/>
    <w:tmpl w:val="C0F4DC0C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4776FC"/>
    <w:multiLevelType w:val="hybridMultilevel"/>
    <w:tmpl w:val="1F963278"/>
    <w:lvl w:ilvl="0" w:tplc="69C89C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484543769">
    <w:abstractNumId w:val="29"/>
  </w:num>
  <w:num w:numId="2" w16cid:durableId="1205950492">
    <w:abstractNumId w:val="9"/>
  </w:num>
  <w:num w:numId="3" w16cid:durableId="1092975490">
    <w:abstractNumId w:val="41"/>
  </w:num>
  <w:num w:numId="4" w16cid:durableId="2092002328">
    <w:abstractNumId w:val="26"/>
  </w:num>
  <w:num w:numId="5" w16cid:durableId="774711354">
    <w:abstractNumId w:val="19"/>
  </w:num>
  <w:num w:numId="6" w16cid:durableId="192888586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3751051">
    <w:abstractNumId w:val="32"/>
  </w:num>
  <w:num w:numId="8" w16cid:durableId="1144852144">
    <w:abstractNumId w:val="3"/>
  </w:num>
  <w:num w:numId="9" w16cid:durableId="1135026232">
    <w:abstractNumId w:val="24"/>
  </w:num>
  <w:num w:numId="10" w16cid:durableId="1636717607">
    <w:abstractNumId w:val="37"/>
  </w:num>
  <w:num w:numId="11" w16cid:durableId="73748499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8551068">
    <w:abstractNumId w:val="2"/>
  </w:num>
  <w:num w:numId="13" w16cid:durableId="834884442">
    <w:abstractNumId w:val="40"/>
  </w:num>
  <w:num w:numId="14" w16cid:durableId="1242301287">
    <w:abstractNumId w:val="15"/>
  </w:num>
  <w:num w:numId="15" w16cid:durableId="1635062339">
    <w:abstractNumId w:val="21"/>
  </w:num>
  <w:num w:numId="16" w16cid:durableId="1912806660">
    <w:abstractNumId w:val="8"/>
  </w:num>
  <w:num w:numId="17" w16cid:durableId="1476677036">
    <w:abstractNumId w:val="4"/>
  </w:num>
  <w:num w:numId="18" w16cid:durableId="406154592">
    <w:abstractNumId w:val="25"/>
  </w:num>
  <w:num w:numId="19" w16cid:durableId="1060439249">
    <w:abstractNumId w:val="33"/>
  </w:num>
  <w:num w:numId="20" w16cid:durableId="2033338865">
    <w:abstractNumId w:val="11"/>
  </w:num>
  <w:num w:numId="21" w16cid:durableId="868953346">
    <w:abstractNumId w:val="18"/>
  </w:num>
  <w:num w:numId="22" w16cid:durableId="842354574">
    <w:abstractNumId w:val="6"/>
  </w:num>
  <w:num w:numId="23" w16cid:durableId="2105959000">
    <w:abstractNumId w:val="27"/>
  </w:num>
  <w:num w:numId="24" w16cid:durableId="218051169">
    <w:abstractNumId w:val="39"/>
  </w:num>
  <w:num w:numId="25" w16cid:durableId="1456408788">
    <w:abstractNumId w:val="5"/>
  </w:num>
  <w:num w:numId="26" w16cid:durableId="1445074316">
    <w:abstractNumId w:val="31"/>
  </w:num>
  <w:num w:numId="27" w16cid:durableId="1560750150">
    <w:abstractNumId w:val="36"/>
  </w:num>
  <w:num w:numId="28" w16cid:durableId="244657821">
    <w:abstractNumId w:val="1"/>
  </w:num>
  <w:num w:numId="29" w16cid:durableId="1015423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7093256">
    <w:abstractNumId w:val="0"/>
  </w:num>
  <w:num w:numId="31" w16cid:durableId="527262016">
    <w:abstractNumId w:val="22"/>
  </w:num>
  <w:num w:numId="32" w16cid:durableId="1862626094">
    <w:abstractNumId w:val="7"/>
  </w:num>
  <w:num w:numId="33" w16cid:durableId="15013917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75810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4946079">
    <w:abstractNumId w:val="14"/>
  </w:num>
  <w:num w:numId="36" w16cid:durableId="1056973688">
    <w:abstractNumId w:val="34"/>
  </w:num>
  <w:num w:numId="37" w16cid:durableId="1072120728">
    <w:abstractNumId w:val="35"/>
  </w:num>
  <w:num w:numId="38" w16cid:durableId="1815219266">
    <w:abstractNumId w:val="10"/>
  </w:num>
  <w:num w:numId="39" w16cid:durableId="609317484">
    <w:abstractNumId w:val="28"/>
  </w:num>
  <w:num w:numId="40" w16cid:durableId="1354379948">
    <w:abstractNumId w:val="13"/>
  </w:num>
  <w:num w:numId="41" w16cid:durableId="399014100">
    <w:abstractNumId w:val="4"/>
  </w:num>
  <w:num w:numId="42" w16cid:durableId="1346395448">
    <w:abstractNumId w:val="20"/>
  </w:num>
  <w:num w:numId="43" w16cid:durableId="1718432802">
    <w:abstractNumId w:val="30"/>
  </w:num>
  <w:num w:numId="44" w16cid:durableId="1072391146">
    <w:abstractNumId w:val="17"/>
  </w:num>
  <w:num w:numId="45" w16cid:durableId="185696717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B2"/>
    <w:rsid w:val="000005A9"/>
    <w:rsid w:val="000005E7"/>
    <w:rsid w:val="00000B79"/>
    <w:rsid w:val="00000D77"/>
    <w:rsid w:val="000012DB"/>
    <w:rsid w:val="00002108"/>
    <w:rsid w:val="0000230C"/>
    <w:rsid w:val="00002A8D"/>
    <w:rsid w:val="00002C59"/>
    <w:rsid w:val="000035E9"/>
    <w:rsid w:val="00004D6E"/>
    <w:rsid w:val="00005C09"/>
    <w:rsid w:val="00005F62"/>
    <w:rsid w:val="0000660C"/>
    <w:rsid w:val="00006AC8"/>
    <w:rsid w:val="00007103"/>
    <w:rsid w:val="000075C0"/>
    <w:rsid w:val="00007AB2"/>
    <w:rsid w:val="00010D75"/>
    <w:rsid w:val="000115E9"/>
    <w:rsid w:val="00012FBB"/>
    <w:rsid w:val="0001412C"/>
    <w:rsid w:val="0001417C"/>
    <w:rsid w:val="00014FF5"/>
    <w:rsid w:val="000150CE"/>
    <w:rsid w:val="00016FAF"/>
    <w:rsid w:val="00017F84"/>
    <w:rsid w:val="000204E9"/>
    <w:rsid w:val="000208A0"/>
    <w:rsid w:val="000219AF"/>
    <w:rsid w:val="00021DCB"/>
    <w:rsid w:val="000223D4"/>
    <w:rsid w:val="0002346C"/>
    <w:rsid w:val="0002409E"/>
    <w:rsid w:val="0002467C"/>
    <w:rsid w:val="000246E1"/>
    <w:rsid w:val="000252FC"/>
    <w:rsid w:val="00026DF6"/>
    <w:rsid w:val="00027B42"/>
    <w:rsid w:val="00027B84"/>
    <w:rsid w:val="00027C5C"/>
    <w:rsid w:val="00030A60"/>
    <w:rsid w:val="00030C50"/>
    <w:rsid w:val="00030D61"/>
    <w:rsid w:val="00033025"/>
    <w:rsid w:val="0003385B"/>
    <w:rsid w:val="000352DA"/>
    <w:rsid w:val="000353DA"/>
    <w:rsid w:val="00036668"/>
    <w:rsid w:val="00036AEC"/>
    <w:rsid w:val="00037771"/>
    <w:rsid w:val="000378A6"/>
    <w:rsid w:val="00040E8C"/>
    <w:rsid w:val="000419F6"/>
    <w:rsid w:val="00042DA2"/>
    <w:rsid w:val="00044C4C"/>
    <w:rsid w:val="0004524C"/>
    <w:rsid w:val="00045A47"/>
    <w:rsid w:val="00046163"/>
    <w:rsid w:val="0005027F"/>
    <w:rsid w:val="000516AB"/>
    <w:rsid w:val="00051D5F"/>
    <w:rsid w:val="00053D97"/>
    <w:rsid w:val="0005570F"/>
    <w:rsid w:val="00055F10"/>
    <w:rsid w:val="00056654"/>
    <w:rsid w:val="00056D9E"/>
    <w:rsid w:val="00060C9D"/>
    <w:rsid w:val="00061BA6"/>
    <w:rsid w:val="00062480"/>
    <w:rsid w:val="00063D6B"/>
    <w:rsid w:val="000657F2"/>
    <w:rsid w:val="00070D69"/>
    <w:rsid w:val="00071563"/>
    <w:rsid w:val="00071A05"/>
    <w:rsid w:val="00072132"/>
    <w:rsid w:val="00073606"/>
    <w:rsid w:val="000738C4"/>
    <w:rsid w:val="000742E1"/>
    <w:rsid w:val="000748CA"/>
    <w:rsid w:val="00075A69"/>
    <w:rsid w:val="00080662"/>
    <w:rsid w:val="0008213F"/>
    <w:rsid w:val="0008300C"/>
    <w:rsid w:val="00086409"/>
    <w:rsid w:val="0008654B"/>
    <w:rsid w:val="00090022"/>
    <w:rsid w:val="000907AB"/>
    <w:rsid w:val="0009306D"/>
    <w:rsid w:val="00094356"/>
    <w:rsid w:val="00095906"/>
    <w:rsid w:val="000964F0"/>
    <w:rsid w:val="000975FC"/>
    <w:rsid w:val="000A0148"/>
    <w:rsid w:val="000A018F"/>
    <w:rsid w:val="000A10FF"/>
    <w:rsid w:val="000A2A27"/>
    <w:rsid w:val="000A2C60"/>
    <w:rsid w:val="000A46D8"/>
    <w:rsid w:val="000A68D9"/>
    <w:rsid w:val="000A7140"/>
    <w:rsid w:val="000B096A"/>
    <w:rsid w:val="000B1647"/>
    <w:rsid w:val="000B7275"/>
    <w:rsid w:val="000B769E"/>
    <w:rsid w:val="000C0CA0"/>
    <w:rsid w:val="000C15C1"/>
    <w:rsid w:val="000C2F50"/>
    <w:rsid w:val="000C5247"/>
    <w:rsid w:val="000C571F"/>
    <w:rsid w:val="000C6F4F"/>
    <w:rsid w:val="000D0DD4"/>
    <w:rsid w:val="000D3480"/>
    <w:rsid w:val="000D3688"/>
    <w:rsid w:val="000D5AFE"/>
    <w:rsid w:val="000E0557"/>
    <w:rsid w:val="000E13E9"/>
    <w:rsid w:val="000E2850"/>
    <w:rsid w:val="000E2C4D"/>
    <w:rsid w:val="000E6664"/>
    <w:rsid w:val="000F006A"/>
    <w:rsid w:val="000F0EE6"/>
    <w:rsid w:val="000F1935"/>
    <w:rsid w:val="000F2A6C"/>
    <w:rsid w:val="000F2CEE"/>
    <w:rsid w:val="000F382A"/>
    <w:rsid w:val="000F644F"/>
    <w:rsid w:val="00100315"/>
    <w:rsid w:val="001077E3"/>
    <w:rsid w:val="00107EFA"/>
    <w:rsid w:val="00107F31"/>
    <w:rsid w:val="00111C0F"/>
    <w:rsid w:val="00113528"/>
    <w:rsid w:val="001136AF"/>
    <w:rsid w:val="00115589"/>
    <w:rsid w:val="00115E5B"/>
    <w:rsid w:val="001203FD"/>
    <w:rsid w:val="001236B0"/>
    <w:rsid w:val="0012372A"/>
    <w:rsid w:val="00123898"/>
    <w:rsid w:val="001261FA"/>
    <w:rsid w:val="00130C09"/>
    <w:rsid w:val="00133C7A"/>
    <w:rsid w:val="00134A98"/>
    <w:rsid w:val="00134ADC"/>
    <w:rsid w:val="0013523A"/>
    <w:rsid w:val="0013688D"/>
    <w:rsid w:val="00136A56"/>
    <w:rsid w:val="001409F2"/>
    <w:rsid w:val="00140A52"/>
    <w:rsid w:val="001433B1"/>
    <w:rsid w:val="001439AB"/>
    <w:rsid w:val="00144F62"/>
    <w:rsid w:val="0015067A"/>
    <w:rsid w:val="00151BDE"/>
    <w:rsid w:val="00154EBE"/>
    <w:rsid w:val="00155644"/>
    <w:rsid w:val="0015710A"/>
    <w:rsid w:val="00157CDC"/>
    <w:rsid w:val="00160DDF"/>
    <w:rsid w:val="001614B5"/>
    <w:rsid w:val="00161BE7"/>
    <w:rsid w:val="00164A8C"/>
    <w:rsid w:val="001652ED"/>
    <w:rsid w:val="0016578F"/>
    <w:rsid w:val="001662BE"/>
    <w:rsid w:val="00166705"/>
    <w:rsid w:val="001667B8"/>
    <w:rsid w:val="00166A88"/>
    <w:rsid w:val="00167E25"/>
    <w:rsid w:val="001706AF"/>
    <w:rsid w:val="001706F1"/>
    <w:rsid w:val="00170B4D"/>
    <w:rsid w:val="00172A61"/>
    <w:rsid w:val="00174117"/>
    <w:rsid w:val="0017580E"/>
    <w:rsid w:val="00180910"/>
    <w:rsid w:val="00181393"/>
    <w:rsid w:val="00183B62"/>
    <w:rsid w:val="00185731"/>
    <w:rsid w:val="00185A51"/>
    <w:rsid w:val="0018630A"/>
    <w:rsid w:val="00186348"/>
    <w:rsid w:val="001867DE"/>
    <w:rsid w:val="0018703A"/>
    <w:rsid w:val="00187185"/>
    <w:rsid w:val="001902BF"/>
    <w:rsid w:val="00190FA0"/>
    <w:rsid w:val="00191099"/>
    <w:rsid w:val="00191E41"/>
    <w:rsid w:val="001922B4"/>
    <w:rsid w:val="0019347E"/>
    <w:rsid w:val="00194716"/>
    <w:rsid w:val="00194EBF"/>
    <w:rsid w:val="00196353"/>
    <w:rsid w:val="001972B5"/>
    <w:rsid w:val="001A03B9"/>
    <w:rsid w:val="001A063C"/>
    <w:rsid w:val="001A0B25"/>
    <w:rsid w:val="001A254C"/>
    <w:rsid w:val="001A2B7D"/>
    <w:rsid w:val="001A2C8B"/>
    <w:rsid w:val="001A35C5"/>
    <w:rsid w:val="001A41B6"/>
    <w:rsid w:val="001A4C39"/>
    <w:rsid w:val="001A4F4A"/>
    <w:rsid w:val="001A514A"/>
    <w:rsid w:val="001A527A"/>
    <w:rsid w:val="001A61A9"/>
    <w:rsid w:val="001A6884"/>
    <w:rsid w:val="001B08D3"/>
    <w:rsid w:val="001B0AEE"/>
    <w:rsid w:val="001B2A0D"/>
    <w:rsid w:val="001B5999"/>
    <w:rsid w:val="001B619D"/>
    <w:rsid w:val="001B6A2E"/>
    <w:rsid w:val="001B70EB"/>
    <w:rsid w:val="001B73ED"/>
    <w:rsid w:val="001C051E"/>
    <w:rsid w:val="001C07E6"/>
    <w:rsid w:val="001C0F99"/>
    <w:rsid w:val="001C1978"/>
    <w:rsid w:val="001C22CA"/>
    <w:rsid w:val="001C3F7A"/>
    <w:rsid w:val="001C459E"/>
    <w:rsid w:val="001C48ED"/>
    <w:rsid w:val="001C4E3A"/>
    <w:rsid w:val="001C7DAC"/>
    <w:rsid w:val="001D0549"/>
    <w:rsid w:val="001D1C0B"/>
    <w:rsid w:val="001D333D"/>
    <w:rsid w:val="001D3D79"/>
    <w:rsid w:val="001D41C0"/>
    <w:rsid w:val="001D44E6"/>
    <w:rsid w:val="001D600A"/>
    <w:rsid w:val="001D6A2F"/>
    <w:rsid w:val="001E2166"/>
    <w:rsid w:val="001E304A"/>
    <w:rsid w:val="001E4124"/>
    <w:rsid w:val="001E4D3C"/>
    <w:rsid w:val="001E669C"/>
    <w:rsid w:val="001E6987"/>
    <w:rsid w:val="001E7606"/>
    <w:rsid w:val="001E7734"/>
    <w:rsid w:val="001E79F2"/>
    <w:rsid w:val="001E7D3B"/>
    <w:rsid w:val="001F090A"/>
    <w:rsid w:val="001F0A36"/>
    <w:rsid w:val="001F21FD"/>
    <w:rsid w:val="001F2446"/>
    <w:rsid w:val="001F3573"/>
    <w:rsid w:val="001F3D89"/>
    <w:rsid w:val="001F550D"/>
    <w:rsid w:val="001F5510"/>
    <w:rsid w:val="001F6783"/>
    <w:rsid w:val="001F722A"/>
    <w:rsid w:val="001F7FF3"/>
    <w:rsid w:val="002011BD"/>
    <w:rsid w:val="00201449"/>
    <w:rsid w:val="00201C95"/>
    <w:rsid w:val="00202570"/>
    <w:rsid w:val="00204FBF"/>
    <w:rsid w:val="00206B75"/>
    <w:rsid w:val="0020706E"/>
    <w:rsid w:val="002116B2"/>
    <w:rsid w:val="00212252"/>
    <w:rsid w:val="002147C9"/>
    <w:rsid w:val="002149A7"/>
    <w:rsid w:val="00217053"/>
    <w:rsid w:val="00220D8F"/>
    <w:rsid w:val="00220DDD"/>
    <w:rsid w:val="00221A27"/>
    <w:rsid w:val="00222003"/>
    <w:rsid w:val="00225D0A"/>
    <w:rsid w:val="002265A8"/>
    <w:rsid w:val="0022711F"/>
    <w:rsid w:val="00230322"/>
    <w:rsid w:val="00230EF2"/>
    <w:rsid w:val="002310D3"/>
    <w:rsid w:val="00231D3D"/>
    <w:rsid w:val="00233702"/>
    <w:rsid w:val="002345F3"/>
    <w:rsid w:val="00234B88"/>
    <w:rsid w:val="00236875"/>
    <w:rsid w:val="002413CF"/>
    <w:rsid w:val="002415CC"/>
    <w:rsid w:val="00242C06"/>
    <w:rsid w:val="00242DE4"/>
    <w:rsid w:val="002432DF"/>
    <w:rsid w:val="0024333F"/>
    <w:rsid w:val="00245BE7"/>
    <w:rsid w:val="00247ED2"/>
    <w:rsid w:val="00250577"/>
    <w:rsid w:val="002505C1"/>
    <w:rsid w:val="00251F71"/>
    <w:rsid w:val="0025403F"/>
    <w:rsid w:val="00254BDD"/>
    <w:rsid w:val="00255533"/>
    <w:rsid w:val="002575E0"/>
    <w:rsid w:val="00257CBB"/>
    <w:rsid w:val="002607F2"/>
    <w:rsid w:val="00262645"/>
    <w:rsid w:val="002645DC"/>
    <w:rsid w:val="0026582A"/>
    <w:rsid w:val="0026699C"/>
    <w:rsid w:val="002678D9"/>
    <w:rsid w:val="002719E5"/>
    <w:rsid w:val="00273409"/>
    <w:rsid w:val="0027475B"/>
    <w:rsid w:val="00274BBE"/>
    <w:rsid w:val="00274C06"/>
    <w:rsid w:val="00274D44"/>
    <w:rsid w:val="00274F1A"/>
    <w:rsid w:val="00277548"/>
    <w:rsid w:val="0027787D"/>
    <w:rsid w:val="00282708"/>
    <w:rsid w:val="00282BC3"/>
    <w:rsid w:val="002830CF"/>
    <w:rsid w:val="00283E62"/>
    <w:rsid w:val="00283E71"/>
    <w:rsid w:val="00284D81"/>
    <w:rsid w:val="00286277"/>
    <w:rsid w:val="00287BD2"/>
    <w:rsid w:val="00290439"/>
    <w:rsid w:val="00290983"/>
    <w:rsid w:val="00290F66"/>
    <w:rsid w:val="00292378"/>
    <w:rsid w:val="00292E3B"/>
    <w:rsid w:val="0029483B"/>
    <w:rsid w:val="00295A9C"/>
    <w:rsid w:val="00296CA4"/>
    <w:rsid w:val="00297062"/>
    <w:rsid w:val="002A0437"/>
    <w:rsid w:val="002A1939"/>
    <w:rsid w:val="002A2442"/>
    <w:rsid w:val="002A2666"/>
    <w:rsid w:val="002A426A"/>
    <w:rsid w:val="002A4EF0"/>
    <w:rsid w:val="002A54E8"/>
    <w:rsid w:val="002A58EF"/>
    <w:rsid w:val="002A5A04"/>
    <w:rsid w:val="002A73A3"/>
    <w:rsid w:val="002A782E"/>
    <w:rsid w:val="002B0F57"/>
    <w:rsid w:val="002B11FC"/>
    <w:rsid w:val="002B122F"/>
    <w:rsid w:val="002B30CD"/>
    <w:rsid w:val="002B3B02"/>
    <w:rsid w:val="002B5CC7"/>
    <w:rsid w:val="002B5F83"/>
    <w:rsid w:val="002B60A2"/>
    <w:rsid w:val="002B66B6"/>
    <w:rsid w:val="002C2008"/>
    <w:rsid w:val="002C2212"/>
    <w:rsid w:val="002C229F"/>
    <w:rsid w:val="002C27B7"/>
    <w:rsid w:val="002C2E99"/>
    <w:rsid w:val="002C4FDE"/>
    <w:rsid w:val="002C511C"/>
    <w:rsid w:val="002C52CA"/>
    <w:rsid w:val="002C7811"/>
    <w:rsid w:val="002C7CC7"/>
    <w:rsid w:val="002D5121"/>
    <w:rsid w:val="002D6CA4"/>
    <w:rsid w:val="002E000D"/>
    <w:rsid w:val="002E0061"/>
    <w:rsid w:val="002E0C9D"/>
    <w:rsid w:val="002E0E24"/>
    <w:rsid w:val="002E1390"/>
    <w:rsid w:val="002E32EF"/>
    <w:rsid w:val="002E3ACC"/>
    <w:rsid w:val="002E4BB5"/>
    <w:rsid w:val="002E4FFC"/>
    <w:rsid w:val="002E522B"/>
    <w:rsid w:val="002E606A"/>
    <w:rsid w:val="002E61F0"/>
    <w:rsid w:val="002E6D28"/>
    <w:rsid w:val="002E708B"/>
    <w:rsid w:val="002F04A2"/>
    <w:rsid w:val="002F1077"/>
    <w:rsid w:val="002F2367"/>
    <w:rsid w:val="002F25B1"/>
    <w:rsid w:val="002F28C8"/>
    <w:rsid w:val="002F4D7A"/>
    <w:rsid w:val="002F5B98"/>
    <w:rsid w:val="002F6A84"/>
    <w:rsid w:val="002F6F15"/>
    <w:rsid w:val="002F77E5"/>
    <w:rsid w:val="002F7CDC"/>
    <w:rsid w:val="00302CB0"/>
    <w:rsid w:val="00303197"/>
    <w:rsid w:val="00304161"/>
    <w:rsid w:val="0030505E"/>
    <w:rsid w:val="00305DB1"/>
    <w:rsid w:val="00305FC0"/>
    <w:rsid w:val="0030783D"/>
    <w:rsid w:val="0031073C"/>
    <w:rsid w:val="003118A9"/>
    <w:rsid w:val="00312735"/>
    <w:rsid w:val="003154D5"/>
    <w:rsid w:val="00315F62"/>
    <w:rsid w:val="00316AC1"/>
    <w:rsid w:val="003213ED"/>
    <w:rsid w:val="0032274C"/>
    <w:rsid w:val="0032333B"/>
    <w:rsid w:val="00324A58"/>
    <w:rsid w:val="00325598"/>
    <w:rsid w:val="003258A2"/>
    <w:rsid w:val="00326682"/>
    <w:rsid w:val="00327301"/>
    <w:rsid w:val="00331E7C"/>
    <w:rsid w:val="00332A6C"/>
    <w:rsid w:val="00332ACA"/>
    <w:rsid w:val="00332BA6"/>
    <w:rsid w:val="003349CC"/>
    <w:rsid w:val="00334C17"/>
    <w:rsid w:val="00335B48"/>
    <w:rsid w:val="0033660A"/>
    <w:rsid w:val="0034326B"/>
    <w:rsid w:val="00343A14"/>
    <w:rsid w:val="003442B5"/>
    <w:rsid w:val="00344C92"/>
    <w:rsid w:val="00345BA6"/>
    <w:rsid w:val="00350CC8"/>
    <w:rsid w:val="00351045"/>
    <w:rsid w:val="0035212B"/>
    <w:rsid w:val="003526F5"/>
    <w:rsid w:val="00352F04"/>
    <w:rsid w:val="00354359"/>
    <w:rsid w:val="0035477E"/>
    <w:rsid w:val="00355694"/>
    <w:rsid w:val="003566A7"/>
    <w:rsid w:val="003569E3"/>
    <w:rsid w:val="0035767B"/>
    <w:rsid w:val="003602E8"/>
    <w:rsid w:val="00361441"/>
    <w:rsid w:val="00362CAD"/>
    <w:rsid w:val="00363ACB"/>
    <w:rsid w:val="003640BB"/>
    <w:rsid w:val="00364B69"/>
    <w:rsid w:val="003651B7"/>
    <w:rsid w:val="0036625F"/>
    <w:rsid w:val="00366BFC"/>
    <w:rsid w:val="00367E78"/>
    <w:rsid w:val="003737B8"/>
    <w:rsid w:val="0037521F"/>
    <w:rsid w:val="003761D4"/>
    <w:rsid w:val="00377EBE"/>
    <w:rsid w:val="003807A0"/>
    <w:rsid w:val="003807C2"/>
    <w:rsid w:val="00381197"/>
    <w:rsid w:val="003819F5"/>
    <w:rsid w:val="00382804"/>
    <w:rsid w:val="00384D7F"/>
    <w:rsid w:val="0038528E"/>
    <w:rsid w:val="0038583C"/>
    <w:rsid w:val="00385FC1"/>
    <w:rsid w:val="00386097"/>
    <w:rsid w:val="00386EE5"/>
    <w:rsid w:val="00390C47"/>
    <w:rsid w:val="003914EF"/>
    <w:rsid w:val="003919DF"/>
    <w:rsid w:val="00391DCC"/>
    <w:rsid w:val="00391FC0"/>
    <w:rsid w:val="0039297C"/>
    <w:rsid w:val="00392B42"/>
    <w:rsid w:val="00393386"/>
    <w:rsid w:val="00394DC9"/>
    <w:rsid w:val="003A18A5"/>
    <w:rsid w:val="003A1976"/>
    <w:rsid w:val="003A27AE"/>
    <w:rsid w:val="003A3BCC"/>
    <w:rsid w:val="003A4B3A"/>
    <w:rsid w:val="003A5E64"/>
    <w:rsid w:val="003A7DED"/>
    <w:rsid w:val="003B3BA4"/>
    <w:rsid w:val="003B44E1"/>
    <w:rsid w:val="003B7673"/>
    <w:rsid w:val="003C123B"/>
    <w:rsid w:val="003C1A14"/>
    <w:rsid w:val="003C25C6"/>
    <w:rsid w:val="003C30A3"/>
    <w:rsid w:val="003C3A66"/>
    <w:rsid w:val="003C5692"/>
    <w:rsid w:val="003C6064"/>
    <w:rsid w:val="003C6593"/>
    <w:rsid w:val="003D0645"/>
    <w:rsid w:val="003D0759"/>
    <w:rsid w:val="003D27EC"/>
    <w:rsid w:val="003D2AD6"/>
    <w:rsid w:val="003D3890"/>
    <w:rsid w:val="003D6942"/>
    <w:rsid w:val="003D7DC2"/>
    <w:rsid w:val="003E02E0"/>
    <w:rsid w:val="003E03A8"/>
    <w:rsid w:val="003E0456"/>
    <w:rsid w:val="003E0E44"/>
    <w:rsid w:val="003E1C44"/>
    <w:rsid w:val="003E1CF3"/>
    <w:rsid w:val="003E24CB"/>
    <w:rsid w:val="003E2E34"/>
    <w:rsid w:val="003E2E65"/>
    <w:rsid w:val="003E3473"/>
    <w:rsid w:val="003E3EA4"/>
    <w:rsid w:val="003E418D"/>
    <w:rsid w:val="003E41A0"/>
    <w:rsid w:val="003E497E"/>
    <w:rsid w:val="003E4B06"/>
    <w:rsid w:val="003E512B"/>
    <w:rsid w:val="003E5592"/>
    <w:rsid w:val="003E5E61"/>
    <w:rsid w:val="003E6682"/>
    <w:rsid w:val="003E6DE3"/>
    <w:rsid w:val="003F0015"/>
    <w:rsid w:val="003F0446"/>
    <w:rsid w:val="003F069F"/>
    <w:rsid w:val="003F0891"/>
    <w:rsid w:val="003F0F78"/>
    <w:rsid w:val="003F2679"/>
    <w:rsid w:val="003F4B7E"/>
    <w:rsid w:val="003F5218"/>
    <w:rsid w:val="003F7254"/>
    <w:rsid w:val="003F7A9C"/>
    <w:rsid w:val="00401CA9"/>
    <w:rsid w:val="0040248C"/>
    <w:rsid w:val="00402C41"/>
    <w:rsid w:val="00404304"/>
    <w:rsid w:val="004055EA"/>
    <w:rsid w:val="0041029A"/>
    <w:rsid w:val="004109EF"/>
    <w:rsid w:val="00410E3D"/>
    <w:rsid w:val="004110D0"/>
    <w:rsid w:val="004116FD"/>
    <w:rsid w:val="004120D0"/>
    <w:rsid w:val="00413F82"/>
    <w:rsid w:val="004145C3"/>
    <w:rsid w:val="00416392"/>
    <w:rsid w:val="004165C2"/>
    <w:rsid w:val="00416BED"/>
    <w:rsid w:val="004170A8"/>
    <w:rsid w:val="00417F37"/>
    <w:rsid w:val="00420B00"/>
    <w:rsid w:val="0042262F"/>
    <w:rsid w:val="004231AB"/>
    <w:rsid w:val="004235D9"/>
    <w:rsid w:val="00424321"/>
    <w:rsid w:val="004247F9"/>
    <w:rsid w:val="00424D44"/>
    <w:rsid w:val="004258F8"/>
    <w:rsid w:val="00426339"/>
    <w:rsid w:val="00426AEB"/>
    <w:rsid w:val="00427664"/>
    <w:rsid w:val="00430EF8"/>
    <w:rsid w:val="00431CD1"/>
    <w:rsid w:val="00431D8D"/>
    <w:rsid w:val="00432A2F"/>
    <w:rsid w:val="0043465A"/>
    <w:rsid w:val="00434891"/>
    <w:rsid w:val="004349CA"/>
    <w:rsid w:val="00435624"/>
    <w:rsid w:val="00436355"/>
    <w:rsid w:val="004371F6"/>
    <w:rsid w:val="0044089B"/>
    <w:rsid w:val="004408FF"/>
    <w:rsid w:val="004411E7"/>
    <w:rsid w:val="00441403"/>
    <w:rsid w:val="00441D73"/>
    <w:rsid w:val="00442913"/>
    <w:rsid w:val="00442D20"/>
    <w:rsid w:val="0044314B"/>
    <w:rsid w:val="00443987"/>
    <w:rsid w:val="00444566"/>
    <w:rsid w:val="004448B6"/>
    <w:rsid w:val="00447F5E"/>
    <w:rsid w:val="00450357"/>
    <w:rsid w:val="0045230E"/>
    <w:rsid w:val="00452367"/>
    <w:rsid w:val="004524B7"/>
    <w:rsid w:val="00454EC8"/>
    <w:rsid w:val="004555AA"/>
    <w:rsid w:val="0045569D"/>
    <w:rsid w:val="004556C6"/>
    <w:rsid w:val="00456176"/>
    <w:rsid w:val="004576AB"/>
    <w:rsid w:val="00460B18"/>
    <w:rsid w:val="0046101D"/>
    <w:rsid w:val="00461646"/>
    <w:rsid w:val="004627C3"/>
    <w:rsid w:val="00462C84"/>
    <w:rsid w:val="00463F81"/>
    <w:rsid w:val="00466BC6"/>
    <w:rsid w:val="004709E1"/>
    <w:rsid w:val="00471E4D"/>
    <w:rsid w:val="00472E16"/>
    <w:rsid w:val="004733D3"/>
    <w:rsid w:val="00473965"/>
    <w:rsid w:val="00473A3F"/>
    <w:rsid w:val="00474728"/>
    <w:rsid w:val="00475365"/>
    <w:rsid w:val="00475A9A"/>
    <w:rsid w:val="00476EA8"/>
    <w:rsid w:val="00477F75"/>
    <w:rsid w:val="0048067D"/>
    <w:rsid w:val="00481774"/>
    <w:rsid w:val="00481CE8"/>
    <w:rsid w:val="00482253"/>
    <w:rsid w:val="004824DA"/>
    <w:rsid w:val="004824E2"/>
    <w:rsid w:val="00483223"/>
    <w:rsid w:val="00483708"/>
    <w:rsid w:val="00483883"/>
    <w:rsid w:val="00483DE6"/>
    <w:rsid w:val="00484D5F"/>
    <w:rsid w:val="00484F18"/>
    <w:rsid w:val="004853F4"/>
    <w:rsid w:val="0048711D"/>
    <w:rsid w:val="00491CE9"/>
    <w:rsid w:val="004925CF"/>
    <w:rsid w:val="00492F57"/>
    <w:rsid w:val="004942F8"/>
    <w:rsid w:val="00495900"/>
    <w:rsid w:val="00496F71"/>
    <w:rsid w:val="004974C0"/>
    <w:rsid w:val="004A0233"/>
    <w:rsid w:val="004A05A3"/>
    <w:rsid w:val="004A09E1"/>
    <w:rsid w:val="004A0CAE"/>
    <w:rsid w:val="004A2223"/>
    <w:rsid w:val="004A2A30"/>
    <w:rsid w:val="004A33FA"/>
    <w:rsid w:val="004A50AC"/>
    <w:rsid w:val="004A5E5C"/>
    <w:rsid w:val="004A6CDE"/>
    <w:rsid w:val="004A7B8F"/>
    <w:rsid w:val="004B21CB"/>
    <w:rsid w:val="004B3338"/>
    <w:rsid w:val="004B3D6B"/>
    <w:rsid w:val="004B5A75"/>
    <w:rsid w:val="004B62F7"/>
    <w:rsid w:val="004B68C0"/>
    <w:rsid w:val="004B7156"/>
    <w:rsid w:val="004C05B2"/>
    <w:rsid w:val="004C06D7"/>
    <w:rsid w:val="004C1751"/>
    <w:rsid w:val="004C2921"/>
    <w:rsid w:val="004C2F2A"/>
    <w:rsid w:val="004C5320"/>
    <w:rsid w:val="004C5898"/>
    <w:rsid w:val="004C7104"/>
    <w:rsid w:val="004D098E"/>
    <w:rsid w:val="004D2997"/>
    <w:rsid w:val="004D3AA1"/>
    <w:rsid w:val="004D4756"/>
    <w:rsid w:val="004D487D"/>
    <w:rsid w:val="004D5ABD"/>
    <w:rsid w:val="004D6F18"/>
    <w:rsid w:val="004D7A72"/>
    <w:rsid w:val="004E000F"/>
    <w:rsid w:val="004E0709"/>
    <w:rsid w:val="004E094D"/>
    <w:rsid w:val="004E0C0B"/>
    <w:rsid w:val="004E35AE"/>
    <w:rsid w:val="004E394E"/>
    <w:rsid w:val="004E3E67"/>
    <w:rsid w:val="004E4060"/>
    <w:rsid w:val="004E5E2F"/>
    <w:rsid w:val="004F0660"/>
    <w:rsid w:val="004F0EA1"/>
    <w:rsid w:val="004F1137"/>
    <w:rsid w:val="004F1918"/>
    <w:rsid w:val="004F1AF2"/>
    <w:rsid w:val="004F2EA4"/>
    <w:rsid w:val="004F4195"/>
    <w:rsid w:val="004F574A"/>
    <w:rsid w:val="004F5D02"/>
    <w:rsid w:val="004F6AC1"/>
    <w:rsid w:val="004F6F9F"/>
    <w:rsid w:val="005009C2"/>
    <w:rsid w:val="00500FF1"/>
    <w:rsid w:val="00503BBD"/>
    <w:rsid w:val="00503FB4"/>
    <w:rsid w:val="00504832"/>
    <w:rsid w:val="00506B84"/>
    <w:rsid w:val="00507067"/>
    <w:rsid w:val="00510B6F"/>
    <w:rsid w:val="00512DA6"/>
    <w:rsid w:val="0051544B"/>
    <w:rsid w:val="00515921"/>
    <w:rsid w:val="00521442"/>
    <w:rsid w:val="005232C0"/>
    <w:rsid w:val="00524444"/>
    <w:rsid w:val="00524790"/>
    <w:rsid w:val="00524806"/>
    <w:rsid w:val="00525AAB"/>
    <w:rsid w:val="00525C7F"/>
    <w:rsid w:val="00527684"/>
    <w:rsid w:val="00531289"/>
    <w:rsid w:val="00531461"/>
    <w:rsid w:val="005333D3"/>
    <w:rsid w:val="005347AF"/>
    <w:rsid w:val="00536498"/>
    <w:rsid w:val="00536622"/>
    <w:rsid w:val="00540A57"/>
    <w:rsid w:val="00541508"/>
    <w:rsid w:val="00542310"/>
    <w:rsid w:val="00542D34"/>
    <w:rsid w:val="00542DD9"/>
    <w:rsid w:val="00542E46"/>
    <w:rsid w:val="005439AF"/>
    <w:rsid w:val="00543F09"/>
    <w:rsid w:val="00544BA3"/>
    <w:rsid w:val="00544C5B"/>
    <w:rsid w:val="005450C6"/>
    <w:rsid w:val="00545E74"/>
    <w:rsid w:val="005515A9"/>
    <w:rsid w:val="0055167D"/>
    <w:rsid w:val="005532A6"/>
    <w:rsid w:val="00554E9C"/>
    <w:rsid w:val="0055535E"/>
    <w:rsid w:val="00555ACB"/>
    <w:rsid w:val="00557221"/>
    <w:rsid w:val="00557733"/>
    <w:rsid w:val="00557D28"/>
    <w:rsid w:val="005601EC"/>
    <w:rsid w:val="00563457"/>
    <w:rsid w:val="00563B11"/>
    <w:rsid w:val="005646D4"/>
    <w:rsid w:val="00565D32"/>
    <w:rsid w:val="00566B8D"/>
    <w:rsid w:val="00567672"/>
    <w:rsid w:val="00571373"/>
    <w:rsid w:val="00571499"/>
    <w:rsid w:val="0057217E"/>
    <w:rsid w:val="00572211"/>
    <w:rsid w:val="0057258A"/>
    <w:rsid w:val="00574000"/>
    <w:rsid w:val="00574E65"/>
    <w:rsid w:val="005766A0"/>
    <w:rsid w:val="005772EC"/>
    <w:rsid w:val="00580663"/>
    <w:rsid w:val="00580D97"/>
    <w:rsid w:val="0058159C"/>
    <w:rsid w:val="00581A83"/>
    <w:rsid w:val="00581B1C"/>
    <w:rsid w:val="005829D0"/>
    <w:rsid w:val="005836B6"/>
    <w:rsid w:val="00584CC7"/>
    <w:rsid w:val="005855F5"/>
    <w:rsid w:val="00586290"/>
    <w:rsid w:val="0058705E"/>
    <w:rsid w:val="00587434"/>
    <w:rsid w:val="005877B4"/>
    <w:rsid w:val="005904F1"/>
    <w:rsid w:val="00590C4A"/>
    <w:rsid w:val="00590C4E"/>
    <w:rsid w:val="00591371"/>
    <w:rsid w:val="00591EE3"/>
    <w:rsid w:val="00592FD9"/>
    <w:rsid w:val="0059434A"/>
    <w:rsid w:val="0059469D"/>
    <w:rsid w:val="005948B6"/>
    <w:rsid w:val="00597AF2"/>
    <w:rsid w:val="005A19F9"/>
    <w:rsid w:val="005A268F"/>
    <w:rsid w:val="005A3BB6"/>
    <w:rsid w:val="005A428E"/>
    <w:rsid w:val="005A4440"/>
    <w:rsid w:val="005A472F"/>
    <w:rsid w:val="005A61CD"/>
    <w:rsid w:val="005A6E97"/>
    <w:rsid w:val="005A710D"/>
    <w:rsid w:val="005A750F"/>
    <w:rsid w:val="005A7F93"/>
    <w:rsid w:val="005B006A"/>
    <w:rsid w:val="005B0151"/>
    <w:rsid w:val="005B2DEB"/>
    <w:rsid w:val="005B4266"/>
    <w:rsid w:val="005B6C6F"/>
    <w:rsid w:val="005B75C4"/>
    <w:rsid w:val="005C00DA"/>
    <w:rsid w:val="005C068F"/>
    <w:rsid w:val="005C101A"/>
    <w:rsid w:val="005C18E1"/>
    <w:rsid w:val="005C3842"/>
    <w:rsid w:val="005D01A8"/>
    <w:rsid w:val="005D237B"/>
    <w:rsid w:val="005D2BF0"/>
    <w:rsid w:val="005D596F"/>
    <w:rsid w:val="005E0154"/>
    <w:rsid w:val="005E521F"/>
    <w:rsid w:val="005E52FD"/>
    <w:rsid w:val="005E54AE"/>
    <w:rsid w:val="005E56C6"/>
    <w:rsid w:val="005E672E"/>
    <w:rsid w:val="005E6864"/>
    <w:rsid w:val="005F1C3F"/>
    <w:rsid w:val="005F2417"/>
    <w:rsid w:val="005F38D2"/>
    <w:rsid w:val="005F4B9B"/>
    <w:rsid w:val="005F69C1"/>
    <w:rsid w:val="00602AD6"/>
    <w:rsid w:val="00602C60"/>
    <w:rsid w:val="006050AA"/>
    <w:rsid w:val="00605F41"/>
    <w:rsid w:val="00606031"/>
    <w:rsid w:val="00606B00"/>
    <w:rsid w:val="006102A7"/>
    <w:rsid w:val="00610D13"/>
    <w:rsid w:val="00612686"/>
    <w:rsid w:val="00612D9A"/>
    <w:rsid w:val="006131D1"/>
    <w:rsid w:val="00614656"/>
    <w:rsid w:val="00615BB3"/>
    <w:rsid w:val="00615CC1"/>
    <w:rsid w:val="0061688B"/>
    <w:rsid w:val="00616B27"/>
    <w:rsid w:val="00621329"/>
    <w:rsid w:val="0062173A"/>
    <w:rsid w:val="00621745"/>
    <w:rsid w:val="00621F9C"/>
    <w:rsid w:val="00623786"/>
    <w:rsid w:val="00623C52"/>
    <w:rsid w:val="00623EC6"/>
    <w:rsid w:val="0062416B"/>
    <w:rsid w:val="0062478F"/>
    <w:rsid w:val="0062562B"/>
    <w:rsid w:val="0062592E"/>
    <w:rsid w:val="00625B62"/>
    <w:rsid w:val="00626178"/>
    <w:rsid w:val="00626D43"/>
    <w:rsid w:val="006302CD"/>
    <w:rsid w:val="006313BE"/>
    <w:rsid w:val="0063594D"/>
    <w:rsid w:val="00636623"/>
    <w:rsid w:val="00636731"/>
    <w:rsid w:val="00636966"/>
    <w:rsid w:val="006404BD"/>
    <w:rsid w:val="00640A76"/>
    <w:rsid w:val="006410DE"/>
    <w:rsid w:val="00641174"/>
    <w:rsid w:val="006417E0"/>
    <w:rsid w:val="00642B03"/>
    <w:rsid w:val="00642B60"/>
    <w:rsid w:val="00644F00"/>
    <w:rsid w:val="00645176"/>
    <w:rsid w:val="00645DD8"/>
    <w:rsid w:val="0064601C"/>
    <w:rsid w:val="0064708C"/>
    <w:rsid w:val="00647AF4"/>
    <w:rsid w:val="00650C97"/>
    <w:rsid w:val="0065105C"/>
    <w:rsid w:val="00651AC1"/>
    <w:rsid w:val="00652B5B"/>
    <w:rsid w:val="00652E37"/>
    <w:rsid w:val="0065525D"/>
    <w:rsid w:val="00655E04"/>
    <w:rsid w:val="00656C8E"/>
    <w:rsid w:val="006607DA"/>
    <w:rsid w:val="006610A8"/>
    <w:rsid w:val="00662FE0"/>
    <w:rsid w:val="00663A68"/>
    <w:rsid w:val="00664419"/>
    <w:rsid w:val="0066461B"/>
    <w:rsid w:val="00665D6F"/>
    <w:rsid w:val="00666075"/>
    <w:rsid w:val="0067077E"/>
    <w:rsid w:val="00670EC9"/>
    <w:rsid w:val="00671182"/>
    <w:rsid w:val="006725C1"/>
    <w:rsid w:val="00672BB8"/>
    <w:rsid w:val="00673BD2"/>
    <w:rsid w:val="00673E82"/>
    <w:rsid w:val="006743E9"/>
    <w:rsid w:val="00675800"/>
    <w:rsid w:val="00675F09"/>
    <w:rsid w:val="006772C5"/>
    <w:rsid w:val="0067765C"/>
    <w:rsid w:val="00677AD4"/>
    <w:rsid w:val="00680BEB"/>
    <w:rsid w:val="006828E1"/>
    <w:rsid w:val="00682900"/>
    <w:rsid w:val="00682B15"/>
    <w:rsid w:val="00683038"/>
    <w:rsid w:val="006859C5"/>
    <w:rsid w:val="00686038"/>
    <w:rsid w:val="00686627"/>
    <w:rsid w:val="00686B07"/>
    <w:rsid w:val="006879E8"/>
    <w:rsid w:val="006903CF"/>
    <w:rsid w:val="006906D8"/>
    <w:rsid w:val="00691F6B"/>
    <w:rsid w:val="006931AB"/>
    <w:rsid w:val="00694DC8"/>
    <w:rsid w:val="006953CA"/>
    <w:rsid w:val="00695819"/>
    <w:rsid w:val="00696A8C"/>
    <w:rsid w:val="00697B5C"/>
    <w:rsid w:val="006A0C65"/>
    <w:rsid w:val="006A1ECC"/>
    <w:rsid w:val="006A28E5"/>
    <w:rsid w:val="006A3BC4"/>
    <w:rsid w:val="006A3BF2"/>
    <w:rsid w:val="006A45EB"/>
    <w:rsid w:val="006A4755"/>
    <w:rsid w:val="006A534B"/>
    <w:rsid w:val="006A57D4"/>
    <w:rsid w:val="006A66D6"/>
    <w:rsid w:val="006A7A3A"/>
    <w:rsid w:val="006B030F"/>
    <w:rsid w:val="006B0FB3"/>
    <w:rsid w:val="006B1A0B"/>
    <w:rsid w:val="006B20B1"/>
    <w:rsid w:val="006B2366"/>
    <w:rsid w:val="006B38CC"/>
    <w:rsid w:val="006B473A"/>
    <w:rsid w:val="006B51B2"/>
    <w:rsid w:val="006B55E4"/>
    <w:rsid w:val="006B71B0"/>
    <w:rsid w:val="006B72F2"/>
    <w:rsid w:val="006B758D"/>
    <w:rsid w:val="006C1A1D"/>
    <w:rsid w:val="006C2121"/>
    <w:rsid w:val="006C5199"/>
    <w:rsid w:val="006C6670"/>
    <w:rsid w:val="006C6A26"/>
    <w:rsid w:val="006C71B8"/>
    <w:rsid w:val="006D20BE"/>
    <w:rsid w:val="006D4911"/>
    <w:rsid w:val="006D4CE3"/>
    <w:rsid w:val="006D4E0D"/>
    <w:rsid w:val="006D6C24"/>
    <w:rsid w:val="006E10B9"/>
    <w:rsid w:val="006E1304"/>
    <w:rsid w:val="006E24E8"/>
    <w:rsid w:val="006E3964"/>
    <w:rsid w:val="006E3EE0"/>
    <w:rsid w:val="006E5794"/>
    <w:rsid w:val="006E7A16"/>
    <w:rsid w:val="006E7FA2"/>
    <w:rsid w:val="006F24D2"/>
    <w:rsid w:val="006F4060"/>
    <w:rsid w:val="006F4386"/>
    <w:rsid w:val="006F44AA"/>
    <w:rsid w:val="006F5E9C"/>
    <w:rsid w:val="0070107E"/>
    <w:rsid w:val="00701487"/>
    <w:rsid w:val="007016AE"/>
    <w:rsid w:val="00702870"/>
    <w:rsid w:val="00703D8A"/>
    <w:rsid w:val="00704295"/>
    <w:rsid w:val="0070631E"/>
    <w:rsid w:val="00706683"/>
    <w:rsid w:val="00706C39"/>
    <w:rsid w:val="00710C85"/>
    <w:rsid w:val="007115F0"/>
    <w:rsid w:val="00712A86"/>
    <w:rsid w:val="00713CC1"/>
    <w:rsid w:val="00714AB1"/>
    <w:rsid w:val="00715076"/>
    <w:rsid w:val="00715DD5"/>
    <w:rsid w:val="00716069"/>
    <w:rsid w:val="0071617E"/>
    <w:rsid w:val="00716214"/>
    <w:rsid w:val="0071700C"/>
    <w:rsid w:val="00720CD8"/>
    <w:rsid w:val="007236EF"/>
    <w:rsid w:val="00727272"/>
    <w:rsid w:val="0072729E"/>
    <w:rsid w:val="00727522"/>
    <w:rsid w:val="00730029"/>
    <w:rsid w:val="00733A74"/>
    <w:rsid w:val="007353CA"/>
    <w:rsid w:val="00735CB5"/>
    <w:rsid w:val="0073628F"/>
    <w:rsid w:val="00737D35"/>
    <w:rsid w:val="00740651"/>
    <w:rsid w:val="00741516"/>
    <w:rsid w:val="00741556"/>
    <w:rsid w:val="00741C5F"/>
    <w:rsid w:val="00743360"/>
    <w:rsid w:val="007451DB"/>
    <w:rsid w:val="007471E9"/>
    <w:rsid w:val="007475AB"/>
    <w:rsid w:val="007476FD"/>
    <w:rsid w:val="00747C3B"/>
    <w:rsid w:val="00752CA7"/>
    <w:rsid w:val="00757756"/>
    <w:rsid w:val="0076031A"/>
    <w:rsid w:val="00761E94"/>
    <w:rsid w:val="0077007C"/>
    <w:rsid w:val="00771FB0"/>
    <w:rsid w:val="00772822"/>
    <w:rsid w:val="007750EB"/>
    <w:rsid w:val="007755D0"/>
    <w:rsid w:val="007757D1"/>
    <w:rsid w:val="00776A4E"/>
    <w:rsid w:val="00776DB6"/>
    <w:rsid w:val="00780AAB"/>
    <w:rsid w:val="00780FFE"/>
    <w:rsid w:val="00781C52"/>
    <w:rsid w:val="00782A0C"/>
    <w:rsid w:val="00782EA4"/>
    <w:rsid w:val="007831E2"/>
    <w:rsid w:val="00784FE1"/>
    <w:rsid w:val="007854D0"/>
    <w:rsid w:val="00785F55"/>
    <w:rsid w:val="00786DD2"/>
    <w:rsid w:val="0079071C"/>
    <w:rsid w:val="00791273"/>
    <w:rsid w:val="007912D8"/>
    <w:rsid w:val="00792D4B"/>
    <w:rsid w:val="0079341D"/>
    <w:rsid w:val="00793749"/>
    <w:rsid w:val="00793E3A"/>
    <w:rsid w:val="00796212"/>
    <w:rsid w:val="00797441"/>
    <w:rsid w:val="00797577"/>
    <w:rsid w:val="007A0082"/>
    <w:rsid w:val="007A441F"/>
    <w:rsid w:val="007A6946"/>
    <w:rsid w:val="007A7CA0"/>
    <w:rsid w:val="007A7DCD"/>
    <w:rsid w:val="007B132B"/>
    <w:rsid w:val="007B1722"/>
    <w:rsid w:val="007B29C4"/>
    <w:rsid w:val="007B2AD2"/>
    <w:rsid w:val="007B5EBE"/>
    <w:rsid w:val="007B642E"/>
    <w:rsid w:val="007C0044"/>
    <w:rsid w:val="007C02F4"/>
    <w:rsid w:val="007C0690"/>
    <w:rsid w:val="007C080F"/>
    <w:rsid w:val="007C0D2E"/>
    <w:rsid w:val="007C3986"/>
    <w:rsid w:val="007C3B1C"/>
    <w:rsid w:val="007C764B"/>
    <w:rsid w:val="007D02FA"/>
    <w:rsid w:val="007D074E"/>
    <w:rsid w:val="007D0FF6"/>
    <w:rsid w:val="007D26C3"/>
    <w:rsid w:val="007D289E"/>
    <w:rsid w:val="007D4526"/>
    <w:rsid w:val="007D4DFD"/>
    <w:rsid w:val="007D7CC5"/>
    <w:rsid w:val="007E0ED3"/>
    <w:rsid w:val="007E2D20"/>
    <w:rsid w:val="007E47A7"/>
    <w:rsid w:val="007E7E24"/>
    <w:rsid w:val="007F1861"/>
    <w:rsid w:val="007F19BD"/>
    <w:rsid w:val="007F1C68"/>
    <w:rsid w:val="007F1DCD"/>
    <w:rsid w:val="007F241A"/>
    <w:rsid w:val="007F2F8F"/>
    <w:rsid w:val="007F3826"/>
    <w:rsid w:val="007F56FE"/>
    <w:rsid w:val="007F67AD"/>
    <w:rsid w:val="007F6803"/>
    <w:rsid w:val="007F6F30"/>
    <w:rsid w:val="007F70C1"/>
    <w:rsid w:val="00800DA6"/>
    <w:rsid w:val="00801EA9"/>
    <w:rsid w:val="0080287D"/>
    <w:rsid w:val="00802E0A"/>
    <w:rsid w:val="008037E7"/>
    <w:rsid w:val="008052F3"/>
    <w:rsid w:val="00806914"/>
    <w:rsid w:val="00806F2F"/>
    <w:rsid w:val="008076F9"/>
    <w:rsid w:val="00807AC2"/>
    <w:rsid w:val="00807F83"/>
    <w:rsid w:val="0081268C"/>
    <w:rsid w:val="00812CD4"/>
    <w:rsid w:val="0081361E"/>
    <w:rsid w:val="00813EE1"/>
    <w:rsid w:val="00814421"/>
    <w:rsid w:val="0081451A"/>
    <w:rsid w:val="00815369"/>
    <w:rsid w:val="00817369"/>
    <w:rsid w:val="00820908"/>
    <w:rsid w:val="008210AB"/>
    <w:rsid w:val="00822B56"/>
    <w:rsid w:val="00822EA6"/>
    <w:rsid w:val="00823240"/>
    <w:rsid w:val="00823643"/>
    <w:rsid w:val="00827FAB"/>
    <w:rsid w:val="00831B40"/>
    <w:rsid w:val="00832762"/>
    <w:rsid w:val="00832D48"/>
    <w:rsid w:val="00833895"/>
    <w:rsid w:val="00834954"/>
    <w:rsid w:val="00841601"/>
    <w:rsid w:val="00844FC4"/>
    <w:rsid w:val="008453CD"/>
    <w:rsid w:val="00850D0B"/>
    <w:rsid w:val="008521B8"/>
    <w:rsid w:val="0085349F"/>
    <w:rsid w:val="0085642E"/>
    <w:rsid w:val="00861B87"/>
    <w:rsid w:val="00863498"/>
    <w:rsid w:val="00863535"/>
    <w:rsid w:val="0086363A"/>
    <w:rsid w:val="00863834"/>
    <w:rsid w:val="00864358"/>
    <w:rsid w:val="008644B7"/>
    <w:rsid w:val="00864949"/>
    <w:rsid w:val="008658B0"/>
    <w:rsid w:val="008669A6"/>
    <w:rsid w:val="00866D05"/>
    <w:rsid w:val="008677AF"/>
    <w:rsid w:val="00870A86"/>
    <w:rsid w:val="0087162F"/>
    <w:rsid w:val="008733F9"/>
    <w:rsid w:val="00873908"/>
    <w:rsid w:val="00875A36"/>
    <w:rsid w:val="00875BA5"/>
    <w:rsid w:val="00880EB3"/>
    <w:rsid w:val="00884928"/>
    <w:rsid w:val="00884C76"/>
    <w:rsid w:val="00884CCF"/>
    <w:rsid w:val="0088595C"/>
    <w:rsid w:val="00886577"/>
    <w:rsid w:val="00887D1E"/>
    <w:rsid w:val="00890721"/>
    <w:rsid w:val="00890861"/>
    <w:rsid w:val="00891E09"/>
    <w:rsid w:val="008925F8"/>
    <w:rsid w:val="00894105"/>
    <w:rsid w:val="00894AF9"/>
    <w:rsid w:val="00894E96"/>
    <w:rsid w:val="00894F46"/>
    <w:rsid w:val="008962DB"/>
    <w:rsid w:val="008967BE"/>
    <w:rsid w:val="00896CD8"/>
    <w:rsid w:val="00896DAC"/>
    <w:rsid w:val="00897B74"/>
    <w:rsid w:val="008A20E5"/>
    <w:rsid w:val="008A2AEA"/>
    <w:rsid w:val="008A389B"/>
    <w:rsid w:val="008A3B56"/>
    <w:rsid w:val="008A4701"/>
    <w:rsid w:val="008A49CE"/>
    <w:rsid w:val="008A5077"/>
    <w:rsid w:val="008A7D6D"/>
    <w:rsid w:val="008B10E0"/>
    <w:rsid w:val="008B2A33"/>
    <w:rsid w:val="008B3384"/>
    <w:rsid w:val="008B3436"/>
    <w:rsid w:val="008B3CD0"/>
    <w:rsid w:val="008B42E7"/>
    <w:rsid w:val="008B7D4D"/>
    <w:rsid w:val="008C16EB"/>
    <w:rsid w:val="008C295F"/>
    <w:rsid w:val="008C3885"/>
    <w:rsid w:val="008C58F6"/>
    <w:rsid w:val="008C7F36"/>
    <w:rsid w:val="008D0517"/>
    <w:rsid w:val="008D1B3F"/>
    <w:rsid w:val="008D1B4A"/>
    <w:rsid w:val="008D1EFF"/>
    <w:rsid w:val="008D2BF3"/>
    <w:rsid w:val="008D3940"/>
    <w:rsid w:val="008D3F4C"/>
    <w:rsid w:val="008D5418"/>
    <w:rsid w:val="008D5BB4"/>
    <w:rsid w:val="008E0245"/>
    <w:rsid w:val="008E1078"/>
    <w:rsid w:val="008E1493"/>
    <w:rsid w:val="008E3E34"/>
    <w:rsid w:val="008E5083"/>
    <w:rsid w:val="008E50EB"/>
    <w:rsid w:val="008E68E5"/>
    <w:rsid w:val="008E7BC2"/>
    <w:rsid w:val="008E7E03"/>
    <w:rsid w:val="008F0A60"/>
    <w:rsid w:val="008F123D"/>
    <w:rsid w:val="008F168A"/>
    <w:rsid w:val="008F2380"/>
    <w:rsid w:val="008F39CE"/>
    <w:rsid w:val="008F40CE"/>
    <w:rsid w:val="008F447C"/>
    <w:rsid w:val="008F533E"/>
    <w:rsid w:val="008F57FA"/>
    <w:rsid w:val="008F690E"/>
    <w:rsid w:val="008F700C"/>
    <w:rsid w:val="008F71AA"/>
    <w:rsid w:val="008F7FB6"/>
    <w:rsid w:val="0090167A"/>
    <w:rsid w:val="00902597"/>
    <w:rsid w:val="0090272D"/>
    <w:rsid w:val="00902AFC"/>
    <w:rsid w:val="009037BF"/>
    <w:rsid w:val="00904C68"/>
    <w:rsid w:val="00905007"/>
    <w:rsid w:val="00906480"/>
    <w:rsid w:val="00907DF8"/>
    <w:rsid w:val="009106C7"/>
    <w:rsid w:val="009117B7"/>
    <w:rsid w:val="009117EC"/>
    <w:rsid w:val="009119DC"/>
    <w:rsid w:val="00913229"/>
    <w:rsid w:val="0091335D"/>
    <w:rsid w:val="009141B8"/>
    <w:rsid w:val="00916051"/>
    <w:rsid w:val="00916647"/>
    <w:rsid w:val="00916C52"/>
    <w:rsid w:val="00917735"/>
    <w:rsid w:val="009211B7"/>
    <w:rsid w:val="00922A29"/>
    <w:rsid w:val="00925FE7"/>
    <w:rsid w:val="0092688D"/>
    <w:rsid w:val="009276B2"/>
    <w:rsid w:val="00927733"/>
    <w:rsid w:val="00931BC8"/>
    <w:rsid w:val="00932461"/>
    <w:rsid w:val="009344FC"/>
    <w:rsid w:val="00934776"/>
    <w:rsid w:val="0093525C"/>
    <w:rsid w:val="00936537"/>
    <w:rsid w:val="00936564"/>
    <w:rsid w:val="009414FC"/>
    <w:rsid w:val="00942D8A"/>
    <w:rsid w:val="00942F3B"/>
    <w:rsid w:val="009448DB"/>
    <w:rsid w:val="009462E2"/>
    <w:rsid w:val="00946493"/>
    <w:rsid w:val="00947F4D"/>
    <w:rsid w:val="009512B7"/>
    <w:rsid w:val="00951768"/>
    <w:rsid w:val="009517B5"/>
    <w:rsid w:val="00952C6B"/>
    <w:rsid w:val="00953C54"/>
    <w:rsid w:val="00954720"/>
    <w:rsid w:val="00954BB4"/>
    <w:rsid w:val="00954E73"/>
    <w:rsid w:val="00955BC0"/>
    <w:rsid w:val="009565AE"/>
    <w:rsid w:val="0095691D"/>
    <w:rsid w:val="00957418"/>
    <w:rsid w:val="0096145B"/>
    <w:rsid w:val="00962A65"/>
    <w:rsid w:val="00962D9D"/>
    <w:rsid w:val="009635C1"/>
    <w:rsid w:val="00964AAD"/>
    <w:rsid w:val="00966CA4"/>
    <w:rsid w:val="00966E1B"/>
    <w:rsid w:val="00967421"/>
    <w:rsid w:val="00967449"/>
    <w:rsid w:val="00970006"/>
    <w:rsid w:val="009701ED"/>
    <w:rsid w:val="009710C0"/>
    <w:rsid w:val="009710CC"/>
    <w:rsid w:val="00971B4F"/>
    <w:rsid w:val="00971C9A"/>
    <w:rsid w:val="00971E2C"/>
    <w:rsid w:val="00972B84"/>
    <w:rsid w:val="009749CA"/>
    <w:rsid w:val="00974D17"/>
    <w:rsid w:val="0097507E"/>
    <w:rsid w:val="00975E1D"/>
    <w:rsid w:val="00976A6E"/>
    <w:rsid w:val="0098495A"/>
    <w:rsid w:val="00984C07"/>
    <w:rsid w:val="009876D9"/>
    <w:rsid w:val="00987B09"/>
    <w:rsid w:val="0099064C"/>
    <w:rsid w:val="00990F1B"/>
    <w:rsid w:val="00991A5C"/>
    <w:rsid w:val="00993644"/>
    <w:rsid w:val="0099483D"/>
    <w:rsid w:val="009963B9"/>
    <w:rsid w:val="009A040E"/>
    <w:rsid w:val="009A342F"/>
    <w:rsid w:val="009A4308"/>
    <w:rsid w:val="009A449D"/>
    <w:rsid w:val="009A4748"/>
    <w:rsid w:val="009A52E0"/>
    <w:rsid w:val="009A5313"/>
    <w:rsid w:val="009A69E0"/>
    <w:rsid w:val="009A7A79"/>
    <w:rsid w:val="009A7AD3"/>
    <w:rsid w:val="009B0CB1"/>
    <w:rsid w:val="009B22C0"/>
    <w:rsid w:val="009B38CC"/>
    <w:rsid w:val="009B4C8D"/>
    <w:rsid w:val="009B52AD"/>
    <w:rsid w:val="009B630F"/>
    <w:rsid w:val="009C1649"/>
    <w:rsid w:val="009C1720"/>
    <w:rsid w:val="009C1728"/>
    <w:rsid w:val="009C1B47"/>
    <w:rsid w:val="009C326E"/>
    <w:rsid w:val="009C4A78"/>
    <w:rsid w:val="009D0847"/>
    <w:rsid w:val="009D350B"/>
    <w:rsid w:val="009D35A6"/>
    <w:rsid w:val="009D50AF"/>
    <w:rsid w:val="009D6DF2"/>
    <w:rsid w:val="009D7EDD"/>
    <w:rsid w:val="009E14E2"/>
    <w:rsid w:val="009E3948"/>
    <w:rsid w:val="009E4791"/>
    <w:rsid w:val="009E4AF5"/>
    <w:rsid w:val="009E5781"/>
    <w:rsid w:val="009E5C7B"/>
    <w:rsid w:val="009E62E6"/>
    <w:rsid w:val="009E67E4"/>
    <w:rsid w:val="009E6CFF"/>
    <w:rsid w:val="009F037E"/>
    <w:rsid w:val="009F1023"/>
    <w:rsid w:val="009F2DE4"/>
    <w:rsid w:val="009F5DD0"/>
    <w:rsid w:val="009F6094"/>
    <w:rsid w:val="009F71B2"/>
    <w:rsid w:val="009F7A21"/>
    <w:rsid w:val="009F7B48"/>
    <w:rsid w:val="009F7B6B"/>
    <w:rsid w:val="00A00530"/>
    <w:rsid w:val="00A00BA7"/>
    <w:rsid w:val="00A00D99"/>
    <w:rsid w:val="00A01333"/>
    <w:rsid w:val="00A0175E"/>
    <w:rsid w:val="00A05E74"/>
    <w:rsid w:val="00A06679"/>
    <w:rsid w:val="00A07183"/>
    <w:rsid w:val="00A07565"/>
    <w:rsid w:val="00A10E9A"/>
    <w:rsid w:val="00A114C7"/>
    <w:rsid w:val="00A11D01"/>
    <w:rsid w:val="00A12D95"/>
    <w:rsid w:val="00A14178"/>
    <w:rsid w:val="00A14C5F"/>
    <w:rsid w:val="00A15194"/>
    <w:rsid w:val="00A16B82"/>
    <w:rsid w:val="00A16D44"/>
    <w:rsid w:val="00A177E6"/>
    <w:rsid w:val="00A20A86"/>
    <w:rsid w:val="00A258C4"/>
    <w:rsid w:val="00A25A78"/>
    <w:rsid w:val="00A278CA"/>
    <w:rsid w:val="00A31E77"/>
    <w:rsid w:val="00A33298"/>
    <w:rsid w:val="00A33740"/>
    <w:rsid w:val="00A35E39"/>
    <w:rsid w:val="00A36934"/>
    <w:rsid w:val="00A37280"/>
    <w:rsid w:val="00A37853"/>
    <w:rsid w:val="00A403F0"/>
    <w:rsid w:val="00A40FBB"/>
    <w:rsid w:val="00A42381"/>
    <w:rsid w:val="00A46F45"/>
    <w:rsid w:val="00A47109"/>
    <w:rsid w:val="00A510D4"/>
    <w:rsid w:val="00A527A1"/>
    <w:rsid w:val="00A535D4"/>
    <w:rsid w:val="00A56817"/>
    <w:rsid w:val="00A62577"/>
    <w:rsid w:val="00A631F6"/>
    <w:rsid w:val="00A66933"/>
    <w:rsid w:val="00A66CB5"/>
    <w:rsid w:val="00A66E96"/>
    <w:rsid w:val="00A67AF6"/>
    <w:rsid w:val="00A72319"/>
    <w:rsid w:val="00A72D0C"/>
    <w:rsid w:val="00A74810"/>
    <w:rsid w:val="00A75907"/>
    <w:rsid w:val="00A76580"/>
    <w:rsid w:val="00A76BD7"/>
    <w:rsid w:val="00A778D8"/>
    <w:rsid w:val="00A803B1"/>
    <w:rsid w:val="00A8122E"/>
    <w:rsid w:val="00A823C2"/>
    <w:rsid w:val="00A82F5E"/>
    <w:rsid w:val="00A83CA5"/>
    <w:rsid w:val="00A84783"/>
    <w:rsid w:val="00A852A3"/>
    <w:rsid w:val="00A85AA9"/>
    <w:rsid w:val="00A866C3"/>
    <w:rsid w:val="00A86780"/>
    <w:rsid w:val="00A86911"/>
    <w:rsid w:val="00A8743A"/>
    <w:rsid w:val="00A9084F"/>
    <w:rsid w:val="00A94250"/>
    <w:rsid w:val="00A9526F"/>
    <w:rsid w:val="00A95D73"/>
    <w:rsid w:val="00A96BF4"/>
    <w:rsid w:val="00A971CD"/>
    <w:rsid w:val="00A97A45"/>
    <w:rsid w:val="00AA0E1F"/>
    <w:rsid w:val="00AA1B38"/>
    <w:rsid w:val="00AA1C26"/>
    <w:rsid w:val="00AA22C2"/>
    <w:rsid w:val="00AA5385"/>
    <w:rsid w:val="00AA6100"/>
    <w:rsid w:val="00AA6FE4"/>
    <w:rsid w:val="00AA72B3"/>
    <w:rsid w:val="00AA7475"/>
    <w:rsid w:val="00AB07AB"/>
    <w:rsid w:val="00AB133B"/>
    <w:rsid w:val="00AB232C"/>
    <w:rsid w:val="00AB28A3"/>
    <w:rsid w:val="00AB2E37"/>
    <w:rsid w:val="00AB3888"/>
    <w:rsid w:val="00AB419B"/>
    <w:rsid w:val="00AB6353"/>
    <w:rsid w:val="00AC02E5"/>
    <w:rsid w:val="00AC39E9"/>
    <w:rsid w:val="00AC4DF7"/>
    <w:rsid w:val="00AC6610"/>
    <w:rsid w:val="00AC6923"/>
    <w:rsid w:val="00AC6CE7"/>
    <w:rsid w:val="00AD01BE"/>
    <w:rsid w:val="00AD097B"/>
    <w:rsid w:val="00AD226D"/>
    <w:rsid w:val="00AD3223"/>
    <w:rsid w:val="00AD4511"/>
    <w:rsid w:val="00AD4D57"/>
    <w:rsid w:val="00AD501C"/>
    <w:rsid w:val="00AD56AA"/>
    <w:rsid w:val="00AD6984"/>
    <w:rsid w:val="00AD6E48"/>
    <w:rsid w:val="00AE07A5"/>
    <w:rsid w:val="00AE0808"/>
    <w:rsid w:val="00AE1982"/>
    <w:rsid w:val="00AE27F2"/>
    <w:rsid w:val="00AE2E72"/>
    <w:rsid w:val="00AE308A"/>
    <w:rsid w:val="00AE4DF2"/>
    <w:rsid w:val="00AE630A"/>
    <w:rsid w:val="00AE6415"/>
    <w:rsid w:val="00AF08D7"/>
    <w:rsid w:val="00AF140F"/>
    <w:rsid w:val="00AF1F1B"/>
    <w:rsid w:val="00AF3CEB"/>
    <w:rsid w:val="00AF5367"/>
    <w:rsid w:val="00AF7B31"/>
    <w:rsid w:val="00B00CB8"/>
    <w:rsid w:val="00B01983"/>
    <w:rsid w:val="00B02621"/>
    <w:rsid w:val="00B02890"/>
    <w:rsid w:val="00B03B2D"/>
    <w:rsid w:val="00B050CF"/>
    <w:rsid w:val="00B064E0"/>
    <w:rsid w:val="00B06E81"/>
    <w:rsid w:val="00B10025"/>
    <w:rsid w:val="00B10303"/>
    <w:rsid w:val="00B12734"/>
    <w:rsid w:val="00B13460"/>
    <w:rsid w:val="00B136A0"/>
    <w:rsid w:val="00B14C83"/>
    <w:rsid w:val="00B16174"/>
    <w:rsid w:val="00B20AD8"/>
    <w:rsid w:val="00B2200C"/>
    <w:rsid w:val="00B2220F"/>
    <w:rsid w:val="00B24838"/>
    <w:rsid w:val="00B252D6"/>
    <w:rsid w:val="00B25CA7"/>
    <w:rsid w:val="00B27929"/>
    <w:rsid w:val="00B32B7A"/>
    <w:rsid w:val="00B335C3"/>
    <w:rsid w:val="00B35D91"/>
    <w:rsid w:val="00B361A2"/>
    <w:rsid w:val="00B36262"/>
    <w:rsid w:val="00B365DA"/>
    <w:rsid w:val="00B36A57"/>
    <w:rsid w:val="00B37032"/>
    <w:rsid w:val="00B37D5F"/>
    <w:rsid w:val="00B402C4"/>
    <w:rsid w:val="00B43454"/>
    <w:rsid w:val="00B43B51"/>
    <w:rsid w:val="00B4441D"/>
    <w:rsid w:val="00B4551F"/>
    <w:rsid w:val="00B46BEE"/>
    <w:rsid w:val="00B4791E"/>
    <w:rsid w:val="00B47BC7"/>
    <w:rsid w:val="00B50732"/>
    <w:rsid w:val="00B51291"/>
    <w:rsid w:val="00B51AE3"/>
    <w:rsid w:val="00B520D9"/>
    <w:rsid w:val="00B52629"/>
    <w:rsid w:val="00B529CB"/>
    <w:rsid w:val="00B52BC8"/>
    <w:rsid w:val="00B52F0A"/>
    <w:rsid w:val="00B54D6D"/>
    <w:rsid w:val="00B54E0E"/>
    <w:rsid w:val="00B54E29"/>
    <w:rsid w:val="00B5545B"/>
    <w:rsid w:val="00B55F35"/>
    <w:rsid w:val="00B560D8"/>
    <w:rsid w:val="00B56476"/>
    <w:rsid w:val="00B56991"/>
    <w:rsid w:val="00B56B7D"/>
    <w:rsid w:val="00B57C89"/>
    <w:rsid w:val="00B60D84"/>
    <w:rsid w:val="00B6368A"/>
    <w:rsid w:val="00B63B34"/>
    <w:rsid w:val="00B658D2"/>
    <w:rsid w:val="00B66819"/>
    <w:rsid w:val="00B669E2"/>
    <w:rsid w:val="00B66E0F"/>
    <w:rsid w:val="00B67C2E"/>
    <w:rsid w:val="00B72623"/>
    <w:rsid w:val="00B72F8E"/>
    <w:rsid w:val="00B746B0"/>
    <w:rsid w:val="00B74CE5"/>
    <w:rsid w:val="00B756B1"/>
    <w:rsid w:val="00B7619B"/>
    <w:rsid w:val="00B7652D"/>
    <w:rsid w:val="00B77D86"/>
    <w:rsid w:val="00B80720"/>
    <w:rsid w:val="00B80DAB"/>
    <w:rsid w:val="00B81492"/>
    <w:rsid w:val="00B8161C"/>
    <w:rsid w:val="00B841FA"/>
    <w:rsid w:val="00B844A7"/>
    <w:rsid w:val="00B84D3E"/>
    <w:rsid w:val="00B85957"/>
    <w:rsid w:val="00B85C73"/>
    <w:rsid w:val="00B85FE9"/>
    <w:rsid w:val="00B8659E"/>
    <w:rsid w:val="00B87744"/>
    <w:rsid w:val="00B9104B"/>
    <w:rsid w:val="00B911A8"/>
    <w:rsid w:val="00B92618"/>
    <w:rsid w:val="00B92F75"/>
    <w:rsid w:val="00B95EF5"/>
    <w:rsid w:val="00BA0BEF"/>
    <w:rsid w:val="00BA18AB"/>
    <w:rsid w:val="00BA2B52"/>
    <w:rsid w:val="00BA2BF1"/>
    <w:rsid w:val="00BA3675"/>
    <w:rsid w:val="00BA4F8C"/>
    <w:rsid w:val="00BA54CC"/>
    <w:rsid w:val="00BA6417"/>
    <w:rsid w:val="00BA6A04"/>
    <w:rsid w:val="00BB200F"/>
    <w:rsid w:val="00BB3A46"/>
    <w:rsid w:val="00BB4D96"/>
    <w:rsid w:val="00BB5536"/>
    <w:rsid w:val="00BB7D7C"/>
    <w:rsid w:val="00BC11D5"/>
    <w:rsid w:val="00BC2BBE"/>
    <w:rsid w:val="00BC3451"/>
    <w:rsid w:val="00BC3652"/>
    <w:rsid w:val="00BC4D57"/>
    <w:rsid w:val="00BC52A1"/>
    <w:rsid w:val="00BC58DB"/>
    <w:rsid w:val="00BC66A6"/>
    <w:rsid w:val="00BC69B9"/>
    <w:rsid w:val="00BD0960"/>
    <w:rsid w:val="00BD1152"/>
    <w:rsid w:val="00BD231B"/>
    <w:rsid w:val="00BD3618"/>
    <w:rsid w:val="00BD3A8D"/>
    <w:rsid w:val="00BD3F86"/>
    <w:rsid w:val="00BD4407"/>
    <w:rsid w:val="00BD50C3"/>
    <w:rsid w:val="00BD5844"/>
    <w:rsid w:val="00BD594D"/>
    <w:rsid w:val="00BD59A5"/>
    <w:rsid w:val="00BD6D27"/>
    <w:rsid w:val="00BD6E7B"/>
    <w:rsid w:val="00BD701F"/>
    <w:rsid w:val="00BD7C9D"/>
    <w:rsid w:val="00BE125F"/>
    <w:rsid w:val="00BE1CD4"/>
    <w:rsid w:val="00BE3391"/>
    <w:rsid w:val="00BE3F7B"/>
    <w:rsid w:val="00BE6444"/>
    <w:rsid w:val="00BE67EC"/>
    <w:rsid w:val="00BF0E46"/>
    <w:rsid w:val="00BF318C"/>
    <w:rsid w:val="00BF4452"/>
    <w:rsid w:val="00BF4B6A"/>
    <w:rsid w:val="00BF4DC2"/>
    <w:rsid w:val="00BF5F28"/>
    <w:rsid w:val="00BF61E6"/>
    <w:rsid w:val="00BF6638"/>
    <w:rsid w:val="00BF6B19"/>
    <w:rsid w:val="00BF7595"/>
    <w:rsid w:val="00BF75F8"/>
    <w:rsid w:val="00BF7FED"/>
    <w:rsid w:val="00C00B7C"/>
    <w:rsid w:val="00C01AB2"/>
    <w:rsid w:val="00C03EEA"/>
    <w:rsid w:val="00C05552"/>
    <w:rsid w:val="00C1020D"/>
    <w:rsid w:val="00C10D55"/>
    <w:rsid w:val="00C12478"/>
    <w:rsid w:val="00C133D6"/>
    <w:rsid w:val="00C136EB"/>
    <w:rsid w:val="00C13F2F"/>
    <w:rsid w:val="00C17E59"/>
    <w:rsid w:val="00C21CCC"/>
    <w:rsid w:val="00C21D5A"/>
    <w:rsid w:val="00C22EBF"/>
    <w:rsid w:val="00C24719"/>
    <w:rsid w:val="00C25333"/>
    <w:rsid w:val="00C27FC0"/>
    <w:rsid w:val="00C30792"/>
    <w:rsid w:val="00C307A9"/>
    <w:rsid w:val="00C318C7"/>
    <w:rsid w:val="00C32FEB"/>
    <w:rsid w:val="00C3300D"/>
    <w:rsid w:val="00C3313C"/>
    <w:rsid w:val="00C367E9"/>
    <w:rsid w:val="00C37427"/>
    <w:rsid w:val="00C37B46"/>
    <w:rsid w:val="00C4133C"/>
    <w:rsid w:val="00C41BF3"/>
    <w:rsid w:val="00C41C8C"/>
    <w:rsid w:val="00C42F3D"/>
    <w:rsid w:val="00C436C3"/>
    <w:rsid w:val="00C44F50"/>
    <w:rsid w:val="00C45057"/>
    <w:rsid w:val="00C4790F"/>
    <w:rsid w:val="00C52239"/>
    <w:rsid w:val="00C5275C"/>
    <w:rsid w:val="00C53987"/>
    <w:rsid w:val="00C54223"/>
    <w:rsid w:val="00C5533A"/>
    <w:rsid w:val="00C55AB0"/>
    <w:rsid w:val="00C55BCD"/>
    <w:rsid w:val="00C608C4"/>
    <w:rsid w:val="00C62808"/>
    <w:rsid w:val="00C650BC"/>
    <w:rsid w:val="00C65148"/>
    <w:rsid w:val="00C671C4"/>
    <w:rsid w:val="00C71833"/>
    <w:rsid w:val="00C7247A"/>
    <w:rsid w:val="00C72582"/>
    <w:rsid w:val="00C729E8"/>
    <w:rsid w:val="00C7412E"/>
    <w:rsid w:val="00C75009"/>
    <w:rsid w:val="00C7547A"/>
    <w:rsid w:val="00C75502"/>
    <w:rsid w:val="00C75776"/>
    <w:rsid w:val="00C767F8"/>
    <w:rsid w:val="00C8064A"/>
    <w:rsid w:val="00C8106B"/>
    <w:rsid w:val="00C81303"/>
    <w:rsid w:val="00C82535"/>
    <w:rsid w:val="00C83118"/>
    <w:rsid w:val="00C837A4"/>
    <w:rsid w:val="00C84287"/>
    <w:rsid w:val="00C84688"/>
    <w:rsid w:val="00C84B99"/>
    <w:rsid w:val="00C84CC3"/>
    <w:rsid w:val="00C85D56"/>
    <w:rsid w:val="00C86070"/>
    <w:rsid w:val="00C87301"/>
    <w:rsid w:val="00C90662"/>
    <w:rsid w:val="00C9168C"/>
    <w:rsid w:val="00C91AB7"/>
    <w:rsid w:val="00C91C0E"/>
    <w:rsid w:val="00C91CFA"/>
    <w:rsid w:val="00C92B4F"/>
    <w:rsid w:val="00C9329B"/>
    <w:rsid w:val="00C93DBC"/>
    <w:rsid w:val="00C93E4D"/>
    <w:rsid w:val="00C940EE"/>
    <w:rsid w:val="00C9654B"/>
    <w:rsid w:val="00C96B18"/>
    <w:rsid w:val="00CA0BC8"/>
    <w:rsid w:val="00CA0EDA"/>
    <w:rsid w:val="00CA41CD"/>
    <w:rsid w:val="00CA4335"/>
    <w:rsid w:val="00CA4EC5"/>
    <w:rsid w:val="00CA4F7B"/>
    <w:rsid w:val="00CA5914"/>
    <w:rsid w:val="00CB1902"/>
    <w:rsid w:val="00CB1A45"/>
    <w:rsid w:val="00CB1DEA"/>
    <w:rsid w:val="00CB3AB1"/>
    <w:rsid w:val="00CB3F81"/>
    <w:rsid w:val="00CB5661"/>
    <w:rsid w:val="00CB597A"/>
    <w:rsid w:val="00CB6459"/>
    <w:rsid w:val="00CB7165"/>
    <w:rsid w:val="00CB7401"/>
    <w:rsid w:val="00CC0227"/>
    <w:rsid w:val="00CC1307"/>
    <w:rsid w:val="00CC3929"/>
    <w:rsid w:val="00CC3B6A"/>
    <w:rsid w:val="00CC435D"/>
    <w:rsid w:val="00CC4ECA"/>
    <w:rsid w:val="00CC51B8"/>
    <w:rsid w:val="00CC677C"/>
    <w:rsid w:val="00CC7A65"/>
    <w:rsid w:val="00CD0788"/>
    <w:rsid w:val="00CD10C1"/>
    <w:rsid w:val="00CD1E77"/>
    <w:rsid w:val="00CD219D"/>
    <w:rsid w:val="00CD26BD"/>
    <w:rsid w:val="00CD5A6E"/>
    <w:rsid w:val="00CD67E7"/>
    <w:rsid w:val="00CD6B0B"/>
    <w:rsid w:val="00CD7B1D"/>
    <w:rsid w:val="00CE20F5"/>
    <w:rsid w:val="00CE463B"/>
    <w:rsid w:val="00CE5367"/>
    <w:rsid w:val="00CE646D"/>
    <w:rsid w:val="00CE79BD"/>
    <w:rsid w:val="00CF1462"/>
    <w:rsid w:val="00CF1BB1"/>
    <w:rsid w:val="00CF1D4C"/>
    <w:rsid w:val="00CF1EE0"/>
    <w:rsid w:val="00CF1EF2"/>
    <w:rsid w:val="00CF21C3"/>
    <w:rsid w:val="00CF2D13"/>
    <w:rsid w:val="00CF3636"/>
    <w:rsid w:val="00CF3C16"/>
    <w:rsid w:val="00CF61DA"/>
    <w:rsid w:val="00CF6384"/>
    <w:rsid w:val="00CF6599"/>
    <w:rsid w:val="00CF6627"/>
    <w:rsid w:val="00CF6FAF"/>
    <w:rsid w:val="00D001DF"/>
    <w:rsid w:val="00D01242"/>
    <w:rsid w:val="00D01D8A"/>
    <w:rsid w:val="00D05379"/>
    <w:rsid w:val="00D06081"/>
    <w:rsid w:val="00D0738A"/>
    <w:rsid w:val="00D0778B"/>
    <w:rsid w:val="00D10654"/>
    <w:rsid w:val="00D10B63"/>
    <w:rsid w:val="00D10F09"/>
    <w:rsid w:val="00D11B82"/>
    <w:rsid w:val="00D12F2B"/>
    <w:rsid w:val="00D132C0"/>
    <w:rsid w:val="00D13600"/>
    <w:rsid w:val="00D137E2"/>
    <w:rsid w:val="00D14F30"/>
    <w:rsid w:val="00D15097"/>
    <w:rsid w:val="00D154DA"/>
    <w:rsid w:val="00D15D18"/>
    <w:rsid w:val="00D15D19"/>
    <w:rsid w:val="00D1635B"/>
    <w:rsid w:val="00D16E4F"/>
    <w:rsid w:val="00D171D9"/>
    <w:rsid w:val="00D1741D"/>
    <w:rsid w:val="00D203A3"/>
    <w:rsid w:val="00D203C2"/>
    <w:rsid w:val="00D208F5"/>
    <w:rsid w:val="00D21784"/>
    <w:rsid w:val="00D2244E"/>
    <w:rsid w:val="00D23B44"/>
    <w:rsid w:val="00D23DF8"/>
    <w:rsid w:val="00D252AA"/>
    <w:rsid w:val="00D271FC"/>
    <w:rsid w:val="00D27B17"/>
    <w:rsid w:val="00D31D75"/>
    <w:rsid w:val="00D321E5"/>
    <w:rsid w:val="00D3485A"/>
    <w:rsid w:val="00D35928"/>
    <w:rsid w:val="00D372C9"/>
    <w:rsid w:val="00D37AE5"/>
    <w:rsid w:val="00D40855"/>
    <w:rsid w:val="00D415A9"/>
    <w:rsid w:val="00D42F4F"/>
    <w:rsid w:val="00D43939"/>
    <w:rsid w:val="00D4397E"/>
    <w:rsid w:val="00D440F4"/>
    <w:rsid w:val="00D44877"/>
    <w:rsid w:val="00D45EF6"/>
    <w:rsid w:val="00D46085"/>
    <w:rsid w:val="00D46E66"/>
    <w:rsid w:val="00D47083"/>
    <w:rsid w:val="00D47751"/>
    <w:rsid w:val="00D50422"/>
    <w:rsid w:val="00D52A7C"/>
    <w:rsid w:val="00D54E2C"/>
    <w:rsid w:val="00D5549E"/>
    <w:rsid w:val="00D567DB"/>
    <w:rsid w:val="00D56848"/>
    <w:rsid w:val="00D56C27"/>
    <w:rsid w:val="00D600AA"/>
    <w:rsid w:val="00D61723"/>
    <w:rsid w:val="00D61726"/>
    <w:rsid w:val="00D6387C"/>
    <w:rsid w:val="00D639E3"/>
    <w:rsid w:val="00D65730"/>
    <w:rsid w:val="00D65BA8"/>
    <w:rsid w:val="00D65DDB"/>
    <w:rsid w:val="00D66A08"/>
    <w:rsid w:val="00D700DD"/>
    <w:rsid w:val="00D723B5"/>
    <w:rsid w:val="00D72678"/>
    <w:rsid w:val="00D72A8B"/>
    <w:rsid w:val="00D731C6"/>
    <w:rsid w:val="00D73437"/>
    <w:rsid w:val="00D73C7D"/>
    <w:rsid w:val="00D76822"/>
    <w:rsid w:val="00D76A16"/>
    <w:rsid w:val="00D773A3"/>
    <w:rsid w:val="00D775B8"/>
    <w:rsid w:val="00D8127E"/>
    <w:rsid w:val="00D824C6"/>
    <w:rsid w:val="00D834AE"/>
    <w:rsid w:val="00D857A5"/>
    <w:rsid w:val="00D876AA"/>
    <w:rsid w:val="00D87C21"/>
    <w:rsid w:val="00D91CE2"/>
    <w:rsid w:val="00D91EDC"/>
    <w:rsid w:val="00D92780"/>
    <w:rsid w:val="00D96EE4"/>
    <w:rsid w:val="00D97F82"/>
    <w:rsid w:val="00DA01D6"/>
    <w:rsid w:val="00DA02F9"/>
    <w:rsid w:val="00DA0450"/>
    <w:rsid w:val="00DA0E0F"/>
    <w:rsid w:val="00DA1BFE"/>
    <w:rsid w:val="00DA385F"/>
    <w:rsid w:val="00DA4119"/>
    <w:rsid w:val="00DA452A"/>
    <w:rsid w:val="00DA46CC"/>
    <w:rsid w:val="00DA5643"/>
    <w:rsid w:val="00DA5A73"/>
    <w:rsid w:val="00DA5E7F"/>
    <w:rsid w:val="00DA6AC2"/>
    <w:rsid w:val="00DA76E9"/>
    <w:rsid w:val="00DA7E6E"/>
    <w:rsid w:val="00DB1047"/>
    <w:rsid w:val="00DB2884"/>
    <w:rsid w:val="00DB359C"/>
    <w:rsid w:val="00DB4B5E"/>
    <w:rsid w:val="00DB55FE"/>
    <w:rsid w:val="00DB587A"/>
    <w:rsid w:val="00DB74B0"/>
    <w:rsid w:val="00DB771B"/>
    <w:rsid w:val="00DC3F14"/>
    <w:rsid w:val="00DC57ED"/>
    <w:rsid w:val="00DC5FF5"/>
    <w:rsid w:val="00DD02CA"/>
    <w:rsid w:val="00DD04C8"/>
    <w:rsid w:val="00DD0A59"/>
    <w:rsid w:val="00DD12B6"/>
    <w:rsid w:val="00DD1940"/>
    <w:rsid w:val="00DD1FFB"/>
    <w:rsid w:val="00DD2011"/>
    <w:rsid w:val="00DD2114"/>
    <w:rsid w:val="00DD2E2B"/>
    <w:rsid w:val="00DD3C04"/>
    <w:rsid w:val="00DD409A"/>
    <w:rsid w:val="00DD4D00"/>
    <w:rsid w:val="00DD7829"/>
    <w:rsid w:val="00DD79B4"/>
    <w:rsid w:val="00DD7BDC"/>
    <w:rsid w:val="00DE12F5"/>
    <w:rsid w:val="00DE19E5"/>
    <w:rsid w:val="00DE2B74"/>
    <w:rsid w:val="00DE358F"/>
    <w:rsid w:val="00DE3D46"/>
    <w:rsid w:val="00DE5A8E"/>
    <w:rsid w:val="00DE7053"/>
    <w:rsid w:val="00DF0E44"/>
    <w:rsid w:val="00DF1194"/>
    <w:rsid w:val="00DF39FE"/>
    <w:rsid w:val="00DF4BBF"/>
    <w:rsid w:val="00DF674A"/>
    <w:rsid w:val="00DF6997"/>
    <w:rsid w:val="00DF6A6C"/>
    <w:rsid w:val="00E00C1E"/>
    <w:rsid w:val="00E044A5"/>
    <w:rsid w:val="00E075B1"/>
    <w:rsid w:val="00E109FE"/>
    <w:rsid w:val="00E10CC1"/>
    <w:rsid w:val="00E13CD9"/>
    <w:rsid w:val="00E162F1"/>
    <w:rsid w:val="00E25221"/>
    <w:rsid w:val="00E2675A"/>
    <w:rsid w:val="00E30821"/>
    <w:rsid w:val="00E30E69"/>
    <w:rsid w:val="00E31187"/>
    <w:rsid w:val="00E31E7D"/>
    <w:rsid w:val="00E32EEE"/>
    <w:rsid w:val="00E331E2"/>
    <w:rsid w:val="00E3400A"/>
    <w:rsid w:val="00E347A0"/>
    <w:rsid w:val="00E36D83"/>
    <w:rsid w:val="00E3760A"/>
    <w:rsid w:val="00E379EC"/>
    <w:rsid w:val="00E37AF8"/>
    <w:rsid w:val="00E40108"/>
    <w:rsid w:val="00E41C05"/>
    <w:rsid w:val="00E424B1"/>
    <w:rsid w:val="00E42686"/>
    <w:rsid w:val="00E42E5A"/>
    <w:rsid w:val="00E4336F"/>
    <w:rsid w:val="00E43460"/>
    <w:rsid w:val="00E43BE6"/>
    <w:rsid w:val="00E4408D"/>
    <w:rsid w:val="00E44ADF"/>
    <w:rsid w:val="00E44AF5"/>
    <w:rsid w:val="00E450C7"/>
    <w:rsid w:val="00E4535F"/>
    <w:rsid w:val="00E45EDC"/>
    <w:rsid w:val="00E4629B"/>
    <w:rsid w:val="00E47383"/>
    <w:rsid w:val="00E474A4"/>
    <w:rsid w:val="00E47575"/>
    <w:rsid w:val="00E47CB7"/>
    <w:rsid w:val="00E5078B"/>
    <w:rsid w:val="00E517BA"/>
    <w:rsid w:val="00E52EE6"/>
    <w:rsid w:val="00E535F0"/>
    <w:rsid w:val="00E54D10"/>
    <w:rsid w:val="00E55BAB"/>
    <w:rsid w:val="00E55DF6"/>
    <w:rsid w:val="00E60178"/>
    <w:rsid w:val="00E608E4"/>
    <w:rsid w:val="00E62C1F"/>
    <w:rsid w:val="00E63880"/>
    <w:rsid w:val="00E64C0B"/>
    <w:rsid w:val="00E67EDC"/>
    <w:rsid w:val="00E70B9A"/>
    <w:rsid w:val="00E711E4"/>
    <w:rsid w:val="00E72E69"/>
    <w:rsid w:val="00E73143"/>
    <w:rsid w:val="00E74349"/>
    <w:rsid w:val="00E7480B"/>
    <w:rsid w:val="00E74AC0"/>
    <w:rsid w:val="00E76403"/>
    <w:rsid w:val="00E77549"/>
    <w:rsid w:val="00E80213"/>
    <w:rsid w:val="00E80648"/>
    <w:rsid w:val="00E80C71"/>
    <w:rsid w:val="00E81BCB"/>
    <w:rsid w:val="00E835B3"/>
    <w:rsid w:val="00E83955"/>
    <w:rsid w:val="00E83A21"/>
    <w:rsid w:val="00E841F6"/>
    <w:rsid w:val="00E84791"/>
    <w:rsid w:val="00E91DFA"/>
    <w:rsid w:val="00E929E1"/>
    <w:rsid w:val="00E92F46"/>
    <w:rsid w:val="00E9335A"/>
    <w:rsid w:val="00E9570A"/>
    <w:rsid w:val="00E96029"/>
    <w:rsid w:val="00E966DE"/>
    <w:rsid w:val="00E97646"/>
    <w:rsid w:val="00E97DC3"/>
    <w:rsid w:val="00EA047A"/>
    <w:rsid w:val="00EA0BA4"/>
    <w:rsid w:val="00EA207E"/>
    <w:rsid w:val="00EA3F2F"/>
    <w:rsid w:val="00EA4696"/>
    <w:rsid w:val="00EA5131"/>
    <w:rsid w:val="00EA5CFE"/>
    <w:rsid w:val="00EA5F88"/>
    <w:rsid w:val="00EA66A3"/>
    <w:rsid w:val="00EA69D0"/>
    <w:rsid w:val="00EA7782"/>
    <w:rsid w:val="00EB08F3"/>
    <w:rsid w:val="00EB0EDE"/>
    <w:rsid w:val="00EB147F"/>
    <w:rsid w:val="00EB4172"/>
    <w:rsid w:val="00EB41DE"/>
    <w:rsid w:val="00EB4EA7"/>
    <w:rsid w:val="00EB62F9"/>
    <w:rsid w:val="00EB6405"/>
    <w:rsid w:val="00EB7C6E"/>
    <w:rsid w:val="00EB7FB3"/>
    <w:rsid w:val="00EC0E71"/>
    <w:rsid w:val="00EC1E20"/>
    <w:rsid w:val="00EC2689"/>
    <w:rsid w:val="00EC2D6B"/>
    <w:rsid w:val="00EC36B4"/>
    <w:rsid w:val="00EC3C09"/>
    <w:rsid w:val="00EC61C6"/>
    <w:rsid w:val="00EC7D72"/>
    <w:rsid w:val="00EC7E14"/>
    <w:rsid w:val="00ED2834"/>
    <w:rsid w:val="00ED4FB3"/>
    <w:rsid w:val="00ED5E02"/>
    <w:rsid w:val="00EE123A"/>
    <w:rsid w:val="00EE2515"/>
    <w:rsid w:val="00EE2525"/>
    <w:rsid w:val="00EE2B6C"/>
    <w:rsid w:val="00EE2CD4"/>
    <w:rsid w:val="00EE303B"/>
    <w:rsid w:val="00EE34A9"/>
    <w:rsid w:val="00EE3C4C"/>
    <w:rsid w:val="00EE69FE"/>
    <w:rsid w:val="00EE6A38"/>
    <w:rsid w:val="00EE7192"/>
    <w:rsid w:val="00EE76F7"/>
    <w:rsid w:val="00EF1947"/>
    <w:rsid w:val="00EF1CFE"/>
    <w:rsid w:val="00EF21F1"/>
    <w:rsid w:val="00EF3AF0"/>
    <w:rsid w:val="00EF49BE"/>
    <w:rsid w:val="00EF62B4"/>
    <w:rsid w:val="00EF73B8"/>
    <w:rsid w:val="00EF7436"/>
    <w:rsid w:val="00EF7498"/>
    <w:rsid w:val="00F04996"/>
    <w:rsid w:val="00F05F16"/>
    <w:rsid w:val="00F06442"/>
    <w:rsid w:val="00F06A34"/>
    <w:rsid w:val="00F073F0"/>
    <w:rsid w:val="00F105DB"/>
    <w:rsid w:val="00F11F36"/>
    <w:rsid w:val="00F12075"/>
    <w:rsid w:val="00F13890"/>
    <w:rsid w:val="00F13B6B"/>
    <w:rsid w:val="00F140A6"/>
    <w:rsid w:val="00F14D81"/>
    <w:rsid w:val="00F15FF3"/>
    <w:rsid w:val="00F161E6"/>
    <w:rsid w:val="00F17198"/>
    <w:rsid w:val="00F176C1"/>
    <w:rsid w:val="00F17EAC"/>
    <w:rsid w:val="00F207A9"/>
    <w:rsid w:val="00F2137F"/>
    <w:rsid w:val="00F21594"/>
    <w:rsid w:val="00F22F0F"/>
    <w:rsid w:val="00F236D8"/>
    <w:rsid w:val="00F25AE8"/>
    <w:rsid w:val="00F26495"/>
    <w:rsid w:val="00F27518"/>
    <w:rsid w:val="00F306A1"/>
    <w:rsid w:val="00F30E0B"/>
    <w:rsid w:val="00F31EAB"/>
    <w:rsid w:val="00F321F5"/>
    <w:rsid w:val="00F357C9"/>
    <w:rsid w:val="00F3601E"/>
    <w:rsid w:val="00F360EB"/>
    <w:rsid w:val="00F40743"/>
    <w:rsid w:val="00F40DD6"/>
    <w:rsid w:val="00F416B6"/>
    <w:rsid w:val="00F41A88"/>
    <w:rsid w:val="00F4260E"/>
    <w:rsid w:val="00F448E9"/>
    <w:rsid w:val="00F45C0A"/>
    <w:rsid w:val="00F46541"/>
    <w:rsid w:val="00F47E54"/>
    <w:rsid w:val="00F50040"/>
    <w:rsid w:val="00F50C46"/>
    <w:rsid w:val="00F54108"/>
    <w:rsid w:val="00F5543F"/>
    <w:rsid w:val="00F561AE"/>
    <w:rsid w:val="00F562E5"/>
    <w:rsid w:val="00F56674"/>
    <w:rsid w:val="00F602B8"/>
    <w:rsid w:val="00F60434"/>
    <w:rsid w:val="00F62C71"/>
    <w:rsid w:val="00F6330E"/>
    <w:rsid w:val="00F63F85"/>
    <w:rsid w:val="00F65D54"/>
    <w:rsid w:val="00F6734B"/>
    <w:rsid w:val="00F67769"/>
    <w:rsid w:val="00F6795C"/>
    <w:rsid w:val="00F737B7"/>
    <w:rsid w:val="00F73A6C"/>
    <w:rsid w:val="00F73B98"/>
    <w:rsid w:val="00F75094"/>
    <w:rsid w:val="00F75D25"/>
    <w:rsid w:val="00F75E9E"/>
    <w:rsid w:val="00F80AC2"/>
    <w:rsid w:val="00F81714"/>
    <w:rsid w:val="00F81737"/>
    <w:rsid w:val="00F818A0"/>
    <w:rsid w:val="00F8336E"/>
    <w:rsid w:val="00F83645"/>
    <w:rsid w:val="00F8465D"/>
    <w:rsid w:val="00F84B03"/>
    <w:rsid w:val="00F85405"/>
    <w:rsid w:val="00F85B50"/>
    <w:rsid w:val="00F90306"/>
    <w:rsid w:val="00F906B6"/>
    <w:rsid w:val="00F90C9A"/>
    <w:rsid w:val="00F928BD"/>
    <w:rsid w:val="00F92937"/>
    <w:rsid w:val="00F94812"/>
    <w:rsid w:val="00F9681B"/>
    <w:rsid w:val="00F97AB1"/>
    <w:rsid w:val="00F97D33"/>
    <w:rsid w:val="00FA0223"/>
    <w:rsid w:val="00FA0395"/>
    <w:rsid w:val="00FA07DC"/>
    <w:rsid w:val="00FA2C13"/>
    <w:rsid w:val="00FA3BAD"/>
    <w:rsid w:val="00FA41F4"/>
    <w:rsid w:val="00FA49FB"/>
    <w:rsid w:val="00FA4BC9"/>
    <w:rsid w:val="00FA5A6F"/>
    <w:rsid w:val="00FA63BA"/>
    <w:rsid w:val="00FA6BD4"/>
    <w:rsid w:val="00FA76E5"/>
    <w:rsid w:val="00FB0BB6"/>
    <w:rsid w:val="00FB1A02"/>
    <w:rsid w:val="00FB1FBB"/>
    <w:rsid w:val="00FB33DC"/>
    <w:rsid w:val="00FB4A32"/>
    <w:rsid w:val="00FB4D5D"/>
    <w:rsid w:val="00FB562A"/>
    <w:rsid w:val="00FB618A"/>
    <w:rsid w:val="00FB6747"/>
    <w:rsid w:val="00FB6B1A"/>
    <w:rsid w:val="00FB6D34"/>
    <w:rsid w:val="00FB7A74"/>
    <w:rsid w:val="00FC1CFE"/>
    <w:rsid w:val="00FC1DCA"/>
    <w:rsid w:val="00FC23B6"/>
    <w:rsid w:val="00FC3745"/>
    <w:rsid w:val="00FC41FB"/>
    <w:rsid w:val="00FC5727"/>
    <w:rsid w:val="00FC6032"/>
    <w:rsid w:val="00FC6873"/>
    <w:rsid w:val="00FC787F"/>
    <w:rsid w:val="00FD1496"/>
    <w:rsid w:val="00FD2064"/>
    <w:rsid w:val="00FD2E54"/>
    <w:rsid w:val="00FD308E"/>
    <w:rsid w:val="00FD42A1"/>
    <w:rsid w:val="00FD6C87"/>
    <w:rsid w:val="00FD7AC2"/>
    <w:rsid w:val="00FE15C4"/>
    <w:rsid w:val="00FE1C94"/>
    <w:rsid w:val="00FE272A"/>
    <w:rsid w:val="00FE31E3"/>
    <w:rsid w:val="00FE335C"/>
    <w:rsid w:val="00FE39F8"/>
    <w:rsid w:val="00FE3A46"/>
    <w:rsid w:val="00FE3C02"/>
    <w:rsid w:val="00FE4D2A"/>
    <w:rsid w:val="00FE6B57"/>
    <w:rsid w:val="00FE773E"/>
    <w:rsid w:val="00FE79ED"/>
    <w:rsid w:val="00FF036E"/>
    <w:rsid w:val="00FF08B7"/>
    <w:rsid w:val="00FF1B16"/>
    <w:rsid w:val="00FF1D1D"/>
    <w:rsid w:val="00FF1FB4"/>
    <w:rsid w:val="00FF2E92"/>
    <w:rsid w:val="00FF3A6D"/>
    <w:rsid w:val="00FF42B1"/>
    <w:rsid w:val="00FF4B38"/>
    <w:rsid w:val="00FF5BDB"/>
    <w:rsid w:val="00FF5D80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docId w15:val="{2F357ED3-0E82-49DB-8200-4C5151EE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0F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1A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basedOn w:val="Domylnaczcionkaakapitu"/>
    <w:rsid w:val="0051544B"/>
  </w:style>
  <w:style w:type="paragraph" w:styleId="Poprawka">
    <w:name w:val="Revision"/>
    <w:hidden/>
    <w:uiPriority w:val="99"/>
    <w:semiHidden/>
    <w:rsid w:val="00F26495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049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0499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7C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7C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7C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7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71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71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7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71B8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uiPriority w:val="99"/>
    <w:rsid w:val="00284D81"/>
    <w:rPr>
      <w:rFonts w:ascii="Arial" w:hAnsi="Arial" w:cs="Arial"/>
      <w:sz w:val="18"/>
      <w:szCs w:val="18"/>
      <w:u w:val="none"/>
    </w:rPr>
  </w:style>
  <w:style w:type="table" w:styleId="Tabela-Siatka">
    <w:name w:val="Table Grid"/>
    <w:basedOn w:val="Standardowy"/>
    <w:rsid w:val="00C90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12FBB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D0F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D27B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A564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A5643"/>
    <w:rPr>
      <w:rFonts w:ascii="Consolas" w:hAnsi="Consolas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1A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61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nie">
    <w:name w:val="Domy徑nie"/>
    <w:rsid w:val="00636731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 w:bidi="hi-IN"/>
    </w:rPr>
  </w:style>
  <w:style w:type="character" w:customStyle="1" w:styleId="cf01">
    <w:name w:val="cf01"/>
    <w:basedOn w:val="Domylnaczcionkaakapitu"/>
    <w:rsid w:val="00A33740"/>
    <w:rPr>
      <w:rFonts w:ascii="Segoe UI" w:hAnsi="Segoe UI" w:cs="Segoe UI" w:hint="default"/>
      <w:sz w:val="18"/>
      <w:szCs w:val="18"/>
    </w:rPr>
  </w:style>
  <w:style w:type="paragraph" w:customStyle="1" w:styleId="Teksttreci0">
    <w:name w:val="Tekst treści"/>
    <w:basedOn w:val="Normalny"/>
    <w:link w:val="Teksttreci"/>
    <w:uiPriority w:val="99"/>
    <w:rsid w:val="00FD6C87"/>
    <w:pPr>
      <w:widowControl w:val="0"/>
      <w:shd w:val="clear" w:color="auto" w:fill="FFFFFF"/>
      <w:spacing w:after="0" w:line="240" w:lineRule="exact"/>
      <w:ind w:firstLine="70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6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nzxgq2dqltqmfyc4nzugu3dgojyhe&amp;refSource=hyp" TargetMode="External"/><Relationship Id="rId13" Type="http://schemas.openxmlformats.org/officeDocument/2006/relationships/hyperlink" Target="https://sip.legalis.pl/document-view.seam?documentId=mfrxilrtg4zdanzxgq2dqltqmfyc4nzugu3dgojtgu&amp;refSource=hyp" TargetMode="External"/><Relationship Id="rId18" Type="http://schemas.openxmlformats.org/officeDocument/2006/relationships/hyperlink" Target="https://sip.legalis.pl/document-view.seam?documentId=mfrxilrtg4zdanzxgq2dqltqmfyc4nzugu3dgojtgu&amp;refSource=hyp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sip.legalis.pl/document-view.seam?documentId=mfrxilruguytemrug42c44dboaxdcmbxge2dsmzx&amp;refSource=hy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zdanzxgq2dqltqmfyc4nzugu3dimjyhe&amp;refSource=hyp" TargetMode="External"/><Relationship Id="rId17" Type="http://schemas.openxmlformats.org/officeDocument/2006/relationships/hyperlink" Target="https://sip.legalis.pl/document-view.seam?documentId=mfrxilrtg4zdanzxgq2dqltqmfyc4nzugu3dgojtha&amp;refSource=hyp" TargetMode="External"/><Relationship Id="rId25" Type="http://schemas.openxmlformats.org/officeDocument/2006/relationships/hyperlink" Target="https://sip.legalis.pl/document-view.seam?documentId=mfrxilrtg4zdcnrvha2t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zdanzxgq2dqltqmfyc4nzugu3dgojqhe&amp;refSource=hyp" TargetMode="External"/><Relationship Id="rId20" Type="http://schemas.openxmlformats.org/officeDocument/2006/relationships/hyperlink" Target="https://sip.legalis.pl/document-view.seam?documentId=mfrxilrtg4zdanzxgq2dqltqmfyc4nzugu3dgojtgu&amp;refSource=hyp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zdanzxgq2dqltqmfyc4nzugu3dimjyha&amp;refSource=hyp" TargetMode="External"/><Relationship Id="rId24" Type="http://schemas.openxmlformats.org/officeDocument/2006/relationships/hyperlink" Target="https://sip.legalis.pl/document-view.seam?documentId=mfrxilrtg4zdanzvgiy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zdanzxgq2dqltqmfyc4nzugu3dgojtgu&amp;refSource=hyp" TargetMode="External"/><Relationship Id="rId23" Type="http://schemas.openxmlformats.org/officeDocument/2006/relationships/hyperlink" Target="https://sip.legalis.pl/document-view.seam?documentId=mfrxilrtgiydqnrtgyyta&amp;refSource=hyp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sip.legalis.pl/document-view.seam?documentId=mfrxilrtg4zdanzxgq2dqltqmfyc4nzugu3dimbugi&amp;refSource=hyp" TargetMode="External"/><Relationship Id="rId19" Type="http://schemas.openxmlformats.org/officeDocument/2006/relationships/hyperlink" Target="https://sip.legalis.pl/document-view.seam?documentId=mfrxilrtg4zdanzxgq2dqltqmfyc4nzugu3dgojtgy&amp;refSource=hyp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zdanzxgq2dqltqmfyc4nzugu3dimbrgi&amp;refSource=hyp" TargetMode="External"/><Relationship Id="rId14" Type="http://schemas.openxmlformats.org/officeDocument/2006/relationships/hyperlink" Target="https://sip.legalis.pl/document-view.seam?documentId=mfrxilrtg4zdanzxgq2dqltqmfyc4nzugu3dgojtgu&amp;refSource=hyp" TargetMode="External"/><Relationship Id="rId22" Type="http://schemas.openxmlformats.org/officeDocument/2006/relationships/hyperlink" Target="https://sip.legalis.pl/document-view.seam?documentId=mfrxilrtg4zdanzuhaydi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8004</Words>
  <Characters>48025</Characters>
  <Application>Microsoft Office Word</Application>
  <DocSecurity>0</DocSecurity>
  <Lines>400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7</cp:revision>
  <cp:lastPrinted>2026-01-16T14:42:00Z</cp:lastPrinted>
  <dcterms:created xsi:type="dcterms:W3CDTF">2026-01-20T13:56:00Z</dcterms:created>
  <dcterms:modified xsi:type="dcterms:W3CDTF">2026-01-20T14:08:00Z</dcterms:modified>
</cp:coreProperties>
</file>