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973D4" w14:textId="77777777" w:rsidR="00377279" w:rsidRPr="001A1D44" w:rsidRDefault="00123B9F" w:rsidP="00655308">
      <w:pPr>
        <w:spacing w:line="360" w:lineRule="auto"/>
        <w:ind w:left="5103"/>
        <w:outlineLvl w:val="0"/>
        <w:rPr>
          <w:rFonts w:cs="Arial"/>
        </w:rPr>
      </w:pPr>
      <w:r>
        <w:rPr>
          <w:rFonts w:cs="Arial"/>
        </w:rPr>
        <w:t>d</w:t>
      </w:r>
      <w:r w:rsidRPr="001A1D44">
        <w:rPr>
          <w:rFonts w:cs="Arial"/>
        </w:rPr>
        <w:t>at</w:t>
      </w:r>
      <w:r>
        <w:rPr>
          <w:rFonts w:cs="Arial"/>
        </w:rPr>
        <w:t xml:space="preserve">a: </w:t>
      </w:r>
      <w:bookmarkStart w:id="0" w:name="ezdDataPodpisu"/>
      <w:bookmarkEnd w:id="0"/>
    </w:p>
    <w:p w14:paraId="6B0D77C3" w14:textId="77777777" w:rsidR="00CF1FE3" w:rsidRDefault="00123B9F" w:rsidP="00655308">
      <w:pPr>
        <w:spacing w:line="360" w:lineRule="auto"/>
        <w:ind w:left="5103"/>
        <w:outlineLvl w:val="0"/>
        <w:rPr>
          <w:rFonts w:cs="Arial"/>
        </w:rPr>
      </w:pPr>
      <w:r>
        <w:rPr>
          <w:rFonts w:cs="Arial"/>
        </w:rPr>
        <w:t>z</w:t>
      </w:r>
      <w:r w:rsidRPr="001A1D44">
        <w:rPr>
          <w:rFonts w:cs="Arial"/>
        </w:rPr>
        <w:t>nak sprawy</w:t>
      </w:r>
      <w:r>
        <w:rPr>
          <w:rFonts w:cs="Arial"/>
        </w:rPr>
        <w:t xml:space="preserve">: </w:t>
      </w:r>
      <w:bookmarkStart w:id="1" w:name="ezdSprawaZnak"/>
      <w:r>
        <w:rPr>
          <w:rFonts w:cs="Arial"/>
        </w:rPr>
        <w:t>DRC-IVa.6610.1.8.2022</w:t>
      </w:r>
      <w:bookmarkEnd w:id="1"/>
    </w:p>
    <w:p w14:paraId="00AE10C5" w14:textId="285CD08A" w:rsidR="00A8625B" w:rsidRPr="00CF1FE3" w:rsidRDefault="00E02C38" w:rsidP="009F4C6E">
      <w:pPr>
        <w:spacing w:after="600" w:line="360" w:lineRule="auto"/>
        <w:outlineLvl w:val="0"/>
        <w:rPr>
          <w:rFonts w:cs="Arial"/>
        </w:rPr>
      </w:pPr>
    </w:p>
    <w:p w14:paraId="30C61149" w14:textId="230DB16E" w:rsidR="001A1D44" w:rsidRPr="002E5F72" w:rsidRDefault="00123B9F" w:rsidP="009F4C6E">
      <w:pPr>
        <w:spacing w:line="276" w:lineRule="auto"/>
        <w:ind w:left="5103"/>
        <w:rPr>
          <w:rFonts w:cs="Arial"/>
          <w:b/>
          <w:bCs/>
        </w:rPr>
      </w:pPr>
      <w:r w:rsidRPr="002E5F72">
        <w:rPr>
          <w:rFonts w:cs="Arial"/>
          <w:b/>
          <w:bCs/>
        </w:rPr>
        <w:t>Pan</w:t>
      </w:r>
      <w:r w:rsidR="009F4C6E" w:rsidRPr="002E5F72">
        <w:rPr>
          <w:rFonts w:cs="Arial"/>
          <w:b/>
          <w:bCs/>
        </w:rPr>
        <w:t xml:space="preserve"> Włodzimierz Popiołek</w:t>
      </w:r>
    </w:p>
    <w:p w14:paraId="5F5C81D4" w14:textId="6827AFC3" w:rsidR="009F4C6E" w:rsidRPr="002E5F72" w:rsidRDefault="009F4C6E" w:rsidP="009F4C6E">
      <w:pPr>
        <w:spacing w:line="276" w:lineRule="auto"/>
        <w:ind w:left="5103"/>
        <w:rPr>
          <w:rFonts w:cs="Arial"/>
          <w:b/>
          <w:bCs/>
        </w:rPr>
      </w:pPr>
      <w:r w:rsidRPr="002E5F72">
        <w:rPr>
          <w:rFonts w:cs="Arial"/>
          <w:b/>
          <w:bCs/>
        </w:rPr>
        <w:t>Wójt Gminy Kołobrzeg</w:t>
      </w:r>
    </w:p>
    <w:p w14:paraId="3991EE72" w14:textId="07E4B277" w:rsidR="001A1D44" w:rsidRPr="001A1D44" w:rsidRDefault="00123B9F" w:rsidP="006B2523">
      <w:pPr>
        <w:tabs>
          <w:tab w:val="center" w:pos="1848"/>
          <w:tab w:val="left" w:pos="5273"/>
        </w:tabs>
        <w:spacing w:before="480" w:after="240" w:line="360" w:lineRule="auto"/>
        <w:outlineLvl w:val="0"/>
        <w:rPr>
          <w:rFonts w:cs="Arial"/>
        </w:rPr>
      </w:pPr>
      <w:r>
        <w:rPr>
          <w:rFonts w:cs="Arial"/>
          <w:b/>
        </w:rPr>
        <w:t xml:space="preserve">Dotyczy: </w:t>
      </w:r>
      <w:r w:rsidR="009F4C6E">
        <w:rPr>
          <w:rFonts w:cs="Arial"/>
          <w:b/>
        </w:rPr>
        <w:t>petycji w sprawie rozbudowy infrastruktury światłowodowej w miejscowości Karcino w ramach Programu Operacyjnego Polska Cyfrowa na lata 2014-2020 (POPC).</w:t>
      </w:r>
    </w:p>
    <w:p w14:paraId="2E7550FD" w14:textId="626F9FE4" w:rsidR="009B5595" w:rsidRDefault="00123B9F" w:rsidP="00655308">
      <w:pPr>
        <w:spacing w:before="120" w:after="120" w:line="360" w:lineRule="auto"/>
        <w:rPr>
          <w:rFonts w:cs="Arial"/>
        </w:rPr>
      </w:pPr>
      <w:r>
        <w:rPr>
          <w:rFonts w:cs="Arial"/>
        </w:rPr>
        <w:t>Szanowny Panie</w:t>
      </w:r>
      <w:r w:rsidR="009F4C6E">
        <w:rPr>
          <w:rFonts w:cs="Arial"/>
        </w:rPr>
        <w:t xml:space="preserve"> Wójcie</w:t>
      </w:r>
      <w:r>
        <w:rPr>
          <w:rFonts w:cs="Arial"/>
        </w:rPr>
        <w:t>,</w:t>
      </w:r>
    </w:p>
    <w:p w14:paraId="6F372944" w14:textId="3323C1E6" w:rsidR="006B2523" w:rsidRDefault="006B2523" w:rsidP="006B2523">
      <w:pPr>
        <w:spacing w:before="120" w:after="120" w:line="360" w:lineRule="auto"/>
        <w:rPr>
          <w:rFonts w:cs="Arial"/>
        </w:rPr>
      </w:pPr>
      <w:r w:rsidRPr="008E6557">
        <w:rPr>
          <w:rFonts w:cs="Arial"/>
        </w:rPr>
        <w:t>dofinansowanie w ramach I osi POPC w formie dotacji (pomocy bezzwrotnej) udzielane jest przedsiębiorcom telekomunikacyjnym na realizację projektów polegających na rozwoju infrastruktury szerokopasmowej na obszarach, na których nie można korzystać z dostępu do internetu o przepustowości co najmniej 30 Mb/s. Lista takich obszarów opracowywana jest na podstawie danych uzyskiwanych w trakcie inwentaryzacji prowadzonej przez</w:t>
      </w:r>
      <w:r w:rsidR="001B455C">
        <w:rPr>
          <w:rFonts w:cs="Arial"/>
        </w:rPr>
        <w:t xml:space="preserve"> </w:t>
      </w:r>
      <w:r w:rsidRPr="008E6557">
        <w:rPr>
          <w:rFonts w:cs="Arial"/>
        </w:rPr>
        <w:t>Urz</w:t>
      </w:r>
      <w:r w:rsidR="001B455C">
        <w:rPr>
          <w:rFonts w:cs="Arial"/>
        </w:rPr>
        <w:t>ą</w:t>
      </w:r>
      <w:r w:rsidRPr="008E6557">
        <w:rPr>
          <w:rFonts w:cs="Arial"/>
        </w:rPr>
        <w:t>d Komunikacji Elektronicznej</w:t>
      </w:r>
      <w:r>
        <w:rPr>
          <w:rFonts w:cs="Arial"/>
        </w:rPr>
        <w:t xml:space="preserve"> </w:t>
      </w:r>
      <w:r w:rsidR="00065B29">
        <w:rPr>
          <w:rFonts w:cs="Arial"/>
        </w:rPr>
        <w:t xml:space="preserve">(UKE) </w:t>
      </w:r>
      <w:r w:rsidRPr="008E6557">
        <w:rPr>
          <w:rFonts w:cs="Arial"/>
        </w:rPr>
        <w:t>oraz konsultacji społecznych prowadzonych przez Kancelarię Prezesa Rady Ministrów (Cyfryzacja KPRM). W ramach naboru wniosków o dofinansowanie projektów szerokopasmowych określa się listę obszarów konkursowych. Dla każdego z tych obszarów zdefiniowana jest m.in.: całkowita liczba gospodarstw domowych możliwych do objęcia zasięgiem. Przedsiębiorcy telekomunikacyjni w składanych wnioskach o dofinansowanie deklarowali liczbę gospodarstw domowych (punktów adresowych), które uzyskają możliwość dostępu do szerokopasmowego internetu dzięki projektowanej przez nich infrastrukturze telekomunikacyjnej. Jednym z czynników, który decydował o tym, który z wniosków otrzyma dofinansowanie było objęcie zasięgiem sieci jak największej liczby gospodarstw domowych na danym obszarze konkursowym.</w:t>
      </w:r>
    </w:p>
    <w:p w14:paraId="323702E0" w14:textId="77777777" w:rsidR="006B2523" w:rsidRDefault="006B2523" w:rsidP="006B2523">
      <w:pPr>
        <w:spacing w:before="120" w:after="120" w:line="360" w:lineRule="auto"/>
        <w:rPr>
          <w:rFonts w:cs="Arial"/>
        </w:rPr>
      </w:pPr>
      <w:r w:rsidRPr="00264A69">
        <w:rPr>
          <w:rFonts w:cs="Arial"/>
        </w:rPr>
        <w:t>Decyzja o wyborze konkretnych punktów adresowych, które zostaną objęte zasięgiem tworzonej infrastruktury telekomunikacyjnej w ramach POPC należy wyłącznie do beneficjenta (firmy odpowiedzialnej za realizację projektu). Często jest ona podyktowana lokalnymi warunkami inwestycyjnymi, takimi jak możliwość pozyskania zgód na przejście przez teren, możliwościami technicznymi oraz opłacalnością inwestycji.</w:t>
      </w:r>
      <w:r>
        <w:rPr>
          <w:rFonts w:cs="Arial"/>
        </w:rPr>
        <w:t xml:space="preserve"> </w:t>
      </w:r>
      <w:r w:rsidRPr="00264A69">
        <w:rPr>
          <w:rFonts w:cs="Arial"/>
        </w:rPr>
        <w:t xml:space="preserve">Ministerstwo Funduszy i Polityki Regionalnej jako Instytucja Zarządzająca POPC oraz pozostałe </w:t>
      </w:r>
      <w:r w:rsidRPr="00264A69">
        <w:rPr>
          <w:rFonts w:cs="Arial"/>
        </w:rPr>
        <w:lastRenderedPageBreak/>
        <w:t xml:space="preserve">instytucje zaangażowane we wdrażanie Programu nie mają możliwości wywierania wpływu na </w:t>
      </w:r>
      <w:r>
        <w:rPr>
          <w:rFonts w:cs="Arial"/>
        </w:rPr>
        <w:t>b</w:t>
      </w:r>
      <w:r w:rsidRPr="00264A69">
        <w:rPr>
          <w:rFonts w:cs="Arial"/>
        </w:rPr>
        <w:t>eneficjenta w tym zakresie.</w:t>
      </w:r>
      <w:r>
        <w:rPr>
          <w:rFonts w:cs="Arial"/>
        </w:rPr>
        <w:t xml:space="preserve"> </w:t>
      </w:r>
    </w:p>
    <w:p w14:paraId="037617E1" w14:textId="34677FCE" w:rsidR="006B2523" w:rsidRDefault="006B2523" w:rsidP="006B2523">
      <w:pPr>
        <w:spacing w:before="120" w:after="120" w:line="360" w:lineRule="auto"/>
        <w:rPr>
          <w:rFonts w:cs="Arial"/>
        </w:rPr>
      </w:pPr>
      <w:r>
        <w:rPr>
          <w:rFonts w:cs="Arial"/>
        </w:rPr>
        <w:t xml:space="preserve">Na podstawie informacji </w:t>
      </w:r>
      <w:r w:rsidR="001B455C">
        <w:rPr>
          <w:rFonts w:cs="Arial"/>
        </w:rPr>
        <w:t xml:space="preserve">udzielonych przez </w:t>
      </w:r>
      <w:r>
        <w:rPr>
          <w:rFonts w:cs="Arial"/>
        </w:rPr>
        <w:t xml:space="preserve">Centrum Projektów Polska Cyfrowa (CPPC – Instytucja </w:t>
      </w:r>
      <w:r w:rsidRPr="00E43E6B">
        <w:rPr>
          <w:rFonts w:cs="Arial"/>
        </w:rPr>
        <w:t>odpowiedzialna za przygotowanie i przeprowadzenie naborów oraz wybór projektów</w:t>
      </w:r>
      <w:r>
        <w:rPr>
          <w:rFonts w:cs="Arial"/>
        </w:rPr>
        <w:t xml:space="preserve"> do dofinansowania</w:t>
      </w:r>
      <w:r w:rsidRPr="00E43E6B">
        <w:rPr>
          <w:rFonts w:cs="Arial"/>
        </w:rPr>
        <w:t>)</w:t>
      </w:r>
      <w:r>
        <w:rPr>
          <w:rFonts w:cs="Arial"/>
        </w:rPr>
        <w:t xml:space="preserve">, 12 punktów adresowych wskazanych w petycji, </w:t>
      </w:r>
      <w:r w:rsidRPr="002E5F72">
        <w:rPr>
          <w:rFonts w:cs="Arial"/>
        </w:rPr>
        <w:t>tzn.</w:t>
      </w:r>
      <w:r w:rsidRPr="002E5F72">
        <w:rPr>
          <w:rFonts w:cs="Arial"/>
          <w:b/>
          <w:bCs/>
          <w:strike/>
        </w:rPr>
        <w:t xml:space="preserve"> </w:t>
      </w:r>
      <w:r w:rsidR="002E5F72" w:rsidRPr="002E5F72">
        <w:rPr>
          <w:rFonts w:cs="Arial"/>
          <w:b/>
          <w:bCs/>
          <w:strike/>
        </w:rPr>
        <w:t>…………………………………………………………………………..</w:t>
      </w:r>
      <w:r w:rsidRPr="002E5F72">
        <w:rPr>
          <w:rFonts w:cs="Arial"/>
        </w:rPr>
        <w:t xml:space="preserve"> </w:t>
      </w:r>
      <w:r>
        <w:rPr>
          <w:rFonts w:cs="Arial"/>
        </w:rPr>
        <w:t xml:space="preserve">zostało uwzględnionych w puli punktów adresowych, wyznaczonych na potrzeby III konkursu dla działania 1.1 POPC. Zgodnie z zasadami konkursu nie zostały one jednak wybrane przez beneficjenta – firmę ASTA-NET S.A. do objęcia zasięgiem przez budowaną infrastrukturę szerokopasmową. </w:t>
      </w:r>
      <w:r w:rsidRPr="00FD6468">
        <w:rPr>
          <w:rFonts w:cs="Arial"/>
        </w:rPr>
        <w:t>Zgodnie z umową o dofinansowanie firma ASTA-NET S.A. ma prawo do rozszerzenia zakresu projektu pn. „Zapewnienie dostępu do szerokopasmowego Internetu na obszarze koszalińskim województwa zachodniopomorskiego” o inne punkty adresowe znajdujące się w bezpośrednim sąsiedztwie prowadzonej inwestycji. Koszty związane z ewentualnym rozszerzeniem zakresu projektu nie podlegają jednak dofinansowaniu w ramach umowy zawartej z CPPC, lecz są finansowane ze środków własnych przedsiębiorcy.</w:t>
      </w:r>
    </w:p>
    <w:p w14:paraId="647ED7AC" w14:textId="10195D93" w:rsidR="006B2523" w:rsidRDefault="006B2523" w:rsidP="006B2523">
      <w:pPr>
        <w:spacing w:before="120" w:line="360" w:lineRule="auto"/>
        <w:rPr>
          <w:rFonts w:cs="Arial"/>
        </w:rPr>
      </w:pPr>
      <w:r>
        <w:rPr>
          <w:rFonts w:cs="Arial"/>
        </w:rPr>
        <w:t xml:space="preserve">Pozostałe punkty adresowe wskazane w petycji, </w:t>
      </w:r>
      <w:proofErr w:type="spellStart"/>
      <w:r w:rsidRPr="002E5F72">
        <w:rPr>
          <w:rFonts w:cs="Arial"/>
        </w:rPr>
        <w:t>tzn</w:t>
      </w:r>
      <w:proofErr w:type="spellEnd"/>
      <w:r w:rsidR="002E5F72">
        <w:rPr>
          <w:rFonts w:cs="Arial"/>
        </w:rPr>
        <w:t xml:space="preserve">                                                            </w:t>
      </w:r>
      <w:r w:rsidR="002E5F72">
        <w:rPr>
          <w:rFonts w:cs="Arial"/>
        </w:rPr>
        <w:br/>
        <w:t xml:space="preserve">                                                                                             </w:t>
      </w:r>
      <w:r>
        <w:rPr>
          <w:rFonts w:cs="Arial"/>
        </w:rPr>
        <w:t xml:space="preserve"> nie zostały uwzględnione w puli punktów adresowych wyznaczonych na potrzeby konkursów dla działania 1.1 POPC. Mogło być to spowodowane m.in. tym, że ww. punkty adresowe:</w:t>
      </w:r>
    </w:p>
    <w:p w14:paraId="7124BF84" w14:textId="0A37608E" w:rsidR="006B2523" w:rsidRPr="0000090D" w:rsidRDefault="006B2523" w:rsidP="006B2523">
      <w:pPr>
        <w:pStyle w:val="Akapitzlist"/>
        <w:numPr>
          <w:ilvl w:val="0"/>
          <w:numId w:val="5"/>
        </w:numPr>
        <w:spacing w:line="360" w:lineRule="auto"/>
        <w:ind w:left="284" w:hanging="284"/>
        <w:rPr>
          <w:rFonts w:cs="Arial"/>
        </w:rPr>
      </w:pPr>
      <w:r>
        <w:rPr>
          <w:rFonts w:cs="Arial"/>
        </w:rPr>
        <w:t xml:space="preserve">w okresie wyznaczania obszarów wsparcia nie występowały w </w:t>
      </w:r>
      <w:r w:rsidRPr="0000090D">
        <w:rPr>
          <w:rFonts w:cs="Arial"/>
        </w:rPr>
        <w:t xml:space="preserve">referencyjnych bazach adresowych </w:t>
      </w:r>
      <w:r w:rsidR="001B455C">
        <w:rPr>
          <w:rFonts w:cs="Arial"/>
        </w:rPr>
        <w:t>Głównego Geodety Kraju (</w:t>
      </w:r>
      <w:r w:rsidRPr="0000090D">
        <w:rPr>
          <w:rFonts w:cs="Arial"/>
        </w:rPr>
        <w:t xml:space="preserve">PRG </w:t>
      </w:r>
      <w:r w:rsidR="001B455C">
        <w:rPr>
          <w:rFonts w:cs="Arial"/>
        </w:rPr>
        <w:t>– Państwowy rejestr granic i powierzchni jednostek podziałów terytorialnych kraju) oraz</w:t>
      </w:r>
      <w:r w:rsidRPr="0000090D">
        <w:rPr>
          <w:rFonts w:cs="Arial"/>
        </w:rPr>
        <w:t xml:space="preserve"> </w:t>
      </w:r>
      <w:r w:rsidR="001B455C">
        <w:rPr>
          <w:rFonts w:cs="Arial"/>
        </w:rPr>
        <w:t>Prezesa Głównego Urzędu Statystycznego (</w:t>
      </w:r>
      <w:r w:rsidRPr="0000090D">
        <w:rPr>
          <w:rFonts w:cs="Arial"/>
        </w:rPr>
        <w:t>NOBC</w:t>
      </w:r>
      <w:r w:rsidR="001B455C">
        <w:rPr>
          <w:rFonts w:cs="Arial"/>
        </w:rPr>
        <w:t xml:space="preserve"> - System identyfikacji adresowej ulic, nieruchomości, budynków i mieszkań), </w:t>
      </w:r>
      <w:r w:rsidRPr="0000090D">
        <w:rPr>
          <w:rFonts w:cs="Arial"/>
        </w:rPr>
        <w:t xml:space="preserve">np. nowo powstałe budynki oraz budynki w budowie, </w:t>
      </w:r>
    </w:p>
    <w:p w14:paraId="29D42995" w14:textId="77777777" w:rsidR="006B2523" w:rsidRDefault="006B2523" w:rsidP="006B2523">
      <w:pPr>
        <w:pStyle w:val="Akapitzlist"/>
        <w:numPr>
          <w:ilvl w:val="0"/>
          <w:numId w:val="5"/>
        </w:numPr>
        <w:spacing w:line="360" w:lineRule="auto"/>
        <w:ind w:left="284" w:hanging="284"/>
        <w:contextualSpacing w:val="0"/>
        <w:rPr>
          <w:rFonts w:cs="Arial"/>
        </w:rPr>
      </w:pPr>
      <w:r>
        <w:rPr>
          <w:rFonts w:cs="Arial"/>
        </w:rPr>
        <w:t>znajdują się w pobliżu istniejących sieci szerokopasmowych i mogą zostać do nich podłączone,</w:t>
      </w:r>
    </w:p>
    <w:p w14:paraId="4B4C1212" w14:textId="77777777" w:rsidR="006B2523" w:rsidRDefault="006B2523" w:rsidP="006B2523">
      <w:pPr>
        <w:pStyle w:val="Akapitzlist"/>
        <w:numPr>
          <w:ilvl w:val="0"/>
          <w:numId w:val="5"/>
        </w:numPr>
        <w:spacing w:line="360" w:lineRule="auto"/>
        <w:ind w:left="284" w:hanging="284"/>
        <w:contextualSpacing w:val="0"/>
        <w:rPr>
          <w:rFonts w:cs="Arial"/>
        </w:rPr>
      </w:pPr>
      <w:r>
        <w:rPr>
          <w:rFonts w:cs="Arial"/>
        </w:rPr>
        <w:t>zostały uznane za opłacalne komercyjnie, co oznacza, że istnieje realna szansa na ich przyłączenie do sieci tworzonych w ramach prywatnych inwestycji operatorów telekomunikacyjnych,</w:t>
      </w:r>
    </w:p>
    <w:p w14:paraId="405E0751" w14:textId="77777777" w:rsidR="006B2523" w:rsidRDefault="006B2523" w:rsidP="006B2523">
      <w:pPr>
        <w:pStyle w:val="Akapitzlist"/>
        <w:numPr>
          <w:ilvl w:val="0"/>
          <w:numId w:val="5"/>
        </w:numPr>
        <w:spacing w:line="360" w:lineRule="auto"/>
        <w:ind w:left="284" w:hanging="284"/>
        <w:contextualSpacing w:val="0"/>
        <w:rPr>
          <w:rFonts w:cs="Arial"/>
        </w:rPr>
      </w:pPr>
      <w:r>
        <w:rPr>
          <w:rFonts w:cs="Arial"/>
        </w:rPr>
        <w:t>zostały zgłoszone jako planowane do objęcia inwestycją komercyjną przez przedsiębiorców telekomunikacyjnych w trakcie konsultacji społecznych prowadzonych przez Kancelarię Prezesa Rady Ministrów,</w:t>
      </w:r>
    </w:p>
    <w:p w14:paraId="724B92E7" w14:textId="77777777" w:rsidR="006B2523" w:rsidRDefault="006B2523" w:rsidP="006B2523">
      <w:pPr>
        <w:pStyle w:val="Akapitzlist"/>
        <w:numPr>
          <w:ilvl w:val="0"/>
          <w:numId w:val="5"/>
        </w:numPr>
        <w:spacing w:line="360" w:lineRule="auto"/>
        <w:ind w:left="284" w:hanging="284"/>
        <w:contextualSpacing w:val="0"/>
        <w:rPr>
          <w:rFonts w:cs="Arial"/>
        </w:rPr>
      </w:pPr>
      <w:r>
        <w:rPr>
          <w:rFonts w:cs="Arial"/>
        </w:rPr>
        <w:t>znajdują się w zasięgu infrastruktury o przepustowości co najmniej 30 Mb/s,</w:t>
      </w:r>
    </w:p>
    <w:p w14:paraId="584F9802" w14:textId="77777777" w:rsidR="006B2523" w:rsidRDefault="006B2523" w:rsidP="006B2523">
      <w:pPr>
        <w:pStyle w:val="Akapitzlist"/>
        <w:numPr>
          <w:ilvl w:val="0"/>
          <w:numId w:val="5"/>
        </w:numPr>
        <w:spacing w:after="120" w:line="360" w:lineRule="auto"/>
        <w:ind w:left="284" w:hanging="284"/>
        <w:contextualSpacing w:val="0"/>
        <w:rPr>
          <w:rFonts w:cs="Arial"/>
        </w:rPr>
      </w:pPr>
      <w:r>
        <w:rPr>
          <w:rFonts w:cs="Arial"/>
        </w:rPr>
        <w:t>były objęte wcześniejszymi działaniami (projekty w trakcie realizacji lub w okresie trwałości).</w:t>
      </w:r>
    </w:p>
    <w:p w14:paraId="00877ABE" w14:textId="5AEEE9DE" w:rsidR="006B2523" w:rsidRDefault="006B2523" w:rsidP="006B2523">
      <w:pPr>
        <w:spacing w:before="120" w:after="120" w:line="360" w:lineRule="auto"/>
        <w:rPr>
          <w:rFonts w:cs="Arial"/>
        </w:rPr>
      </w:pPr>
      <w:r w:rsidRPr="006A6A0F">
        <w:rPr>
          <w:rFonts w:cs="Arial"/>
        </w:rPr>
        <w:t>Z powodu wyczerpania środków, nie są już planowane nowe nabory wniosków o</w:t>
      </w:r>
      <w:r>
        <w:rPr>
          <w:rFonts w:cs="Arial"/>
        </w:rPr>
        <w:t> </w:t>
      </w:r>
      <w:r w:rsidRPr="006A6A0F">
        <w:rPr>
          <w:rFonts w:cs="Arial"/>
        </w:rPr>
        <w:t xml:space="preserve">dofinansowanie </w:t>
      </w:r>
      <w:r>
        <w:rPr>
          <w:rFonts w:cs="Arial"/>
        </w:rPr>
        <w:t xml:space="preserve">projektów szerokopasmowych </w:t>
      </w:r>
      <w:r w:rsidRPr="006A6A0F">
        <w:rPr>
          <w:rFonts w:cs="Arial"/>
        </w:rPr>
        <w:t>w ramach POPC. Należy przy tym zaznaczyć, że ze środków POPC udzielana jest również pożyczka szerokopasmowa. To</w:t>
      </w:r>
      <w:r>
        <w:rPr>
          <w:rFonts w:cs="Arial"/>
        </w:rPr>
        <w:t> </w:t>
      </w:r>
      <w:r w:rsidRPr="006A6A0F">
        <w:rPr>
          <w:rFonts w:cs="Arial"/>
        </w:rPr>
        <w:t>preferencyjne finansowanie</w:t>
      </w:r>
      <w:r w:rsidR="001B455C">
        <w:rPr>
          <w:rFonts w:cs="Arial"/>
        </w:rPr>
        <w:t xml:space="preserve"> </w:t>
      </w:r>
      <w:r w:rsidRPr="006A6A0F">
        <w:rPr>
          <w:rFonts w:cs="Arial"/>
        </w:rPr>
        <w:t>skierowane do firm telekomunikacyjnych oraz jednostek samorządu terytorialnego, wpisanych do rejestru prowadzonego przez U</w:t>
      </w:r>
      <w:r w:rsidR="00065B29">
        <w:rPr>
          <w:rFonts w:cs="Arial"/>
        </w:rPr>
        <w:t>KE</w:t>
      </w:r>
      <w:r w:rsidRPr="006A6A0F">
        <w:rPr>
          <w:rFonts w:cs="Arial"/>
        </w:rPr>
        <w:t>. Pożyczką szerokopasmową mogą zostać sfinansowane przedsięwzięcia obejmujące rozwój infrastruktury telekomunikacyjnej realizowane na terenie całej Polski. Za wdrażanie instrumentu odpowiada Bank Gospodarstwa Krajowego, a pożyczek udzielają pośrednicy finansowi.</w:t>
      </w:r>
    </w:p>
    <w:p w14:paraId="616BB35B" w14:textId="32A31348" w:rsidR="00C73093" w:rsidRPr="0062142A" w:rsidRDefault="006B2523" w:rsidP="00C73093">
      <w:pPr>
        <w:spacing w:before="120" w:after="120" w:line="360" w:lineRule="auto"/>
        <w:rPr>
          <w:rFonts w:cs="Arial"/>
        </w:rPr>
      </w:pPr>
      <w:r w:rsidRPr="00AD6EB9">
        <w:rPr>
          <w:rFonts w:cs="Arial"/>
        </w:rPr>
        <w:t>W najbliższych latach planowane jest dalsze wsparcie dla rozwoju nowoczesnej infrastruktury telekomunikacyjnej ze środków kilku instrumentów – m.in. programu Fundusze Europejskie na Rozwój Cyfrowy 2021-2027 oraz Krajowego Planu Odbudowy i Zwiększania Odporności. W ramach tych instrumentów zakłada się kontynuowanie finansowania projektów umożliwiających jak najszerszy dostęp do szerokopasmowego internetu na obszarach, gdzie stwierdzono niedoskonałość rynku w zakresie dostępu do internetu o wysokich przepustowościach. Listy punktów adresowych, które nie mają dostępu do</w:t>
      </w:r>
      <w:r w:rsidR="001B455C">
        <w:rPr>
          <w:rFonts w:cs="Arial"/>
        </w:rPr>
        <w:t xml:space="preserve"> </w:t>
      </w:r>
      <w:r w:rsidRPr="00AD6EB9">
        <w:rPr>
          <w:rFonts w:cs="Arial"/>
        </w:rPr>
        <w:t xml:space="preserve">internetu </w:t>
      </w:r>
      <w:r w:rsidR="001B455C">
        <w:rPr>
          <w:rFonts w:cs="Arial"/>
        </w:rPr>
        <w:t xml:space="preserve">szerokopasmowego </w:t>
      </w:r>
      <w:r w:rsidRPr="00AD6EB9">
        <w:rPr>
          <w:rFonts w:cs="Arial"/>
        </w:rPr>
        <w:t xml:space="preserve">zostaną wyznaczone ponownie. Planowany termin rozpoczęcia wsparcia dla projektów </w:t>
      </w:r>
      <w:r>
        <w:rPr>
          <w:rFonts w:cs="Arial"/>
        </w:rPr>
        <w:t>szerokopasmowych</w:t>
      </w:r>
      <w:r w:rsidRPr="00AD6EB9">
        <w:rPr>
          <w:rFonts w:cs="Arial"/>
        </w:rPr>
        <w:t xml:space="preserve"> w ramach ww. programów to przełom 202</w:t>
      </w:r>
      <w:r>
        <w:rPr>
          <w:rFonts w:cs="Arial"/>
        </w:rPr>
        <w:t xml:space="preserve">2 i </w:t>
      </w:r>
      <w:r w:rsidRPr="00AD6EB9">
        <w:rPr>
          <w:rFonts w:cs="Arial"/>
        </w:rPr>
        <w:t>2023 rok</w:t>
      </w:r>
      <w:r>
        <w:rPr>
          <w:rFonts w:cs="Arial"/>
        </w:rPr>
        <w:t>u</w:t>
      </w:r>
      <w:r w:rsidRPr="00AD6EB9">
        <w:rPr>
          <w:rFonts w:cs="Arial"/>
        </w:rPr>
        <w:t>.</w:t>
      </w:r>
    </w:p>
    <w:p w14:paraId="7BCC93B4" w14:textId="77777777" w:rsidR="0031373D" w:rsidRDefault="00123B9F" w:rsidP="0031373D">
      <w:pPr>
        <w:spacing w:before="480" w:after="480" w:line="360" w:lineRule="auto"/>
        <w:ind w:left="5103"/>
        <w:rPr>
          <w:rFonts w:cs="Arial"/>
        </w:rPr>
      </w:pPr>
      <w:r>
        <w:rPr>
          <w:rFonts w:cs="Arial"/>
        </w:rPr>
        <w:t>Z poważaniem</w:t>
      </w:r>
    </w:p>
    <w:p w14:paraId="724B64F0" w14:textId="77777777" w:rsidR="008C4774" w:rsidRDefault="00E02C38" w:rsidP="008C4774">
      <w:pPr>
        <w:spacing w:after="120" w:line="360" w:lineRule="auto"/>
        <w:ind w:left="5103"/>
        <w:rPr>
          <w:rFonts w:cs="Arial"/>
        </w:rPr>
      </w:pPr>
      <w:bookmarkStart w:id="2" w:name="ezdPracownikNazwa"/>
      <w:bookmarkEnd w:id="2"/>
    </w:p>
    <w:p w14:paraId="65F63279" w14:textId="51CA7431" w:rsidR="00C73093" w:rsidRDefault="00123B9F" w:rsidP="006B2523">
      <w:pPr>
        <w:spacing w:after="120" w:line="360" w:lineRule="auto"/>
        <w:ind w:left="5103"/>
        <w:rPr>
          <w:rFonts w:cs="Arial"/>
        </w:rPr>
      </w:pPr>
      <w:r>
        <w:rPr>
          <w:rFonts w:cs="Arial"/>
        </w:rPr>
        <w:t>/podpisano elektronicznie/</w:t>
      </w:r>
    </w:p>
    <w:sectPr w:rsidR="00C73093" w:rsidSect="00FF1DDF">
      <w:footerReference w:type="even" r:id="rId8"/>
      <w:footerReference w:type="default" r:id="rId9"/>
      <w:headerReference w:type="first" r:id="rId10"/>
      <w:footerReference w:type="first" r:id="rId11"/>
      <w:type w:val="continuous"/>
      <w:pgSz w:w="11906" w:h="16838" w:code="9"/>
      <w:pgMar w:top="1134" w:right="1134" w:bottom="1446" w:left="1134" w:header="0" w:footer="1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D482A" w14:textId="77777777" w:rsidR="00E02C38" w:rsidRDefault="00E02C38">
      <w:r>
        <w:separator/>
      </w:r>
    </w:p>
  </w:endnote>
  <w:endnote w:type="continuationSeparator" w:id="0">
    <w:p w14:paraId="64B71AC5" w14:textId="77777777" w:rsidR="00E02C38" w:rsidRDefault="00E02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AB96A" w14:textId="77777777" w:rsidR="00C9356A" w:rsidRDefault="00123B9F" w:rsidP="00FF1DD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31D7FFCF" w14:textId="77777777" w:rsidR="00C9356A" w:rsidRDefault="00E02C3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1335674383"/>
      <w:docPartObj>
        <w:docPartGallery w:val="Page Numbers (Bottom of Page)"/>
        <w:docPartUnique/>
      </w:docPartObj>
    </w:sdtPr>
    <w:sdtEndPr/>
    <w:sdtContent>
      <w:p w14:paraId="570C95A6" w14:textId="77777777" w:rsidR="00DC6757" w:rsidRPr="00AC16A0" w:rsidRDefault="00123B9F">
        <w:pPr>
          <w:pStyle w:val="Stopka"/>
          <w:jc w:val="right"/>
          <w:rPr>
            <w:rFonts w:cs="Arial"/>
          </w:rPr>
        </w:pPr>
        <w:r w:rsidRPr="00AC16A0">
          <w:rPr>
            <w:rFonts w:cs="Arial"/>
          </w:rPr>
          <w:fldChar w:fldCharType="begin"/>
        </w:r>
        <w:r w:rsidRPr="00AC16A0">
          <w:rPr>
            <w:rFonts w:cs="Arial"/>
          </w:rPr>
          <w:instrText>PAGE   \* MERGEFORMAT</w:instrText>
        </w:r>
        <w:r w:rsidRPr="00AC16A0">
          <w:rPr>
            <w:rFonts w:cs="Arial"/>
          </w:rPr>
          <w:fldChar w:fldCharType="separate"/>
        </w:r>
        <w:r>
          <w:rPr>
            <w:rFonts w:cs="Arial"/>
            <w:noProof/>
          </w:rPr>
          <w:t>2</w:t>
        </w:r>
        <w:r w:rsidRPr="00AC16A0">
          <w:rPr>
            <w:rFonts w:cs="Arial"/>
          </w:rPr>
          <w:fldChar w:fldCharType="end"/>
        </w:r>
      </w:p>
    </w:sdtContent>
  </w:sdt>
  <w:p w14:paraId="18D5F17A" w14:textId="77777777" w:rsidR="00C9356A" w:rsidRPr="00E479E2" w:rsidRDefault="00E02C38">
    <w:pPr>
      <w:pStyle w:val="Stopka"/>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2CEDE" w14:textId="77777777" w:rsidR="00C74A2A" w:rsidRDefault="00123B9F" w:rsidP="00C74A2A">
    <w:pPr>
      <w:rPr>
        <w:rFonts w:cs="Arial"/>
      </w:rPr>
    </w:pPr>
    <w:r w:rsidRPr="00FE3791">
      <w:rPr>
        <w:rFonts w:cs="Arial"/>
      </w:rPr>
      <w:t xml:space="preserve">Ministerstwo </w:t>
    </w:r>
    <w:r>
      <w:rPr>
        <w:rFonts w:cs="Arial"/>
      </w:rPr>
      <w:t>Funduszy i Polityki Regionalnej, Wspólna 2/4, 00-926 Warszawa,</w:t>
    </w:r>
    <w:r>
      <w:rPr>
        <w:rFonts w:cs="Arial"/>
      </w:rPr>
      <w:br/>
    </w:r>
    <w:r w:rsidRPr="009C13DF">
      <w:rPr>
        <w:rFonts w:cs="Arial"/>
      </w:rPr>
      <w:t xml:space="preserve">tel. </w:t>
    </w:r>
    <w:r w:rsidRPr="00E72C29">
      <w:rPr>
        <w:rFonts w:cs="Arial"/>
      </w:rPr>
      <w:t>22 273 70 10, fax 22 273 70 11</w:t>
    </w:r>
    <w:r w:rsidRPr="00920019">
      <w:rPr>
        <w:rFonts w:cs="Arial"/>
      </w:rPr>
      <w:t xml:space="preserve">, </w:t>
    </w:r>
    <w:r>
      <w:rPr>
        <w:rStyle w:val="Hipercze"/>
        <w:rFonts w:cs="Arial"/>
      </w:rPr>
      <w:t>www.gov.pl/web/fundusze-regiony</w:t>
    </w:r>
    <w:r w:rsidRPr="00920019">
      <w:rPr>
        <w:rFonts w:cs="Arial"/>
      </w:rPr>
      <w:t xml:space="preserve">, </w:t>
    </w:r>
    <w:hyperlink r:id="rId1" w:history="1">
      <w:r w:rsidRPr="00920019">
        <w:rPr>
          <w:rStyle w:val="Hipercze"/>
          <w:rFonts w:cs="Arial"/>
        </w:rPr>
        <w:t>www.funduszeeuropejskie.gov.pl</w:t>
      </w:r>
    </w:hyperlink>
    <w:r>
      <w:rPr>
        <w:rFonts w:cs="Arial"/>
      </w:rPr>
      <w:t xml:space="preserve">. </w:t>
    </w:r>
    <w:r w:rsidRPr="00C97734">
      <w:rPr>
        <w:rFonts w:cs="Arial"/>
      </w:rPr>
      <w:t xml:space="preserve">Pismo </w:t>
    </w:r>
    <w:r>
      <w:rPr>
        <w:rFonts w:cs="Arial"/>
      </w:rPr>
      <w:t>spełnia zasady dostępności.</w:t>
    </w:r>
  </w:p>
  <w:p w14:paraId="0776E462" w14:textId="77777777" w:rsidR="00C9356A" w:rsidRPr="00C97734" w:rsidRDefault="00E02C38" w:rsidP="001A1D44">
    <w:pPr>
      <w:rPr>
        <w:rFonts w:cs="Arial"/>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7B583" w14:textId="77777777" w:rsidR="00E02C38" w:rsidRDefault="00E02C38">
      <w:r>
        <w:separator/>
      </w:r>
    </w:p>
  </w:footnote>
  <w:footnote w:type="continuationSeparator" w:id="0">
    <w:p w14:paraId="347507EF" w14:textId="77777777" w:rsidR="00E02C38" w:rsidRDefault="00E02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A3157" w14:textId="77777777" w:rsidR="00C9356A" w:rsidRDefault="00123B9F" w:rsidP="00FF1DDF">
    <w:pPr>
      <w:pStyle w:val="Nagwek"/>
      <w:tabs>
        <w:tab w:val="left" w:pos="3686"/>
      </w:tabs>
    </w:pPr>
    <w:r>
      <w:rPr>
        <w:noProof/>
      </w:rPr>
      <mc:AlternateContent>
        <mc:Choice Requires="wps">
          <w:drawing>
            <wp:anchor distT="0" distB="0" distL="114300" distR="114300" simplePos="0" relativeHeight="251658240" behindDoc="0" locked="0" layoutInCell="1" allowOverlap="1" wp14:anchorId="04714E9A" wp14:editId="09E11329">
              <wp:simplePos x="0" y="0"/>
              <wp:positionH relativeFrom="column">
                <wp:posOffset>-394088</wp:posOffset>
              </wp:positionH>
              <wp:positionV relativeFrom="paragraph">
                <wp:posOffset>333955</wp:posOffset>
              </wp:positionV>
              <wp:extent cx="3101009" cy="1806956"/>
              <wp:effectExtent l="0" t="0" r="4445" b="381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009" cy="18069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A8BBA0" w14:textId="77777777" w:rsidR="00CF1FE3" w:rsidRDefault="00123B9F" w:rsidP="00CF1FE3">
                          <w:pPr>
                            <w:jc w:val="center"/>
                            <w:rPr>
                              <w:color w:val="000000"/>
                            </w:rPr>
                          </w:pPr>
                          <w:r>
                            <w:rPr>
                              <w:noProof/>
                              <w:color w:val="000000"/>
                            </w:rPr>
                            <w:drawing>
                              <wp:inline distT="0" distB="0" distL="0" distR="0" wp14:anchorId="60DF16F2" wp14:editId="69802232">
                                <wp:extent cx="546100" cy="546100"/>
                                <wp:effectExtent l="0" t="0" r="6350" b="6350"/>
                                <wp:docPr id="1457784741" name="Obraz 1" descr="Logo Ministerstwa Inwestycji i Rozwo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6100" cy="546100"/>
                                        </a:xfrm>
                                        <a:prstGeom prst="rect">
                                          <a:avLst/>
                                        </a:prstGeom>
                                        <a:noFill/>
                                        <a:ln>
                                          <a:noFill/>
                                        </a:ln>
                                      </pic:spPr>
                                    </pic:pic>
                                  </a:graphicData>
                                </a:graphic>
                              </wp:inline>
                            </w:drawing>
                          </w:r>
                        </w:p>
                        <w:p w14:paraId="5632B7A6" w14:textId="77777777" w:rsidR="00F2471F" w:rsidRDefault="00123B9F" w:rsidP="00011E2F">
                          <w:pPr>
                            <w:jc w:val="center"/>
                            <w:rPr>
                              <w:color w:val="000000"/>
                            </w:rPr>
                          </w:pPr>
                          <w:r>
                            <w:rPr>
                              <w:color w:val="000000"/>
                            </w:rPr>
                            <w:t>MINISTER</w:t>
                          </w:r>
                        </w:p>
                        <w:p w14:paraId="72BC42EE" w14:textId="77777777" w:rsidR="00011E2F" w:rsidRDefault="00123B9F" w:rsidP="00F2471F">
                          <w:pPr>
                            <w:jc w:val="center"/>
                            <w:rPr>
                              <w:color w:val="000000"/>
                            </w:rPr>
                          </w:pPr>
                          <w:r w:rsidRPr="001D3444">
                            <w:rPr>
                              <w:color w:val="000000"/>
                            </w:rPr>
                            <w:t xml:space="preserve"> </w:t>
                          </w:r>
                          <w:r>
                            <w:rPr>
                              <w:color w:val="000000"/>
                            </w:rPr>
                            <w:t>FUNDUSZY I POLITYKI REGIONALNEJ</w:t>
                          </w:r>
                          <w:r w:rsidRPr="00011E2F">
                            <w:rPr>
                              <w:color w:val="000000"/>
                            </w:rPr>
                            <w:t xml:space="preserve"> </w:t>
                          </w:r>
                        </w:p>
                        <w:p w14:paraId="3B608651" w14:textId="77777777" w:rsidR="009C13DF" w:rsidRPr="009B1911" w:rsidRDefault="00E02C38" w:rsidP="009C13DF">
                          <w:pPr>
                            <w:jc w:val="center"/>
                            <w:rPr>
                              <w:color w:val="000000" w:themeColor="text1"/>
                            </w:rPr>
                          </w:pPr>
                        </w:p>
                        <w:p w14:paraId="010DB3F6" w14:textId="77777777" w:rsidR="00CF1FE3" w:rsidRPr="00983EE5" w:rsidRDefault="00123B9F" w:rsidP="00C66412">
                          <w:pPr>
                            <w:jc w:val="center"/>
                            <w:rPr>
                              <w:color w:val="000000" w:themeColor="text1"/>
                            </w:rPr>
                          </w:pPr>
                          <w:r>
                            <w:rPr>
                              <w:color w:val="000000" w:themeColor="text1"/>
                            </w:rPr>
                            <w:t>GRZEGORZ PUDA</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4714E9A" id="_x0000_t202" coordsize="21600,21600" o:spt="202" path="m,l,21600r21600,l21600,xe">
              <v:stroke joinstyle="miter"/>
              <v:path gradientshapeok="t" o:connecttype="rect"/>
            </v:shapetype>
            <v:shape id="Pole tekstowe 2" o:spid="_x0000_s1026" type="#_x0000_t202" style="position:absolute;margin-left:-31.05pt;margin-top:26.3pt;width:244.15pt;height:142.3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" stroked="f">
              <v:textbox style="mso-fit-shape-to-text:t">
                <w:txbxContent>
                  <w:p w14:paraId="1AA8BBA0" w14:textId="77777777" w:rsidR="00CF1FE3" w:rsidRDefault="00123B9F" w:rsidP="00CF1FE3">
                    <w:pPr>
                      <w:jc w:val="center"/>
                      <w:rPr>
                        <w:color w:val="000000"/>
                      </w:rPr>
                    </w:pPr>
                    <w:r>
                      <w:rPr>
                        <w:noProof/>
                        <w:color w:val="000000"/>
                      </w:rPr>
                      <w:drawing>
                        <wp:inline distT="0" distB="0" distL="0" distR="0" wp14:anchorId="60DF16F2" wp14:editId="69802232">
                          <wp:extent cx="546100" cy="546100"/>
                          <wp:effectExtent l="0" t="0" r="6350" b="6350"/>
                          <wp:docPr id="1457784741" name="Obraz 1" descr="Logo Ministerstwa Inwestycji i Rozwo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6100" cy="546100"/>
                                  </a:xfrm>
                                  <a:prstGeom prst="rect">
                                    <a:avLst/>
                                  </a:prstGeom>
                                  <a:noFill/>
                                  <a:ln>
                                    <a:noFill/>
                                  </a:ln>
                                </pic:spPr>
                              </pic:pic>
                            </a:graphicData>
                          </a:graphic>
                        </wp:inline>
                      </w:drawing>
                    </w:r>
                  </w:p>
                  <w:p w14:paraId="5632B7A6" w14:textId="77777777" w:rsidR="00F2471F" w:rsidRDefault="00123B9F" w:rsidP="00011E2F">
                    <w:pPr>
                      <w:jc w:val="center"/>
                      <w:rPr>
                        <w:color w:val="000000"/>
                      </w:rPr>
                    </w:pPr>
                    <w:r>
                      <w:rPr>
                        <w:color w:val="000000"/>
                      </w:rPr>
                      <w:t>MINISTER</w:t>
                    </w:r>
                  </w:p>
                  <w:p w14:paraId="72BC42EE" w14:textId="77777777" w:rsidR="00011E2F" w:rsidRDefault="00123B9F" w:rsidP="00F2471F">
                    <w:pPr>
                      <w:jc w:val="center"/>
                      <w:rPr>
                        <w:color w:val="000000"/>
                      </w:rPr>
                    </w:pPr>
                    <w:r w:rsidRPr="001D3444">
                      <w:rPr>
                        <w:color w:val="000000"/>
                      </w:rPr>
                      <w:t xml:space="preserve"> </w:t>
                    </w:r>
                    <w:r>
                      <w:rPr>
                        <w:color w:val="000000"/>
                      </w:rPr>
                      <w:t>FUNDUSZY I POLITYKI REGIONALNEJ</w:t>
                    </w:r>
                    <w:r w:rsidRPr="00011E2F">
                      <w:rPr>
                        <w:color w:val="000000"/>
                      </w:rPr>
                      <w:t xml:space="preserve"> </w:t>
                    </w:r>
                  </w:p>
                  <w:p w14:paraId="3B608651" w14:textId="77777777" w:rsidR="009C13DF" w:rsidRPr="009B1911" w:rsidRDefault="00E02C38" w:rsidP="009C13DF">
                    <w:pPr>
                      <w:jc w:val="center"/>
                      <w:rPr>
                        <w:color w:val="000000" w:themeColor="text1"/>
                      </w:rPr>
                    </w:pPr>
                  </w:p>
                  <w:p w14:paraId="010DB3F6" w14:textId="77777777" w:rsidR="00CF1FE3" w:rsidRPr="00983EE5" w:rsidRDefault="00123B9F" w:rsidP="00C66412">
                    <w:pPr>
                      <w:jc w:val="center"/>
                      <w:rPr>
                        <w:color w:val="000000" w:themeColor="text1"/>
                      </w:rPr>
                    </w:pPr>
                    <w:r>
                      <w:rPr>
                        <w:color w:val="000000" w:themeColor="text1"/>
                      </w:rPr>
                      <w:t>GRZEGORZ PUDA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33B51"/>
    <w:multiLevelType w:val="hybridMultilevel"/>
    <w:tmpl w:val="964C55A6"/>
    <w:lvl w:ilvl="0" w:tplc="B68809BC">
      <w:start w:val="1"/>
      <w:numFmt w:val="decimal"/>
      <w:lvlText w:val="%1."/>
      <w:lvlJc w:val="left"/>
      <w:pPr>
        <w:tabs>
          <w:tab w:val="num" w:pos="720"/>
        </w:tabs>
        <w:ind w:left="720" w:hanging="360"/>
      </w:pPr>
      <w:rPr>
        <w:rFonts w:cs="Times New Roman"/>
      </w:rPr>
    </w:lvl>
    <w:lvl w:ilvl="1" w:tplc="B0B8F80C">
      <w:start w:val="1"/>
      <w:numFmt w:val="lowerLetter"/>
      <w:lvlText w:val="%2."/>
      <w:lvlJc w:val="left"/>
      <w:pPr>
        <w:tabs>
          <w:tab w:val="num" w:pos="1440"/>
        </w:tabs>
        <w:ind w:left="1440" w:hanging="360"/>
      </w:pPr>
      <w:rPr>
        <w:rFonts w:cs="Times New Roman"/>
      </w:rPr>
    </w:lvl>
    <w:lvl w:ilvl="2" w:tplc="93BC2148">
      <w:start w:val="1"/>
      <w:numFmt w:val="lowerRoman"/>
      <w:lvlText w:val="%3."/>
      <w:lvlJc w:val="right"/>
      <w:pPr>
        <w:tabs>
          <w:tab w:val="num" w:pos="2160"/>
        </w:tabs>
        <w:ind w:left="2160" w:hanging="180"/>
      </w:pPr>
      <w:rPr>
        <w:rFonts w:cs="Times New Roman"/>
      </w:rPr>
    </w:lvl>
    <w:lvl w:ilvl="3" w:tplc="1146EF32">
      <w:start w:val="1"/>
      <w:numFmt w:val="decimal"/>
      <w:lvlText w:val="%4."/>
      <w:lvlJc w:val="left"/>
      <w:pPr>
        <w:tabs>
          <w:tab w:val="num" w:pos="2880"/>
        </w:tabs>
        <w:ind w:left="2880" w:hanging="360"/>
      </w:pPr>
      <w:rPr>
        <w:rFonts w:cs="Times New Roman"/>
      </w:rPr>
    </w:lvl>
    <w:lvl w:ilvl="4" w:tplc="0674F114">
      <w:start w:val="1"/>
      <w:numFmt w:val="lowerLetter"/>
      <w:lvlText w:val="%5."/>
      <w:lvlJc w:val="left"/>
      <w:pPr>
        <w:tabs>
          <w:tab w:val="num" w:pos="3600"/>
        </w:tabs>
        <w:ind w:left="3600" w:hanging="360"/>
      </w:pPr>
      <w:rPr>
        <w:rFonts w:cs="Times New Roman"/>
      </w:rPr>
    </w:lvl>
    <w:lvl w:ilvl="5" w:tplc="3AE48796">
      <w:start w:val="1"/>
      <w:numFmt w:val="lowerRoman"/>
      <w:lvlText w:val="%6."/>
      <w:lvlJc w:val="right"/>
      <w:pPr>
        <w:tabs>
          <w:tab w:val="num" w:pos="4320"/>
        </w:tabs>
        <w:ind w:left="4320" w:hanging="180"/>
      </w:pPr>
      <w:rPr>
        <w:rFonts w:cs="Times New Roman"/>
      </w:rPr>
    </w:lvl>
    <w:lvl w:ilvl="6" w:tplc="03369BF6">
      <w:start w:val="1"/>
      <w:numFmt w:val="decimal"/>
      <w:lvlText w:val="%7."/>
      <w:lvlJc w:val="left"/>
      <w:pPr>
        <w:tabs>
          <w:tab w:val="num" w:pos="5040"/>
        </w:tabs>
        <w:ind w:left="5040" w:hanging="360"/>
      </w:pPr>
      <w:rPr>
        <w:rFonts w:cs="Times New Roman"/>
      </w:rPr>
    </w:lvl>
    <w:lvl w:ilvl="7" w:tplc="B2B6898C">
      <w:start w:val="1"/>
      <w:numFmt w:val="lowerLetter"/>
      <w:lvlText w:val="%8."/>
      <w:lvlJc w:val="left"/>
      <w:pPr>
        <w:tabs>
          <w:tab w:val="num" w:pos="5760"/>
        </w:tabs>
        <w:ind w:left="5760" w:hanging="360"/>
      </w:pPr>
      <w:rPr>
        <w:rFonts w:cs="Times New Roman"/>
      </w:rPr>
    </w:lvl>
    <w:lvl w:ilvl="8" w:tplc="5D8C283C">
      <w:start w:val="1"/>
      <w:numFmt w:val="lowerRoman"/>
      <w:lvlText w:val="%9."/>
      <w:lvlJc w:val="right"/>
      <w:pPr>
        <w:tabs>
          <w:tab w:val="num" w:pos="6480"/>
        </w:tabs>
        <w:ind w:left="6480" w:hanging="180"/>
      </w:pPr>
      <w:rPr>
        <w:rFonts w:cs="Times New Roman"/>
      </w:rPr>
    </w:lvl>
  </w:abstractNum>
  <w:abstractNum w:abstractNumId="1" w15:restartNumberingAfterBreak="0">
    <w:nsid w:val="26220F5E"/>
    <w:multiLevelType w:val="hybridMultilevel"/>
    <w:tmpl w:val="54640F68"/>
    <w:lvl w:ilvl="0" w:tplc="0060D926">
      <w:start w:val="1"/>
      <w:numFmt w:val="decimal"/>
      <w:lvlText w:val="%1."/>
      <w:lvlJc w:val="left"/>
      <w:pPr>
        <w:tabs>
          <w:tab w:val="num" w:pos="720"/>
        </w:tabs>
        <w:ind w:left="720" w:hanging="360"/>
      </w:pPr>
      <w:rPr>
        <w:rFonts w:cs="Times New Roman"/>
      </w:rPr>
    </w:lvl>
    <w:lvl w:ilvl="1" w:tplc="401AA544">
      <w:start w:val="1"/>
      <w:numFmt w:val="lowerLetter"/>
      <w:lvlText w:val="%2."/>
      <w:lvlJc w:val="left"/>
      <w:pPr>
        <w:tabs>
          <w:tab w:val="num" w:pos="1440"/>
        </w:tabs>
        <w:ind w:left="1440" w:hanging="360"/>
      </w:pPr>
      <w:rPr>
        <w:rFonts w:cs="Times New Roman"/>
      </w:rPr>
    </w:lvl>
    <w:lvl w:ilvl="2" w:tplc="ADD8DBB0">
      <w:start w:val="1"/>
      <w:numFmt w:val="lowerRoman"/>
      <w:lvlText w:val="%3."/>
      <w:lvlJc w:val="right"/>
      <w:pPr>
        <w:tabs>
          <w:tab w:val="num" w:pos="2160"/>
        </w:tabs>
        <w:ind w:left="2160" w:hanging="180"/>
      </w:pPr>
      <w:rPr>
        <w:rFonts w:cs="Times New Roman"/>
      </w:rPr>
    </w:lvl>
    <w:lvl w:ilvl="3" w:tplc="A1A48C2C">
      <w:start w:val="1"/>
      <w:numFmt w:val="decimal"/>
      <w:lvlText w:val="%4."/>
      <w:lvlJc w:val="left"/>
      <w:pPr>
        <w:tabs>
          <w:tab w:val="num" w:pos="2880"/>
        </w:tabs>
        <w:ind w:left="2880" w:hanging="360"/>
      </w:pPr>
      <w:rPr>
        <w:rFonts w:cs="Times New Roman"/>
      </w:rPr>
    </w:lvl>
    <w:lvl w:ilvl="4" w:tplc="E59ACB42">
      <w:start w:val="1"/>
      <w:numFmt w:val="lowerLetter"/>
      <w:lvlText w:val="%5."/>
      <w:lvlJc w:val="left"/>
      <w:pPr>
        <w:tabs>
          <w:tab w:val="num" w:pos="3600"/>
        </w:tabs>
        <w:ind w:left="3600" w:hanging="360"/>
      </w:pPr>
      <w:rPr>
        <w:rFonts w:cs="Times New Roman"/>
      </w:rPr>
    </w:lvl>
    <w:lvl w:ilvl="5" w:tplc="3CE46C22">
      <w:start w:val="1"/>
      <w:numFmt w:val="lowerRoman"/>
      <w:lvlText w:val="%6."/>
      <w:lvlJc w:val="right"/>
      <w:pPr>
        <w:tabs>
          <w:tab w:val="num" w:pos="4320"/>
        </w:tabs>
        <w:ind w:left="4320" w:hanging="180"/>
      </w:pPr>
      <w:rPr>
        <w:rFonts w:cs="Times New Roman"/>
      </w:rPr>
    </w:lvl>
    <w:lvl w:ilvl="6" w:tplc="BA62F304">
      <w:start w:val="1"/>
      <w:numFmt w:val="decimal"/>
      <w:lvlText w:val="%7."/>
      <w:lvlJc w:val="left"/>
      <w:pPr>
        <w:tabs>
          <w:tab w:val="num" w:pos="5040"/>
        </w:tabs>
        <w:ind w:left="5040" w:hanging="360"/>
      </w:pPr>
      <w:rPr>
        <w:rFonts w:cs="Times New Roman"/>
      </w:rPr>
    </w:lvl>
    <w:lvl w:ilvl="7" w:tplc="7EB20B5A">
      <w:start w:val="1"/>
      <w:numFmt w:val="lowerLetter"/>
      <w:lvlText w:val="%8."/>
      <w:lvlJc w:val="left"/>
      <w:pPr>
        <w:tabs>
          <w:tab w:val="num" w:pos="5760"/>
        </w:tabs>
        <w:ind w:left="5760" w:hanging="360"/>
      </w:pPr>
      <w:rPr>
        <w:rFonts w:cs="Times New Roman"/>
      </w:rPr>
    </w:lvl>
    <w:lvl w:ilvl="8" w:tplc="BB9A76FC">
      <w:start w:val="1"/>
      <w:numFmt w:val="lowerRoman"/>
      <w:lvlText w:val="%9."/>
      <w:lvlJc w:val="right"/>
      <w:pPr>
        <w:tabs>
          <w:tab w:val="num" w:pos="6480"/>
        </w:tabs>
        <w:ind w:left="6480" w:hanging="180"/>
      </w:pPr>
      <w:rPr>
        <w:rFonts w:cs="Times New Roman"/>
      </w:rPr>
    </w:lvl>
  </w:abstractNum>
  <w:abstractNum w:abstractNumId="2" w15:restartNumberingAfterBreak="0">
    <w:nsid w:val="36830394"/>
    <w:multiLevelType w:val="hybridMultilevel"/>
    <w:tmpl w:val="C36EC586"/>
    <w:lvl w:ilvl="0" w:tplc="25B01350">
      <w:start w:val="1"/>
      <w:numFmt w:val="bullet"/>
      <w:lvlText w:val=""/>
      <w:lvlJc w:val="left"/>
      <w:pPr>
        <w:ind w:left="1069" w:hanging="360"/>
      </w:pPr>
      <w:rPr>
        <w:rFonts w:ascii="Symbol" w:hAnsi="Symbol" w:hint="default"/>
      </w:rPr>
    </w:lvl>
    <w:lvl w:ilvl="1" w:tplc="5266A3FE" w:tentative="1">
      <w:start w:val="1"/>
      <w:numFmt w:val="bullet"/>
      <w:lvlText w:val="o"/>
      <w:lvlJc w:val="left"/>
      <w:pPr>
        <w:ind w:left="1789" w:hanging="360"/>
      </w:pPr>
      <w:rPr>
        <w:rFonts w:ascii="Courier New" w:hAnsi="Courier New" w:cs="Courier New" w:hint="default"/>
      </w:rPr>
    </w:lvl>
    <w:lvl w:ilvl="2" w:tplc="E5545DA6" w:tentative="1">
      <w:start w:val="1"/>
      <w:numFmt w:val="bullet"/>
      <w:lvlText w:val=""/>
      <w:lvlJc w:val="left"/>
      <w:pPr>
        <w:ind w:left="2509" w:hanging="360"/>
      </w:pPr>
      <w:rPr>
        <w:rFonts w:ascii="Wingdings" w:hAnsi="Wingdings" w:hint="default"/>
      </w:rPr>
    </w:lvl>
    <w:lvl w:ilvl="3" w:tplc="0E1EF18E" w:tentative="1">
      <w:start w:val="1"/>
      <w:numFmt w:val="bullet"/>
      <w:lvlText w:val=""/>
      <w:lvlJc w:val="left"/>
      <w:pPr>
        <w:ind w:left="3229" w:hanging="360"/>
      </w:pPr>
      <w:rPr>
        <w:rFonts w:ascii="Symbol" w:hAnsi="Symbol" w:hint="default"/>
      </w:rPr>
    </w:lvl>
    <w:lvl w:ilvl="4" w:tplc="58E6DAB4" w:tentative="1">
      <w:start w:val="1"/>
      <w:numFmt w:val="bullet"/>
      <w:lvlText w:val="o"/>
      <w:lvlJc w:val="left"/>
      <w:pPr>
        <w:ind w:left="3949" w:hanging="360"/>
      </w:pPr>
      <w:rPr>
        <w:rFonts w:ascii="Courier New" w:hAnsi="Courier New" w:cs="Courier New" w:hint="default"/>
      </w:rPr>
    </w:lvl>
    <w:lvl w:ilvl="5" w:tplc="BFE66F16" w:tentative="1">
      <w:start w:val="1"/>
      <w:numFmt w:val="bullet"/>
      <w:lvlText w:val=""/>
      <w:lvlJc w:val="left"/>
      <w:pPr>
        <w:ind w:left="4669" w:hanging="360"/>
      </w:pPr>
      <w:rPr>
        <w:rFonts w:ascii="Wingdings" w:hAnsi="Wingdings" w:hint="default"/>
      </w:rPr>
    </w:lvl>
    <w:lvl w:ilvl="6" w:tplc="F68C1596" w:tentative="1">
      <w:start w:val="1"/>
      <w:numFmt w:val="bullet"/>
      <w:lvlText w:val=""/>
      <w:lvlJc w:val="left"/>
      <w:pPr>
        <w:ind w:left="5389" w:hanging="360"/>
      </w:pPr>
      <w:rPr>
        <w:rFonts w:ascii="Symbol" w:hAnsi="Symbol" w:hint="default"/>
      </w:rPr>
    </w:lvl>
    <w:lvl w:ilvl="7" w:tplc="77C08F56" w:tentative="1">
      <w:start w:val="1"/>
      <w:numFmt w:val="bullet"/>
      <w:lvlText w:val="o"/>
      <w:lvlJc w:val="left"/>
      <w:pPr>
        <w:ind w:left="6109" w:hanging="360"/>
      </w:pPr>
      <w:rPr>
        <w:rFonts w:ascii="Courier New" w:hAnsi="Courier New" w:cs="Courier New" w:hint="default"/>
      </w:rPr>
    </w:lvl>
    <w:lvl w:ilvl="8" w:tplc="61963644" w:tentative="1">
      <w:start w:val="1"/>
      <w:numFmt w:val="bullet"/>
      <w:lvlText w:val=""/>
      <w:lvlJc w:val="left"/>
      <w:pPr>
        <w:ind w:left="6829" w:hanging="360"/>
      </w:pPr>
      <w:rPr>
        <w:rFonts w:ascii="Wingdings" w:hAnsi="Wingdings" w:hint="default"/>
      </w:rPr>
    </w:lvl>
  </w:abstractNum>
  <w:abstractNum w:abstractNumId="3" w15:restartNumberingAfterBreak="0">
    <w:nsid w:val="49FB6DF6"/>
    <w:multiLevelType w:val="hybridMultilevel"/>
    <w:tmpl w:val="6F84ACE6"/>
    <w:lvl w:ilvl="0" w:tplc="41863868">
      <w:start w:val="1"/>
      <w:numFmt w:val="decimal"/>
      <w:lvlText w:val="%1."/>
      <w:lvlJc w:val="left"/>
      <w:pPr>
        <w:ind w:left="1429" w:hanging="360"/>
      </w:pPr>
    </w:lvl>
    <w:lvl w:ilvl="1" w:tplc="5D24BE8E" w:tentative="1">
      <w:start w:val="1"/>
      <w:numFmt w:val="lowerLetter"/>
      <w:lvlText w:val="%2."/>
      <w:lvlJc w:val="left"/>
      <w:pPr>
        <w:ind w:left="2149" w:hanging="360"/>
      </w:pPr>
    </w:lvl>
    <w:lvl w:ilvl="2" w:tplc="D12C28DC" w:tentative="1">
      <w:start w:val="1"/>
      <w:numFmt w:val="lowerRoman"/>
      <w:lvlText w:val="%3."/>
      <w:lvlJc w:val="right"/>
      <w:pPr>
        <w:ind w:left="2869" w:hanging="180"/>
      </w:pPr>
    </w:lvl>
    <w:lvl w:ilvl="3" w:tplc="ED66E750" w:tentative="1">
      <w:start w:val="1"/>
      <w:numFmt w:val="decimal"/>
      <w:lvlText w:val="%4."/>
      <w:lvlJc w:val="left"/>
      <w:pPr>
        <w:ind w:left="3589" w:hanging="360"/>
      </w:pPr>
    </w:lvl>
    <w:lvl w:ilvl="4" w:tplc="A2AC345E" w:tentative="1">
      <w:start w:val="1"/>
      <w:numFmt w:val="lowerLetter"/>
      <w:lvlText w:val="%5."/>
      <w:lvlJc w:val="left"/>
      <w:pPr>
        <w:ind w:left="4309" w:hanging="360"/>
      </w:pPr>
    </w:lvl>
    <w:lvl w:ilvl="5" w:tplc="4EB28BA0" w:tentative="1">
      <w:start w:val="1"/>
      <w:numFmt w:val="lowerRoman"/>
      <w:lvlText w:val="%6."/>
      <w:lvlJc w:val="right"/>
      <w:pPr>
        <w:ind w:left="5029" w:hanging="180"/>
      </w:pPr>
    </w:lvl>
    <w:lvl w:ilvl="6" w:tplc="08FE4FEA" w:tentative="1">
      <w:start w:val="1"/>
      <w:numFmt w:val="decimal"/>
      <w:lvlText w:val="%7."/>
      <w:lvlJc w:val="left"/>
      <w:pPr>
        <w:ind w:left="5749" w:hanging="360"/>
      </w:pPr>
    </w:lvl>
    <w:lvl w:ilvl="7" w:tplc="2416BA32" w:tentative="1">
      <w:start w:val="1"/>
      <w:numFmt w:val="lowerLetter"/>
      <w:lvlText w:val="%8."/>
      <w:lvlJc w:val="left"/>
      <w:pPr>
        <w:ind w:left="6469" w:hanging="360"/>
      </w:pPr>
    </w:lvl>
    <w:lvl w:ilvl="8" w:tplc="9EB4E5F6" w:tentative="1">
      <w:start w:val="1"/>
      <w:numFmt w:val="lowerRoman"/>
      <w:lvlText w:val="%9."/>
      <w:lvlJc w:val="right"/>
      <w:pPr>
        <w:ind w:left="7189" w:hanging="180"/>
      </w:pPr>
    </w:lvl>
  </w:abstractNum>
  <w:abstractNum w:abstractNumId="4" w15:restartNumberingAfterBreak="0">
    <w:nsid w:val="55D060FE"/>
    <w:multiLevelType w:val="hybridMultilevel"/>
    <w:tmpl w:val="874A9F9C"/>
    <w:lvl w:ilvl="0" w:tplc="A3521A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drawingGridHorizontalSpacing w:val="6"/>
  <w:drawingGridVerticalSpacing w:val="6"/>
  <w:doNotShadeFormData/>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6E"/>
    <w:rsid w:val="0000098B"/>
    <w:rsid w:val="00065B29"/>
    <w:rsid w:val="00123B9F"/>
    <w:rsid w:val="001B455C"/>
    <w:rsid w:val="0025755F"/>
    <w:rsid w:val="00280054"/>
    <w:rsid w:val="002E5F72"/>
    <w:rsid w:val="005F7B6D"/>
    <w:rsid w:val="006B2523"/>
    <w:rsid w:val="00701FBE"/>
    <w:rsid w:val="007E7390"/>
    <w:rsid w:val="009F4C6E"/>
    <w:rsid w:val="00AE52ED"/>
    <w:rsid w:val="00B00E00"/>
    <w:rsid w:val="00E02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E6702"/>
  <w15:docId w15:val="{66EC06CA-7C61-4377-81CC-10AA136CF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479E2"/>
    <w:rPr>
      <w:rFonts w:ascii="Arial" w:hAnsi="Arial"/>
      <w:sz w:val="24"/>
      <w:szCs w:val="24"/>
      <w:lang w:eastAsia="pl-PL"/>
    </w:rPr>
  </w:style>
  <w:style w:type="paragraph" w:styleId="Nagwek1">
    <w:name w:val="heading 1"/>
    <w:basedOn w:val="Normalny"/>
    <w:next w:val="Normalny"/>
    <w:link w:val="Nagwek1Znak"/>
    <w:qFormat/>
    <w:rsid w:val="0011413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11413C"/>
    <w:rPr>
      <w:rFonts w:asciiTheme="majorHAnsi" w:eastAsiaTheme="majorEastAsia" w:hAnsiTheme="majorHAnsi" w:cstheme="majorBidi"/>
      <w:b/>
      <w:bCs/>
      <w:color w:val="2E74B5" w:themeColor="accent1" w:themeShade="BF"/>
      <w:sz w:val="28"/>
      <w:szCs w:val="28"/>
      <w:lang w:val="pl-PL" w:eastAsia="pl-PL"/>
    </w:rPr>
  </w:style>
  <w:style w:type="paragraph" w:styleId="Akapitzlist">
    <w:name w:val="List Paragraph"/>
    <w:basedOn w:val="Normalny"/>
    <w:uiPriority w:val="34"/>
    <w:qFormat/>
    <w:rsid w:val="00D11BFD"/>
    <w:pPr>
      <w:ind w:left="720"/>
      <w:contextualSpacing/>
    </w:pPr>
  </w:style>
  <w:style w:type="character" w:styleId="Hipercze">
    <w:name w:val="Hyperlink"/>
    <w:basedOn w:val="Domylnaczcionkaakapitu"/>
    <w:unhideWhenUsed/>
    <w:rsid w:val="008531D2"/>
    <w:rPr>
      <w:color w:val="0563C1" w:themeColor="hyperlink"/>
      <w:u w:val="single"/>
    </w:rPr>
  </w:style>
  <w:style w:type="character" w:styleId="Odwoaniedokomentarza">
    <w:name w:val="annotation reference"/>
    <w:basedOn w:val="Domylnaczcionkaakapitu"/>
    <w:semiHidden/>
    <w:unhideWhenUsed/>
    <w:rsid w:val="002E4CEF"/>
    <w:rPr>
      <w:sz w:val="16"/>
      <w:szCs w:val="16"/>
    </w:rPr>
  </w:style>
  <w:style w:type="paragraph" w:styleId="Tekstkomentarza">
    <w:name w:val="annotation text"/>
    <w:basedOn w:val="Normalny"/>
    <w:link w:val="TekstkomentarzaZnak"/>
    <w:semiHidden/>
    <w:unhideWhenUsed/>
    <w:rsid w:val="002E4CEF"/>
    <w:rPr>
      <w:sz w:val="20"/>
      <w:szCs w:val="20"/>
    </w:rPr>
  </w:style>
  <w:style w:type="character" w:customStyle="1" w:styleId="TekstkomentarzaZnak">
    <w:name w:val="Tekst komentarza Znak"/>
    <w:basedOn w:val="Domylnaczcionkaakapitu"/>
    <w:link w:val="Tekstkomentarza"/>
    <w:semiHidden/>
    <w:rsid w:val="002E4CEF"/>
    <w:rPr>
      <w:lang w:val="pl-PL" w:eastAsia="pl-PL"/>
    </w:rPr>
  </w:style>
  <w:style w:type="paragraph" w:styleId="Tematkomentarza">
    <w:name w:val="annotation subject"/>
    <w:basedOn w:val="Tekstkomentarza"/>
    <w:next w:val="Tekstkomentarza"/>
    <w:link w:val="TematkomentarzaZnak"/>
    <w:semiHidden/>
    <w:unhideWhenUsed/>
    <w:rsid w:val="002E4CEF"/>
    <w:rPr>
      <w:b/>
      <w:bCs/>
    </w:rPr>
  </w:style>
  <w:style w:type="character" w:customStyle="1" w:styleId="TematkomentarzaZnak">
    <w:name w:val="Temat komentarza Znak"/>
    <w:basedOn w:val="TekstkomentarzaZnak"/>
    <w:link w:val="Tematkomentarza"/>
    <w:semiHidden/>
    <w:rsid w:val="002E4CEF"/>
    <w:rPr>
      <w:b/>
      <w:bCs/>
      <w:lang w:val="pl-PL" w:eastAsia="pl-PL"/>
    </w:rPr>
  </w:style>
  <w:style w:type="paragraph" w:styleId="Poprawka">
    <w:name w:val="Revision"/>
    <w:hidden/>
    <w:uiPriority w:val="99"/>
    <w:semiHidden/>
    <w:rsid w:val="00797BBA"/>
    <w:rPr>
      <w:sz w:val="24"/>
      <w:szCs w:val="24"/>
      <w:lang w:eastAsia="pl-PL"/>
    </w:rPr>
  </w:style>
  <w:style w:type="character" w:styleId="Tekstzastpczy">
    <w:name w:val="Placeholder Text"/>
    <w:basedOn w:val="Domylnaczcionkaakapitu"/>
    <w:uiPriority w:val="99"/>
    <w:semiHidden/>
    <w:rsid w:val="00994165"/>
    <w:rPr>
      <w:color w:val="808080"/>
    </w:rPr>
  </w:style>
  <w:style w:type="character" w:customStyle="1" w:styleId="StopkaZnak">
    <w:name w:val="Stopka Znak"/>
    <w:basedOn w:val="Domylnaczcionkaakapitu"/>
    <w:link w:val="Stopka"/>
    <w:uiPriority w:val="99"/>
    <w:rsid w:val="00C73093"/>
    <w:rPr>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2E978-7ADB-45A7-9D28-B6C4172E7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857</Words>
  <Characters>5148</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Miasto, 15 maja 2008 r</vt:lpstr>
    </vt:vector>
  </TitlesOfParts>
  <Company>MRR</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Miasto, 15 maja 2008 r</dc:title>
  <dc:creator>Soon</dc:creator>
  <cp:lastModifiedBy>Rudalska Aneta</cp:lastModifiedBy>
  <cp:revision>2</cp:revision>
  <cp:lastPrinted>2018-03-26T09:55:00Z</cp:lastPrinted>
  <dcterms:created xsi:type="dcterms:W3CDTF">2022-08-11T08:19:00Z</dcterms:created>
  <dcterms:modified xsi:type="dcterms:W3CDTF">2022-08-11T08:19:00Z</dcterms:modified>
</cp:coreProperties>
</file>