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7D7F0165" w:rsidR="00427DAB" w:rsidRPr="00305A3D" w:rsidRDefault="002B21EE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  <w:r w:rsidRPr="00305A3D">
        <w:rPr>
          <w:rFonts w:ascii="Lato" w:hAnsi="Lato"/>
          <w:sz w:val="20"/>
          <w:szCs w:val="20"/>
        </w:rPr>
        <w:t>Departament Kształcenia Zawodowego</w:t>
      </w:r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647D760E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570B6C">
        <w:rPr>
          <w:rFonts w:ascii="Lato" w:hAnsi="Lato"/>
          <w:i/>
          <w:iCs/>
          <w:sz w:val="20"/>
          <w:szCs w:val="20"/>
        </w:rPr>
        <w:t>przemysłu mleczarskiego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D245EA5" w14:textId="646C8F4E" w:rsidR="00A0705D" w:rsidRDefault="00A0705D" w:rsidP="00A53FC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bookmarkEnd w:id="1"/>
    <w:p w14:paraId="6806E513" w14:textId="77777777" w:rsidR="00A0705D" w:rsidRPr="00305A3D" w:rsidRDefault="00A0705D" w:rsidP="00A0705D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6B8EF160" w14:textId="07758289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570B6C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65CEEA28" w14:textId="5B1154A8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które wskaże Zamawiający,</w:t>
      </w:r>
    </w:p>
    <w:p w14:paraId="4DF9EB27" w14:textId="2686D92F" w:rsidR="00A0705D" w:rsidRPr="003D6C12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5D52AF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hAnsi="Lato"/>
          <w:sz w:val="20"/>
          <w:szCs w:val="20"/>
        </w:rPr>
        <w:t xml:space="preserve"> (w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uczniów i</w:t>
      </w:r>
      <w:r w:rsidR="00570B6C"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 w:rsidR="00570B6C"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07BF2338" w14:textId="77777777" w:rsidR="00A0705D" w:rsidRPr="00305A3D" w:rsidRDefault="00A0705D" w:rsidP="00A0705D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4AB6CBF9" w14:textId="77777777" w:rsidR="00A0705D" w:rsidRPr="00305A3D" w:rsidRDefault="00A0705D" w:rsidP="00A0705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61BBE4E0" w14:textId="2A369E46" w:rsidR="00A0705D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570B6C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zawodzie, który dostarczy Zamawiający</w:t>
      </w:r>
      <w:r w:rsidR="00570B6C">
        <w:rPr>
          <w:rFonts w:ascii="Lato" w:eastAsia="Times New Roman" w:hAnsi="Lato" w:cs="Arial"/>
          <w:sz w:val="20"/>
          <w:szCs w:val="20"/>
        </w:rPr>
        <w:t>,</w:t>
      </w:r>
    </w:p>
    <w:p w14:paraId="004841EA" w14:textId="47FF5A43" w:rsidR="00A0705D" w:rsidRPr="00080DB2" w:rsidRDefault="00A0705D" w:rsidP="00A0705D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6F156DFE" w14:textId="4BA4AE88" w:rsidR="00A0705D" w:rsidRPr="00AB20D6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6E09C56F" w14:textId="47CBA506" w:rsidR="00A0705D" w:rsidRPr="00570B6C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733DF5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 w:rsidR="00733DF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570B6C">
        <w:rPr>
          <w:rFonts w:ascii="Lato" w:eastAsia="Times New Roman" w:hAnsi="Lato" w:cs="Arial"/>
          <w:sz w:val="20"/>
          <w:szCs w:val="20"/>
        </w:rPr>
        <w:t xml:space="preserve">przemysłem </w:t>
      </w:r>
      <w:r w:rsidR="00570B6C">
        <w:rPr>
          <w:rFonts w:ascii="Lato" w:eastAsia="Times New Roman" w:hAnsi="Lato" w:cs="Arial"/>
          <w:sz w:val="20"/>
          <w:szCs w:val="20"/>
        </w:rPr>
        <w:lastRenderedPageBreak/>
        <w:t>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2, oraz określenie związanych z tą specyfiką </w:t>
      </w:r>
      <w:proofErr w:type="spellStart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ograniczeń.</w:t>
      </w:r>
    </w:p>
    <w:p w14:paraId="07E81BEE" w14:textId="77777777" w:rsidR="00A0705D" w:rsidRDefault="00A0705D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6E841C73" w14:textId="722A38FC" w:rsidR="00A0705D" w:rsidRPr="00AB20D6" w:rsidRDefault="00A0705D" w:rsidP="00A0705D">
      <w:pPr>
        <w:pStyle w:val="Akapitzlist"/>
        <w:numPr>
          <w:ilvl w:val="0"/>
          <w:numId w:val="43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eastAsia="Times New Roman" w:hAnsi="Lato" w:cs="Arial"/>
          <w:sz w:val="20"/>
          <w:szCs w:val="20"/>
        </w:rPr>
        <w:t>, w tym kwalifikacji adresowanych do osób z rożnymi rodzajami niepełnosprawności, z uwzględnieniem zmian technologicznych wynikających z transformacji cyfrowej i ekologicznej.</w:t>
      </w:r>
    </w:p>
    <w:p w14:paraId="29B10180" w14:textId="43D0F7DE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7E9320FC" w14:textId="77777777" w:rsidR="003D6C12" w:rsidRPr="00305A3D" w:rsidRDefault="003D6C12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2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2"/>
    <w:p w14:paraId="1FCB904C" w14:textId="1BD3C8E2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3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07FFA558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B235C0"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DBBFDB9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00173CE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2C47841" w14:textId="1CBB05E7" w:rsidR="00F30E62" w:rsidRPr="00502D90" w:rsidRDefault="00F30E62" w:rsidP="00F30E62">
      <w:pPr>
        <w:numPr>
          <w:ilvl w:val="0"/>
          <w:numId w:val="4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>zie</w:t>
      </w:r>
      <w:r w:rsidR="00483232">
        <w:rPr>
          <w:rFonts w:ascii="Lato" w:eastAsia="Times New Roman" w:hAnsi="Lato" w:cs="Arial"/>
          <w:sz w:val="20"/>
          <w:szCs w:val="20"/>
        </w:rPr>
        <w:t xml:space="preserve"> </w:t>
      </w:r>
      <w:bookmarkStart w:id="4" w:name="_Hlk204872371"/>
      <w:r w:rsidR="00A0705D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="00570B6C">
        <w:rPr>
          <w:rFonts w:ascii="Lato" w:eastAsia="Times New Roman" w:hAnsi="Lato" w:cs="Arial"/>
          <w:i/>
          <w:iCs/>
          <w:sz w:val="20"/>
          <w:szCs w:val="20"/>
        </w:rPr>
        <w:t>przetwórstwa mleczarskiego</w:t>
      </w:r>
      <w:bookmarkEnd w:id="4"/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464E52" w14:textId="22BB7BCD" w:rsidR="00F30E62" w:rsidRPr="00502D90" w:rsidRDefault="00F30E62" w:rsidP="00F30E62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 w:rsidR="00570B6C">
        <w:rPr>
          <w:rFonts w:ascii="Lato" w:eastAsia="Times New Roman" w:hAnsi="Lato" w:cs="Arial"/>
          <w:bCs/>
          <w:sz w:val="20"/>
          <w:szCs w:val="20"/>
        </w:rPr>
        <w:t xml:space="preserve"> przemysłem mleczarskim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237919C" w14:textId="580FD71A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 xml:space="preserve">        2) osoba prawna lub jednostka organizacyjna nieposiadająca osobowości prawnej posiadająca zdolność cywilnoprawną, w szczególności spółka osobowa prawa handlowego.</w:t>
      </w:r>
    </w:p>
    <w:p w14:paraId="3AE08F24" w14:textId="77777777" w:rsidR="00A0705D" w:rsidRDefault="00A0705D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28D9BDDA" w14:textId="28FADC42" w:rsidR="00F30E62" w:rsidRPr="00502D90" w:rsidRDefault="00F30E62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4455262B" w14:textId="481FAE97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11A62587" w14:textId="69FCD593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5" w:name="_Hlk167701574"/>
    </w:p>
    <w:bookmarkEnd w:id="0"/>
    <w:bookmarkEnd w:id="3"/>
    <w:bookmarkEnd w:id="5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7D26" w14:textId="77777777" w:rsidR="00697BDC" w:rsidRDefault="00697BDC">
      <w:pPr>
        <w:spacing w:after="0" w:line="240" w:lineRule="auto"/>
      </w:pPr>
      <w:r>
        <w:separator/>
      </w:r>
    </w:p>
  </w:endnote>
  <w:endnote w:type="continuationSeparator" w:id="0">
    <w:p w14:paraId="5A0649A6" w14:textId="77777777" w:rsidR="00697BDC" w:rsidRDefault="0069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3005" w14:textId="77777777" w:rsidR="008B0905" w:rsidRDefault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741B5904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B265B3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AEE7D46" w14:textId="31909C18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A48A6B9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FC1" w14:textId="3A679AA5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1D4DA4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D5416DB" w14:textId="03FB5CB6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DFDD528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0A33" w14:textId="77777777" w:rsidR="00697BDC" w:rsidRDefault="00697BDC">
      <w:pPr>
        <w:spacing w:after="0" w:line="240" w:lineRule="auto"/>
      </w:pPr>
      <w:r>
        <w:separator/>
      </w:r>
    </w:p>
  </w:footnote>
  <w:footnote w:type="continuationSeparator" w:id="0">
    <w:p w14:paraId="1B8DB28B" w14:textId="77777777" w:rsidR="00697BDC" w:rsidRDefault="00697BDC">
      <w:pPr>
        <w:spacing w:after="0" w:line="240" w:lineRule="auto"/>
      </w:pPr>
      <w:r>
        <w:continuationSeparator/>
      </w:r>
    </w:p>
  </w:footnote>
  <w:footnote w:id="1">
    <w:p w14:paraId="5D44614F" w14:textId="77777777" w:rsidR="00A0705D" w:rsidRPr="000C32D7" w:rsidRDefault="00A0705D" w:rsidP="00A0705D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23560584" w14:textId="77777777" w:rsidR="00A0705D" w:rsidRDefault="00A0705D" w:rsidP="00A0705D">
      <w:pPr>
        <w:pStyle w:val="Tekstprzypisudolnego"/>
      </w:pPr>
    </w:p>
  </w:footnote>
  <w:footnote w:id="2">
    <w:p w14:paraId="24253072" w14:textId="01596D09" w:rsidR="00F30E62" w:rsidRPr="00AA6561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="005D52AF" w:rsidRPr="005D52AF">
        <w:rPr>
          <w:rFonts w:ascii="Lato" w:hAnsi="Lato"/>
          <w:sz w:val="16"/>
          <w:szCs w:val="16"/>
        </w:rPr>
        <w:t xml:space="preserve">technik przetwórstwa mleczarskiego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="005D52AF" w:rsidRPr="005D52AF">
        <w:rPr>
          <w:rFonts w:ascii="Lato" w:hAnsi="Lato"/>
          <w:sz w:val="16"/>
          <w:szCs w:val="16"/>
        </w:rPr>
        <w:t>technik przetwórstwa mleczarskiego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="005D52AF" w:rsidRPr="005D52AF">
        <w:rPr>
          <w:rFonts w:ascii="Lato" w:hAnsi="Lato"/>
          <w:sz w:val="16"/>
          <w:szCs w:val="16"/>
        </w:rPr>
        <w:t xml:space="preserve">technik przetwórstwa mleczarskiego </w:t>
      </w:r>
      <w:r w:rsidRPr="00C407EE">
        <w:rPr>
          <w:rFonts w:ascii="Lato" w:hAnsi="Lato"/>
          <w:sz w:val="16"/>
          <w:szCs w:val="16"/>
        </w:rPr>
        <w:t>albo dyplomu zawodowego w tym zawodzie.</w:t>
      </w:r>
    </w:p>
    <w:p w14:paraId="2DFA60B8" w14:textId="41C042B5" w:rsidR="00F30E62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02D90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4536" w14:textId="77777777" w:rsidR="008B0905" w:rsidRDefault="008B0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6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9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3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0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4"/>
  </w:num>
  <w:num w:numId="9" w16cid:durableId="410543932">
    <w:abstractNumId w:val="20"/>
  </w:num>
  <w:num w:numId="10" w16cid:durableId="1536622835">
    <w:abstractNumId w:val="35"/>
  </w:num>
  <w:num w:numId="11" w16cid:durableId="860096079">
    <w:abstractNumId w:val="0"/>
  </w:num>
  <w:num w:numId="12" w16cid:durableId="2129620105">
    <w:abstractNumId w:val="40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1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2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39"/>
  </w:num>
  <w:num w:numId="31" w16cid:durableId="1082605745">
    <w:abstractNumId w:val="4"/>
  </w:num>
  <w:num w:numId="32" w16cid:durableId="1536699937">
    <w:abstractNumId w:val="38"/>
  </w:num>
  <w:num w:numId="33" w16cid:durableId="1161194373">
    <w:abstractNumId w:val="31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7"/>
  </w:num>
  <w:num w:numId="37" w16cid:durableId="149565173">
    <w:abstractNumId w:val="32"/>
  </w:num>
  <w:num w:numId="38" w16cid:durableId="230428553">
    <w:abstractNumId w:val="14"/>
  </w:num>
  <w:num w:numId="39" w16cid:durableId="261689963">
    <w:abstractNumId w:val="36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36049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7756D"/>
    <w:rsid w:val="00080DB2"/>
    <w:rsid w:val="000815D8"/>
    <w:rsid w:val="00092211"/>
    <w:rsid w:val="000A68F0"/>
    <w:rsid w:val="000B6992"/>
    <w:rsid w:val="000C52F7"/>
    <w:rsid w:val="000D0401"/>
    <w:rsid w:val="000D4AA7"/>
    <w:rsid w:val="000D6B70"/>
    <w:rsid w:val="000F074A"/>
    <w:rsid w:val="001058A2"/>
    <w:rsid w:val="00120FA3"/>
    <w:rsid w:val="00123E44"/>
    <w:rsid w:val="001254F6"/>
    <w:rsid w:val="001269FF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10EDC"/>
    <w:rsid w:val="00220594"/>
    <w:rsid w:val="00220AAE"/>
    <w:rsid w:val="00225A70"/>
    <w:rsid w:val="00235ADD"/>
    <w:rsid w:val="0024641E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67AA"/>
    <w:rsid w:val="004A58EF"/>
    <w:rsid w:val="004B52F2"/>
    <w:rsid w:val="004B60C5"/>
    <w:rsid w:val="004C05B2"/>
    <w:rsid w:val="004C333C"/>
    <w:rsid w:val="004C33D7"/>
    <w:rsid w:val="004F539B"/>
    <w:rsid w:val="004F64B0"/>
    <w:rsid w:val="00506A2D"/>
    <w:rsid w:val="00506D0F"/>
    <w:rsid w:val="00512AEC"/>
    <w:rsid w:val="00526073"/>
    <w:rsid w:val="0053295B"/>
    <w:rsid w:val="005607D4"/>
    <w:rsid w:val="0057058E"/>
    <w:rsid w:val="00570B6C"/>
    <w:rsid w:val="00571541"/>
    <w:rsid w:val="00571CDD"/>
    <w:rsid w:val="00582A67"/>
    <w:rsid w:val="005978EB"/>
    <w:rsid w:val="005A06D5"/>
    <w:rsid w:val="005A1AB9"/>
    <w:rsid w:val="005A5D9B"/>
    <w:rsid w:val="005A5E46"/>
    <w:rsid w:val="005C7A44"/>
    <w:rsid w:val="005D52AF"/>
    <w:rsid w:val="005E3A48"/>
    <w:rsid w:val="005E5FCA"/>
    <w:rsid w:val="005F32F1"/>
    <w:rsid w:val="00605A40"/>
    <w:rsid w:val="006074AF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97BDC"/>
    <w:rsid w:val="006A0445"/>
    <w:rsid w:val="006A27D4"/>
    <w:rsid w:val="006A768F"/>
    <w:rsid w:val="006C2198"/>
    <w:rsid w:val="006D5DA2"/>
    <w:rsid w:val="006E1EF5"/>
    <w:rsid w:val="006E614F"/>
    <w:rsid w:val="006F4F34"/>
    <w:rsid w:val="007059C7"/>
    <w:rsid w:val="00732282"/>
    <w:rsid w:val="00733DF5"/>
    <w:rsid w:val="00735850"/>
    <w:rsid w:val="00737EBA"/>
    <w:rsid w:val="00741575"/>
    <w:rsid w:val="00747F7B"/>
    <w:rsid w:val="00751F7C"/>
    <w:rsid w:val="0076135B"/>
    <w:rsid w:val="00764293"/>
    <w:rsid w:val="00764C67"/>
    <w:rsid w:val="00773605"/>
    <w:rsid w:val="007956CC"/>
    <w:rsid w:val="007958B7"/>
    <w:rsid w:val="007A0EB4"/>
    <w:rsid w:val="007B17AE"/>
    <w:rsid w:val="007B47B7"/>
    <w:rsid w:val="007B60C8"/>
    <w:rsid w:val="007C2C5B"/>
    <w:rsid w:val="007E0DF7"/>
    <w:rsid w:val="007E4649"/>
    <w:rsid w:val="007F4592"/>
    <w:rsid w:val="008043C0"/>
    <w:rsid w:val="008076AF"/>
    <w:rsid w:val="00810D2E"/>
    <w:rsid w:val="00817044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30F79"/>
    <w:rsid w:val="00950FF5"/>
    <w:rsid w:val="009549BD"/>
    <w:rsid w:val="00955EB5"/>
    <w:rsid w:val="00964A74"/>
    <w:rsid w:val="00970B25"/>
    <w:rsid w:val="00972DE7"/>
    <w:rsid w:val="009772DB"/>
    <w:rsid w:val="009B120C"/>
    <w:rsid w:val="009B677E"/>
    <w:rsid w:val="009B6DF7"/>
    <w:rsid w:val="009C58A9"/>
    <w:rsid w:val="009D0E6F"/>
    <w:rsid w:val="009D4253"/>
    <w:rsid w:val="009E145A"/>
    <w:rsid w:val="009E4448"/>
    <w:rsid w:val="009F2007"/>
    <w:rsid w:val="00A018F2"/>
    <w:rsid w:val="00A0705D"/>
    <w:rsid w:val="00A07E7E"/>
    <w:rsid w:val="00A27891"/>
    <w:rsid w:val="00A53FC9"/>
    <w:rsid w:val="00A54D74"/>
    <w:rsid w:val="00A619E0"/>
    <w:rsid w:val="00A715A8"/>
    <w:rsid w:val="00A8411C"/>
    <w:rsid w:val="00A91EDA"/>
    <w:rsid w:val="00AB14B1"/>
    <w:rsid w:val="00AB6BD6"/>
    <w:rsid w:val="00AC1FEA"/>
    <w:rsid w:val="00AC435B"/>
    <w:rsid w:val="00AD1586"/>
    <w:rsid w:val="00AE53F8"/>
    <w:rsid w:val="00AF1C48"/>
    <w:rsid w:val="00AF55DA"/>
    <w:rsid w:val="00B00EC1"/>
    <w:rsid w:val="00B04316"/>
    <w:rsid w:val="00B04951"/>
    <w:rsid w:val="00B05B57"/>
    <w:rsid w:val="00B17529"/>
    <w:rsid w:val="00B235C0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D2B19"/>
    <w:rsid w:val="00BF1AD3"/>
    <w:rsid w:val="00BF550B"/>
    <w:rsid w:val="00C3260B"/>
    <w:rsid w:val="00C407EE"/>
    <w:rsid w:val="00C43FC1"/>
    <w:rsid w:val="00C70F7C"/>
    <w:rsid w:val="00C71A75"/>
    <w:rsid w:val="00C778A6"/>
    <w:rsid w:val="00C913DC"/>
    <w:rsid w:val="00CA75DF"/>
    <w:rsid w:val="00CB1D69"/>
    <w:rsid w:val="00CC5D8F"/>
    <w:rsid w:val="00CC75F0"/>
    <w:rsid w:val="00CE1E8F"/>
    <w:rsid w:val="00CE366E"/>
    <w:rsid w:val="00D01C1B"/>
    <w:rsid w:val="00D12D73"/>
    <w:rsid w:val="00D16C03"/>
    <w:rsid w:val="00D32E94"/>
    <w:rsid w:val="00D61FE4"/>
    <w:rsid w:val="00D6661F"/>
    <w:rsid w:val="00D67DD1"/>
    <w:rsid w:val="00D77C2E"/>
    <w:rsid w:val="00DA645A"/>
    <w:rsid w:val="00DC69D8"/>
    <w:rsid w:val="00DD7C05"/>
    <w:rsid w:val="00DE0F06"/>
    <w:rsid w:val="00DE1207"/>
    <w:rsid w:val="00DE18A1"/>
    <w:rsid w:val="00DF6E8A"/>
    <w:rsid w:val="00E03B37"/>
    <w:rsid w:val="00E15C91"/>
    <w:rsid w:val="00E34C15"/>
    <w:rsid w:val="00E41738"/>
    <w:rsid w:val="00E53B88"/>
    <w:rsid w:val="00E551D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C4E"/>
    <w:rsid w:val="00ED2F30"/>
    <w:rsid w:val="00EE010F"/>
    <w:rsid w:val="00EE5DD4"/>
    <w:rsid w:val="00EF29F9"/>
    <w:rsid w:val="00F06146"/>
    <w:rsid w:val="00F14BA8"/>
    <w:rsid w:val="00F30E62"/>
    <w:rsid w:val="00F3358B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D1623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18</cp:revision>
  <cp:lastPrinted>2025-01-08T10:57:00Z</cp:lastPrinted>
  <dcterms:created xsi:type="dcterms:W3CDTF">2025-03-23T11:58:00Z</dcterms:created>
  <dcterms:modified xsi:type="dcterms:W3CDTF">2026-02-23T12:41:00Z</dcterms:modified>
</cp:coreProperties>
</file>