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5A1" w:rsidRPr="00601FC1" w:rsidRDefault="00E465A1" w:rsidP="00E465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601FC1">
        <w:rPr>
          <w:rFonts w:ascii="Times New Roman" w:eastAsia="Times New Roman" w:hAnsi="Times New Roman" w:cs="Times New Roman"/>
          <w:lang w:eastAsia="pl-PL"/>
        </w:rPr>
        <w:t>Załącznik B.54.</w:t>
      </w:r>
    </w:p>
    <w:p w:rsidR="00E465A1" w:rsidRPr="00601FC1" w:rsidRDefault="00E465A1" w:rsidP="00E4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65A1" w:rsidRPr="00601FC1" w:rsidRDefault="00E465A1" w:rsidP="007B7F64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601FC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LECZENIE CHORYCH NA OPORNEGO LUB NAWROTOWEGO SZPICZAKA </w:t>
      </w:r>
      <w:r w:rsidR="007B7F6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PLAZMOCYTOWEGO </w:t>
      </w:r>
      <w:r w:rsidRPr="00601FC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(ICD10 C90.0)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677"/>
        <w:gridCol w:w="5404"/>
      </w:tblGrid>
      <w:tr w:rsidR="00E465A1" w:rsidRPr="00601FC1" w:rsidTr="0009638B">
        <w:trPr>
          <w:trHeight w:val="43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A1" w:rsidRPr="00601FC1" w:rsidRDefault="00E465A1" w:rsidP="00096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ŚWIADCZENIA GWARANTOWANEGO</w:t>
            </w:r>
          </w:p>
        </w:tc>
      </w:tr>
      <w:tr w:rsidR="00E465A1" w:rsidRPr="00601FC1" w:rsidTr="0009638B">
        <w:trPr>
          <w:trHeight w:val="131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A1" w:rsidRPr="00601FC1" w:rsidRDefault="00E465A1" w:rsidP="00096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ŚWIADCZENIOBIORCY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A1" w:rsidRPr="00601FC1" w:rsidRDefault="00E465A1" w:rsidP="00096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SCHEMAT DAWKOWANIA LEKÓW W PROGRAMIE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5A1" w:rsidRPr="00601FC1" w:rsidRDefault="00E465A1" w:rsidP="00096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BADANIA DIAGNOSTYCZNE WYKONYWANE W RAMACH PROGRAMU</w:t>
            </w:r>
          </w:p>
        </w:tc>
      </w:tr>
      <w:tr w:rsidR="00E465A1" w:rsidRPr="00601FC1" w:rsidTr="0009638B">
        <w:trPr>
          <w:trHeight w:val="245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5A1" w:rsidRPr="00601FC1" w:rsidRDefault="00E465A1" w:rsidP="00096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5A1" w:rsidRPr="00601FC1" w:rsidRDefault="00E465A1" w:rsidP="00096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5A1" w:rsidRPr="00601FC1" w:rsidRDefault="00E465A1" w:rsidP="00096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E465A1" w:rsidRPr="00601FC1" w:rsidTr="00034E63">
        <w:trPr>
          <w:trHeight w:val="1408"/>
        </w:trPr>
        <w:tc>
          <w:tcPr>
            <w:tcW w:w="17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A1" w:rsidRPr="00601FC1" w:rsidRDefault="00E465A1" w:rsidP="007B7F6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1. Leczenie </w:t>
            </w:r>
            <w:proofErr w:type="spellStart"/>
            <w:r w:rsidRPr="00601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lenalidomidem</w:t>
            </w:r>
            <w:proofErr w:type="spellEnd"/>
            <w:r w:rsidRPr="00601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chorych na opornego lub nawrotowego szpiczaka</w:t>
            </w:r>
            <w:r w:rsidR="00187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B7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plazmocytowego</w:t>
            </w:r>
            <w:proofErr w:type="spellEnd"/>
            <w:r w:rsidRPr="00601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E465A1" w:rsidRPr="00601FC1" w:rsidRDefault="00E465A1" w:rsidP="000963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E465A1" w:rsidRPr="00601FC1" w:rsidRDefault="00E465A1" w:rsidP="000963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1.1. Kryteria kwalifikacji </w:t>
            </w:r>
          </w:p>
          <w:p w:rsidR="00E465A1" w:rsidRPr="00601FC1" w:rsidRDefault="00E465A1" w:rsidP="007B7F64">
            <w:pPr>
              <w:widowControl w:val="0"/>
              <w:spacing w:after="0"/>
              <w:ind w:left="40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 programu kwalifikowani są pacjenci z opornym lub nawrotowym szpiczakiem </w:t>
            </w:r>
            <w:proofErr w:type="spellStart"/>
            <w:r w:rsidR="007B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plazmocytowym</w:t>
            </w:r>
            <w:proofErr w:type="spellEnd"/>
            <w:r w:rsidR="007B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0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wieku 18 lat i powyżej, u których spełniony jest co najmniej jeden z warunków:</w:t>
            </w:r>
          </w:p>
          <w:p w:rsidR="00E465A1" w:rsidRPr="00601FC1" w:rsidRDefault="00E465A1" w:rsidP="008C4E99">
            <w:pPr>
              <w:widowControl w:val="0"/>
              <w:numPr>
                <w:ilvl w:val="0"/>
                <w:numId w:val="3"/>
              </w:numPr>
              <w:tabs>
                <w:tab w:val="left" w:pos="400"/>
              </w:tabs>
              <w:spacing w:after="0" w:line="240" w:lineRule="auto"/>
              <w:ind w:right="1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stosowano co najmniej dwa poprzedzające protokoły leczenia;</w:t>
            </w:r>
          </w:p>
          <w:p w:rsidR="00E465A1" w:rsidRPr="00601FC1" w:rsidRDefault="00E465A1" w:rsidP="0009638B">
            <w:pPr>
              <w:widowControl w:val="0"/>
              <w:numPr>
                <w:ilvl w:val="0"/>
                <w:numId w:val="3"/>
              </w:numPr>
              <w:tabs>
                <w:tab w:val="left" w:pos="299"/>
              </w:tabs>
              <w:spacing w:after="0" w:line="240" w:lineRule="auto"/>
              <w:ind w:right="1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stosowano uprzednio co najmniej jeden protokół leczenia i wystąpiła po nim polineuropatia obwodowa co najmniej 2 stopnia, jeśli ten protokół obejmował talidomid lub co najmniej 3 stopnia, jeśli ten protokół obejmował </w:t>
            </w:r>
            <w:proofErr w:type="spellStart"/>
            <w:r w:rsidRPr="0060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bortezomib</w:t>
            </w:r>
            <w:proofErr w:type="spellEnd"/>
            <w:r w:rsidRPr="0060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:rsidR="00E465A1" w:rsidRPr="00601FC1" w:rsidRDefault="00E465A1" w:rsidP="0009638B">
            <w:pPr>
              <w:widowControl w:val="0"/>
              <w:numPr>
                <w:ilvl w:val="0"/>
                <w:numId w:val="3"/>
              </w:numPr>
              <w:tabs>
                <w:tab w:val="left" w:pos="299"/>
              </w:tabs>
              <w:spacing w:after="0" w:line="240" w:lineRule="auto"/>
              <w:ind w:right="1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 chorego nie jest planowane przeszczepienie komórek macierzystych szpiku i w pierwszym rzucie leczenia stosowano </w:t>
            </w:r>
            <w:proofErr w:type="spellStart"/>
            <w:r w:rsidRPr="0060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bortezomib</w:t>
            </w:r>
            <w:proofErr w:type="spellEnd"/>
            <w:r w:rsidRPr="0060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E465A1" w:rsidRPr="00601FC1" w:rsidRDefault="00E465A1" w:rsidP="0009638B">
            <w:pPr>
              <w:widowControl w:val="0"/>
              <w:tabs>
                <w:tab w:val="left" w:pos="299"/>
              </w:tabs>
              <w:spacing w:after="0"/>
              <w:ind w:left="760" w:right="1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65A1" w:rsidRPr="00601FC1" w:rsidRDefault="00E465A1" w:rsidP="000963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1.2. Określenie czasu leczenia w programie</w:t>
            </w:r>
          </w:p>
          <w:p w:rsidR="00E465A1" w:rsidRPr="00601FC1" w:rsidRDefault="00E465A1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Leczenie </w:t>
            </w:r>
            <w:proofErr w:type="spellStart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lenalidomidem</w:t>
            </w:r>
            <w:proofErr w:type="spellEnd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kontynuuje się do progresji choroby (z zastrzeżeniem pkt 1.4. niżej) lub wyst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ąpienia nietolerancji leku mimo </w:t>
            </w: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zastosowania redukcji dawki do 15, 10 lub 5 mg zgodnie z zaleceniami Charakterystyki Produktu Leczniczego.</w:t>
            </w:r>
          </w:p>
          <w:p w:rsidR="00E465A1" w:rsidRPr="00601FC1" w:rsidRDefault="00E465A1" w:rsidP="000963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65A1" w:rsidRPr="00601FC1" w:rsidRDefault="00E465A1" w:rsidP="000963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1.3. Kryteria niepozwalające na zakwalifikowanie </w:t>
            </w:r>
            <w:r w:rsidRPr="00601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do programu ze względu na bezpieczeństwo:</w:t>
            </w:r>
          </w:p>
          <w:p w:rsidR="00E465A1" w:rsidRPr="00601FC1" w:rsidRDefault="00E465A1" w:rsidP="000963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bezwzględna liczba neutrofili &lt;1,0x10</w:t>
            </w:r>
            <w:r w:rsidRPr="00601FC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9</w:t>
            </w:r>
            <w:r w:rsidRPr="00601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/l lub liczba płytek krwi &lt;75x10</w:t>
            </w:r>
            <w:r w:rsidRPr="00601FC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9</w:t>
            </w:r>
            <w:r w:rsidRPr="00601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/l lub &lt;30x10</w:t>
            </w:r>
            <w:r w:rsidRPr="00601FC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9</w:t>
            </w:r>
            <w:r w:rsidRPr="00601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/l, w zależności od nacieczenia szpiku kostnego przez komórki plazmatyczne;</w:t>
            </w:r>
          </w:p>
          <w:p w:rsidR="00E465A1" w:rsidRPr="00601FC1" w:rsidRDefault="00E465A1" w:rsidP="000963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ciąża;</w:t>
            </w:r>
          </w:p>
          <w:p w:rsidR="00E465A1" w:rsidRPr="00601FC1" w:rsidRDefault="00E465A1" w:rsidP="000963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niemożność stosowania się do programu zapobiegania ciąży (dotyczy kobiet i mężczyzn);</w:t>
            </w:r>
          </w:p>
          <w:p w:rsidR="00E465A1" w:rsidRPr="00601FC1" w:rsidRDefault="00E465A1" w:rsidP="000963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nadwrażliwość na </w:t>
            </w:r>
            <w:proofErr w:type="spellStart"/>
            <w:r w:rsidRPr="00601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lenalidomid</w:t>
            </w:r>
            <w:proofErr w:type="spellEnd"/>
            <w:r w:rsidRPr="00601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lub którąkolwiek substancję pomocniczą.</w:t>
            </w:r>
          </w:p>
          <w:p w:rsidR="00E465A1" w:rsidRPr="00601FC1" w:rsidRDefault="00E465A1" w:rsidP="0009638B">
            <w:pPr>
              <w:autoSpaceDE w:val="0"/>
              <w:autoSpaceDN w:val="0"/>
              <w:adjustRightInd w:val="0"/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E465A1" w:rsidRPr="00601FC1" w:rsidRDefault="00E465A1" w:rsidP="000963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1.4. Kryteria zakończenia udziału w programie:</w:t>
            </w:r>
          </w:p>
          <w:p w:rsidR="00E465A1" w:rsidRPr="00601FC1" w:rsidRDefault="00E465A1" w:rsidP="000963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progresja choroby po więcej niż 2 cyklach leczenia;</w:t>
            </w:r>
          </w:p>
          <w:p w:rsidR="00E465A1" w:rsidRPr="00601FC1" w:rsidRDefault="00E465A1" w:rsidP="000963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brak co najmniej częściowej odpowiedzi  po 6 cyklach leczenia.</w:t>
            </w:r>
          </w:p>
          <w:p w:rsidR="00E465A1" w:rsidRPr="00601FC1" w:rsidRDefault="00E465A1" w:rsidP="000963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E465A1" w:rsidRPr="00601FC1" w:rsidRDefault="00E465A1" w:rsidP="000963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2. Leczenie </w:t>
            </w:r>
            <w:proofErr w:type="spellStart"/>
            <w:r w:rsidRPr="00601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pomalidomidem</w:t>
            </w:r>
            <w:proofErr w:type="spellEnd"/>
            <w:r w:rsidRPr="00601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chorych na opornego lub nawrotowego szpiczaka </w:t>
            </w:r>
            <w:proofErr w:type="spellStart"/>
            <w:r w:rsidR="007B7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plazmocytowego</w:t>
            </w:r>
            <w:proofErr w:type="spellEnd"/>
            <w:r w:rsidRPr="00601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E465A1" w:rsidRPr="00601FC1" w:rsidRDefault="00E465A1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E465A1" w:rsidRPr="00601FC1" w:rsidRDefault="00E465A1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2.1. Kryteria kwalifikacji do leczenia </w:t>
            </w:r>
            <w:proofErr w:type="spellStart"/>
            <w:r w:rsidRPr="00601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pomalidomidem</w:t>
            </w:r>
            <w:proofErr w:type="spellEnd"/>
          </w:p>
          <w:p w:rsidR="00E465A1" w:rsidRPr="00601FC1" w:rsidRDefault="00E465A1" w:rsidP="007B7F64">
            <w:pPr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01F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 programu kwalifikowani są pacjenci z opornym lub nawrotowym szpiczakiem </w:t>
            </w:r>
            <w:proofErr w:type="spellStart"/>
            <w:r w:rsidR="007B7F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plazmocytowym</w:t>
            </w:r>
            <w:proofErr w:type="spellEnd"/>
            <w:r w:rsidR="007B7F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1F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 wieku 18 lat i powyżej, u których stosowano uprzednio co najmniej dwa schematy leczenia, obejmujące zarówno </w:t>
            </w:r>
            <w:proofErr w:type="spellStart"/>
            <w:r w:rsidRPr="00601F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lenalidomid</w:t>
            </w:r>
            <w:proofErr w:type="spellEnd"/>
            <w:r w:rsidRPr="00601F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601F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bortezomib</w:t>
            </w:r>
            <w:proofErr w:type="spellEnd"/>
            <w:r w:rsidRPr="00601F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i u których w trakcie ostatniego leczenia nastąpiła progresja choroby.</w:t>
            </w:r>
          </w:p>
          <w:p w:rsidR="00E465A1" w:rsidRPr="00601FC1" w:rsidRDefault="00E465A1" w:rsidP="0009638B">
            <w:pPr>
              <w:spacing w:after="1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Ponadto do programu lekowego, w celu zapewnienia kontynuacji terapii, mogą być włączeni pacjenci leczeni </w:t>
            </w:r>
            <w:proofErr w:type="spellStart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pomalidomidem</w:t>
            </w:r>
            <w:proofErr w:type="spellEnd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ramach innego sposobu finansowania do czasu objęcia refundacją leku w programie lekowym, o ile na dzień rozpoczęcia terapii spełniali kryteria kwalifikacji wskazane w punkcie 2.1. oraz jednocześnie nie spełniali kryteriów niepozwalających na zakwalifikowanie do programu ze względu na bezpieczeństwo,  </w:t>
            </w: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określonych w pkt 2.3.</w:t>
            </w:r>
          </w:p>
          <w:p w:rsidR="00E465A1" w:rsidRPr="00601FC1" w:rsidRDefault="00E465A1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2.2. Określenie czasu leczenia w programie.</w:t>
            </w:r>
          </w:p>
          <w:p w:rsidR="00E465A1" w:rsidRPr="00601FC1" w:rsidRDefault="00E465A1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Leczenie </w:t>
            </w:r>
            <w:proofErr w:type="spellStart"/>
            <w:r w:rsidRPr="00601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pomalidomidem</w:t>
            </w:r>
            <w:proofErr w:type="spellEnd"/>
            <w:r w:rsidRPr="00601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kontynuuje się do progresji choroby (z zastrzeżeniem p. 2.4. niżej) lub wystąpienia nietolerancji leku </w:t>
            </w: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mimo zastosowania redukcji dawki do 3, 2 lub 1 mg zgodnie z zaleceniami Charakterystyki Produktu Leczniczego</w:t>
            </w:r>
            <w:r w:rsidRPr="00601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:rsidR="00E465A1" w:rsidRPr="00601FC1" w:rsidRDefault="00E465A1" w:rsidP="0009638B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E465A1" w:rsidRPr="00601FC1" w:rsidRDefault="00E465A1" w:rsidP="0009638B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2.3. Kryteria niepozwalające na zakwalifikowanie do programu ze względu na bezpieczeństwo:</w:t>
            </w:r>
          </w:p>
          <w:p w:rsidR="00E465A1" w:rsidRPr="00601FC1" w:rsidRDefault="00E465A1" w:rsidP="0009638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bezwzględna </w:t>
            </w:r>
            <w:r w:rsidRPr="00601FC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liczba neutrofili &lt;1 x 10</w:t>
            </w:r>
            <w:r w:rsidRPr="00601FC1">
              <w:rPr>
                <w:rFonts w:ascii="Times New Roman" w:eastAsia="TimesNewRoman" w:hAnsi="Times New Roman" w:cs="Times New Roman"/>
                <w:sz w:val="20"/>
                <w:szCs w:val="20"/>
                <w:vertAlign w:val="superscript"/>
                <w:lang w:eastAsia="pl-PL"/>
              </w:rPr>
              <w:t>9</w:t>
            </w:r>
            <w:r w:rsidRPr="00601FC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/l i/lub liczba płytek krwi &lt;50 x 10</w:t>
            </w:r>
            <w:r w:rsidRPr="00601FC1">
              <w:rPr>
                <w:rFonts w:ascii="Times New Roman" w:eastAsia="TimesNewRoman" w:hAnsi="Times New Roman" w:cs="Times New Roman"/>
                <w:sz w:val="20"/>
                <w:szCs w:val="20"/>
                <w:vertAlign w:val="superscript"/>
                <w:lang w:eastAsia="pl-PL"/>
              </w:rPr>
              <w:t>9</w:t>
            </w:r>
            <w:r w:rsidRPr="00601FC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/l;</w:t>
            </w:r>
          </w:p>
          <w:p w:rsidR="00E465A1" w:rsidRPr="00601FC1" w:rsidRDefault="00E465A1" w:rsidP="0009638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ciąża;</w:t>
            </w:r>
          </w:p>
          <w:p w:rsidR="00E465A1" w:rsidRPr="00601FC1" w:rsidRDefault="00E465A1" w:rsidP="0009638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niemożność stosowania się do programu zapobiegania ciąży (dotyczy kobiet i mężczyzn);</w:t>
            </w:r>
          </w:p>
          <w:p w:rsidR="00E465A1" w:rsidRPr="00601FC1" w:rsidRDefault="00E465A1" w:rsidP="0009638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nadwrażliwość na </w:t>
            </w:r>
            <w:proofErr w:type="spellStart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pomalidomid</w:t>
            </w:r>
            <w:proofErr w:type="spellEnd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którąkolwiek substancję pomocniczą.</w:t>
            </w:r>
          </w:p>
          <w:p w:rsidR="00E465A1" w:rsidRPr="00601FC1" w:rsidRDefault="00E465A1" w:rsidP="0009638B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65A1" w:rsidRPr="00601FC1" w:rsidRDefault="00E465A1" w:rsidP="0009638B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2.4. Kryteria zakończenia udziału w programie</w:t>
            </w:r>
          </w:p>
          <w:p w:rsidR="00E465A1" w:rsidRPr="00601FC1" w:rsidRDefault="00E465A1" w:rsidP="0009638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progresja choroby po więcej niż 2 cyklach leczenia;</w:t>
            </w:r>
          </w:p>
          <w:p w:rsidR="00E465A1" w:rsidRDefault="00E465A1" w:rsidP="0009638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brak co najmniej częściowej odpowiedzi po 6 cyklach  leczenia.</w:t>
            </w:r>
            <w:r w:rsidRPr="00601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8C4E99" w:rsidRDefault="008C4E99" w:rsidP="008C4E9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C4E99" w:rsidRDefault="00F90AEC" w:rsidP="00F90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3. </w:t>
            </w:r>
            <w:proofErr w:type="spellStart"/>
            <w:r w:rsidR="008C4E99" w:rsidRPr="008C4E99">
              <w:rPr>
                <w:rFonts w:ascii="Times New Roman" w:hAnsi="Times New Roman" w:cs="Times New Roman"/>
                <w:b/>
                <w:sz w:val="20"/>
                <w:szCs w:val="20"/>
              </w:rPr>
              <w:t>Daratumumab</w:t>
            </w:r>
            <w:proofErr w:type="spellEnd"/>
            <w:r w:rsidR="008C4E99" w:rsidRPr="008C4E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skojarzeniu z </w:t>
            </w:r>
            <w:proofErr w:type="spellStart"/>
            <w:r w:rsidR="008C4E99" w:rsidRPr="008C4E99">
              <w:rPr>
                <w:rFonts w:ascii="Times New Roman" w:hAnsi="Times New Roman" w:cs="Times New Roman"/>
                <w:b/>
                <w:sz w:val="20"/>
                <w:szCs w:val="20"/>
              </w:rPr>
              <w:t>bortezomibem</w:t>
            </w:r>
            <w:proofErr w:type="spellEnd"/>
            <w:r w:rsidR="008C4E99" w:rsidRPr="008C4E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proofErr w:type="spellStart"/>
            <w:r w:rsidR="008C4E99" w:rsidRPr="008C4E99">
              <w:rPr>
                <w:rFonts w:ascii="Times New Roman" w:hAnsi="Times New Roman" w:cs="Times New Roman"/>
                <w:b/>
                <w:sz w:val="20"/>
                <w:szCs w:val="20"/>
              </w:rPr>
              <w:t>deksametazonem</w:t>
            </w:r>
            <w:proofErr w:type="spellEnd"/>
            <w:r w:rsidR="008C4E99" w:rsidRPr="008C4E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leczeniu chory</w:t>
            </w:r>
            <w:r w:rsidR="008C4E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 na szpiczaka </w:t>
            </w:r>
            <w:proofErr w:type="spellStart"/>
            <w:r w:rsidR="008C4E99">
              <w:rPr>
                <w:rFonts w:ascii="Times New Roman" w:hAnsi="Times New Roman" w:cs="Times New Roman"/>
                <w:b/>
                <w:sz w:val="20"/>
                <w:szCs w:val="20"/>
              </w:rPr>
              <w:t>plazmocytowego</w:t>
            </w:r>
            <w:proofErr w:type="spellEnd"/>
            <w:r w:rsidR="008C4E9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C4E99" w:rsidRPr="008C4E99" w:rsidRDefault="008C4E99" w:rsidP="008C4E99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E99">
              <w:rPr>
                <w:rFonts w:ascii="Times New Roman" w:hAnsi="Times New Roman" w:cs="Times New Roman"/>
                <w:b/>
                <w:sz w:val="20"/>
                <w:szCs w:val="20"/>
              </w:rPr>
              <w:t>3.1 Kryteria kwalifikacji</w:t>
            </w:r>
          </w:p>
          <w:p w:rsidR="008C4E99" w:rsidRPr="008C4E99" w:rsidRDefault="008C4E99" w:rsidP="008C4E99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E99">
              <w:rPr>
                <w:rFonts w:ascii="Times New Roman" w:hAnsi="Times New Roman" w:cs="Times New Roman"/>
                <w:sz w:val="20"/>
                <w:szCs w:val="20"/>
              </w:rPr>
              <w:t xml:space="preserve">Do programu kwalifikowani są dorośli (≥18 lat) chorzy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D247B">
              <w:rPr>
                <w:rFonts w:ascii="Times New Roman" w:hAnsi="Times New Roman" w:cs="Times New Roman"/>
                <w:sz w:val="20"/>
                <w:szCs w:val="20"/>
              </w:rPr>
              <w:t>na nawrotowego i/</w:t>
            </w:r>
            <w:r w:rsidRPr="008C4E99">
              <w:rPr>
                <w:rFonts w:ascii="Times New Roman" w:hAnsi="Times New Roman" w:cs="Times New Roman"/>
                <w:sz w:val="20"/>
                <w:szCs w:val="20"/>
              </w:rPr>
              <w:t xml:space="preserve">lub opornego szpiczaka </w:t>
            </w:r>
            <w:proofErr w:type="spellStart"/>
            <w:r w:rsidRPr="008C4E99">
              <w:rPr>
                <w:rFonts w:ascii="Times New Roman" w:hAnsi="Times New Roman" w:cs="Times New Roman"/>
                <w:sz w:val="20"/>
                <w:szCs w:val="20"/>
              </w:rPr>
              <w:t>plazmocytowego</w:t>
            </w:r>
            <w:proofErr w:type="spellEnd"/>
            <w:r w:rsidRPr="008C4E99">
              <w:rPr>
                <w:rFonts w:ascii="Times New Roman" w:hAnsi="Times New Roman" w:cs="Times New Roman"/>
                <w:sz w:val="20"/>
                <w:szCs w:val="20"/>
              </w:rPr>
              <w:t>, którzy spełniają jedno z poniższych kryteriów:</w:t>
            </w:r>
          </w:p>
          <w:p w:rsidR="008C4E99" w:rsidRPr="008C4E99" w:rsidRDefault="008C4E99" w:rsidP="008C4E99">
            <w:pPr>
              <w:spacing w:before="240" w:after="0" w:line="240" w:lineRule="auto"/>
              <w:ind w:left="4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8C4E99">
              <w:rPr>
                <w:rFonts w:ascii="Times New Roman" w:hAnsi="Times New Roman" w:cs="Times New Roman"/>
                <w:sz w:val="20"/>
                <w:szCs w:val="20"/>
              </w:rPr>
              <w:t xml:space="preserve">Pacjenci u których zastosowano jedną linię leczenia, obejmującą </w:t>
            </w:r>
            <w:proofErr w:type="spellStart"/>
            <w:r w:rsidRPr="008C4E99">
              <w:rPr>
                <w:rFonts w:ascii="Times New Roman" w:hAnsi="Times New Roman" w:cs="Times New Roman"/>
                <w:sz w:val="20"/>
                <w:szCs w:val="20"/>
              </w:rPr>
              <w:t>bortezomib</w:t>
            </w:r>
            <w:proofErr w:type="spellEnd"/>
            <w:r w:rsidRPr="008C4E99">
              <w:rPr>
                <w:rFonts w:ascii="Times New Roman" w:hAnsi="Times New Roman" w:cs="Times New Roman"/>
                <w:sz w:val="20"/>
                <w:szCs w:val="20"/>
              </w:rPr>
              <w:t xml:space="preserve"> oraz przeszczepienie komórek macierzystych szpiku i celowe jest ponowne leczenie </w:t>
            </w:r>
            <w:proofErr w:type="spellStart"/>
            <w:r w:rsidRPr="008C4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bortezomibem</w:t>
            </w:r>
            <w:proofErr w:type="spellEnd"/>
            <w:r w:rsidRPr="008C4E99">
              <w:rPr>
                <w:rFonts w:ascii="Times New Roman" w:hAnsi="Times New Roman" w:cs="Times New Roman"/>
                <w:sz w:val="20"/>
                <w:szCs w:val="20"/>
              </w:rPr>
              <w:t xml:space="preserve"> zgodnie z zaleceniami klinicznymi pod warunkiem niewystępowania polineuropatii obwodowej lub bólu neuropatycznego ≥ 2 stopnia;</w:t>
            </w:r>
          </w:p>
          <w:p w:rsidR="008C4E99" w:rsidRPr="008C4E99" w:rsidRDefault="008C4E99" w:rsidP="008C4E99">
            <w:pPr>
              <w:spacing w:before="240" w:after="0" w:line="240" w:lineRule="auto"/>
              <w:ind w:left="489"/>
              <w:rPr>
                <w:rFonts w:ascii="Times New Roman" w:hAnsi="Times New Roman" w:cs="Times New Roman"/>
                <w:sz w:val="20"/>
                <w:szCs w:val="20"/>
              </w:rPr>
            </w:pPr>
            <w:r w:rsidRPr="008C4E99">
              <w:rPr>
                <w:rFonts w:ascii="Times New Roman" w:hAnsi="Times New Roman" w:cs="Times New Roman"/>
                <w:sz w:val="20"/>
                <w:szCs w:val="20"/>
              </w:rPr>
              <w:t xml:space="preserve">2. Pacjenci u których zastosowano 2 lub 3 poprzedzające linie leczenia, obejmujące </w:t>
            </w:r>
            <w:proofErr w:type="spellStart"/>
            <w:r w:rsidRPr="008C4E99">
              <w:rPr>
                <w:rFonts w:ascii="Times New Roman" w:hAnsi="Times New Roman" w:cs="Times New Roman"/>
                <w:sz w:val="20"/>
                <w:szCs w:val="20"/>
              </w:rPr>
              <w:t>bortezomib</w:t>
            </w:r>
            <w:proofErr w:type="spellEnd"/>
            <w:r w:rsidRPr="008C4E9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8C4E99">
              <w:rPr>
                <w:rFonts w:ascii="Times New Roman" w:hAnsi="Times New Roman" w:cs="Times New Roman"/>
                <w:sz w:val="20"/>
                <w:szCs w:val="20"/>
              </w:rPr>
              <w:t>lenalidomid</w:t>
            </w:r>
            <w:proofErr w:type="spellEnd"/>
            <w:r w:rsidRPr="008C4E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4E99" w:rsidRDefault="008C4E99" w:rsidP="008C4E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4E99" w:rsidRPr="008C4E99" w:rsidRDefault="008C4E99" w:rsidP="008C4E99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C4E99">
              <w:rPr>
                <w:rFonts w:ascii="Times New Roman" w:hAnsi="Times New Roman" w:cs="Times New Roman"/>
                <w:b/>
                <w:sz w:val="20"/>
                <w:szCs w:val="20"/>
              </w:rPr>
              <w:t>.2. Określenie czasu leczenia w programie</w:t>
            </w:r>
          </w:p>
          <w:p w:rsidR="008C4E99" w:rsidRPr="008C4E99" w:rsidRDefault="008C4E99" w:rsidP="008C4E99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E99">
              <w:rPr>
                <w:rFonts w:ascii="Times New Roman" w:hAnsi="Times New Roman" w:cs="Times New Roman"/>
                <w:sz w:val="20"/>
                <w:szCs w:val="20"/>
              </w:rPr>
              <w:t xml:space="preserve">Leczenie </w:t>
            </w:r>
            <w:proofErr w:type="spellStart"/>
            <w:r w:rsidRPr="008C4E99">
              <w:rPr>
                <w:rFonts w:ascii="Times New Roman" w:hAnsi="Times New Roman" w:cs="Times New Roman"/>
                <w:sz w:val="20"/>
                <w:szCs w:val="20"/>
              </w:rPr>
              <w:t>daratumumabem</w:t>
            </w:r>
            <w:proofErr w:type="spellEnd"/>
            <w:r w:rsidRPr="008C4E99">
              <w:rPr>
                <w:rFonts w:ascii="Times New Roman" w:hAnsi="Times New Roman" w:cs="Times New Roman"/>
                <w:sz w:val="20"/>
                <w:szCs w:val="20"/>
              </w:rPr>
              <w:t xml:space="preserve"> w skojarzeniu z </w:t>
            </w:r>
            <w:proofErr w:type="spellStart"/>
            <w:r w:rsidRPr="008C4E99">
              <w:rPr>
                <w:rFonts w:ascii="Times New Roman" w:hAnsi="Times New Roman" w:cs="Times New Roman"/>
                <w:sz w:val="20"/>
                <w:szCs w:val="20"/>
              </w:rPr>
              <w:t>bortezomibem</w:t>
            </w:r>
            <w:proofErr w:type="spellEnd"/>
            <w:r w:rsidRPr="008C4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C4E99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8C4E99">
              <w:rPr>
                <w:rFonts w:ascii="Times New Roman" w:hAnsi="Times New Roman" w:cs="Times New Roman"/>
                <w:sz w:val="20"/>
                <w:szCs w:val="20"/>
              </w:rPr>
              <w:t>deksametazonem</w:t>
            </w:r>
            <w:proofErr w:type="spellEnd"/>
            <w:r w:rsidRPr="008C4E99">
              <w:rPr>
                <w:rFonts w:ascii="Times New Roman" w:hAnsi="Times New Roman" w:cs="Times New Roman"/>
                <w:sz w:val="20"/>
                <w:szCs w:val="20"/>
              </w:rPr>
              <w:t xml:space="preserve"> kontynuuje się do progresji choroby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C4E99">
              <w:rPr>
                <w:rFonts w:ascii="Times New Roman" w:hAnsi="Times New Roman" w:cs="Times New Roman"/>
                <w:sz w:val="20"/>
                <w:szCs w:val="20"/>
              </w:rPr>
              <w:t>lub nieakceptowalnej toksyczności zgodnie z zaleceniami Charakterystyk Produktów Leczniczych.</w:t>
            </w:r>
            <w:r w:rsidRPr="008C4E99" w:rsidDel="007D3D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4E99" w:rsidRPr="008C4E99" w:rsidRDefault="008C4E99" w:rsidP="008C4E99">
            <w:pPr>
              <w:pStyle w:val="Akapitzlist"/>
              <w:numPr>
                <w:ilvl w:val="1"/>
                <w:numId w:val="13"/>
              </w:numPr>
              <w:spacing w:before="24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E99">
              <w:rPr>
                <w:rFonts w:ascii="Times New Roman" w:hAnsi="Times New Roman" w:cs="Times New Roman"/>
                <w:b/>
                <w:sz w:val="20"/>
                <w:szCs w:val="20"/>
              </w:rPr>
              <w:t>Kryteria wykluczające udział w programie</w:t>
            </w:r>
          </w:p>
          <w:p w:rsidR="008C4E99" w:rsidRDefault="008C4E99" w:rsidP="008C4E99">
            <w:pPr>
              <w:numPr>
                <w:ilvl w:val="0"/>
                <w:numId w:val="10"/>
              </w:numPr>
              <w:spacing w:before="240" w:after="0" w:line="240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C4E99">
              <w:rPr>
                <w:rFonts w:ascii="Times New Roman" w:hAnsi="Times New Roman" w:cs="Times New Roman"/>
                <w:sz w:val="20"/>
                <w:szCs w:val="20"/>
              </w:rPr>
              <w:t xml:space="preserve">Nadwrażliwość na </w:t>
            </w:r>
            <w:proofErr w:type="spellStart"/>
            <w:r w:rsidRPr="008C4E99">
              <w:rPr>
                <w:rFonts w:ascii="Times New Roman" w:hAnsi="Times New Roman" w:cs="Times New Roman"/>
                <w:sz w:val="20"/>
                <w:szCs w:val="20"/>
              </w:rPr>
              <w:t>daratumumab</w:t>
            </w:r>
            <w:proofErr w:type="spellEnd"/>
            <w:r w:rsidRPr="008C4E99">
              <w:rPr>
                <w:rFonts w:ascii="Times New Roman" w:hAnsi="Times New Roman" w:cs="Times New Roman"/>
                <w:sz w:val="20"/>
                <w:szCs w:val="20"/>
              </w:rPr>
              <w:t xml:space="preserve"> lub którąkolwiek substancję pomocniczą;</w:t>
            </w:r>
          </w:p>
          <w:p w:rsidR="008C4E99" w:rsidRPr="00377C26" w:rsidRDefault="008C4E99" w:rsidP="008C4E99">
            <w:pPr>
              <w:numPr>
                <w:ilvl w:val="0"/>
                <w:numId w:val="10"/>
              </w:numPr>
              <w:spacing w:before="240" w:after="0" w:line="240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C4E99">
              <w:rPr>
                <w:rFonts w:ascii="Times New Roman" w:hAnsi="Times New Roman" w:cs="Times New Roman"/>
                <w:sz w:val="20"/>
                <w:szCs w:val="20"/>
              </w:rPr>
              <w:t xml:space="preserve">Oporność na leczenie </w:t>
            </w:r>
            <w:proofErr w:type="spellStart"/>
            <w:r w:rsidRPr="008C4E99">
              <w:rPr>
                <w:rFonts w:ascii="Times New Roman" w:hAnsi="Times New Roman" w:cs="Times New Roman"/>
                <w:sz w:val="20"/>
                <w:szCs w:val="20"/>
              </w:rPr>
              <w:t>bortezomibem</w:t>
            </w:r>
            <w:proofErr w:type="spellEnd"/>
            <w:r w:rsidRPr="008C4E99">
              <w:rPr>
                <w:rFonts w:ascii="Times New Roman" w:hAnsi="Times New Roman" w:cs="Times New Roman"/>
                <w:sz w:val="20"/>
                <w:szCs w:val="20"/>
              </w:rPr>
              <w:t xml:space="preserve"> lub przeciwskazania do jego stosowania zgodnie z Charakterystyką Produktu Leczniczego</w:t>
            </w:r>
          </w:p>
          <w:p w:rsidR="008C4E99" w:rsidRPr="008C4E99" w:rsidRDefault="008C4E99" w:rsidP="008C4E99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E99">
              <w:rPr>
                <w:rFonts w:ascii="Times New Roman" w:hAnsi="Times New Roman" w:cs="Times New Roman"/>
                <w:b/>
                <w:sz w:val="20"/>
                <w:szCs w:val="20"/>
              </w:rPr>
              <w:t>3.4. Kryteria zakończenia udziału w programie:</w:t>
            </w:r>
          </w:p>
          <w:p w:rsidR="008C4E99" w:rsidRPr="008C4E99" w:rsidRDefault="008C4E99" w:rsidP="00034E63">
            <w:pPr>
              <w:numPr>
                <w:ilvl w:val="0"/>
                <w:numId w:val="12"/>
              </w:num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E99">
              <w:rPr>
                <w:rFonts w:ascii="Times New Roman" w:hAnsi="Times New Roman" w:cs="Times New Roman"/>
                <w:sz w:val="20"/>
                <w:szCs w:val="20"/>
              </w:rPr>
              <w:t>Progresja choroby w trakcie stosowania leczenia (po co najmniej 2 cyklach leczenia);</w:t>
            </w:r>
          </w:p>
          <w:p w:rsidR="008C4E99" w:rsidRPr="008C4E99" w:rsidRDefault="008C4E99" w:rsidP="00034E63">
            <w:pPr>
              <w:numPr>
                <w:ilvl w:val="0"/>
                <w:numId w:val="12"/>
              </w:num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E99">
              <w:rPr>
                <w:rFonts w:ascii="Times New Roman" w:hAnsi="Times New Roman" w:cs="Times New Roman"/>
                <w:sz w:val="20"/>
                <w:szCs w:val="20"/>
              </w:rPr>
              <w:t>Brak co najmniej częściowej remisji po 6 cyklach leczenia;</w:t>
            </w:r>
          </w:p>
          <w:p w:rsidR="008C4E99" w:rsidRDefault="008C4E99" w:rsidP="00034E63">
            <w:pPr>
              <w:numPr>
                <w:ilvl w:val="0"/>
                <w:numId w:val="12"/>
              </w:num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E99">
              <w:rPr>
                <w:rFonts w:ascii="Times New Roman" w:hAnsi="Times New Roman" w:cs="Times New Roman"/>
                <w:sz w:val="20"/>
                <w:szCs w:val="20"/>
              </w:rPr>
              <w:t xml:space="preserve">Powikłania </w:t>
            </w:r>
            <w:proofErr w:type="spellStart"/>
            <w:r w:rsidRPr="008C4E99">
              <w:rPr>
                <w:rFonts w:ascii="Times New Roman" w:hAnsi="Times New Roman" w:cs="Times New Roman"/>
                <w:sz w:val="20"/>
                <w:szCs w:val="20"/>
              </w:rPr>
              <w:t>okołoinfuzyjne</w:t>
            </w:r>
            <w:proofErr w:type="spellEnd"/>
            <w:r w:rsidRPr="008C4E99">
              <w:rPr>
                <w:rFonts w:ascii="Times New Roman" w:hAnsi="Times New Roman" w:cs="Times New Roman"/>
                <w:sz w:val="20"/>
                <w:szCs w:val="20"/>
              </w:rPr>
              <w:t xml:space="preserve"> uniemożliwiające kontynuację leczenia </w:t>
            </w:r>
            <w:proofErr w:type="spellStart"/>
            <w:r w:rsidRPr="008C4E99">
              <w:rPr>
                <w:rFonts w:ascii="Times New Roman" w:hAnsi="Times New Roman" w:cs="Times New Roman"/>
                <w:sz w:val="20"/>
                <w:szCs w:val="20"/>
              </w:rPr>
              <w:t>daratumumabem</w:t>
            </w:r>
            <w:proofErr w:type="spellEnd"/>
            <w:r w:rsidRPr="008C4E99">
              <w:rPr>
                <w:rFonts w:ascii="Times New Roman" w:hAnsi="Times New Roman" w:cs="Times New Roman"/>
                <w:sz w:val="20"/>
                <w:szCs w:val="20"/>
              </w:rPr>
              <w:t xml:space="preserve"> zgodnie z Charakterystyką Produktu Leczniczego;</w:t>
            </w:r>
          </w:p>
          <w:p w:rsidR="008C4E99" w:rsidRDefault="00BA3A5B" w:rsidP="00034E63">
            <w:pPr>
              <w:numPr>
                <w:ilvl w:val="0"/>
                <w:numId w:val="12"/>
              </w:num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Ciąża</w:t>
            </w:r>
            <w:r w:rsidR="008C4E99" w:rsidRPr="008C4E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42EE" w:rsidRDefault="00D242EE" w:rsidP="00D242EE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2EE" w:rsidRPr="00A04F61" w:rsidRDefault="00D242EE" w:rsidP="00BD29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A04F6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4.</w:t>
            </w:r>
            <w:r w:rsidRPr="00A04F6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04F61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Leczenie chorych na opornego lu</w:t>
            </w:r>
            <w:r w:rsidR="00ED2F32" w:rsidRPr="00ED2F32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 xml:space="preserve">b nawrotowego szpiczaka </w:t>
            </w:r>
            <w:proofErr w:type="spellStart"/>
            <w:r w:rsidR="00ED2F32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lastRenderedPageBreak/>
              <w:t>plazmocytowego</w:t>
            </w:r>
            <w:proofErr w:type="spellEnd"/>
            <w:r w:rsidRPr="00A04F61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 xml:space="preserve"> z wykorzystaniem skojarzonego </w:t>
            </w:r>
            <w:r w:rsidR="00BD29BF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 xml:space="preserve">leczenia </w:t>
            </w:r>
            <w:proofErr w:type="spellStart"/>
            <w:r w:rsidR="00BD29BF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karfilzomibem</w:t>
            </w:r>
            <w:proofErr w:type="spellEnd"/>
            <w:r w:rsidR="00BD29BF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04F61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lenalidomid</w:t>
            </w:r>
            <w:proofErr w:type="spellEnd"/>
            <w:r w:rsidRPr="00A04F61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="00BD29BF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deksametazonem</w:t>
            </w:r>
            <w:proofErr w:type="spellEnd"/>
            <w:r w:rsidR="00BD29BF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.</w:t>
            </w:r>
          </w:p>
          <w:p w:rsidR="00D242EE" w:rsidRPr="00A04F61" w:rsidRDefault="00D242EE" w:rsidP="00D242E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</w:p>
          <w:p w:rsidR="00D242EE" w:rsidRPr="00A04F61" w:rsidRDefault="00ED2F32" w:rsidP="00BD29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4.</w:t>
            </w:r>
            <w:r w:rsidR="00D242EE" w:rsidRPr="00A04F6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1. Kryteria kwalifik</w:t>
            </w:r>
            <w:r w:rsidR="00BD29BF" w:rsidRPr="00BD29B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acji do leczenia </w:t>
            </w:r>
            <w:proofErr w:type="spellStart"/>
            <w:r w:rsidR="00BD29BF" w:rsidRPr="00BD29B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karfilzomibem</w:t>
            </w:r>
            <w:proofErr w:type="spellEnd"/>
            <w:r w:rsidR="00BD29BF" w:rsidRPr="00BD29B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D29B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w skojarzeniu z</w:t>
            </w:r>
            <w:r w:rsidR="00D242EE" w:rsidRPr="00A04F6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242EE" w:rsidRPr="00A04F6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lenalidomidem</w:t>
            </w:r>
            <w:proofErr w:type="spellEnd"/>
            <w:r w:rsidR="00BD29B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="00BD29B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deksametazonem</w:t>
            </w:r>
            <w:proofErr w:type="spellEnd"/>
          </w:p>
          <w:p w:rsidR="00D242EE" w:rsidRPr="00A04F61" w:rsidRDefault="00D242EE" w:rsidP="00D242EE">
            <w:pPr>
              <w:widowControl w:val="0"/>
              <w:ind w:left="40" w:right="10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Do programu kwalifikowani są pacjenci z opornym l</w:t>
            </w:r>
            <w:r w:rsidR="00ED2F32" w:rsidRPr="00ED2F3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ub nawrotowym szpiczakiem </w:t>
            </w:r>
            <w:proofErr w:type="spellStart"/>
            <w:r w:rsidR="00ED2F3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plazmocytowym</w:t>
            </w:r>
            <w:proofErr w:type="spellEnd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w wieku 18 lat i powyżej, u których spełnione są następujące warunki</w:t>
            </w:r>
          </w:p>
          <w:p w:rsidR="00D242EE" w:rsidRPr="00A04F61" w:rsidRDefault="00D242EE" w:rsidP="00D242EE">
            <w:pPr>
              <w:widowControl w:val="0"/>
              <w:ind w:left="40" w:right="10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D242EE" w:rsidRPr="00A04F61" w:rsidRDefault="00D242EE" w:rsidP="00D242EE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pacing w:after="0"/>
              <w:ind w:right="10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stosowano jeden, dwa lub trzy poprzedzające protokoły leczenia; </w:t>
            </w:r>
          </w:p>
          <w:p w:rsidR="00D242EE" w:rsidRPr="00A04F61" w:rsidRDefault="00D242EE" w:rsidP="00D242EE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pacing w:after="0"/>
              <w:ind w:right="10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w którymkolwiek z  poprzedzających  protokołów leczenia zastosowano </w:t>
            </w:r>
            <w:proofErr w:type="spellStart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bortezomib</w:t>
            </w:r>
            <w:proofErr w:type="spellEnd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i/lub lek immunomodulujący (talidomid, </w:t>
            </w:r>
            <w:proofErr w:type="spellStart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lenalidomid</w:t>
            </w:r>
            <w:proofErr w:type="spellEnd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lub </w:t>
            </w:r>
            <w:proofErr w:type="spellStart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pomalidomid</w:t>
            </w:r>
            <w:proofErr w:type="spellEnd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);</w:t>
            </w:r>
          </w:p>
          <w:p w:rsidR="00D242EE" w:rsidRPr="00A04F61" w:rsidRDefault="00D242EE" w:rsidP="00ED2F32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pacing w:after="0"/>
              <w:ind w:left="760" w:right="10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nie uzyskano remisji częściowej po 4 cyklach wg protokołu </w:t>
            </w:r>
            <w:r w:rsidR="00ED2F32" w:rsidRPr="00ED2F3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zawierającego </w:t>
            </w:r>
            <w:proofErr w:type="spellStart"/>
            <w:r w:rsidR="00ED2F32" w:rsidRPr="00ED2F3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bortezomib</w:t>
            </w:r>
            <w:proofErr w:type="spellEnd"/>
            <w:r w:rsidR="00ED2F32" w:rsidRPr="00ED2F3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lub stwierdzono progresję choroby po co najmniej 3 </w:t>
            </w:r>
            <w:r w:rsidR="00ED2F3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cyklach </w:t>
            </w:r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leczenia </w:t>
            </w:r>
            <w:proofErr w:type="spellStart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lenalidomidem</w:t>
            </w:r>
            <w:proofErr w:type="spellEnd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deksametazonem</w:t>
            </w:r>
            <w:proofErr w:type="spellEnd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, jeśli był to ostatni stosowany przez pacjenta protokół leczenia;</w:t>
            </w:r>
          </w:p>
          <w:p w:rsidR="00D242EE" w:rsidRPr="00A04F61" w:rsidRDefault="00D242EE" w:rsidP="00D242EE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pacing w:after="0"/>
              <w:ind w:right="10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pacjent kwalifikuje się do leczenia chemioterapią wysokodawkową i przeszczepieniem komórek krwiotwórczych</w:t>
            </w:r>
          </w:p>
          <w:p w:rsidR="00D242EE" w:rsidRPr="00A04F61" w:rsidRDefault="00D242EE" w:rsidP="00D242EE">
            <w:pPr>
              <w:pStyle w:val="Akapitzlist"/>
              <w:widowControl w:val="0"/>
              <w:tabs>
                <w:tab w:val="left" w:pos="299"/>
              </w:tabs>
              <w:ind w:left="760" w:right="10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D242EE" w:rsidRPr="00A04F61" w:rsidRDefault="00ED2F32" w:rsidP="00D242E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4.</w:t>
            </w:r>
            <w:r w:rsidR="00D242EE" w:rsidRPr="00A04F6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2. Określenie czasu leczenia w programie</w:t>
            </w:r>
          </w:p>
          <w:p w:rsidR="00D242EE" w:rsidRPr="00A04F61" w:rsidRDefault="00D242EE" w:rsidP="00D242E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Leczenie </w:t>
            </w:r>
            <w:proofErr w:type="spellStart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karfilzomibem</w:t>
            </w:r>
            <w:proofErr w:type="spellEnd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kontynuuje się do czasu osiągnięcia bardzo dobrej częściowej odpowiedzi na leczenie, przez maksymalnie 8 cykli, lub wystąpienia nietolerancji leku mimo </w:t>
            </w:r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lastRenderedPageBreak/>
              <w:t>zastosowania redukcji dawki leku do 20 lub15 mg/m</w:t>
            </w:r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pc</w:t>
            </w:r>
            <w:proofErr w:type="spellEnd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. zgodnie z zaleceniami Charakterystyki Produktu Leczniczego Leczenie </w:t>
            </w:r>
            <w:proofErr w:type="spellStart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lenalidomidem</w:t>
            </w:r>
            <w:proofErr w:type="spellEnd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kontynuuje się do progresji choroby (z zastrzeżeniem pkt 4 niżej) lub wystąpienia nietolerancji leku mimo zastosowania redukcji dawki do 15, 10 lub 5 mg zgodnie z zaleceniami Charakterystyki Produktu Leczniczego.</w:t>
            </w:r>
          </w:p>
          <w:p w:rsidR="00D242EE" w:rsidRPr="00A04F61" w:rsidRDefault="00D242EE" w:rsidP="00D242E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D242EE" w:rsidRPr="00A04F61" w:rsidRDefault="00995DB3" w:rsidP="00D242E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4.</w:t>
            </w:r>
            <w:r w:rsidR="00D242EE" w:rsidRPr="00A04F6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3. Kryteria niepozwalające na zakwalifikowanie do programu ze względu na bezpieczeństwo: </w:t>
            </w:r>
          </w:p>
          <w:p w:rsidR="00D242EE" w:rsidRPr="00A04F61" w:rsidRDefault="00D242EE" w:rsidP="00D242E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299"/>
              </w:tabs>
              <w:spacing w:after="0"/>
              <w:ind w:right="10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bezwzględna liczba neutrofili &lt;0,5x10</w:t>
            </w:r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>9</w:t>
            </w:r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/l ; liczba płytek krwi &lt; 30x10</w:t>
            </w:r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>9</w:t>
            </w:r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/l (w przypadku małopłytkowości z liczbą płytek krwi &lt;75x10</w:t>
            </w:r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>9</w:t>
            </w:r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/l  decyzję o leczeniu należy podjąć na podstawie stopnia nacieczenia szpiku kostnego przez komórki plazmatyczne zgodnie z Charakterystyką Produktu Leczniczego </w:t>
            </w:r>
            <w:proofErr w:type="spellStart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Revlimid</w:t>
            </w:r>
            <w:proofErr w:type="spellEnd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); </w:t>
            </w:r>
          </w:p>
          <w:p w:rsidR="00D242EE" w:rsidRPr="00A04F61" w:rsidRDefault="00D242EE" w:rsidP="00D242E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299"/>
              </w:tabs>
              <w:spacing w:after="0"/>
              <w:ind w:right="10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ciąża i okres karmienia piersią;</w:t>
            </w:r>
          </w:p>
          <w:p w:rsidR="00D242EE" w:rsidRPr="00A04F61" w:rsidRDefault="00D242EE" w:rsidP="00D242E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299"/>
              </w:tabs>
              <w:spacing w:after="0"/>
              <w:ind w:right="100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niemożność stosowania się do programu zapobiegania ciąży (dotyczy kobiet i mężczyzn</w:t>
            </w:r>
            <w:r w:rsidRPr="00A04F61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);</w:t>
            </w:r>
          </w:p>
          <w:p w:rsidR="00D242EE" w:rsidRPr="00A04F61" w:rsidRDefault="00D242EE" w:rsidP="00D242E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299"/>
              </w:tabs>
              <w:spacing w:after="0"/>
              <w:ind w:right="100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A04F61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nadwrażliwość na </w:t>
            </w:r>
            <w:proofErr w:type="spellStart"/>
            <w:r w:rsidRPr="00A04F61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karfilzomib</w:t>
            </w:r>
            <w:proofErr w:type="spellEnd"/>
            <w:r w:rsidRPr="00A04F61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 lub którąkolwiek substancję pomocniczą.</w:t>
            </w:r>
          </w:p>
          <w:p w:rsidR="00D242EE" w:rsidRPr="00A04F61" w:rsidRDefault="00D242EE" w:rsidP="00971E3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A04F61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nadwrażliwość na </w:t>
            </w:r>
            <w:proofErr w:type="spellStart"/>
            <w:r w:rsidRPr="00A04F61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lenalidomid</w:t>
            </w:r>
            <w:proofErr w:type="spellEnd"/>
            <w:r w:rsidRPr="00A04F61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 lub którąkolwiek substancję pomocniczą.</w:t>
            </w:r>
          </w:p>
          <w:p w:rsidR="00D242EE" w:rsidRPr="00A04F61" w:rsidRDefault="00D242EE" w:rsidP="00971E3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A04F61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niewydolność serca stopnia III i IV wg klasyfikacji NYHA</w:t>
            </w:r>
          </w:p>
          <w:p w:rsidR="00D242EE" w:rsidRPr="00A04F61" w:rsidRDefault="00D242EE" w:rsidP="00971E3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A04F61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zawał mięśnia sercowego przebyty w ciągu ostatnich 4 miesięcy.</w:t>
            </w:r>
          </w:p>
          <w:p w:rsidR="00D242EE" w:rsidRPr="00A04F61" w:rsidRDefault="00D242EE" w:rsidP="00971E3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A04F61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niekontrolowana  choroba niedokrwienna serca lub niekontrolowane farmakologicznie  nieprawidłowe zmiany przewodzenia impulsów w mięśniu sercowym</w:t>
            </w:r>
          </w:p>
          <w:p w:rsidR="00D242EE" w:rsidRPr="00A04F61" w:rsidRDefault="00D242EE" w:rsidP="00D242E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  <w:p w:rsidR="00D242EE" w:rsidRPr="00A04F61" w:rsidRDefault="00995DB3" w:rsidP="00D242E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lastRenderedPageBreak/>
              <w:t>4.</w:t>
            </w:r>
            <w:r w:rsidR="00D242EE" w:rsidRPr="00A04F6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4. Kryteria zakończenia udziału w programie:</w:t>
            </w:r>
          </w:p>
          <w:p w:rsidR="00D242EE" w:rsidRDefault="00D242EE" w:rsidP="00D242E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A04F61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progresja choroby po więcej niż 2 cyklach leczenia;</w:t>
            </w:r>
          </w:p>
          <w:p w:rsidR="00D242EE" w:rsidRPr="00971E3E" w:rsidRDefault="00D242EE" w:rsidP="00971E3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E3E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brak remisji częściowej po 4 cyklach leczenia.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A1" w:rsidRPr="00601FC1" w:rsidRDefault="00E465A1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1. Dawkowanie </w:t>
            </w:r>
            <w:proofErr w:type="spellStart"/>
            <w:r w:rsidRPr="00601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lenalidomidu</w:t>
            </w:r>
            <w:proofErr w:type="spellEnd"/>
            <w:r w:rsidRPr="00601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601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deksametazonu</w:t>
            </w:r>
            <w:proofErr w:type="spellEnd"/>
          </w:p>
          <w:p w:rsidR="00E465A1" w:rsidRPr="00601FC1" w:rsidRDefault="00E465A1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Lenalidomid</w:t>
            </w:r>
            <w:proofErr w:type="spellEnd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postaci kapsułek twardych a 5,10,</w:t>
            </w:r>
          </w:p>
          <w:p w:rsidR="00E465A1" w:rsidRPr="00A04F61" w:rsidRDefault="00E465A1" w:rsidP="00442E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lub 25 mg, jest stosowany w skojarzeniu z </w:t>
            </w:r>
            <w:proofErr w:type="spellStart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deksametazonem</w:t>
            </w:r>
            <w:proofErr w:type="spellEnd"/>
            <w:r w:rsidR="00442E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E465A1" w:rsidRPr="00601FC1" w:rsidRDefault="00E465A1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65A1" w:rsidRPr="00601FC1" w:rsidRDefault="00E465A1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01F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Lenalidomid</w:t>
            </w:r>
            <w:proofErr w:type="spellEnd"/>
            <w:r w:rsidRPr="00601F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Zalecana dawka początkowa: 25 mg</w:t>
            </w:r>
          </w:p>
          <w:p w:rsidR="00E465A1" w:rsidRPr="00601FC1" w:rsidRDefault="00E465A1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doustnie raz na dobę w dniach 1-21, w powtarzanych 28-dniowych cyklach.</w:t>
            </w:r>
          </w:p>
          <w:p w:rsidR="00E465A1" w:rsidRPr="00601FC1" w:rsidRDefault="00E465A1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 chorych z niewydolnością nerek dawka początkowa </w:t>
            </w:r>
            <w:proofErr w:type="spellStart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lenalidomidu</w:t>
            </w:r>
            <w:proofErr w:type="spellEnd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powinna być zgodna z zaleceniami Charakterystyki Produktu Leczniczego.</w:t>
            </w:r>
          </w:p>
          <w:p w:rsidR="00E465A1" w:rsidRPr="00601FC1" w:rsidRDefault="00E465A1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65A1" w:rsidRPr="00601FC1" w:rsidRDefault="00E465A1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01F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Deksametazon</w:t>
            </w:r>
            <w:proofErr w:type="spellEnd"/>
            <w:r w:rsidRPr="00601F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Zalecana dawka: 40 mg doustnie raz na dobę w dniach 1-4, 9-12 i 17-20 każdego 28-dniowego cyklu przez pierwsze 4 cykle leczenia, a następnie 40 mg raz na dobę w dniach 1-4 co 28 dni.</w:t>
            </w:r>
          </w:p>
          <w:p w:rsidR="00E465A1" w:rsidRPr="00601FC1" w:rsidRDefault="00E465A1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Lekarz powinien ocenić, jaką dawkę </w:t>
            </w:r>
            <w:proofErr w:type="spellStart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deksametazonu</w:t>
            </w:r>
            <w:proofErr w:type="spellEnd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zastosować, biorąc pod uwagę stan pacjenta oraz nasilenie choroby.</w:t>
            </w:r>
          </w:p>
          <w:p w:rsidR="00E465A1" w:rsidRPr="00601FC1" w:rsidRDefault="00E465A1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65A1" w:rsidRPr="00601FC1" w:rsidRDefault="00E465A1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UWAGA:</w:t>
            </w:r>
          </w:p>
          <w:p w:rsidR="00E465A1" w:rsidRPr="00601FC1" w:rsidRDefault="00E465A1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Dawkowanie </w:t>
            </w:r>
            <w:proofErr w:type="spellStart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lenalidomidu</w:t>
            </w:r>
            <w:proofErr w:type="spellEnd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kontynuuje się lub modyfikuje (dawkę leków lub rytm podawania w cyklu) na podstawie obserwacji klinicznych </w:t>
            </w: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i wyników laboratoryjnych zgodnie z zaleceniami zawartymi w Charakterystyce Produktu Leczniczego. Liczba dni podawania leku w cyklu leczniczym wynosi 21, niezależnie od ewentualnych przerw w podawaniu leku, a maksymalna dawka </w:t>
            </w:r>
            <w:proofErr w:type="spellStart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lenalidomidu</w:t>
            </w:r>
            <w:proofErr w:type="spellEnd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jednym cyklu leczniczym nie może być wyższa niż 525 mg.</w:t>
            </w:r>
          </w:p>
          <w:p w:rsidR="00E465A1" w:rsidRPr="00601FC1" w:rsidRDefault="00E465A1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65A1" w:rsidRPr="00601FC1" w:rsidRDefault="00E465A1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01F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Dawkowanie </w:t>
            </w:r>
            <w:proofErr w:type="spellStart"/>
            <w:r w:rsidRPr="00601F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pomalidomidu</w:t>
            </w:r>
            <w:proofErr w:type="spellEnd"/>
            <w:r w:rsidRPr="00601F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601F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deksametazonu</w:t>
            </w:r>
            <w:proofErr w:type="spellEnd"/>
          </w:p>
          <w:p w:rsidR="00E465A1" w:rsidRPr="00601FC1" w:rsidRDefault="00E465A1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Pomalidomid</w:t>
            </w:r>
            <w:proofErr w:type="spellEnd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postaci kapsułek twardych a 1, 2, 3 lub 4 mg, jest stosowany w skojarzeniu z </w:t>
            </w:r>
            <w:proofErr w:type="spellStart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deksametazonem</w:t>
            </w:r>
            <w:proofErr w:type="spellEnd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E465A1" w:rsidRPr="00601FC1" w:rsidRDefault="00E465A1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65A1" w:rsidRPr="00601FC1" w:rsidRDefault="00E465A1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01F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Pomalidomid</w:t>
            </w:r>
            <w:proofErr w:type="spellEnd"/>
            <w:r w:rsidRPr="00601F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Zalecana dawka początkowa: 4 mg doustnie raz na dobę w dniach 1-21, w powtarzanych 28-dniowych cyklach. </w:t>
            </w:r>
          </w:p>
          <w:p w:rsidR="00E465A1" w:rsidRPr="00601FC1" w:rsidRDefault="00E465A1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465A1" w:rsidRPr="00601FC1" w:rsidRDefault="00E465A1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01F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Deksametazon</w:t>
            </w:r>
            <w:proofErr w:type="spellEnd"/>
            <w:r w:rsidRPr="00601F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Zalecana dawka: 40 mg (20 mg u chorych &gt;75 lat) doustnie raz na dobę w dniach </w:t>
            </w:r>
            <w:r w:rsidRPr="00601FC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1, 8, 15 i 22 każdego 28-dniowego cyklu leczenia.</w:t>
            </w:r>
          </w:p>
          <w:p w:rsidR="00E465A1" w:rsidRPr="00601FC1" w:rsidRDefault="00E465A1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  <w:p w:rsidR="00E465A1" w:rsidRPr="00601FC1" w:rsidRDefault="00E465A1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UWAGA:</w:t>
            </w:r>
          </w:p>
          <w:p w:rsidR="00E465A1" w:rsidRPr="00601FC1" w:rsidRDefault="00E465A1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Dawkowanie </w:t>
            </w:r>
            <w:proofErr w:type="spellStart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pomalidomidu</w:t>
            </w:r>
            <w:proofErr w:type="spellEnd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deksametazonu</w:t>
            </w:r>
            <w:proofErr w:type="spellEnd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kontynuuje się lub modyfikuje (dawkę leków i/lub rytm podawania w cyklu) na podstawie obserwacji klinicznych i wyników laboratoryjnych zgodnie z zaleceniami zawartymi w Charakterystyce Produktu Leczniczego. Liczba dni podawania </w:t>
            </w:r>
            <w:proofErr w:type="spellStart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pomalidomidu</w:t>
            </w:r>
            <w:proofErr w:type="spellEnd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cyklu leczniczym wynosi 21, niezależnie od ewentualnych przerw w podawaniu leku, a maksymalna dawka leku w jednym cyklu leczniczym nie może być wyższa niż 84 mg.</w:t>
            </w:r>
          </w:p>
          <w:p w:rsidR="00E465A1" w:rsidRDefault="00E465A1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C4E99" w:rsidRDefault="008C4E99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C4E99" w:rsidRDefault="008C4E99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C4E99" w:rsidRDefault="008C4E99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C4E99" w:rsidRDefault="008C4E99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C4E99" w:rsidRDefault="008C4E99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C4E99" w:rsidRDefault="008C4E99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C4E99" w:rsidRDefault="008C4E99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C4E99" w:rsidRDefault="008C4E99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C4E99" w:rsidRDefault="008C4E99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C4E99" w:rsidRDefault="008C4E99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C4E99" w:rsidRDefault="008C4E99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C4E99" w:rsidRDefault="008C4E99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C4E99" w:rsidRDefault="008C4E99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C4E99" w:rsidRDefault="008C4E99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C4E99" w:rsidRDefault="008C4E99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C4E99" w:rsidRDefault="008C4E99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C4E99" w:rsidRDefault="008C4E99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C4E99" w:rsidRDefault="008C4E99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C4E99" w:rsidRDefault="008C4E99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C4E99" w:rsidRDefault="008C4E99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34E63" w:rsidRDefault="00034E63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C4E99" w:rsidRPr="008C4E99" w:rsidRDefault="008C4E99" w:rsidP="008C4E99">
            <w:pPr>
              <w:pStyle w:val="Akapitzlist"/>
              <w:numPr>
                <w:ilvl w:val="0"/>
                <w:numId w:val="10"/>
              </w:numPr>
              <w:spacing w:before="240" w:after="0" w:line="240" w:lineRule="auto"/>
              <w:ind w:left="190" w:hanging="19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E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Dawkowanie </w:t>
            </w:r>
            <w:proofErr w:type="spellStart"/>
            <w:r w:rsidR="00646712">
              <w:rPr>
                <w:rFonts w:ascii="Times New Roman" w:hAnsi="Times New Roman" w:cs="Times New Roman"/>
                <w:b/>
                <w:sz w:val="20"/>
                <w:szCs w:val="20"/>
              </w:rPr>
              <w:t>daratumumabu</w:t>
            </w:r>
            <w:proofErr w:type="spellEnd"/>
            <w:r w:rsidR="00646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skojarzeniu z </w:t>
            </w:r>
          </w:p>
          <w:p w:rsidR="008C4E99" w:rsidRPr="008C4E99" w:rsidRDefault="008C4E99" w:rsidP="008C4E99">
            <w:pPr>
              <w:tabs>
                <w:tab w:val="left" w:pos="1095"/>
              </w:tabs>
              <w:spacing w:before="2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E99">
              <w:rPr>
                <w:rFonts w:ascii="Times New Roman" w:hAnsi="Times New Roman" w:cs="Times New Roman"/>
                <w:sz w:val="20"/>
                <w:szCs w:val="20"/>
              </w:rPr>
              <w:t>bortezomibem</w:t>
            </w:r>
            <w:proofErr w:type="spellEnd"/>
            <w:r w:rsidRPr="008C4E9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8C4E99">
              <w:rPr>
                <w:rFonts w:ascii="Times New Roman" w:hAnsi="Times New Roman" w:cs="Times New Roman"/>
                <w:sz w:val="20"/>
                <w:szCs w:val="20"/>
              </w:rPr>
              <w:t>deksametazonem</w:t>
            </w:r>
            <w:proofErr w:type="spellEnd"/>
          </w:p>
          <w:p w:rsidR="008C4E99" w:rsidRPr="008C4E99" w:rsidRDefault="008C4E99" w:rsidP="008C4E99">
            <w:pPr>
              <w:tabs>
                <w:tab w:val="left" w:pos="1095"/>
              </w:tabs>
              <w:spacing w:before="2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E99">
              <w:rPr>
                <w:rFonts w:ascii="Times New Roman" w:hAnsi="Times New Roman" w:cs="Times New Roman"/>
                <w:sz w:val="20"/>
                <w:szCs w:val="20"/>
              </w:rPr>
              <w:t>Daratumumab</w:t>
            </w:r>
            <w:proofErr w:type="spellEnd"/>
            <w:r w:rsidRPr="008C4E99">
              <w:rPr>
                <w:rFonts w:ascii="Times New Roman" w:hAnsi="Times New Roman" w:cs="Times New Roman"/>
                <w:sz w:val="20"/>
                <w:szCs w:val="20"/>
              </w:rPr>
              <w:t xml:space="preserve"> w dawce 16 mg/kg masy ciała jest podawany we wlewie dożylnym raz </w:t>
            </w:r>
            <w:r w:rsidRPr="008C4E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tygodniu w tygodniach 1-9, co trzy tygodnie </w:t>
            </w:r>
            <w:r w:rsidR="00034E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C4E99">
              <w:rPr>
                <w:rFonts w:ascii="Times New Roman" w:hAnsi="Times New Roman" w:cs="Times New Roman"/>
                <w:sz w:val="20"/>
                <w:szCs w:val="20"/>
              </w:rPr>
              <w:t>w tygodniach 10-24 oraz co 4 tygodnie od 25 tygodnia leczenia do progresji choroby lub nieakceptowalnej toksyczności.</w:t>
            </w:r>
          </w:p>
          <w:p w:rsidR="008C4E99" w:rsidRPr="008C4E99" w:rsidRDefault="008C4E99" w:rsidP="008C4E99">
            <w:pPr>
              <w:tabs>
                <w:tab w:val="left" w:pos="1095"/>
              </w:tabs>
              <w:spacing w:before="2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E99">
              <w:rPr>
                <w:rFonts w:ascii="Times New Roman" w:hAnsi="Times New Roman" w:cs="Times New Roman"/>
                <w:sz w:val="20"/>
                <w:szCs w:val="20"/>
              </w:rPr>
              <w:t xml:space="preserve">Długość cyklu od 1 do 24 tyg. leczenia wynosi </w:t>
            </w:r>
            <w:r w:rsidR="00034E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C4E99">
              <w:rPr>
                <w:rFonts w:ascii="Times New Roman" w:hAnsi="Times New Roman" w:cs="Times New Roman"/>
                <w:sz w:val="20"/>
                <w:szCs w:val="20"/>
              </w:rPr>
              <w:t>3 tygodnie, a od 25 tyg. leczenia wynosi 4 tygodnie.</w:t>
            </w:r>
          </w:p>
          <w:p w:rsidR="008C4E99" w:rsidRPr="008C4E99" w:rsidRDefault="008C4E99" w:rsidP="008C4E99">
            <w:pPr>
              <w:tabs>
                <w:tab w:val="left" w:pos="1095"/>
              </w:tabs>
              <w:spacing w:before="2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E99">
              <w:rPr>
                <w:rFonts w:ascii="Times New Roman" w:hAnsi="Times New Roman" w:cs="Times New Roman"/>
                <w:sz w:val="20"/>
                <w:szCs w:val="20"/>
              </w:rPr>
              <w:t xml:space="preserve">Zmiana dawkowania oraz szybkości infuzji </w:t>
            </w:r>
            <w:proofErr w:type="spellStart"/>
            <w:r w:rsidRPr="008C4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daratumumabu</w:t>
            </w:r>
            <w:proofErr w:type="spellEnd"/>
            <w:r w:rsidRPr="008C4E99">
              <w:rPr>
                <w:rFonts w:ascii="Times New Roman" w:hAnsi="Times New Roman" w:cs="Times New Roman"/>
                <w:sz w:val="20"/>
                <w:szCs w:val="20"/>
              </w:rPr>
              <w:t xml:space="preserve"> powinny być prowadzone zgodnie </w:t>
            </w:r>
            <w:r w:rsidR="00034E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C4E99">
              <w:rPr>
                <w:rFonts w:ascii="Times New Roman" w:hAnsi="Times New Roman" w:cs="Times New Roman"/>
                <w:sz w:val="20"/>
                <w:szCs w:val="20"/>
              </w:rPr>
              <w:t xml:space="preserve">z Charakterystyką Produktu Leczniczego. Przed i po zakończeniu infuzji należy podać leki zmniejszające ryzyko wystąpienia reakcji </w:t>
            </w:r>
            <w:proofErr w:type="spellStart"/>
            <w:r w:rsidRPr="008C4E99">
              <w:rPr>
                <w:rFonts w:ascii="Times New Roman" w:hAnsi="Times New Roman" w:cs="Times New Roman"/>
                <w:sz w:val="20"/>
                <w:szCs w:val="20"/>
              </w:rPr>
              <w:t>okołoinfuzyjnych</w:t>
            </w:r>
            <w:proofErr w:type="spellEnd"/>
            <w:r w:rsidRPr="008C4E99">
              <w:rPr>
                <w:rFonts w:ascii="Times New Roman" w:hAnsi="Times New Roman" w:cs="Times New Roman"/>
                <w:sz w:val="20"/>
                <w:szCs w:val="20"/>
              </w:rPr>
              <w:t xml:space="preserve"> zgodnie </w:t>
            </w:r>
            <w:r w:rsidRPr="008C4E99">
              <w:rPr>
                <w:rFonts w:ascii="Times New Roman" w:hAnsi="Times New Roman" w:cs="Times New Roman"/>
                <w:sz w:val="20"/>
                <w:szCs w:val="20"/>
              </w:rPr>
              <w:br/>
              <w:t>z Charakterystyką Produktu Leczniczego.</w:t>
            </w:r>
          </w:p>
          <w:p w:rsidR="008C4E99" w:rsidRPr="008C4E99" w:rsidRDefault="008C4E99" w:rsidP="008C4E99">
            <w:pPr>
              <w:tabs>
                <w:tab w:val="left" w:pos="1095"/>
              </w:tabs>
              <w:spacing w:before="2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E99">
              <w:rPr>
                <w:rFonts w:ascii="Times New Roman" w:hAnsi="Times New Roman" w:cs="Times New Roman"/>
                <w:sz w:val="20"/>
                <w:szCs w:val="20"/>
              </w:rPr>
              <w:t>Bortezomib</w:t>
            </w:r>
            <w:proofErr w:type="spellEnd"/>
            <w:r w:rsidRPr="008C4E99">
              <w:rPr>
                <w:rFonts w:ascii="Times New Roman" w:hAnsi="Times New Roman" w:cs="Times New Roman"/>
                <w:sz w:val="20"/>
                <w:szCs w:val="20"/>
              </w:rPr>
              <w:t xml:space="preserve"> jest podawany we wstrzyknięciu podskórnym lub infuzji dożylnej w dawce 1,3 mg/m</w:t>
            </w:r>
            <w:r w:rsidRPr="008C4E9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C4E99">
              <w:rPr>
                <w:rFonts w:ascii="Times New Roman" w:hAnsi="Times New Roman" w:cs="Times New Roman"/>
                <w:sz w:val="20"/>
                <w:szCs w:val="20"/>
              </w:rPr>
              <w:t xml:space="preserve"> powierzchni ciała dwa razy w tygodniu przez dwa tygodnie (dni 1., 4., 8. i 11.) </w:t>
            </w:r>
            <w:r w:rsidRPr="008C4E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powtarzalnych cyklach terapii trwających 21 dni (3-tygodnie) przez 8 cykli. </w:t>
            </w:r>
          </w:p>
          <w:p w:rsidR="008C4E99" w:rsidRPr="008C4E99" w:rsidRDefault="008C4E99" w:rsidP="008C4E99">
            <w:pPr>
              <w:tabs>
                <w:tab w:val="left" w:pos="1095"/>
              </w:tabs>
              <w:spacing w:before="2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E99">
              <w:rPr>
                <w:rFonts w:ascii="Times New Roman" w:hAnsi="Times New Roman" w:cs="Times New Roman"/>
                <w:sz w:val="20"/>
                <w:szCs w:val="20"/>
              </w:rPr>
              <w:t>Deksametazon</w:t>
            </w:r>
            <w:proofErr w:type="spellEnd"/>
            <w:r w:rsidRPr="008C4E99">
              <w:rPr>
                <w:rFonts w:ascii="Times New Roman" w:hAnsi="Times New Roman" w:cs="Times New Roman"/>
                <w:sz w:val="20"/>
                <w:szCs w:val="20"/>
              </w:rPr>
              <w:t xml:space="preserve"> jest podawany doustnie w dawce 20 mg w dniach 1., 2., 4., 5., 8., 9., 11. </w:t>
            </w:r>
            <w:r w:rsidRPr="008C4E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12. każdego z 8 cykli </w:t>
            </w:r>
            <w:proofErr w:type="spellStart"/>
            <w:r w:rsidRPr="008C4E99">
              <w:rPr>
                <w:rFonts w:ascii="Times New Roman" w:hAnsi="Times New Roman" w:cs="Times New Roman"/>
                <w:sz w:val="20"/>
                <w:szCs w:val="20"/>
              </w:rPr>
              <w:t>bortezomibu</w:t>
            </w:r>
            <w:proofErr w:type="spellEnd"/>
            <w:r w:rsidRPr="008C4E99">
              <w:rPr>
                <w:rFonts w:ascii="Times New Roman" w:hAnsi="Times New Roman" w:cs="Times New Roman"/>
                <w:sz w:val="20"/>
                <w:szCs w:val="20"/>
              </w:rPr>
              <w:t xml:space="preserve"> (80 mg/tydzień przez dwa z trzech tygodni cyklu </w:t>
            </w:r>
            <w:proofErr w:type="spellStart"/>
            <w:r w:rsidRPr="008C4E99">
              <w:rPr>
                <w:rFonts w:ascii="Times New Roman" w:hAnsi="Times New Roman" w:cs="Times New Roman"/>
                <w:sz w:val="20"/>
                <w:szCs w:val="20"/>
              </w:rPr>
              <w:t>bortezomibu</w:t>
            </w:r>
            <w:proofErr w:type="spellEnd"/>
            <w:r w:rsidRPr="008C4E99">
              <w:rPr>
                <w:rFonts w:ascii="Times New Roman" w:hAnsi="Times New Roman" w:cs="Times New Roman"/>
                <w:sz w:val="20"/>
                <w:szCs w:val="20"/>
              </w:rPr>
              <w:t>) lub w zmniejszonej dawce 20 mg/tydzień u pacjentów w wieku &gt; 75 lat, BMI &lt; 18,5; ze źle kontrolowaną cukrzycą</w:t>
            </w:r>
            <w:r w:rsidR="00426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E99">
              <w:rPr>
                <w:rFonts w:ascii="Times New Roman" w:hAnsi="Times New Roman" w:cs="Times New Roman"/>
                <w:sz w:val="20"/>
                <w:szCs w:val="20"/>
              </w:rPr>
              <w:t xml:space="preserve"> lub wcześniejszą nietolerancją terapii steroidami.</w:t>
            </w:r>
          </w:p>
          <w:p w:rsidR="008C4E99" w:rsidRPr="008C4E99" w:rsidRDefault="008C4E99" w:rsidP="008C4E99">
            <w:pPr>
              <w:tabs>
                <w:tab w:val="left" w:pos="1095"/>
              </w:tabs>
              <w:spacing w:before="2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E99" w:rsidRDefault="008C4E99" w:rsidP="008C4E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E99">
              <w:rPr>
                <w:rFonts w:ascii="Times New Roman" w:hAnsi="Times New Roman" w:cs="Times New Roman"/>
                <w:sz w:val="20"/>
                <w:szCs w:val="20"/>
              </w:rPr>
              <w:t xml:space="preserve">Przed rozpoczęciem terapii skojarzonej </w:t>
            </w:r>
            <w:proofErr w:type="spellStart"/>
            <w:r w:rsidRPr="008C4E99">
              <w:rPr>
                <w:rFonts w:ascii="Times New Roman" w:hAnsi="Times New Roman" w:cs="Times New Roman"/>
                <w:sz w:val="20"/>
                <w:szCs w:val="20"/>
              </w:rPr>
              <w:t>daratumumabem</w:t>
            </w:r>
            <w:proofErr w:type="spellEnd"/>
            <w:r w:rsidRPr="008C4E9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8C4E99">
              <w:rPr>
                <w:rFonts w:ascii="Times New Roman" w:hAnsi="Times New Roman" w:cs="Times New Roman"/>
                <w:sz w:val="20"/>
                <w:szCs w:val="20"/>
              </w:rPr>
              <w:t>bortezomibem</w:t>
            </w:r>
            <w:proofErr w:type="spellEnd"/>
            <w:r w:rsidRPr="008C4E9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8C4E99">
              <w:rPr>
                <w:rFonts w:ascii="Times New Roman" w:hAnsi="Times New Roman" w:cs="Times New Roman"/>
                <w:sz w:val="20"/>
                <w:szCs w:val="20"/>
              </w:rPr>
              <w:t>deksametazonem</w:t>
            </w:r>
            <w:proofErr w:type="spellEnd"/>
            <w:r w:rsidRPr="008C4E99">
              <w:rPr>
                <w:rFonts w:ascii="Times New Roman" w:hAnsi="Times New Roman" w:cs="Times New Roman"/>
                <w:sz w:val="20"/>
                <w:szCs w:val="20"/>
              </w:rPr>
              <w:t xml:space="preserve">  zaleca się profilaktykę przeciwwirusową, zapobiegającą reaktywacji wirusa półpaśca.</w:t>
            </w:r>
          </w:p>
          <w:p w:rsidR="007B7F64" w:rsidRDefault="007B7F64" w:rsidP="008C4E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F64" w:rsidRDefault="007B7F64" w:rsidP="008C4E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F64" w:rsidRDefault="007B7F64" w:rsidP="008C4E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F64" w:rsidRDefault="007B7F64" w:rsidP="008C4E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F64" w:rsidRDefault="007B7F64" w:rsidP="008C4E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F64" w:rsidRDefault="007B7F64" w:rsidP="008C4E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F64" w:rsidRDefault="007B7F64" w:rsidP="008C4E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F64" w:rsidRDefault="007B7F64" w:rsidP="008C4E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D44" w:rsidRDefault="00397D44" w:rsidP="00442E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97D44" w:rsidRDefault="00397D44" w:rsidP="00442E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97D44" w:rsidRDefault="00397D44" w:rsidP="00442E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42E48" w:rsidRPr="00601FC1" w:rsidRDefault="00442E48" w:rsidP="00BD29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Pr="00601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Dawkowanie </w:t>
            </w:r>
            <w:proofErr w:type="spellStart"/>
            <w:r w:rsidR="00BD2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karfilzomibu</w:t>
            </w:r>
            <w:proofErr w:type="spellEnd"/>
            <w:r w:rsidR="00BD2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 skojarzeniu z </w:t>
            </w:r>
            <w:proofErr w:type="spellStart"/>
            <w:r w:rsidR="00BD2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lenalidomidem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deksametazonem</w:t>
            </w:r>
            <w:proofErr w:type="spellEnd"/>
          </w:p>
          <w:p w:rsidR="00BD29BF" w:rsidRDefault="00BD29BF" w:rsidP="00397D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397D44" w:rsidRPr="00A04F61" w:rsidRDefault="00397D44" w:rsidP="00397D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Karfilzomib</w:t>
            </w:r>
            <w:proofErr w:type="spellEnd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w postaci proszku do sporządzania roztworu do infuzji stosowany jest w skojarzeniu z </w:t>
            </w:r>
            <w:proofErr w:type="spellStart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lenalidomidem</w:t>
            </w:r>
            <w:proofErr w:type="spellEnd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deksametazonem</w:t>
            </w:r>
            <w:proofErr w:type="spellEnd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.</w:t>
            </w:r>
          </w:p>
          <w:p w:rsidR="00397D44" w:rsidRPr="00A04F61" w:rsidRDefault="00397D44" w:rsidP="00397D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397D44" w:rsidRPr="00A04F61" w:rsidRDefault="00397D44" w:rsidP="00397D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A04F61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Karfilzomib</w:t>
            </w:r>
            <w:proofErr w:type="spellEnd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: Dawkę wylicza się w oparciu o początkowe pole powierzchni ciała pacjenta (</w:t>
            </w:r>
            <w:proofErr w:type="spellStart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pc</w:t>
            </w:r>
            <w:proofErr w:type="spellEnd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.). </w:t>
            </w:r>
            <w:proofErr w:type="spellStart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Karfilzomib</w:t>
            </w:r>
            <w:proofErr w:type="spellEnd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jest podawany dożylnie w postaci infuzji trwającej 10 minut w dwa kolejne dni tygodnia przez okres trzech tygodni (dzień 1., 2., 8., 9., 15. i 16.), po czym następuje 12-dniowy okres bez leczenia (od 17. do 28. dnia). Każdy okres trwający 28 dni jest uważany za jeden cykl leczenia. </w:t>
            </w:r>
            <w:proofErr w:type="spellStart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Karfilzomib</w:t>
            </w:r>
            <w:proofErr w:type="spellEnd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jest podawany w dawce początkowej wynoszącej 20 mg/</w:t>
            </w:r>
            <w:r w:rsidRPr="00A04F61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</w:t>
            </w:r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pc</w:t>
            </w:r>
            <w:proofErr w:type="spellEnd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. w 1. i 2. dniu cyklu 1. (dawka maksymalna wynosi 44 mg). Jeśli lek jest dobrze tolerowany, dawkę należy zwiększyć do 27 mg/</w:t>
            </w:r>
            <w:r w:rsidRPr="00A04F61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</w:t>
            </w:r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pc</w:t>
            </w:r>
            <w:proofErr w:type="spellEnd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. w 8. dniu cyklu 1. (dawka maksymalna wynosi 60 mg). </w:t>
            </w:r>
          </w:p>
          <w:p w:rsidR="00397D44" w:rsidRPr="00A04F61" w:rsidRDefault="00397D44" w:rsidP="00397D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397D44" w:rsidRPr="00A04F61" w:rsidRDefault="00397D44" w:rsidP="00397D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A04F61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UWAGA:</w:t>
            </w:r>
          </w:p>
          <w:p w:rsidR="00397D44" w:rsidRPr="00A04F61" w:rsidRDefault="00397D44" w:rsidP="00397D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Pacjenci, u których </w:t>
            </w:r>
            <w:proofErr w:type="spellStart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pc</w:t>
            </w:r>
            <w:proofErr w:type="spellEnd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. jest większa niż 2,2  m2 powinni otrzymywać dawkę </w:t>
            </w:r>
            <w:proofErr w:type="spellStart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karfilzomibu</w:t>
            </w:r>
            <w:proofErr w:type="spellEnd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obliczoną dla </w:t>
            </w:r>
            <w:proofErr w:type="spellStart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pc</w:t>
            </w:r>
            <w:proofErr w:type="spellEnd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. wynoszącej 2,2  m2 a zmiany masy ciała nie większe niż 20% nie wymagają modyfikacji dawki. Przed podaniem </w:t>
            </w:r>
            <w:proofErr w:type="spellStart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karfilzomibu</w:t>
            </w:r>
            <w:proofErr w:type="spellEnd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w cyklu 1. konieczne jest </w:t>
            </w:r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lastRenderedPageBreak/>
              <w:t xml:space="preserve">odpowiednie nawodnienie pacjenta, które należy kontynuować w następnych cyklach stosownie do potrzeb (zgodnie z informacją zawartą w Charakterystyce Produktu Leczniczego). Nie należy podawać </w:t>
            </w:r>
            <w:proofErr w:type="spellStart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karfilzomibu</w:t>
            </w:r>
            <w:proofErr w:type="spellEnd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w bolusie ani mieszać i podawać we wlewie dożylnym z innymi produktami. Dawka 20/27 mg/ m2 </w:t>
            </w:r>
            <w:proofErr w:type="spellStart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pc</w:t>
            </w:r>
            <w:proofErr w:type="spellEnd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. jest podawana przez 10 minut. Dawkowanie </w:t>
            </w:r>
            <w:proofErr w:type="spellStart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karfilzomibu</w:t>
            </w:r>
            <w:proofErr w:type="spellEnd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kontynuuje się lub modyfikuje (dawkę leków lub rytm podawania w cyklu) na podstawie obserwacji klinicznych i wyników laboratoryjnych zgodnie z zaleceniami zawartymi w odpowiedniej Charakterystyce Produktu Leczniczego. </w:t>
            </w:r>
          </w:p>
          <w:p w:rsidR="00BD29BF" w:rsidRPr="00601FC1" w:rsidRDefault="00BD29BF" w:rsidP="00BD29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04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Lenalidomid</w:t>
            </w:r>
            <w:proofErr w:type="spellEnd"/>
            <w:r w:rsidRPr="00A04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postaci kapsułek twardych a 5,10,</w:t>
            </w:r>
          </w:p>
          <w:p w:rsidR="00BD29BF" w:rsidRPr="00996DBF" w:rsidRDefault="00BD29BF" w:rsidP="00BD29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15 lub 25 mg, jest stosowany </w:t>
            </w:r>
            <w:r w:rsidRPr="00996DB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w skojarzeniu z </w:t>
            </w:r>
            <w:proofErr w:type="spellStart"/>
            <w:r w:rsidRPr="00996DB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karfilzomibem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deksametazonem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.</w:t>
            </w:r>
          </w:p>
          <w:p w:rsidR="00BD29BF" w:rsidRPr="00996DBF" w:rsidRDefault="00BD29BF" w:rsidP="00BD29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9BF" w:rsidRPr="00996DBF" w:rsidRDefault="00BD29BF" w:rsidP="00BD29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996DBF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Lenalidomid</w:t>
            </w:r>
            <w:proofErr w:type="spellEnd"/>
            <w:r w:rsidRPr="00996DBF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:</w:t>
            </w:r>
            <w:r w:rsidRPr="00996DB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Zalecana dawka początkowa: 25 mg</w:t>
            </w:r>
          </w:p>
          <w:p w:rsidR="00BD29BF" w:rsidRPr="00996DBF" w:rsidRDefault="00BD29BF" w:rsidP="00BD29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96DB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doustnie raz na dobę w dniach 1-21, w powtarzanych 28-dniowych cyklach.</w:t>
            </w:r>
          </w:p>
          <w:p w:rsidR="00BD29BF" w:rsidRPr="00996DBF" w:rsidRDefault="00BD29BF" w:rsidP="00BD29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96DB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U chorych z niewydolnością nerek dawka początkowa </w:t>
            </w:r>
            <w:proofErr w:type="spellStart"/>
            <w:r w:rsidRPr="00996DB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lenalidomidu</w:t>
            </w:r>
            <w:proofErr w:type="spellEnd"/>
            <w:r w:rsidRPr="00996DB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powinna być zgodna z zaleceniami Charakterystyki Produktu Leczniczego.</w:t>
            </w:r>
          </w:p>
          <w:p w:rsidR="00BD29BF" w:rsidRPr="00996DBF" w:rsidRDefault="00BD29BF" w:rsidP="00BD29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996DBF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UWAGA:</w:t>
            </w:r>
          </w:p>
          <w:p w:rsidR="00BD29BF" w:rsidRPr="00996DBF" w:rsidRDefault="00BD29BF" w:rsidP="00BD29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996DB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Dawkowanie </w:t>
            </w:r>
            <w:proofErr w:type="spellStart"/>
            <w:r w:rsidRPr="00996DB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lenalidomidu</w:t>
            </w:r>
            <w:proofErr w:type="spellEnd"/>
            <w:r w:rsidRPr="00996DB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kontynuuje się lub modyfikuje (dawkę leków lub rytm podawania w cyklu) na podstawie obserwacji klinicznych i wyników laboratoryjnych zgodnie z zaleceniami zawartymi w Charakterystyce Produktu Leczniczego. Liczba dni podawania leku w cyklu leczniczym wynosi </w:t>
            </w:r>
            <w:r w:rsidRPr="00996DB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lastRenderedPageBreak/>
              <w:t xml:space="preserve">21, niezależnie od ewentualnych przerw w podawaniu leku, a maksymalna dawka </w:t>
            </w:r>
            <w:proofErr w:type="spellStart"/>
            <w:r w:rsidRPr="00996DB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lenalidomidu</w:t>
            </w:r>
            <w:proofErr w:type="spellEnd"/>
            <w:r w:rsidRPr="00996DB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w jednym cyklu leczniczym nie może być wyższa niż 525 mg.</w:t>
            </w:r>
          </w:p>
          <w:p w:rsidR="00397D44" w:rsidRPr="00A04F61" w:rsidRDefault="00397D44" w:rsidP="00397D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397D44" w:rsidRPr="00A04F61" w:rsidRDefault="00397D44" w:rsidP="00397D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A04F61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Deksametazon</w:t>
            </w:r>
            <w:proofErr w:type="spellEnd"/>
            <w:r w:rsidRPr="00A04F61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 xml:space="preserve"> w skojarzeniu z </w:t>
            </w:r>
            <w:proofErr w:type="spellStart"/>
            <w:r w:rsidRPr="00A04F61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lenalidomidem</w:t>
            </w:r>
            <w:proofErr w:type="spellEnd"/>
            <w:r w:rsidRPr="00A04F61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A04F61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karfilzomibem</w:t>
            </w:r>
            <w:proofErr w:type="spellEnd"/>
            <w:r w:rsidRPr="00A04F61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:</w:t>
            </w:r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br/>
              <w:t>Zalecana dawka: 40 mg doustnie lub dożylnie raz na dobę w 1., 8., 15. i 22. dniu cyklu trwającego 28 dni.</w:t>
            </w:r>
          </w:p>
          <w:p w:rsidR="00397D44" w:rsidRPr="00A04F61" w:rsidRDefault="00397D44" w:rsidP="00397D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Lekarz powinien ocenić, jaką dawkę </w:t>
            </w:r>
            <w:proofErr w:type="spellStart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deksametazonu</w:t>
            </w:r>
            <w:proofErr w:type="spellEnd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zastosować, biorąc pod uwagę stan pacjenta oraz nasilenie choroby (u chorych powyżej 75 r.ż. dawkę należy zmniejszyć do 20 mg). </w:t>
            </w:r>
            <w:proofErr w:type="spellStart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Deksametazon</w:t>
            </w:r>
            <w:proofErr w:type="spellEnd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należy podać od 30 minut do 4 godzin przed podaniem </w:t>
            </w:r>
            <w:proofErr w:type="spellStart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karfilzomibu</w:t>
            </w:r>
            <w:proofErr w:type="spellEnd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.</w:t>
            </w:r>
          </w:p>
          <w:p w:rsidR="007B7F64" w:rsidRDefault="007B7F64" w:rsidP="008C4E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5A1" w:rsidRPr="00601FC1" w:rsidRDefault="00E465A1" w:rsidP="000963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A1" w:rsidRPr="00601FC1" w:rsidRDefault="00E465A1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1. Badania przy kwalifikacji:</w:t>
            </w:r>
          </w:p>
          <w:p w:rsidR="00E465A1" w:rsidRPr="00601FC1" w:rsidRDefault="00E465A1" w:rsidP="000963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51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morfologia krwi z rozmazem;</w:t>
            </w:r>
          </w:p>
          <w:p w:rsidR="00E465A1" w:rsidRPr="00601FC1" w:rsidRDefault="00E465A1" w:rsidP="000963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 wapnia w surowicy;</w:t>
            </w:r>
          </w:p>
          <w:p w:rsidR="00E465A1" w:rsidRPr="00601FC1" w:rsidRDefault="00E465A1" w:rsidP="000963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AspAT</w:t>
            </w:r>
            <w:proofErr w:type="spellEnd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AlAT</w:t>
            </w:r>
            <w:proofErr w:type="spellEnd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:rsidR="00E465A1" w:rsidRPr="00601FC1" w:rsidRDefault="00E465A1" w:rsidP="000963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 bilirubiny;</w:t>
            </w:r>
          </w:p>
          <w:p w:rsidR="00E465A1" w:rsidRPr="00601FC1" w:rsidRDefault="00E465A1" w:rsidP="000963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 kreatyniny;</w:t>
            </w:r>
          </w:p>
          <w:p w:rsidR="00E465A1" w:rsidRPr="00601FC1" w:rsidRDefault="00E465A1" w:rsidP="000963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91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klirens</w:t>
            </w:r>
            <w:proofErr w:type="spellEnd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kreatyniny;</w:t>
            </w:r>
          </w:p>
          <w:p w:rsidR="00E465A1" w:rsidRPr="00601FC1" w:rsidRDefault="00E465A1" w:rsidP="000963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91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 białka M;</w:t>
            </w:r>
          </w:p>
          <w:p w:rsidR="00E465A1" w:rsidRPr="00601FC1" w:rsidRDefault="00426ECF" w:rsidP="0009638B">
            <w:pPr>
              <w:numPr>
                <w:ilvl w:val="0"/>
                <w:numId w:val="1"/>
              </w:numPr>
              <w:spacing w:after="0" w:line="240" w:lineRule="auto"/>
              <w:ind w:left="1491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iskodawkowa</w:t>
            </w:r>
            <w:proofErr w:type="spellEnd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65A1"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TK układu kostnego lub badanie RTG (</w:t>
            </w:r>
            <w:r w:rsidR="006E2DF0" w:rsidRPr="006E2D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badanie kośćca </w:t>
            </w:r>
            <w:r w:rsidR="00E465A1"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decyzji lekarza)</w:t>
            </w:r>
          </w:p>
          <w:p w:rsidR="00E465A1" w:rsidRDefault="00E465A1" w:rsidP="0009638B">
            <w:pPr>
              <w:numPr>
                <w:ilvl w:val="0"/>
                <w:numId w:val="1"/>
              </w:numPr>
              <w:spacing w:after="0" w:line="240" w:lineRule="auto"/>
              <w:ind w:left="1491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6E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426ECF"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ośredni </w:t>
            </w: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antyglobulinowy</w:t>
            </w:r>
            <w:proofErr w:type="spellEnd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(test pośredni </w:t>
            </w:r>
            <w:proofErr w:type="spellStart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Coombs’a</w:t>
            </w:r>
            <w:proofErr w:type="spellEnd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).- przy </w:t>
            </w:r>
            <w:r w:rsidR="00C623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kwalifikacji do </w:t>
            </w: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</w:t>
            </w:r>
            <w:r w:rsidR="00C623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daratumumabem</w:t>
            </w:r>
            <w:proofErr w:type="spellEnd"/>
          </w:p>
          <w:p w:rsidR="00C623DD" w:rsidRPr="00601FC1" w:rsidRDefault="00426ECF" w:rsidP="0009638B">
            <w:pPr>
              <w:numPr>
                <w:ilvl w:val="0"/>
                <w:numId w:val="1"/>
              </w:numPr>
              <w:spacing w:after="0" w:line="240" w:lineRule="auto"/>
              <w:ind w:left="1491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stężenie </w:t>
            </w:r>
            <w:r w:rsidR="00C623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potasu w surowicy krwi, EKG i ocena frakcji wyrzutowej lewej komory serce – przy kwalifikacji do leczenia </w:t>
            </w:r>
            <w:proofErr w:type="spellStart"/>
            <w:r w:rsidR="00C623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karfilzomibem</w:t>
            </w:r>
            <w:proofErr w:type="spellEnd"/>
            <w:r w:rsidR="00C623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połączeniu z </w:t>
            </w:r>
            <w:proofErr w:type="spellStart"/>
            <w:r w:rsidR="00C623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lenalidomidem</w:t>
            </w:r>
            <w:proofErr w:type="spellEnd"/>
            <w:r w:rsidR="00C623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="00C623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deksametazonem</w:t>
            </w:r>
            <w:proofErr w:type="spellEnd"/>
            <w:r w:rsidR="00C623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C623DD" w:rsidRDefault="00C623DD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65A1" w:rsidRPr="00601FC1" w:rsidRDefault="00E465A1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 winny być wykonane w ciągu nie więcej niż 4 tygodni poprzedzających rozpoczęcie leczenia.</w:t>
            </w:r>
          </w:p>
          <w:p w:rsidR="00E465A1" w:rsidRPr="00601FC1" w:rsidRDefault="00E465A1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dniu kwalifikacji i nie wcześniej niż 7 dni przed wydaniem leku pacjentkom mogącym zajść w ciążę należy wykonać test ciążowy o czułości min. 25mIU/ml. (przy leczeniu </w:t>
            </w:r>
            <w:proofErr w:type="spellStart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lenalidomidem</w:t>
            </w:r>
            <w:proofErr w:type="spellEnd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</w:t>
            </w:r>
            <w:proofErr w:type="spellStart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pomalidomidem</w:t>
            </w:r>
            <w:proofErr w:type="spellEnd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E465A1" w:rsidRPr="00601FC1" w:rsidRDefault="00E465A1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65A1" w:rsidRPr="00601FC1" w:rsidRDefault="00E465A1" w:rsidP="00BA3A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2. Monitorowanie leczenia</w:t>
            </w:r>
          </w:p>
          <w:p w:rsidR="00E465A1" w:rsidRPr="00601FC1" w:rsidRDefault="00E465A1" w:rsidP="00BA3A5B">
            <w:pPr>
              <w:spacing w:after="0" w:line="240" w:lineRule="auto"/>
              <w:ind w:left="380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 każdym cyklem leczenia:</w:t>
            </w:r>
          </w:p>
          <w:p w:rsidR="00E465A1" w:rsidRPr="00601FC1" w:rsidRDefault="00E465A1" w:rsidP="0009638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morfologia krwi ze wzorem odsetkowym  </w:t>
            </w:r>
          </w:p>
          <w:p w:rsidR="00E465A1" w:rsidRPr="00601FC1" w:rsidRDefault="00E465A1" w:rsidP="0009638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przypadku leczenia </w:t>
            </w:r>
            <w:proofErr w:type="spellStart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lenalidomidem</w:t>
            </w:r>
            <w:proofErr w:type="spellEnd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</w:t>
            </w:r>
            <w:proofErr w:type="spellStart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pomalidomidem</w:t>
            </w:r>
            <w:proofErr w:type="spellEnd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test ciążowy o czułości min. 25mIU/ml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pacjentek mogących zajść w ciążę, zgodnie z zaleceniami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Charakterystyki Produktu Leczniczego</w:t>
            </w:r>
          </w:p>
          <w:p w:rsidR="00E465A1" w:rsidRDefault="00426ECF" w:rsidP="0009638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65A1"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przypadku leczenia </w:t>
            </w:r>
            <w:proofErr w:type="spellStart"/>
            <w:r w:rsidR="00E465A1"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daratumumabem</w:t>
            </w:r>
            <w:proofErr w:type="spellEnd"/>
            <w:r w:rsidR="00E465A1"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badania biochemiczne (AST, ALT, bilirubina całkowita, wapń, kreatynina i </w:t>
            </w:r>
            <w:proofErr w:type="spellStart"/>
            <w:r w:rsidR="00E465A1"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klirens</w:t>
            </w:r>
            <w:proofErr w:type="spellEnd"/>
            <w:r w:rsidR="00E465A1"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kreatyniny</w:t>
            </w:r>
            <w:r w:rsidR="00F060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E465A1"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:rsidR="00C623DD" w:rsidRPr="00A04F61" w:rsidRDefault="00426ECF" w:rsidP="00C623D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pl-PL"/>
              </w:rPr>
              <w:t>w</w:t>
            </w:r>
            <w:r w:rsidRPr="00A04F61">
              <w:rPr>
                <w:rFonts w:asciiTheme="majorBidi" w:eastAsia="Times New Roman" w:hAnsiTheme="majorBidi" w:cstheme="majorBidi"/>
                <w:sz w:val="20"/>
                <w:szCs w:val="20"/>
                <w:lang w:eastAsia="pl-PL"/>
              </w:rPr>
              <w:t xml:space="preserve"> </w:t>
            </w:r>
            <w:r w:rsidR="00C623DD" w:rsidRPr="00A04F61">
              <w:rPr>
                <w:rFonts w:asciiTheme="majorBidi" w:eastAsia="Times New Roman" w:hAnsiTheme="majorBidi" w:cstheme="majorBidi"/>
                <w:sz w:val="20"/>
                <w:szCs w:val="20"/>
                <w:lang w:eastAsia="pl-PL"/>
              </w:rPr>
              <w:t xml:space="preserve">przypadku leczenia </w:t>
            </w:r>
            <w:proofErr w:type="spellStart"/>
            <w:r w:rsidR="00C623DD" w:rsidRPr="00A04F61">
              <w:rPr>
                <w:rFonts w:asciiTheme="majorBidi" w:eastAsia="Times New Roman" w:hAnsiTheme="majorBidi" w:cstheme="majorBidi"/>
                <w:sz w:val="20"/>
                <w:szCs w:val="20"/>
                <w:lang w:eastAsia="pl-PL"/>
              </w:rPr>
              <w:t>karfilzomibem</w:t>
            </w:r>
            <w:proofErr w:type="spellEnd"/>
            <w:r w:rsidR="00C623DD" w:rsidRPr="00A04F61">
              <w:rPr>
                <w:rFonts w:asciiTheme="majorBidi" w:eastAsia="Times New Roman" w:hAnsiTheme="majorBidi" w:cstheme="majorBidi"/>
                <w:sz w:val="20"/>
                <w:szCs w:val="20"/>
                <w:lang w:eastAsia="pl-PL"/>
              </w:rPr>
              <w:t xml:space="preserve"> w połączeniu z </w:t>
            </w:r>
            <w:proofErr w:type="spellStart"/>
            <w:r w:rsidR="00C623DD" w:rsidRPr="00A04F61">
              <w:rPr>
                <w:rFonts w:asciiTheme="majorBidi" w:eastAsia="Times New Roman" w:hAnsiTheme="majorBidi" w:cstheme="majorBidi"/>
                <w:sz w:val="20"/>
                <w:szCs w:val="20"/>
                <w:lang w:eastAsia="pl-PL"/>
              </w:rPr>
              <w:t>lenalidomidem</w:t>
            </w:r>
            <w:proofErr w:type="spellEnd"/>
            <w:r w:rsidR="00C623DD" w:rsidRPr="00A04F61">
              <w:rPr>
                <w:rFonts w:asciiTheme="majorBidi" w:eastAsia="Times New Roman" w:hAnsiTheme="majorBidi" w:cstheme="majorBidi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="00C623DD" w:rsidRPr="00A04F61">
              <w:rPr>
                <w:rFonts w:asciiTheme="majorBidi" w:eastAsia="Times New Roman" w:hAnsiTheme="majorBidi" w:cstheme="majorBidi"/>
                <w:sz w:val="20"/>
                <w:szCs w:val="20"/>
                <w:lang w:eastAsia="pl-PL"/>
              </w:rPr>
              <w:t>deksametazonem</w:t>
            </w:r>
            <w:proofErr w:type="spellEnd"/>
            <w:r w:rsidR="00C623DD" w:rsidRPr="00A04F61">
              <w:rPr>
                <w:rFonts w:asciiTheme="majorBidi" w:eastAsia="Times New Roman" w:hAnsiTheme="majorBidi" w:cstheme="majorBidi"/>
                <w:sz w:val="20"/>
                <w:szCs w:val="20"/>
                <w:lang w:eastAsia="pl-PL"/>
              </w:rPr>
              <w:t xml:space="preserve">: </w:t>
            </w:r>
            <w:r w:rsidR="00C623DD"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raz w miesiącu należy kontrolować stężenie potasu w surowicy krwi oraz EKG.</w:t>
            </w:r>
          </w:p>
          <w:p w:rsidR="00E465A1" w:rsidRPr="00601FC1" w:rsidRDefault="00E465A1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65A1" w:rsidRPr="00A04F61" w:rsidRDefault="00E465A1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Ocena skuteczności:</w:t>
            </w:r>
          </w:p>
          <w:p w:rsidR="006E2DF0" w:rsidRPr="00C1655F" w:rsidRDefault="006E2DF0" w:rsidP="006E2D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 przypadku leczenia </w:t>
            </w:r>
            <w:proofErr w:type="spellStart"/>
            <w:r w:rsidRPr="00A04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lenalidomidem</w:t>
            </w:r>
            <w:proofErr w:type="spellEnd"/>
            <w:r w:rsidRPr="00A04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lub </w:t>
            </w:r>
            <w:proofErr w:type="spellStart"/>
            <w:r w:rsidRPr="00A04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pomalidomidem</w:t>
            </w:r>
            <w:proofErr w:type="spellEnd"/>
            <w:r w:rsidRPr="00C165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po 6. cyklu leczenia należy wykonać:</w:t>
            </w:r>
          </w:p>
          <w:p w:rsidR="006E2DF0" w:rsidRPr="00601FC1" w:rsidRDefault="006E2DF0" w:rsidP="006E2DF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6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 wapnia w surowicy;</w:t>
            </w:r>
          </w:p>
          <w:p w:rsidR="006E2DF0" w:rsidRPr="00601FC1" w:rsidRDefault="006E2DF0" w:rsidP="006E2DF0">
            <w:pPr>
              <w:numPr>
                <w:ilvl w:val="0"/>
                <w:numId w:val="8"/>
              </w:numPr>
              <w:tabs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ind w:left="66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AspAT</w:t>
            </w:r>
            <w:proofErr w:type="spellEnd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AIAT;</w:t>
            </w:r>
          </w:p>
          <w:p w:rsidR="006E2DF0" w:rsidRPr="00601FC1" w:rsidRDefault="006E2DF0" w:rsidP="006E2DF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6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 bilirubiny;</w:t>
            </w:r>
          </w:p>
          <w:p w:rsidR="006E2DF0" w:rsidRPr="00601FC1" w:rsidRDefault="006E2DF0" w:rsidP="006E2DF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6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 kreatyniny;</w:t>
            </w:r>
          </w:p>
          <w:p w:rsidR="006E2DF0" w:rsidRPr="00601FC1" w:rsidRDefault="006E2DF0" w:rsidP="006E2DF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6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klirens</w:t>
            </w:r>
            <w:proofErr w:type="spellEnd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kreatyniny;</w:t>
            </w:r>
          </w:p>
          <w:p w:rsidR="006E2DF0" w:rsidRPr="00601FC1" w:rsidRDefault="006E2DF0" w:rsidP="006E2DF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6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 białka M;</w:t>
            </w:r>
          </w:p>
          <w:p w:rsidR="006E2DF0" w:rsidRPr="00601FC1" w:rsidRDefault="00426ECF" w:rsidP="006E2DF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6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iskodawkowa</w:t>
            </w:r>
            <w:proofErr w:type="spellEnd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E2DF0"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TK układu kostnego lub badanie RTG  (</w:t>
            </w:r>
            <w:r w:rsidR="006E2D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badanie kośćca </w:t>
            </w:r>
            <w:r w:rsidR="006E2DF0"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decyzji lekarza).</w:t>
            </w:r>
          </w:p>
          <w:p w:rsidR="00E465A1" w:rsidRPr="00601FC1" w:rsidRDefault="00E465A1" w:rsidP="006E2DF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 przypadku leczenia </w:t>
            </w:r>
            <w:proofErr w:type="spellStart"/>
            <w:r w:rsidRPr="00A04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daratumumabem</w:t>
            </w:r>
            <w:proofErr w:type="spellEnd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oznaczenie stężenia białka M w surowicy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 moczu nie rzadziej niż co 2 cykle leczenia,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po 6 cyklu leczenia wykona</w:t>
            </w:r>
            <w:r w:rsidR="006E2D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bada</w:t>
            </w:r>
            <w:r w:rsidR="006E2D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</w:t>
            </w: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pozwalając</w:t>
            </w:r>
            <w:r w:rsidR="006E2D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ych</w:t>
            </w: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ocenę skuteczności prowadzonego leczenia zgodnie z aktualnymi,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ujednoliconymi kryteriami przyjętymi przez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E2D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nternational </w:t>
            </w:r>
            <w:proofErr w:type="spellStart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Myeloma</w:t>
            </w:r>
            <w:proofErr w:type="spellEnd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Working</w:t>
            </w:r>
            <w:proofErr w:type="spellEnd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Group</w:t>
            </w:r>
            <w:proofErr w:type="spellEnd"/>
            <w:r w:rsidRPr="00601F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(IMWG).</w:t>
            </w:r>
          </w:p>
          <w:p w:rsidR="00E465A1" w:rsidRPr="00601FC1" w:rsidRDefault="00E465A1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65A1" w:rsidRDefault="00E465A1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3DD" w:rsidRPr="00A04F61" w:rsidRDefault="00C623DD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04F61">
              <w:rPr>
                <w:rFonts w:asciiTheme="majorBidi" w:hAnsiTheme="majorBidi" w:cstheme="majorBidi"/>
                <w:sz w:val="20"/>
                <w:szCs w:val="20"/>
              </w:rPr>
              <w:t xml:space="preserve">W przypadku leczenia </w:t>
            </w:r>
            <w:proofErr w:type="spellStart"/>
            <w:r w:rsidRPr="00A04F61">
              <w:rPr>
                <w:rFonts w:asciiTheme="majorBidi" w:hAnsiTheme="majorBidi" w:cstheme="majorBidi"/>
                <w:sz w:val="20"/>
                <w:szCs w:val="20"/>
              </w:rPr>
              <w:t>karfilzomibem</w:t>
            </w:r>
            <w:proofErr w:type="spellEnd"/>
            <w:r w:rsidRPr="00A04F61">
              <w:rPr>
                <w:rFonts w:asciiTheme="majorBidi" w:hAnsiTheme="majorBidi" w:cstheme="majorBidi"/>
                <w:sz w:val="20"/>
                <w:szCs w:val="20"/>
              </w:rPr>
              <w:t xml:space="preserve"> w połączeniu z </w:t>
            </w:r>
            <w:proofErr w:type="spellStart"/>
            <w:r w:rsidRPr="00A04F61">
              <w:rPr>
                <w:rFonts w:asciiTheme="majorBidi" w:hAnsiTheme="majorBidi" w:cstheme="majorBidi"/>
                <w:sz w:val="20"/>
                <w:szCs w:val="20"/>
              </w:rPr>
              <w:t>lenalidomidem</w:t>
            </w:r>
            <w:proofErr w:type="spellEnd"/>
            <w:r w:rsidRPr="00A04F61">
              <w:rPr>
                <w:rFonts w:asciiTheme="majorBidi" w:hAnsiTheme="majorBidi" w:cstheme="majorBidi"/>
                <w:sz w:val="20"/>
                <w:szCs w:val="20"/>
              </w:rPr>
              <w:t xml:space="preserve"> i </w:t>
            </w:r>
            <w:proofErr w:type="spellStart"/>
            <w:r w:rsidRPr="00A04F61">
              <w:rPr>
                <w:rFonts w:asciiTheme="majorBidi" w:hAnsiTheme="majorBidi" w:cstheme="majorBidi"/>
                <w:sz w:val="20"/>
                <w:szCs w:val="20"/>
              </w:rPr>
              <w:t>deksametazonem</w:t>
            </w:r>
            <w:proofErr w:type="spellEnd"/>
            <w:r w:rsidRPr="00A04F61">
              <w:rPr>
                <w:rFonts w:asciiTheme="majorBidi" w:hAnsiTheme="majorBidi" w:cstheme="majorBidi"/>
                <w:sz w:val="20"/>
                <w:szCs w:val="20"/>
              </w:rPr>
              <w:t>:</w:t>
            </w:r>
          </w:p>
          <w:p w:rsidR="00C623DD" w:rsidRPr="00A04F61" w:rsidRDefault="00C623DD" w:rsidP="00C623D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lastRenderedPageBreak/>
              <w:t>Po 4. cyklu leczenia należy wykonać:</w:t>
            </w:r>
          </w:p>
          <w:p w:rsidR="00C623DD" w:rsidRPr="00A04F61" w:rsidRDefault="00C623DD" w:rsidP="00C623DD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stężenie wapnia w surowicy;</w:t>
            </w:r>
          </w:p>
          <w:p w:rsidR="00C623DD" w:rsidRPr="00A04F61" w:rsidRDefault="00C623DD" w:rsidP="00C623DD">
            <w:pPr>
              <w:pStyle w:val="Akapitzlist"/>
              <w:numPr>
                <w:ilvl w:val="0"/>
                <w:numId w:val="20"/>
              </w:numPr>
              <w:tabs>
                <w:tab w:val="left" w:pos="373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AspAT</w:t>
            </w:r>
            <w:proofErr w:type="spellEnd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, AIAT;</w:t>
            </w:r>
          </w:p>
          <w:p w:rsidR="00C623DD" w:rsidRPr="00A04F61" w:rsidRDefault="00C623DD" w:rsidP="00C623DD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stężenie bilirubiny;</w:t>
            </w:r>
          </w:p>
          <w:p w:rsidR="00C623DD" w:rsidRPr="00A04F61" w:rsidRDefault="00C623DD" w:rsidP="00C623DD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stężenie kreatyniny;</w:t>
            </w:r>
          </w:p>
          <w:p w:rsidR="00C623DD" w:rsidRPr="00A04F61" w:rsidRDefault="00C623DD" w:rsidP="00C623DD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klirens</w:t>
            </w:r>
            <w:proofErr w:type="spellEnd"/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kreatyniny;</w:t>
            </w:r>
          </w:p>
          <w:p w:rsidR="00C623DD" w:rsidRPr="00A04F61" w:rsidRDefault="00C623DD" w:rsidP="00C623DD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04F6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stężenie białka M;</w:t>
            </w:r>
          </w:p>
          <w:p w:rsidR="00C623DD" w:rsidRPr="00A04F61" w:rsidRDefault="00C623DD" w:rsidP="00C623D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04F6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="00426ECF">
              <w:rPr>
                <w:rFonts w:asciiTheme="majorBidi" w:hAnsiTheme="majorBidi" w:cstheme="majorBidi"/>
                <w:sz w:val="20"/>
                <w:szCs w:val="20"/>
                <w:lang w:eastAsia="pl-PL"/>
              </w:rPr>
              <w:t>n</w:t>
            </w:r>
            <w:r w:rsidR="00426ECF" w:rsidRPr="00A04F61">
              <w:rPr>
                <w:rFonts w:asciiTheme="majorBidi" w:hAnsiTheme="majorBidi" w:cstheme="majorBidi"/>
                <w:sz w:val="20"/>
                <w:szCs w:val="20"/>
                <w:lang w:eastAsia="pl-PL"/>
              </w:rPr>
              <w:t>iskodawkowa</w:t>
            </w:r>
            <w:proofErr w:type="spellEnd"/>
            <w:r w:rsidR="00426ECF" w:rsidRPr="00A04F61">
              <w:rPr>
                <w:rFonts w:asciiTheme="majorBidi" w:hAnsiTheme="majorBidi" w:cstheme="majorBidi"/>
                <w:sz w:val="20"/>
                <w:szCs w:val="20"/>
                <w:lang w:eastAsia="pl-PL"/>
              </w:rPr>
              <w:t xml:space="preserve"> </w:t>
            </w:r>
            <w:r w:rsidRPr="00A04F61">
              <w:rPr>
                <w:rFonts w:asciiTheme="majorBidi" w:hAnsiTheme="majorBidi" w:cstheme="majorBidi"/>
                <w:sz w:val="20"/>
                <w:szCs w:val="20"/>
                <w:lang w:eastAsia="pl-PL"/>
              </w:rPr>
              <w:t>TK układu kostnego lub badanie RTG (badanie kośćca do decyzji lekarza)</w:t>
            </w:r>
          </w:p>
          <w:p w:rsidR="00C623DD" w:rsidRDefault="00C623DD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3DD" w:rsidRPr="00601FC1" w:rsidRDefault="00C623DD" w:rsidP="00096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5A1" w:rsidRPr="00601FC1" w:rsidRDefault="00E465A1" w:rsidP="0009638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1F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 Monitorowanie programu:</w:t>
            </w:r>
          </w:p>
          <w:p w:rsidR="00E465A1" w:rsidRPr="00601FC1" w:rsidRDefault="00E465A1" w:rsidP="00BA3A5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52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FC1">
              <w:rPr>
                <w:rFonts w:ascii="Times New Roman" w:hAnsi="Times New Roman" w:cs="Times New Roman"/>
                <w:sz w:val="20"/>
                <w:szCs w:val="20"/>
              </w:rPr>
              <w:t>gromadzenie w dokumentacji medycznej pacjenta danych dotyczących monitorowania leczenia i każdorazowe ich przedstawianie na żądanie kontrolerów Narodowego Funduszu Zdrowia;</w:t>
            </w:r>
          </w:p>
          <w:p w:rsidR="00E465A1" w:rsidRPr="00601FC1" w:rsidRDefault="00E465A1" w:rsidP="00BA3A5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52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FC1">
              <w:rPr>
                <w:rFonts w:ascii="Times New Roman" w:hAnsi="Times New Roman" w:cs="Times New Roman"/>
                <w:sz w:val="20"/>
                <w:szCs w:val="20"/>
              </w:rPr>
              <w:t>uzupełnianie danych zawartych w rejestrze (SMPT)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1FC1">
              <w:rPr>
                <w:rFonts w:ascii="Times New Roman" w:hAnsi="Times New Roman" w:cs="Times New Roman"/>
                <w:sz w:val="20"/>
                <w:szCs w:val="20"/>
              </w:rPr>
              <w:t>dostępnym za pomocą aplikacji internetowej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1FC1">
              <w:rPr>
                <w:rFonts w:ascii="Times New Roman" w:hAnsi="Times New Roman" w:cs="Times New Roman"/>
                <w:sz w:val="20"/>
                <w:szCs w:val="20"/>
              </w:rPr>
              <w:t>udostępnionej przez OW NFZ, z częstotliwością zgodną z opisem programu oraz na zakończenie leczenia;</w:t>
            </w:r>
          </w:p>
          <w:p w:rsidR="00E465A1" w:rsidRPr="00601FC1" w:rsidRDefault="00E465A1" w:rsidP="00BA3A5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52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FC1">
              <w:rPr>
                <w:rFonts w:ascii="Times New Roman" w:hAnsi="Times New Roman" w:cs="Times New Roman"/>
                <w:sz w:val="20"/>
                <w:szCs w:val="20"/>
              </w:rPr>
              <w:t>przekazywanie informacji sprawozdawczo-rozliczeniowych do NFZ: informacje przekazuje się do NFZ w formie papierowej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w </w:t>
            </w:r>
            <w:r w:rsidRPr="00601FC1">
              <w:rPr>
                <w:rFonts w:ascii="Times New Roman" w:hAnsi="Times New Roman" w:cs="Times New Roman"/>
                <w:sz w:val="20"/>
                <w:szCs w:val="20"/>
              </w:rPr>
              <w:t>formie elektronicznej, zgodnie z wymaganiami opublikowanymi przez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1FC1">
              <w:rPr>
                <w:rFonts w:ascii="Times New Roman" w:hAnsi="Times New Roman" w:cs="Times New Roman"/>
                <w:sz w:val="20"/>
                <w:szCs w:val="20"/>
              </w:rPr>
              <w:t>Narodowy Fundusz Zdrowia.</w:t>
            </w:r>
          </w:p>
        </w:tc>
      </w:tr>
    </w:tbl>
    <w:p w:rsidR="00723201" w:rsidRDefault="00723201" w:rsidP="00BA3A5B"/>
    <w:sectPr w:rsidR="00723201" w:rsidSect="00415792">
      <w:pgSz w:w="16838" w:h="11906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3A4E"/>
    <w:multiLevelType w:val="hybridMultilevel"/>
    <w:tmpl w:val="3F122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7194"/>
    <w:multiLevelType w:val="hybridMultilevel"/>
    <w:tmpl w:val="162032FA"/>
    <w:lvl w:ilvl="0" w:tplc="99C2461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512E"/>
    <w:multiLevelType w:val="hybridMultilevel"/>
    <w:tmpl w:val="09EC1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C55B1"/>
    <w:multiLevelType w:val="hybridMultilevel"/>
    <w:tmpl w:val="2F38C338"/>
    <w:lvl w:ilvl="0" w:tplc="4886CCB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D591D"/>
    <w:multiLevelType w:val="hybridMultilevel"/>
    <w:tmpl w:val="E9F88FE2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17221D8A"/>
    <w:multiLevelType w:val="hybridMultilevel"/>
    <w:tmpl w:val="2F38C338"/>
    <w:lvl w:ilvl="0" w:tplc="4886CCB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03D8E"/>
    <w:multiLevelType w:val="hybridMultilevel"/>
    <w:tmpl w:val="6C7A1070"/>
    <w:lvl w:ilvl="0" w:tplc="44A845C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33883"/>
    <w:multiLevelType w:val="hybridMultilevel"/>
    <w:tmpl w:val="59F695B6"/>
    <w:lvl w:ilvl="0" w:tplc="14FA25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E27E6"/>
    <w:multiLevelType w:val="hybridMultilevel"/>
    <w:tmpl w:val="2F38C338"/>
    <w:lvl w:ilvl="0" w:tplc="4886CCB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E78D5"/>
    <w:multiLevelType w:val="hybridMultilevel"/>
    <w:tmpl w:val="C6C8884C"/>
    <w:lvl w:ilvl="0" w:tplc="6366A6C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10A25"/>
    <w:multiLevelType w:val="hybridMultilevel"/>
    <w:tmpl w:val="E084C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E04E0"/>
    <w:multiLevelType w:val="multilevel"/>
    <w:tmpl w:val="44329C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F2C19B1"/>
    <w:multiLevelType w:val="hybridMultilevel"/>
    <w:tmpl w:val="F8A68CCA"/>
    <w:lvl w:ilvl="0" w:tplc="A30A3B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8F628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86481"/>
    <w:multiLevelType w:val="hybridMultilevel"/>
    <w:tmpl w:val="0C3A4836"/>
    <w:lvl w:ilvl="0" w:tplc="EC8A1AC0">
      <w:start w:val="1"/>
      <w:numFmt w:val="decimal"/>
      <w:lvlText w:val="%1)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92FD2"/>
    <w:multiLevelType w:val="hybridMultilevel"/>
    <w:tmpl w:val="A10A9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767C2"/>
    <w:multiLevelType w:val="hybridMultilevel"/>
    <w:tmpl w:val="BA4CA5A2"/>
    <w:lvl w:ilvl="0" w:tplc="27401DB2">
      <w:start w:val="1"/>
      <w:numFmt w:val="decimal"/>
      <w:lvlText w:val="%1)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230DA"/>
    <w:multiLevelType w:val="hybridMultilevel"/>
    <w:tmpl w:val="EED2765E"/>
    <w:lvl w:ilvl="0" w:tplc="0A3AD7C2">
      <w:start w:val="1"/>
      <w:numFmt w:val="decimal"/>
      <w:lvlText w:val="%1)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E0522"/>
    <w:multiLevelType w:val="hybridMultilevel"/>
    <w:tmpl w:val="35BA6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B111A"/>
    <w:multiLevelType w:val="hybridMultilevel"/>
    <w:tmpl w:val="83C0D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40219"/>
    <w:multiLevelType w:val="multilevel"/>
    <w:tmpl w:val="2BD4ED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7"/>
  </w:num>
  <w:num w:numId="5">
    <w:abstractNumId w:val="18"/>
  </w:num>
  <w:num w:numId="6">
    <w:abstractNumId w:val="14"/>
  </w:num>
  <w:num w:numId="7">
    <w:abstractNumId w:val="0"/>
  </w:num>
  <w:num w:numId="8">
    <w:abstractNumId w:val="3"/>
  </w:num>
  <w:num w:numId="9">
    <w:abstractNumId w:val="8"/>
  </w:num>
  <w:num w:numId="10">
    <w:abstractNumId w:val="12"/>
  </w:num>
  <w:num w:numId="11">
    <w:abstractNumId w:val="19"/>
  </w:num>
  <w:num w:numId="12">
    <w:abstractNumId w:val="2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E465A1"/>
    <w:rsid w:val="00034E63"/>
    <w:rsid w:val="000D247B"/>
    <w:rsid w:val="000E53D9"/>
    <w:rsid w:val="00185FCA"/>
    <w:rsid w:val="00187165"/>
    <w:rsid w:val="001B4CB6"/>
    <w:rsid w:val="001D0E40"/>
    <w:rsid w:val="00377C26"/>
    <w:rsid w:val="00397D44"/>
    <w:rsid w:val="00426ECF"/>
    <w:rsid w:val="00442E48"/>
    <w:rsid w:val="004850C8"/>
    <w:rsid w:val="005C05DD"/>
    <w:rsid w:val="00646712"/>
    <w:rsid w:val="006E2DF0"/>
    <w:rsid w:val="00723201"/>
    <w:rsid w:val="007B7F64"/>
    <w:rsid w:val="008203E9"/>
    <w:rsid w:val="008C4E99"/>
    <w:rsid w:val="00971E3E"/>
    <w:rsid w:val="00995DB3"/>
    <w:rsid w:val="00A04F61"/>
    <w:rsid w:val="00A3790F"/>
    <w:rsid w:val="00BA3A5B"/>
    <w:rsid w:val="00BC697B"/>
    <w:rsid w:val="00BD29BF"/>
    <w:rsid w:val="00C623DD"/>
    <w:rsid w:val="00D242EE"/>
    <w:rsid w:val="00E465A1"/>
    <w:rsid w:val="00EC6552"/>
    <w:rsid w:val="00ED2F32"/>
    <w:rsid w:val="00F06065"/>
    <w:rsid w:val="00F9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1E774-4A98-4EA3-9A98-AADAAFD0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5A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E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0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7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F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F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7F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2433</Words>
  <Characters>14604</Characters>
  <Application>Microsoft Office Word</Application>
  <DocSecurity>0</DocSecurity>
  <Lines>121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Ministerstwo Zdrowia</Company>
  <LinksUpToDate>false</LinksUpToDate>
  <CharactersWithSpaces>17003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Gęca Sylwia</dc:creator>
  <cp:lastModifiedBy>Protas Anna</cp:lastModifiedBy>
  <cp:revision>2</cp:revision>
  <cp:lastPrinted>2019-06-13T09:26:00Z</cp:lastPrinted>
  <dcterms:created xsi:type="dcterms:W3CDTF">2019-06-13T11:37:00Z</dcterms:created>
  <dcterms:modified xsi:type="dcterms:W3CDTF">2019-06-13T11:37:00Z</dcterms:modified>
</cp:coreProperties>
</file>