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4D60" w14:textId="7BAB120A" w:rsidR="00202697" w:rsidRPr="00AD29CA" w:rsidRDefault="00202697" w:rsidP="00202697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 w:rsidRPr="00AD29CA">
        <w:rPr>
          <w:rFonts w:ascii="Lato" w:hAnsi="Lato"/>
          <w:b/>
          <w:bCs/>
          <w:color w:val="00B0F0"/>
          <w:sz w:val="36"/>
          <w:szCs w:val="36"/>
          <w:u w:val="single"/>
        </w:rPr>
        <w:t>OBWIESZCZENI</w:t>
      </w:r>
      <w:r w:rsidR="00C57F29" w:rsidRPr="00AD29CA">
        <w:rPr>
          <w:rFonts w:ascii="Lato" w:hAnsi="Lato"/>
          <w:b/>
          <w:bCs/>
          <w:color w:val="00B0F0"/>
          <w:sz w:val="36"/>
          <w:szCs w:val="36"/>
          <w:u w:val="single"/>
        </w:rPr>
        <w:t>E</w:t>
      </w:r>
      <w:r w:rsidRPr="00AD29CA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REFUNDACYJNE NR 74 (1 KWIETNIA 2024 r.)</w:t>
      </w:r>
    </w:p>
    <w:p w14:paraId="6FCBB705" w14:textId="5E44884A" w:rsidR="00202697" w:rsidRPr="00AD29CA" w:rsidRDefault="00C57F29" w:rsidP="00C57F29">
      <w:pPr>
        <w:spacing w:after="120" w:line="276" w:lineRule="auto"/>
        <w:jc w:val="both"/>
        <w:rPr>
          <w:rFonts w:ascii="Lato" w:hAnsi="Lato"/>
          <w:b/>
          <w:bCs/>
        </w:rPr>
      </w:pPr>
      <w:r w:rsidRPr="00AD29CA">
        <w:rPr>
          <w:rFonts w:ascii="Lato" w:hAnsi="Lato"/>
        </w:rPr>
        <w:t>Od początku roku 2024, finansowaniem ze środków publicznych został</w:t>
      </w:r>
      <w:r w:rsidR="00A749C8">
        <w:rPr>
          <w:rFonts w:ascii="Lato" w:hAnsi="Lato"/>
        </w:rPr>
        <w:t>y</w:t>
      </w:r>
      <w:r w:rsidRPr="00AD29CA">
        <w:rPr>
          <w:rFonts w:ascii="Lato" w:hAnsi="Lato"/>
        </w:rPr>
        <w:t xml:space="preserve"> objęt</w:t>
      </w:r>
      <w:r w:rsidR="00A749C8">
        <w:rPr>
          <w:rFonts w:ascii="Lato" w:hAnsi="Lato"/>
        </w:rPr>
        <w:t>e</w:t>
      </w:r>
      <w:r w:rsidRPr="00AD29CA">
        <w:rPr>
          <w:rFonts w:ascii="Lato" w:hAnsi="Lato"/>
        </w:rPr>
        <w:t xml:space="preserve"> </w:t>
      </w:r>
      <w:r w:rsidRPr="00AD29CA">
        <w:rPr>
          <w:rFonts w:ascii="Lato" w:hAnsi="Lato"/>
          <w:b/>
          <w:bCs/>
        </w:rPr>
        <w:t>52 now</w:t>
      </w:r>
      <w:r w:rsidR="0097378D" w:rsidRPr="00AD29CA">
        <w:rPr>
          <w:rFonts w:ascii="Lato" w:hAnsi="Lato"/>
          <w:b/>
          <w:bCs/>
        </w:rPr>
        <w:t>e</w:t>
      </w:r>
      <w:r w:rsidRPr="00AD29CA">
        <w:rPr>
          <w:rFonts w:ascii="Lato" w:hAnsi="Lato"/>
          <w:b/>
          <w:bCs/>
        </w:rPr>
        <w:t xml:space="preserve"> cząsteczko – wskaza</w:t>
      </w:r>
      <w:r w:rsidR="0097378D" w:rsidRPr="00AD29CA">
        <w:rPr>
          <w:rFonts w:ascii="Lato" w:hAnsi="Lato"/>
          <w:b/>
          <w:bCs/>
        </w:rPr>
        <w:t>nia</w:t>
      </w:r>
      <w:r w:rsidRPr="00AD29CA">
        <w:rPr>
          <w:rFonts w:ascii="Lato" w:hAnsi="Lato"/>
        </w:rPr>
        <w:t>, w tym:</w:t>
      </w:r>
    </w:p>
    <w:p w14:paraId="753923CA" w14:textId="18A6ACBA" w:rsidR="00202697" w:rsidRPr="00AD29CA" w:rsidRDefault="00C57F29" w:rsidP="00202697">
      <w:pPr>
        <w:pStyle w:val="Akapitzlist"/>
        <w:numPr>
          <w:ilvl w:val="0"/>
          <w:numId w:val="27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AD29CA">
        <w:rPr>
          <w:rFonts w:ascii="Lato" w:hAnsi="Lato"/>
        </w:rPr>
        <w:t>15</w:t>
      </w:r>
      <w:r w:rsidR="00202697" w:rsidRPr="00AD29CA">
        <w:rPr>
          <w:rFonts w:ascii="Lato" w:hAnsi="Lato"/>
        </w:rPr>
        <w:t xml:space="preserve"> cząsteczko – wskazań onkologicznych,</w:t>
      </w:r>
    </w:p>
    <w:p w14:paraId="2C1EE8A8" w14:textId="670A8411" w:rsidR="00202697" w:rsidRPr="00AD29CA" w:rsidRDefault="00C57F29" w:rsidP="00202697">
      <w:pPr>
        <w:pStyle w:val="Akapitzlist"/>
        <w:numPr>
          <w:ilvl w:val="0"/>
          <w:numId w:val="27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AD29CA">
        <w:rPr>
          <w:rFonts w:ascii="Lato" w:hAnsi="Lato"/>
        </w:rPr>
        <w:t>37</w:t>
      </w:r>
      <w:r w:rsidR="00202697" w:rsidRPr="00AD29CA">
        <w:rPr>
          <w:rFonts w:ascii="Lato" w:hAnsi="Lato"/>
        </w:rPr>
        <w:t xml:space="preserve"> cząsteczko - wskaza</w:t>
      </w:r>
      <w:r w:rsidR="00516499" w:rsidRPr="00AD29CA">
        <w:rPr>
          <w:rFonts w:ascii="Lato" w:hAnsi="Lato"/>
        </w:rPr>
        <w:t>nia</w:t>
      </w:r>
      <w:r w:rsidR="00202697" w:rsidRPr="00AD29CA">
        <w:rPr>
          <w:rFonts w:ascii="Lato" w:hAnsi="Lato"/>
        </w:rPr>
        <w:t xml:space="preserve"> nieonkologiczn</w:t>
      </w:r>
      <w:r w:rsidR="00516499" w:rsidRPr="00AD29CA">
        <w:rPr>
          <w:rFonts w:ascii="Lato" w:hAnsi="Lato"/>
        </w:rPr>
        <w:t>e</w:t>
      </w:r>
      <w:r w:rsidR="00202697" w:rsidRPr="00AD29CA">
        <w:rPr>
          <w:rFonts w:ascii="Lato" w:hAnsi="Lato"/>
        </w:rPr>
        <w:t>,</w:t>
      </w:r>
    </w:p>
    <w:p w14:paraId="38D03AA4" w14:textId="0AF2C0DB" w:rsidR="00202697" w:rsidRDefault="00C57F29" w:rsidP="00202697">
      <w:pPr>
        <w:pStyle w:val="Akapitzlist"/>
        <w:numPr>
          <w:ilvl w:val="0"/>
          <w:numId w:val="27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AD29CA">
        <w:rPr>
          <w:rFonts w:ascii="Lato" w:hAnsi="Lato"/>
        </w:rPr>
        <w:t>18</w:t>
      </w:r>
      <w:r w:rsidR="00202697" w:rsidRPr="00AD29CA">
        <w:rPr>
          <w:rFonts w:ascii="Lato" w:hAnsi="Lato"/>
        </w:rPr>
        <w:t xml:space="preserve"> cząsteczko - wskazań dedykowanych chorobom rzadkim.</w:t>
      </w:r>
    </w:p>
    <w:p w14:paraId="61F694F0" w14:textId="2BBB30A9" w:rsidR="001D1F70" w:rsidRPr="00AD29CA" w:rsidRDefault="001D1F70" w:rsidP="001D1F70">
      <w:pPr>
        <w:spacing w:line="276" w:lineRule="auto"/>
        <w:jc w:val="both"/>
        <w:rPr>
          <w:rFonts w:ascii="Lato" w:hAnsi="Lato"/>
          <w:color w:val="000000" w:themeColor="text1"/>
        </w:rPr>
      </w:pPr>
      <w:r w:rsidRPr="00AD29CA">
        <w:rPr>
          <w:rFonts w:ascii="Lato" w:hAnsi="Lato"/>
          <w:color w:val="000000" w:themeColor="text1"/>
        </w:rPr>
        <w:t>Obwieszczenie refundacyjne obowiązujące od 1 kwietnia 2024 r. (nr 74), w porównaniu do obwieszczenia 73 zawiera następujące zmiany:</w:t>
      </w:r>
    </w:p>
    <w:p w14:paraId="02C34EEF" w14:textId="77777777" w:rsidR="00AD29CA" w:rsidRPr="00AD29CA" w:rsidRDefault="00AD29CA" w:rsidP="00AD29CA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textAlignment w:val="auto"/>
        <w:rPr>
          <w:rFonts w:ascii="Lato" w:hAnsi="Lato"/>
        </w:rPr>
      </w:pPr>
      <w:r w:rsidRPr="00AD29CA">
        <w:rPr>
          <w:rFonts w:ascii="Lato" w:hAnsi="Lato"/>
        </w:rPr>
        <w:t>W związku z wydaniem pozytywnych decyzji o objęciu refundacją ogółem do wykazu zostało dodanych 86 produktów bądź nowych wskazań.</w:t>
      </w:r>
    </w:p>
    <w:p w14:paraId="19B7C82C" w14:textId="77777777" w:rsidR="00AD29CA" w:rsidRPr="00AD29CA" w:rsidRDefault="00AD29CA" w:rsidP="00AD29CA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textAlignment w:val="auto"/>
        <w:rPr>
          <w:rFonts w:ascii="Lato" w:hAnsi="Lato"/>
          <w14:ligatures w14:val="standardContextual"/>
        </w:rPr>
      </w:pPr>
      <w:r w:rsidRPr="00AD29CA">
        <w:rPr>
          <w:rFonts w:ascii="Lato" w:hAnsi="Lato"/>
        </w:rPr>
        <w:t>Dla 91 produktów wprowadzono obniżki cen zbytu netto (od 0,01 zł do 8 328,52 zł).</w:t>
      </w:r>
    </w:p>
    <w:p w14:paraId="3A86ECF2" w14:textId="77777777" w:rsidR="00AD29CA" w:rsidRPr="00AD29CA" w:rsidRDefault="00AD29CA" w:rsidP="00AD29CA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textAlignment w:val="auto"/>
        <w:rPr>
          <w:rFonts w:ascii="Lato" w:hAnsi="Lato"/>
        </w:rPr>
      </w:pPr>
      <w:r w:rsidRPr="00AD29CA">
        <w:rPr>
          <w:rFonts w:ascii="Lato" w:hAnsi="Lato"/>
        </w:rPr>
        <w:t>Dla 45 produktów podwyższono ceny zbytu netto (od 0,52 zł do 1 500,00 zł).</w:t>
      </w:r>
    </w:p>
    <w:p w14:paraId="653CC9CB" w14:textId="77777777" w:rsidR="00AD29CA" w:rsidRPr="00AD29CA" w:rsidRDefault="00AD29CA" w:rsidP="00AD29CA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textAlignment w:val="auto"/>
        <w:rPr>
          <w:rFonts w:ascii="Lato" w:hAnsi="Lato"/>
        </w:rPr>
      </w:pPr>
      <w:r w:rsidRPr="00AD29CA">
        <w:rPr>
          <w:rFonts w:ascii="Lato" w:hAnsi="Lato"/>
        </w:rPr>
        <w:t>Dla 539 pozycji w obwieszczeniu spadnie dopłata pacjenta (od 0,01 zł do 456,63 zł).</w:t>
      </w:r>
    </w:p>
    <w:p w14:paraId="68164E54" w14:textId="77777777" w:rsidR="00AD29CA" w:rsidRPr="00AD29CA" w:rsidRDefault="00AD29CA" w:rsidP="00AD29CA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textAlignment w:val="auto"/>
        <w:rPr>
          <w:rFonts w:ascii="Lato" w:hAnsi="Lato"/>
        </w:rPr>
      </w:pPr>
      <w:r w:rsidRPr="00AD29CA">
        <w:rPr>
          <w:rFonts w:ascii="Lato" w:hAnsi="Lato"/>
        </w:rPr>
        <w:t>Dla 545 pozycji w obwieszczeniu wzrośnie dopłata pacjenta (od 0,01 zł do 198,04 zł).</w:t>
      </w:r>
    </w:p>
    <w:p w14:paraId="3AC7E7B3" w14:textId="77777777" w:rsidR="00AD29CA" w:rsidRPr="00AD29CA" w:rsidRDefault="00AD29CA" w:rsidP="00AD29CA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textAlignment w:val="auto"/>
        <w:rPr>
          <w:rFonts w:ascii="Lato" w:hAnsi="Lato"/>
        </w:rPr>
      </w:pPr>
      <w:r w:rsidRPr="00AD29CA">
        <w:rPr>
          <w:rFonts w:ascii="Lato" w:hAnsi="Lato"/>
        </w:rPr>
        <w:t>Dla 417 produktów ulegną obniżeniu ceny detaliczne brutto (od 0,01 zł do 27,96 zł).</w:t>
      </w:r>
    </w:p>
    <w:p w14:paraId="2210892F" w14:textId="77777777" w:rsidR="00AD29CA" w:rsidRPr="00AD29CA" w:rsidRDefault="00AD29CA" w:rsidP="00AD29CA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textAlignment w:val="auto"/>
        <w:rPr>
          <w:rFonts w:ascii="Lato" w:hAnsi="Lato"/>
        </w:rPr>
      </w:pPr>
      <w:r w:rsidRPr="00AD29CA">
        <w:rPr>
          <w:rFonts w:ascii="Lato" w:hAnsi="Lato"/>
        </w:rPr>
        <w:t>Dla 340 produktów wzrosną ceny detaliczne brutto (od 0,01 zł do 101,63 zł).</w:t>
      </w:r>
    </w:p>
    <w:p w14:paraId="6F6B8AAA" w14:textId="77777777" w:rsidR="00AD29CA" w:rsidRDefault="00AD29CA" w:rsidP="00AD29CA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textAlignment w:val="auto"/>
        <w:rPr>
          <w:rFonts w:ascii="Lato" w:hAnsi="Lato"/>
        </w:rPr>
      </w:pPr>
      <w:r w:rsidRPr="00AD29CA">
        <w:rPr>
          <w:rFonts w:ascii="Lato" w:hAnsi="Lato"/>
        </w:rPr>
        <w:t>W związku z wpłynięciem wniosków o skrócenie terminu obowiązywania decyzji refundacyjnych lub upłynięciem terminu obowiązywania decyzji refundacyjnych lub odmową refundacji na kolejny okres w obwieszczeniu nie znajdzie się 72 produktów bądź wskazań figurujących w poprzednim obwieszczeniu.</w:t>
      </w:r>
    </w:p>
    <w:p w14:paraId="0E1D3802" w14:textId="228611D3" w:rsidR="004F5274" w:rsidRPr="00AD29CA" w:rsidRDefault="004F5274" w:rsidP="004F5274">
      <w:pPr>
        <w:spacing w:after="120" w:line="360" w:lineRule="auto"/>
        <w:jc w:val="both"/>
        <w:textAlignment w:val="auto"/>
        <w:rPr>
          <w:rFonts w:ascii="Lato" w:hAnsi="Lato"/>
        </w:rPr>
      </w:pPr>
      <w:r w:rsidRPr="004F5274">
        <w:rPr>
          <w:rFonts w:ascii="Lato" w:hAnsi="Lato"/>
        </w:rPr>
        <w:t>Obwieszczenie refundacyjne obowiązujące od 1 kwietnia 2024 r. zostało rozszerzone o dwa nowe wykazy G1 i G2 (tzw. „</w:t>
      </w:r>
      <w:r w:rsidRPr="004F5274">
        <w:rPr>
          <w:rFonts w:ascii="Lato" w:hAnsi="Lato"/>
          <w:i/>
          <w:iCs/>
        </w:rPr>
        <w:t>polskie leki</w:t>
      </w:r>
      <w:r w:rsidRPr="004F5274">
        <w:rPr>
          <w:rFonts w:ascii="Lato" w:hAnsi="Lato"/>
        </w:rPr>
        <w:t xml:space="preserve">”) uwzględniające łącznie </w:t>
      </w:r>
      <w:r w:rsidRPr="004F5274">
        <w:rPr>
          <w:rFonts w:ascii="Lato" w:hAnsi="Lato"/>
          <w:b/>
          <w:bCs/>
        </w:rPr>
        <w:t>355 leków</w:t>
      </w:r>
      <w:r w:rsidRPr="004F5274">
        <w:rPr>
          <w:rFonts w:ascii="Lato" w:hAnsi="Lato"/>
        </w:rPr>
        <w:t xml:space="preserve">, rozumianych jako indywidualne kody GTIN. Opracowanie wykazu G1 i G2 wiązało się z wydaniem </w:t>
      </w:r>
      <w:r w:rsidRPr="004F5274">
        <w:rPr>
          <w:rFonts w:ascii="Lato" w:hAnsi="Lato"/>
          <w:b/>
          <w:bCs/>
        </w:rPr>
        <w:t>1</w:t>
      </w:r>
      <w:r w:rsidR="005F1BE0">
        <w:rPr>
          <w:rFonts w:ascii="Lato" w:hAnsi="Lato"/>
          <w:b/>
          <w:bCs/>
        </w:rPr>
        <w:t xml:space="preserve"> </w:t>
      </w:r>
      <w:r w:rsidRPr="004F5274">
        <w:rPr>
          <w:rFonts w:ascii="Lato" w:hAnsi="Lato"/>
          <w:b/>
          <w:bCs/>
        </w:rPr>
        <w:t>192 decyzji.</w:t>
      </w:r>
    </w:p>
    <w:p w14:paraId="38E7C447" w14:textId="65B99C45" w:rsidR="00127452" w:rsidRDefault="00FE34E5">
      <w:pPr>
        <w:suppressAutoHyphens w:val="0"/>
        <w:rPr>
          <w:noProof/>
        </w:rPr>
      </w:pPr>
      <w:r>
        <w:rPr>
          <w:noProof/>
        </w:rPr>
        <w:lastRenderedPageBreak/>
        <w:drawing>
          <wp:inline distT="0" distB="0" distL="0" distR="0" wp14:anchorId="2E9663ED" wp14:editId="1FD64454">
            <wp:extent cx="4410075" cy="2859405"/>
            <wp:effectExtent l="0" t="0" r="9525" b="17145"/>
            <wp:docPr id="168829232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C6074ED-C953-414E-8657-6D9838D8DB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C0285F">
        <w:rPr>
          <w:rFonts w:ascii="Lato" w:hAnsi="La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2DCE10D4" wp14:editId="1D3C03AF">
            <wp:extent cx="4229100" cy="2886075"/>
            <wp:effectExtent l="0" t="0" r="0" b="9525"/>
            <wp:docPr id="172086177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3EEC769-7086-49DE-8BAD-8CC35BDC18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C0285F">
        <w:rPr>
          <w:rFonts w:ascii="Lato" w:hAnsi="Lato"/>
          <w:sz w:val="24"/>
          <w:szCs w:val="24"/>
        </w:rPr>
        <w:t xml:space="preserve"> </w:t>
      </w:r>
      <w:r w:rsidR="00C0285F">
        <w:rPr>
          <w:noProof/>
        </w:rPr>
        <w:drawing>
          <wp:inline distT="0" distB="0" distL="0" distR="0" wp14:anchorId="4277A410" wp14:editId="1D1D9ED5">
            <wp:extent cx="4410075" cy="2796540"/>
            <wp:effectExtent l="0" t="0" r="9525" b="3810"/>
            <wp:docPr id="89299114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A79078D-806F-4958-9948-92A3449EF9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C0285F">
        <w:rPr>
          <w:noProof/>
        </w:rPr>
        <w:t xml:space="preserve"> </w:t>
      </w:r>
      <w:r>
        <w:rPr>
          <w:noProof/>
        </w:rPr>
        <w:drawing>
          <wp:inline distT="0" distB="0" distL="0" distR="0" wp14:anchorId="20BAA865" wp14:editId="39A156FB">
            <wp:extent cx="4223982" cy="2785745"/>
            <wp:effectExtent l="0" t="0" r="5715" b="14605"/>
            <wp:docPr id="138973951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E0023C9-8891-4322-B9CF-5D2C6FA255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6A06678" w14:textId="6B7EEC54" w:rsidR="00AD08C5" w:rsidRPr="004D093B" w:rsidRDefault="00127452" w:rsidP="00127452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>
        <w:rPr>
          <w:noProof/>
        </w:rPr>
        <w:br w:type="page"/>
      </w:r>
      <w:r w:rsidR="006A7DCE"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0" w:name="_Hlk95686308"/>
      <w:r w:rsidR="006A7DCE"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0"/>
      <w:r w:rsidR="006A7DCE"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1496"/>
        <w:gridCol w:w="2063"/>
        <w:gridCol w:w="1867"/>
        <w:gridCol w:w="3198"/>
        <w:gridCol w:w="4869"/>
      </w:tblGrid>
      <w:tr w:rsidR="005058F2" w:rsidRPr="004D093B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4D093B" w14:paraId="60CDF2D4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B265ED" w:rsidRPr="004D093B" w14:paraId="41B567AC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68FD1566" w:rsidR="00961330" w:rsidRPr="004D093B" w:rsidRDefault="00961330" w:rsidP="00961330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53C3B106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Lynparza</w:t>
            </w:r>
            <w:proofErr w:type="spellEnd"/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156B1C88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olaparyb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49324FB8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B.50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2A29162B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JAJNIKA, RAKA JAJOWODU LUB RAKA OTRZEWNEJ (ICD-10: C56, C57, C48)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DB27" w14:textId="49501823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II linii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>olaparyb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proofErr w:type="spellEnd"/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na 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>nawrotowego raka jajnika, raka jajowodu lub pierwotnego raka otrzewnej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chorych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brakiem obecności mutacji w genach BRCA 1/2.</w:t>
            </w:r>
          </w:p>
        </w:tc>
      </w:tr>
      <w:tr w:rsidR="00B265ED" w:rsidRPr="004D093B" w14:paraId="7B60364B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DFB9" w14:textId="15170971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C820A" w14:textId="6F2CBB37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Opdualag</w:t>
            </w:r>
            <w:proofErr w:type="spellEnd"/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9E90" w14:textId="22172DB6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niwolumab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relatlimab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0C791" w14:textId="6E416339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B.59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4C392" w14:textId="5D88862E" w:rsidR="00B265ED" w:rsidRPr="00DA4459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LECZENIECH CHORYCH NA CZERNIAKA SKÓRY LUB BŁON ŚLUZOWYCH (ICD-10: C43)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6CDD" w14:textId="41722729" w:rsidR="00B265ED" w:rsidRDefault="00DC6168" w:rsidP="00DC616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C616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DC6168"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 w:rsidRPr="00DC616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Pr="00DC6168">
              <w:rPr>
                <w:rFonts w:ascii="Lato" w:hAnsi="Lato" w:cstheme="majorHAnsi"/>
                <w:color w:val="000000"/>
                <w:sz w:val="18"/>
                <w:szCs w:val="18"/>
              </w:rPr>
              <w:t>relatlimabem</w:t>
            </w:r>
            <w:proofErr w:type="spellEnd"/>
            <w:r w:rsidRPr="00DC616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od 12 roku życia z czerniakiem w stopniu zaawansowania III lub IV i z ekspresją PDL1 &lt; 1%.</w:t>
            </w:r>
          </w:p>
        </w:tc>
      </w:tr>
      <w:tr w:rsidR="00B265ED" w:rsidRPr="004D093B" w14:paraId="4193F70D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24A8C0D3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575EDF65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Imbruvica</w:t>
            </w:r>
            <w:proofErr w:type="spellEnd"/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6DAD1794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ibrutynib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246E8C91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B.79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40135DA2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A4459">
              <w:rPr>
                <w:rFonts w:ascii="Lato" w:hAnsi="Lato" w:cstheme="majorHAnsi"/>
                <w:sz w:val="18"/>
                <w:szCs w:val="18"/>
              </w:rPr>
              <w:t>LECZENIE CHORYCH NA PRZEWLEKŁĄ BIAŁACZKĘ LIMFOCYTOWĄ (ICD-10: C91.1)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EA37" w14:textId="2323D3C2" w:rsidR="00B265ED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I linii</w:t>
            </w:r>
            <w:r w:rsidR="00B265ED" w:rsidRPr="001667F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na 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przewlekłą białaczkę limfocytową ibrutynibem w skojarzeniu z wenetoklaksem (schemat I+V), bez względu na status del17p/mutTP53.</w:t>
            </w:r>
          </w:p>
          <w:p w14:paraId="5966388A" w14:textId="78551C10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667F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B265ED" w:rsidRPr="004D093B" w14:paraId="34137848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3230AD21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74229B14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Calquence</w:t>
            </w:r>
            <w:proofErr w:type="spellEnd"/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6EA44579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akalabrutynib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2F0A32DC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B.79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354DFE29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A445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PRZEWLEKŁĄ BIAŁACZKĘ LIMFOCYTOWĄ (ICD-10: C91.1)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3560" w14:textId="1105255F" w:rsidR="00B265ED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od II linii</w:t>
            </w:r>
            <w:r w:rsidR="00B265ED" w:rsidRPr="001667F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na 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przewlekłą białaczkę limfocytową bez del17p/mutTP53 </w:t>
            </w:r>
            <w:proofErr w:type="spellStart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akalabrutynibem</w:t>
            </w:r>
            <w:proofErr w:type="spellEnd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(rozszerzenie dotychczas</w:t>
            </w:r>
            <w:r w:rsidR="00B265ED" w:rsidRPr="00DA445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refundowanego wskazania poprzez usunięcie warunków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dotyczących </w:t>
            </w:r>
            <w:r w:rsidR="00B265ED" w:rsidRPr="00DA4459">
              <w:rPr>
                <w:rFonts w:ascii="Lato" w:hAnsi="Lato" w:cstheme="majorHAnsi"/>
                <w:color w:val="000000"/>
                <w:sz w:val="18"/>
                <w:szCs w:val="18"/>
              </w:rPr>
              <w:t>wcześniejszego leczenia wenetoklaksem w skojarzeniu z przeciwciałem anty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-</w:t>
            </w:r>
            <w:r w:rsidR="00B265ED" w:rsidRPr="00DA4459">
              <w:rPr>
                <w:rFonts w:ascii="Lato" w:hAnsi="Lato" w:cstheme="majorHAnsi"/>
                <w:color w:val="000000"/>
                <w:sz w:val="18"/>
                <w:szCs w:val="18"/>
              </w:rPr>
              <w:t>CD20 lub z przeciwwskazaniami do tej terapii lub z toksycznością tej terapii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  <w:p w14:paraId="75074C9F" w14:textId="31386C7B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667F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B265ED" w:rsidRPr="004D093B" w14:paraId="79F6918C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7C2F934B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64F25845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  <w:proofErr w:type="spellEnd"/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40312F59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59675B1D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</w:t>
            </w:r>
            <w:r w:rsidR="009F1AF3">
              <w:rPr>
                <w:rFonts w:ascii="Lato" w:hAnsi="Lato" w:cstheme="majorHAnsi"/>
                <w:sz w:val="18"/>
                <w:szCs w:val="18"/>
              </w:rPr>
              <w:t>159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206085A1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20E1">
              <w:rPr>
                <w:rFonts w:ascii="Lato" w:hAnsi="Lato" w:cstheme="majorHAnsi"/>
                <w:sz w:val="18"/>
                <w:szCs w:val="18"/>
              </w:rPr>
              <w:t>LECZENIE CHORYCH NA RAKA SZYJKI MACICY (ICD-10: C53)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2A24" w14:textId="6D1F4B90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I linii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pembrolizumabem</w:t>
            </w:r>
            <w:proofErr w:type="spellEnd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>w skojarzeniu z chemioterapią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>bewacyzumabem</w:t>
            </w:r>
            <w:proofErr w:type="spellEnd"/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bez </w:t>
            </w:r>
            <w:proofErr w:type="spellStart"/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>bewacyzumabu</w:t>
            </w:r>
            <w:proofErr w:type="spellEnd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chorych na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przetrwałego, nawrotowego lub z przerzutami raka szyjki macicy, u których CPS z ekspresją PD-L1 w tkance nowotworowej wynosi ≥ 1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B265ED" w:rsidRPr="004D093B" w14:paraId="2EAEEA58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4B85" w14:textId="583DB425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EC7B" w14:textId="487E28BC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093F" w14:textId="2AED80BA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kapecytabina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7235" w14:textId="74701D88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C.5.b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1733" w14:textId="0C29F2EE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CAPECITABINE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4624" w14:textId="77777777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załącznika C.5.b o wskazania pozarejestracyjne:</w:t>
            </w:r>
          </w:p>
          <w:p w14:paraId="3BE496F7" w14:textId="4FE51EB3" w:rsidR="00B265ED" w:rsidRDefault="00B265ED" w:rsidP="00B265ED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 narządów głowy i szyi (C00 – C14)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4B804AEF" w14:textId="224967E1" w:rsidR="00B265ED" w:rsidRDefault="00B265ED" w:rsidP="00B265ED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 przełyku (C15)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13C79E6D" w14:textId="5871C042" w:rsidR="00B265ED" w:rsidRDefault="00B265ED" w:rsidP="00B265ED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 jelita cienkiego (C17)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6C1568C7" w14:textId="003039B8" w:rsidR="00B265ED" w:rsidRDefault="00B265ED" w:rsidP="00B265ED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 odbytu i kanału odbytu (C21)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0C618871" w14:textId="77777777" w:rsidR="00B265ED" w:rsidRDefault="00B265ED" w:rsidP="00B265ED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</w:t>
            </w:r>
            <w:r w:rsidRPr="00BE5438">
              <w:rPr>
                <w:rFonts w:ascii="Lato" w:hAnsi="Lato" w:cstheme="majorHAnsi"/>
                <w:color w:val="000000"/>
                <w:sz w:val="18"/>
                <w:szCs w:val="18"/>
              </w:rPr>
              <w:t>owotwory złośliwe tarczycy i innych gruczołów wydzielania wewnętrznego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(C73 – C75).</w:t>
            </w:r>
          </w:p>
          <w:p w14:paraId="14BC0B21" w14:textId="6047F60F" w:rsidR="00B265ED" w:rsidRPr="00F0148C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o leczenie choroby zaawansowanej w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rozpoznaniach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</w:t>
            </w:r>
            <w:r w:rsidR="00961330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22–C</w:t>
            </w:r>
            <w:r w:rsidR="00961330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25.</w:t>
            </w:r>
          </w:p>
          <w:p w14:paraId="7CDFBEFD" w14:textId="0D03ADAF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B56D6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B56D6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B56D6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B265ED" w:rsidRPr="004D093B" w14:paraId="189EA4B0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43F4" w14:textId="51C6968A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A83A" w14:textId="612ACAFE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A8F1" w14:textId="41BA69DC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oksaliplatyna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E05E" w14:textId="277BF2DE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C.46.b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668A" w14:textId="5920EF3C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OXALIPLATIN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C0AA" w14:textId="77777777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załącznika C.46.b o wskazanie pozarejestracyjne: nowotwór złośliwy przełyku (C15).</w:t>
            </w:r>
          </w:p>
          <w:p w14:paraId="0B1AA7A9" w14:textId="4F9A1ADD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B56D6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B56D6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B56D6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</w:tbl>
    <w:p w14:paraId="7F9CCF36" w14:textId="51B74B46" w:rsidR="004D093B" w:rsidRDefault="004D093B"/>
    <w:p w14:paraId="7FCF9A29" w14:textId="77777777" w:rsidR="004D093B" w:rsidRDefault="004D093B">
      <w:pPr>
        <w:suppressAutoHyphens w:val="0"/>
      </w:pPr>
      <w: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2D6ED9" w:rsidRPr="004D093B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2D6ED9" w:rsidRPr="004D093B" w14:paraId="1394CD71" w14:textId="77777777" w:rsidTr="004D093B">
        <w:trPr>
          <w:cantSplit/>
          <w:trHeight w:val="628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B265ED" w:rsidRPr="004D093B" w14:paraId="641E2DE2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6D1C" w14:textId="0B662CAD" w:rsidR="00B265ED" w:rsidRPr="004D093B" w:rsidRDefault="00A1146C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DB6C4" w14:textId="4992DB2A" w:rsidR="00B265ED" w:rsidRPr="00496AA9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Tysabri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A590" w14:textId="77777777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natalizumab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1619771D" w14:textId="5B524DD7" w:rsidR="00B265ED" w:rsidRPr="00496AA9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(postać podskórna)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5B64" w14:textId="7DA7174E" w:rsidR="00B265ED" w:rsidRPr="00496AA9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B.29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EC95" w14:textId="195080C1" w:rsidR="00B265ED" w:rsidRPr="00496AA9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STWARDNIENIE ROZSIANE (ICD-10: G35)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830AC" w14:textId="6C6D32CF" w:rsidR="00B265ED" w:rsidRDefault="00645CA2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Refundacja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natalizumabu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A1146C">
              <w:rPr>
                <w:rFonts w:ascii="Lato" w:hAnsi="Lato" w:cstheme="majorHAnsi"/>
                <w:color w:val="000000"/>
                <w:sz w:val="18"/>
                <w:szCs w:val="18"/>
              </w:rPr>
              <w:t>w formie podskórnej.</w:t>
            </w:r>
          </w:p>
          <w:p w14:paraId="449A077D" w14:textId="6CE82AD4" w:rsidR="00B265ED" w:rsidRPr="00496AA9" w:rsidRDefault="00C36F4C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</w:t>
            </w:r>
            <w:r w:rsidR="00B265ED"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nietolerancj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  <w:r w:rsidR="00B265ED"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terapii z </w:t>
            </w:r>
            <w:proofErr w:type="spellStart"/>
            <w:r w:rsidR="00B265ED"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>natalizumabem</w:t>
            </w:r>
            <w:proofErr w:type="spellEnd"/>
            <w:r w:rsidR="00B265ED"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265ED"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>i.v</w:t>
            </w:r>
            <w:proofErr w:type="spellEnd"/>
            <w:r w:rsidR="00B265ED"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>. (w postaci dożylnej) z powodu zapalenia żył po wlewach dożylnych lub z powodu trudnego dostępu do żył.</w:t>
            </w:r>
          </w:p>
        </w:tc>
      </w:tr>
      <w:tr w:rsidR="00A1146C" w:rsidRPr="004D093B" w14:paraId="7522F87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6898F934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0DC37823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b/>
                <w:bCs/>
                <w:sz w:val="18"/>
                <w:szCs w:val="18"/>
              </w:rPr>
              <w:t>Rinvoq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1EE48792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i/>
                <w:iCs/>
                <w:sz w:val="18"/>
                <w:szCs w:val="18"/>
              </w:rPr>
              <w:t>upadacytynib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4031B000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B.32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4D39C02C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LEŚNIOWSKIEGO – CROHNA (ICD-10: K50)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C9BB" w14:textId="3B8E3F76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4476B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pacjentów z rozpoznaną ciężk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 lub umiarkowaną</w:t>
            </w:r>
            <w:r w:rsidRPr="008447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czynna postać choroby </w:t>
            </w:r>
            <w:proofErr w:type="spellStart"/>
            <w:r w:rsidRPr="0084476B">
              <w:rPr>
                <w:rFonts w:ascii="Lato" w:hAnsi="Lato" w:cstheme="majorHAnsi"/>
                <w:color w:val="000000"/>
                <w:sz w:val="18"/>
                <w:szCs w:val="18"/>
              </w:rPr>
              <w:t>Leśniowskiego-Crohna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</w:t>
            </w:r>
            <w:r w:rsidRPr="0084476B">
              <w:rPr>
                <w:rFonts w:ascii="Lato" w:hAnsi="Lato" w:cstheme="majorHAnsi"/>
                <w:color w:val="000000"/>
                <w:sz w:val="18"/>
                <w:szCs w:val="18"/>
              </w:rPr>
              <w:t>pierwszy lek  z grupy inhibitorów JAK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1146C" w:rsidRPr="004D093B" w14:paraId="5C1FF5AC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9FC7" w14:textId="5B7A8F60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6492" w14:textId="687D74D3" w:rsidR="00A1146C" w:rsidRPr="00496AA9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Synagis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5EF43" w14:textId="2FF7B931" w:rsidR="00A1146C" w:rsidRPr="00496AA9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paliwizumab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95FD" w14:textId="4D884DEA" w:rsidR="00A1146C" w:rsidRPr="00496AA9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B.40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CAAD" w14:textId="0121DDEF" w:rsidR="00A1146C" w:rsidRPr="00496AA9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7186F"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WIRUSEM RS (ICD-10: P07.2, P07.3, P27.1, P07.0, P07.1, Q20-Q24, G12.0, G12.1, E84.0)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BB7B9" w14:textId="12409BD6" w:rsidR="00A1146C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populacji 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>kwalifikującej się do leczenia:</w:t>
            </w:r>
          </w:p>
          <w:p w14:paraId="72D3F9E4" w14:textId="643DB8DD" w:rsidR="00A1146C" w:rsidRDefault="00A1146C" w:rsidP="00A1146C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pacjentów z mukowiscydozą do 1 roku życia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</w:t>
            </w:r>
          </w:p>
          <w:p w14:paraId="49268252" w14:textId="77777777" w:rsidR="00A1146C" w:rsidRDefault="00A1146C" w:rsidP="00A1146C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pacjentów z SMA do 2 roku życia.</w:t>
            </w:r>
          </w:p>
          <w:p w14:paraId="4872186D" w14:textId="656267F7" w:rsidR="00A1146C" w:rsidRPr="00496AA9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36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BA36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BA36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1146C" w:rsidRPr="004D093B" w14:paraId="5ED86F3E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02D8A215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60899FBF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Tezspire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1AC25AA6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tezepelumab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2D1C5A3D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B.44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33BE9806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CIĘŻKĄ POSTACIĄ ASTMY (ICD-10: J45, J82)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1040" w14:textId="53A71B13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ciężkiej astmy </w:t>
            </w:r>
            <w:proofErr w:type="spellStart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tezepelumabem</w:t>
            </w:r>
            <w:proofErr w:type="spellEnd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pacjentów od 12 r.ż. (przeciwciało monoklonalne (IgG2</w:t>
            </w:r>
            <w:r w:rsidRPr="00496AA9">
              <w:rPr>
                <w:rFonts w:cs="Calibri"/>
                <w:color w:val="000000"/>
                <w:sz w:val="18"/>
                <w:szCs w:val="18"/>
              </w:rPr>
              <w:t>λ</w:t>
            </w: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</w:tc>
      </w:tr>
      <w:tr w:rsidR="00A1146C" w:rsidRPr="004D093B" w14:paraId="5CE97390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53132BFC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89EF" w14:textId="6EFF3E17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b/>
                <w:bCs/>
                <w:sz w:val="18"/>
                <w:szCs w:val="18"/>
              </w:rPr>
              <w:t>Rinvoq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50FDDB8F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i/>
                <w:iCs/>
                <w:sz w:val="18"/>
                <w:szCs w:val="18"/>
              </w:rPr>
              <w:t>upadacytynib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35DCE9AC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B.55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76FD3476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WRZODZIEJĄCYM ZAPALENIEM JELITA GRUBEGO (WZJG) (ICD-10: K51)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6806" w14:textId="6AD28FEC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</w:t>
            </w:r>
            <w:r w:rsidRPr="00E877CC">
              <w:rPr>
                <w:rFonts w:ascii="Lato" w:hAnsi="Lato" w:cstheme="majorHAnsi"/>
                <w:color w:val="000000"/>
                <w:sz w:val="18"/>
                <w:szCs w:val="18"/>
              </w:rPr>
              <w:t>eczeni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 dorosłych</w:t>
            </w:r>
            <w:r w:rsidRPr="00E877C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z postacią ciężką lub umiarkowaną WZJG</w:t>
            </w:r>
            <w:r>
              <w:t xml:space="preserve"> -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kolejny </w:t>
            </w:r>
            <w:r w:rsidRPr="003F5F57">
              <w:rPr>
                <w:rFonts w:ascii="Lato" w:hAnsi="Lato" w:cstheme="majorHAnsi"/>
                <w:color w:val="000000"/>
                <w:sz w:val="18"/>
                <w:szCs w:val="18"/>
              </w:rPr>
              <w:t>lek  z grupy inhibitorów JAK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510E6" w:rsidRPr="004D093B" w14:paraId="26F17574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581F" w14:textId="7CA5CE03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8903" w14:textId="00D5B39B" w:rsidR="00A510E6" w:rsidRPr="00496AA9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F35C" w14:textId="530B81AA" w:rsidR="00A510E6" w:rsidRPr="00496AA9" w:rsidRDefault="00AA2E63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różne substancje czynne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ADDE6" w14:textId="408CDCAF" w:rsidR="00A510E6" w:rsidRPr="00496AA9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B.67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935A" w14:textId="76FAFED0" w:rsidR="00A510E6" w:rsidRPr="00496AA9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/>
                <w:sz w:val="18"/>
                <w:szCs w:val="18"/>
              </w:rPr>
              <w:t>LECZENIE IMMUNOGLOBULINAMI CHORÓB NEUROLOGICZNYCH (ICD-10: G61.8, G62.8, G63.1, G70, G04.8, G73.1, G73.2, G72.4, G61.0, G36.0, G25.82, M33.0, M33.1, M33.2)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7F587" w14:textId="7B7A2B93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sz w:val="18"/>
                <w:szCs w:val="18"/>
              </w:rPr>
              <w:t>Leczenie immunoglobulinami zespołu sztywności uogólnionej (SPS), tzw. zespołu sztywnego człowieka -  nowe wskazanie</w:t>
            </w:r>
            <w:r w:rsidR="00AA2E63">
              <w:rPr>
                <w:rFonts w:ascii="Lato" w:hAnsi="Lato" w:cstheme="majorHAnsi"/>
                <w:sz w:val="18"/>
                <w:szCs w:val="18"/>
              </w:rPr>
              <w:t>.</w:t>
            </w:r>
          </w:p>
          <w:p w14:paraId="5B74B285" w14:textId="458573F9" w:rsidR="00A510E6" w:rsidRPr="00496AA9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36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BA36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BA36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510E6" w:rsidRPr="004D093B" w14:paraId="6D899FDB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10F3" w14:textId="7FDD361B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0F3F" w14:textId="2AE830B8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b/>
                <w:bCs/>
                <w:sz w:val="18"/>
                <w:szCs w:val="18"/>
              </w:rPr>
              <w:t>Rinvoq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BCFA" w14:textId="28A1D08C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i/>
                <w:iCs/>
                <w:sz w:val="18"/>
                <w:szCs w:val="18"/>
              </w:rPr>
              <w:t>upadacytynib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9B8A" w14:textId="62CA4C32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B.82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B302" w14:textId="05DA02FE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AKTYWNĄ POSTACIĄ SPONDYLOARTROPATII (</w:t>
            </w:r>
            <w:proofErr w:type="spellStart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SpA</w:t>
            </w:r>
            <w:proofErr w:type="spellEnd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) BEZ ZMIAN RADIOGRAFICZNYCH CHARAKTERYSTYCZNYCH DLA ZZSK (ICD-10: M46.8)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1E34" w14:textId="6F022A9A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aktywnej </w:t>
            </w:r>
            <w:proofErr w:type="spellStart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SpA</w:t>
            </w:r>
            <w:proofErr w:type="spellEnd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bez zmian </w:t>
            </w:r>
            <w:proofErr w:type="spellStart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radiolograficznych</w:t>
            </w:r>
            <w:proofErr w:type="spellEnd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charakterystyk dla ZZSK w postaci osiowej i obwodowej- pierwszy lek  z grupy inhibitorów JAK.</w:t>
            </w:r>
          </w:p>
        </w:tc>
      </w:tr>
      <w:tr w:rsidR="00A510E6" w:rsidRPr="004D093B" w14:paraId="550257D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4F64" w14:textId="6471B519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7AC7" w14:textId="56FEE6BD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2120" w14:textId="0BE6B495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rytuksymab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93A1" w14:textId="2CAA7C64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B.97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5A82" w14:textId="2372CE03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F0148C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CHORYCH NA PIERWOTNĄ MAŁOPŁYTKOWOŚĆ IMMUNOLOGICZNĄ (ICD-10: D69.3)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2016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dorosłych chorych na pierwotną małopłytkowość immunologiczną. Kolejna opcja terapeutyczna obok agonistów receptora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trombopoetyny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31199B0C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E7186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E7186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E7186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686710F4" w14:textId="3E5DF7E5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A510E6" w:rsidRPr="004D093B" w14:paraId="31330B87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58D2" w14:textId="793D73B1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05238" w14:textId="0E4E0619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17B1" w14:textId="624CAE91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rytuksymab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CC9FA" w14:textId="32D1E770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B.98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4C24" w14:textId="39A889B5" w:rsidR="00A510E6" w:rsidRPr="00F0148C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F0148C">
              <w:rPr>
                <w:rFonts w:ascii="Lato" w:hAnsi="Lato" w:cstheme="majorHAnsi"/>
                <w:color w:val="000000"/>
                <w:sz w:val="18"/>
                <w:szCs w:val="18"/>
              </w:rPr>
              <w:t>LECZENIE PEDIATRYCZNYCH CHORYCH NA PIERWOTNĄ MAŁOPŁYTKOWOŚĆ IMMUNOLOGICZNĄ (ICD-10: D69.3)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7AC50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pediatrycznych chorych na pierwotną małopłytkowość immunologiczną. Kolejna opcja terapeutyczna obok agonistów receptora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trombopoetyny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4E5A3E72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E7186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E7186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E7186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76AEF67D" w14:textId="771A7CE5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A510E6" w:rsidRPr="004D093B" w14:paraId="36D64618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9517" w14:textId="458C57EB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8C97" w14:textId="2D4D869B" w:rsidR="00A510E6" w:rsidRPr="008C6910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Repatha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52A7" w14:textId="1231B1AB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</w:t>
            </w:r>
            <w:r w:rsidRPr="009B41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wolokumab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8352" w14:textId="3A338D43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B.101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B28A" w14:textId="2F130AC4" w:rsidR="00A510E6" w:rsidRPr="006C3C84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B4137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ZABURZENIAMI LIPIDOWYMI (ICD-10: E78.01, I21, I22, I25)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A1222" w14:textId="0890C9BD" w:rsidR="00A510E6" w:rsidRPr="006C3C84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B41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dorosłych pacjentów z homozygotyczną hipercholesterolemią rodzinną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oraz leczenie pacjentów pediatrycznych (10 - 18 lat) z homozygotyczną i heterozygotyczną hipercholesterolemią rodzinną.</w:t>
            </w:r>
          </w:p>
        </w:tc>
      </w:tr>
      <w:tr w:rsidR="00A510E6" w:rsidRPr="004D093B" w14:paraId="00A3222E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C0E5" w14:textId="3415ADB6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E9B0" w14:textId="4341E40B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C691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Dupixent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A5E8" w14:textId="51D64E71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dupilumab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8C21" w14:textId="6C52771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 w:rsidR="008F7384">
              <w:rPr>
                <w:rFonts w:ascii="Lato" w:hAnsi="Lato" w:cstheme="majorHAns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7D7D" w14:textId="09DD95C6" w:rsidR="00A510E6" w:rsidRPr="00F0148C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C3C84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ZAPALENIEM NOSA I ZATOK PRZYNOSOWYCH Z POLIPAMI NOSA (ICD-10: J32, J33)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62AC2" w14:textId="4926EF58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Pr="006C3C8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pacjentów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chorych </w:t>
            </w:r>
            <w:r w:rsidRPr="006C3C84">
              <w:rPr>
                <w:rFonts w:ascii="Lato" w:hAnsi="Lato" w:cstheme="majorHAnsi"/>
                <w:color w:val="000000"/>
                <w:sz w:val="18"/>
                <w:szCs w:val="18"/>
              </w:rPr>
              <w:t>na ciężkie, przewlekłe zapalenie nosa i zatok przynosowych z polipami nosa (</w:t>
            </w:r>
            <w:proofErr w:type="spellStart"/>
            <w:r w:rsidRPr="006C3C84">
              <w:rPr>
                <w:rFonts w:ascii="Lato" w:hAnsi="Lato" w:cstheme="majorHAnsi"/>
                <w:color w:val="000000"/>
                <w:sz w:val="18"/>
                <w:szCs w:val="18"/>
              </w:rPr>
              <w:t>PZZPzPN</w:t>
            </w:r>
            <w:proofErr w:type="spellEnd"/>
            <w:r w:rsidRPr="006C3C84">
              <w:rPr>
                <w:rFonts w:ascii="Lato" w:hAnsi="Lato" w:cstheme="majorHAnsi"/>
                <w:color w:val="000000"/>
                <w:sz w:val="18"/>
                <w:szCs w:val="18"/>
              </w:rPr>
              <w:t>), u których leczenie ogólnoustrojowymi kortykosteroidami i przebyte co najmniej 2 zabiegi operacyjne zatok (lub przeciwwskazania do zabiegu) nie zapewniają kontroli choroby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510E6" w:rsidRPr="004D093B" w14:paraId="7B830F3F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8F03" w14:textId="3EB5E2B4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93897" w14:textId="1BA558C0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CABCF" w14:textId="314A6DEE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rytuksymab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EB74" w14:textId="5741C472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 w:rsidR="008F7384">
              <w:rPr>
                <w:rFonts w:ascii="Lato" w:hAnsi="Lato" w:cstheme="majorHAns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0B761" w14:textId="270B123A" w:rsidR="00A510E6" w:rsidRPr="00E7186F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UOGÓLNIONĄ POSTACIĄ MIASTENII (G.70.0)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F8CF" w14:textId="63B35A25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miastenię w ramach nowego, dedykowanego programu lekowego.</w:t>
            </w:r>
          </w:p>
          <w:p w14:paraId="624410D0" w14:textId="77777777" w:rsidR="00A510E6" w:rsidRPr="00BA6039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Możliwość stosowania </w:t>
            </w:r>
            <w:proofErr w:type="spellStart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rytuksymabu</w:t>
            </w:r>
            <w:proofErr w:type="spellEnd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 leczeniu kortykosteroidami oraz po leczeniu immunosupresyjnym u pacjentów:</w:t>
            </w:r>
          </w:p>
          <w:p w14:paraId="6845DFE4" w14:textId="72962FB4" w:rsidR="00A510E6" w:rsidRDefault="00A510E6" w:rsidP="00A510E6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przeciwciał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ami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przeciwko receptorowi acetylocholiny (</w:t>
            </w:r>
            <w:proofErr w:type="spellStart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AChR</w:t>
            </w:r>
            <w:proofErr w:type="spellEnd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5BAB0FFC" w14:textId="06B10CAC" w:rsidR="00A510E6" w:rsidRDefault="00A510E6" w:rsidP="00A510E6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przeciwciał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ami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przeciwko swoistej dla mięśni kinazie tyrozynowej (</w:t>
            </w:r>
            <w:proofErr w:type="spellStart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MuSK</w:t>
            </w:r>
            <w:proofErr w:type="spellEnd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4C910E70" w14:textId="513FD4C3" w:rsidR="00A510E6" w:rsidRDefault="00A510E6" w:rsidP="00A510E6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przeciwciał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ami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przeciwko białku związanemu z receptorem </w:t>
            </w:r>
            <w:proofErr w:type="spellStart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lipoproteiny</w:t>
            </w:r>
            <w:proofErr w:type="spellEnd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 niskiej gęstości 4 (anty-LRP4)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73E3BAFF" w14:textId="77777777" w:rsidR="00A510E6" w:rsidRDefault="00A510E6" w:rsidP="00A510E6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 pacjentów seronegatywnych.</w:t>
            </w:r>
          </w:p>
          <w:p w14:paraId="0289C073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3BC7CFFE" w14:textId="79A8C055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97FA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A510E6" w:rsidRPr="004D093B" w14:paraId="75E2BF3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A749" w14:textId="62C6E715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13.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7E21" w14:textId="59E784CD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Vyvgart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6CF7" w14:textId="21DE8A0F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efgartigimod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alfa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60352" w14:textId="536298E2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 w:rsidR="008F7384">
              <w:rPr>
                <w:rFonts w:ascii="Lato" w:hAnsi="Lato" w:cstheme="majorHAns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0E1F" w14:textId="0625C039" w:rsidR="00A510E6" w:rsidRPr="00E7186F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UOGÓLNIONĄ POSTACIĄ MIASTENII (G.70.0)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19628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miastenię w ramach nowego, dedykowanego programu lekowego.</w:t>
            </w:r>
          </w:p>
          <w:p w14:paraId="4FA0886E" w14:textId="058CDDCC" w:rsidR="00A510E6" w:rsidRPr="009F1AF3" w:rsidRDefault="00A510E6" w:rsidP="009F1A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Możliwość stosowania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efgartigimodu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alfa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 leczeniu kortykosteroidami oraz po leczeniu immunosupresyjnym u pacjentów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03095C">
              <w:rPr>
                <w:rFonts w:ascii="Lato" w:hAnsi="Lato" w:cstheme="majorHAnsi"/>
                <w:color w:val="000000"/>
                <w:sz w:val="18"/>
                <w:szCs w:val="18"/>
              </w:rPr>
              <w:t>z przeciwciałami przeciwko receptorowi acetylocholiny (</w:t>
            </w:r>
            <w:proofErr w:type="spellStart"/>
            <w:r w:rsidRPr="0003095C">
              <w:rPr>
                <w:rFonts w:ascii="Lato" w:hAnsi="Lato" w:cstheme="majorHAnsi"/>
                <w:color w:val="000000"/>
                <w:sz w:val="18"/>
                <w:szCs w:val="18"/>
              </w:rPr>
              <w:t>AChR</w:t>
            </w:r>
            <w:proofErr w:type="spellEnd"/>
            <w:r w:rsidRPr="0003095C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4FCC90FB" w14:textId="5C9EBDB9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97FA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A510E6" w:rsidRPr="004D093B" w14:paraId="271B2F38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3A0C9" w14:textId="6A954520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0467" w14:textId="1D9D798B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Xenpozyme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1C4E5" w14:textId="3D4C93AD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olipudaza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alfa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B9175" w14:textId="5B16E55D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16EAA">
              <w:rPr>
                <w:rFonts w:ascii="Lato" w:hAnsi="Lato" w:cstheme="majorHAnsi"/>
                <w:sz w:val="18"/>
                <w:szCs w:val="18"/>
              </w:rPr>
              <w:t>B</w:t>
            </w:r>
            <w:r w:rsidR="000F61F5">
              <w:rPr>
                <w:rFonts w:ascii="Lato" w:hAnsi="Lato" w:cstheme="majorHAnsi"/>
                <w:sz w:val="18"/>
                <w:szCs w:val="18"/>
              </w:rPr>
              <w:t>.</w:t>
            </w:r>
            <w:r w:rsidR="008F7384">
              <w:rPr>
                <w:rFonts w:ascii="Lato" w:hAnsi="Lato" w:cstheme="majorHAnsi"/>
                <w:sz w:val="18"/>
                <w:szCs w:val="18"/>
              </w:rPr>
              <w:t>158</w:t>
            </w:r>
            <w:r w:rsidRPr="00616EAA">
              <w:rPr>
                <w:rFonts w:ascii="Lato" w:hAnsi="Lato" w:cstheme="majorHAnsi"/>
                <w:sz w:val="18"/>
                <w:szCs w:val="18"/>
              </w:rPr>
              <w:t>.FM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108C" w14:textId="0F44D641" w:rsidR="00A510E6" w:rsidRPr="00E7186F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16EAA">
              <w:rPr>
                <w:rFonts w:ascii="Lato" w:hAnsi="Lato" w:cstheme="majorHAnsi"/>
                <w:sz w:val="18"/>
                <w:szCs w:val="18"/>
              </w:rPr>
              <w:t>LECZENIE CHORYCH Z NIEDOBOREM KWAŚNEJ SFINGOMIELINAZY (ASMD) TYPU A/B i B (ICD-10: E75.241, E75.244)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21E6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olipudazą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alfa dzieci </w:t>
            </w:r>
            <w:r w:rsidRPr="00616EAA">
              <w:rPr>
                <w:rFonts w:ascii="Lato" w:hAnsi="Lato" w:cstheme="majorHAnsi"/>
                <w:color w:val="000000"/>
                <w:sz w:val="18"/>
                <w:szCs w:val="18"/>
              </w:rPr>
              <w:t>i młodzieży oraz dorosłych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jako e</w:t>
            </w:r>
            <w:r w:rsidRPr="00616EA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nzymatyczna terapia zastępcza w leczeniu objawów niedoboru kwaśnej </w:t>
            </w:r>
            <w:proofErr w:type="spellStart"/>
            <w:r w:rsidRPr="00616EAA">
              <w:rPr>
                <w:rFonts w:ascii="Lato" w:hAnsi="Lato" w:cstheme="majorHAnsi"/>
                <w:color w:val="000000"/>
                <w:sz w:val="18"/>
                <w:szCs w:val="18"/>
              </w:rPr>
              <w:t>sfingomielinazy</w:t>
            </w:r>
            <w:proofErr w:type="spellEnd"/>
            <w:r w:rsidRPr="00616EA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(ASMD) typu A/B lub B, niezwiązanych z ośrodkowym układem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616EAA">
              <w:rPr>
                <w:rFonts w:ascii="Lato" w:hAnsi="Lato" w:cstheme="majorHAnsi"/>
                <w:color w:val="000000"/>
                <w:sz w:val="18"/>
                <w:szCs w:val="18"/>
              </w:rPr>
              <w:t>nerwowym (OUN).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</w:p>
          <w:p w14:paraId="3E0D6DCA" w14:textId="77777777" w:rsidR="00A510E6" w:rsidRPr="00946C5F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  <w:p w14:paraId="123F7293" w14:textId="32C38E55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(TLI)</w:t>
            </w:r>
          </w:p>
        </w:tc>
      </w:tr>
    </w:tbl>
    <w:p w14:paraId="17160E61" w14:textId="45061D3C" w:rsidR="004D093B" w:rsidRDefault="004D093B">
      <w:pPr>
        <w:rPr>
          <w:rFonts w:ascii="Lato" w:hAnsi="Lato"/>
        </w:rPr>
      </w:pPr>
    </w:p>
    <w:p w14:paraId="169C5300" w14:textId="77777777" w:rsidR="004D093B" w:rsidRDefault="004D093B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Zmiany w programach lekowych i chemioterapii</w:t>
            </w:r>
          </w:p>
        </w:tc>
      </w:tr>
      <w:tr w:rsidR="00A434EB" w:rsidRPr="004D093B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B265ED" w:rsidRPr="004D093B" w14:paraId="50DA02B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1F1F2807" w:rsidR="00B265ED" w:rsidRPr="004D093B" w:rsidRDefault="00A1146C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0563BFE6" w:rsidR="00B265ED" w:rsidRPr="00A1146C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5EC590F3" w:rsidR="00B265ED" w:rsidRPr="00A1146C" w:rsidRDefault="00B265ED" w:rsidP="00B265ED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A1146C">
              <w:rPr>
                <w:rFonts w:ascii="Lato" w:hAnsi="Lato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F39F" w14:textId="5C56B588" w:rsidR="00B265ED" w:rsidRPr="00A1146C" w:rsidRDefault="00B265ED" w:rsidP="00B265ED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Wykreślenie zapisów odnoszących się do nierefundowanego leku </w:t>
            </w:r>
            <w:proofErr w:type="spellStart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Zykadia</w:t>
            </w:r>
            <w:proofErr w:type="spellEnd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cerytynib</w:t>
            </w:r>
            <w:proofErr w:type="spellEnd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).  Dodanie zapisów </w:t>
            </w: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 xml:space="preserve">umożliwiających rozpoznanie raka niedrobnokomórkowego bez ustalonego podtypu „NOS” u chorych z ekspresją PD-L1 &lt; 50% leczonych </w:t>
            </w:r>
            <w:proofErr w:type="spellStart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ipilimumabem</w:t>
            </w:r>
            <w:proofErr w:type="spellEnd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chemioterapią (2 cykle) opartą o pochodne platyny.</w:t>
            </w:r>
          </w:p>
        </w:tc>
      </w:tr>
      <w:tr w:rsidR="00E351BA" w:rsidRPr="004D093B" w14:paraId="4D9E9A2F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69A41" w14:textId="494A6A57" w:rsidR="00E351BA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718D" w14:textId="6DE5C573" w:rsidR="00E351BA" w:rsidRPr="00A1146C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B.32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0211" w14:textId="71A7D6A2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C36F4C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PACJENTÓW Z CHOROBĄ LEŚNIOWSKIEGO – CROHNA (ICD-10: K50)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29D4" w14:textId="49D3E2D9" w:rsidR="00E351BA" w:rsidRPr="00A1146C" w:rsidRDefault="00E351BA" w:rsidP="00E351B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Kompleksowa zmiana treści programu lekowego obejmująca wszystkie jego składowe. Wprowadzono liczne zmiany ujednolicające, porządkujące oraz znacząco uproszczono program lekowy. Główna zmiana dotyczy liberalizacji kryteriów kwalifikacji pacjentów dorosłych i pediatrycznych. Udostępniono nowe możliwości terapeutyczne dla pacjentów cechujących się wytworzeniem przetok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okołoodbytowych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pacjentów po odcinkowej resekcji jelita z powodu choroby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Leśniowskiego-Crohna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Uregulowano kwestię kontynuacji terapii rozpoczętej w ramach innego źródła finansowania. Wprowadzone zapisy dotyczące monitorowania wskaźników określających skuteczność leczenia poszczególnych terapii. Ponadto, do programu włączono nową opcję terapeutyczną –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upadacytynib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351BA" w:rsidRPr="004D093B" w14:paraId="3AC35271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F855" w14:textId="46DE606D" w:rsidR="00E351BA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7D36E" w14:textId="27D5B301" w:rsidR="00E351BA" w:rsidRPr="00A1146C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1B38" w14:textId="0651BA6E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E351BA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PACJENTÓW Z WRZODZIEJĄCYM ZAPALENIEM JELITA GRUBEGO (WZJG) (ICD-10: K51)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C21A4" w14:textId="356E066B" w:rsidR="00E351BA" w:rsidRPr="00A1146C" w:rsidRDefault="00E351BA" w:rsidP="00E351B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Kompleksowa zmiana treści programu lekowego obejmująca wszystkie jego składowe. Wprowadzono liczne zmiany ujednolicające, porządkujące oraz znacząco uproszczono program lekowy. Główna zmiana dotyczy liberalizacji kryteriów kwalifikacji pacjentów dorosłych i pediatrycznych. Uregulowano kwestię </w:t>
            </w:r>
            <w:r w:rsidRPr="00E351BA">
              <w:rPr>
                <w:rFonts w:ascii="Lato" w:hAnsi="Lato" w:cstheme="majorHAnsi"/>
                <w:color w:val="000000"/>
                <w:sz w:val="18"/>
                <w:szCs w:val="18"/>
              </w:rPr>
              <w:t>kryteriów kwalifikacji pacjentów hospitalizowanych z powodu ciężkiego rzutu choroby z niedostateczną odpowiedzią na kortykosteroidy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a także kwestię kontynuacji terapii rozpoczętej w ramach innego źródła finansowania. Wprowadzone zapisy dotyczące monitorowania wskaźników określających skuteczność leczenia poszczególnych terapii. Ponadto, do programu włączono nową opcję terapeutyczną –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upadacytynib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351BA" w:rsidRPr="004D093B" w14:paraId="571B083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5C2600C0" w:rsidR="00E351BA" w:rsidRPr="004D093B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057F1AE5" w:rsidR="00E351BA" w:rsidRPr="00A1146C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783779A9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A1146C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CHORYCH NA RAKA GRUCZOŁU KROKOWEGO (ICD-10: C61)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03434AA0" w:rsidR="00E351BA" w:rsidRPr="00A1146C" w:rsidRDefault="00E351BA" w:rsidP="00E351B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Wykreślenie zapisów odnoszących się do nierefundowanego leku </w:t>
            </w:r>
            <w:proofErr w:type="spellStart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Xofigo</w:t>
            </w:r>
            <w:proofErr w:type="spellEnd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dichlorek</w:t>
            </w:r>
            <w:proofErr w:type="spellEnd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radu-223). Wprowadzenie zmian porządkujących i ujednolicających zapisy. Dodanie zapisów i wskaźników dotyczących oceny skuteczności terapii. Ponadto zmodyfikowano zapis umożliwiający monitorowanie skuteczności leczenia przy oznaczeniu </w:t>
            </w: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stężenia PSA.</w:t>
            </w:r>
          </w:p>
        </w:tc>
      </w:tr>
      <w:tr w:rsidR="00E351BA" w:rsidRPr="004D093B" w14:paraId="4B4000D6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F305" w14:textId="38F7A6B5" w:rsidR="00E351BA" w:rsidRPr="004D093B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FC9BA" w14:textId="1606C746" w:rsidR="00E351BA" w:rsidRPr="00A1146C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B.59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C647" w14:textId="1D1793CF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A1146C">
              <w:rPr>
                <w:rFonts w:ascii="Lato" w:hAnsi="Lato"/>
                <w:sz w:val="18"/>
                <w:szCs w:val="18"/>
              </w:rPr>
              <w:t>LECZENIE CHORYCH NA CZERNIAKA SKÓRY LUB BŁON ŚLUZOWYCH (ICD-10: C43)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5663D" w14:textId="315DE387" w:rsidR="00E351BA" w:rsidRPr="00A1146C" w:rsidRDefault="00D4388C" w:rsidP="00E351B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Kompleksowe zmiany porządkujące w programie zainicjowane wprowadzeniem nowego leku, tj.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niwolumabu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w skojarzeniu z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relatlimabem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oraz wprowadzenie w kryteriach kwalifikacji zapisu o </w:t>
            </w:r>
            <w:r w:rsidRPr="008257F8">
              <w:rPr>
                <w:rFonts w:ascii="Lato" w:hAnsi="Lato" w:cstheme="majorHAnsi"/>
                <w:i/>
                <w:iCs/>
                <w:sz w:val="18"/>
                <w:szCs w:val="18"/>
              </w:rPr>
              <w:t>nieobecności innych nowotworów niekontrolowanych leczeniem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  <w:tr w:rsidR="00E351BA" w:rsidRPr="004D093B" w14:paraId="66D571B6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57B1193B" w:rsidR="00E351BA" w:rsidRPr="004D093B" w:rsidRDefault="00A510E6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67E3AC9A" w:rsidR="00E351BA" w:rsidRPr="00A1146C" w:rsidRDefault="00E351BA" w:rsidP="00E351BA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B.95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2461721A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A1146C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CHORYCH Z ATYPOWYM ZESPOŁEM HEMOLITYCZNO-MOCZNICOWYM (</w:t>
            </w:r>
            <w:proofErr w:type="spellStart"/>
            <w:r w:rsidRPr="00A1146C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aHUS</w:t>
            </w:r>
            <w:proofErr w:type="spellEnd"/>
            <w:r w:rsidRPr="00A1146C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) (ICD-10: D59.3)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B9C4" w14:textId="037D38E9" w:rsidR="00E351BA" w:rsidRPr="00A1146C" w:rsidRDefault="00E351BA" w:rsidP="00AA2E6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Zmiany kryteriów kwalifikacji do programu w zakresie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umożliwienia leczenia za pomocą substancji </w:t>
            </w:r>
            <w:proofErr w:type="spellStart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ekulizumab</w:t>
            </w:r>
            <w:proofErr w:type="spellEnd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rawulizumab</w:t>
            </w:r>
            <w:proofErr w:type="spellEnd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, dorosłych pacjentów z wartością parametru PLASMIC Score≤5 (PS≤5), którzy oczekują na wynik badania aktywności ADAMTS13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oraz </w:t>
            </w: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zmiany czasu leczenia w programie w zakresie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skrócenia czasu z 6 miesięcy na 3 miesiące od rozpoczęcia terapii na składanie wniosków do ZK o kontynuację lub czasowe przerwanie leczenia.</w:t>
            </w:r>
          </w:p>
        </w:tc>
      </w:tr>
      <w:tr w:rsidR="00E351BA" w:rsidRPr="004D093B" w14:paraId="1EC37EE4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5728" w14:textId="6B8C53EB" w:rsidR="00E351BA" w:rsidRPr="004D093B" w:rsidRDefault="00A510E6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53BF" w14:textId="039622EB" w:rsidR="00E351BA" w:rsidRPr="00A1146C" w:rsidRDefault="00E351BA" w:rsidP="00E351BA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B.101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CBC3" w14:textId="68AD0D53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A1146C">
              <w:rPr>
                <w:rFonts w:ascii="Lato" w:hAnsi="Lato"/>
                <w:sz w:val="18"/>
                <w:szCs w:val="18"/>
              </w:rPr>
              <w:t>LECZENIE PACJENTÓW Z ZABURZENIAMI LIPIDOWYMI (ICD-10: E78.01, I21, I22, I25)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B79B" w14:textId="51E51FB0" w:rsidR="00E351BA" w:rsidRPr="00A1146C" w:rsidRDefault="00E351BA" w:rsidP="00E351B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sz w:val="18"/>
                <w:szCs w:val="18"/>
              </w:rPr>
              <w:t xml:space="preserve">Zmiana jednego z kryteriów włączenia w części dotyczącej dorosłych pacjentów z bardzo wysokim ryzykiem chorób układu sercowo-naczyniowego, polegająca na zmianie poziomu LDL-C z „LDL-C &gt;100 mg/dl (2,5 </w:t>
            </w:r>
            <w:proofErr w:type="spellStart"/>
            <w:r w:rsidRPr="00A1146C">
              <w:rPr>
                <w:rFonts w:ascii="Lato" w:hAnsi="Lato" w:cstheme="majorHAnsi"/>
                <w:sz w:val="18"/>
                <w:szCs w:val="18"/>
              </w:rPr>
              <w:t>mmol</w:t>
            </w:r>
            <w:proofErr w:type="spellEnd"/>
            <w:r w:rsidRPr="00A1146C">
              <w:rPr>
                <w:rFonts w:ascii="Lato" w:hAnsi="Lato" w:cstheme="majorHAnsi"/>
                <w:sz w:val="18"/>
                <w:szCs w:val="18"/>
              </w:rPr>
              <w:t xml:space="preserve">/l)” na „LDL-C &gt;70 mg/dl (1,8 </w:t>
            </w:r>
            <w:proofErr w:type="spellStart"/>
            <w:r w:rsidRPr="00A1146C">
              <w:rPr>
                <w:rFonts w:ascii="Lato" w:hAnsi="Lato" w:cstheme="majorHAnsi"/>
                <w:sz w:val="18"/>
                <w:szCs w:val="18"/>
              </w:rPr>
              <w:t>mmol</w:t>
            </w:r>
            <w:proofErr w:type="spellEnd"/>
            <w:r w:rsidRPr="00A1146C">
              <w:rPr>
                <w:rFonts w:ascii="Lato" w:hAnsi="Lato" w:cstheme="majorHAnsi"/>
                <w:sz w:val="18"/>
                <w:szCs w:val="18"/>
              </w:rPr>
              <w:t>/l)”, skutkująca rozszerzeniem populacji.</w:t>
            </w:r>
          </w:p>
        </w:tc>
      </w:tr>
      <w:tr w:rsidR="00E351BA" w:rsidRPr="004D093B" w14:paraId="176D4AEB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D69F" w14:textId="1799095E" w:rsidR="00E351BA" w:rsidRPr="004D093B" w:rsidRDefault="00A510E6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E7963" w14:textId="31C6381C" w:rsidR="00E351BA" w:rsidRPr="00A1146C" w:rsidRDefault="00E351BA" w:rsidP="00E351BA">
            <w:pPr>
              <w:pStyle w:val="Style2"/>
              <w:widowControl/>
              <w:spacing w:after="24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B.102.FM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ACD2" w14:textId="09A89422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/>
                <w:sz w:val="18"/>
                <w:szCs w:val="18"/>
              </w:rPr>
              <w:t>LECZENIE CHORYCH NA RDZENIOWY ZANIK MIĘŚNI (ICD-10: G12.0, G12.1)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A110" w14:textId="43D66AB3" w:rsidR="00E351BA" w:rsidRPr="00A1146C" w:rsidRDefault="00E351BA" w:rsidP="00E351BA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sz w:val="18"/>
                <w:szCs w:val="18"/>
              </w:rPr>
              <w:t>Rozszerzenie kryteriów kwalifikacji w programie lekowym</w:t>
            </w:r>
            <w:r w:rsidR="00AA2E63">
              <w:rPr>
                <w:rFonts w:ascii="Lato" w:hAnsi="Lato" w:cstheme="majorHAnsi"/>
                <w:sz w:val="18"/>
                <w:szCs w:val="18"/>
              </w:rPr>
              <w:t xml:space="preserve"> dotyczącym chorych na rdzeniowy zanik mięśni:</w:t>
            </w:r>
          </w:p>
          <w:p w14:paraId="0DFAABF2" w14:textId="7F482883" w:rsidR="00E351BA" w:rsidRPr="00AA2E63" w:rsidRDefault="00AA2E63" w:rsidP="00AA2E63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</w:t>
            </w:r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ożliwość zastosowania terapii </w:t>
            </w:r>
            <w:proofErr w:type="spellStart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onasemnogen</w:t>
            </w:r>
            <w:proofErr w:type="spellEnd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abeparwowek</w:t>
            </w:r>
            <w:proofErr w:type="spellEnd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otrzymają pacjenci leczeni terapią </w:t>
            </w:r>
            <w:proofErr w:type="spellStart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nusinersen</w:t>
            </w:r>
            <w:proofErr w:type="spellEnd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rysdyplam</w:t>
            </w:r>
            <w:proofErr w:type="spellEnd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:</w:t>
            </w:r>
          </w:p>
          <w:p w14:paraId="64A3212D" w14:textId="647A4C84" w:rsidR="00E351BA" w:rsidRPr="00AA2E63" w:rsidRDefault="00E351BA" w:rsidP="00AA2E63">
            <w:pPr>
              <w:pStyle w:val="Akapitzlist"/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a) po ustąpieniu przeciwwskazań do terapii </w:t>
            </w:r>
            <w:proofErr w:type="spellStart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onasemnogen</w:t>
            </w:r>
            <w:proofErr w:type="spellEnd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abeparwowek</w:t>
            </w:r>
            <w:proofErr w:type="spellEnd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(pierwotnie pacjent nie otrzymał </w:t>
            </w:r>
            <w:proofErr w:type="spellStart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onasemnogen</w:t>
            </w:r>
            <w:proofErr w:type="spellEnd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abeparwowek</w:t>
            </w:r>
            <w:proofErr w:type="spellEnd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ze względu na wystąpienie przeciwwskazań z zastrzeżeniem masy ciała do 13,5 kg)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613CB960" w14:textId="72E671EA" w:rsidR="00E351BA" w:rsidRPr="00AA2E63" w:rsidRDefault="00E351BA" w:rsidP="00AA2E63">
            <w:pPr>
              <w:pStyle w:val="Akapitzlist"/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b) urodzeni przed 1 września 2022 r. (z zastrzeżeniem masy ciała do 13,5 kg)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2A406079" w14:textId="581A1DC0" w:rsidR="00E351BA" w:rsidRPr="00AA2E63" w:rsidRDefault="00AA2E63" w:rsidP="00AA2E63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</w:t>
            </w:r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ożliwość stosowania </w:t>
            </w:r>
            <w:proofErr w:type="spellStart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nusinersenu</w:t>
            </w:r>
            <w:proofErr w:type="spellEnd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podczas ciąży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7FB9D6AB" w14:textId="3CA3A797" w:rsidR="00E351BA" w:rsidRPr="00584C82" w:rsidRDefault="00AA2E63" w:rsidP="00AA2E63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</w:t>
            </w:r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ożliwość kontynuacji terapii </w:t>
            </w:r>
            <w:proofErr w:type="spellStart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nusinersenem</w:t>
            </w:r>
            <w:proofErr w:type="spellEnd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rysdyplamem</w:t>
            </w:r>
            <w:proofErr w:type="spellEnd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pacjentów, którzy z powodu okoliczności niezwiązanych z brakiem skuteczności leczenia (np. uraz, zabieg operacyjny) spełnili kryterium wyłączenia z programu, a jednocześnie po ustaniu tych okoliczności wykazują poprawę.</w:t>
            </w:r>
          </w:p>
        </w:tc>
      </w:tr>
      <w:tr w:rsidR="00243AD9" w:rsidRPr="004D093B" w14:paraId="1AFE2769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7D172" w14:textId="164090A5" w:rsidR="00243AD9" w:rsidRDefault="00243AD9" w:rsidP="00243A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AF894" w14:textId="607A0814" w:rsidR="00243AD9" w:rsidRPr="00A1146C" w:rsidRDefault="00243AD9" w:rsidP="00243AD9">
            <w:pPr>
              <w:pStyle w:val="Style2"/>
              <w:widowControl/>
              <w:spacing w:after="24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B543F">
              <w:rPr>
                <w:rFonts w:ascii="Lato" w:hAnsi="Lato" w:cstheme="majorHAnsi"/>
                <w:color w:val="000000"/>
                <w:sz w:val="18"/>
                <w:szCs w:val="18"/>
              </w:rPr>
              <w:t>B.112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F0A79" w14:textId="4C834D73" w:rsidR="00243AD9" w:rsidRPr="002B543F" w:rsidRDefault="00243AD9" w:rsidP="00243AD9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B543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MUKOWISCYDOZĘ (ICD-10: E84)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B373" w14:textId="2F123A48" w:rsidR="00243AD9" w:rsidRPr="00A1146C" w:rsidRDefault="00243AD9" w:rsidP="00243AD9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bookmarkStart w:id="1" w:name="_Hlk161662553"/>
            <w:r w:rsidRPr="00243AD9">
              <w:rPr>
                <w:rFonts w:ascii="Lato" w:hAnsi="Lato" w:cstheme="majorHAnsi"/>
                <w:color w:val="000000"/>
                <w:sz w:val="18"/>
                <w:szCs w:val="18"/>
              </w:rPr>
              <w:t>Kompleksowa zmiana programu lekowego implementująca szereg modyfikacji porządkujących oraz ujednolicających jego zapisy. Wprowadzone zostały zapisy dotyczące monitorowania wskaźników określających skuteczność leczenia terapii finansowanych w programie.  Zmianie uległa również częstotliwość wykonywania badań w pkt 2 Monitorowanie leczenia.</w:t>
            </w:r>
            <w:bookmarkEnd w:id="1"/>
          </w:p>
        </w:tc>
      </w:tr>
      <w:tr w:rsidR="00243AD9" w:rsidRPr="004D093B" w14:paraId="760505AF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4D49" w14:textId="45F9CB5B" w:rsidR="00243AD9" w:rsidRPr="004D093B" w:rsidRDefault="00243AD9" w:rsidP="00243A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10.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A35D" w14:textId="4F3B1568" w:rsidR="00243AD9" w:rsidRPr="004D093B" w:rsidRDefault="00243AD9" w:rsidP="00243AD9">
            <w:pPr>
              <w:pStyle w:val="Style2"/>
              <w:widowControl/>
              <w:spacing w:after="24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7067">
              <w:rPr>
                <w:rFonts w:ascii="Lato" w:hAnsi="Lato" w:cstheme="majorHAnsi"/>
                <w:color w:val="000000"/>
                <w:sz w:val="18"/>
                <w:szCs w:val="18"/>
              </w:rPr>
              <w:t>B.132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0952" w14:textId="28B1072E" w:rsidR="00243AD9" w:rsidRPr="004D093B" w:rsidRDefault="00243AD9" w:rsidP="00243AD9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7067">
              <w:rPr>
                <w:rFonts w:ascii="Lato" w:hAnsi="Lato" w:cstheme="majorHAnsi"/>
                <w:color w:val="000000"/>
                <w:sz w:val="18"/>
                <w:szCs w:val="18"/>
              </w:rPr>
              <w:t>ZAPOBIEGANIE REAKTYWACJI CYTOMEGALOWIRUSA (CMV) I ROZWOJOWI CHOROBY U SEROPOZYTYWNYCH WZGLĘDEM CMV PACJENTÓW, KTÓRZY BYLI PODDANI ZABIEGOWI PRZESZCZEPIENIA ALLOGENICZNYCH KRWIOTWÓRCZYCH KOMÓREK MACIERZYSTYCH (ICD-10: C81, C82, C83, C84, C85, C88, C90, C91, C92, C93, C94, C95, C96, C45, D46, D47, D56, D57, D58, D61, D75, D80, D81, D82, D84)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3CDF" w14:textId="49C4C9F6" w:rsidR="00243AD9" w:rsidRPr="003B46BF" w:rsidRDefault="00243AD9" w:rsidP="00243AD9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Zmiana nazwy i treści programu lekowego w związku z objęciem refundacją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letermowiru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we wskazaniu: </w:t>
            </w:r>
            <w:r w:rsidRPr="00DA4459">
              <w:rPr>
                <w:rFonts w:ascii="Lato" w:hAnsi="Lato" w:cstheme="majorHAnsi"/>
                <w:sz w:val="18"/>
                <w:szCs w:val="18"/>
              </w:rPr>
              <w:t xml:space="preserve">stosowanie </w:t>
            </w:r>
            <w:proofErr w:type="spellStart"/>
            <w:r w:rsidRPr="00DA4459">
              <w:rPr>
                <w:rFonts w:ascii="Lato" w:hAnsi="Lato" w:cstheme="majorHAnsi"/>
                <w:sz w:val="18"/>
                <w:szCs w:val="18"/>
              </w:rPr>
              <w:t>letermowiru</w:t>
            </w:r>
            <w:proofErr w:type="spellEnd"/>
            <w:r w:rsidRPr="00DA4459">
              <w:rPr>
                <w:rFonts w:ascii="Lato" w:hAnsi="Lato" w:cstheme="majorHAnsi"/>
                <w:sz w:val="18"/>
                <w:szCs w:val="18"/>
              </w:rPr>
              <w:t xml:space="preserve"> w celu zapobiegania reaktywacji </w:t>
            </w:r>
            <w:proofErr w:type="spellStart"/>
            <w:r w:rsidRPr="00DA4459">
              <w:rPr>
                <w:rFonts w:ascii="Lato" w:hAnsi="Lato" w:cstheme="majorHAnsi"/>
                <w:sz w:val="18"/>
                <w:szCs w:val="18"/>
              </w:rPr>
              <w:t>cytomegalowirusa</w:t>
            </w:r>
            <w:proofErr w:type="spellEnd"/>
            <w:r w:rsidRPr="00DA4459">
              <w:rPr>
                <w:rFonts w:ascii="Lato" w:hAnsi="Lato" w:cstheme="majorHAnsi"/>
                <w:sz w:val="18"/>
                <w:szCs w:val="18"/>
              </w:rPr>
              <w:t xml:space="preserve"> (CMV) i rozwojowi choroby u dzieci przed ukończeniem 18 roku życia, seropozytywnych względem CMV, które były poddane zabiegowi przeszczepienia allogenicznych krwiotwórczych komórek macierzystych (</w:t>
            </w:r>
            <w:proofErr w:type="spellStart"/>
            <w:r w:rsidRPr="00DA4459">
              <w:rPr>
                <w:rFonts w:ascii="Lato" w:hAnsi="Lato" w:cstheme="majorHAnsi"/>
                <w:sz w:val="18"/>
                <w:szCs w:val="18"/>
              </w:rPr>
              <w:t>alloHSCT</w:t>
            </w:r>
            <w:proofErr w:type="spellEnd"/>
            <w:r w:rsidRPr="00DA4459">
              <w:rPr>
                <w:rFonts w:ascii="Lato" w:hAnsi="Lato" w:cstheme="majorHAnsi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.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Wprowadzone zapisy dotyczące monitorowania wskaźników określających skuteczność leczenia terapii.</w:t>
            </w:r>
          </w:p>
        </w:tc>
      </w:tr>
      <w:tr w:rsidR="00243AD9" w:rsidRPr="004D093B" w14:paraId="51A86B54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3D6F" w14:textId="58ACCC67" w:rsidR="00243AD9" w:rsidRPr="004D093B" w:rsidRDefault="00243AD9" w:rsidP="00243A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2C2C" w14:textId="77777777" w:rsidR="00243AD9" w:rsidRPr="00E351BA" w:rsidRDefault="00243AD9" w:rsidP="00243A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351BA">
              <w:rPr>
                <w:rFonts w:ascii="Lato" w:hAnsi="Lato" w:cstheme="majorHAnsi"/>
                <w:color w:val="000000"/>
                <w:sz w:val="18"/>
                <w:szCs w:val="18"/>
              </w:rPr>
              <w:t>C.5.a</w:t>
            </w:r>
          </w:p>
          <w:p w14:paraId="78B751A6" w14:textId="77777777" w:rsidR="00243AD9" w:rsidRPr="00E351BA" w:rsidRDefault="00243AD9" w:rsidP="00243A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351BA">
              <w:rPr>
                <w:rFonts w:ascii="Lato" w:hAnsi="Lato" w:cstheme="majorHAnsi"/>
                <w:color w:val="000000"/>
                <w:sz w:val="18"/>
                <w:szCs w:val="18"/>
              </w:rPr>
              <w:t>C.5.b</w:t>
            </w:r>
          </w:p>
          <w:p w14:paraId="3076BB58" w14:textId="2BC439F4" w:rsidR="00243AD9" w:rsidRPr="004D093B" w:rsidRDefault="00243AD9" w:rsidP="00243AD9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E351BA">
              <w:rPr>
                <w:rFonts w:ascii="Lato" w:hAnsi="Lato" w:cstheme="majorHAnsi"/>
                <w:color w:val="000000"/>
                <w:sz w:val="18"/>
                <w:szCs w:val="18"/>
              </w:rPr>
              <w:t>C.5.c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E7B9" w14:textId="21F007CE" w:rsidR="00243AD9" w:rsidRPr="004D093B" w:rsidRDefault="00243AD9" w:rsidP="00243AD9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CAPECITABINE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82C3A" w14:textId="77777777" w:rsidR="00243AD9" w:rsidRDefault="00243AD9" w:rsidP="00243AD9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Kompleksowa zmiana polegająca na przeniesieniu kodów ICD-10 z załącznika C.5.c. do C.5.b. </w:t>
            </w:r>
          </w:p>
          <w:p w14:paraId="08AF8C5C" w14:textId="07755E01" w:rsidR="00243AD9" w:rsidRPr="004D093B" w:rsidRDefault="00243AD9" w:rsidP="00243AD9">
            <w:p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Zmiany w załącznikach C.5.a. i C.5.b. o charakterze porządkującym. </w:t>
            </w:r>
          </w:p>
        </w:tc>
      </w:tr>
    </w:tbl>
    <w:p w14:paraId="052EAE3A" w14:textId="77777777" w:rsidR="004D093B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bookmarkStart w:id="2" w:name="_Hlk90283710"/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36DADBCA" w:rsidR="0056748F" w:rsidRPr="004D093B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2"/>
        <w:gridCol w:w="1838"/>
        <w:gridCol w:w="5399"/>
        <w:gridCol w:w="3648"/>
      </w:tblGrid>
      <w:tr w:rsidR="00AD08C5" w:rsidRPr="004D093B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bookmarkStart w:id="3" w:name="_Hlk161127618"/>
            <w:bookmarkEnd w:id="2"/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4D093B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B265ED" w:rsidRPr="004D093B" w14:paraId="28078F30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4812" w14:textId="492148CE" w:rsidR="00B265ED" w:rsidRPr="004D093B" w:rsidRDefault="00A510E6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0962F" w14:textId="77083C25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Invokana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5308" w14:textId="11F84584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kanagliflozyna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B33FB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Cukrzyca typu 2 u pacjentów leczonych </w:t>
            </w:r>
            <w:r w:rsidRPr="0082517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co najmniej dwoma lekami hipoglikemizującymi, z HbA1c ≥ 7,5%</w:t>
            </w: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bardzo wysokim ryzykiem sercowo-naczyniowym rozumianym jako:</w:t>
            </w:r>
          </w:p>
          <w:p w14:paraId="212DEA24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1)potwierdzona choroba sercowo-naczyniowa, lub </w:t>
            </w:r>
          </w:p>
          <w:p w14:paraId="01539996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>2)uszkodzenie innych narządów objawiające się poprzez: białkomocz lub przerost lewej komory lub retinopatię, lub</w:t>
            </w:r>
          </w:p>
          <w:p w14:paraId="19761350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>3)obecność 3 lub więcej głównych czynników ryzyka spośród wymienionych poniżej:</w:t>
            </w:r>
          </w:p>
          <w:p w14:paraId="75654A3F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-wiek ≥ 55 lat dla mężczyzn, ≥60 lat dla kobiet, </w:t>
            </w:r>
          </w:p>
          <w:p w14:paraId="72851B52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>-</w:t>
            </w:r>
            <w:proofErr w:type="spellStart"/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>dyslipidemia</w:t>
            </w:r>
            <w:proofErr w:type="spellEnd"/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</w:p>
          <w:p w14:paraId="090875AE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-nadciśnienie tętnicze, </w:t>
            </w:r>
          </w:p>
          <w:p w14:paraId="5D355F1F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>-palenie tytoniu,</w:t>
            </w:r>
          </w:p>
          <w:p w14:paraId="5C341818" w14:textId="249758C6" w:rsidR="00B265ED" w:rsidRPr="007A7671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-otyłość;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47C7" w14:textId="2913F4C2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Powrót na wykaz leków refundowanych po 5-miesięcznej nieobecności, we wskazaniu niezmienionym w stosunku do wskazania obowiązującego do 31 października 2023 r.</w:t>
            </w:r>
          </w:p>
        </w:tc>
      </w:tr>
      <w:tr w:rsidR="00A22EE5" w:rsidRPr="004D093B" w14:paraId="3F53E28F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34F6" w14:textId="2F8D7CE5" w:rsidR="00A22EE5" w:rsidRPr="004D093B" w:rsidRDefault="00A510E6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A373" w14:textId="4C408140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Jardiance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543B4" w14:textId="61AB51E9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empagliflozyna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30A76" w14:textId="04723370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Przewlekła niewydolność serca u dorosłych pacjentów z LVEF≤50% oraz utrzymującymi się objawami choroby w klasie II-IV NYHA: - pomimo zastosowania terapii opartej na 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ACEi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(lub ARB/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ARNi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i lekach z grupy 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betaadrenolityków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jeśli wskazane antagonistach receptora 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mineralokortykoidów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(z frakcją wyrzutową z LVEF ≤40%) lub - pomimo zastosowania terapii opartej na 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ACEi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(lub ARB/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ARNi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i lekach z grupy 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betaadrenolityków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jeśli wskazane 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diuretykach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(z frakcją wyrzutową z LVEF 41-50%)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21F1" w14:textId="2C2BF05C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</w:t>
            </w:r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wskazania do stosowania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empa</w:t>
            </w:r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>gliflozyny</w:t>
            </w:r>
            <w:proofErr w:type="spellEnd"/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chorych z niewydolnością serca, poprzez zmianę wymaganej do rozpoczęcia leczenia frakcji wyrzutowej lewej komory serca z poziomu ≤40% na ≤50%.</w:t>
            </w:r>
          </w:p>
        </w:tc>
      </w:tr>
      <w:tr w:rsidR="004F7A4E" w:rsidRPr="004D093B" w14:paraId="4C0E4342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EA6B" w14:textId="4A8B3BB3" w:rsidR="004F7A4E" w:rsidRPr="004D093B" w:rsidRDefault="00A510E6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0A7A" w14:textId="0BEE948A" w:rsidR="004F7A4E" w:rsidRDefault="004F7A4E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Jardiance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AA9C" w14:textId="26D7120C" w:rsidR="004F7A4E" w:rsidRDefault="004F7A4E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empagliflozyna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F6AA" w14:textId="59B2C476" w:rsidR="004F7A4E" w:rsidRPr="004F7A4E" w:rsidRDefault="006858B7" w:rsidP="004F7A4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858B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Przewlekła choroba nerek u dorosłych pacjentów z </w:t>
            </w:r>
            <w:proofErr w:type="spellStart"/>
            <w:r w:rsidRPr="006858B7">
              <w:rPr>
                <w:rFonts w:ascii="Lato" w:hAnsi="Lato" w:cstheme="majorHAnsi"/>
                <w:color w:val="000000"/>
                <w:sz w:val="18"/>
                <w:szCs w:val="18"/>
              </w:rPr>
              <w:t>eGFR</w:t>
            </w:r>
            <w:proofErr w:type="spellEnd"/>
            <w:r w:rsidRPr="006858B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&lt;60 ml/min/1.73m2, albuminurią lub białkomoczem oraz leczonych terapią opartą na ACE-i/ARB nie krócej niż 4 tygodnie lub z przeciwskazaniami do tych terapii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C959" w14:textId="5508FF14" w:rsidR="004F7A4E" w:rsidRDefault="004F7A4E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obecnie refundowanych wskazań klinicznych o przewlekłą chorobę nerek u pacjentów dorosłych.</w:t>
            </w:r>
          </w:p>
        </w:tc>
      </w:tr>
      <w:tr w:rsidR="00A22EE5" w:rsidRPr="004D093B" w14:paraId="6E8D63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C2C6A" w14:textId="31A6F4D7" w:rsidR="00A22EE5" w:rsidRPr="004D093B" w:rsidRDefault="00A510E6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8001" w14:textId="2CB0B464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Mizetam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B6143" w14:textId="1205384C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ezetymib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atorwastatyna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005C" w14:textId="31CD1BEC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wspomagające do stosowania wraz z dietą u pacjentów dorosłych z pierwotną hipercholesterolemią (heterozygotyczną i homozygotyczną rodzinną i nierodzinną) lub mieszaną </w:t>
            </w:r>
            <w:proofErr w:type="spellStart"/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>hiperlipidemią</w:t>
            </w:r>
            <w:proofErr w:type="spellEnd"/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już kontrolowaną za pomocą </w:t>
            </w:r>
            <w:proofErr w:type="spellStart"/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>atorwastatyny</w:t>
            </w:r>
            <w:proofErr w:type="spellEnd"/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>ezetymibu</w:t>
            </w:r>
            <w:proofErr w:type="spellEnd"/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>, które są podawane w takich samych dawkach; Zapobieganie zdarzeniom sercowo-naczyniowym, tj. jako leczenie substytucyjne u pacjentów z chorobą niedokrwienną serca i ostrym zespołem wieńcowym w wywiadzie, u których uzyskano kontrolę choroby stosując jednocześnie pojedyncze substancje czynne w osobnych produktach leczniczych, ale w takich samych dawkach, jak w produkcie złożonym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DAC06" w14:textId="5015A05E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do stosowania leku złożonego w zapobieganiu zdarzeń sercowo-naczyniowych </w:t>
            </w:r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>u pacjentów z chorobą niedokrwienną serca i ostrym zespołem wieńcowym w wywiadzie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A2DBB" w:rsidRPr="004D093B" w14:paraId="3E62A70D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749D9E9A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8D9AF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Różne nazwy </w:t>
            </w:r>
          </w:p>
          <w:p w14:paraId="2451D194" w14:textId="2603D442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7BF2BEF7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ezetymib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2A950583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752F2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uzupełniające w trakcie leczenia </w:t>
            </w:r>
            <w:proofErr w:type="spellStart"/>
            <w:r w:rsidRPr="00752F28">
              <w:rPr>
                <w:rFonts w:ascii="Lato" w:hAnsi="Lato" w:cstheme="majorHAnsi"/>
                <w:color w:val="000000"/>
                <w:sz w:val="18"/>
                <w:szCs w:val="18"/>
              </w:rPr>
              <w:t>statyną</w:t>
            </w:r>
            <w:proofErr w:type="spellEnd"/>
            <w:r w:rsidRPr="00752F2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włączane jednocześnie ze </w:t>
            </w:r>
            <w:proofErr w:type="spellStart"/>
            <w:r w:rsidRPr="00752F28">
              <w:rPr>
                <w:rFonts w:ascii="Lato" w:hAnsi="Lato" w:cstheme="majorHAnsi"/>
                <w:color w:val="000000"/>
                <w:sz w:val="18"/>
                <w:szCs w:val="18"/>
              </w:rPr>
              <w:t>statyną</w:t>
            </w:r>
            <w:proofErr w:type="spellEnd"/>
            <w:r w:rsidRPr="00752F2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albo leczenie w przypadku stwierdzenia nietolerancji co najmniej 2 </w:t>
            </w:r>
            <w:proofErr w:type="spellStart"/>
            <w:r w:rsidRPr="00752F28">
              <w:rPr>
                <w:rFonts w:ascii="Lato" w:hAnsi="Lato" w:cstheme="majorHAnsi"/>
                <w:color w:val="000000"/>
                <w:sz w:val="18"/>
                <w:szCs w:val="18"/>
              </w:rPr>
              <w:t>statyn</w:t>
            </w:r>
            <w:proofErr w:type="spellEnd"/>
            <w:r w:rsidRPr="00752F2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– jednej w najmniejszej początkowej dawce na dobę i drugiej w dowolnej dostępnej dawce przez okres leczenia nie krótszy niż 3 miesiące, w celu zapobiegania zdarzeniom sercowo-naczyniowym u pacjentów, u których ryzyko pierwszego lub kolejnego zdarzenia sercowo-naczyniowego oceniane jest jako co najmniej duże, wraz z działaniami mającymi na celu redukcję innych czynników ryzyka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32014F21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Zmiana wskazania refundacyjnego z: „</w:t>
            </w:r>
            <w:r w:rsidRPr="008F409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Hipercholesterolemia LDL-C powyżej 130 mg/dl utrzymująca się pomimo terapii </w:t>
            </w:r>
            <w:proofErr w:type="spellStart"/>
            <w:r w:rsidRPr="008F4093">
              <w:rPr>
                <w:rFonts w:ascii="Lato" w:hAnsi="Lato" w:cstheme="majorHAnsi"/>
                <w:color w:val="000000"/>
                <w:sz w:val="18"/>
                <w:szCs w:val="18"/>
              </w:rPr>
              <w:t>statynami</w:t>
            </w:r>
            <w:proofErr w:type="spellEnd"/>
            <w:r w:rsidRPr="008F409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przypadku: stanu po zawale serca lub rewaskularyzacji wieńcowej (przezskórnej lub kardiochirurgicznej), stanu po rewaskularyzacji obwodowej lub amputacji obwodowej z powodu choroby miażdżycowej, hipercholesterolemii rodzinnej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”, skutkująca rozszerzeniem populacji.</w:t>
            </w:r>
          </w:p>
        </w:tc>
      </w:tr>
      <w:tr w:rsidR="00EA2DBB" w:rsidRPr="004D093B" w14:paraId="6E8A1919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016" w14:textId="1F876CD5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64F9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Różne nazwy </w:t>
            </w:r>
          </w:p>
          <w:p w14:paraId="7BCD168B" w14:textId="3C3FA94E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870" w14:textId="714EF11F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mykofenolan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mofetylu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2092" w14:textId="7C851FA7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M</w:t>
            </w:r>
            <w:r w:rsidRPr="00C9587D">
              <w:rPr>
                <w:rFonts w:ascii="Lato" w:hAnsi="Lato" w:cstheme="majorHAnsi"/>
                <w:sz w:val="18"/>
                <w:szCs w:val="18"/>
              </w:rPr>
              <w:t>iastenia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C515E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 ramach kompleksowego podejścia do leczenia chorych na miastenię do refundacji wprowadzono wszystkie możliwe technologie dla tej jednostki chorobowej.</w:t>
            </w:r>
          </w:p>
          <w:p w14:paraId="4B6A34D3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10823724" w14:textId="44796CE7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97FA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EA2DBB" w:rsidRPr="004D093B" w14:paraId="60EFD408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4E3C" w14:textId="42FF5610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A321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Różne nazwy </w:t>
            </w:r>
          </w:p>
          <w:p w14:paraId="5683414E" w14:textId="00A5C7DD" w:rsidR="00EA2DBB" w:rsidRPr="003B6D68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D25E8" w14:textId="72F11677" w:rsidR="00EA2DBB" w:rsidRPr="003B6D68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takrolimus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3DD37" w14:textId="25F7CCE0" w:rsidR="00EA2DBB" w:rsidRPr="003B6D68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Zespół </w:t>
            </w:r>
            <w:proofErr w:type="spellStart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Henoch-Schoenleina</w:t>
            </w:r>
            <w:proofErr w:type="spellEnd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(zapalenie naczyń spowodowane </w:t>
            </w:r>
            <w:proofErr w:type="spellStart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IgA</w:t>
            </w:r>
            <w:proofErr w:type="spellEnd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IgA-vasculitis</w:t>
            </w:r>
            <w:proofErr w:type="spellEnd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) w przypadku nietolerancji, przeciwwskazań lub oporności na inne metody leczenia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B7F6C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Nowe wskazanie refundacyjne w ramach leczenia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takrolimusem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2E5A8011" w14:textId="52D4281A" w:rsidR="00EA2DBB" w:rsidRPr="003B6D68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A2DBB" w:rsidRPr="004D093B" w14:paraId="0C276518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F0A7" w14:textId="7ABFF8CD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4D6E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Różne nazwy </w:t>
            </w:r>
          </w:p>
          <w:p w14:paraId="65AF24A9" w14:textId="6F8E4296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5A1D" w14:textId="3F9D553A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takrolimus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C189" w14:textId="11DB58BB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Zespół nerczycowy </w:t>
            </w:r>
            <w:proofErr w:type="spellStart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sterydozależny</w:t>
            </w:r>
            <w:proofErr w:type="spellEnd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/zespół nerczycowy </w:t>
            </w:r>
            <w:proofErr w:type="spellStart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sterydooporny</w:t>
            </w:r>
            <w:proofErr w:type="spellEnd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/zespół nerczycowy nawracający - w przypadku nietolerancji </w:t>
            </w:r>
            <w:proofErr w:type="spellStart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cyklosporyny</w:t>
            </w:r>
            <w:proofErr w:type="spellEnd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oporności na </w:t>
            </w:r>
            <w:proofErr w:type="spellStart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cyklosporynę</w:t>
            </w:r>
            <w:proofErr w:type="spellEnd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, nefropatia toczniowa/toczniowe zapalenie nerek - w przypadku nietolerancji, przeciwwskazań lub oporności na inne metody leczenia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7BC6D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jednego z dotychczas obowiązujących wskazań refundacyjnych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takrolimusu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41D464AF" w14:textId="233467CF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A2DBB" w:rsidRPr="004D093B" w14:paraId="51CD7DCD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BF5C" w14:textId="1994D552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189F" w14:textId="26E5D5CF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Rxulti</w:t>
            </w:r>
            <w:proofErr w:type="spellEnd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4A54" w14:textId="5A48242A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brekspiprazol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245B1" w14:textId="1CA0416B" w:rsidR="00EA2DBB" w:rsidRPr="00752F28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S</w:t>
            </w:r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chizofrenia u pacjentów dorosłych po nieskuteczności lub w przypadku przeciwwskazań do terapii pozostałymi lekami </w:t>
            </w:r>
            <w:proofErr w:type="spellStart"/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>przeciwpsychotycznymi</w:t>
            </w:r>
            <w:proofErr w:type="spellEnd"/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II </w:t>
            </w:r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>generacji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7496" w14:textId="4AFA5766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Brekspiprazol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jest kolejnym atypowym lekiem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przeciwpsychotycznym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który </w:t>
            </w:r>
            <w:r w:rsidRPr="004F44A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poszerza zakres możliwości terapeutycznych 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doustnym </w:t>
            </w:r>
            <w:r w:rsidRPr="004F44A5">
              <w:rPr>
                <w:rFonts w:ascii="Lato" w:hAnsi="Lato" w:cstheme="majorHAnsi"/>
                <w:color w:val="000000"/>
                <w:sz w:val="18"/>
                <w:szCs w:val="18"/>
              </w:rPr>
              <w:t>leczeniu schizofrenii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Charakteryzuje się korzystnym profilem metabolicznym. Analogicznie jak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lurazydon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będzie refundowany w przypadku </w:t>
            </w:r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nieskuteczności lub przeciwwskazań do terapii pozostałymi lekami </w:t>
            </w:r>
            <w:proofErr w:type="spellStart"/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>przeciwpsychotycznymi</w:t>
            </w:r>
            <w:proofErr w:type="spellEnd"/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II generacji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jednak wyłącznie w populacji osób dorosłych. </w:t>
            </w:r>
          </w:p>
        </w:tc>
      </w:tr>
      <w:tr w:rsidR="00EA2DBB" w:rsidRPr="004D093B" w14:paraId="6B947B67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718D" w14:textId="4DFEE466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FF51B" w14:textId="00F7C05F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B6D6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Ryeqo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AE034" w14:textId="3B9BA799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B6D6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relugolixum</w:t>
            </w:r>
            <w:proofErr w:type="spellEnd"/>
            <w:r w:rsidRPr="003B6D6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3B6D6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estradiolum</w:t>
            </w:r>
            <w:proofErr w:type="spellEnd"/>
            <w:r w:rsidRPr="003B6D6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3B6D6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norethisterone</w:t>
            </w:r>
            <w:proofErr w:type="spellEnd"/>
            <w:r w:rsidRPr="003B6D6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6D6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acetate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0B19" w14:textId="5D795D11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B6D6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do dwóch lat ciężkich objawów mięśniaków macicy w postaci nasilonych krwawień u dorosłych kobiet w wieku rozrodczym, po weryfikacji histologicznej endometrium, niekwalifikujących się do leczenia operacyjnego, po nieskutecznym leczeniu zachowawczym objawów lekami zawierającymi pochodne o działaniu </w:t>
            </w:r>
            <w:proofErr w:type="spellStart"/>
            <w:r w:rsidRPr="003B6D68">
              <w:rPr>
                <w:rFonts w:ascii="Lato" w:hAnsi="Lato" w:cstheme="majorHAnsi"/>
                <w:color w:val="000000"/>
                <w:sz w:val="18"/>
                <w:szCs w:val="18"/>
              </w:rPr>
              <w:t>gestagennym</w:t>
            </w:r>
            <w:proofErr w:type="spellEnd"/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A09C" w14:textId="13F43B3B" w:rsidR="00EA2DBB" w:rsidRPr="0028384A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Nowy lek wieloskładnikowy stosowany w leczeniu mięśniaków macicy dostępny w ramach refundacji aptecznej. </w:t>
            </w:r>
          </w:p>
        </w:tc>
      </w:tr>
      <w:tr w:rsidR="00EA2DBB" w:rsidRPr="004D093B" w14:paraId="4DE1700A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FAA37" w14:textId="7C8B5BBC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D34D" w14:textId="0F376524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Solitombo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0A36" w14:textId="5B2FBD5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solifenacyna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tamsulosyna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8A046" w14:textId="517F9356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F61F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umiarkowanych i ciężkich objawów w fazie napełnienia pęcherza i w fazie opróżniania pęcherza, związanych z łagodnym rozrostem gruczołu krokowego u mężczyzn, którzy niewystarczająco odpowiadają na leczenie w </w:t>
            </w:r>
            <w:proofErr w:type="spellStart"/>
            <w:r w:rsidRPr="000F61F5">
              <w:rPr>
                <w:rFonts w:ascii="Lato" w:hAnsi="Lato" w:cstheme="majorHAnsi"/>
                <w:color w:val="000000"/>
                <w:sz w:val="18"/>
                <w:szCs w:val="18"/>
              </w:rPr>
              <w:t>monoterapi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4B11" w14:textId="26443731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Produkt leczniczy złożony. Preparat zawiera połączenie dwóch substancji czynnych stosowanych w łagodnym rozroście gruczołu krokowego. Produkt korzystnie wpływa na zachowanie odpowiedniej adherencji terapeutycznej.</w:t>
            </w:r>
          </w:p>
        </w:tc>
      </w:tr>
      <w:tr w:rsidR="00EA2DBB" w:rsidRPr="004D093B" w14:paraId="3258821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16AB" w14:textId="56341BA4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7F62" w14:textId="21A77E5D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Veltassa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27D3C" w14:textId="31A78164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</w:t>
            </w:r>
            <w:r w:rsidRPr="00D3459A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atiromer</w:t>
            </w:r>
            <w:proofErr w:type="spellEnd"/>
            <w:r w:rsidRPr="00D3459A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4E34" w14:textId="021B975F" w:rsidR="00EA2DBB" w:rsidRPr="00C9587D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D345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D3459A">
              <w:rPr>
                <w:rFonts w:ascii="Lato" w:hAnsi="Lato" w:cstheme="majorHAnsi"/>
                <w:color w:val="000000"/>
                <w:sz w:val="18"/>
                <w:szCs w:val="18"/>
              </w:rPr>
              <w:t>hyperkaliemii</w:t>
            </w:r>
            <w:proofErr w:type="spellEnd"/>
            <w:r w:rsidRPr="00D345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dorosłych pacjentów w przebiegu przewlekłej choroby nerek w stopniu 3b-5, u chorych przyjmujących leki z grupy inhibitorów układu renina-angiotensyna-aldosteron (inhibitory ACE oraz inhibitory receptora dla angiotensyny)</w:t>
            </w:r>
            <w:r>
              <w:rPr>
                <w:rFonts w:ascii="Lato" w:hAnsi="Lato"/>
              </w:rPr>
              <w:fldChar w:fldCharType="begin"/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</w:rPr>
              <w:t>«wskazanie_ref_apteka»</w:t>
            </w:r>
            <w:r>
              <w:rPr>
                <w:rFonts w:ascii="Lato" w:hAnsi="Lato"/>
              </w:rPr>
              <w:fldChar w:fldCharType="end"/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ADA45" w14:textId="77777777" w:rsidR="00EA2DBB" w:rsidRPr="00CB1DE1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B1D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Produkt leczniczy stosowany w hiperkaliemii u dorosłych pacjentów. </w:t>
            </w:r>
            <w:proofErr w:type="spellStart"/>
            <w:r w:rsidRPr="00CB1DE1">
              <w:rPr>
                <w:rFonts w:ascii="Lato" w:hAnsi="Lato" w:cstheme="majorHAnsi"/>
                <w:color w:val="000000"/>
                <w:sz w:val="18"/>
                <w:szCs w:val="18"/>
              </w:rPr>
              <w:t>Patiromer</w:t>
            </w:r>
            <w:proofErr w:type="spellEnd"/>
            <w:r w:rsidRPr="00CB1D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jest </w:t>
            </w:r>
            <w:proofErr w:type="spellStart"/>
            <w:r w:rsidRPr="00CB1DE1">
              <w:rPr>
                <w:rFonts w:ascii="Lato" w:hAnsi="Lato" w:cstheme="majorHAnsi"/>
                <w:color w:val="000000"/>
                <w:sz w:val="18"/>
                <w:szCs w:val="18"/>
              </w:rPr>
              <w:t>niewchłanialnym</w:t>
            </w:r>
            <w:proofErr w:type="spellEnd"/>
            <w:r w:rsidRPr="00CB1D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polimerem, który zwiększa wydalanie potasu poprzez wiązanie potasu w świetle przewodu pokarmowego.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Lek finansowany w ramach Funduszu Medycznego.</w:t>
            </w:r>
          </w:p>
          <w:p w14:paraId="1A93C77B" w14:textId="24E48334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(TLK)</w:t>
            </w:r>
          </w:p>
        </w:tc>
      </w:tr>
      <w:bookmarkEnd w:id="3"/>
    </w:tbl>
    <w:p w14:paraId="6B996492" w14:textId="0986F7C0" w:rsidR="009D10B8" w:rsidRDefault="009D10B8" w:rsidP="0068046C">
      <w:pPr>
        <w:suppressAutoHyphens w:val="0"/>
        <w:rPr>
          <w:rFonts w:ascii="Lato" w:hAnsi="Lato"/>
          <w:b/>
          <w:bCs/>
          <w:color w:val="00B0F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" w:type="dxa"/>
          <w:bottom w:w="57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421"/>
        <w:gridCol w:w="5673"/>
        <w:gridCol w:w="5209"/>
      </w:tblGrid>
      <w:tr w:rsidR="000F61F5" w:rsidRPr="001A28EB" w14:paraId="6BCE8CED" w14:textId="77777777" w:rsidTr="00C45B7B">
        <w:trPr>
          <w:trHeight w:val="328"/>
        </w:trPr>
        <w:tc>
          <w:tcPr>
            <w:tcW w:w="5000" w:type="pct"/>
            <w:gridSpan w:val="4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232F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bookmarkStart w:id="4" w:name="_Hlk148004033"/>
            <w:r w:rsidRPr="001A28EB">
              <w:rPr>
                <w:rFonts w:ascii="Lato" w:hAnsi="Lato" w:cstheme="majorHAnsi"/>
                <w:b/>
                <w:bCs/>
                <w:color w:val="FFFFFF"/>
              </w:rPr>
              <w:t>Zmiany na liście 65+</w:t>
            </w:r>
          </w:p>
        </w:tc>
      </w:tr>
      <w:tr w:rsidR="000F61F5" w:rsidRPr="001A28EB" w14:paraId="2E28E9A6" w14:textId="77777777" w:rsidTr="00C45B7B">
        <w:tc>
          <w:tcPr>
            <w:tcW w:w="24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14B8B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1A28EB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5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BFF9E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1A28EB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202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A2E6F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1A28EB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1861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43097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1A28EB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Dodatkowe informacje</w:t>
            </w:r>
          </w:p>
        </w:tc>
      </w:tr>
      <w:tr w:rsidR="000F61F5" w:rsidRPr="001A28EB" w14:paraId="5542B4FE" w14:textId="77777777" w:rsidTr="00C45B7B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84225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A28EB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E7229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kanagliflozyna</w:t>
            </w:r>
            <w:proofErr w:type="spellEnd"/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7E50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1A28E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Cukrzyca typu 2 u pacjentów leczonych </w:t>
            </w:r>
            <w:r w:rsidRPr="001A28E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co najmniej dwoma lekami hipoglikemizującymi, z HbA1c ≥ 7,5%</w:t>
            </w:r>
            <w:r w:rsidRPr="001A28E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bardzo wysokim ryzykiem sercowo-naczyniowym rozumianym jako: 1)potwierdzona choroba sercowo-naczyniowa, lub 2)uszkodzenie innych narządów objawiające się poprzez: białkomocz lub przerost lewej komory lub retinopatię, lub 3)obecność 3 lub więcej głównych czynników ryzyka spośród wymienionych poniżej: -wiek ≥ 55 lat dla mężczyzn, ≥60 lat dla kobiet, -</w:t>
            </w:r>
            <w:proofErr w:type="spellStart"/>
            <w:r w:rsidRPr="001A28EB">
              <w:rPr>
                <w:rFonts w:ascii="Lato" w:hAnsi="Lato" w:cstheme="majorHAnsi"/>
                <w:color w:val="000000"/>
                <w:sz w:val="18"/>
                <w:szCs w:val="18"/>
              </w:rPr>
              <w:t>dyslipidemia</w:t>
            </w:r>
            <w:proofErr w:type="spellEnd"/>
            <w:r w:rsidRPr="001A28EB">
              <w:rPr>
                <w:rFonts w:ascii="Lato" w:hAnsi="Lato" w:cstheme="majorHAnsi"/>
                <w:color w:val="000000"/>
                <w:sz w:val="18"/>
                <w:szCs w:val="18"/>
              </w:rPr>
              <w:t>, -nadciśnienie tętnicze, -palenie tytoniu, -otyłość.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A0B9" w14:textId="77777777" w:rsidR="000F61F5" w:rsidRPr="001A28EB" w:rsidRDefault="000F61F5" w:rsidP="00C45B7B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Powrót na wykaz leków refundowanych i na listę bezpłatnych leków dla seniorów po 5-miesięcznej nieobecności, we wskazaniu niezmienionym w stosunku do wskazania obowiązującego do 31 października 2023 r.</w:t>
            </w:r>
          </w:p>
        </w:tc>
      </w:tr>
      <w:tr w:rsidR="00CB1DE1" w:rsidRPr="001A28EB" w14:paraId="1E20C47E" w14:textId="77777777" w:rsidTr="00C45B7B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69C9B" w14:textId="44001DC4" w:rsidR="00CB1DE1" w:rsidRPr="001A28EB" w:rsidRDefault="00CB1DE1" w:rsidP="00CB1DE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8DF2" w14:textId="14170F7B" w:rsidR="00CB1DE1" w:rsidRDefault="00CB1DE1" w:rsidP="00CB1DE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solifenacyna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tamsulosyna</w:t>
            </w:r>
            <w:proofErr w:type="spellEnd"/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5A21" w14:textId="53B9AEA2" w:rsidR="00CB1DE1" w:rsidRPr="001A28EB" w:rsidRDefault="00CB1DE1" w:rsidP="00CB1DE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61F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umiarkowanych i ciężkich objawów w fazie napełnienia pęcherza i w fazie opróżniania pęcherza, związanych z łagodnym rozrostem gruczołu krokowego u mężczyzn, którzy niewystarczająco odpowiadają na leczenie w </w:t>
            </w:r>
            <w:proofErr w:type="spellStart"/>
            <w:r w:rsidRPr="000F61F5">
              <w:rPr>
                <w:rFonts w:ascii="Lato" w:hAnsi="Lato" w:cstheme="majorHAnsi"/>
                <w:color w:val="000000"/>
                <w:sz w:val="18"/>
                <w:szCs w:val="18"/>
              </w:rPr>
              <w:t>monoterapi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A55F7" w14:textId="0D34CFF3" w:rsidR="00CB1DE1" w:rsidRDefault="00CB1DE1" w:rsidP="00CB1DE1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Produkt leczniczy złożony. Obecnie na wykazie 65+ znajdują się produkty lecznicze jednoskładnikowe 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solifenacyną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tamsulosyną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bookmarkEnd w:id="4"/>
    </w:tbl>
    <w:p w14:paraId="5FEAC7C3" w14:textId="1E597D96" w:rsidR="0011263C" w:rsidRDefault="0011263C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6A33A521" w14:textId="77777777" w:rsidR="0011263C" w:rsidRDefault="0011263C">
      <w:pPr>
        <w:suppressAutoHyphens w:val="0"/>
        <w:rPr>
          <w:rFonts w:ascii="Lato" w:hAnsi="Lato"/>
          <w:b/>
          <w:bCs/>
          <w:color w:val="00B0F0"/>
        </w:rPr>
      </w:pPr>
      <w:r>
        <w:rPr>
          <w:rFonts w:ascii="Lato" w:hAnsi="Lato"/>
          <w:b/>
          <w:bCs/>
          <w:color w:val="00B0F0"/>
        </w:rPr>
        <w:br w:type="page"/>
      </w:r>
    </w:p>
    <w:p w14:paraId="44843106" w14:textId="77777777" w:rsidR="00584C82" w:rsidRDefault="00584C82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52F20E92" w14:textId="77777777" w:rsidR="0057280A" w:rsidRDefault="0057280A" w:rsidP="0057280A">
      <w:pPr>
        <w:suppressAutoHyphens w:val="0"/>
        <w:jc w:val="center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t>POLSKIE LEKI</w:t>
      </w:r>
    </w:p>
    <w:p w14:paraId="2B25DB72" w14:textId="77777777" w:rsidR="0057280A" w:rsidRPr="00032F73" w:rsidRDefault="0057280A" w:rsidP="0057280A">
      <w:pPr>
        <w:spacing w:after="120" w:line="360" w:lineRule="auto"/>
        <w:rPr>
          <w:rFonts w:ascii="Lato" w:hAnsi="Lato"/>
        </w:rPr>
      </w:pPr>
      <w:r>
        <w:rPr>
          <w:rFonts w:ascii="Lato" w:hAnsi="Lato"/>
        </w:rPr>
        <w:t>Ustawa z dnia</w:t>
      </w:r>
      <w:r w:rsidRPr="00032F73">
        <w:rPr>
          <w:rFonts w:ascii="Lato" w:hAnsi="Lato"/>
        </w:rPr>
        <w:t xml:space="preserve"> </w:t>
      </w:r>
      <w:r>
        <w:rPr>
          <w:rFonts w:ascii="Lato" w:hAnsi="Lato"/>
        </w:rPr>
        <w:t xml:space="preserve">17 sierpnia 2023 r. </w:t>
      </w:r>
      <w:r w:rsidRPr="00032F73">
        <w:rPr>
          <w:rFonts w:ascii="Lato" w:hAnsi="Lato"/>
        </w:rPr>
        <w:t>o zmianie ustawy o refundacji leków, środków spożywczych specjalnego przeznaczenia żywieniowego oraz wyrobów medycznych oraz niektórych innych ustaw</w:t>
      </w:r>
      <w:r w:rsidRPr="00AD3429">
        <w:t xml:space="preserve"> </w:t>
      </w:r>
      <w:r w:rsidRPr="00AD3429">
        <w:rPr>
          <w:rFonts w:ascii="Lato" w:hAnsi="Lato"/>
        </w:rPr>
        <w:t>(Dz.</w:t>
      </w:r>
      <w:r>
        <w:rPr>
          <w:rFonts w:ascii="Lato" w:hAnsi="Lato"/>
        </w:rPr>
        <w:t xml:space="preserve"> </w:t>
      </w:r>
      <w:r w:rsidRPr="00AD3429">
        <w:rPr>
          <w:rFonts w:ascii="Lato" w:hAnsi="Lato"/>
        </w:rPr>
        <w:t>U. z 2023 r. poz. 1938)</w:t>
      </w:r>
      <w:r>
        <w:rPr>
          <w:rFonts w:ascii="Lato" w:hAnsi="Lato"/>
        </w:rPr>
        <w:t xml:space="preserve"> wprowadziła nowe rozwiązania mające na celu </w:t>
      </w:r>
      <w:r w:rsidRPr="00032F73">
        <w:rPr>
          <w:rFonts w:ascii="Lato" w:hAnsi="Lato"/>
        </w:rPr>
        <w:t>zwiększenie udziału w rynku produktów leczniczych wytwarzanych przez przemysł farmaceutyczny na terytorium Polski</w:t>
      </w:r>
      <w:r>
        <w:rPr>
          <w:rFonts w:ascii="Lato" w:hAnsi="Lato"/>
        </w:rPr>
        <w:t xml:space="preserve">. </w:t>
      </w:r>
      <w:r w:rsidRPr="00032F73">
        <w:rPr>
          <w:rFonts w:ascii="Lato" w:hAnsi="Lato"/>
        </w:rPr>
        <w:t>Przedmiotowa nowelizacja ustawy o refundacji, wprowadz</w:t>
      </w:r>
      <w:r>
        <w:rPr>
          <w:rFonts w:ascii="Lato" w:hAnsi="Lato"/>
        </w:rPr>
        <w:t>iła</w:t>
      </w:r>
      <w:r w:rsidRPr="00032F73">
        <w:rPr>
          <w:rFonts w:ascii="Lato" w:hAnsi="Lato"/>
        </w:rPr>
        <w:t xml:space="preserve"> </w:t>
      </w:r>
      <w:r>
        <w:rPr>
          <w:rFonts w:ascii="Lato" w:hAnsi="Lato"/>
        </w:rPr>
        <w:t xml:space="preserve">szereg </w:t>
      </w:r>
      <w:r w:rsidRPr="00032F73">
        <w:rPr>
          <w:rFonts w:ascii="Lato" w:hAnsi="Lato"/>
        </w:rPr>
        <w:t>przepis</w:t>
      </w:r>
      <w:r>
        <w:rPr>
          <w:rFonts w:ascii="Lato" w:hAnsi="Lato"/>
        </w:rPr>
        <w:t>ów</w:t>
      </w:r>
      <w:r w:rsidRPr="00032F73">
        <w:rPr>
          <w:rFonts w:ascii="Lato" w:hAnsi="Lato"/>
        </w:rPr>
        <w:t xml:space="preserve"> dotycząc</w:t>
      </w:r>
      <w:r>
        <w:rPr>
          <w:rFonts w:ascii="Lato" w:hAnsi="Lato"/>
        </w:rPr>
        <w:t>ych</w:t>
      </w:r>
      <w:r w:rsidRPr="00032F73">
        <w:rPr>
          <w:rFonts w:ascii="Lato" w:hAnsi="Lato"/>
        </w:rPr>
        <w:t xml:space="preserve"> zarówno bezpośrednio Bezpieczeństwa Lekowego Polski (BLP), jak i pośrednio </w:t>
      </w:r>
      <w:r>
        <w:rPr>
          <w:rFonts w:ascii="Lato" w:hAnsi="Lato"/>
        </w:rPr>
        <w:t>wpływających</w:t>
      </w:r>
      <w:r w:rsidRPr="00032F73">
        <w:rPr>
          <w:rFonts w:ascii="Lato" w:hAnsi="Lato"/>
        </w:rPr>
        <w:t xml:space="preserve"> na dostępność leków dla pacjentów.</w:t>
      </w:r>
      <w:r>
        <w:rPr>
          <w:rFonts w:ascii="Lato" w:hAnsi="Lato"/>
        </w:rPr>
        <w:t xml:space="preserve"> </w:t>
      </w:r>
      <w:r w:rsidRPr="00032F73">
        <w:rPr>
          <w:rFonts w:ascii="Lato" w:hAnsi="Lato"/>
        </w:rPr>
        <w:t>Zaproponowany w ustawie mechanizm BLP, pozwala zwiększyć znaczenie wpływu działalności inwestycyjnej wnioskodawcy w zakresie związanym z ochroną zdrowia na terytorium R</w:t>
      </w:r>
      <w:r>
        <w:rPr>
          <w:rFonts w:ascii="Lato" w:hAnsi="Lato"/>
        </w:rPr>
        <w:t>zeczypospolitej Polskiej</w:t>
      </w:r>
      <w:r w:rsidRPr="00032F73">
        <w:rPr>
          <w:rFonts w:ascii="Lato" w:hAnsi="Lato"/>
        </w:rPr>
        <w:t xml:space="preserve">, zwłaszcza uwzględniający aspekt produkcji leków na terytorium Rzeczpospolitej Polskiej bądź wykorzystania do produkcji takich leków substancji czynnej wyprodukowanej na terytorium Rzeczpospolitej Polskiej stanowi zachętę do rozwoju produkcji substancji czynnych i leków w kraju.  Dzięki </w:t>
      </w:r>
      <w:r>
        <w:rPr>
          <w:rFonts w:ascii="Lato" w:hAnsi="Lato"/>
        </w:rPr>
        <w:t>wprowadzonym</w:t>
      </w:r>
      <w:r w:rsidRPr="00032F73">
        <w:rPr>
          <w:rFonts w:ascii="Lato" w:hAnsi="Lato"/>
        </w:rPr>
        <w:t xml:space="preserve"> </w:t>
      </w:r>
      <w:r>
        <w:rPr>
          <w:rFonts w:ascii="Lato" w:hAnsi="Lato"/>
        </w:rPr>
        <w:t>regulacjom</w:t>
      </w:r>
      <w:r w:rsidRPr="00032F73">
        <w:rPr>
          <w:rFonts w:ascii="Lato" w:hAnsi="Lato"/>
        </w:rPr>
        <w:t xml:space="preserve"> możliwe </w:t>
      </w:r>
      <w:r>
        <w:rPr>
          <w:rFonts w:ascii="Lato" w:hAnsi="Lato"/>
        </w:rPr>
        <w:t>jest</w:t>
      </w:r>
      <w:r w:rsidRPr="00032F73">
        <w:rPr>
          <w:rFonts w:ascii="Lato" w:hAnsi="Lato"/>
        </w:rPr>
        <w:t xml:space="preserve"> wnioskowanie o większe benefity w zakresie refundacji. </w:t>
      </w:r>
      <w:r>
        <w:rPr>
          <w:rFonts w:ascii="Lato" w:hAnsi="Lato"/>
        </w:rPr>
        <w:t xml:space="preserve">Obecnie </w:t>
      </w:r>
      <w:r w:rsidRPr="00032F73">
        <w:rPr>
          <w:rFonts w:ascii="Lato" w:hAnsi="Lato"/>
        </w:rPr>
        <w:t xml:space="preserve">Wnioskodawcy </w:t>
      </w:r>
      <w:r>
        <w:rPr>
          <w:rFonts w:ascii="Lato" w:hAnsi="Lato"/>
        </w:rPr>
        <w:t>mogą</w:t>
      </w:r>
      <w:r w:rsidRPr="00032F73">
        <w:rPr>
          <w:rFonts w:ascii="Lato" w:hAnsi="Lato"/>
        </w:rPr>
        <w:t xml:space="preserve"> się ubiegać o następujące preferencje:</w:t>
      </w:r>
    </w:p>
    <w:p w14:paraId="6660672C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 xml:space="preserve">zwolnienie z obowiązku zapłaty kwoty przekroczenia w przypadku przekroczenia całkowitego budżetu na refundację, o którym mowa w art. 4 (tzw. </w:t>
      </w:r>
      <w:proofErr w:type="spellStart"/>
      <w:r w:rsidRPr="000F15DB">
        <w:rPr>
          <w:rFonts w:ascii="Lato" w:hAnsi="Lato"/>
        </w:rPr>
        <w:t>payback</w:t>
      </w:r>
      <w:proofErr w:type="spellEnd"/>
      <w:r w:rsidRPr="000F15DB">
        <w:rPr>
          <w:rFonts w:ascii="Lato" w:hAnsi="Lato"/>
        </w:rPr>
        <w:t xml:space="preserve"> ustawowy), wówczas koszt ten ponosi Fundusz,</w:t>
      </w:r>
    </w:p>
    <w:p w14:paraId="1B62FD1F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>wydanie pierwszej decyzji o objęciu refundacją na okres 3 lat, a każdej kolejnej decyzji o objęciu refundacją na okres 5 lat pod warunkiem, że proponowana cena zbytu netto nie przekroczy 150% ceny zbytu netto leku stanowiącej podstawę limitu w grupie limitowej, w której znajduje się lek będący przedmiotem wniosku, z obwieszczenia Ministra Zdrowia, obowiązującego w dniu złożenia wniosku, chyba że lek nie był dotychczas wytwarzany w Polsce wówczas pierwsza decyzja o objęciu refundacją jest wydawana na okres 5 lat,</w:t>
      </w:r>
    </w:p>
    <w:p w14:paraId="3F954496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>zwolnione z negocjacji cenowych z Komisją Ekonomiczną, w ramach wniosków stanowiących kontynuację refundacji leku refundowanych w aptece,</w:t>
      </w:r>
    </w:p>
    <w:p w14:paraId="5C74FC6B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>rozpatrzenie wniosku w terminie nie dłuższym niż 90 dni, dla leków dostępnych w aptece, oraz nie dłuższym niż 120 dni dla leków refundowanych w ramach chemioterapii lub programów lekowych,</w:t>
      </w:r>
    </w:p>
    <w:p w14:paraId="0F046B1E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>zmniejszenie opłaty za złożenie wniosku lub jego uzupełnienie do poziomu 50%,</w:t>
      </w:r>
    </w:p>
    <w:p w14:paraId="378E13FF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lastRenderedPageBreak/>
        <w:t>obniżenie do 50% opłaty za analizę weryfikacyjną,</w:t>
      </w:r>
    </w:p>
    <w:p w14:paraId="60A1FD05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>umożliwienie ustalenia urzędowej ceny zbytu w wysokości 75% urzędowej ceny zbytu jedynego odpowiednika refundowanego w danym wskazaniu,</w:t>
      </w:r>
    </w:p>
    <w:p w14:paraId="41748B6C" w14:textId="5AE6BAAB" w:rsidR="0057280A" w:rsidRDefault="0057280A" w:rsidP="0057280A">
      <w:pPr>
        <w:spacing w:after="120" w:line="360" w:lineRule="auto"/>
        <w:rPr>
          <w:rFonts w:ascii="Lato" w:hAnsi="Lato"/>
        </w:rPr>
      </w:pPr>
      <w:r w:rsidRPr="00032F73">
        <w:rPr>
          <w:rFonts w:ascii="Lato" w:hAnsi="Lato"/>
        </w:rPr>
        <w:t xml:space="preserve">Dodatkowo </w:t>
      </w:r>
      <w:r>
        <w:rPr>
          <w:rFonts w:ascii="Lato" w:hAnsi="Lato"/>
        </w:rPr>
        <w:t>wraz z nadaniem statusu „polskiego leku” redukcji ulega</w:t>
      </w:r>
      <w:r w:rsidRPr="00032F73">
        <w:rPr>
          <w:rFonts w:ascii="Lato" w:hAnsi="Lato"/>
        </w:rPr>
        <w:t xml:space="preserve"> poziom odpłatności pacjenta za lek refundowany w aptece o 10%, jeżeli lek jest wytwarzany w Polsce albo do jego wytworzenia wykorzystano substancję czynną wyprodukowaną na terenie Rzeczpospolitej Polskiej albo o 15%, jeżeli lek jest wytwarzany </w:t>
      </w:r>
      <w:r w:rsidR="0045613D">
        <w:rPr>
          <w:rFonts w:ascii="Lato" w:hAnsi="Lato"/>
        </w:rPr>
        <w:t xml:space="preserve">w </w:t>
      </w:r>
      <w:r w:rsidRPr="00032F73">
        <w:rPr>
          <w:rFonts w:ascii="Lato" w:hAnsi="Lato"/>
        </w:rPr>
        <w:t xml:space="preserve">Polsce z wykorzystaniem substancji czynnej wytwarzanej w Polsce. </w:t>
      </w:r>
    </w:p>
    <w:p w14:paraId="35305876" w14:textId="739C46E5" w:rsidR="005224DB" w:rsidRDefault="005224DB" w:rsidP="005224DB">
      <w:pPr>
        <w:suppressAutoHyphens w:val="0"/>
        <w:spacing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Mając na względzie powyższe, niniejsze obwieszczenie uzupełniono o dwa nowe wykazy, tj.:</w:t>
      </w:r>
    </w:p>
    <w:p w14:paraId="06F5EDE4" w14:textId="40AB3557" w:rsidR="0057280A" w:rsidRDefault="0057280A" w:rsidP="0057280A">
      <w:pPr>
        <w:numPr>
          <w:ilvl w:val="0"/>
          <w:numId w:val="29"/>
        </w:numPr>
        <w:suppressAutoHyphens w:val="0"/>
        <w:spacing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 xml:space="preserve">wykaz </w:t>
      </w:r>
      <w:r w:rsidR="005224DB">
        <w:rPr>
          <w:rFonts w:ascii="Lato" w:hAnsi="Lato"/>
        </w:rPr>
        <w:t>G</w:t>
      </w:r>
      <w:r>
        <w:rPr>
          <w:rFonts w:ascii="Lato" w:hAnsi="Lato"/>
        </w:rPr>
        <w:t xml:space="preserve">1 - </w:t>
      </w:r>
      <w:r w:rsidR="005224DB" w:rsidRPr="005224DB">
        <w:rPr>
          <w:rFonts w:ascii="Lato" w:hAnsi="Lato"/>
        </w:rPr>
        <w:t>Leki wytwarzane na terytorium Rzeczypospolitej Polskiej albo takie, do których wytworzenia wykorzystano substancję czynną wytworzoną na terytorium Rzeczypospolitej Polskiej</w:t>
      </w:r>
      <w:r w:rsidR="005224DB">
        <w:rPr>
          <w:rFonts w:ascii="Lato" w:hAnsi="Lato"/>
        </w:rPr>
        <w:t>,</w:t>
      </w:r>
    </w:p>
    <w:p w14:paraId="5D71D6A1" w14:textId="061B2629" w:rsidR="0057280A" w:rsidRPr="00AB3591" w:rsidRDefault="0057280A" w:rsidP="0068046C">
      <w:pPr>
        <w:numPr>
          <w:ilvl w:val="0"/>
          <w:numId w:val="29"/>
        </w:numPr>
        <w:suppressAutoHyphens w:val="0"/>
        <w:spacing w:line="360" w:lineRule="auto"/>
        <w:ind w:left="714" w:hanging="357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 xml:space="preserve">wykaz </w:t>
      </w:r>
      <w:r w:rsidR="005224DB">
        <w:rPr>
          <w:rFonts w:ascii="Lato" w:hAnsi="Lato"/>
        </w:rPr>
        <w:t>G</w:t>
      </w:r>
      <w:r>
        <w:rPr>
          <w:rFonts w:ascii="Lato" w:hAnsi="Lato"/>
        </w:rPr>
        <w:t xml:space="preserve">2 - </w:t>
      </w:r>
      <w:r w:rsidR="005224DB" w:rsidRPr="005224DB">
        <w:rPr>
          <w:rFonts w:ascii="Lato" w:hAnsi="Lato"/>
        </w:rPr>
        <w:t>Leki wytwarzane na terytorium Rzeczypospolitej Polskiej z wykorzystaniem substancji czynnej wytwarzanej na terytorium Rzeczypospolitej Polskiej</w:t>
      </w:r>
      <w:r w:rsidR="005224DB">
        <w:rPr>
          <w:rFonts w:ascii="Lato" w:hAnsi="Lato"/>
        </w:rPr>
        <w:t>.</w:t>
      </w:r>
    </w:p>
    <w:p w14:paraId="0F7D1239" w14:textId="754D00D2" w:rsidR="0057280A" w:rsidRPr="00F72521" w:rsidRDefault="0057280A" w:rsidP="00F72521">
      <w:pPr>
        <w:suppressAutoHyphens w:val="0"/>
        <w:spacing w:line="360" w:lineRule="auto"/>
        <w:jc w:val="both"/>
        <w:rPr>
          <w:rFonts w:ascii="Lato" w:eastAsia="Times New Roman" w:hAnsi="Lato" w:cs="Calibri"/>
          <w:color w:val="000000"/>
          <w:lang w:eastAsia="pl-PL"/>
        </w:rPr>
      </w:pPr>
      <w:r w:rsidRPr="00F72521">
        <w:rPr>
          <w:rFonts w:ascii="Lato" w:hAnsi="Lato"/>
        </w:rPr>
        <w:t xml:space="preserve">Wykaz </w:t>
      </w:r>
      <w:r w:rsidR="005224DB" w:rsidRPr="00F72521">
        <w:rPr>
          <w:rFonts w:ascii="Lato" w:hAnsi="Lato"/>
        </w:rPr>
        <w:t>G1</w:t>
      </w:r>
      <w:r w:rsidRPr="00F72521">
        <w:rPr>
          <w:rFonts w:ascii="Lato" w:hAnsi="Lato"/>
        </w:rPr>
        <w:t xml:space="preserve"> zawiera </w:t>
      </w:r>
      <w:r w:rsidR="005224DB" w:rsidRPr="00F72521">
        <w:rPr>
          <w:rFonts w:ascii="Lato" w:hAnsi="Lato"/>
          <w:b/>
          <w:bCs/>
        </w:rPr>
        <w:t>3</w:t>
      </w:r>
      <w:r w:rsidR="00055A52">
        <w:rPr>
          <w:rFonts w:ascii="Lato" w:hAnsi="Lato"/>
          <w:b/>
          <w:bCs/>
        </w:rPr>
        <w:t>31</w:t>
      </w:r>
      <w:r w:rsidRPr="00F72521">
        <w:rPr>
          <w:rFonts w:ascii="Lato" w:hAnsi="Lato"/>
          <w:b/>
          <w:bCs/>
        </w:rPr>
        <w:t xml:space="preserve"> leków</w:t>
      </w:r>
      <w:r w:rsidRPr="00F72521">
        <w:rPr>
          <w:rFonts w:ascii="Lato" w:hAnsi="Lato"/>
        </w:rPr>
        <w:t xml:space="preserve"> rozumianych jako indywidualne kody GTIN. Lista </w:t>
      </w:r>
      <w:r w:rsidR="005224DB" w:rsidRPr="00F72521">
        <w:rPr>
          <w:rFonts w:ascii="Lato" w:hAnsi="Lato"/>
        </w:rPr>
        <w:t>leków wytwarzanych w Polsce albo z substancji czynnej wytwarzanej w Polsce</w:t>
      </w:r>
      <w:r w:rsidRPr="00F72521">
        <w:rPr>
          <w:rFonts w:ascii="Lato" w:hAnsi="Lato"/>
        </w:rPr>
        <w:t xml:space="preserve"> obejmuje </w:t>
      </w:r>
      <w:r w:rsidR="005224DB" w:rsidRPr="00F72521">
        <w:rPr>
          <w:rFonts w:ascii="Lato" w:hAnsi="Lato"/>
          <w:b/>
          <w:bCs/>
        </w:rPr>
        <w:t>prawie 90</w:t>
      </w:r>
      <w:r w:rsidRPr="00F72521">
        <w:rPr>
          <w:rFonts w:ascii="Lato" w:hAnsi="Lato"/>
          <w:b/>
          <w:bCs/>
        </w:rPr>
        <w:t xml:space="preserve"> substancji czynnych</w:t>
      </w:r>
      <w:r w:rsidR="005224DB" w:rsidRPr="00F72521">
        <w:rPr>
          <w:rFonts w:ascii="Lato" w:hAnsi="Lato"/>
          <w:b/>
          <w:bCs/>
        </w:rPr>
        <w:t xml:space="preserve"> lub ich połączeń </w:t>
      </w:r>
      <w:r w:rsidRPr="00F72521">
        <w:rPr>
          <w:rFonts w:ascii="Lato" w:hAnsi="Lato"/>
        </w:rPr>
        <w:t xml:space="preserve"> umieszczonych w </w:t>
      </w:r>
      <w:r w:rsidR="004E2587" w:rsidRPr="00F72521">
        <w:rPr>
          <w:rFonts w:ascii="Lato" w:hAnsi="Lato"/>
          <w:b/>
          <w:bCs/>
        </w:rPr>
        <w:t>71</w:t>
      </w:r>
      <w:r w:rsidRPr="00F72521">
        <w:rPr>
          <w:rFonts w:ascii="Lato" w:hAnsi="Lato"/>
          <w:b/>
          <w:bCs/>
        </w:rPr>
        <w:t xml:space="preserve"> grupach limitowych</w:t>
      </w:r>
      <w:r w:rsidRPr="00F72521">
        <w:rPr>
          <w:rFonts w:ascii="Lato" w:hAnsi="Lato"/>
        </w:rPr>
        <w:t xml:space="preserve">. </w:t>
      </w:r>
      <w:r w:rsidR="0014005D" w:rsidRPr="00F72521">
        <w:rPr>
          <w:rFonts w:ascii="Lato" w:hAnsi="Lato"/>
        </w:rPr>
        <w:t xml:space="preserve">Leki umieszczone na wykazie G1 </w:t>
      </w:r>
      <w:r w:rsidR="0011263C" w:rsidRPr="00F72521">
        <w:rPr>
          <w:rFonts w:ascii="Lato" w:hAnsi="Lato"/>
        </w:rPr>
        <w:t xml:space="preserve">należą do portfolio </w:t>
      </w:r>
      <w:r w:rsidR="0011263C" w:rsidRPr="00F72521">
        <w:rPr>
          <w:rFonts w:ascii="Lato" w:hAnsi="Lato"/>
          <w:b/>
          <w:bCs/>
        </w:rPr>
        <w:t>7 podmiotów odpowiedzialnych</w:t>
      </w:r>
      <w:r w:rsidR="0011263C" w:rsidRPr="00F72521">
        <w:rPr>
          <w:rFonts w:ascii="Lato" w:hAnsi="Lato"/>
        </w:rPr>
        <w:t xml:space="preserve"> </w:t>
      </w:r>
      <w:r w:rsidR="00F72521" w:rsidRPr="00F72521">
        <w:rPr>
          <w:rFonts w:ascii="Lato" w:hAnsi="Lato"/>
        </w:rPr>
        <w:t>(</w:t>
      </w:r>
      <w:proofErr w:type="spellStart"/>
      <w:r w:rsidR="00F72521" w:rsidRPr="00F72521">
        <w:rPr>
          <w:rFonts w:ascii="Lato" w:eastAsia="Times New Roman" w:hAnsi="Lato" w:cs="Calibri"/>
          <w:color w:val="000000"/>
          <w:lang w:eastAsia="pl-PL"/>
        </w:rPr>
        <w:t>Adamed</w:t>
      </w:r>
      <w:proofErr w:type="spellEnd"/>
      <w:r w:rsidR="00F72521" w:rsidRPr="00F72521">
        <w:rPr>
          <w:rFonts w:ascii="Lato" w:eastAsia="Times New Roman" w:hAnsi="Lato" w:cs="Calibri"/>
          <w:color w:val="000000"/>
          <w:lang w:eastAsia="pl-PL"/>
        </w:rPr>
        <w:t xml:space="preserve"> Pharma S.A., Celon Pharma S.A., Gedeon Richter Polska Sp. z o.o., Tarchomińskie Zakłady Farmaceutyczne "Polfa" S.A., </w:t>
      </w:r>
      <w:proofErr w:type="spellStart"/>
      <w:r w:rsidR="00F72521" w:rsidRPr="00F72521">
        <w:rPr>
          <w:rFonts w:ascii="Lato" w:eastAsia="Times New Roman" w:hAnsi="Lato" w:cs="Calibri"/>
          <w:color w:val="000000"/>
          <w:lang w:eastAsia="pl-PL"/>
        </w:rPr>
        <w:t>Teva</w:t>
      </w:r>
      <w:proofErr w:type="spellEnd"/>
      <w:r w:rsidR="00F72521" w:rsidRPr="00F72521">
        <w:rPr>
          <w:rFonts w:ascii="Lato" w:eastAsia="Times New Roman" w:hAnsi="Lato" w:cs="Calibri"/>
          <w:color w:val="000000"/>
          <w:lang w:eastAsia="pl-PL"/>
        </w:rPr>
        <w:t xml:space="preserve"> </w:t>
      </w:r>
      <w:proofErr w:type="spellStart"/>
      <w:r w:rsidR="00F72521" w:rsidRPr="00F72521">
        <w:rPr>
          <w:rFonts w:ascii="Lato" w:eastAsia="Times New Roman" w:hAnsi="Lato" w:cs="Calibri"/>
          <w:color w:val="000000"/>
          <w:lang w:eastAsia="pl-PL"/>
        </w:rPr>
        <w:t>Pharmaceuticals</w:t>
      </w:r>
      <w:proofErr w:type="spellEnd"/>
      <w:r w:rsidR="00F72521" w:rsidRPr="00F72521">
        <w:rPr>
          <w:rFonts w:ascii="Lato" w:eastAsia="Times New Roman" w:hAnsi="Lato" w:cs="Calibri"/>
          <w:color w:val="000000"/>
          <w:lang w:eastAsia="pl-PL"/>
        </w:rPr>
        <w:t xml:space="preserve"> Polska Sp. z o.o.,</w:t>
      </w:r>
      <w:r w:rsidR="00F72521" w:rsidRPr="00F72521">
        <w:rPr>
          <w:rFonts w:ascii="Lato" w:hAnsi="Lato" w:cs="Calibri"/>
          <w:color w:val="000000"/>
        </w:rPr>
        <w:t xml:space="preserve"> </w:t>
      </w:r>
      <w:r w:rsidR="00F72521" w:rsidRPr="00F72521">
        <w:rPr>
          <w:rFonts w:ascii="Lato" w:eastAsia="Times New Roman" w:hAnsi="Lato" w:cs="Calibri"/>
          <w:color w:val="000000"/>
          <w:lang w:eastAsia="pl-PL"/>
        </w:rPr>
        <w:t>Warszawskie Zakłady Farmaceutyczne Polfa S.A., Zakłady Farmaceutyczne POLPHARMA S.A.</w:t>
      </w:r>
      <w:r w:rsidR="00F72521">
        <w:rPr>
          <w:rFonts w:ascii="Lato" w:eastAsia="Times New Roman" w:hAnsi="Lato" w:cs="Calibri"/>
          <w:color w:val="000000"/>
          <w:lang w:eastAsia="pl-PL"/>
        </w:rPr>
        <w:t xml:space="preserve">) </w:t>
      </w:r>
      <w:r w:rsidR="0011263C" w:rsidRPr="00F72521">
        <w:rPr>
          <w:rFonts w:ascii="Lato" w:hAnsi="Lato"/>
        </w:rPr>
        <w:t xml:space="preserve">i </w:t>
      </w:r>
      <w:r w:rsidR="0014005D" w:rsidRPr="00F72521">
        <w:rPr>
          <w:rFonts w:ascii="Lato" w:hAnsi="Lato"/>
        </w:rPr>
        <w:t xml:space="preserve">objęte są 10% redukcją kwoty stanowiącej dopłatę pacjenta. </w:t>
      </w:r>
      <w:r w:rsidRPr="00F72521">
        <w:rPr>
          <w:rFonts w:ascii="Lato" w:hAnsi="Lato"/>
        </w:rPr>
        <w:t xml:space="preserve">Wśród tej grupy produktów leczniczych znalazły się m.in. leki: antyhistaminowe, cytostatyczne, hipoglikemizujące, </w:t>
      </w:r>
      <w:proofErr w:type="spellStart"/>
      <w:r w:rsidRPr="00F72521">
        <w:rPr>
          <w:rFonts w:ascii="Lato" w:hAnsi="Lato"/>
        </w:rPr>
        <w:t>hipolipemizujące</w:t>
      </w:r>
      <w:proofErr w:type="spellEnd"/>
      <w:r w:rsidR="0047197E" w:rsidRPr="00F72521">
        <w:rPr>
          <w:rFonts w:ascii="Lato" w:hAnsi="Lato"/>
        </w:rPr>
        <w:t>,</w:t>
      </w:r>
      <w:r w:rsidRPr="00F72521">
        <w:rPr>
          <w:rFonts w:ascii="Lato" w:hAnsi="Lato"/>
        </w:rPr>
        <w:t xml:space="preserve"> hipotensyjne</w:t>
      </w:r>
      <w:r w:rsidR="0047483C" w:rsidRPr="00F72521">
        <w:rPr>
          <w:rFonts w:ascii="Lato" w:hAnsi="Lato"/>
        </w:rPr>
        <w:t xml:space="preserve">, </w:t>
      </w:r>
      <w:proofErr w:type="spellStart"/>
      <w:r w:rsidR="0047197E" w:rsidRPr="00F72521">
        <w:rPr>
          <w:rFonts w:ascii="Lato" w:hAnsi="Lato"/>
        </w:rPr>
        <w:t>przeciwarytmiczne</w:t>
      </w:r>
      <w:proofErr w:type="spellEnd"/>
      <w:r w:rsidR="0047197E" w:rsidRPr="00F72521">
        <w:rPr>
          <w:rFonts w:ascii="Lato" w:hAnsi="Lato"/>
        </w:rPr>
        <w:t xml:space="preserve">, </w:t>
      </w:r>
      <w:r w:rsidRPr="00F72521">
        <w:rPr>
          <w:rFonts w:ascii="Lato" w:hAnsi="Lato"/>
        </w:rPr>
        <w:t xml:space="preserve">przeciwbakteryjne, przeciwgrzybicze, przeciwwirusowe, przeciwbólowe, przeciwdrgawkowe, </w:t>
      </w:r>
      <w:proofErr w:type="spellStart"/>
      <w:r w:rsidR="0047483C" w:rsidRPr="00F72521">
        <w:rPr>
          <w:rFonts w:ascii="Lato" w:hAnsi="Lato"/>
        </w:rPr>
        <w:t>przeciwpsychotyczne</w:t>
      </w:r>
      <w:proofErr w:type="spellEnd"/>
      <w:r w:rsidR="0047483C" w:rsidRPr="00F72521">
        <w:rPr>
          <w:rFonts w:ascii="Lato" w:hAnsi="Lato"/>
        </w:rPr>
        <w:t xml:space="preserve">, </w:t>
      </w:r>
      <w:r w:rsidRPr="00F72521">
        <w:rPr>
          <w:rFonts w:ascii="Lato" w:hAnsi="Lato"/>
        </w:rPr>
        <w:t>przeciwreumatyczne, przeciwparkinsonowskie, przeciwzakrzepowe, stosowane w chorobach dróg oddechowych, stosowane w chorobach urologicznych, stosowane w chorobach układu pokarmowego</w:t>
      </w:r>
      <w:r w:rsidR="00071A55" w:rsidRPr="00F72521">
        <w:rPr>
          <w:rFonts w:ascii="Lato" w:hAnsi="Lato"/>
        </w:rPr>
        <w:t>.</w:t>
      </w:r>
    </w:p>
    <w:p w14:paraId="428131AF" w14:textId="663FFA07" w:rsidR="0047197E" w:rsidRDefault="0047197E" w:rsidP="0047197E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 xml:space="preserve">Wykaz G2 zawiera </w:t>
      </w:r>
      <w:r w:rsidRPr="0047197E">
        <w:rPr>
          <w:rFonts w:ascii="Lato" w:hAnsi="Lato"/>
          <w:b/>
          <w:bCs/>
        </w:rPr>
        <w:t>24 leki</w:t>
      </w:r>
      <w:r>
        <w:rPr>
          <w:rFonts w:ascii="Lato" w:hAnsi="Lato"/>
        </w:rPr>
        <w:t xml:space="preserve"> rozumiane jako indywidualne kody GTIN. Lista leków wytwarzanych w Polsce z wykorzystaniem substancji czynnej wytwarzanej w Polsce obejmuje </w:t>
      </w:r>
      <w:r>
        <w:rPr>
          <w:rFonts w:ascii="Lato" w:hAnsi="Lato"/>
          <w:b/>
          <w:bCs/>
        </w:rPr>
        <w:t>11</w:t>
      </w:r>
      <w:r w:rsidR="003F3FAA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substancji czynnych lub ich połączeń </w:t>
      </w:r>
      <w:r>
        <w:rPr>
          <w:rFonts w:ascii="Lato" w:hAnsi="Lato"/>
        </w:rPr>
        <w:t xml:space="preserve"> umieszczonych w </w:t>
      </w:r>
      <w:r>
        <w:rPr>
          <w:rFonts w:ascii="Lato" w:hAnsi="Lato"/>
          <w:b/>
          <w:bCs/>
        </w:rPr>
        <w:t>10 grupach limitowych</w:t>
      </w:r>
      <w:r>
        <w:rPr>
          <w:rFonts w:ascii="Lato" w:hAnsi="Lato"/>
        </w:rPr>
        <w:t xml:space="preserve">. Leki umieszczone na wykazie G2 </w:t>
      </w:r>
      <w:r w:rsidR="0011263C">
        <w:rPr>
          <w:rFonts w:ascii="Lato" w:hAnsi="Lato"/>
        </w:rPr>
        <w:t xml:space="preserve">należą do portfolio </w:t>
      </w:r>
      <w:r w:rsidR="0011263C" w:rsidRPr="0011263C">
        <w:rPr>
          <w:rFonts w:ascii="Lato" w:hAnsi="Lato"/>
          <w:b/>
          <w:bCs/>
        </w:rPr>
        <w:t>3 podmiotów odpowiedzialnych</w:t>
      </w:r>
      <w:r w:rsidR="00F72521" w:rsidRPr="00F72521">
        <w:rPr>
          <w:rFonts w:ascii="Lato" w:hAnsi="Lato"/>
        </w:rPr>
        <w:t xml:space="preserve"> (</w:t>
      </w:r>
      <w:r w:rsidR="00F72521" w:rsidRPr="00F72521">
        <w:rPr>
          <w:rFonts w:ascii="Lato" w:eastAsia="Times New Roman" w:hAnsi="Lato" w:cs="Calibri"/>
          <w:color w:val="000000"/>
          <w:lang w:eastAsia="pl-PL"/>
        </w:rPr>
        <w:t>Tarchomińskie Zakłady Farmaceutyczne "Polfa" S.A., Warszawskie Zakłady Farmaceutyczne Polfa S.A., Zakłady Farmaceutyczne POLPHARMA S.A.</w:t>
      </w:r>
      <w:r w:rsidR="00F72521">
        <w:rPr>
          <w:rFonts w:ascii="Lato" w:eastAsia="Times New Roman" w:hAnsi="Lato" w:cs="Calibri"/>
          <w:color w:val="000000"/>
          <w:lang w:eastAsia="pl-PL"/>
        </w:rPr>
        <w:t>)</w:t>
      </w:r>
      <w:r w:rsidR="0011263C">
        <w:rPr>
          <w:rFonts w:ascii="Lato" w:hAnsi="Lato"/>
        </w:rPr>
        <w:t xml:space="preserve"> i </w:t>
      </w:r>
      <w:r>
        <w:rPr>
          <w:rFonts w:ascii="Lato" w:hAnsi="Lato"/>
        </w:rPr>
        <w:t xml:space="preserve">objęte są 15% redukcją kwoty stanowiącej dopłatę pacjenta. Wśród tej grupy produktów leczniczych znalazły się m.in. leki: hipoglikemizujące, hipotensyjne, przeciwdrgawkowe, </w:t>
      </w:r>
      <w:proofErr w:type="spellStart"/>
      <w:r>
        <w:rPr>
          <w:rFonts w:ascii="Lato" w:hAnsi="Lato"/>
        </w:rPr>
        <w:t>przeciwpsychotyczne</w:t>
      </w:r>
      <w:proofErr w:type="spellEnd"/>
      <w:r>
        <w:rPr>
          <w:rFonts w:ascii="Lato" w:hAnsi="Lato"/>
        </w:rPr>
        <w:t>, przeciwzakrzepowe, stosowane w chorobach dróg oddechowych</w:t>
      </w:r>
      <w:r w:rsidR="004E2587">
        <w:rPr>
          <w:rFonts w:ascii="Lato" w:hAnsi="Lato"/>
        </w:rPr>
        <w:t>.</w:t>
      </w:r>
    </w:p>
    <w:p w14:paraId="7A53AF28" w14:textId="7F6D3F21" w:rsidR="0047197E" w:rsidRDefault="004E2587" w:rsidP="004E2587">
      <w:pPr>
        <w:spacing w:line="360" w:lineRule="auto"/>
        <w:jc w:val="center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t>PRZYWRÓCENIE STAWKI VAT NA ŚRODKI SPOŻYWCZE SPECJALNEGO PRZEZNACZENIA ŻYWIENIOWEGO</w:t>
      </w:r>
    </w:p>
    <w:p w14:paraId="0CBA89E0" w14:textId="6A585A62" w:rsidR="0057280A" w:rsidRPr="00AB3591" w:rsidRDefault="00AB3591" w:rsidP="00AB3591">
      <w:pPr>
        <w:spacing w:line="360" w:lineRule="auto"/>
        <w:jc w:val="both"/>
        <w:rPr>
          <w:rFonts w:ascii="Lato" w:hAnsi="Lato"/>
        </w:rPr>
      </w:pPr>
      <w:r w:rsidRPr="00AB3591">
        <w:rPr>
          <w:rFonts w:ascii="Lato" w:hAnsi="Lato"/>
        </w:rPr>
        <w:t>Zgodnie z informacja zamieszczoną na oficjalnej stronie Ministerstwa Finansów</w:t>
      </w:r>
      <w:r>
        <w:rPr>
          <w:rFonts w:ascii="Lato" w:hAnsi="Lato"/>
        </w:rPr>
        <w:t>,</w:t>
      </w:r>
      <w:r w:rsidRPr="00AB3591">
        <w:rPr>
          <w:rFonts w:ascii="Lato" w:hAnsi="Lato"/>
        </w:rPr>
        <w:t xml:space="preserve"> </w:t>
      </w:r>
      <w:r w:rsidRPr="00AB3591">
        <w:rPr>
          <w:rFonts w:ascii="Lato" w:hAnsi="Lato"/>
          <w:i/>
          <w:iCs/>
        </w:rPr>
        <w:t>w związku z najnowszymi odczytami inflacji oraz prognozami dynamiki cen podstawowych produktów spożywczych objętych przejściową stawką VAT 0%, Ministerstwo Finansów podjęło decyzję o nieprzedłużaniu po 31.03.2024 roku okresowego obniżenia stawki VAT na podstawowe produkty spożywcze</w:t>
      </w:r>
      <w:r w:rsidRPr="00AB3591">
        <w:rPr>
          <w:rFonts w:ascii="Lato" w:hAnsi="Lato"/>
        </w:rPr>
        <w:t>.</w:t>
      </w:r>
      <w:r>
        <w:rPr>
          <w:rFonts w:ascii="Lato" w:hAnsi="Lato"/>
        </w:rPr>
        <w:t xml:space="preserve"> Konsekwencją decyzji Ministerstwa Finansów jest przywrócenie 5% stawki VAT do wyliczeń cenowych refundowanych środków spożywczych specjalnego przeznaczenia żywieniowego zawartych na wykazie A2</w:t>
      </w:r>
      <w:r w:rsidR="00AE497D">
        <w:rPr>
          <w:rFonts w:ascii="Lato" w:hAnsi="Lato"/>
        </w:rPr>
        <w:t xml:space="preserve"> i wykazie B (produkt </w:t>
      </w:r>
      <w:r w:rsidR="00AE497D" w:rsidRPr="00AE497D">
        <w:rPr>
          <w:rFonts w:ascii="Lato" w:hAnsi="Lato"/>
        </w:rPr>
        <w:t>L-karnityna</w:t>
      </w:r>
      <w:r w:rsidR="00AE497D">
        <w:rPr>
          <w:rFonts w:ascii="Lato" w:hAnsi="Lato"/>
        </w:rPr>
        <w:t>)</w:t>
      </w:r>
      <w:r>
        <w:rPr>
          <w:rFonts w:ascii="Lato" w:hAnsi="Lato"/>
        </w:rPr>
        <w:t xml:space="preserve"> niniejszego obwieszczenia. </w:t>
      </w:r>
    </w:p>
    <w:sectPr w:rsidR="0057280A" w:rsidRPr="00AB3591" w:rsidSect="006729E3"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3A61D" w14:textId="77777777" w:rsidR="006729E3" w:rsidRDefault="006729E3">
      <w:pPr>
        <w:spacing w:after="0" w:line="240" w:lineRule="auto"/>
      </w:pPr>
      <w:r>
        <w:separator/>
      </w:r>
    </w:p>
  </w:endnote>
  <w:endnote w:type="continuationSeparator" w:id="0">
    <w:p w14:paraId="386D69F1" w14:textId="77777777" w:rsidR="006729E3" w:rsidRDefault="0067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D8022" w14:textId="77777777" w:rsidR="006729E3" w:rsidRDefault="006729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33204C" w14:textId="77777777" w:rsidR="006729E3" w:rsidRDefault="00672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4633511D" w:rsidR="005058F2" w:rsidRDefault="00143D0B">
    <w:pPr>
      <w:pStyle w:val="Nagwek"/>
    </w:pPr>
    <w:bookmarkStart w:id="5" w:name="_Hlk74147372"/>
    <w:bookmarkEnd w:id="5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2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75666"/>
    <w:multiLevelType w:val="hybridMultilevel"/>
    <w:tmpl w:val="A4F85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12DB4"/>
    <w:multiLevelType w:val="hybridMultilevel"/>
    <w:tmpl w:val="0F0EE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076C3"/>
    <w:multiLevelType w:val="hybridMultilevel"/>
    <w:tmpl w:val="ED322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8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02E3E"/>
    <w:multiLevelType w:val="hybridMultilevel"/>
    <w:tmpl w:val="824E7FF2"/>
    <w:lvl w:ilvl="0" w:tplc="42B46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D6190"/>
    <w:multiLevelType w:val="hybridMultilevel"/>
    <w:tmpl w:val="2884C962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5"/>
  </w:num>
  <w:num w:numId="2" w16cid:durableId="983047750">
    <w:abstractNumId w:val="3"/>
  </w:num>
  <w:num w:numId="3" w16cid:durableId="912206815">
    <w:abstractNumId w:val="6"/>
  </w:num>
  <w:num w:numId="4" w16cid:durableId="1919241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4"/>
  </w:num>
  <w:num w:numId="6" w16cid:durableId="1164782895">
    <w:abstractNumId w:val="4"/>
  </w:num>
  <w:num w:numId="7" w16cid:durableId="1764568987">
    <w:abstractNumId w:val="8"/>
  </w:num>
  <w:num w:numId="8" w16cid:durableId="1605840971">
    <w:abstractNumId w:val="10"/>
  </w:num>
  <w:num w:numId="9" w16cid:durableId="969629549">
    <w:abstractNumId w:val="21"/>
  </w:num>
  <w:num w:numId="10" w16cid:durableId="1576276737">
    <w:abstractNumId w:val="1"/>
  </w:num>
  <w:num w:numId="11" w16cid:durableId="409036424">
    <w:abstractNumId w:val="26"/>
  </w:num>
  <w:num w:numId="12" w16cid:durableId="1526747669">
    <w:abstractNumId w:val="2"/>
  </w:num>
  <w:num w:numId="13" w16cid:durableId="1746950255">
    <w:abstractNumId w:val="11"/>
  </w:num>
  <w:num w:numId="14" w16cid:durableId="329715522">
    <w:abstractNumId w:val="13"/>
  </w:num>
  <w:num w:numId="15" w16cid:durableId="1837842867">
    <w:abstractNumId w:val="12"/>
  </w:num>
  <w:num w:numId="16" w16cid:durableId="1970238000">
    <w:abstractNumId w:val="23"/>
  </w:num>
  <w:num w:numId="17" w16cid:durableId="485172914">
    <w:abstractNumId w:val="17"/>
  </w:num>
  <w:num w:numId="18" w16cid:durableId="338780148">
    <w:abstractNumId w:val="7"/>
  </w:num>
  <w:num w:numId="19" w16cid:durableId="1977641737">
    <w:abstractNumId w:val="1"/>
  </w:num>
  <w:num w:numId="20" w16cid:durableId="1099830501">
    <w:abstractNumId w:val="0"/>
  </w:num>
  <w:num w:numId="21" w16cid:durableId="1796680411">
    <w:abstractNumId w:val="19"/>
  </w:num>
  <w:num w:numId="22" w16cid:durableId="1157845039">
    <w:abstractNumId w:val="18"/>
  </w:num>
  <w:num w:numId="23" w16cid:durableId="1318220489">
    <w:abstractNumId w:val="15"/>
  </w:num>
  <w:num w:numId="24" w16cid:durableId="791442922">
    <w:abstractNumId w:val="20"/>
  </w:num>
  <w:num w:numId="25" w16cid:durableId="2017875421">
    <w:abstractNumId w:val="14"/>
  </w:num>
  <w:num w:numId="26" w16cid:durableId="980844193">
    <w:abstractNumId w:val="9"/>
  </w:num>
  <w:num w:numId="27" w16cid:durableId="1580867898">
    <w:abstractNumId w:val="16"/>
  </w:num>
  <w:num w:numId="28" w16cid:durableId="108477893">
    <w:abstractNumId w:val="22"/>
  </w:num>
  <w:num w:numId="29" w16cid:durableId="18091995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3483"/>
    <w:rsid w:val="00006AE8"/>
    <w:rsid w:val="00031E9F"/>
    <w:rsid w:val="00033ED5"/>
    <w:rsid w:val="0004009C"/>
    <w:rsid w:val="00040368"/>
    <w:rsid w:val="0005011B"/>
    <w:rsid w:val="00052E44"/>
    <w:rsid w:val="00055A52"/>
    <w:rsid w:val="000702E4"/>
    <w:rsid w:val="00070A13"/>
    <w:rsid w:val="00070A89"/>
    <w:rsid w:val="00071A55"/>
    <w:rsid w:val="0008118E"/>
    <w:rsid w:val="00086074"/>
    <w:rsid w:val="0009112E"/>
    <w:rsid w:val="00097B17"/>
    <w:rsid w:val="000A4576"/>
    <w:rsid w:val="000A688D"/>
    <w:rsid w:val="000A6B96"/>
    <w:rsid w:val="000B07C1"/>
    <w:rsid w:val="000B21F0"/>
    <w:rsid w:val="000B32C4"/>
    <w:rsid w:val="000B7075"/>
    <w:rsid w:val="000D02C0"/>
    <w:rsid w:val="000D2FED"/>
    <w:rsid w:val="000E3BBE"/>
    <w:rsid w:val="000E649C"/>
    <w:rsid w:val="000F077F"/>
    <w:rsid w:val="000F3ED2"/>
    <w:rsid w:val="000F5E24"/>
    <w:rsid w:val="000F61F5"/>
    <w:rsid w:val="001030B2"/>
    <w:rsid w:val="0011263C"/>
    <w:rsid w:val="001204EA"/>
    <w:rsid w:val="00127452"/>
    <w:rsid w:val="0014005D"/>
    <w:rsid w:val="0014120D"/>
    <w:rsid w:val="00143D0B"/>
    <w:rsid w:val="00144B55"/>
    <w:rsid w:val="00155C8E"/>
    <w:rsid w:val="00161605"/>
    <w:rsid w:val="00170D7F"/>
    <w:rsid w:val="00172790"/>
    <w:rsid w:val="00173D8E"/>
    <w:rsid w:val="00180F5C"/>
    <w:rsid w:val="00186CB7"/>
    <w:rsid w:val="00190358"/>
    <w:rsid w:val="001933DE"/>
    <w:rsid w:val="00194CB4"/>
    <w:rsid w:val="00197FA2"/>
    <w:rsid w:val="001A1A5B"/>
    <w:rsid w:val="001A7E82"/>
    <w:rsid w:val="001B0859"/>
    <w:rsid w:val="001B354B"/>
    <w:rsid w:val="001B440C"/>
    <w:rsid w:val="001B7475"/>
    <w:rsid w:val="001D1F70"/>
    <w:rsid w:val="001D354B"/>
    <w:rsid w:val="001D6485"/>
    <w:rsid w:val="001E2320"/>
    <w:rsid w:val="001E27D2"/>
    <w:rsid w:val="001E610A"/>
    <w:rsid w:val="001E721F"/>
    <w:rsid w:val="00202697"/>
    <w:rsid w:val="00205C55"/>
    <w:rsid w:val="00206C0B"/>
    <w:rsid w:val="00221A2A"/>
    <w:rsid w:val="002270E2"/>
    <w:rsid w:val="00230BB7"/>
    <w:rsid w:val="00243AD9"/>
    <w:rsid w:val="0024697E"/>
    <w:rsid w:val="00255E53"/>
    <w:rsid w:val="00275115"/>
    <w:rsid w:val="00280311"/>
    <w:rsid w:val="00281BE7"/>
    <w:rsid w:val="0028384A"/>
    <w:rsid w:val="00286651"/>
    <w:rsid w:val="00287196"/>
    <w:rsid w:val="0029287B"/>
    <w:rsid w:val="0029403F"/>
    <w:rsid w:val="002B543F"/>
    <w:rsid w:val="002C0340"/>
    <w:rsid w:val="002C19DE"/>
    <w:rsid w:val="002D5020"/>
    <w:rsid w:val="002D55B8"/>
    <w:rsid w:val="002D6ED9"/>
    <w:rsid w:val="002E46AC"/>
    <w:rsid w:val="002F0FB2"/>
    <w:rsid w:val="002F61E3"/>
    <w:rsid w:val="003051DF"/>
    <w:rsid w:val="00305610"/>
    <w:rsid w:val="0031104C"/>
    <w:rsid w:val="003130CA"/>
    <w:rsid w:val="00326537"/>
    <w:rsid w:val="003357D9"/>
    <w:rsid w:val="00337B00"/>
    <w:rsid w:val="00355899"/>
    <w:rsid w:val="00356E75"/>
    <w:rsid w:val="0035733E"/>
    <w:rsid w:val="00374DBE"/>
    <w:rsid w:val="0037704D"/>
    <w:rsid w:val="0037714E"/>
    <w:rsid w:val="003841AB"/>
    <w:rsid w:val="003935E8"/>
    <w:rsid w:val="003975D4"/>
    <w:rsid w:val="003A0F16"/>
    <w:rsid w:val="003A5B7D"/>
    <w:rsid w:val="003A6433"/>
    <w:rsid w:val="003B46BF"/>
    <w:rsid w:val="003D2AE2"/>
    <w:rsid w:val="003D71C6"/>
    <w:rsid w:val="003F072E"/>
    <w:rsid w:val="003F3FAA"/>
    <w:rsid w:val="00404F9B"/>
    <w:rsid w:val="00411C64"/>
    <w:rsid w:val="004156E6"/>
    <w:rsid w:val="00415707"/>
    <w:rsid w:val="00416F70"/>
    <w:rsid w:val="0041703B"/>
    <w:rsid w:val="004226E8"/>
    <w:rsid w:val="00424198"/>
    <w:rsid w:val="004403B4"/>
    <w:rsid w:val="00446466"/>
    <w:rsid w:val="00447CE9"/>
    <w:rsid w:val="00453B55"/>
    <w:rsid w:val="0045613D"/>
    <w:rsid w:val="00457779"/>
    <w:rsid w:val="00466FE8"/>
    <w:rsid w:val="0047197E"/>
    <w:rsid w:val="004744CD"/>
    <w:rsid w:val="0047483C"/>
    <w:rsid w:val="0048011A"/>
    <w:rsid w:val="004850DC"/>
    <w:rsid w:val="00490715"/>
    <w:rsid w:val="00491267"/>
    <w:rsid w:val="00491300"/>
    <w:rsid w:val="00492285"/>
    <w:rsid w:val="004A2F20"/>
    <w:rsid w:val="004A2F45"/>
    <w:rsid w:val="004A5135"/>
    <w:rsid w:val="004B2F38"/>
    <w:rsid w:val="004C35E7"/>
    <w:rsid w:val="004D093B"/>
    <w:rsid w:val="004D2191"/>
    <w:rsid w:val="004D7DDC"/>
    <w:rsid w:val="004E2587"/>
    <w:rsid w:val="004E4723"/>
    <w:rsid w:val="004F3FEF"/>
    <w:rsid w:val="004F5274"/>
    <w:rsid w:val="004F7A4E"/>
    <w:rsid w:val="005058F2"/>
    <w:rsid w:val="00512C38"/>
    <w:rsid w:val="00512C7C"/>
    <w:rsid w:val="005130EF"/>
    <w:rsid w:val="005143E4"/>
    <w:rsid w:val="00516499"/>
    <w:rsid w:val="005224DB"/>
    <w:rsid w:val="0055182D"/>
    <w:rsid w:val="00553AE5"/>
    <w:rsid w:val="0056748F"/>
    <w:rsid w:val="0057280A"/>
    <w:rsid w:val="00574D83"/>
    <w:rsid w:val="00584C82"/>
    <w:rsid w:val="005871C9"/>
    <w:rsid w:val="005A50CE"/>
    <w:rsid w:val="005B06B3"/>
    <w:rsid w:val="005B598A"/>
    <w:rsid w:val="005C1959"/>
    <w:rsid w:val="005C499F"/>
    <w:rsid w:val="005C608D"/>
    <w:rsid w:val="005C6551"/>
    <w:rsid w:val="005D269A"/>
    <w:rsid w:val="005D3140"/>
    <w:rsid w:val="005D5D31"/>
    <w:rsid w:val="005E4CF5"/>
    <w:rsid w:val="005E7898"/>
    <w:rsid w:val="005F1BE0"/>
    <w:rsid w:val="005F550D"/>
    <w:rsid w:val="005F70FE"/>
    <w:rsid w:val="006008CD"/>
    <w:rsid w:val="00601D60"/>
    <w:rsid w:val="00633806"/>
    <w:rsid w:val="00633883"/>
    <w:rsid w:val="00634434"/>
    <w:rsid w:val="0064109C"/>
    <w:rsid w:val="0064487F"/>
    <w:rsid w:val="00644E28"/>
    <w:rsid w:val="00645CA2"/>
    <w:rsid w:val="006648F3"/>
    <w:rsid w:val="00670C14"/>
    <w:rsid w:val="006729E3"/>
    <w:rsid w:val="0068046C"/>
    <w:rsid w:val="00680B0E"/>
    <w:rsid w:val="006858B7"/>
    <w:rsid w:val="00686511"/>
    <w:rsid w:val="00687B5F"/>
    <w:rsid w:val="00687E5A"/>
    <w:rsid w:val="006905E7"/>
    <w:rsid w:val="006967BC"/>
    <w:rsid w:val="006A03EB"/>
    <w:rsid w:val="006A533F"/>
    <w:rsid w:val="006A7DCE"/>
    <w:rsid w:val="006B1374"/>
    <w:rsid w:val="006C1B62"/>
    <w:rsid w:val="006C452F"/>
    <w:rsid w:val="006C4ED5"/>
    <w:rsid w:val="006D079B"/>
    <w:rsid w:val="006D183E"/>
    <w:rsid w:val="006D336E"/>
    <w:rsid w:val="006D6B78"/>
    <w:rsid w:val="006D7964"/>
    <w:rsid w:val="006F498A"/>
    <w:rsid w:val="006F5BEB"/>
    <w:rsid w:val="0070349C"/>
    <w:rsid w:val="007135A8"/>
    <w:rsid w:val="007156F6"/>
    <w:rsid w:val="00715B91"/>
    <w:rsid w:val="007321D8"/>
    <w:rsid w:val="00733AF9"/>
    <w:rsid w:val="00734732"/>
    <w:rsid w:val="00740ABA"/>
    <w:rsid w:val="00741E62"/>
    <w:rsid w:val="0074295D"/>
    <w:rsid w:val="00755E27"/>
    <w:rsid w:val="0078723A"/>
    <w:rsid w:val="007A4FB5"/>
    <w:rsid w:val="007B043E"/>
    <w:rsid w:val="007C4332"/>
    <w:rsid w:val="007C4C95"/>
    <w:rsid w:val="007D0493"/>
    <w:rsid w:val="007D1551"/>
    <w:rsid w:val="007D273D"/>
    <w:rsid w:val="007D6A3A"/>
    <w:rsid w:val="007D6B6F"/>
    <w:rsid w:val="007D74E2"/>
    <w:rsid w:val="007E6DAB"/>
    <w:rsid w:val="007F016E"/>
    <w:rsid w:val="008008F6"/>
    <w:rsid w:val="008017A7"/>
    <w:rsid w:val="00823875"/>
    <w:rsid w:val="00827817"/>
    <w:rsid w:val="00827986"/>
    <w:rsid w:val="008279BD"/>
    <w:rsid w:val="0084154E"/>
    <w:rsid w:val="00843352"/>
    <w:rsid w:val="00844624"/>
    <w:rsid w:val="008462C0"/>
    <w:rsid w:val="0087118E"/>
    <w:rsid w:val="008771C8"/>
    <w:rsid w:val="00882DCA"/>
    <w:rsid w:val="0088727A"/>
    <w:rsid w:val="00891D0D"/>
    <w:rsid w:val="00896D35"/>
    <w:rsid w:val="008B00C4"/>
    <w:rsid w:val="008B089D"/>
    <w:rsid w:val="008B43B0"/>
    <w:rsid w:val="008C0493"/>
    <w:rsid w:val="008C0E92"/>
    <w:rsid w:val="008D45C3"/>
    <w:rsid w:val="008E18D7"/>
    <w:rsid w:val="008E33C7"/>
    <w:rsid w:val="008F1D35"/>
    <w:rsid w:val="008F7384"/>
    <w:rsid w:val="009066C7"/>
    <w:rsid w:val="0092216D"/>
    <w:rsid w:val="00933339"/>
    <w:rsid w:val="00953B84"/>
    <w:rsid w:val="00961330"/>
    <w:rsid w:val="0097378D"/>
    <w:rsid w:val="00982754"/>
    <w:rsid w:val="009943F4"/>
    <w:rsid w:val="00995FDD"/>
    <w:rsid w:val="00996389"/>
    <w:rsid w:val="009A2234"/>
    <w:rsid w:val="009A6D46"/>
    <w:rsid w:val="009B2F99"/>
    <w:rsid w:val="009B7A4D"/>
    <w:rsid w:val="009C573D"/>
    <w:rsid w:val="009D10B8"/>
    <w:rsid w:val="009D185F"/>
    <w:rsid w:val="009D43CC"/>
    <w:rsid w:val="009E2331"/>
    <w:rsid w:val="009F1AF3"/>
    <w:rsid w:val="009F413F"/>
    <w:rsid w:val="009F550A"/>
    <w:rsid w:val="009F7497"/>
    <w:rsid w:val="00A01F60"/>
    <w:rsid w:val="00A04BCC"/>
    <w:rsid w:val="00A053B9"/>
    <w:rsid w:val="00A1146C"/>
    <w:rsid w:val="00A118F0"/>
    <w:rsid w:val="00A159DA"/>
    <w:rsid w:val="00A22494"/>
    <w:rsid w:val="00A22A7B"/>
    <w:rsid w:val="00A22EE5"/>
    <w:rsid w:val="00A242D8"/>
    <w:rsid w:val="00A434EB"/>
    <w:rsid w:val="00A510E6"/>
    <w:rsid w:val="00A5351C"/>
    <w:rsid w:val="00A54C06"/>
    <w:rsid w:val="00A633F0"/>
    <w:rsid w:val="00A6481E"/>
    <w:rsid w:val="00A66140"/>
    <w:rsid w:val="00A66626"/>
    <w:rsid w:val="00A7064A"/>
    <w:rsid w:val="00A7345A"/>
    <w:rsid w:val="00A749C8"/>
    <w:rsid w:val="00A75027"/>
    <w:rsid w:val="00A90397"/>
    <w:rsid w:val="00A90CB0"/>
    <w:rsid w:val="00A9374D"/>
    <w:rsid w:val="00A94461"/>
    <w:rsid w:val="00A960EA"/>
    <w:rsid w:val="00AA2A36"/>
    <w:rsid w:val="00AA2E63"/>
    <w:rsid w:val="00AA4608"/>
    <w:rsid w:val="00AA6179"/>
    <w:rsid w:val="00AB1235"/>
    <w:rsid w:val="00AB2D5E"/>
    <w:rsid w:val="00AB3591"/>
    <w:rsid w:val="00AC0511"/>
    <w:rsid w:val="00AD08C5"/>
    <w:rsid w:val="00AD29CA"/>
    <w:rsid w:val="00AE069A"/>
    <w:rsid w:val="00AE497D"/>
    <w:rsid w:val="00AF1EBC"/>
    <w:rsid w:val="00B03985"/>
    <w:rsid w:val="00B1467F"/>
    <w:rsid w:val="00B265ED"/>
    <w:rsid w:val="00B31928"/>
    <w:rsid w:val="00B326A9"/>
    <w:rsid w:val="00B3447B"/>
    <w:rsid w:val="00B45ED3"/>
    <w:rsid w:val="00B543E9"/>
    <w:rsid w:val="00B57127"/>
    <w:rsid w:val="00B76B2B"/>
    <w:rsid w:val="00B8251D"/>
    <w:rsid w:val="00B94288"/>
    <w:rsid w:val="00B9538B"/>
    <w:rsid w:val="00BA15A9"/>
    <w:rsid w:val="00BB30C0"/>
    <w:rsid w:val="00BC376D"/>
    <w:rsid w:val="00BD18E8"/>
    <w:rsid w:val="00BD20BC"/>
    <w:rsid w:val="00C0285F"/>
    <w:rsid w:val="00C15673"/>
    <w:rsid w:val="00C15E6F"/>
    <w:rsid w:val="00C210A9"/>
    <w:rsid w:val="00C22821"/>
    <w:rsid w:val="00C243BF"/>
    <w:rsid w:val="00C25F63"/>
    <w:rsid w:val="00C276AE"/>
    <w:rsid w:val="00C34F0F"/>
    <w:rsid w:val="00C36F4C"/>
    <w:rsid w:val="00C4237C"/>
    <w:rsid w:val="00C55C85"/>
    <w:rsid w:val="00C57F29"/>
    <w:rsid w:val="00C60868"/>
    <w:rsid w:val="00C6097A"/>
    <w:rsid w:val="00C64DAA"/>
    <w:rsid w:val="00C65204"/>
    <w:rsid w:val="00C70530"/>
    <w:rsid w:val="00C77217"/>
    <w:rsid w:val="00C816A5"/>
    <w:rsid w:val="00C83BE1"/>
    <w:rsid w:val="00C97315"/>
    <w:rsid w:val="00CA1AD2"/>
    <w:rsid w:val="00CA2878"/>
    <w:rsid w:val="00CA7D06"/>
    <w:rsid w:val="00CB088F"/>
    <w:rsid w:val="00CB1DE1"/>
    <w:rsid w:val="00CB2E2B"/>
    <w:rsid w:val="00CB3D33"/>
    <w:rsid w:val="00CC0463"/>
    <w:rsid w:val="00CC7F58"/>
    <w:rsid w:val="00CD47C3"/>
    <w:rsid w:val="00CE099F"/>
    <w:rsid w:val="00CE73E2"/>
    <w:rsid w:val="00CF402D"/>
    <w:rsid w:val="00CF5E4F"/>
    <w:rsid w:val="00CF7674"/>
    <w:rsid w:val="00D156FA"/>
    <w:rsid w:val="00D17D3E"/>
    <w:rsid w:val="00D3459A"/>
    <w:rsid w:val="00D4388C"/>
    <w:rsid w:val="00D44A5D"/>
    <w:rsid w:val="00D510E8"/>
    <w:rsid w:val="00D554A2"/>
    <w:rsid w:val="00D5628B"/>
    <w:rsid w:val="00D63F4F"/>
    <w:rsid w:val="00D6426A"/>
    <w:rsid w:val="00D66456"/>
    <w:rsid w:val="00D73320"/>
    <w:rsid w:val="00D77CD0"/>
    <w:rsid w:val="00D9306F"/>
    <w:rsid w:val="00DB0B88"/>
    <w:rsid w:val="00DC6168"/>
    <w:rsid w:val="00DD18C6"/>
    <w:rsid w:val="00DD6D00"/>
    <w:rsid w:val="00DE00F0"/>
    <w:rsid w:val="00DE1894"/>
    <w:rsid w:val="00DE5079"/>
    <w:rsid w:val="00DF6B3A"/>
    <w:rsid w:val="00E10271"/>
    <w:rsid w:val="00E34DF7"/>
    <w:rsid w:val="00E351BA"/>
    <w:rsid w:val="00E35DF6"/>
    <w:rsid w:val="00E50D44"/>
    <w:rsid w:val="00E52765"/>
    <w:rsid w:val="00E64133"/>
    <w:rsid w:val="00E6583C"/>
    <w:rsid w:val="00E66456"/>
    <w:rsid w:val="00E738D5"/>
    <w:rsid w:val="00E8288D"/>
    <w:rsid w:val="00E8348C"/>
    <w:rsid w:val="00E900DE"/>
    <w:rsid w:val="00E91E64"/>
    <w:rsid w:val="00EA2DBB"/>
    <w:rsid w:val="00EA326D"/>
    <w:rsid w:val="00EB1B3E"/>
    <w:rsid w:val="00EB5A68"/>
    <w:rsid w:val="00EB77EA"/>
    <w:rsid w:val="00EC0C4F"/>
    <w:rsid w:val="00EC2941"/>
    <w:rsid w:val="00EC2B8F"/>
    <w:rsid w:val="00EC74BA"/>
    <w:rsid w:val="00ED15F0"/>
    <w:rsid w:val="00EE4384"/>
    <w:rsid w:val="00EE4BD7"/>
    <w:rsid w:val="00EF3551"/>
    <w:rsid w:val="00F017D6"/>
    <w:rsid w:val="00F12CF6"/>
    <w:rsid w:val="00F147FC"/>
    <w:rsid w:val="00F15BD4"/>
    <w:rsid w:val="00F25384"/>
    <w:rsid w:val="00F31A79"/>
    <w:rsid w:val="00F42214"/>
    <w:rsid w:val="00F5061B"/>
    <w:rsid w:val="00F61A7D"/>
    <w:rsid w:val="00F63AA8"/>
    <w:rsid w:val="00F67CA2"/>
    <w:rsid w:val="00F7172F"/>
    <w:rsid w:val="00F72521"/>
    <w:rsid w:val="00F859A8"/>
    <w:rsid w:val="00F9203E"/>
    <w:rsid w:val="00F957B7"/>
    <w:rsid w:val="00FA53DF"/>
    <w:rsid w:val="00FB2364"/>
    <w:rsid w:val="00FB30AC"/>
    <w:rsid w:val="00FB3B6F"/>
    <w:rsid w:val="00FC712D"/>
    <w:rsid w:val="00FD39E3"/>
    <w:rsid w:val="00FD48BC"/>
    <w:rsid w:val="00FE1242"/>
    <w:rsid w:val="00FE34E5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34"/>
    <w:qFormat/>
    <w:rsid w:val="001933DE"/>
  </w:style>
  <w:style w:type="paragraph" w:customStyle="1" w:styleId="pismamz">
    <w:name w:val="pisma_mz"/>
    <w:basedOn w:val="Normalny"/>
    <w:link w:val="pismamzZnak"/>
    <w:qFormat/>
    <w:rsid w:val="00E351BA"/>
    <w:pPr>
      <w:suppressAutoHyphens w:val="0"/>
      <w:autoSpaceDN/>
      <w:spacing w:after="0" w:line="360" w:lineRule="auto"/>
      <w:contextualSpacing/>
      <w:jc w:val="both"/>
      <w:textAlignment w:val="auto"/>
    </w:pPr>
    <w:rPr>
      <w:rFonts w:ascii="Arial" w:hAnsi="Arial"/>
    </w:rPr>
  </w:style>
  <w:style w:type="character" w:customStyle="1" w:styleId="pismamzZnak">
    <w:name w:val="pisma_mz Znak"/>
    <w:link w:val="pismamz"/>
    <w:rsid w:val="00E351BA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AB3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kwiecie&#324;%202024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kwiecie&#324;%202024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kwiecie&#324;%202024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kwiecie&#324;%202024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2024 r. - ONKO/NIEONKO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layout>
        <c:manualLayout>
          <c:xMode val="edge"/>
          <c:yMode val="edge"/>
          <c:x val="0.16437636761487967"/>
          <c:y val="3.99733510992671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05957655647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2024'!$A$3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2024'!$B$3:$E$3</c:f>
              <c:numCache>
                <c:formatCode>General</c:formatCode>
                <c:ptCount val="4"/>
                <c:pt idx="0">
                  <c:v>8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E0-422E-80EE-671E2CF41F41}"/>
            </c:ext>
          </c:extLst>
        </c:ser>
        <c:ser>
          <c:idx val="1"/>
          <c:order val="1"/>
          <c:tx>
            <c:strRef>
              <c:f>'miesiące 2024'!$A$4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2024'!$B$4:$E$4</c:f>
              <c:numCache>
                <c:formatCode>General</c:formatCode>
                <c:ptCount val="4"/>
                <c:pt idx="0">
                  <c:v>11</c:v>
                </c:pt>
                <c:pt idx="1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E0-422E-80EE-671E2CF41F4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2024 r. - choroby rzadkie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29429975099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2024'!$A$18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2024'!$B$18:$E$18</c:f>
              <c:numCache>
                <c:formatCode>General</c:formatCode>
                <c:ptCount val="4"/>
                <c:pt idx="0">
                  <c:v>10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D1-49F7-AA94-2A2532319A2C}"/>
            </c:ext>
          </c:extLst>
        </c:ser>
        <c:ser>
          <c:idx val="1"/>
          <c:order val="1"/>
          <c:tx>
            <c:strRef>
              <c:f>'miesiące 2024'!$A$19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2024'!$B$19:$E$19</c:f>
              <c:numCache>
                <c:formatCode>General</c:formatCode>
                <c:ptCount val="4"/>
                <c:pt idx="0">
                  <c:v>9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D1-49F7-AA94-2A2532319A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9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2024 r. (stan na kwiecień) </a:t>
            </a:r>
          </a:p>
        </c:rich>
      </c:tx>
      <c:layout>
        <c:manualLayout>
          <c:xMode val="edge"/>
          <c:yMode val="edge"/>
          <c:x val="0.16426706318362566"/>
          <c:y val="1.7697835693860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9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1880571795478351"/>
          <c:y val="0.14038623766278416"/>
          <c:w val="0.75712097146654955"/>
          <c:h val="0.78198485572689991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2024'!$B$2</c:f>
              <c:strCache>
                <c:ptCount val="1"/>
                <c:pt idx="0">
                  <c:v>2024
(stan na kwiecień)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2024'!$A$3:$A$12</c:f>
              <c:strCache>
                <c:ptCount val="7"/>
                <c:pt idx="0">
                  <c:v>Inne</c:v>
                </c:pt>
                <c:pt idx="1">
                  <c:v>Nowotwory układu 
urologicznego</c:v>
                </c:pt>
                <c:pt idx="2">
                  <c:v>Nowotwory skóry</c:v>
                </c:pt>
                <c:pt idx="3">
                  <c:v>Nowotwory układu 
pokarmowego</c:v>
                </c:pt>
                <c:pt idx="4">
                  <c:v>Nowotwory 
ginekologiczne</c:v>
                </c:pt>
                <c:pt idx="5">
                  <c:v>Nowotwory układu 
endokrynnego</c:v>
                </c:pt>
                <c:pt idx="6">
                  <c:v>Hematoonkologia</c:v>
                </c:pt>
              </c:strCache>
              <c:extLst/>
            </c:strRef>
          </c:cat>
          <c:val>
            <c:numRef>
              <c:f>'miesiące 2024'!$B$3:$B$12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4607-4453-9CC1-F93BD36035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1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 b="1">
                <a:latin typeface="Lato" panose="020F0502020204030203" pitchFamily="34" charset="-18"/>
              </a:rPr>
              <a:t>Cząsteczko-wskazania nieonkologiczne w 2024 r. (stan na kwiecień) </a:t>
            </a:r>
          </a:p>
        </c:rich>
      </c:tx>
      <c:layout>
        <c:manualLayout>
          <c:xMode val="edge"/>
          <c:yMode val="edge"/>
          <c:x val="0.1180650118329255"/>
          <c:y val="2.73535445634830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0948966438366801"/>
          <c:y val="0.13110532371053346"/>
          <c:w val="0.76644349190079053"/>
          <c:h val="0.7760530845429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2024'!$B$19</c:f>
              <c:strCache>
                <c:ptCount val="1"/>
                <c:pt idx="0">
                  <c:v>2024
(stan na kwiecień)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2024'!$A$20:$A$38</c:f>
              <c:strCache>
                <c:ptCount val="17"/>
                <c:pt idx="0">
                  <c:v>Urologia</c:v>
                </c:pt>
                <c:pt idx="1">
                  <c:v>Reumatologia</c:v>
                </c:pt>
                <c:pt idx="2">
                  <c:v>Pulmonologia</c:v>
                </c:pt>
                <c:pt idx="3">
                  <c:v>Psychiatria</c:v>
                </c:pt>
                <c:pt idx="4">
                  <c:v>Okulistyka</c:v>
                </c:pt>
                <c:pt idx="5">
                  <c:v>Neurologia</c:v>
                </c:pt>
                <c:pt idx="6">
                  <c:v>Nefrologia </c:v>
                </c:pt>
                <c:pt idx="7">
                  <c:v>Kardiologia</c:v>
                </c:pt>
                <c:pt idx="8">
                  <c:v>Immunologia</c:v>
                </c:pt>
                <c:pt idx="9">
                  <c:v>Hepatologia</c:v>
                </c:pt>
                <c:pt idx="10">
                  <c:v>Hematologia</c:v>
                </c:pt>
                <c:pt idx="11">
                  <c:v>Ginekologia</c:v>
                </c:pt>
                <c:pt idx="12">
                  <c:v>Gastroenterologia</c:v>
                </c:pt>
                <c:pt idx="13">
                  <c:v>Diabetologia</c:v>
                </c:pt>
                <c:pt idx="14">
                  <c:v>Choroby metaboliczne</c:v>
                </c:pt>
                <c:pt idx="15">
                  <c:v>Angiologia</c:v>
                </c:pt>
                <c:pt idx="16">
                  <c:v>Alergologia</c:v>
                </c:pt>
              </c:strCache>
              <c:extLst/>
            </c:strRef>
          </c:cat>
          <c:val>
            <c:numRef>
              <c:f>'miesiące 2024'!$B$20:$B$38</c:f>
              <c:numCache>
                <c:formatCode>General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7</c:v>
                </c:pt>
                <c:pt idx="6">
                  <c:v>5</c:v>
                </c:pt>
                <c:pt idx="7">
                  <c:v>5</c:v>
                </c:pt>
                <c:pt idx="8">
                  <c:v>2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7208-4555-986A-50DAD4DD13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1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4166</Words>
  <Characters>24997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Tobiaszewski Paweł</cp:lastModifiedBy>
  <cp:revision>5</cp:revision>
  <dcterms:created xsi:type="dcterms:W3CDTF">2024-03-18T14:24:00Z</dcterms:created>
  <dcterms:modified xsi:type="dcterms:W3CDTF">2024-03-18T15:59:00Z</dcterms:modified>
</cp:coreProperties>
</file>