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8320" w14:textId="7ED72982" w:rsidR="00C25085" w:rsidRPr="00C25085" w:rsidRDefault="00C25085" w:rsidP="00C25085">
      <w:pPr>
        <w:spacing w:after="0" w:line="305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 xml:space="preserve">GENERALNY DYREKTOR OCHRONY ŚRODOWISKA </w:t>
      </w:r>
    </w:p>
    <w:p w14:paraId="28D0ACEA" w14:textId="043B1496" w:rsidR="00AD342F" w:rsidRPr="00C25085" w:rsidRDefault="00941BDC" w:rsidP="00C25085">
      <w:pPr>
        <w:spacing w:after="0" w:line="305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 xml:space="preserve">Warszawa, </w:t>
      </w:r>
      <w:bookmarkStart w:id="0" w:name="ezdDataPodpisu"/>
      <w:r w:rsidRPr="00C25085">
        <w:rPr>
          <w:rFonts w:asciiTheme="minorHAnsi" w:hAnsiTheme="minorHAnsi" w:cstheme="minorHAnsi"/>
        </w:rPr>
        <w:t>03 czerwca 2026</w:t>
      </w:r>
      <w:bookmarkEnd w:id="0"/>
      <w:r w:rsidRPr="00C25085">
        <w:rPr>
          <w:rFonts w:asciiTheme="minorHAnsi" w:hAnsiTheme="minorHAnsi" w:cstheme="minorHAnsi"/>
        </w:rPr>
        <w:t xml:space="preserve"> r.</w:t>
      </w:r>
    </w:p>
    <w:p w14:paraId="68865B61" w14:textId="77777777" w:rsidR="00655386" w:rsidRPr="00C25085" w:rsidRDefault="00941BDC" w:rsidP="00C25085">
      <w:pPr>
        <w:spacing w:after="0" w:line="305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>DOOŚ-WDŚI.420.23.2024.AKA.56</w:t>
      </w:r>
    </w:p>
    <w:p w14:paraId="056C984B" w14:textId="77777777" w:rsidR="00655386" w:rsidRPr="00C25085" w:rsidRDefault="00941BDC" w:rsidP="00C25085">
      <w:pPr>
        <w:spacing w:after="0" w:line="305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>(stary znak sprawy: DOOŚ-WDŚZOO.420.7.2024.AKA)</w:t>
      </w:r>
    </w:p>
    <w:p w14:paraId="32EEDD67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eastAsia="Times New Roman" w:hAnsiTheme="minorHAnsi" w:cstheme="minorHAnsi"/>
          <w:b/>
          <w:lang w:eastAsia="pl-PL"/>
        </w:rPr>
      </w:pPr>
      <w:r w:rsidRPr="00C25085">
        <w:rPr>
          <w:rFonts w:asciiTheme="minorHAnsi" w:eastAsia="Times New Roman" w:hAnsiTheme="minorHAnsi" w:cstheme="minorHAnsi"/>
          <w:b/>
          <w:lang w:eastAsia="pl-PL"/>
        </w:rPr>
        <w:t>POSTANOWIENIE</w:t>
      </w:r>
    </w:p>
    <w:p w14:paraId="10B08B38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eastAsia="Times New Roman" w:hAnsiTheme="minorHAnsi" w:cstheme="minorHAnsi"/>
          <w:iCs/>
          <w:lang w:eastAsia="pl-PL"/>
        </w:rPr>
      </w:pPr>
      <w:r w:rsidRPr="00C25085">
        <w:rPr>
          <w:rFonts w:asciiTheme="minorHAnsi" w:eastAsia="Times New Roman" w:hAnsiTheme="minorHAnsi" w:cstheme="minorHAnsi"/>
          <w:iCs/>
          <w:lang w:eastAsia="pl-PL"/>
        </w:rPr>
        <w:t>Generalny Dyrektor Ochrony Środowiska, działając z urzędu, na podstawie art. 113 § 1 ustawy z dnia 14 czerwca 1960 r. – Kodeks postępowania administracyjnego (Dz. U. z 2025 r. poz. 1691), dalej k.p.a.,</w:t>
      </w:r>
    </w:p>
    <w:p w14:paraId="5FD98BCE" w14:textId="77777777" w:rsidR="00655386" w:rsidRPr="00C25085" w:rsidRDefault="00941BDC" w:rsidP="00C25085">
      <w:pPr>
        <w:spacing w:after="0" w:line="305" w:lineRule="auto"/>
        <w:rPr>
          <w:rFonts w:asciiTheme="minorHAnsi" w:eastAsia="Times New Roman" w:hAnsiTheme="minorHAnsi" w:cstheme="minorHAnsi"/>
          <w:b/>
          <w:iCs/>
          <w:lang w:eastAsia="pl-PL"/>
        </w:rPr>
      </w:pPr>
      <w:r w:rsidRPr="00C25085">
        <w:rPr>
          <w:rFonts w:asciiTheme="minorHAnsi" w:eastAsia="Times New Roman" w:hAnsiTheme="minorHAnsi" w:cstheme="minorHAnsi"/>
          <w:b/>
          <w:iCs/>
          <w:lang w:eastAsia="pl-PL"/>
        </w:rPr>
        <w:t xml:space="preserve">prostuje oczywistą omyłkę w decyzji GDOŚ z </w:t>
      </w:r>
      <w:bookmarkStart w:id="1" w:name="_Hlk231378090"/>
      <w:r w:rsidRPr="00C25085">
        <w:rPr>
          <w:rFonts w:asciiTheme="minorHAnsi" w:eastAsia="Times New Roman" w:hAnsiTheme="minorHAnsi" w:cstheme="minorHAnsi"/>
          <w:b/>
          <w:iCs/>
          <w:lang w:eastAsia="pl-PL"/>
        </w:rPr>
        <w:t xml:space="preserve">29 kwietnia 2026 r., znak: DOOŚ-WDŚI.420.23.2024.AKA.51, </w:t>
      </w:r>
      <w:bookmarkEnd w:id="1"/>
      <w:r w:rsidRPr="00C25085">
        <w:rPr>
          <w:rFonts w:asciiTheme="minorHAnsi" w:eastAsia="Times New Roman" w:hAnsiTheme="minorHAnsi" w:cstheme="minorHAnsi"/>
          <w:b/>
          <w:iCs/>
          <w:lang w:eastAsia="pl-PL"/>
        </w:rPr>
        <w:t>przez wpisanie na str. 3 decyzji w pkt 3 orzekającym o warunku I.2.1.12:</w:t>
      </w:r>
    </w:p>
    <w:p w14:paraId="37D53AF9" w14:textId="77777777" w:rsidR="00655386" w:rsidRPr="00C25085" w:rsidRDefault="00941BDC" w:rsidP="00C25085">
      <w:pPr>
        <w:spacing w:after="0" w:line="305" w:lineRule="auto"/>
        <w:rPr>
          <w:rFonts w:asciiTheme="minorHAnsi" w:eastAsia="Times New Roman" w:hAnsiTheme="minorHAnsi" w:cstheme="minorHAnsi"/>
          <w:bCs/>
          <w:iCs/>
          <w:lang w:eastAsia="pl-PL"/>
        </w:rPr>
      </w:pPr>
      <w:r w:rsidRPr="00C25085">
        <w:rPr>
          <w:rFonts w:asciiTheme="minorHAnsi" w:eastAsia="Times New Roman" w:hAnsiTheme="minorHAnsi" w:cstheme="minorHAnsi"/>
          <w:bCs/>
          <w:iCs/>
          <w:lang w:eastAsia="pl-PL"/>
        </w:rPr>
        <w:t>„</w:t>
      </w:r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 xml:space="preserve">Zastosować metodę </w:t>
      </w:r>
      <w:proofErr w:type="spellStart"/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>bezwykopową</w:t>
      </w:r>
      <w:proofErr w:type="spellEnd"/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 xml:space="preserve"> przy wyprowadzaniu gazociągu z lądu w kierunku morza, uwzględniając potrzebę zabezpieczenia systemu ochrony brzegu przed erozją oraz uwarunkowania dynamiczne strefy brzegowej.</w:t>
      </w:r>
      <w:r w:rsidRPr="00C25085">
        <w:rPr>
          <w:rFonts w:asciiTheme="minorHAnsi" w:eastAsia="Times New Roman" w:hAnsiTheme="minorHAnsi" w:cstheme="minorHAnsi"/>
          <w:bCs/>
          <w:iCs/>
          <w:lang w:eastAsia="pl-PL"/>
        </w:rPr>
        <w:t>”,</w:t>
      </w:r>
    </w:p>
    <w:p w14:paraId="0A4433D5" w14:textId="77777777" w:rsidR="00655386" w:rsidRPr="00C25085" w:rsidRDefault="00941BDC" w:rsidP="00C25085">
      <w:pPr>
        <w:spacing w:after="0" w:line="305" w:lineRule="auto"/>
        <w:rPr>
          <w:rFonts w:asciiTheme="minorHAnsi" w:eastAsia="Times New Roman" w:hAnsiTheme="minorHAnsi" w:cstheme="minorHAnsi"/>
          <w:b/>
          <w:iCs/>
          <w:lang w:eastAsia="pl-PL"/>
        </w:rPr>
      </w:pPr>
      <w:r w:rsidRPr="00C25085">
        <w:rPr>
          <w:rFonts w:asciiTheme="minorHAnsi" w:eastAsia="Times New Roman" w:hAnsiTheme="minorHAnsi" w:cstheme="minorHAnsi"/>
          <w:b/>
          <w:iCs/>
          <w:lang w:eastAsia="pl-PL"/>
        </w:rPr>
        <w:t>zamiast dotychczasowego:</w:t>
      </w:r>
    </w:p>
    <w:p w14:paraId="75852FE4" w14:textId="77777777" w:rsidR="00655386" w:rsidRPr="00C25085" w:rsidRDefault="00941BDC" w:rsidP="00C25085">
      <w:pPr>
        <w:spacing w:after="0" w:line="305" w:lineRule="auto"/>
        <w:rPr>
          <w:rFonts w:asciiTheme="minorHAnsi" w:eastAsia="Times New Roman" w:hAnsiTheme="minorHAnsi" w:cstheme="minorHAnsi"/>
          <w:bCs/>
          <w:iCs/>
          <w:lang w:eastAsia="pl-PL"/>
        </w:rPr>
      </w:pPr>
      <w:r w:rsidRPr="00C25085">
        <w:rPr>
          <w:rFonts w:asciiTheme="minorHAnsi" w:eastAsia="Times New Roman" w:hAnsiTheme="minorHAnsi" w:cstheme="minorHAnsi"/>
          <w:bCs/>
          <w:iCs/>
          <w:lang w:eastAsia="pl-PL"/>
        </w:rPr>
        <w:t>„</w:t>
      </w:r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 xml:space="preserve">Zastosować metodę </w:t>
      </w:r>
      <w:proofErr w:type="spellStart"/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>bezwykopową</w:t>
      </w:r>
      <w:proofErr w:type="spellEnd"/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 xml:space="preserve"> przy wyprowadzaniu gazociągu z morza na ląd, uwzględniając potrzebę zabezpieczenia systemu ochrony brzegu przed erozją oraz uwarunkowania dynamiczne strefy brzegowej.”.</w:t>
      </w:r>
    </w:p>
    <w:p w14:paraId="118B42E7" w14:textId="77777777" w:rsidR="00655386" w:rsidRPr="00C25085" w:rsidRDefault="00941BDC" w:rsidP="00C25085">
      <w:pPr>
        <w:keepNext/>
        <w:suppressAutoHyphens/>
        <w:spacing w:after="0" w:line="305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C25085">
        <w:rPr>
          <w:rFonts w:asciiTheme="minorHAnsi" w:eastAsia="Times New Roman" w:hAnsiTheme="minorHAnsi" w:cstheme="minorHAnsi"/>
          <w:b/>
          <w:bCs/>
          <w:lang w:eastAsia="pl-PL"/>
        </w:rPr>
        <w:t>Uzasadnienie</w:t>
      </w:r>
    </w:p>
    <w:p w14:paraId="2692622C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hAnsiTheme="minorHAnsi" w:cstheme="minorHAnsi"/>
          <w:iCs/>
          <w:color w:val="984806" w:themeColor="accent6" w:themeShade="80"/>
        </w:rPr>
      </w:pPr>
      <w:r w:rsidRPr="00C25085">
        <w:rPr>
          <w:rFonts w:asciiTheme="minorHAnsi" w:hAnsiTheme="minorHAnsi" w:cstheme="minorHAnsi"/>
          <w:iCs/>
        </w:rPr>
        <w:t xml:space="preserve">Decyzją z </w:t>
      </w:r>
      <w:r w:rsidRPr="00C25085">
        <w:rPr>
          <w:rFonts w:asciiTheme="minorHAnsi" w:eastAsia="Times New Roman" w:hAnsiTheme="minorHAnsi" w:cstheme="minorHAnsi"/>
          <w:iCs/>
          <w:lang w:eastAsia="pl-PL"/>
        </w:rPr>
        <w:t xml:space="preserve">29 kwietnia 2026 r., znak: DOOŚ-WDŚI.420.23.2024.AKA.51, </w:t>
      </w:r>
      <w:r w:rsidRPr="00C25085">
        <w:rPr>
          <w:rFonts w:asciiTheme="minorHAnsi" w:hAnsiTheme="minorHAnsi" w:cstheme="minorHAnsi"/>
          <w:iCs/>
        </w:rPr>
        <w:t xml:space="preserve">GDOŚ, po rozpatrzeniu wniesionych </w:t>
      </w:r>
      <w:proofErr w:type="spellStart"/>
      <w:r w:rsidRPr="00C25085">
        <w:rPr>
          <w:rFonts w:asciiTheme="minorHAnsi" w:hAnsiTheme="minorHAnsi" w:cstheme="minorHAnsi"/>
          <w:iCs/>
        </w:rPr>
        <w:t>odwołań</w:t>
      </w:r>
      <w:proofErr w:type="spellEnd"/>
      <w:r w:rsidRPr="00C25085">
        <w:rPr>
          <w:rFonts w:asciiTheme="minorHAnsi" w:hAnsiTheme="minorHAnsi" w:cstheme="minorHAnsi"/>
          <w:iCs/>
        </w:rPr>
        <w:t xml:space="preserve">, </w:t>
      </w:r>
      <w:r w:rsidRPr="00C25085">
        <w:rPr>
          <w:rFonts w:asciiTheme="minorHAnsi" w:hAnsiTheme="minorHAnsi" w:cstheme="minorHAnsi"/>
        </w:rPr>
        <w:t xml:space="preserve">na podstawie art. 138 § 1 pkt 1 i 2 k.p.a. oraz art. 71 ust. 2 pkt 1 i 2 i art. 82 ust. 1 ustawy z dnia 3 października 2008 r. </w:t>
      </w:r>
      <w:r w:rsidRPr="00C25085">
        <w:rPr>
          <w:rFonts w:asciiTheme="minorHAnsi" w:hAnsiTheme="minorHAnsi" w:cstheme="minorHAnsi"/>
          <w:iCs/>
        </w:rPr>
        <w:t xml:space="preserve">o udostępnianiu informacji o środowisku i jego ochronie, udziale społeczeństwa w ochronie środowiska oraz o ocenach oddziaływania na </w:t>
      </w:r>
      <w:r w:rsidRPr="00C25085">
        <w:rPr>
          <w:rFonts w:asciiTheme="minorHAnsi" w:hAnsiTheme="minorHAnsi" w:cstheme="minorHAnsi"/>
        </w:rPr>
        <w:t xml:space="preserve">środowisko (Dz. U. z 2026 r. poz. 670), </w:t>
      </w:r>
      <w:r w:rsidRPr="00C25085">
        <w:rPr>
          <w:rFonts w:asciiTheme="minorHAnsi" w:hAnsiTheme="minorHAnsi" w:cstheme="minorHAnsi"/>
          <w:iCs/>
        </w:rPr>
        <w:t>uchylił decyzję Regionalnego Dyrektora Ochrony Środowiska w Gdańsku z 2 lutego 2024 r., znak: RDOŚ-Gd-WOO.420.52</w:t>
      </w:r>
      <w:r w:rsidRPr="00C25085">
        <w:rPr>
          <w:rFonts w:asciiTheme="minorHAnsi" w:hAnsiTheme="minorHAnsi" w:cstheme="minorHAnsi"/>
          <w:iCs/>
        </w:rPr>
        <w:t>.2023.KB.35, o środowiskowych uwarunkowaniach dla przedsięwzięcia pn.: „Realizacja terminala FSRU z gazociągiem podmorskim w obrębie akwenu Portu w Gdańsku”</w:t>
      </w:r>
      <w:bookmarkStart w:id="2" w:name="_Hlk188954144"/>
      <w:r w:rsidRPr="00C25085">
        <w:rPr>
          <w:rFonts w:asciiTheme="minorHAnsi" w:hAnsiTheme="minorHAnsi" w:cstheme="minorHAnsi"/>
          <w:iCs/>
        </w:rPr>
        <w:t xml:space="preserve"> </w:t>
      </w:r>
      <w:r w:rsidRPr="00C25085">
        <w:rPr>
          <w:rFonts w:asciiTheme="minorHAnsi" w:hAnsiTheme="minorHAnsi" w:cstheme="minorHAnsi"/>
        </w:rPr>
        <w:t>w części i w tym zakresie orzekł co do istoty sprawy, a w pozostałej części utrzymał decyzję w mocy</w:t>
      </w:r>
      <w:bookmarkEnd w:id="2"/>
      <w:r w:rsidRPr="00C25085">
        <w:rPr>
          <w:rFonts w:asciiTheme="minorHAnsi" w:hAnsiTheme="minorHAnsi" w:cstheme="minorHAnsi"/>
        </w:rPr>
        <w:t>.</w:t>
      </w:r>
    </w:p>
    <w:p w14:paraId="58CD0C0C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b/>
          <w:bCs/>
          <w:lang w:eastAsia="pl-PL"/>
        </w:rPr>
        <w:t>GDOŚ ustalił i zważył, co następuje.</w:t>
      </w:r>
      <w:r w:rsidRPr="00C25085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4D540EF0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eastAsia="Arial" w:hAnsiTheme="minorHAnsi" w:cstheme="minorHAnsi"/>
          <w:kern w:val="2"/>
          <w:lang w:eastAsia="pl-PL" w:bidi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 xml:space="preserve">W punkcie 3 decyzji GDOŚ z </w:t>
      </w:r>
      <w:r w:rsidRPr="00C25085">
        <w:rPr>
          <w:rFonts w:asciiTheme="minorHAnsi" w:eastAsia="Times New Roman" w:hAnsiTheme="minorHAnsi" w:cstheme="minorHAnsi"/>
          <w:iCs/>
          <w:lang w:eastAsia="pl-PL"/>
        </w:rPr>
        <w:t xml:space="preserve">29 kwietnia 2026 </w:t>
      </w:r>
      <w:r w:rsidRPr="00C25085">
        <w:rPr>
          <w:rFonts w:asciiTheme="minorHAnsi" w:eastAsia="Times New Roman" w:hAnsiTheme="minorHAnsi" w:cstheme="minorHAnsi"/>
          <w:lang w:eastAsia="pl-PL"/>
        </w:rPr>
        <w:t xml:space="preserve">r., orzekającym o warunku I.2.1.12, w sposób niezamierzony GDOŚ wskazał, że należy zastosować </w:t>
      </w:r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 xml:space="preserve">metodę </w:t>
      </w:r>
      <w:proofErr w:type="spellStart"/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>bezwykopową</w:t>
      </w:r>
      <w:proofErr w:type="spellEnd"/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 xml:space="preserve"> przy wyprowadzaniu gazociągu z morza na ląd. </w:t>
      </w:r>
    </w:p>
    <w:p w14:paraId="2CCDDA37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Arial" w:hAnsiTheme="minorHAnsi" w:cstheme="minorHAnsi"/>
          <w:kern w:val="2"/>
          <w:lang w:eastAsia="pl-PL" w:bidi="pl-PL"/>
        </w:rPr>
        <w:t xml:space="preserve">Zgodnie z wyjaśnieniami z 9 stycznia 2026 r.  Operator Gazociągów Przesyłowych GAZ-SYSTEM S.A. doprecyzował, że gazociąg będzie przeciągany z lądu w kierunku morza. Opierając się na wyjaśnieniach inwestora GDOŚ w pkt. 11 decyzji z </w:t>
      </w:r>
      <w:r w:rsidRPr="00C25085">
        <w:rPr>
          <w:rFonts w:asciiTheme="minorHAnsi" w:eastAsia="Times New Roman" w:hAnsiTheme="minorHAnsi" w:cstheme="minorHAnsi"/>
          <w:iCs/>
          <w:lang w:eastAsia="pl-PL"/>
        </w:rPr>
        <w:t xml:space="preserve">29 kwietnia 2026 </w:t>
      </w:r>
      <w:r w:rsidRPr="00C25085">
        <w:rPr>
          <w:rFonts w:asciiTheme="minorHAnsi" w:eastAsia="Times New Roman" w:hAnsiTheme="minorHAnsi" w:cstheme="minorHAnsi"/>
          <w:lang w:eastAsia="pl-PL"/>
        </w:rPr>
        <w:t xml:space="preserve">r. orzekającym o warunku 1.3.9 oraz pkt. 22 orzekającym w zakresie charakterystyki przedsięwzięcia wskazał, że przeciąganie gazociągu należy wykonać z lądu w kierunku morza. Znajduje to również potwierdzenie na str. 39 i 48 uzasadnienia decyzji GDOŚ. </w:t>
      </w:r>
    </w:p>
    <w:p w14:paraId="70393F54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 xml:space="preserve">Niespójność wynikająca z pozostawieniu w warunku </w:t>
      </w:r>
      <w:r w:rsidRPr="00C25085">
        <w:rPr>
          <w:rFonts w:asciiTheme="minorHAnsi" w:eastAsia="Times New Roman" w:hAnsiTheme="minorHAnsi" w:cstheme="minorHAnsi"/>
          <w:lang w:eastAsia="pl-PL"/>
        </w:rPr>
        <w:t xml:space="preserve">I.2.1.12 (pkt. 3 decyzji GDOŚ z </w:t>
      </w:r>
      <w:r w:rsidRPr="00C25085">
        <w:rPr>
          <w:rFonts w:asciiTheme="minorHAnsi" w:eastAsia="Times New Roman" w:hAnsiTheme="minorHAnsi" w:cstheme="minorHAnsi"/>
          <w:iCs/>
          <w:lang w:eastAsia="pl-PL"/>
        </w:rPr>
        <w:t xml:space="preserve">29 kwietnia 2026 </w:t>
      </w:r>
      <w:r w:rsidRPr="00C25085">
        <w:rPr>
          <w:rFonts w:asciiTheme="minorHAnsi" w:eastAsia="Times New Roman" w:hAnsiTheme="minorHAnsi" w:cstheme="minorHAnsi"/>
          <w:lang w:eastAsia="pl-PL"/>
        </w:rPr>
        <w:t xml:space="preserve">r.) zapisu „z morza na ląd” </w:t>
      </w:r>
      <w:r w:rsidRPr="00C25085">
        <w:rPr>
          <w:rFonts w:asciiTheme="minorHAnsi" w:hAnsiTheme="minorHAnsi" w:cstheme="minorHAnsi"/>
        </w:rPr>
        <w:t xml:space="preserve">ma charakter redakcyjny i wynika z omyłkowego pozostawienia fragmentu wcześniejszej decyzji organu pierwszej instancji (dawny pkt I.2.1.19 decyzji RDOŚ w Gdańsku z </w:t>
      </w:r>
      <w:r w:rsidRPr="00C25085">
        <w:rPr>
          <w:rFonts w:asciiTheme="minorHAnsi" w:hAnsiTheme="minorHAnsi" w:cstheme="minorHAnsi"/>
          <w:iCs/>
        </w:rPr>
        <w:t>2 lutego 2024 r.</w:t>
      </w:r>
      <w:r w:rsidRPr="00C25085">
        <w:rPr>
          <w:rFonts w:asciiTheme="minorHAnsi" w:hAnsiTheme="minorHAnsi" w:cstheme="minorHAnsi"/>
        </w:rPr>
        <w:t xml:space="preserve">), który nie został dostosowany do przyjętej ostatecznie koncepcji realizacyjnej </w:t>
      </w:r>
      <w:r w:rsidRPr="00C25085">
        <w:rPr>
          <w:rFonts w:asciiTheme="minorHAnsi" w:hAnsiTheme="minorHAnsi" w:cstheme="minorHAnsi"/>
        </w:rPr>
        <w:lastRenderedPageBreak/>
        <w:t>przedsięwzięcia. Sprzeczność ta nie odzwierciedla rzeczywistej woli organu, która została wyrażona w innych postanowieniach decyzji oraz w jej uzasadnieniu, gdzie konsekwentn</w:t>
      </w:r>
      <w:r w:rsidRPr="00C25085">
        <w:rPr>
          <w:rFonts w:asciiTheme="minorHAnsi" w:hAnsiTheme="minorHAnsi" w:cstheme="minorHAnsi"/>
        </w:rPr>
        <w:t xml:space="preserve">ie przyjęto kierunek realizacji prac z lądu w kierunku morza. </w:t>
      </w:r>
    </w:p>
    <w:p w14:paraId="5F3F6111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>Mając na uwadze powyższe, sprostowanie polegające na zastąpieniu sformułowania „z morza na ląd” sformułowaniem „z lądu w kierunku morza” nie prowadzi do merytorycznej zmiany rozstrzygnięcia, lecz wyłącznie do usunięcia oczywistej omyłki i przywrócenia spójności oraz jednoznaczności decyzji w całym jej zakresie. Wprowadzone sprostowanie pozostaje w pełnej zgodzie z treścią uzasadnienia decyzji oraz pozostałymi jej postanowieniami.</w:t>
      </w:r>
    </w:p>
    <w:p w14:paraId="1D7BA437" w14:textId="77777777" w:rsidR="00655386" w:rsidRPr="00C25085" w:rsidRDefault="00941BDC" w:rsidP="00C25085">
      <w:pPr>
        <w:pStyle w:val="Tekstpodstawowy"/>
        <w:spacing w:line="305" w:lineRule="auto"/>
        <w:rPr>
          <w:rFonts w:asciiTheme="minorHAnsi" w:hAnsiTheme="minorHAnsi" w:cstheme="minorHAnsi"/>
          <w:sz w:val="22"/>
          <w:szCs w:val="22"/>
        </w:rPr>
      </w:pPr>
      <w:r w:rsidRPr="00C25085">
        <w:rPr>
          <w:rFonts w:asciiTheme="minorHAnsi" w:hAnsiTheme="minorHAnsi" w:cstheme="minorHAnsi"/>
          <w:sz w:val="22"/>
          <w:szCs w:val="22"/>
        </w:rPr>
        <w:t xml:space="preserve">Zgodnie z art. 113 § 1 k.p.a. organ administracji publicznej może z urzędu lub na żądanie strony prostować w drodze postanowienia błędy pisarskie i rachunkowe oraz inne oczywiste omyłki w wydanych przez ten organ decyzjach. W orzecznictwie przyjmuje się, że instytucja sprostowania zawartych w decyzjach oczywistych omyłek służy przywróceniu rzeczywistej woli organu, ilekroć zachodzi pewna niezgodność między rzeczywistą wolą tego organu, a jej wyrażeniem na piśmie. Błąd pisarski to widoczne wbrew zamierzeniu </w:t>
      </w:r>
      <w:r w:rsidRPr="00C25085">
        <w:rPr>
          <w:rFonts w:asciiTheme="minorHAnsi" w:hAnsiTheme="minorHAnsi" w:cstheme="minorHAnsi"/>
          <w:sz w:val="22"/>
          <w:szCs w:val="22"/>
        </w:rPr>
        <w:t xml:space="preserve">organu administracji publicznej niewłaściwe użycie wyrazu, widocznie mylna pisownia, widoczne, niezamierzone opuszczenie jednego lub więcej wyrazów. Natomiast inne oczywiste omyłki to omyłki stojące na równi z błędami pisarskimi, polegające na tym, że w decyzji wyrażono coś, co widocznie jest niezgodne z myślą wyrażoną niedwuznacznie przez organ, a zostało wypowiedziane przez przeoczenie, niewłaściwy dobór słowa. Podstawowym wyznacznikiem oczywistości omyłki pisarskiej w rozumieniu art. 113 § 1 k.p.a. jest </w:t>
      </w:r>
      <w:r w:rsidRPr="00C25085">
        <w:rPr>
          <w:rFonts w:asciiTheme="minorHAnsi" w:hAnsiTheme="minorHAnsi" w:cstheme="minorHAnsi"/>
          <w:sz w:val="22"/>
          <w:szCs w:val="22"/>
        </w:rPr>
        <w:t>możność natychmiastowego i niepozostawiającego jakichkolwiek wątpliwości wykrycia uchybienia w drodze nawet powierzchownego zestawienia treści rozstrzygnięcia z dokumentami znajdującymi się w aktach sprawy. Nie mogą podlegać sprostowaniu w trybie art. 113 § 1 k.p.a. błędy i omyłki istotne, których dopuszczono się w stosowaniu prawa, stanu faktycznego i jego kwalifikacji prawnej oraz ustalenia konsekwencji prawnych zastosowania określonej normy prawnej (por. wyroki Naczelnego Sądu Administracyjnego z 21 wrze</w:t>
      </w:r>
      <w:r w:rsidRPr="00C25085">
        <w:rPr>
          <w:rFonts w:asciiTheme="minorHAnsi" w:hAnsiTheme="minorHAnsi" w:cstheme="minorHAnsi"/>
          <w:sz w:val="22"/>
          <w:szCs w:val="22"/>
        </w:rPr>
        <w:t xml:space="preserve">śnia 2012 r., sygn. akt: II OSK 940/11, oraz z 19 maja 2016 r., sygn. akt.: I OSK 2040/14). </w:t>
      </w:r>
    </w:p>
    <w:p w14:paraId="2B57A00F" w14:textId="77777777" w:rsidR="00655386" w:rsidRPr="00C25085" w:rsidRDefault="00941BDC" w:rsidP="00C25085">
      <w:pPr>
        <w:pStyle w:val="Tekstpodstawowy"/>
        <w:spacing w:line="305" w:lineRule="auto"/>
        <w:rPr>
          <w:rFonts w:asciiTheme="minorHAnsi" w:hAnsiTheme="minorHAnsi" w:cstheme="minorHAnsi"/>
          <w:sz w:val="22"/>
          <w:szCs w:val="22"/>
        </w:rPr>
      </w:pPr>
      <w:r w:rsidRPr="00C25085">
        <w:rPr>
          <w:rFonts w:asciiTheme="minorHAnsi" w:hAnsiTheme="minorHAnsi" w:cstheme="minorHAnsi"/>
          <w:sz w:val="22"/>
          <w:szCs w:val="22"/>
        </w:rPr>
        <w:t xml:space="preserve">Jak wynika z wyżej wskazanych okoliczności, w decyzji z </w:t>
      </w:r>
      <w:r w:rsidRPr="00C25085">
        <w:rPr>
          <w:rFonts w:asciiTheme="minorHAnsi" w:hAnsiTheme="minorHAnsi" w:cstheme="minorHAnsi"/>
          <w:bCs/>
          <w:iCs/>
          <w:sz w:val="22"/>
          <w:szCs w:val="22"/>
        </w:rPr>
        <w:t xml:space="preserve">29 kwietnia 2026 </w:t>
      </w:r>
      <w:r w:rsidRPr="00C25085">
        <w:rPr>
          <w:rFonts w:asciiTheme="minorHAnsi" w:hAnsiTheme="minorHAnsi" w:cstheme="minorHAnsi"/>
          <w:bCs/>
          <w:sz w:val="22"/>
          <w:szCs w:val="22"/>
        </w:rPr>
        <w:t>r.</w:t>
      </w:r>
      <w:r w:rsidRPr="00C25085">
        <w:rPr>
          <w:rFonts w:asciiTheme="minorHAnsi" w:hAnsiTheme="minorHAnsi" w:cstheme="minorHAnsi"/>
          <w:sz w:val="22"/>
          <w:szCs w:val="22"/>
        </w:rPr>
        <w:t xml:space="preserve"> GDOŚ popełnił błąd pisarski polegający na nieintencjonalnym pominięciu zmiany kierunku przeciągania gazociągu w treści warunku  I.2.1.12.</w:t>
      </w:r>
    </w:p>
    <w:p w14:paraId="5BA41D44" w14:textId="77777777" w:rsidR="00655386" w:rsidRPr="00C25085" w:rsidRDefault="00941BDC" w:rsidP="00C25085">
      <w:pPr>
        <w:pStyle w:val="Tekstpodstawowy"/>
        <w:spacing w:line="305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C25085">
        <w:rPr>
          <w:rFonts w:asciiTheme="minorHAnsi" w:hAnsiTheme="minorHAnsi" w:cstheme="minorHAnsi"/>
          <w:sz w:val="22"/>
          <w:szCs w:val="22"/>
        </w:rPr>
        <w:t>W związku z powyższym, GDOŚ orzekł, jak w sentencji.</w:t>
      </w:r>
    </w:p>
    <w:p w14:paraId="42038DEC" w14:textId="77777777" w:rsidR="00655386" w:rsidRPr="00C25085" w:rsidRDefault="00941BDC" w:rsidP="00C25085">
      <w:pPr>
        <w:suppressAutoHyphens/>
        <w:spacing w:after="0" w:line="305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C25085">
        <w:rPr>
          <w:rFonts w:asciiTheme="minorHAnsi" w:eastAsia="Times New Roman" w:hAnsiTheme="minorHAnsi" w:cstheme="minorHAnsi"/>
          <w:b/>
          <w:bCs/>
          <w:lang w:eastAsia="pl-PL"/>
        </w:rPr>
        <w:t>Pouczenie</w:t>
      </w:r>
    </w:p>
    <w:p w14:paraId="1D6876DF" w14:textId="77777777" w:rsidR="00655386" w:rsidRPr="00C25085" w:rsidRDefault="00941BDC" w:rsidP="00C25085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5" w:lineRule="auto"/>
        <w:ind w:left="425" w:hanging="425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t xml:space="preserve">strona niezadowolona z niniejszego postanowienia, zgodnie z art. 113 § 3 w związku z art. 127 § 3 i art. 144 k.p.a., </w:t>
      </w:r>
      <w:r w:rsidRPr="00C25085">
        <w:rPr>
          <w:rFonts w:asciiTheme="minorHAnsi" w:hAnsiTheme="minorHAnsi" w:cstheme="minorHAnsi"/>
          <w:sz w:val="22"/>
          <w:szCs w:val="22"/>
        </w:rPr>
        <w:t>może zwrócić się do GDOŚ z wnioskiem o ponowne rozpatrzenie kwestii sprostowania oczywistych omyłek</w:t>
      </w:r>
      <w:r w:rsidRPr="00C25085">
        <w:rPr>
          <w:rFonts w:asciiTheme="minorHAnsi" w:eastAsia="Garamond" w:hAnsiTheme="minorHAnsi" w:cstheme="minorHAnsi"/>
          <w:sz w:val="22"/>
          <w:szCs w:val="22"/>
        </w:rPr>
        <w:t>;</w:t>
      </w:r>
    </w:p>
    <w:p w14:paraId="4BA4FE36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bookmarkStart w:id="3" w:name="_Hlk196469715"/>
      <w:r w:rsidRPr="00C25085">
        <w:rPr>
          <w:rFonts w:asciiTheme="minorHAnsi" w:eastAsia="Garamond" w:hAnsiTheme="minorHAnsi" w:cstheme="minorHAnsi"/>
          <w:sz w:val="22"/>
          <w:szCs w:val="22"/>
        </w:rPr>
        <w:t>zgodnie z art. 127 § 3 w związku z art. 141 § 2 i art. 144 k.p.a. z wnioskiem o ponowne rozpatrzenie kwestii sprostowania oczywistych omyłek należy zwrócić się w terminie siedmiu dni od dnia otrzymania postanowienia;</w:t>
      </w:r>
    </w:p>
    <w:p w14:paraId="13B9361C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t>w trakcie biegu terminu do zwrócenia się z wnioskiem o ponowne rozpatrzenie kwestii sprostowania oczywistych omyłek strona, zgodnie z art. 127a § 1 w związku z art. 127 § 3 i art. 144 k.p.a., może zrzec się prawa do zwrócenia się z takim wnioskiem wobec GDOŚ;</w:t>
      </w:r>
    </w:p>
    <w:p w14:paraId="435D9781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lastRenderedPageBreak/>
        <w:t>z dniem doręczenia GDOŚ oświadczenia o zrzeczeniu się prawa do zwrócenia się z wnioskiem o ponowne rozpatrzenie kwestii sprostowania oczywistych omyłek przez ostatnią ze stron, zgodnie z art. 127a § 2 w związku z art. 127 § 3 i art. 144 k.p.a., niniejsze postanowienie staje się ostateczne i prawomocne;</w:t>
      </w:r>
    </w:p>
    <w:bookmarkEnd w:id="3"/>
    <w:p w14:paraId="788A06B4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t xml:space="preserve">zgodnie z art. 50 oraz art. 52 § 1 i 2 w związku z art. 3 § 2 pkt 2 ustawy z dnia 30 sierpnia 2002 r. – Prawo o postępowaniu przed sądami administracyjnymi (Dz. U. z 2026 r. poz. 143, ze zm.), dalej 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p.p.s.a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>., na niniejsze postanowienie można wnieść do Wojewódzkiego Sądu Administracyjnego w Warszawie skargę bez konieczności skorzystania z prawa do zwrócenia się z wnioskiem o ponowne rozpatrzenie kwestii sprostowania oczywistych omyłek;</w:t>
      </w:r>
    </w:p>
    <w:p w14:paraId="6230153C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t xml:space="preserve">zgodnie z art. 53 § 1 oraz art. 54 § 1 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p.p.s.a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>. skargę należy wnieść, za pośrednictwem GDOŚ, w terminie trzydziestu dni od dnia otrzymania postanowienia;</w:t>
      </w:r>
    </w:p>
    <w:p w14:paraId="69AB83B9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t xml:space="preserve">skarżący, zgodnie z art. 230 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p.p.s.a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 xml:space="preserve">., w związku z § 2 ust. 1 pkt 1 rozporządzenia Rady Ministrów z dnia 16 grudnia 2003 r. w sprawie wysokości oraz szczegółowych zasad pobierania wpisu w postępowaniu przed sądami administracyjnymi (Dz. U. z 2021 r. poz. 535), obowiązany jest do uiszczenia wpisu od skargi w kwocie 100 zł. Skarżący, co wynika z art. 239 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p.p.s.a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>., może być zwolniony z obowiązku uiszczenia kosztów sądowych;</w:t>
      </w:r>
    </w:p>
    <w:p w14:paraId="73E943BE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t xml:space="preserve">skarżącemu, zgodnie z art. 243 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p.p.s.a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>., może być przyznane, na jego wniosek, prawo pomocy. Wniosek ten wolny jest od opłat sądowych;</w:t>
      </w:r>
    </w:p>
    <w:p w14:paraId="56D8D3AC" w14:textId="77777777" w:rsidR="00655386" w:rsidRPr="00C25085" w:rsidRDefault="00941BDC" w:rsidP="00C25085">
      <w:pPr>
        <w:pStyle w:val="Akapitzlist"/>
        <w:numPr>
          <w:ilvl w:val="0"/>
          <w:numId w:val="4"/>
        </w:numPr>
        <w:spacing w:line="305" w:lineRule="auto"/>
        <w:ind w:left="425" w:hanging="425"/>
        <w:contextualSpacing w:val="0"/>
        <w:rPr>
          <w:rFonts w:asciiTheme="minorHAnsi" w:eastAsia="Garamond" w:hAnsiTheme="minorHAnsi" w:cstheme="minorHAnsi"/>
          <w:sz w:val="22"/>
          <w:szCs w:val="22"/>
        </w:rPr>
      </w:pPr>
      <w:r w:rsidRPr="00C25085">
        <w:rPr>
          <w:rFonts w:asciiTheme="minorHAnsi" w:eastAsia="Garamond" w:hAnsiTheme="minorHAnsi" w:cstheme="minorHAnsi"/>
          <w:sz w:val="22"/>
          <w:szCs w:val="22"/>
        </w:rPr>
        <w:t xml:space="preserve">wniosek o ponowne rozpatrzenie kwestii sprostowania oczywistych omyłek w formie elektronicznej należy wnieść na adres do e-Doręczeń: AE:PL-14966-78422-TRCJH-21, skargę w formie elektronicznej należy wnieść na adres 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ePUAP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>: /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gdosgovpl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>/</w:t>
      </w:r>
      <w:proofErr w:type="spellStart"/>
      <w:r w:rsidRPr="00C25085">
        <w:rPr>
          <w:rFonts w:asciiTheme="minorHAnsi" w:eastAsia="Garamond" w:hAnsiTheme="minorHAnsi" w:cstheme="minorHAnsi"/>
          <w:sz w:val="22"/>
          <w:szCs w:val="22"/>
        </w:rPr>
        <w:t>SkrytkaESP</w:t>
      </w:r>
      <w:proofErr w:type="spellEnd"/>
      <w:r w:rsidRPr="00C25085">
        <w:rPr>
          <w:rFonts w:asciiTheme="minorHAnsi" w:eastAsia="Garamond" w:hAnsiTheme="minorHAnsi" w:cstheme="minorHAnsi"/>
          <w:sz w:val="22"/>
          <w:szCs w:val="22"/>
        </w:rPr>
        <w:t>, natomiast wniosek i skargę w formie papierowej – na adres siedziby Generalnej Dyrekcji Ochrony Środowiska: Al. Jerozolimskie 136, 02-305 Warszawa.</w:t>
      </w:r>
    </w:p>
    <w:p w14:paraId="65BAC341" w14:textId="77777777" w:rsidR="00655386" w:rsidRPr="00C25085" w:rsidRDefault="00941BDC" w:rsidP="00C25085">
      <w:pPr>
        <w:spacing w:after="0" w:line="240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>PIOTR OTAWSKI</w:t>
      </w:r>
    </w:p>
    <w:p w14:paraId="48E16FF3" w14:textId="77777777" w:rsidR="00655386" w:rsidRPr="00C25085" w:rsidRDefault="00941BDC" w:rsidP="00C25085">
      <w:pPr>
        <w:spacing w:after="0" w:line="240" w:lineRule="auto"/>
        <w:rPr>
          <w:rFonts w:asciiTheme="minorHAnsi" w:hAnsiTheme="minorHAnsi" w:cstheme="minorHAnsi"/>
        </w:rPr>
      </w:pPr>
      <w:r w:rsidRPr="00C25085">
        <w:rPr>
          <w:rFonts w:asciiTheme="minorHAnsi" w:hAnsiTheme="minorHAnsi" w:cstheme="minorHAnsi"/>
        </w:rPr>
        <w:t>Generalny Dyrektor Ochrony Środowiska</w:t>
      </w:r>
    </w:p>
    <w:p w14:paraId="0B90A73B" w14:textId="77777777" w:rsidR="00655386" w:rsidRPr="00C25085" w:rsidRDefault="00941BDC" w:rsidP="00C25085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C25085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40E0FAC8" w14:textId="77777777" w:rsidR="00655386" w:rsidRPr="00C25085" w:rsidRDefault="00941BDC" w:rsidP="00C25085">
      <w:pPr>
        <w:suppressAutoHyphens/>
        <w:spacing w:after="0" w:line="312" w:lineRule="auto"/>
        <w:rPr>
          <w:rFonts w:asciiTheme="minorHAnsi" w:eastAsia="Times New Roman" w:hAnsiTheme="minorHAnsi" w:cstheme="minorHAnsi"/>
          <w:b/>
          <w:i/>
          <w:lang w:eastAsia="pl-PL"/>
        </w:rPr>
      </w:pPr>
      <w:r w:rsidRPr="00C25085">
        <w:rPr>
          <w:rFonts w:asciiTheme="minorHAnsi" w:eastAsia="Times New Roman" w:hAnsiTheme="minorHAnsi" w:cstheme="minorHAnsi"/>
          <w:b/>
          <w:lang w:eastAsia="pl-PL"/>
        </w:rPr>
        <w:t>Otrzymują:</w:t>
      </w:r>
    </w:p>
    <w:p w14:paraId="1201A087" w14:textId="3A9160CD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bookmarkStart w:id="4" w:name="_Hlk176946527"/>
      <w:r w:rsidRPr="00C25085">
        <w:rPr>
          <w:rFonts w:asciiTheme="minorHAnsi" w:eastAsia="Times New Roman" w:hAnsiTheme="minorHAnsi" w:cstheme="minorHAnsi"/>
          <w:lang w:eastAsia="pl-PL"/>
        </w:rPr>
        <w:t xml:space="preserve">Operator Gazociągów Przesyłowych GAZ-SYSTEM S.A. reprezentowana przez pełnomocnika adw. </w:t>
      </w:r>
      <w:r w:rsidR="007A2646">
        <w:rPr>
          <w:rFonts w:asciiTheme="minorHAnsi" w:eastAsia="Times New Roman" w:hAnsiTheme="minorHAnsi" w:cstheme="minorHAnsi"/>
          <w:lang w:eastAsia="pl-PL"/>
        </w:rPr>
        <w:t>(…)</w:t>
      </w:r>
    </w:p>
    <w:p w14:paraId="637814A9" w14:textId="0A083CC2" w:rsidR="00655386" w:rsidRPr="007A2646" w:rsidRDefault="00941BDC" w:rsidP="007A2646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bookmarkStart w:id="5" w:name="_Hlk178941785"/>
      <w:bookmarkEnd w:id="4"/>
      <w:r w:rsidRPr="00C25085">
        <w:rPr>
          <w:rFonts w:asciiTheme="minorHAnsi" w:eastAsia="Times New Roman" w:hAnsiTheme="minorHAnsi" w:cstheme="minorHAnsi"/>
          <w:lang w:eastAsia="pl-PL"/>
        </w:rPr>
        <w:t xml:space="preserve">Fundacja </w:t>
      </w:r>
      <w:proofErr w:type="spellStart"/>
      <w:r w:rsidRPr="00C25085">
        <w:rPr>
          <w:rFonts w:asciiTheme="minorHAnsi" w:eastAsia="Times New Roman" w:hAnsiTheme="minorHAnsi" w:cstheme="minorHAnsi"/>
          <w:lang w:eastAsia="pl-PL"/>
        </w:rPr>
        <w:t>Greenpeace</w:t>
      </w:r>
      <w:proofErr w:type="spellEnd"/>
      <w:r w:rsidRPr="00C25085">
        <w:rPr>
          <w:rFonts w:asciiTheme="minorHAnsi" w:eastAsia="Times New Roman" w:hAnsiTheme="minorHAnsi" w:cstheme="minorHAnsi"/>
          <w:lang w:eastAsia="pl-PL"/>
        </w:rPr>
        <w:t xml:space="preserve"> Polska </w:t>
      </w:r>
      <w:bookmarkEnd w:id="5"/>
      <w:r w:rsidRPr="00C25085">
        <w:rPr>
          <w:rFonts w:asciiTheme="minorHAnsi" w:eastAsia="Times New Roman" w:hAnsiTheme="minorHAnsi" w:cstheme="minorHAnsi"/>
          <w:lang w:eastAsia="pl-PL"/>
        </w:rPr>
        <w:t xml:space="preserve">reprezentowana przez pełnomocnika r.pr. </w:t>
      </w:r>
      <w:r w:rsidR="007A2646">
        <w:rPr>
          <w:rFonts w:asciiTheme="minorHAnsi" w:eastAsia="Times New Roman" w:hAnsiTheme="minorHAnsi" w:cstheme="minorHAnsi"/>
          <w:lang w:eastAsia="pl-PL"/>
        </w:rPr>
        <w:t>(…)</w:t>
      </w:r>
      <w:r w:rsidRPr="007A2646">
        <w:rPr>
          <w:rFonts w:asciiTheme="minorHAnsi" w:eastAsia="Times New Roman" w:hAnsiTheme="minorHAnsi" w:cstheme="minorHAnsi"/>
          <w:lang w:eastAsia="pl-PL"/>
        </w:rPr>
        <w:t xml:space="preserve">, Kancelaria Radcy Prawnego </w:t>
      </w:r>
      <w:r w:rsidR="007A2646">
        <w:rPr>
          <w:rFonts w:asciiTheme="minorHAnsi" w:eastAsia="Times New Roman" w:hAnsiTheme="minorHAnsi" w:cstheme="minorHAnsi"/>
          <w:lang w:eastAsia="pl-PL"/>
        </w:rPr>
        <w:t>(…)</w:t>
      </w:r>
    </w:p>
    <w:p w14:paraId="10BD8B63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Gmina Miasta Gdańska, Urząd Miejski w Gdańsku</w:t>
      </w:r>
    </w:p>
    <w:p w14:paraId="52990F55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Skarb Państwa reprezentowany przez Ministra Aktywów Państwowych, Ministerstwo Aktywów Państwowych</w:t>
      </w:r>
    </w:p>
    <w:p w14:paraId="54EE1CD3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AMBER FOREST sp. z o.o. sp. k.</w:t>
      </w:r>
    </w:p>
    <w:p w14:paraId="4DD4A889" w14:textId="23BF4BED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 xml:space="preserve">Akademicki Związek Sportowy reprezentowany przez pełnomocnika </w:t>
      </w:r>
      <w:r w:rsidR="007A2646">
        <w:rPr>
          <w:rFonts w:asciiTheme="minorHAnsi" w:eastAsia="Times New Roman" w:hAnsiTheme="minorHAnsi" w:cstheme="minorHAnsi"/>
          <w:lang w:eastAsia="pl-PL"/>
        </w:rPr>
        <w:t>(…)</w:t>
      </w:r>
      <w:r w:rsidRPr="00C25085">
        <w:rPr>
          <w:rFonts w:asciiTheme="minorHAnsi" w:eastAsia="Times New Roman" w:hAnsiTheme="minorHAnsi" w:cstheme="minorHAnsi"/>
          <w:lang w:eastAsia="pl-PL"/>
        </w:rPr>
        <w:t>, Akademicki Związek Sportowy COSA Oddział w Gdańsku</w:t>
      </w:r>
    </w:p>
    <w:p w14:paraId="72528075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Akademicki Klub Morski Gdańsk</w:t>
      </w:r>
    </w:p>
    <w:p w14:paraId="62170FE6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Urząd Morski w Gdyni</w:t>
      </w:r>
    </w:p>
    <w:p w14:paraId="29C9CD16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val="en-GB" w:eastAsia="pl-PL"/>
        </w:rPr>
        <w:t>Erste Bank Polska S.A.</w:t>
      </w:r>
    </w:p>
    <w:p w14:paraId="3DCD995D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Bank Rumia Spółdzielczy</w:t>
      </w:r>
    </w:p>
    <w:p w14:paraId="13814C7F" w14:textId="77777777" w:rsidR="00655386" w:rsidRPr="00C25085" w:rsidRDefault="00941BDC" w:rsidP="00C25085">
      <w:pPr>
        <w:numPr>
          <w:ilvl w:val="0"/>
          <w:numId w:val="2"/>
        </w:numPr>
        <w:suppressAutoHyphens/>
        <w:spacing w:after="0" w:line="312" w:lineRule="auto"/>
        <w:rPr>
          <w:rFonts w:asciiTheme="minorHAnsi" w:eastAsia="Times New Roman" w:hAnsiTheme="minorHAnsi" w:cstheme="minorHAnsi"/>
          <w:kern w:val="2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lastRenderedPageBreak/>
        <w:t xml:space="preserve">pozostałe strony postępowania na podstawie art. 49 § 1 k.p.a. oraz art. 74 ust. 3 </w:t>
      </w:r>
      <w:proofErr w:type="spellStart"/>
      <w:r w:rsidRPr="00C25085">
        <w:rPr>
          <w:rFonts w:asciiTheme="minorHAnsi" w:eastAsia="Times New Roman" w:hAnsiTheme="minorHAnsi" w:cstheme="minorHAnsi"/>
          <w:lang w:eastAsia="pl-PL"/>
        </w:rPr>
        <w:t>u.o.o.ś</w:t>
      </w:r>
      <w:proofErr w:type="spellEnd"/>
      <w:r w:rsidRPr="00C25085">
        <w:rPr>
          <w:rFonts w:asciiTheme="minorHAnsi" w:eastAsia="Times New Roman" w:hAnsiTheme="minorHAnsi" w:cstheme="minorHAnsi"/>
          <w:lang w:eastAsia="pl-PL"/>
        </w:rPr>
        <w:t>. w związku z art. 15 ust. 1 ustawy z dnia 13 lipca 2023 r. o zmianie ustawy o udostępnianiu informacji o środowisku i jego ochronie, udziale społeczeństwa w ochronie środowiska oraz o ocenach oddziaływania na środowisko oraz niektórych innych ustaw (Dz. U. poz. 1890)</w:t>
      </w:r>
    </w:p>
    <w:p w14:paraId="62605118" w14:textId="77777777" w:rsidR="00655386" w:rsidRPr="00C25085" w:rsidRDefault="00941BDC" w:rsidP="00C25085">
      <w:pPr>
        <w:suppressAutoHyphens/>
        <w:spacing w:after="0" w:line="312" w:lineRule="auto"/>
        <w:rPr>
          <w:rFonts w:asciiTheme="minorHAnsi" w:eastAsia="Times New Roman" w:hAnsiTheme="minorHAnsi" w:cstheme="minorHAnsi"/>
          <w:b/>
          <w:i/>
          <w:lang w:eastAsia="pl-PL"/>
        </w:rPr>
      </w:pPr>
      <w:r w:rsidRPr="00C25085">
        <w:rPr>
          <w:rFonts w:asciiTheme="minorHAnsi" w:eastAsia="Times New Roman" w:hAnsiTheme="minorHAnsi" w:cstheme="minorHAnsi"/>
          <w:b/>
          <w:lang w:eastAsia="pl-PL"/>
        </w:rPr>
        <w:t>Do wiadomości:</w:t>
      </w:r>
    </w:p>
    <w:p w14:paraId="2413DEF6" w14:textId="77777777" w:rsidR="00655386" w:rsidRPr="00C25085" w:rsidRDefault="00941BDC" w:rsidP="00C25085">
      <w:pPr>
        <w:numPr>
          <w:ilvl w:val="0"/>
          <w:numId w:val="1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 w:bidi="pl-PL"/>
        </w:rPr>
        <w:t>Regionalny Dyrektor Ochrony Środowiska w Gdańsku</w:t>
      </w:r>
    </w:p>
    <w:p w14:paraId="295D43A8" w14:textId="77777777" w:rsidR="00655386" w:rsidRPr="00C25085" w:rsidRDefault="00941BDC" w:rsidP="00C25085">
      <w:pPr>
        <w:numPr>
          <w:ilvl w:val="0"/>
          <w:numId w:val="1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Dyrektor Regionalnego Zarządu Gospodarki Wodnej w Gdańsku</w:t>
      </w:r>
    </w:p>
    <w:p w14:paraId="79F95806" w14:textId="77777777" w:rsidR="00655386" w:rsidRPr="00C25085" w:rsidRDefault="00941BDC" w:rsidP="00C25085">
      <w:pPr>
        <w:numPr>
          <w:ilvl w:val="0"/>
          <w:numId w:val="1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Pomorski Państwowy Wojewódzki Inspektor Sanitarny w Gdańsku</w:t>
      </w:r>
    </w:p>
    <w:p w14:paraId="6DB2CFC5" w14:textId="77777777" w:rsidR="00655386" w:rsidRPr="00C25085" w:rsidRDefault="00941BDC" w:rsidP="00C25085">
      <w:pPr>
        <w:numPr>
          <w:ilvl w:val="0"/>
          <w:numId w:val="1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Minister Klimatu i Środowiska</w:t>
      </w:r>
    </w:p>
    <w:p w14:paraId="7FD9A07D" w14:textId="77777777" w:rsidR="00655386" w:rsidRPr="00C25085" w:rsidRDefault="00941BDC" w:rsidP="00C25085">
      <w:pPr>
        <w:numPr>
          <w:ilvl w:val="0"/>
          <w:numId w:val="1"/>
        </w:num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C25085">
        <w:rPr>
          <w:rFonts w:asciiTheme="minorHAnsi" w:eastAsia="Times New Roman" w:hAnsiTheme="minorHAnsi" w:cstheme="minorHAnsi"/>
          <w:lang w:eastAsia="pl-PL"/>
        </w:rPr>
        <w:t>Pełnomocnik Rządu ds. Strategicznej Infrastruktury Energetycznej, Ministerstwo Energii</w:t>
      </w:r>
    </w:p>
    <w:p w14:paraId="5AEED937" w14:textId="77777777" w:rsidR="00655386" w:rsidRPr="00C25085" w:rsidRDefault="00941BDC" w:rsidP="00C25085">
      <w:pPr>
        <w:numPr>
          <w:ilvl w:val="0"/>
          <w:numId w:val="1"/>
        </w:numPr>
        <w:suppressAutoHyphens/>
        <w:spacing w:after="0" w:line="312" w:lineRule="auto"/>
        <w:rPr>
          <w:rFonts w:asciiTheme="minorHAnsi" w:hAnsiTheme="minorHAnsi" w:cstheme="minorHAnsi"/>
        </w:rPr>
      </w:pPr>
      <w:r w:rsidRPr="00C25085">
        <w:rPr>
          <w:rFonts w:asciiTheme="minorHAnsi" w:eastAsia="Times New Roman" w:hAnsiTheme="minorHAnsi" w:cstheme="minorHAnsi"/>
          <w:lang w:eastAsia="pl-PL" w:bidi="pl-PL"/>
        </w:rPr>
        <w:t>Minister Infrastruktury</w:t>
      </w:r>
    </w:p>
    <w:p w14:paraId="180FEBEC" w14:textId="77777777" w:rsidR="00AD342F" w:rsidRPr="00C25085" w:rsidRDefault="00AD342F" w:rsidP="00C25085">
      <w:pPr>
        <w:spacing w:after="0" w:line="312" w:lineRule="auto"/>
        <w:rPr>
          <w:rFonts w:asciiTheme="minorHAnsi" w:hAnsiTheme="minorHAnsi" w:cstheme="minorHAnsi"/>
        </w:rPr>
      </w:pPr>
    </w:p>
    <w:sectPr w:rsidR="00AD342F" w:rsidRPr="00C25085" w:rsidSect="00454CA9">
      <w:headerReference w:type="default" r:id="rId8"/>
      <w:footerReference w:type="defaul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3CCA" w14:textId="77777777" w:rsidR="00941BDC" w:rsidRDefault="00941BDC">
      <w:pPr>
        <w:spacing w:after="0" w:line="240" w:lineRule="auto"/>
      </w:pPr>
      <w:r>
        <w:separator/>
      </w:r>
    </w:p>
  </w:endnote>
  <w:endnote w:type="continuationSeparator" w:id="0">
    <w:p w14:paraId="386A262C" w14:textId="77777777" w:rsidR="00941BDC" w:rsidRDefault="0094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8963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21536D4" w14:textId="77777777" w:rsidR="00655386" w:rsidRPr="0069091C" w:rsidRDefault="00941BDC">
        <w:pPr>
          <w:pStyle w:val="Stopka"/>
          <w:jc w:val="right"/>
          <w:rPr>
            <w:rFonts w:ascii="Arial" w:hAnsi="Arial" w:cs="Arial"/>
          </w:rPr>
        </w:pPr>
        <w:r w:rsidRPr="0069091C">
          <w:rPr>
            <w:rFonts w:ascii="Arial" w:hAnsi="Arial" w:cs="Arial"/>
          </w:rPr>
          <w:fldChar w:fldCharType="begin"/>
        </w:r>
        <w:r w:rsidRPr="0069091C">
          <w:rPr>
            <w:rFonts w:ascii="Arial" w:hAnsi="Arial" w:cs="Arial"/>
          </w:rPr>
          <w:instrText>PAGE   \* MERGEFORMAT</w:instrText>
        </w:r>
        <w:r w:rsidRPr="0069091C">
          <w:rPr>
            <w:rFonts w:ascii="Arial" w:hAnsi="Arial" w:cs="Arial"/>
          </w:rPr>
          <w:fldChar w:fldCharType="separate"/>
        </w:r>
        <w:r w:rsidRPr="0069091C">
          <w:rPr>
            <w:rFonts w:ascii="Arial" w:hAnsi="Arial" w:cs="Arial"/>
          </w:rPr>
          <w:t>2</w:t>
        </w:r>
        <w:r w:rsidRPr="0069091C">
          <w:rPr>
            <w:rFonts w:ascii="Arial" w:hAnsi="Arial" w:cs="Arial"/>
          </w:rPr>
          <w:fldChar w:fldCharType="end"/>
        </w:r>
      </w:p>
    </w:sdtContent>
  </w:sdt>
  <w:p w14:paraId="72E5264C" w14:textId="77777777" w:rsidR="00AD342F" w:rsidRDefault="00AD34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4ADF" w14:textId="77777777" w:rsidR="00941BDC" w:rsidRDefault="00941BDC">
      <w:pPr>
        <w:spacing w:after="0" w:line="240" w:lineRule="auto"/>
      </w:pPr>
      <w:r>
        <w:separator/>
      </w:r>
    </w:p>
  </w:footnote>
  <w:footnote w:type="continuationSeparator" w:id="0">
    <w:p w14:paraId="48B53559" w14:textId="77777777" w:rsidR="00941BDC" w:rsidRDefault="0094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96E5" w14:textId="77777777" w:rsidR="00AD342F" w:rsidRDefault="00AD34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13636E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494413"/>
    <w:multiLevelType w:val="hybridMultilevel"/>
    <w:tmpl w:val="8F1A474C"/>
    <w:lvl w:ilvl="0" w:tplc="C11AA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C41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6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64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4F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E4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23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AA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A0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5B61"/>
    <w:multiLevelType w:val="hybridMultilevel"/>
    <w:tmpl w:val="910AD032"/>
    <w:lvl w:ilvl="0" w:tplc="E69813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CC8A1F2" w:tentative="1">
      <w:start w:val="1"/>
      <w:numFmt w:val="lowerLetter"/>
      <w:lvlText w:val="%2."/>
      <w:lvlJc w:val="left"/>
      <w:pPr>
        <w:ind w:left="1440" w:hanging="360"/>
      </w:pPr>
    </w:lvl>
    <w:lvl w:ilvl="2" w:tplc="59F0C692" w:tentative="1">
      <w:start w:val="1"/>
      <w:numFmt w:val="lowerRoman"/>
      <w:lvlText w:val="%3."/>
      <w:lvlJc w:val="right"/>
      <w:pPr>
        <w:ind w:left="2160" w:hanging="180"/>
      </w:pPr>
    </w:lvl>
    <w:lvl w:ilvl="3" w:tplc="7A0E0D42" w:tentative="1">
      <w:start w:val="1"/>
      <w:numFmt w:val="decimal"/>
      <w:lvlText w:val="%4."/>
      <w:lvlJc w:val="left"/>
      <w:pPr>
        <w:ind w:left="2880" w:hanging="360"/>
      </w:pPr>
    </w:lvl>
    <w:lvl w:ilvl="4" w:tplc="F2AA1362" w:tentative="1">
      <w:start w:val="1"/>
      <w:numFmt w:val="lowerLetter"/>
      <w:lvlText w:val="%5."/>
      <w:lvlJc w:val="left"/>
      <w:pPr>
        <w:ind w:left="3600" w:hanging="360"/>
      </w:pPr>
    </w:lvl>
    <w:lvl w:ilvl="5" w:tplc="DA825BD2" w:tentative="1">
      <w:start w:val="1"/>
      <w:numFmt w:val="lowerRoman"/>
      <w:lvlText w:val="%6."/>
      <w:lvlJc w:val="right"/>
      <w:pPr>
        <w:ind w:left="4320" w:hanging="180"/>
      </w:pPr>
    </w:lvl>
    <w:lvl w:ilvl="6" w:tplc="0F5EDB84" w:tentative="1">
      <w:start w:val="1"/>
      <w:numFmt w:val="decimal"/>
      <w:lvlText w:val="%7."/>
      <w:lvlJc w:val="left"/>
      <w:pPr>
        <w:ind w:left="5040" w:hanging="360"/>
      </w:pPr>
    </w:lvl>
    <w:lvl w:ilvl="7" w:tplc="086C653C" w:tentative="1">
      <w:start w:val="1"/>
      <w:numFmt w:val="lowerLetter"/>
      <w:lvlText w:val="%8."/>
      <w:lvlJc w:val="left"/>
      <w:pPr>
        <w:ind w:left="5760" w:hanging="360"/>
      </w:pPr>
    </w:lvl>
    <w:lvl w:ilvl="8" w:tplc="3BDA7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D5B45"/>
    <w:multiLevelType w:val="hybridMultilevel"/>
    <w:tmpl w:val="56CA1506"/>
    <w:lvl w:ilvl="0" w:tplc="0D0CE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6FA1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0B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A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A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6B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29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05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F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5110">
    <w:abstractNumId w:val="2"/>
  </w:num>
  <w:num w:numId="2" w16cid:durableId="91763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0882">
    <w:abstractNumId w:val="3"/>
  </w:num>
  <w:num w:numId="4" w16cid:durableId="75212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2F"/>
    <w:rsid w:val="00482B42"/>
    <w:rsid w:val="005715D7"/>
    <w:rsid w:val="00655386"/>
    <w:rsid w:val="00741A70"/>
    <w:rsid w:val="00774834"/>
    <w:rsid w:val="007A2646"/>
    <w:rsid w:val="00941BDC"/>
    <w:rsid w:val="00AD342F"/>
    <w:rsid w:val="00C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BE78"/>
  <w15:docId w15:val="{C13EB2F7-9199-4C8B-94BE-89DFE9B2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kapit z listą3,Akapit z listą31,Akapit z listą311,BulletC,CP-UC,ISCG Numerowanie,Kropka_1,List Paragraph1,List Paragraph2,List Paragraph_0,Numerowanie,Obiekt,Preambuła,RR PGE Akapit z listą,Styl 1,TZ-Nag2,Wyliczanie,b1,l,lp1"/>
    <w:basedOn w:val="Normalny"/>
    <w:link w:val="AkapitzlistZnak"/>
    <w:uiPriority w:val="34"/>
    <w:qFormat/>
    <w:rsid w:val="006909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3 Znak,Akapit z listą31 Znak,Akapit z listą311 Znak,BulletC Znak,CP-UC Znak,ISCG Numerowanie Znak,Kropka_1 Znak,List Paragraph1 Znak,List Paragraph2 Znak,List Paragraph_0 Znak,Numerowanie Znak,Obiekt Znak,Preambuła Znak"/>
    <w:link w:val="Akapitzlist"/>
    <w:uiPriority w:val="34"/>
    <w:qFormat/>
    <w:rsid w:val="0069091C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9091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091C"/>
    <w:rPr>
      <w:rFonts w:ascii="Times New Roman" w:eastAsia="Times New Roman" w:hAnsi="Times New Roman"/>
      <w:sz w:val="24"/>
    </w:rPr>
  </w:style>
  <w:style w:type="paragraph" w:customStyle="1" w:styleId="Normalny1">
    <w:name w:val="Normalny1"/>
    <w:uiPriority w:val="99"/>
    <w:qFormat/>
    <w:rsid w:val="0069091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4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GDOŚ</dc:title>
  <dc:creator>EZD</dc:creator>
  <cp:lastModifiedBy>Ewa Bakuła</cp:lastModifiedBy>
  <cp:revision>2</cp:revision>
  <cp:lastPrinted>2010-12-24T09:23:00Z</cp:lastPrinted>
  <dcterms:created xsi:type="dcterms:W3CDTF">2026-06-09T05:39:00Z</dcterms:created>
  <dcterms:modified xsi:type="dcterms:W3CDTF">2026-06-09T05:39:00Z</dcterms:modified>
</cp:coreProperties>
</file>