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E29" w14:textId="5480BE14" w:rsidR="00C01E25" w:rsidRDefault="00C01E25" w:rsidP="00112007">
      <w:pPr>
        <w:spacing w:before="120" w:after="0" w:line="276" w:lineRule="auto"/>
        <w:jc w:val="center"/>
        <w:rPr>
          <w:rFonts w:ascii="Lato" w:hAnsi="Lato"/>
          <w:b/>
          <w:bCs/>
        </w:rPr>
      </w:pPr>
      <w:r w:rsidRPr="00F17697">
        <w:rPr>
          <w:rFonts w:ascii="Lato" w:hAnsi="Lato"/>
          <w:b/>
          <w:bCs/>
        </w:rPr>
        <w:t xml:space="preserve">Udział wykonawców z państw trzecich w świetle wyroku </w:t>
      </w:r>
      <w:r>
        <w:rPr>
          <w:rFonts w:ascii="Lato" w:hAnsi="Lato"/>
          <w:b/>
          <w:bCs/>
        </w:rPr>
        <w:t xml:space="preserve">TSUE </w:t>
      </w:r>
      <w:r w:rsidR="00F97FB1" w:rsidRPr="00F97FB1">
        <w:rPr>
          <w:rFonts w:ascii="Lato" w:hAnsi="Lato"/>
          <w:b/>
          <w:bCs/>
        </w:rPr>
        <w:t xml:space="preserve">z dnia 22 października 2024 r. w sprawie C-652/22 </w:t>
      </w:r>
      <w:r w:rsidR="00F97FB1" w:rsidRPr="00A26BE9">
        <w:rPr>
          <w:rFonts w:ascii="Lato" w:hAnsi="Lato"/>
          <w:b/>
          <w:bCs/>
          <w:i/>
          <w:iCs/>
        </w:rPr>
        <w:t xml:space="preserve">Kolin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Inşaat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Turizm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Sanayi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ve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Ticaret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AȘ przeciwko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Državna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komisija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za</w:t>
      </w:r>
      <w:r w:rsidR="00A26BE9">
        <w:rPr>
          <w:rFonts w:ascii="Lato" w:hAnsi="Lato"/>
          <w:b/>
          <w:bCs/>
          <w:i/>
          <w:iCs/>
        </w:rPr>
        <w:t> 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kontrolu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postupaka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javne</w:t>
      </w:r>
      <w:proofErr w:type="spellEnd"/>
      <w:r w:rsidR="00F97FB1" w:rsidRPr="00A26BE9">
        <w:rPr>
          <w:rFonts w:ascii="Lato" w:hAnsi="Lato"/>
          <w:b/>
          <w:bCs/>
          <w:i/>
          <w:iCs/>
        </w:rPr>
        <w:t xml:space="preserve"> </w:t>
      </w:r>
      <w:proofErr w:type="spellStart"/>
      <w:r w:rsidR="00F97FB1" w:rsidRPr="00A26BE9">
        <w:rPr>
          <w:rFonts w:ascii="Lato" w:hAnsi="Lato"/>
          <w:b/>
          <w:bCs/>
          <w:i/>
          <w:iCs/>
        </w:rPr>
        <w:t>nabave</w:t>
      </w:r>
      <w:proofErr w:type="spellEnd"/>
      <w:r w:rsidR="00F97FB1" w:rsidRPr="00F97FB1">
        <w:rPr>
          <w:rFonts w:ascii="Lato" w:hAnsi="Lato"/>
          <w:b/>
          <w:bCs/>
        </w:rPr>
        <w:t>, ECLI:EU:C:2024:910</w:t>
      </w:r>
    </w:p>
    <w:p w14:paraId="468A9AA0" w14:textId="77777777" w:rsidR="00C01E25" w:rsidRPr="00F17697" w:rsidRDefault="00C01E25" w:rsidP="00112007">
      <w:pPr>
        <w:spacing w:before="120" w:after="0" w:line="276" w:lineRule="auto"/>
        <w:rPr>
          <w:rFonts w:ascii="Lato" w:hAnsi="Lato"/>
          <w:b/>
          <w:bCs/>
        </w:rPr>
      </w:pPr>
    </w:p>
    <w:p w14:paraId="1678D3AA" w14:textId="4F460E5F" w:rsidR="0092141B" w:rsidRDefault="00414925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W</w:t>
      </w:r>
      <w:r w:rsidR="00B96657">
        <w:rPr>
          <w:rFonts w:ascii="Lato" w:hAnsi="Lato"/>
        </w:rPr>
        <w:t xml:space="preserve"> wyroku w sprawie </w:t>
      </w:r>
      <w:r w:rsidR="00B96657" w:rsidRPr="00E26994">
        <w:rPr>
          <w:rFonts w:ascii="Lato" w:hAnsi="Lato"/>
          <w:i/>
          <w:iCs/>
        </w:rPr>
        <w:t>K</w:t>
      </w:r>
      <w:r w:rsidR="00147BD4" w:rsidRPr="00E26994">
        <w:rPr>
          <w:rFonts w:ascii="Lato" w:hAnsi="Lato"/>
          <w:i/>
          <w:iCs/>
        </w:rPr>
        <w:t>o</w:t>
      </w:r>
      <w:r w:rsidR="00B96657" w:rsidRPr="00E26994">
        <w:rPr>
          <w:rFonts w:ascii="Lato" w:hAnsi="Lato"/>
          <w:i/>
          <w:iCs/>
        </w:rPr>
        <w:t>lin</w:t>
      </w:r>
      <w:r w:rsidR="00B96657">
        <w:rPr>
          <w:rFonts w:ascii="Lato" w:hAnsi="Lato"/>
        </w:rPr>
        <w:t xml:space="preserve"> Trybunał wykluczył </w:t>
      </w:r>
      <w:r w:rsidR="003B26BD">
        <w:rPr>
          <w:rFonts w:ascii="Lato" w:hAnsi="Lato"/>
        </w:rPr>
        <w:t>traktowanie wykonawców z państw trzecich</w:t>
      </w:r>
      <w:r w:rsidR="00147BD4" w:rsidRPr="004A1264">
        <w:rPr>
          <w:rFonts w:ascii="Lato" w:hAnsi="Lato"/>
        </w:rPr>
        <w:t>, z którymi Unia Europejska nie jest związana żadną umową międzynarodową gwarantującą na zasadzie wzajemności i równości dostęp do rynku zamówień publicznych,</w:t>
      </w:r>
      <w:r w:rsidR="005E219B">
        <w:rPr>
          <w:rFonts w:ascii="Lato" w:hAnsi="Lato"/>
        </w:rPr>
        <w:t xml:space="preserve"> na równi z wykonawcami</w:t>
      </w:r>
      <w:r w:rsidR="00DF539B">
        <w:rPr>
          <w:rFonts w:ascii="Lato" w:hAnsi="Lato"/>
        </w:rPr>
        <w:t xml:space="preserve"> unijnymi i z wykonawcami</w:t>
      </w:r>
      <w:r w:rsidR="005E219B">
        <w:rPr>
          <w:rFonts w:ascii="Lato" w:hAnsi="Lato"/>
        </w:rPr>
        <w:t xml:space="preserve"> </w:t>
      </w:r>
      <w:r w:rsidR="003D10EF">
        <w:rPr>
          <w:rFonts w:ascii="Lato" w:hAnsi="Lato"/>
        </w:rPr>
        <w:t>z państw trzecich</w:t>
      </w:r>
      <w:r w:rsidR="003D10EF" w:rsidRPr="004A1264">
        <w:rPr>
          <w:rFonts w:ascii="Lato" w:hAnsi="Lato"/>
        </w:rPr>
        <w:t>, z którymi Unia Europejska z</w:t>
      </w:r>
      <w:r w:rsidR="00563043">
        <w:rPr>
          <w:rFonts w:ascii="Lato" w:hAnsi="Lato"/>
        </w:rPr>
        <w:t>awarł</w:t>
      </w:r>
      <w:r w:rsidR="003D10EF" w:rsidRPr="004A1264">
        <w:rPr>
          <w:rFonts w:ascii="Lato" w:hAnsi="Lato"/>
        </w:rPr>
        <w:t xml:space="preserve">a </w:t>
      </w:r>
      <w:r w:rsidR="003D10EF">
        <w:rPr>
          <w:rFonts w:ascii="Lato" w:hAnsi="Lato"/>
        </w:rPr>
        <w:t>tak</w:t>
      </w:r>
      <w:r w:rsidR="003D10EF" w:rsidRPr="004A1264">
        <w:rPr>
          <w:rFonts w:ascii="Lato" w:hAnsi="Lato"/>
        </w:rPr>
        <w:t>ą umow</w:t>
      </w:r>
      <w:r w:rsidR="00563043">
        <w:rPr>
          <w:rFonts w:ascii="Lato" w:hAnsi="Lato"/>
        </w:rPr>
        <w:t>ę.</w:t>
      </w:r>
    </w:p>
    <w:p w14:paraId="6A243D7D" w14:textId="77777777" w:rsidR="006A0366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</w:p>
    <w:p w14:paraId="0EBAA448" w14:textId="0748106C" w:rsidR="00C01E25" w:rsidRPr="00563043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Z</w:t>
      </w:r>
      <w:r w:rsidR="009F11D2" w:rsidRPr="00563043">
        <w:rPr>
          <w:rFonts w:ascii="Lato" w:hAnsi="Lato"/>
          <w:i/>
          <w:iCs/>
        </w:rPr>
        <w:t>obowiązania</w:t>
      </w:r>
      <w:r w:rsidR="00C01E25" w:rsidRPr="00563043">
        <w:rPr>
          <w:rFonts w:ascii="Lato" w:hAnsi="Lato"/>
          <w:i/>
          <w:iCs/>
        </w:rPr>
        <w:t xml:space="preserve"> międzynarodowe</w:t>
      </w:r>
    </w:p>
    <w:p w14:paraId="75133D30" w14:textId="7983CB35" w:rsidR="00B415B3" w:rsidRDefault="0008655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 xml:space="preserve">Trybunał w pierwszej kolejności zwrócił uwagę, że </w:t>
      </w:r>
      <w:r w:rsidR="00B51599">
        <w:rPr>
          <w:rFonts w:ascii="Lato" w:hAnsi="Lato"/>
        </w:rPr>
        <w:t xml:space="preserve">Unia Europejska jest związana szeregiem umów międzynarodowych, zarówno dwu- jak i wielostronnych, </w:t>
      </w:r>
      <w:r w:rsidR="00B51599" w:rsidRPr="004A1264">
        <w:rPr>
          <w:rFonts w:ascii="Lato" w:hAnsi="Lato"/>
        </w:rPr>
        <w:t>gwarantując</w:t>
      </w:r>
      <w:r w:rsidR="00B51599">
        <w:rPr>
          <w:rFonts w:ascii="Lato" w:hAnsi="Lato"/>
        </w:rPr>
        <w:t>ych</w:t>
      </w:r>
      <w:r w:rsidR="00B51599" w:rsidRPr="004A1264">
        <w:rPr>
          <w:rFonts w:ascii="Lato" w:hAnsi="Lato"/>
        </w:rPr>
        <w:t xml:space="preserve"> na zasadzie wzajemności i równości dostęp do rynku zamówień publicznych</w:t>
      </w:r>
      <w:r w:rsidR="00B51599">
        <w:rPr>
          <w:rFonts w:ascii="Lato" w:hAnsi="Lato"/>
        </w:rPr>
        <w:t xml:space="preserve">. </w:t>
      </w:r>
    </w:p>
    <w:p w14:paraId="3D790BF4" w14:textId="01E85E5D" w:rsidR="00B51599" w:rsidRDefault="00B51599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 xml:space="preserve">Przykładem takiej umowy jest zawarte w ramach Światowej Organizacji Handlu (WTO) wielostronne Porozumienie </w:t>
      </w:r>
      <w:r w:rsidR="008C6575">
        <w:rPr>
          <w:rFonts w:ascii="Lato" w:hAnsi="Lato"/>
        </w:rPr>
        <w:t>w sprawie zamówień rządowych (</w:t>
      </w:r>
      <w:r>
        <w:rPr>
          <w:rFonts w:ascii="Lato" w:hAnsi="Lato"/>
        </w:rPr>
        <w:t>GPA</w:t>
      </w:r>
      <w:r w:rsidR="008C6575">
        <w:rPr>
          <w:rFonts w:ascii="Lato" w:hAnsi="Lato"/>
        </w:rPr>
        <w:t xml:space="preserve">), którego stronami są Unia Europejska w imieniu 27 państw członkowskich </w:t>
      </w:r>
      <w:r w:rsidR="00877498">
        <w:rPr>
          <w:rFonts w:ascii="Lato" w:hAnsi="Lato"/>
        </w:rPr>
        <w:t>oraz</w:t>
      </w:r>
      <w:r w:rsidR="008C6575">
        <w:rPr>
          <w:rFonts w:ascii="Lato" w:hAnsi="Lato"/>
        </w:rPr>
        <w:t xml:space="preserve"> </w:t>
      </w:r>
      <w:r w:rsidR="003409B1">
        <w:rPr>
          <w:rFonts w:ascii="Lato" w:hAnsi="Lato"/>
        </w:rPr>
        <w:t>Armenia, Australia, Czarnogóra, Hong Kong, Islandia, Izrael, Japonia, Kanada, Lichtenstein, Mołdawia, Niderlandy w</w:t>
      </w:r>
      <w:r w:rsidR="007B5132">
        <w:rPr>
          <w:rFonts w:ascii="Lato" w:hAnsi="Lato"/>
        </w:rPr>
        <w:t> </w:t>
      </w:r>
      <w:r w:rsidR="003409B1">
        <w:rPr>
          <w:rFonts w:ascii="Lato" w:hAnsi="Lato"/>
        </w:rPr>
        <w:t>odniesieniu do Aruby, Norwegia, Nowa Zelandia, Południowa Korea, Północna Macedonia, Singapur, Stany Zjednoczone Ameryki Północnej, Szwajcaria, Tajwan, Ukraina oraz Zjednoczone Królestwo Wielkiej Brytanii i Irlandii Północnej</w:t>
      </w:r>
      <w:r w:rsidR="00D71C3E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="00FF7C6E">
        <w:rPr>
          <w:rFonts w:ascii="Lato" w:hAnsi="Lato"/>
        </w:rPr>
        <w:t>R</w:t>
      </w:r>
      <w:r w:rsidR="008C6575">
        <w:rPr>
          <w:rFonts w:ascii="Lato" w:hAnsi="Lato"/>
        </w:rPr>
        <w:t xml:space="preserve">ozdziały dotyczące zamówień publicznych </w:t>
      </w:r>
      <w:r w:rsidR="00FF7C6E">
        <w:rPr>
          <w:rFonts w:ascii="Lato" w:hAnsi="Lato"/>
        </w:rPr>
        <w:t xml:space="preserve">zawierają również </w:t>
      </w:r>
      <w:r>
        <w:rPr>
          <w:rFonts w:ascii="Lato" w:hAnsi="Lato"/>
        </w:rPr>
        <w:t>dwustronne umowy</w:t>
      </w:r>
      <w:r w:rsidR="008C6575">
        <w:rPr>
          <w:rFonts w:ascii="Lato" w:hAnsi="Lato"/>
        </w:rPr>
        <w:t xml:space="preserve"> o wolnym handlu (FTA</w:t>
      </w:r>
      <w:r w:rsidR="00EE284C">
        <w:rPr>
          <w:rFonts w:ascii="Lato" w:hAnsi="Lato"/>
        </w:rPr>
        <w:t>),</w:t>
      </w:r>
      <w:r w:rsidR="003D71C5">
        <w:rPr>
          <w:rFonts w:ascii="Lato" w:hAnsi="Lato"/>
        </w:rPr>
        <w:t xml:space="preserve"> </w:t>
      </w:r>
      <w:r w:rsidR="0029435C">
        <w:rPr>
          <w:rFonts w:ascii="Lato" w:hAnsi="Lato"/>
        </w:rPr>
        <w:t xml:space="preserve">układy </w:t>
      </w:r>
      <w:r w:rsidR="00B415B3">
        <w:rPr>
          <w:rFonts w:ascii="Lato" w:hAnsi="Lato"/>
        </w:rPr>
        <w:t>o</w:t>
      </w:r>
      <w:r w:rsidR="0029435C">
        <w:rPr>
          <w:rFonts w:ascii="Lato" w:hAnsi="Lato"/>
        </w:rPr>
        <w:t xml:space="preserve"> </w:t>
      </w:r>
      <w:r w:rsidR="00EE5921">
        <w:rPr>
          <w:rFonts w:ascii="Lato" w:hAnsi="Lato"/>
        </w:rPr>
        <w:t>st</w:t>
      </w:r>
      <w:r w:rsidR="00B415B3">
        <w:rPr>
          <w:rFonts w:ascii="Lato" w:hAnsi="Lato"/>
        </w:rPr>
        <w:t>a</w:t>
      </w:r>
      <w:r w:rsidR="00EE5921">
        <w:rPr>
          <w:rFonts w:ascii="Lato" w:hAnsi="Lato"/>
        </w:rPr>
        <w:t>bilizacji i stowarzyszeniu (SAA)</w:t>
      </w:r>
      <w:r w:rsidR="00EE284C">
        <w:rPr>
          <w:rFonts w:ascii="Lato" w:hAnsi="Lato"/>
        </w:rPr>
        <w:t>,</w:t>
      </w:r>
      <w:r w:rsidR="00B415B3">
        <w:rPr>
          <w:rFonts w:ascii="Lato" w:hAnsi="Lato"/>
        </w:rPr>
        <w:t xml:space="preserve"> </w:t>
      </w:r>
      <w:r w:rsidR="00A750DB">
        <w:rPr>
          <w:rFonts w:ascii="Lato" w:hAnsi="Lato"/>
        </w:rPr>
        <w:t>układ</w:t>
      </w:r>
      <w:r w:rsidR="00555CA3">
        <w:rPr>
          <w:rFonts w:ascii="Lato" w:hAnsi="Lato"/>
        </w:rPr>
        <w:t>y</w:t>
      </w:r>
      <w:r w:rsidR="00A750DB">
        <w:rPr>
          <w:rFonts w:ascii="Lato" w:hAnsi="Lato"/>
        </w:rPr>
        <w:t xml:space="preserve"> o stowarzyszeniu</w:t>
      </w:r>
      <w:r w:rsidR="007E13FB">
        <w:rPr>
          <w:rFonts w:ascii="Lato" w:hAnsi="Lato"/>
        </w:rPr>
        <w:t xml:space="preserve"> (AA)</w:t>
      </w:r>
      <w:r w:rsidR="007B5132">
        <w:rPr>
          <w:rFonts w:ascii="Lato" w:hAnsi="Lato"/>
        </w:rPr>
        <w:t xml:space="preserve"> czy</w:t>
      </w:r>
      <w:r w:rsidR="00EE284C">
        <w:rPr>
          <w:rFonts w:ascii="Lato" w:hAnsi="Lato"/>
        </w:rPr>
        <w:t xml:space="preserve"> </w:t>
      </w:r>
      <w:r w:rsidR="00537F9E">
        <w:rPr>
          <w:rFonts w:ascii="Lato" w:hAnsi="Lato"/>
        </w:rPr>
        <w:t>umowy o</w:t>
      </w:r>
      <w:r w:rsidR="00C010E8">
        <w:rPr>
          <w:rFonts w:ascii="Lato" w:hAnsi="Lato"/>
        </w:rPr>
        <w:t> </w:t>
      </w:r>
      <w:r w:rsidR="00537F9E">
        <w:rPr>
          <w:rFonts w:ascii="Lato" w:hAnsi="Lato"/>
        </w:rPr>
        <w:t>partnerstwie i współpracy</w:t>
      </w:r>
      <w:r w:rsidR="00E34EE4">
        <w:rPr>
          <w:rFonts w:ascii="Lato" w:hAnsi="Lato"/>
        </w:rPr>
        <w:t xml:space="preserve"> (PCA)</w:t>
      </w:r>
      <w:r>
        <w:rPr>
          <w:rFonts w:ascii="Lato" w:hAnsi="Lato"/>
        </w:rPr>
        <w:t>.</w:t>
      </w:r>
    </w:p>
    <w:p w14:paraId="6587DE3F" w14:textId="77777777" w:rsidR="006A0366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</w:p>
    <w:p w14:paraId="293D214B" w14:textId="195784A3" w:rsidR="00C01E25" w:rsidRPr="00563043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Z</w:t>
      </w:r>
      <w:r w:rsidR="00C01E25" w:rsidRPr="00563043">
        <w:rPr>
          <w:rFonts w:ascii="Lato" w:hAnsi="Lato"/>
          <w:i/>
          <w:iCs/>
        </w:rPr>
        <w:t>akres</w:t>
      </w:r>
    </w:p>
    <w:p w14:paraId="65879C8E" w14:textId="77777777" w:rsidR="00102306" w:rsidRDefault="0071037C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 xml:space="preserve">Odzwierciedleniem </w:t>
      </w:r>
      <w:r w:rsidR="00D45258">
        <w:rPr>
          <w:rFonts w:ascii="Lato" w:hAnsi="Lato"/>
        </w:rPr>
        <w:t xml:space="preserve">wspomnianych </w:t>
      </w:r>
      <w:r>
        <w:rPr>
          <w:rFonts w:ascii="Lato" w:hAnsi="Lato"/>
        </w:rPr>
        <w:t>zobowiązań międzynarodowych Unii Europejskiej są przepisy art. 25 dyrektywy 2014/24/UE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</w:rPr>
        <w:t xml:space="preserve"> i art. 43 dyrektywy 2014/25/UE</w:t>
      </w:r>
      <w:r>
        <w:rPr>
          <w:rStyle w:val="Odwoanieprzypisudolnego"/>
          <w:rFonts w:ascii="Lato" w:hAnsi="Lato"/>
        </w:rPr>
        <w:footnoteReference w:id="2"/>
      </w:r>
      <w:r w:rsidR="00C010E8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="00C010E8">
        <w:rPr>
          <w:rFonts w:ascii="Lato" w:hAnsi="Lato"/>
        </w:rPr>
        <w:t>w</w:t>
      </w:r>
      <w:r>
        <w:rPr>
          <w:rFonts w:ascii="Lato" w:hAnsi="Lato"/>
        </w:rPr>
        <w:t xml:space="preserve"> myśl </w:t>
      </w:r>
      <w:r w:rsidR="00C010E8">
        <w:rPr>
          <w:rFonts w:ascii="Lato" w:hAnsi="Lato"/>
        </w:rPr>
        <w:t>k</w:t>
      </w:r>
      <w:r>
        <w:rPr>
          <w:rFonts w:ascii="Lato" w:hAnsi="Lato"/>
        </w:rPr>
        <w:t>t</w:t>
      </w:r>
      <w:r w:rsidR="00C010E8">
        <w:rPr>
          <w:rFonts w:ascii="Lato" w:hAnsi="Lato"/>
        </w:rPr>
        <w:t>ór</w:t>
      </w:r>
      <w:r>
        <w:rPr>
          <w:rFonts w:ascii="Lato" w:hAnsi="Lato"/>
        </w:rPr>
        <w:t xml:space="preserve">ych </w:t>
      </w:r>
      <w:r w:rsidR="003F0860" w:rsidRPr="003F0860">
        <w:rPr>
          <w:rFonts w:ascii="Lato" w:hAnsi="Lato"/>
          <w:u w:val="single"/>
        </w:rPr>
        <w:t xml:space="preserve">w zakresie, </w:t>
      </w:r>
      <w:r w:rsidR="00FE30CC" w:rsidRPr="003F0860">
        <w:rPr>
          <w:rFonts w:ascii="Lato" w:hAnsi="Lato"/>
          <w:u w:val="single"/>
        </w:rPr>
        <w:t>w jakim przewidują to załączniki 1, 2, 4 i 5 oraz uwagi ogólne do dodatku I Unii Europejskiej do Porozumienia GPA, a także inne umowy, którymi związana jest Unia</w:t>
      </w:r>
      <w:r w:rsidR="00FE30CC" w:rsidRPr="00C70710">
        <w:rPr>
          <w:rFonts w:ascii="Lato" w:hAnsi="Lato"/>
        </w:rPr>
        <w:t xml:space="preserve"> </w:t>
      </w:r>
      <w:r w:rsidR="00C70710" w:rsidRPr="00C70710">
        <w:rPr>
          <w:rFonts w:ascii="Lato" w:hAnsi="Lato"/>
        </w:rPr>
        <w:t xml:space="preserve">instytucje zamawiające </w:t>
      </w:r>
      <w:r w:rsidR="00C70710">
        <w:rPr>
          <w:rFonts w:ascii="Lato" w:hAnsi="Lato"/>
        </w:rPr>
        <w:t>i podmio</w:t>
      </w:r>
      <w:r w:rsidR="007424EF">
        <w:rPr>
          <w:rFonts w:ascii="Lato" w:hAnsi="Lato"/>
        </w:rPr>
        <w:t xml:space="preserve">ty zamawiające mają obowiązek zapewnić </w:t>
      </w:r>
      <w:r w:rsidR="00C70710" w:rsidRPr="00C70710">
        <w:rPr>
          <w:rFonts w:ascii="Lato" w:hAnsi="Lato"/>
        </w:rPr>
        <w:t xml:space="preserve">robotom budowlanym, dostawom, usługom i wykonawcom sygnatariuszy </w:t>
      </w:r>
      <w:r w:rsidR="00102306">
        <w:rPr>
          <w:rFonts w:ascii="Lato" w:hAnsi="Lato"/>
        </w:rPr>
        <w:t xml:space="preserve">tych </w:t>
      </w:r>
      <w:r w:rsidR="00C70710" w:rsidRPr="00C70710">
        <w:rPr>
          <w:rFonts w:ascii="Lato" w:hAnsi="Lato"/>
        </w:rPr>
        <w:t>umów traktowanie nie mniej korzystne niż traktowanie przyznane robotom budowlanym, dostawom, usługom i wykonawcom Unii</w:t>
      </w:r>
      <w:r w:rsidR="00C70710">
        <w:rPr>
          <w:rFonts w:ascii="Lato" w:hAnsi="Lato"/>
        </w:rPr>
        <w:t xml:space="preserve"> </w:t>
      </w:r>
      <w:r w:rsidR="0084112D">
        <w:rPr>
          <w:rFonts w:ascii="Lato" w:hAnsi="Lato"/>
        </w:rPr>
        <w:t>Europejskiej</w:t>
      </w:r>
      <w:r w:rsidR="00C70710" w:rsidRPr="00C70710">
        <w:rPr>
          <w:rFonts w:ascii="Lato" w:hAnsi="Lato"/>
        </w:rPr>
        <w:t>.</w:t>
      </w:r>
      <w:r w:rsidR="00430DA9">
        <w:rPr>
          <w:rFonts w:ascii="Lato" w:hAnsi="Lato"/>
        </w:rPr>
        <w:t xml:space="preserve"> </w:t>
      </w:r>
    </w:p>
    <w:p w14:paraId="3FBC7AFD" w14:textId="6942305C" w:rsidR="00C01E25" w:rsidRPr="00BD5594" w:rsidRDefault="003C1941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Podkreślenia wymaga, że s</w:t>
      </w:r>
      <w:r w:rsidR="008D5CD0">
        <w:rPr>
          <w:rFonts w:ascii="Lato" w:hAnsi="Lato"/>
        </w:rPr>
        <w:t>am fakt związania Unii Europejskiej z państwem trzecim</w:t>
      </w:r>
      <w:r w:rsidR="005212FE">
        <w:rPr>
          <w:rFonts w:ascii="Lato" w:hAnsi="Lato"/>
        </w:rPr>
        <w:t xml:space="preserve"> umową międzynarodową regulującą dostęp do </w:t>
      </w:r>
      <w:r w:rsidR="00A13AA8">
        <w:rPr>
          <w:rFonts w:ascii="Lato" w:hAnsi="Lato"/>
        </w:rPr>
        <w:t>zamówień</w:t>
      </w:r>
      <w:r w:rsidR="005212FE">
        <w:rPr>
          <w:rFonts w:ascii="Lato" w:hAnsi="Lato"/>
        </w:rPr>
        <w:t xml:space="preserve"> publicznych i koncesji, nie </w:t>
      </w:r>
      <w:r w:rsidR="00A13AA8">
        <w:rPr>
          <w:rFonts w:ascii="Lato" w:hAnsi="Lato"/>
        </w:rPr>
        <w:t>jest równoznaczny z pełnym dostępem</w:t>
      </w:r>
      <w:r w:rsidR="00563043">
        <w:rPr>
          <w:rFonts w:ascii="Lato" w:hAnsi="Lato"/>
        </w:rPr>
        <w:t xml:space="preserve">. </w:t>
      </w:r>
      <w:r w:rsidR="001F442C">
        <w:rPr>
          <w:rFonts w:ascii="Lato" w:hAnsi="Lato"/>
        </w:rPr>
        <w:t xml:space="preserve">Poszczególne umowy </w:t>
      </w:r>
      <w:r w:rsidR="005B50C3">
        <w:rPr>
          <w:rFonts w:ascii="Lato" w:hAnsi="Lato"/>
        </w:rPr>
        <w:t xml:space="preserve">międzynarodowe </w:t>
      </w:r>
      <w:r w:rsidR="001F442C">
        <w:rPr>
          <w:rFonts w:ascii="Lato" w:hAnsi="Lato"/>
        </w:rPr>
        <w:t xml:space="preserve">różnią się </w:t>
      </w:r>
      <w:r>
        <w:rPr>
          <w:rFonts w:ascii="Lato" w:hAnsi="Lato"/>
        </w:rPr>
        <w:t xml:space="preserve">bowiem </w:t>
      </w:r>
      <w:r w:rsidR="001F442C">
        <w:rPr>
          <w:rFonts w:ascii="Lato" w:hAnsi="Lato"/>
        </w:rPr>
        <w:lastRenderedPageBreak/>
        <w:t>między sobą zakresem</w:t>
      </w:r>
      <w:r w:rsidR="00D46E18">
        <w:rPr>
          <w:rFonts w:ascii="Lato" w:hAnsi="Lato"/>
        </w:rPr>
        <w:t>, w jakim gwarantują dostęp do rynku zamówień publicznych i koncesji.</w:t>
      </w:r>
      <w:r w:rsidR="000D7437">
        <w:rPr>
          <w:rFonts w:ascii="Lato" w:hAnsi="Lato"/>
        </w:rPr>
        <w:t xml:space="preserve"> </w:t>
      </w:r>
      <w:r w:rsidR="00C01E25" w:rsidRPr="008C23D9">
        <w:rPr>
          <w:rFonts w:ascii="Lato" w:hAnsi="Lato"/>
        </w:rPr>
        <w:t>Komisja Europejska u</w:t>
      </w:r>
      <w:r w:rsidR="000D7437">
        <w:rPr>
          <w:rFonts w:ascii="Lato" w:hAnsi="Lato"/>
        </w:rPr>
        <w:t>dostępni</w:t>
      </w:r>
      <w:r w:rsidR="00C01E25" w:rsidRPr="008C23D9">
        <w:rPr>
          <w:rFonts w:ascii="Lato" w:hAnsi="Lato"/>
        </w:rPr>
        <w:t xml:space="preserve">a narzędzie internetowe pozwalające na ustalenie, czy </w:t>
      </w:r>
      <w:r w:rsidR="001F6702">
        <w:rPr>
          <w:rFonts w:ascii="Lato" w:hAnsi="Lato"/>
        </w:rPr>
        <w:t xml:space="preserve">i w jakim zakresie </w:t>
      </w:r>
      <w:r w:rsidR="00C01E25" w:rsidRPr="008C23D9">
        <w:rPr>
          <w:rFonts w:ascii="Lato" w:hAnsi="Lato"/>
        </w:rPr>
        <w:t>wykonawc</w:t>
      </w:r>
      <w:r w:rsidR="001F6702">
        <w:rPr>
          <w:rFonts w:ascii="Lato" w:hAnsi="Lato"/>
        </w:rPr>
        <w:t>y</w:t>
      </w:r>
      <w:r w:rsidR="00C01E25" w:rsidRPr="008C23D9">
        <w:rPr>
          <w:rFonts w:ascii="Lato" w:hAnsi="Lato"/>
        </w:rPr>
        <w:t xml:space="preserve"> z państwa trzeciego ma</w:t>
      </w:r>
      <w:r w:rsidR="00BD5594">
        <w:rPr>
          <w:rFonts w:ascii="Lato" w:hAnsi="Lato"/>
        </w:rPr>
        <w:t>ją</w:t>
      </w:r>
      <w:r w:rsidR="00C01E25" w:rsidRPr="008C23D9">
        <w:rPr>
          <w:rFonts w:ascii="Lato" w:hAnsi="Lato"/>
        </w:rPr>
        <w:t xml:space="preserve"> zagwarantowany dostęp do zamówień w państwach UE na podstawie zawartych umów międzynarodowych</w:t>
      </w:r>
      <w:r w:rsidR="00AE14D0">
        <w:rPr>
          <w:rFonts w:ascii="Lato" w:hAnsi="Lato"/>
        </w:rPr>
        <w:t xml:space="preserve">, </w:t>
      </w:r>
      <w:r w:rsidR="00C01E25" w:rsidRPr="00BD5594">
        <w:rPr>
          <w:rFonts w:ascii="Lato" w:hAnsi="Lato"/>
        </w:rPr>
        <w:t xml:space="preserve">pod </w:t>
      </w:r>
      <w:r w:rsidR="00BD5594">
        <w:rPr>
          <w:rFonts w:ascii="Lato" w:hAnsi="Lato"/>
        </w:rPr>
        <w:t>adres</w:t>
      </w:r>
      <w:r w:rsidR="00C01E25" w:rsidRPr="00BD5594">
        <w:rPr>
          <w:rFonts w:ascii="Lato" w:hAnsi="Lato"/>
        </w:rPr>
        <w:t xml:space="preserve">em: </w:t>
      </w:r>
      <w:hyperlink r:id="rId7" w:anchor="/procumementlocation" w:history="1">
        <w:r w:rsidR="00C01E25" w:rsidRPr="00BD5594">
          <w:rPr>
            <w:rStyle w:val="Hipercze"/>
            <w:rFonts w:ascii="Lato" w:hAnsi="Lato"/>
          </w:rPr>
          <w:t>https://webgate.ec.europa.eu/procurementbuyers/#/procumementlocation</w:t>
        </w:r>
      </w:hyperlink>
      <w:r w:rsidR="00F41C46">
        <w:t>.</w:t>
      </w:r>
    </w:p>
    <w:p w14:paraId="7D5A28BA" w14:textId="77777777" w:rsidR="006A0366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</w:p>
    <w:p w14:paraId="4DF79EE0" w14:textId="7A9404B1" w:rsidR="00556CC7" w:rsidRPr="00556CC7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K</w:t>
      </w:r>
      <w:r w:rsidR="006579A1">
        <w:rPr>
          <w:rFonts w:ascii="Lato" w:hAnsi="Lato"/>
          <w:i/>
          <w:iCs/>
        </w:rPr>
        <w:t>ompetencj</w:t>
      </w:r>
      <w:r w:rsidR="001C6DDA">
        <w:rPr>
          <w:rFonts w:ascii="Lato" w:hAnsi="Lato"/>
          <w:i/>
          <w:iCs/>
        </w:rPr>
        <w:t>e</w:t>
      </w:r>
      <w:r w:rsidR="00F41C46">
        <w:rPr>
          <w:rFonts w:ascii="Lato" w:hAnsi="Lato"/>
          <w:i/>
          <w:iCs/>
        </w:rPr>
        <w:t xml:space="preserve"> wyłączn</w:t>
      </w:r>
      <w:r w:rsidR="001C6DDA">
        <w:rPr>
          <w:rFonts w:ascii="Lato" w:hAnsi="Lato"/>
          <w:i/>
          <w:iCs/>
        </w:rPr>
        <w:t>e</w:t>
      </w:r>
      <w:r w:rsidR="00F41C46">
        <w:rPr>
          <w:rFonts w:ascii="Lato" w:hAnsi="Lato"/>
          <w:i/>
          <w:iCs/>
        </w:rPr>
        <w:t xml:space="preserve"> UE</w:t>
      </w:r>
    </w:p>
    <w:p w14:paraId="79A51368" w14:textId="77777777" w:rsidR="00EA6A38" w:rsidRDefault="007E6810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D</w:t>
      </w:r>
      <w:r w:rsidR="00151DDA" w:rsidRPr="00151DDA">
        <w:rPr>
          <w:rFonts w:ascii="Lato" w:hAnsi="Lato"/>
        </w:rPr>
        <w:t>ostęp wykonawców z państw trzecich do unijn</w:t>
      </w:r>
      <w:r>
        <w:rPr>
          <w:rFonts w:ascii="Lato" w:hAnsi="Lato"/>
        </w:rPr>
        <w:t>ego</w:t>
      </w:r>
      <w:r w:rsidR="00151DDA" w:rsidRPr="00151DDA">
        <w:rPr>
          <w:rFonts w:ascii="Lato" w:hAnsi="Lato"/>
        </w:rPr>
        <w:t xml:space="preserve"> rynk</w:t>
      </w:r>
      <w:r>
        <w:rPr>
          <w:rFonts w:ascii="Lato" w:hAnsi="Lato"/>
        </w:rPr>
        <w:t>u</w:t>
      </w:r>
      <w:r w:rsidR="00151DDA" w:rsidRPr="00151DDA">
        <w:rPr>
          <w:rFonts w:ascii="Lato" w:hAnsi="Lato"/>
        </w:rPr>
        <w:t xml:space="preserve"> zamówień publicznych </w:t>
      </w:r>
      <w:r w:rsidR="00151DDA">
        <w:rPr>
          <w:rFonts w:ascii="Lato" w:hAnsi="Lato"/>
        </w:rPr>
        <w:t>i</w:t>
      </w:r>
      <w:r w:rsidR="00151DDA" w:rsidRPr="00151DDA">
        <w:rPr>
          <w:rFonts w:ascii="Lato" w:hAnsi="Lato"/>
        </w:rPr>
        <w:t xml:space="preserve"> koncesji wchodzi w zakres wspólnej polityki handlowej, o której mowa w art. 207 </w:t>
      </w:r>
      <w:r w:rsidR="00CD4611" w:rsidRPr="00151DDA">
        <w:rPr>
          <w:rFonts w:ascii="Lato" w:hAnsi="Lato"/>
        </w:rPr>
        <w:t>T</w:t>
      </w:r>
      <w:r w:rsidR="00CD4611">
        <w:rPr>
          <w:rFonts w:ascii="Lato" w:hAnsi="Lato"/>
        </w:rPr>
        <w:t>raktatu o</w:t>
      </w:r>
      <w:r w:rsidR="0064768D">
        <w:rPr>
          <w:rFonts w:ascii="Lato" w:hAnsi="Lato"/>
        </w:rPr>
        <w:t> </w:t>
      </w:r>
      <w:r w:rsidR="00CD4611">
        <w:rPr>
          <w:rFonts w:ascii="Lato" w:hAnsi="Lato"/>
        </w:rPr>
        <w:t xml:space="preserve">funkcjonowaniu </w:t>
      </w:r>
      <w:r w:rsidR="00CD4611" w:rsidRPr="00151DDA">
        <w:rPr>
          <w:rFonts w:ascii="Lato" w:hAnsi="Lato"/>
        </w:rPr>
        <w:t>U</w:t>
      </w:r>
      <w:r w:rsidR="00CD4611">
        <w:rPr>
          <w:rFonts w:ascii="Lato" w:hAnsi="Lato"/>
        </w:rPr>
        <w:t xml:space="preserve">nii </w:t>
      </w:r>
      <w:r w:rsidR="00CD4611" w:rsidRPr="00151DDA">
        <w:rPr>
          <w:rFonts w:ascii="Lato" w:hAnsi="Lato"/>
        </w:rPr>
        <w:t>E</w:t>
      </w:r>
      <w:r w:rsidR="00CD4611">
        <w:rPr>
          <w:rFonts w:ascii="Lato" w:hAnsi="Lato"/>
        </w:rPr>
        <w:t>uropejskiej (TFUE)</w:t>
      </w:r>
      <w:r w:rsidR="00151DDA" w:rsidRPr="00151DDA">
        <w:rPr>
          <w:rFonts w:ascii="Lato" w:hAnsi="Lato"/>
        </w:rPr>
        <w:t xml:space="preserve">. Na mocy art. 3 ust. 1 lit. e) </w:t>
      </w:r>
      <w:r w:rsidR="00CD4611" w:rsidRPr="00151DDA">
        <w:rPr>
          <w:rFonts w:ascii="Lato" w:hAnsi="Lato"/>
        </w:rPr>
        <w:t xml:space="preserve">TFUE </w:t>
      </w:r>
      <w:r w:rsidR="00AC3F41" w:rsidRPr="00151DDA">
        <w:rPr>
          <w:rFonts w:ascii="Lato" w:hAnsi="Lato"/>
        </w:rPr>
        <w:t>wyłączn</w:t>
      </w:r>
      <w:r w:rsidR="00AD385F">
        <w:rPr>
          <w:rFonts w:ascii="Lato" w:hAnsi="Lato"/>
        </w:rPr>
        <w:t>ą</w:t>
      </w:r>
      <w:r w:rsidR="00AC3F41" w:rsidRPr="00151DDA">
        <w:rPr>
          <w:rFonts w:ascii="Lato" w:hAnsi="Lato"/>
        </w:rPr>
        <w:t xml:space="preserve"> kompetencj</w:t>
      </w:r>
      <w:r w:rsidR="00AD385F">
        <w:rPr>
          <w:rFonts w:ascii="Lato" w:hAnsi="Lato"/>
        </w:rPr>
        <w:t>ę</w:t>
      </w:r>
      <w:r w:rsidR="00AC3F41" w:rsidRPr="00151DDA">
        <w:rPr>
          <w:rFonts w:ascii="Lato" w:hAnsi="Lato"/>
        </w:rPr>
        <w:t xml:space="preserve"> w</w:t>
      </w:r>
      <w:r w:rsidR="00CD4611">
        <w:rPr>
          <w:rFonts w:ascii="Lato" w:hAnsi="Lato"/>
        </w:rPr>
        <w:t xml:space="preserve"> </w:t>
      </w:r>
      <w:r w:rsidR="00AC3F41" w:rsidRPr="00151DDA">
        <w:rPr>
          <w:rFonts w:ascii="Lato" w:hAnsi="Lato"/>
        </w:rPr>
        <w:t xml:space="preserve">zakresie wspólnej polityki handlowej </w:t>
      </w:r>
      <w:r w:rsidR="001C6736" w:rsidRPr="00151DDA">
        <w:rPr>
          <w:rFonts w:ascii="Lato" w:hAnsi="Lato"/>
        </w:rPr>
        <w:t xml:space="preserve">ma </w:t>
      </w:r>
      <w:r w:rsidR="00151DDA" w:rsidRPr="00151DDA">
        <w:rPr>
          <w:rFonts w:ascii="Lato" w:hAnsi="Lato"/>
        </w:rPr>
        <w:t>Unia Europejska.</w:t>
      </w:r>
      <w:r w:rsidR="001216EF">
        <w:rPr>
          <w:rFonts w:ascii="Lato" w:hAnsi="Lato"/>
        </w:rPr>
        <w:t xml:space="preserve"> </w:t>
      </w:r>
    </w:p>
    <w:p w14:paraId="4DFF420F" w14:textId="2891BA4E" w:rsidR="00151DDA" w:rsidRDefault="00237829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W</w:t>
      </w:r>
      <w:r w:rsidRPr="00151DDA">
        <w:rPr>
          <w:rFonts w:ascii="Lato" w:hAnsi="Lato"/>
        </w:rPr>
        <w:t xml:space="preserve"> dziedzinach należących do wyłącznej kompetencji Unii Europejskiej,</w:t>
      </w:r>
      <w:r>
        <w:rPr>
          <w:rFonts w:ascii="Lato" w:hAnsi="Lato"/>
        </w:rPr>
        <w:t xml:space="preserve"> </w:t>
      </w:r>
      <w:r w:rsidRPr="00151DDA">
        <w:rPr>
          <w:rFonts w:ascii="Lato" w:hAnsi="Lato"/>
        </w:rPr>
        <w:t>moc</w:t>
      </w:r>
      <w:r>
        <w:rPr>
          <w:rFonts w:ascii="Lato" w:hAnsi="Lato"/>
        </w:rPr>
        <w:t>ą</w:t>
      </w:r>
      <w:r w:rsidR="00151DDA" w:rsidRPr="00151DDA">
        <w:rPr>
          <w:rFonts w:ascii="Lato" w:hAnsi="Lato"/>
        </w:rPr>
        <w:t xml:space="preserve"> art. 2 ust. 1 TFUE, tylko Unia Europejska może stanowić prawo i przyjmować akty prawnie wiążące, a państwa członkowskie mogą to czynić samodzielnie tylko wtedy, gdy zostaną do tego upoważnione przez Unię Europejską lub w celu wykonania aktów UE.</w:t>
      </w:r>
    </w:p>
    <w:p w14:paraId="5EF8B6E2" w14:textId="77777777" w:rsidR="006A0366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</w:p>
    <w:p w14:paraId="258E002C" w14:textId="558B4FA1" w:rsidR="00FD497E" w:rsidRPr="006B6128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U</w:t>
      </w:r>
      <w:r w:rsidR="006B6128">
        <w:rPr>
          <w:rFonts w:ascii="Lato" w:hAnsi="Lato"/>
          <w:i/>
          <w:iCs/>
        </w:rPr>
        <w:t>prawnieni</w:t>
      </w:r>
      <w:r w:rsidR="000E5E39">
        <w:rPr>
          <w:rFonts w:ascii="Lato" w:hAnsi="Lato"/>
          <w:i/>
          <w:iCs/>
        </w:rPr>
        <w:t>e</w:t>
      </w:r>
      <w:r w:rsidR="006B6128">
        <w:rPr>
          <w:rFonts w:ascii="Lato" w:hAnsi="Lato"/>
          <w:i/>
          <w:iCs/>
        </w:rPr>
        <w:t xml:space="preserve"> za</w:t>
      </w:r>
      <w:r w:rsidR="001C6DDA">
        <w:rPr>
          <w:rFonts w:ascii="Lato" w:hAnsi="Lato"/>
          <w:i/>
          <w:iCs/>
        </w:rPr>
        <w:t>mawiającego</w:t>
      </w:r>
    </w:p>
    <w:p w14:paraId="6092E017" w14:textId="77777777" w:rsidR="000201DD" w:rsidRDefault="001C6DDA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 xml:space="preserve">W wyroku w sprawie </w:t>
      </w:r>
      <w:r w:rsidRPr="00E26994">
        <w:rPr>
          <w:rFonts w:ascii="Lato" w:hAnsi="Lato"/>
          <w:i/>
          <w:iCs/>
        </w:rPr>
        <w:t>Kolin</w:t>
      </w:r>
      <w:r>
        <w:rPr>
          <w:rFonts w:ascii="Lato" w:hAnsi="Lato"/>
        </w:rPr>
        <w:t xml:space="preserve"> Trybunał </w:t>
      </w:r>
      <w:r w:rsidR="00276056">
        <w:rPr>
          <w:rFonts w:ascii="Lato" w:hAnsi="Lato"/>
        </w:rPr>
        <w:t>uznał, że w sytuacji</w:t>
      </w:r>
      <w:r w:rsidR="00276056" w:rsidRPr="00276056">
        <w:rPr>
          <w:rFonts w:ascii="Lato" w:hAnsi="Lato"/>
        </w:rPr>
        <w:t xml:space="preserve"> </w:t>
      </w:r>
      <w:r w:rsidR="00276056">
        <w:rPr>
          <w:rFonts w:ascii="Lato" w:hAnsi="Lato"/>
        </w:rPr>
        <w:t>nieprzyjęcia</w:t>
      </w:r>
      <w:r w:rsidR="00276056" w:rsidRPr="00276056">
        <w:rPr>
          <w:rFonts w:ascii="Lato" w:hAnsi="Lato"/>
        </w:rPr>
        <w:t xml:space="preserve"> przez Unię aktów </w:t>
      </w:r>
      <w:r w:rsidR="006552A1" w:rsidRPr="006552A1">
        <w:rPr>
          <w:rFonts w:ascii="Lato" w:hAnsi="Lato"/>
        </w:rPr>
        <w:t>o</w:t>
      </w:r>
      <w:r w:rsidR="006552A1">
        <w:rPr>
          <w:rFonts w:ascii="Lato" w:hAnsi="Lato"/>
        </w:rPr>
        <w:t> </w:t>
      </w:r>
      <w:r w:rsidR="006552A1" w:rsidRPr="006552A1">
        <w:rPr>
          <w:rFonts w:ascii="Lato" w:hAnsi="Lato"/>
        </w:rPr>
        <w:t>charakterze generalnym dotycząc</w:t>
      </w:r>
      <w:r w:rsidR="00BF67A0">
        <w:rPr>
          <w:rFonts w:ascii="Lato" w:hAnsi="Lato"/>
        </w:rPr>
        <w:t>ych</w:t>
      </w:r>
      <w:r w:rsidR="006552A1" w:rsidRPr="006552A1">
        <w:rPr>
          <w:rFonts w:ascii="Lato" w:hAnsi="Lato"/>
        </w:rPr>
        <w:t xml:space="preserve"> dostępu do postępowań o udzielenie zamówienia publicznego w Unii dla wykonawców z państwa trzeciego, które nie zawarło z Unią umowy międzynarodowej gwarantującej równy i wzajemny dostęp do zamówień publicznych, </w:t>
      </w:r>
      <w:r w:rsidR="00276056" w:rsidRPr="00276056">
        <w:rPr>
          <w:rFonts w:ascii="Lato" w:hAnsi="Lato"/>
        </w:rPr>
        <w:t>to do zamawiającego należy dokonanie oceny, czy należy dopuścić do postępowania o</w:t>
      </w:r>
      <w:r w:rsidR="00867AC4">
        <w:rPr>
          <w:rFonts w:ascii="Lato" w:hAnsi="Lato"/>
        </w:rPr>
        <w:t xml:space="preserve"> </w:t>
      </w:r>
      <w:r w:rsidR="00276056" w:rsidRPr="00276056">
        <w:rPr>
          <w:rFonts w:ascii="Lato" w:hAnsi="Lato"/>
        </w:rPr>
        <w:t>udzielenie zamówienia publicznego wykonawców z</w:t>
      </w:r>
      <w:r w:rsidR="00867AC4">
        <w:rPr>
          <w:rFonts w:ascii="Lato" w:hAnsi="Lato"/>
        </w:rPr>
        <w:t xml:space="preserve"> takiego </w:t>
      </w:r>
      <w:r w:rsidR="00276056" w:rsidRPr="00276056">
        <w:rPr>
          <w:rFonts w:ascii="Lato" w:hAnsi="Lato"/>
        </w:rPr>
        <w:t>państwa trzeciego</w:t>
      </w:r>
      <w:r w:rsidR="00867AC4">
        <w:rPr>
          <w:rFonts w:ascii="Lato" w:hAnsi="Lato"/>
        </w:rPr>
        <w:t xml:space="preserve"> i na jakich</w:t>
      </w:r>
      <w:r w:rsidR="00887201">
        <w:rPr>
          <w:rFonts w:ascii="Lato" w:hAnsi="Lato"/>
        </w:rPr>
        <w:t xml:space="preserve"> warunkach.</w:t>
      </w:r>
      <w:r w:rsidR="002836C1">
        <w:rPr>
          <w:rFonts w:ascii="Lato" w:hAnsi="Lato"/>
        </w:rPr>
        <w:t xml:space="preserve"> </w:t>
      </w:r>
    </w:p>
    <w:p w14:paraId="2E8F5FFB" w14:textId="68D189B8" w:rsidR="006B6128" w:rsidRDefault="002836C1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 w:rsidRPr="002836C1">
        <w:rPr>
          <w:rFonts w:ascii="Lato" w:hAnsi="Lato"/>
        </w:rPr>
        <w:t xml:space="preserve">Zważywszy, że wykonawcom z państw trzecich, które nie zawarły z Unią umowy międzynarodowej gwarantującej równy i wzajemny dostęp do zamówień publicznych, nie przysługuje prawo do „nie mniej korzystnego traktowania” na podstawie </w:t>
      </w:r>
      <w:r w:rsidR="000E0ED1">
        <w:rPr>
          <w:rFonts w:ascii="Lato" w:hAnsi="Lato"/>
        </w:rPr>
        <w:t xml:space="preserve">art. </w:t>
      </w:r>
      <w:r w:rsidR="00402E62">
        <w:rPr>
          <w:rFonts w:ascii="Lato" w:hAnsi="Lato"/>
        </w:rPr>
        <w:t>25 dyrektywy 2014/24/UE i art. 43 dyrektywy 2014/25/UE</w:t>
      </w:r>
      <w:r w:rsidRPr="002836C1">
        <w:rPr>
          <w:rFonts w:ascii="Lato" w:hAnsi="Lato"/>
        </w:rPr>
        <w:t>, zamawiający może przedstawić w</w:t>
      </w:r>
      <w:r w:rsidR="000C712E">
        <w:rPr>
          <w:rFonts w:ascii="Lato" w:hAnsi="Lato"/>
        </w:rPr>
        <w:t> </w:t>
      </w:r>
      <w:r w:rsidRPr="002836C1">
        <w:rPr>
          <w:rFonts w:ascii="Lato" w:hAnsi="Lato"/>
        </w:rPr>
        <w:t xml:space="preserve"> dokumentach zamówienia warunki traktowania, które mają odzwierciedlać obiektywną różnicę między sytuacją prawną tych wykonawców a sytuacją prawną wykonawców </w:t>
      </w:r>
      <w:r w:rsidR="000C712E">
        <w:rPr>
          <w:rFonts w:ascii="Lato" w:hAnsi="Lato"/>
        </w:rPr>
        <w:t>unijnych i</w:t>
      </w:r>
      <w:r w:rsidRPr="002836C1">
        <w:rPr>
          <w:rFonts w:ascii="Lato" w:hAnsi="Lato"/>
        </w:rPr>
        <w:t xml:space="preserve"> </w:t>
      </w:r>
      <w:r w:rsidR="000C712E" w:rsidRPr="002836C1">
        <w:rPr>
          <w:rFonts w:ascii="Lato" w:hAnsi="Lato"/>
        </w:rPr>
        <w:t xml:space="preserve">wykonawców </w:t>
      </w:r>
      <w:r w:rsidRPr="002836C1">
        <w:rPr>
          <w:rFonts w:ascii="Lato" w:hAnsi="Lato"/>
        </w:rPr>
        <w:t xml:space="preserve">z państw trzecich, które zawarły z Unią </w:t>
      </w:r>
      <w:r w:rsidR="006E6812">
        <w:rPr>
          <w:rFonts w:ascii="Lato" w:hAnsi="Lato"/>
        </w:rPr>
        <w:t xml:space="preserve">Europejską </w:t>
      </w:r>
      <w:r w:rsidRPr="002836C1">
        <w:rPr>
          <w:rFonts w:ascii="Lato" w:hAnsi="Lato"/>
        </w:rPr>
        <w:t>taką umowę w</w:t>
      </w:r>
      <w:r w:rsidR="006E6812">
        <w:rPr>
          <w:rFonts w:ascii="Lato" w:hAnsi="Lato"/>
        </w:rPr>
        <w:t> </w:t>
      </w:r>
      <w:r w:rsidRPr="002836C1">
        <w:rPr>
          <w:rFonts w:ascii="Lato" w:hAnsi="Lato"/>
        </w:rPr>
        <w:t xml:space="preserve">rozumieniu </w:t>
      </w:r>
      <w:r w:rsidR="006E6812">
        <w:rPr>
          <w:rFonts w:ascii="Lato" w:hAnsi="Lato"/>
        </w:rPr>
        <w:t>przepisów</w:t>
      </w:r>
      <w:r w:rsidRPr="002836C1">
        <w:rPr>
          <w:rFonts w:ascii="Lato" w:hAnsi="Lato"/>
        </w:rPr>
        <w:t xml:space="preserve"> art. </w:t>
      </w:r>
      <w:r w:rsidR="000E0ED1">
        <w:rPr>
          <w:rFonts w:ascii="Lato" w:hAnsi="Lato"/>
        </w:rPr>
        <w:t>25 dyrektywy 2014/24/UE i art. 43 dyrektywy 2014/25/UE</w:t>
      </w:r>
      <w:r w:rsidRPr="002836C1">
        <w:rPr>
          <w:rFonts w:ascii="Lato" w:hAnsi="Lato"/>
        </w:rPr>
        <w:t>.</w:t>
      </w:r>
    </w:p>
    <w:p w14:paraId="3C9FE960" w14:textId="2DD83393" w:rsidR="006A0366" w:rsidRDefault="008A1FE9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 xml:space="preserve">Do zamawiającego należy również dokonanie oceny, czy </w:t>
      </w:r>
      <w:r w:rsidR="005A2578">
        <w:rPr>
          <w:rFonts w:ascii="Lato" w:hAnsi="Lato"/>
        </w:rPr>
        <w:t xml:space="preserve">wykonawcy z państw trzecich, </w:t>
      </w:r>
      <w:r w:rsidR="005A2578" w:rsidRPr="002836C1">
        <w:rPr>
          <w:rFonts w:ascii="Lato" w:hAnsi="Lato"/>
        </w:rPr>
        <w:t>które nie zawarły z Unią umowy międzynarodowej gwarantującej równy i wzajemny dostęp do zamówień publicznych</w:t>
      </w:r>
      <w:r w:rsidR="005A2578">
        <w:rPr>
          <w:rFonts w:ascii="Lato" w:hAnsi="Lato"/>
        </w:rPr>
        <w:t xml:space="preserve"> i koncesji</w:t>
      </w:r>
      <w:r w:rsidR="00F90DBD">
        <w:rPr>
          <w:rFonts w:ascii="Lato" w:hAnsi="Lato"/>
        </w:rPr>
        <w:t xml:space="preserve">, mogą </w:t>
      </w:r>
      <w:r w:rsidR="00E90B59">
        <w:rPr>
          <w:rFonts w:ascii="Lato" w:hAnsi="Lato"/>
        </w:rPr>
        <w:t>uczestniczyć w postępowaniu w charakter</w:t>
      </w:r>
      <w:r w:rsidR="00AA3313">
        <w:rPr>
          <w:rFonts w:ascii="Lato" w:hAnsi="Lato"/>
        </w:rPr>
        <w:t>ze podmiot</w:t>
      </w:r>
      <w:r w:rsidR="00E90B59">
        <w:rPr>
          <w:rFonts w:ascii="Lato" w:hAnsi="Lato"/>
        </w:rPr>
        <w:t xml:space="preserve">u </w:t>
      </w:r>
      <w:r w:rsidR="00AA3313">
        <w:rPr>
          <w:rFonts w:ascii="Lato" w:hAnsi="Lato"/>
        </w:rPr>
        <w:t>udostępniającego zasoby, członka konsorcjum lub podwykonawcy.</w:t>
      </w:r>
    </w:p>
    <w:p w14:paraId="536F7C58" w14:textId="77777777" w:rsidR="001F2C86" w:rsidRDefault="001F2C8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</w:p>
    <w:p w14:paraId="52F20562" w14:textId="77777777" w:rsidR="00112007" w:rsidRDefault="001F2C8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i/>
          <w:iCs/>
        </w:rPr>
      </w:pPr>
      <w:r w:rsidRPr="006A0366">
        <w:rPr>
          <w:rFonts w:ascii="Lato" w:hAnsi="Lato"/>
          <w:i/>
          <w:iCs/>
        </w:rPr>
        <w:t>Zasada przejrzystości</w:t>
      </w:r>
    </w:p>
    <w:p w14:paraId="0FB97652" w14:textId="603B0314" w:rsidR="00B13A17" w:rsidRDefault="00B13A17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  <w:u w:val="single"/>
        </w:rPr>
      </w:pPr>
      <w:r>
        <w:rPr>
          <w:rFonts w:ascii="Lato" w:hAnsi="Lato"/>
        </w:rPr>
        <w:t xml:space="preserve">W omawianym orzeczeniu Trybunał </w:t>
      </w:r>
      <w:r w:rsidR="005B013B">
        <w:rPr>
          <w:rFonts w:ascii="Lato" w:hAnsi="Lato"/>
        </w:rPr>
        <w:t xml:space="preserve">nie wykluczył stosowania </w:t>
      </w:r>
      <w:r w:rsidR="00EC6DEA">
        <w:rPr>
          <w:rFonts w:ascii="Lato" w:hAnsi="Lato"/>
        </w:rPr>
        <w:t>do postępowań z udziałem wykonawców z państw trzecich</w:t>
      </w:r>
      <w:r w:rsidR="00EC6DEA" w:rsidRPr="004A1264">
        <w:rPr>
          <w:rFonts w:ascii="Lato" w:hAnsi="Lato"/>
        </w:rPr>
        <w:t>, z którymi Unia Europejska nie jest związana żadną umową międzynarodową gwarantującą na zasadzie wzajemności i równości dostęp do rynku zamówień publicznych</w:t>
      </w:r>
      <w:r w:rsidR="00EC6DEA">
        <w:rPr>
          <w:rFonts w:ascii="Lato" w:hAnsi="Lato"/>
        </w:rPr>
        <w:t xml:space="preserve"> zasad przejrzystości .</w:t>
      </w:r>
    </w:p>
    <w:p w14:paraId="7C4E32C9" w14:textId="0AF58ABA" w:rsidR="00820EA1" w:rsidRDefault="00BD4F22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lastRenderedPageBreak/>
        <w:t>W myśl art.</w:t>
      </w:r>
      <w:r w:rsidR="00F50709">
        <w:rPr>
          <w:rFonts w:ascii="Lato" w:hAnsi="Lato"/>
        </w:rPr>
        <w:t xml:space="preserve"> </w:t>
      </w:r>
      <w:r w:rsidR="00E234CF">
        <w:rPr>
          <w:rFonts w:ascii="Lato" w:hAnsi="Lato"/>
        </w:rPr>
        <w:t>16</w:t>
      </w:r>
      <w:r>
        <w:rPr>
          <w:rFonts w:ascii="Lato" w:hAnsi="Lato"/>
        </w:rPr>
        <w:t xml:space="preserve"> </w:t>
      </w:r>
      <w:r w:rsidR="00F50709" w:rsidRPr="00F50709">
        <w:rPr>
          <w:rFonts w:ascii="Lato" w:hAnsi="Lato"/>
        </w:rPr>
        <w:t>ustaw</w:t>
      </w:r>
      <w:r w:rsidR="00F50709">
        <w:rPr>
          <w:rFonts w:ascii="Lato" w:hAnsi="Lato"/>
        </w:rPr>
        <w:t xml:space="preserve">y </w:t>
      </w:r>
      <w:r w:rsidR="00F50709" w:rsidRPr="00F50709">
        <w:rPr>
          <w:rFonts w:ascii="Lato" w:hAnsi="Lato"/>
        </w:rPr>
        <w:t>z dnia 11 września 2019 r. – Prawo zamówień publicznych (Dz.U.</w:t>
      </w:r>
      <w:r w:rsidR="00D222EA">
        <w:rPr>
          <w:rFonts w:ascii="Lato" w:hAnsi="Lato"/>
        </w:rPr>
        <w:t> </w:t>
      </w:r>
      <w:r w:rsidR="00F50709" w:rsidRPr="00F50709">
        <w:rPr>
          <w:rFonts w:ascii="Lato" w:hAnsi="Lato"/>
        </w:rPr>
        <w:t>z</w:t>
      </w:r>
      <w:r w:rsidR="00D222EA">
        <w:rPr>
          <w:rFonts w:ascii="Lato" w:hAnsi="Lato"/>
        </w:rPr>
        <w:t> </w:t>
      </w:r>
      <w:r w:rsidR="00F50709" w:rsidRPr="00F50709">
        <w:rPr>
          <w:rFonts w:ascii="Lato" w:hAnsi="Lato"/>
        </w:rPr>
        <w:t>2024 r. poz. 1320)</w:t>
      </w:r>
      <w:r w:rsidR="00F50709">
        <w:rPr>
          <w:rFonts w:ascii="Lato" w:hAnsi="Lato"/>
        </w:rPr>
        <w:t xml:space="preserve"> </w:t>
      </w:r>
      <w:r w:rsidR="00935DFF">
        <w:rPr>
          <w:rFonts w:ascii="Lato" w:hAnsi="Lato"/>
        </w:rPr>
        <w:t>na zamawiającym spoczywa obowiązek przygotowania i</w:t>
      </w:r>
      <w:r w:rsidR="00D222EA">
        <w:rPr>
          <w:rFonts w:ascii="Lato" w:hAnsi="Lato"/>
        </w:rPr>
        <w:t> </w:t>
      </w:r>
      <w:r w:rsidR="00935DFF">
        <w:rPr>
          <w:rFonts w:ascii="Lato" w:hAnsi="Lato"/>
        </w:rPr>
        <w:t>przeprowadzenia postępowania o udzielenie zamówienia publicznego w sposób</w:t>
      </w:r>
      <w:r w:rsidR="00E10D44">
        <w:rPr>
          <w:rFonts w:ascii="Lato" w:hAnsi="Lato"/>
        </w:rPr>
        <w:t xml:space="preserve"> przejrzysty, proporcjonalny i </w:t>
      </w:r>
      <w:r w:rsidR="00E10D44" w:rsidRPr="00E10D44">
        <w:rPr>
          <w:rFonts w:ascii="Lato" w:hAnsi="Lato"/>
        </w:rPr>
        <w:t>zapewniający zachowanie uczciwej konkurencji oraz równe traktowanie wykonawców</w:t>
      </w:r>
      <w:r w:rsidR="00935DFF">
        <w:rPr>
          <w:rFonts w:ascii="Lato" w:hAnsi="Lato"/>
        </w:rPr>
        <w:t xml:space="preserve">. </w:t>
      </w:r>
    </w:p>
    <w:p w14:paraId="033E5ABC" w14:textId="1F323AC6" w:rsidR="00820EA1" w:rsidRDefault="00935DFF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Zasad</w:t>
      </w:r>
      <w:r w:rsidR="00820EA1">
        <w:rPr>
          <w:rFonts w:ascii="Lato" w:hAnsi="Lato"/>
        </w:rPr>
        <w:t>a</w:t>
      </w:r>
      <w:r>
        <w:rPr>
          <w:rFonts w:ascii="Lato" w:hAnsi="Lato"/>
        </w:rPr>
        <w:t xml:space="preserve"> przejrzystości jest zatem </w:t>
      </w:r>
      <w:r w:rsidR="003A6B92">
        <w:rPr>
          <w:rFonts w:ascii="Lato" w:hAnsi="Lato"/>
        </w:rPr>
        <w:t>jedną z podstawowych zasad udzielania zamówień publicznych</w:t>
      </w:r>
      <w:r w:rsidR="00E97756">
        <w:rPr>
          <w:rFonts w:ascii="Lato" w:hAnsi="Lato"/>
        </w:rPr>
        <w:t xml:space="preserve"> i </w:t>
      </w:r>
      <w:r w:rsidR="00820EA1">
        <w:rPr>
          <w:rFonts w:ascii="Lato" w:hAnsi="Lato"/>
        </w:rPr>
        <w:t xml:space="preserve">sprowadza się do obowiązku zapewnienia </w:t>
      </w:r>
      <w:r w:rsidR="00E97756">
        <w:rPr>
          <w:rFonts w:ascii="Lato" w:hAnsi="Lato"/>
        </w:rPr>
        <w:t xml:space="preserve">przez zamawiającego </w:t>
      </w:r>
      <w:r w:rsidR="00820EA1">
        <w:rPr>
          <w:rFonts w:ascii="Lato" w:hAnsi="Lato"/>
        </w:rPr>
        <w:t xml:space="preserve">odpowiedniego </w:t>
      </w:r>
      <w:r w:rsidR="008B1290">
        <w:rPr>
          <w:rFonts w:ascii="Lato" w:hAnsi="Lato"/>
        </w:rPr>
        <w:t xml:space="preserve">poziomu </w:t>
      </w:r>
      <w:r w:rsidR="00820EA1">
        <w:rPr>
          <w:rFonts w:ascii="Lato" w:hAnsi="Lato"/>
        </w:rPr>
        <w:t xml:space="preserve">upublicznienia </w:t>
      </w:r>
      <w:r w:rsidR="00E97756">
        <w:rPr>
          <w:rFonts w:ascii="Lato" w:hAnsi="Lato"/>
        </w:rPr>
        <w:t xml:space="preserve">informacji </w:t>
      </w:r>
      <w:r w:rsidR="008B1290">
        <w:rPr>
          <w:rFonts w:ascii="Lato" w:hAnsi="Lato"/>
        </w:rPr>
        <w:t xml:space="preserve">w zakresie prowadzonego postępowania </w:t>
      </w:r>
      <w:r w:rsidR="0003238D" w:rsidRPr="0003238D">
        <w:rPr>
          <w:rFonts w:ascii="Lato" w:hAnsi="Lato"/>
        </w:rPr>
        <w:t>umożliwiającego</w:t>
      </w:r>
      <w:r w:rsidR="00E97756">
        <w:rPr>
          <w:rFonts w:ascii="Lato" w:hAnsi="Lato"/>
        </w:rPr>
        <w:t xml:space="preserve"> </w:t>
      </w:r>
      <w:r w:rsidR="00E97756" w:rsidRPr="00E97756">
        <w:rPr>
          <w:rFonts w:ascii="Lato" w:hAnsi="Lato"/>
        </w:rPr>
        <w:t>kontrolę bezstronności procedur udzielania zamówień</w:t>
      </w:r>
      <w:r w:rsidR="008B1290">
        <w:rPr>
          <w:rFonts w:ascii="Lato" w:hAnsi="Lato"/>
        </w:rPr>
        <w:t>.</w:t>
      </w:r>
      <w:r w:rsidR="008B1290">
        <w:rPr>
          <w:rStyle w:val="Odwoanieprzypisudolnego"/>
          <w:rFonts w:ascii="Lato" w:hAnsi="Lato"/>
        </w:rPr>
        <w:footnoteReference w:id="3"/>
      </w:r>
    </w:p>
    <w:p w14:paraId="28465D57" w14:textId="77F1E351" w:rsidR="00912972" w:rsidRDefault="00F155CD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  <w:r>
        <w:rPr>
          <w:rFonts w:ascii="Lato" w:hAnsi="Lato"/>
        </w:rPr>
        <w:t>Wszelkie decyzje zamawiającego dotyczące</w:t>
      </w:r>
      <w:r w:rsidR="00BC1AF4">
        <w:rPr>
          <w:rFonts w:ascii="Lato" w:hAnsi="Lato"/>
        </w:rPr>
        <w:t xml:space="preserve"> </w:t>
      </w:r>
      <w:r w:rsidR="00647C02">
        <w:rPr>
          <w:rFonts w:ascii="Lato" w:hAnsi="Lato"/>
        </w:rPr>
        <w:t xml:space="preserve">udziału w postępowaniu </w:t>
      </w:r>
      <w:r w:rsidR="00647C02" w:rsidRPr="002836C1">
        <w:rPr>
          <w:rFonts w:ascii="Lato" w:hAnsi="Lato"/>
        </w:rPr>
        <w:t>wykonawc</w:t>
      </w:r>
      <w:r w:rsidR="00647C02">
        <w:rPr>
          <w:rFonts w:ascii="Lato" w:hAnsi="Lato"/>
        </w:rPr>
        <w:t>ów pochodzących</w:t>
      </w:r>
      <w:r w:rsidR="00647C02" w:rsidRPr="002836C1">
        <w:rPr>
          <w:rFonts w:ascii="Lato" w:hAnsi="Lato"/>
        </w:rPr>
        <w:t xml:space="preserve"> z państw trzecich, które nie zawarły z Unią umowy międzynarodowej gwarantującej równy i wzajemny dostęp do zamówień publicznych, </w:t>
      </w:r>
      <w:r w:rsidR="008B180F">
        <w:rPr>
          <w:rFonts w:ascii="Lato" w:hAnsi="Lato"/>
        </w:rPr>
        <w:t xml:space="preserve">powinny </w:t>
      </w:r>
      <w:r w:rsidR="00BC1AF4">
        <w:rPr>
          <w:rFonts w:ascii="Lato" w:hAnsi="Lato"/>
        </w:rPr>
        <w:t xml:space="preserve">zatem </w:t>
      </w:r>
      <w:r w:rsidR="008B180F">
        <w:rPr>
          <w:rFonts w:ascii="Lato" w:hAnsi="Lato"/>
        </w:rPr>
        <w:t xml:space="preserve">zostać w sposób </w:t>
      </w:r>
      <w:r w:rsidR="00647C02">
        <w:rPr>
          <w:rFonts w:ascii="Lato" w:hAnsi="Lato"/>
        </w:rPr>
        <w:t>odpowiedni upublicznione w dokumentach zamówienia.</w:t>
      </w:r>
    </w:p>
    <w:p w14:paraId="595041AA" w14:textId="77777777" w:rsidR="006A0366" w:rsidRDefault="006A0366" w:rsidP="00112007">
      <w:pPr>
        <w:pStyle w:val="Akapitzlist"/>
        <w:spacing w:before="120" w:after="0" w:line="276" w:lineRule="auto"/>
        <w:ind w:left="0"/>
        <w:contextualSpacing w:val="0"/>
        <w:rPr>
          <w:rFonts w:ascii="Lato" w:hAnsi="Lato"/>
        </w:rPr>
      </w:pPr>
    </w:p>
    <w:p w14:paraId="695E1FE5" w14:textId="5A52EFB1" w:rsidR="00A64DEF" w:rsidRPr="00A35CC9" w:rsidRDefault="00A64DEF" w:rsidP="00112007">
      <w:pPr>
        <w:pStyle w:val="Akapitzlist"/>
        <w:spacing w:before="120" w:after="0" w:line="276" w:lineRule="auto"/>
        <w:ind w:left="0"/>
        <w:rPr>
          <w:rFonts w:ascii="Lato" w:hAnsi="Lato"/>
          <w:b/>
          <w:bCs/>
        </w:rPr>
      </w:pPr>
      <w:hyperlink r:id="rId8" w:history="1">
        <w:r w:rsidRPr="00A35CC9">
          <w:rPr>
            <w:rStyle w:val="Hipercze"/>
            <w:rFonts w:ascii="Lato" w:hAnsi="Lato"/>
            <w:b/>
            <w:bCs/>
          </w:rPr>
          <w:t xml:space="preserve">Jednocześnie przypominamy, że o najważniejszych skutkach wyroku Trybunału dla postępowań prowadzonych na podstawie ustawy </w:t>
        </w:r>
        <w:proofErr w:type="spellStart"/>
        <w:r w:rsidRPr="00A35CC9">
          <w:rPr>
            <w:rStyle w:val="Hipercze"/>
            <w:rFonts w:ascii="Lato" w:hAnsi="Lato"/>
            <w:b/>
            <w:bCs/>
          </w:rPr>
          <w:t>Pzp</w:t>
        </w:r>
        <w:proofErr w:type="spellEnd"/>
        <w:r w:rsidRPr="00A35CC9">
          <w:rPr>
            <w:rStyle w:val="Hipercze"/>
            <w:rFonts w:ascii="Lato" w:hAnsi="Lato"/>
            <w:b/>
            <w:bCs/>
          </w:rPr>
          <w:t xml:space="preserve"> informowaliśmy w komunikacie „Udział wykonawców z państw trzecich w świetle wyroku TSUE w sprawie C-652/22”</w:t>
        </w:r>
      </w:hyperlink>
    </w:p>
    <w:sectPr w:rsidR="00A64DEF" w:rsidRPr="00A3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7639" w14:textId="77777777" w:rsidR="00374EAD" w:rsidRDefault="00374EAD" w:rsidP="008D5B7F">
      <w:pPr>
        <w:spacing w:after="0" w:line="240" w:lineRule="auto"/>
      </w:pPr>
      <w:r>
        <w:separator/>
      </w:r>
    </w:p>
  </w:endnote>
  <w:endnote w:type="continuationSeparator" w:id="0">
    <w:p w14:paraId="6B5855E0" w14:textId="77777777" w:rsidR="00374EAD" w:rsidRDefault="00374EAD" w:rsidP="008D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20EC" w14:textId="77777777" w:rsidR="00374EAD" w:rsidRDefault="00374EAD" w:rsidP="008D5B7F">
      <w:pPr>
        <w:spacing w:after="0" w:line="240" w:lineRule="auto"/>
      </w:pPr>
      <w:r>
        <w:separator/>
      </w:r>
    </w:p>
  </w:footnote>
  <w:footnote w:type="continuationSeparator" w:id="0">
    <w:p w14:paraId="48DA7EE1" w14:textId="77777777" w:rsidR="00374EAD" w:rsidRDefault="00374EAD" w:rsidP="008D5B7F">
      <w:pPr>
        <w:spacing w:after="0" w:line="240" w:lineRule="auto"/>
      </w:pPr>
      <w:r>
        <w:continuationSeparator/>
      </w:r>
    </w:p>
  </w:footnote>
  <w:footnote w:id="1">
    <w:p w14:paraId="7AE0D4D1" w14:textId="216568EE" w:rsidR="0071037C" w:rsidRPr="00B13A17" w:rsidRDefault="0071037C" w:rsidP="0071037C">
      <w:pPr>
        <w:pStyle w:val="Tekstprzypisudolnego"/>
        <w:rPr>
          <w:rFonts w:ascii="Lato" w:hAnsi="Lato"/>
        </w:rPr>
      </w:pPr>
      <w:r w:rsidRPr="00B13A17">
        <w:rPr>
          <w:rStyle w:val="Odwoanieprzypisudolnego"/>
          <w:rFonts w:ascii="Lato" w:hAnsi="Lato"/>
        </w:rPr>
        <w:footnoteRef/>
      </w:r>
      <w:r w:rsidRPr="00B13A17">
        <w:rPr>
          <w:rFonts w:ascii="Lato" w:hAnsi="Lato"/>
        </w:rPr>
        <w:t xml:space="preserve"> </w:t>
      </w:r>
      <w:r w:rsidR="00362BA3" w:rsidRPr="00B13A17">
        <w:rPr>
          <w:rFonts w:ascii="Lato" w:hAnsi="Lato"/>
        </w:rPr>
        <w:t>dyrektywa Parlamentu Europejskiego i Rady 2014/24/UE z dnia 26 lutego 2014 r. w sprawie zamówień publicznych, uchylająca dyrektywę 2004/18/WE (Dz. Urz. UE L 94 z 28.3.2014, str. 65)</w:t>
      </w:r>
    </w:p>
  </w:footnote>
  <w:footnote w:id="2">
    <w:p w14:paraId="1E51450C" w14:textId="7D0BAFCB" w:rsidR="0071037C" w:rsidRPr="00B13A17" w:rsidRDefault="0071037C" w:rsidP="0071037C">
      <w:pPr>
        <w:pStyle w:val="Tekstprzypisudolnego"/>
        <w:rPr>
          <w:rFonts w:ascii="Lato" w:hAnsi="Lato"/>
        </w:rPr>
      </w:pPr>
      <w:r w:rsidRPr="00B13A17">
        <w:rPr>
          <w:rStyle w:val="Odwoanieprzypisudolnego"/>
          <w:rFonts w:ascii="Lato" w:hAnsi="Lato"/>
        </w:rPr>
        <w:footnoteRef/>
      </w:r>
      <w:r w:rsidRPr="00B13A17">
        <w:rPr>
          <w:rFonts w:ascii="Lato" w:hAnsi="Lato"/>
        </w:rPr>
        <w:t xml:space="preserve"> </w:t>
      </w:r>
      <w:r w:rsidR="000E21C6" w:rsidRPr="00B13A17">
        <w:rPr>
          <w:rFonts w:ascii="Lato" w:hAnsi="Lato"/>
        </w:rPr>
        <w:t>dyrektywa Parlamentu Europejskiego i Rady 2014/25/UE z dnia 26 lutego 2014 r. w sprawie udzielania zamówień przez podmioty działające w sektorach gospodarki wodnej, energetyki, transportu i usług pocztowych, uchylająca dyrektywę 2004/17/WE (Dz. Urz. UE L 94 z 28.3.2014, str. 243)</w:t>
      </w:r>
    </w:p>
  </w:footnote>
  <w:footnote w:id="3">
    <w:p w14:paraId="0460C60F" w14:textId="1FDBAE2E" w:rsidR="008B1290" w:rsidRPr="00B13A17" w:rsidRDefault="008B1290">
      <w:pPr>
        <w:pStyle w:val="Tekstprzypisudolnego"/>
        <w:rPr>
          <w:rFonts w:ascii="Lato" w:hAnsi="Lato"/>
        </w:rPr>
      </w:pPr>
      <w:r w:rsidRPr="00B13A17">
        <w:rPr>
          <w:rStyle w:val="Odwoanieprzypisudolnego"/>
          <w:rFonts w:ascii="Lato" w:hAnsi="Lato"/>
        </w:rPr>
        <w:footnoteRef/>
      </w:r>
      <w:r w:rsidRPr="00B13A17">
        <w:rPr>
          <w:rFonts w:ascii="Lato" w:hAnsi="Lato"/>
        </w:rPr>
        <w:t xml:space="preserve"> por. </w:t>
      </w:r>
      <w:r w:rsidR="00F611B0" w:rsidRPr="00B13A17">
        <w:rPr>
          <w:rFonts w:ascii="Lato" w:hAnsi="Lato"/>
        </w:rPr>
        <w:t>H. Nowak, M. Winiarz (red.), Prawo Zamówień Publicznych. Komentarz.</w:t>
      </w:r>
      <w:r w:rsidR="00C25A93" w:rsidRPr="00B13A17">
        <w:rPr>
          <w:rFonts w:ascii="Lato" w:hAnsi="Lato"/>
        </w:rPr>
        <w:t xml:space="preserve"> Wydanie II</w:t>
      </w:r>
      <w:r w:rsidR="00F611B0" w:rsidRPr="00B13A17">
        <w:rPr>
          <w:rFonts w:ascii="Lato" w:hAnsi="Lato"/>
        </w:rPr>
        <w:t>, Warszawa 202</w:t>
      </w:r>
      <w:r w:rsidR="00C25A93" w:rsidRPr="00B13A17">
        <w:rPr>
          <w:rFonts w:ascii="Lato" w:hAnsi="Lato"/>
        </w:rPr>
        <w:t>3</w:t>
      </w:r>
      <w:r w:rsidR="00F611B0" w:rsidRPr="00B13A17">
        <w:rPr>
          <w:rFonts w:ascii="Lato" w:hAnsi="Lato"/>
        </w:rPr>
        <w:t>, str.</w:t>
      </w:r>
      <w:r w:rsidR="00C25A93" w:rsidRPr="00B13A17">
        <w:rPr>
          <w:rFonts w:ascii="Lato" w:hAnsi="Lato"/>
        </w:rPr>
        <w:t xml:space="preserve"> 159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73860"/>
    <w:multiLevelType w:val="hybridMultilevel"/>
    <w:tmpl w:val="F35258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25"/>
    <w:rsid w:val="000201DD"/>
    <w:rsid w:val="0003238D"/>
    <w:rsid w:val="00086556"/>
    <w:rsid w:val="000C46BF"/>
    <w:rsid w:val="000C712E"/>
    <w:rsid w:val="000D7336"/>
    <w:rsid w:val="000D7437"/>
    <w:rsid w:val="000E0ED1"/>
    <w:rsid w:val="000E21C6"/>
    <w:rsid w:val="000E5E39"/>
    <w:rsid w:val="00102306"/>
    <w:rsid w:val="00106BD0"/>
    <w:rsid w:val="00112007"/>
    <w:rsid w:val="001216EF"/>
    <w:rsid w:val="00147BD4"/>
    <w:rsid w:val="00151DDA"/>
    <w:rsid w:val="001C6736"/>
    <w:rsid w:val="001C6DDA"/>
    <w:rsid w:val="001E390F"/>
    <w:rsid w:val="001F2260"/>
    <w:rsid w:val="001F2917"/>
    <w:rsid w:val="001F2C86"/>
    <w:rsid w:val="001F442C"/>
    <w:rsid w:val="001F6702"/>
    <w:rsid w:val="0020549D"/>
    <w:rsid w:val="00237829"/>
    <w:rsid w:val="00276056"/>
    <w:rsid w:val="002836C1"/>
    <w:rsid w:val="0029435C"/>
    <w:rsid w:val="002A48E7"/>
    <w:rsid w:val="003373A5"/>
    <w:rsid w:val="003409B1"/>
    <w:rsid w:val="00347EAC"/>
    <w:rsid w:val="00352A79"/>
    <w:rsid w:val="00362BA3"/>
    <w:rsid w:val="00374EAD"/>
    <w:rsid w:val="003A6B92"/>
    <w:rsid w:val="003B26BD"/>
    <w:rsid w:val="003C1941"/>
    <w:rsid w:val="003D10EF"/>
    <w:rsid w:val="003D71C5"/>
    <w:rsid w:val="003F0860"/>
    <w:rsid w:val="00402E62"/>
    <w:rsid w:val="00414925"/>
    <w:rsid w:val="004254E9"/>
    <w:rsid w:val="00430DA9"/>
    <w:rsid w:val="004A1264"/>
    <w:rsid w:val="004C0071"/>
    <w:rsid w:val="004C1B85"/>
    <w:rsid w:val="005212FE"/>
    <w:rsid w:val="00525085"/>
    <w:rsid w:val="00537F9E"/>
    <w:rsid w:val="00555CA3"/>
    <w:rsid w:val="00556CC7"/>
    <w:rsid w:val="005570F3"/>
    <w:rsid w:val="00563043"/>
    <w:rsid w:val="005A2578"/>
    <w:rsid w:val="005B013B"/>
    <w:rsid w:val="005B50C3"/>
    <w:rsid w:val="005C0829"/>
    <w:rsid w:val="005E219B"/>
    <w:rsid w:val="0061641A"/>
    <w:rsid w:val="0064768D"/>
    <w:rsid w:val="00647C02"/>
    <w:rsid w:val="006552A1"/>
    <w:rsid w:val="006579A1"/>
    <w:rsid w:val="006A0366"/>
    <w:rsid w:val="006B3A65"/>
    <w:rsid w:val="006B6128"/>
    <w:rsid w:val="006E6812"/>
    <w:rsid w:val="0071037C"/>
    <w:rsid w:val="007421D3"/>
    <w:rsid w:val="007424EF"/>
    <w:rsid w:val="00757D30"/>
    <w:rsid w:val="007B5132"/>
    <w:rsid w:val="007E13FB"/>
    <w:rsid w:val="007E6810"/>
    <w:rsid w:val="007E7AE9"/>
    <w:rsid w:val="00811B10"/>
    <w:rsid w:val="00815A96"/>
    <w:rsid w:val="00820EA1"/>
    <w:rsid w:val="00834047"/>
    <w:rsid w:val="0084112D"/>
    <w:rsid w:val="008659C0"/>
    <w:rsid w:val="00867AC4"/>
    <w:rsid w:val="00877362"/>
    <w:rsid w:val="00877498"/>
    <w:rsid w:val="00887201"/>
    <w:rsid w:val="008902BD"/>
    <w:rsid w:val="008A1FE9"/>
    <w:rsid w:val="008B1290"/>
    <w:rsid w:val="008B180F"/>
    <w:rsid w:val="008C6575"/>
    <w:rsid w:val="008D3F32"/>
    <w:rsid w:val="008D5B7F"/>
    <w:rsid w:val="008D5CD0"/>
    <w:rsid w:val="00912972"/>
    <w:rsid w:val="009210A1"/>
    <w:rsid w:val="0092141B"/>
    <w:rsid w:val="00935DFF"/>
    <w:rsid w:val="009B6A34"/>
    <w:rsid w:val="009B7CB1"/>
    <w:rsid w:val="009F11D2"/>
    <w:rsid w:val="00A13AA8"/>
    <w:rsid w:val="00A26BE9"/>
    <w:rsid w:val="00A35CC9"/>
    <w:rsid w:val="00A64DEF"/>
    <w:rsid w:val="00A66E0B"/>
    <w:rsid w:val="00A750DB"/>
    <w:rsid w:val="00AA3313"/>
    <w:rsid w:val="00AB577A"/>
    <w:rsid w:val="00AC3F41"/>
    <w:rsid w:val="00AD385F"/>
    <w:rsid w:val="00AE14D0"/>
    <w:rsid w:val="00B13A17"/>
    <w:rsid w:val="00B415B3"/>
    <w:rsid w:val="00B51599"/>
    <w:rsid w:val="00B70E0C"/>
    <w:rsid w:val="00B96657"/>
    <w:rsid w:val="00BC1AF4"/>
    <w:rsid w:val="00BD4F22"/>
    <w:rsid w:val="00BD5594"/>
    <w:rsid w:val="00BF67A0"/>
    <w:rsid w:val="00C010E8"/>
    <w:rsid w:val="00C01E25"/>
    <w:rsid w:val="00C25A93"/>
    <w:rsid w:val="00C70710"/>
    <w:rsid w:val="00C831D5"/>
    <w:rsid w:val="00CA7C8B"/>
    <w:rsid w:val="00CD4611"/>
    <w:rsid w:val="00CE7B2D"/>
    <w:rsid w:val="00CF7BCF"/>
    <w:rsid w:val="00D101A6"/>
    <w:rsid w:val="00D222EA"/>
    <w:rsid w:val="00D45258"/>
    <w:rsid w:val="00D46E18"/>
    <w:rsid w:val="00D5084B"/>
    <w:rsid w:val="00D53DAA"/>
    <w:rsid w:val="00D71C3E"/>
    <w:rsid w:val="00D76F85"/>
    <w:rsid w:val="00D92DF0"/>
    <w:rsid w:val="00DB4906"/>
    <w:rsid w:val="00DF539B"/>
    <w:rsid w:val="00E10D44"/>
    <w:rsid w:val="00E234CF"/>
    <w:rsid w:val="00E26994"/>
    <w:rsid w:val="00E31ECA"/>
    <w:rsid w:val="00E34EE4"/>
    <w:rsid w:val="00E71CAB"/>
    <w:rsid w:val="00E90B59"/>
    <w:rsid w:val="00E97756"/>
    <w:rsid w:val="00EA6A38"/>
    <w:rsid w:val="00EC4F28"/>
    <w:rsid w:val="00EC6DEA"/>
    <w:rsid w:val="00EE284C"/>
    <w:rsid w:val="00EE5921"/>
    <w:rsid w:val="00F155CD"/>
    <w:rsid w:val="00F32D4B"/>
    <w:rsid w:val="00F41C46"/>
    <w:rsid w:val="00F431CA"/>
    <w:rsid w:val="00F45AD6"/>
    <w:rsid w:val="00F50709"/>
    <w:rsid w:val="00F611B0"/>
    <w:rsid w:val="00F71965"/>
    <w:rsid w:val="00F81FF2"/>
    <w:rsid w:val="00F90DBD"/>
    <w:rsid w:val="00F91967"/>
    <w:rsid w:val="00F97FB1"/>
    <w:rsid w:val="00FD497E"/>
    <w:rsid w:val="00FD5ADE"/>
    <w:rsid w:val="00FE30CC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E878"/>
  <w15:chartTrackingRefBased/>
  <w15:docId w15:val="{504B7845-4DF3-4A9A-AC72-F5525522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E25"/>
  </w:style>
  <w:style w:type="paragraph" w:styleId="Nagwek1">
    <w:name w:val="heading 1"/>
    <w:basedOn w:val="Normalny"/>
    <w:next w:val="Normalny"/>
    <w:link w:val="Nagwek1Znak"/>
    <w:uiPriority w:val="9"/>
    <w:qFormat/>
    <w:rsid w:val="00C0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E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1E25"/>
    <w:rPr>
      <w:color w:val="467886" w:themeColor="hyperlink"/>
      <w:u w:val="single"/>
    </w:rPr>
  </w:style>
  <w:style w:type="paragraph" w:customStyle="1" w:styleId="xmsonormal">
    <w:name w:val="x_msonormal"/>
    <w:basedOn w:val="Normalny"/>
    <w:rsid w:val="00C01E25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431CA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B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B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B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CC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2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990">
          <w:marLeft w:val="14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udzial-wykonawcow-z-panstw-trzecich-w-swietle-wyroku-tsue-w-sprawie-c-65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procurementbuy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5819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Udział wykonawców z państw trzecich w świetle wyroku TSUE z dnia 22 października 2024 r. w sprawie C-652/22 Kolin Inşaat Turizm Sanayi ve Ticaret AȘ przeciwko Državna komisija za kontrolu postupaka javne nabave, ECLI:EU:C:2024:910</dc:title>
  <dc:subject/>
  <dc:creator>Michal.Trybusz@uzp.gov.pl</dc:creator>
  <cp:keywords/>
  <dc:description/>
  <cp:lastModifiedBy>Trybusz Michał</cp:lastModifiedBy>
  <cp:revision>2</cp:revision>
  <cp:lastPrinted>2025-01-29T06:47:00Z</cp:lastPrinted>
  <dcterms:created xsi:type="dcterms:W3CDTF">2025-01-29T09:19:00Z</dcterms:created>
  <dcterms:modified xsi:type="dcterms:W3CDTF">2025-01-29T09:19:00Z</dcterms:modified>
</cp:coreProperties>
</file>