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E9E24" w14:textId="77777777" w:rsidR="00A77B3E" w:rsidRPr="00607BDE" w:rsidRDefault="00A77B3E">
      <w:pPr>
        <w:rPr>
          <w:lang w:val="en-GB"/>
        </w:rPr>
      </w:pPr>
      <w:bookmarkStart w:id="0" w:name="_GoBack"/>
      <w:bookmarkEnd w:id="0"/>
    </w:p>
    <w:p w14:paraId="71F59627" w14:textId="77777777" w:rsidR="00A77B3E" w:rsidRPr="00607BDE" w:rsidRDefault="00C401B9">
      <w:pPr>
        <w:jc w:val="center"/>
        <w:rPr>
          <w:color w:val="000000"/>
          <w:sz w:val="32"/>
          <w:lang w:val="en-GB"/>
        </w:rPr>
      </w:pPr>
      <w:r w:rsidRPr="00607BDE">
        <w:rPr>
          <w:color w:val="000000"/>
          <w:sz w:val="32"/>
          <w:lang w:val="en-GB"/>
        </w:rPr>
        <w:t>SFC2021 Programme supported by the AMIF, the ISF and the BMVI</w:t>
      </w:r>
    </w:p>
    <w:p w14:paraId="758E5684" w14:textId="77777777" w:rsidR="00A77B3E" w:rsidRPr="00607BDE" w:rsidRDefault="00A77B3E">
      <w:pPr>
        <w:jc w:val="center"/>
        <w:rPr>
          <w:color w:val="000000"/>
          <w:sz w:val="32"/>
          <w:lang w:val="en-GB"/>
        </w:rPr>
      </w:pPr>
    </w:p>
    <w:p w14:paraId="709A0BFF" w14:textId="77777777" w:rsidR="00A77B3E" w:rsidRPr="00607BDE" w:rsidRDefault="00A77B3E">
      <w:pPr>
        <w:jc w:val="center"/>
        <w:rPr>
          <w:color w:val="000000"/>
          <w:sz w:val="3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AC7127" w:rsidRPr="00607BDE" w14:paraId="408053F5" w14:textId="77777777">
        <w:trPr>
          <w:trHeight w:val="240"/>
        </w:trPr>
        <w:tc>
          <w:tcPr>
            <w:tcW w:w="1667" w:type="pct"/>
            <w:tcMar>
              <w:left w:w="100" w:type="dxa"/>
              <w:right w:w="100" w:type="dxa"/>
            </w:tcMar>
          </w:tcPr>
          <w:p w14:paraId="60CB3430" w14:textId="77777777" w:rsidR="00A77B3E" w:rsidRPr="00607BDE" w:rsidRDefault="00C401B9">
            <w:pPr>
              <w:rPr>
                <w:color w:val="000000"/>
                <w:lang w:val="en-GB"/>
              </w:rPr>
            </w:pPr>
            <w:r w:rsidRPr="00607BDE">
              <w:rPr>
                <w:color w:val="000000"/>
                <w:lang w:val="en-GB"/>
              </w:rPr>
              <w:t>CCI number</w:t>
            </w:r>
          </w:p>
        </w:tc>
        <w:tc>
          <w:tcPr>
            <w:tcW w:w="1667" w:type="pct"/>
            <w:tcMar>
              <w:left w:w="100" w:type="dxa"/>
              <w:right w:w="100" w:type="dxa"/>
            </w:tcMar>
          </w:tcPr>
          <w:p w14:paraId="6E9E0DB2" w14:textId="77777777" w:rsidR="00A77B3E" w:rsidRPr="00607BDE" w:rsidRDefault="00C401B9">
            <w:pPr>
              <w:rPr>
                <w:color w:val="000000"/>
                <w:lang w:val="en-GB"/>
              </w:rPr>
            </w:pPr>
            <w:r w:rsidRPr="00607BDE">
              <w:rPr>
                <w:color w:val="000000"/>
                <w:lang w:val="en-GB"/>
              </w:rPr>
              <w:t>2021PL65BVPR001</w:t>
            </w:r>
          </w:p>
        </w:tc>
      </w:tr>
      <w:tr w:rsidR="00AC7127" w:rsidRPr="00607BDE" w14:paraId="31FFC87A" w14:textId="77777777">
        <w:trPr>
          <w:trHeight w:val="240"/>
        </w:trPr>
        <w:tc>
          <w:tcPr>
            <w:tcW w:w="1667" w:type="pct"/>
            <w:tcMar>
              <w:left w:w="100" w:type="dxa"/>
              <w:right w:w="100" w:type="dxa"/>
            </w:tcMar>
          </w:tcPr>
          <w:p w14:paraId="1621C63B" w14:textId="77777777" w:rsidR="00A77B3E" w:rsidRPr="00607BDE" w:rsidRDefault="00C401B9">
            <w:pPr>
              <w:rPr>
                <w:color w:val="000000"/>
                <w:lang w:val="en-GB"/>
              </w:rPr>
            </w:pPr>
            <w:r w:rsidRPr="00607BDE">
              <w:rPr>
                <w:color w:val="000000"/>
                <w:lang w:val="en-GB"/>
              </w:rPr>
              <w:t>Title in English</w:t>
            </w:r>
          </w:p>
        </w:tc>
        <w:tc>
          <w:tcPr>
            <w:tcW w:w="1667" w:type="pct"/>
            <w:tcMar>
              <w:left w:w="100" w:type="dxa"/>
              <w:right w:w="100" w:type="dxa"/>
            </w:tcMar>
          </w:tcPr>
          <w:p w14:paraId="28BE9250" w14:textId="77777777" w:rsidR="00A77B3E" w:rsidRPr="00607BDE" w:rsidRDefault="00C401B9">
            <w:pPr>
              <w:rPr>
                <w:color w:val="000000"/>
                <w:lang w:val="en-GB"/>
              </w:rPr>
            </w:pPr>
            <w:r w:rsidRPr="00607BDE">
              <w:rPr>
                <w:color w:val="000000"/>
                <w:lang w:val="en-GB"/>
              </w:rPr>
              <w:t>Programme Poland - BMVI</w:t>
            </w:r>
          </w:p>
        </w:tc>
      </w:tr>
      <w:tr w:rsidR="00AC7127" w:rsidRPr="00607BDE" w14:paraId="3717F603" w14:textId="77777777">
        <w:trPr>
          <w:trHeight w:val="240"/>
        </w:trPr>
        <w:tc>
          <w:tcPr>
            <w:tcW w:w="1667" w:type="pct"/>
            <w:tcMar>
              <w:left w:w="100" w:type="dxa"/>
              <w:right w:w="100" w:type="dxa"/>
            </w:tcMar>
          </w:tcPr>
          <w:p w14:paraId="3CBAB9C0" w14:textId="77777777" w:rsidR="00A77B3E" w:rsidRPr="00607BDE" w:rsidRDefault="00C401B9">
            <w:pPr>
              <w:rPr>
                <w:color w:val="000000"/>
                <w:lang w:val="en-GB"/>
              </w:rPr>
            </w:pPr>
            <w:r w:rsidRPr="00607BDE">
              <w:rPr>
                <w:color w:val="000000"/>
                <w:lang w:val="en-GB"/>
              </w:rPr>
              <w:t>Title in the national language/languages</w:t>
            </w:r>
          </w:p>
        </w:tc>
        <w:tc>
          <w:tcPr>
            <w:tcW w:w="1667" w:type="pct"/>
            <w:tcMar>
              <w:left w:w="100" w:type="dxa"/>
              <w:right w:w="100" w:type="dxa"/>
            </w:tcMar>
          </w:tcPr>
          <w:p w14:paraId="6274D4E3" w14:textId="77777777" w:rsidR="00A77B3E" w:rsidRPr="00607BDE" w:rsidRDefault="00C401B9">
            <w:pPr>
              <w:rPr>
                <w:color w:val="000000"/>
                <w:lang w:val="en-GB"/>
              </w:rPr>
            </w:pPr>
            <w:r w:rsidRPr="00607BDE">
              <w:rPr>
                <w:color w:val="000000"/>
                <w:lang w:val="en-GB"/>
              </w:rPr>
              <w:t>PL - Polski Program IZGW</w:t>
            </w:r>
          </w:p>
        </w:tc>
      </w:tr>
      <w:tr w:rsidR="00AC7127" w:rsidRPr="00607BDE" w14:paraId="2421FC74" w14:textId="77777777">
        <w:trPr>
          <w:trHeight w:val="240"/>
        </w:trPr>
        <w:tc>
          <w:tcPr>
            <w:tcW w:w="1667" w:type="pct"/>
            <w:tcMar>
              <w:left w:w="100" w:type="dxa"/>
              <w:right w:w="100" w:type="dxa"/>
            </w:tcMar>
          </w:tcPr>
          <w:p w14:paraId="2D4599FF" w14:textId="77777777" w:rsidR="00A77B3E" w:rsidRPr="00607BDE" w:rsidRDefault="00C401B9">
            <w:pPr>
              <w:rPr>
                <w:color w:val="000000"/>
                <w:lang w:val="en-GB"/>
              </w:rPr>
            </w:pPr>
            <w:r w:rsidRPr="00607BDE">
              <w:rPr>
                <w:color w:val="000000"/>
                <w:lang w:val="en-GB"/>
              </w:rPr>
              <w:t>Version</w:t>
            </w:r>
          </w:p>
        </w:tc>
        <w:tc>
          <w:tcPr>
            <w:tcW w:w="1667" w:type="pct"/>
            <w:tcMar>
              <w:left w:w="100" w:type="dxa"/>
              <w:right w:w="100" w:type="dxa"/>
            </w:tcMar>
          </w:tcPr>
          <w:p w14:paraId="62319B5C" w14:textId="77777777" w:rsidR="00A77B3E" w:rsidRPr="00607BDE" w:rsidRDefault="00C401B9">
            <w:pPr>
              <w:rPr>
                <w:color w:val="000000"/>
                <w:lang w:val="en-GB"/>
              </w:rPr>
            </w:pPr>
            <w:r w:rsidRPr="00607BDE">
              <w:rPr>
                <w:color w:val="000000"/>
                <w:lang w:val="en-GB"/>
              </w:rPr>
              <w:t>1.1</w:t>
            </w:r>
          </w:p>
        </w:tc>
      </w:tr>
      <w:tr w:rsidR="00AC7127" w:rsidRPr="00607BDE" w14:paraId="21DEEA7D" w14:textId="77777777">
        <w:trPr>
          <w:trHeight w:val="240"/>
        </w:trPr>
        <w:tc>
          <w:tcPr>
            <w:tcW w:w="1667" w:type="pct"/>
            <w:tcMar>
              <w:left w:w="100" w:type="dxa"/>
              <w:right w:w="100" w:type="dxa"/>
            </w:tcMar>
          </w:tcPr>
          <w:p w14:paraId="46DEB46C" w14:textId="77777777" w:rsidR="00A77B3E" w:rsidRPr="00607BDE" w:rsidRDefault="00C401B9">
            <w:pPr>
              <w:rPr>
                <w:color w:val="000000"/>
                <w:lang w:val="en-GB"/>
              </w:rPr>
            </w:pPr>
            <w:r w:rsidRPr="00607BDE">
              <w:rPr>
                <w:color w:val="000000"/>
                <w:lang w:val="en-GB"/>
              </w:rPr>
              <w:t>First year</w:t>
            </w:r>
          </w:p>
        </w:tc>
        <w:tc>
          <w:tcPr>
            <w:tcW w:w="1667" w:type="pct"/>
            <w:tcMar>
              <w:left w:w="100" w:type="dxa"/>
              <w:right w:w="100" w:type="dxa"/>
            </w:tcMar>
          </w:tcPr>
          <w:p w14:paraId="68BC7B9B" w14:textId="77777777" w:rsidR="00A77B3E" w:rsidRPr="00607BDE" w:rsidRDefault="00C401B9">
            <w:pPr>
              <w:rPr>
                <w:color w:val="000000"/>
                <w:lang w:val="en-GB"/>
              </w:rPr>
            </w:pPr>
            <w:r w:rsidRPr="00607BDE">
              <w:rPr>
                <w:color w:val="000000"/>
                <w:lang w:val="en-GB"/>
              </w:rPr>
              <w:t>2021</w:t>
            </w:r>
          </w:p>
        </w:tc>
      </w:tr>
      <w:tr w:rsidR="00AC7127" w:rsidRPr="00607BDE" w14:paraId="6BCF35F1" w14:textId="77777777">
        <w:trPr>
          <w:trHeight w:val="240"/>
        </w:trPr>
        <w:tc>
          <w:tcPr>
            <w:tcW w:w="1667" w:type="pct"/>
            <w:tcMar>
              <w:left w:w="100" w:type="dxa"/>
              <w:right w:w="100" w:type="dxa"/>
            </w:tcMar>
          </w:tcPr>
          <w:p w14:paraId="7FD67694" w14:textId="77777777" w:rsidR="00A77B3E" w:rsidRPr="00607BDE" w:rsidRDefault="00C401B9">
            <w:pPr>
              <w:rPr>
                <w:color w:val="000000"/>
                <w:lang w:val="en-GB"/>
              </w:rPr>
            </w:pPr>
            <w:r w:rsidRPr="00607BDE">
              <w:rPr>
                <w:color w:val="000000"/>
                <w:lang w:val="en-GB"/>
              </w:rPr>
              <w:t>Last year</w:t>
            </w:r>
          </w:p>
        </w:tc>
        <w:tc>
          <w:tcPr>
            <w:tcW w:w="1667" w:type="pct"/>
            <w:tcMar>
              <w:left w:w="100" w:type="dxa"/>
              <w:right w:w="100" w:type="dxa"/>
            </w:tcMar>
          </w:tcPr>
          <w:p w14:paraId="618FFC4E" w14:textId="77777777" w:rsidR="00A77B3E" w:rsidRPr="00607BDE" w:rsidRDefault="00C401B9">
            <w:pPr>
              <w:rPr>
                <w:color w:val="000000"/>
                <w:lang w:val="en-GB"/>
              </w:rPr>
            </w:pPr>
            <w:r w:rsidRPr="00607BDE">
              <w:rPr>
                <w:color w:val="000000"/>
                <w:lang w:val="en-GB"/>
              </w:rPr>
              <w:t>2027</w:t>
            </w:r>
          </w:p>
        </w:tc>
      </w:tr>
      <w:tr w:rsidR="00AC7127" w:rsidRPr="00607BDE" w14:paraId="140D6832" w14:textId="77777777">
        <w:trPr>
          <w:trHeight w:val="240"/>
        </w:trPr>
        <w:tc>
          <w:tcPr>
            <w:tcW w:w="1667" w:type="pct"/>
            <w:tcMar>
              <w:left w:w="100" w:type="dxa"/>
              <w:right w:w="100" w:type="dxa"/>
            </w:tcMar>
          </w:tcPr>
          <w:p w14:paraId="07555730" w14:textId="77777777" w:rsidR="00A77B3E" w:rsidRPr="00607BDE" w:rsidRDefault="00C401B9">
            <w:pPr>
              <w:rPr>
                <w:color w:val="000000"/>
                <w:lang w:val="en-GB"/>
              </w:rPr>
            </w:pPr>
            <w:r w:rsidRPr="00607BDE">
              <w:rPr>
                <w:color w:val="000000"/>
                <w:lang w:val="en-GB"/>
              </w:rPr>
              <w:t>Eligible from</w:t>
            </w:r>
          </w:p>
        </w:tc>
        <w:tc>
          <w:tcPr>
            <w:tcW w:w="1667" w:type="pct"/>
            <w:tcMar>
              <w:left w:w="100" w:type="dxa"/>
              <w:right w:w="100" w:type="dxa"/>
            </w:tcMar>
          </w:tcPr>
          <w:p w14:paraId="6FFE90FF" w14:textId="77777777" w:rsidR="00A77B3E" w:rsidRPr="00607BDE" w:rsidRDefault="00C401B9">
            <w:pPr>
              <w:rPr>
                <w:color w:val="000000"/>
                <w:lang w:val="en-GB"/>
              </w:rPr>
            </w:pPr>
            <w:r w:rsidRPr="00607BDE">
              <w:rPr>
                <w:color w:val="000000"/>
                <w:lang w:val="en-GB"/>
              </w:rPr>
              <w:t>1 Jan 2021</w:t>
            </w:r>
          </w:p>
        </w:tc>
      </w:tr>
      <w:tr w:rsidR="00AC7127" w:rsidRPr="00607BDE" w14:paraId="1A9E86A7" w14:textId="77777777">
        <w:trPr>
          <w:trHeight w:val="240"/>
        </w:trPr>
        <w:tc>
          <w:tcPr>
            <w:tcW w:w="1667" w:type="pct"/>
            <w:tcMar>
              <w:left w:w="100" w:type="dxa"/>
              <w:right w:w="100" w:type="dxa"/>
            </w:tcMar>
          </w:tcPr>
          <w:p w14:paraId="61630CD2" w14:textId="77777777" w:rsidR="00A77B3E" w:rsidRPr="00607BDE" w:rsidRDefault="00C401B9">
            <w:pPr>
              <w:rPr>
                <w:color w:val="000000"/>
                <w:lang w:val="en-GB"/>
              </w:rPr>
            </w:pPr>
            <w:r w:rsidRPr="00607BDE">
              <w:rPr>
                <w:color w:val="000000"/>
                <w:lang w:val="en-GB"/>
              </w:rPr>
              <w:t>Eligible until</w:t>
            </w:r>
          </w:p>
        </w:tc>
        <w:tc>
          <w:tcPr>
            <w:tcW w:w="1667" w:type="pct"/>
            <w:tcMar>
              <w:left w:w="100" w:type="dxa"/>
              <w:right w:w="100" w:type="dxa"/>
            </w:tcMar>
          </w:tcPr>
          <w:p w14:paraId="2FEFB925" w14:textId="77777777" w:rsidR="00A77B3E" w:rsidRPr="00607BDE" w:rsidRDefault="00C401B9">
            <w:pPr>
              <w:rPr>
                <w:color w:val="000000"/>
                <w:lang w:val="en-GB"/>
              </w:rPr>
            </w:pPr>
            <w:r w:rsidRPr="00607BDE">
              <w:rPr>
                <w:color w:val="000000"/>
                <w:lang w:val="en-GB"/>
              </w:rPr>
              <w:t>31 Dec 2029</w:t>
            </w:r>
          </w:p>
        </w:tc>
      </w:tr>
      <w:tr w:rsidR="00AC7127" w:rsidRPr="00607BDE" w14:paraId="6D0C69E1" w14:textId="77777777">
        <w:trPr>
          <w:trHeight w:val="240"/>
        </w:trPr>
        <w:tc>
          <w:tcPr>
            <w:tcW w:w="1667" w:type="pct"/>
            <w:tcMar>
              <w:left w:w="100" w:type="dxa"/>
              <w:right w:w="100" w:type="dxa"/>
            </w:tcMar>
          </w:tcPr>
          <w:p w14:paraId="4EA06FB6" w14:textId="77777777" w:rsidR="00A77B3E" w:rsidRPr="00607BDE" w:rsidRDefault="00C401B9">
            <w:pPr>
              <w:rPr>
                <w:color w:val="000000"/>
                <w:lang w:val="en-GB"/>
              </w:rPr>
            </w:pPr>
            <w:r w:rsidRPr="00607BDE">
              <w:rPr>
                <w:color w:val="000000"/>
                <w:lang w:val="en-GB"/>
              </w:rPr>
              <w:t>Commission Decision Number</w:t>
            </w:r>
          </w:p>
        </w:tc>
        <w:tc>
          <w:tcPr>
            <w:tcW w:w="1667" w:type="pct"/>
            <w:tcMar>
              <w:left w:w="100" w:type="dxa"/>
              <w:right w:w="100" w:type="dxa"/>
            </w:tcMar>
          </w:tcPr>
          <w:p w14:paraId="7BEA780C" w14:textId="77777777" w:rsidR="00A77B3E" w:rsidRPr="00607BDE" w:rsidRDefault="00C401B9">
            <w:pPr>
              <w:rPr>
                <w:color w:val="000000"/>
                <w:lang w:val="en-GB"/>
              </w:rPr>
            </w:pPr>
            <w:r w:rsidRPr="00607BDE">
              <w:rPr>
                <w:color w:val="000000"/>
                <w:lang w:val="en-GB"/>
              </w:rPr>
              <w:t>C(2022)9035</w:t>
            </w:r>
          </w:p>
        </w:tc>
      </w:tr>
      <w:tr w:rsidR="00AC7127" w:rsidRPr="00607BDE" w14:paraId="0F65A477" w14:textId="77777777">
        <w:trPr>
          <w:trHeight w:val="240"/>
        </w:trPr>
        <w:tc>
          <w:tcPr>
            <w:tcW w:w="1667" w:type="pct"/>
            <w:tcMar>
              <w:left w:w="100" w:type="dxa"/>
              <w:right w:w="100" w:type="dxa"/>
            </w:tcMar>
          </w:tcPr>
          <w:p w14:paraId="1046D0F5" w14:textId="77777777" w:rsidR="00A77B3E" w:rsidRPr="00607BDE" w:rsidRDefault="00C401B9">
            <w:pPr>
              <w:rPr>
                <w:color w:val="000000"/>
                <w:lang w:val="en-GB"/>
              </w:rPr>
            </w:pPr>
            <w:r w:rsidRPr="00607BDE">
              <w:rPr>
                <w:color w:val="000000"/>
                <w:lang w:val="en-GB"/>
              </w:rPr>
              <w:t>Commission Decision Date</w:t>
            </w:r>
          </w:p>
        </w:tc>
        <w:tc>
          <w:tcPr>
            <w:tcW w:w="1667" w:type="pct"/>
            <w:tcMar>
              <w:left w:w="100" w:type="dxa"/>
              <w:right w:w="100" w:type="dxa"/>
            </w:tcMar>
          </w:tcPr>
          <w:p w14:paraId="07CAEFFE" w14:textId="77777777" w:rsidR="00A77B3E" w:rsidRPr="00607BDE" w:rsidRDefault="00C401B9">
            <w:pPr>
              <w:rPr>
                <w:color w:val="000000"/>
                <w:lang w:val="en-GB"/>
              </w:rPr>
            </w:pPr>
            <w:r w:rsidRPr="00607BDE">
              <w:rPr>
                <w:color w:val="000000"/>
                <w:lang w:val="en-GB"/>
              </w:rPr>
              <w:t>12 Dec 2022</w:t>
            </w:r>
          </w:p>
        </w:tc>
      </w:tr>
      <w:tr w:rsidR="00AC7127" w:rsidRPr="00607BDE" w14:paraId="1CBC8275" w14:textId="77777777">
        <w:trPr>
          <w:trHeight w:val="240"/>
        </w:trPr>
        <w:tc>
          <w:tcPr>
            <w:tcW w:w="1667" w:type="pct"/>
            <w:tcMar>
              <w:left w:w="100" w:type="dxa"/>
              <w:right w:w="100" w:type="dxa"/>
            </w:tcMar>
          </w:tcPr>
          <w:p w14:paraId="49631DC1" w14:textId="77777777" w:rsidR="00A77B3E" w:rsidRPr="00607BDE" w:rsidRDefault="00C401B9">
            <w:pPr>
              <w:rPr>
                <w:color w:val="000000"/>
                <w:lang w:val="en-GB"/>
              </w:rPr>
            </w:pPr>
            <w:r w:rsidRPr="00607BDE">
              <w:rPr>
                <w:color w:val="000000"/>
                <w:lang w:val="en-GB"/>
              </w:rPr>
              <w:t>Member State amending decision number</w:t>
            </w:r>
          </w:p>
        </w:tc>
        <w:tc>
          <w:tcPr>
            <w:tcW w:w="1667" w:type="pct"/>
            <w:tcMar>
              <w:left w:w="100" w:type="dxa"/>
              <w:right w:w="100" w:type="dxa"/>
            </w:tcMar>
          </w:tcPr>
          <w:p w14:paraId="7A795B9D" w14:textId="77777777" w:rsidR="00A77B3E" w:rsidRPr="00607BDE" w:rsidRDefault="00A77B3E">
            <w:pPr>
              <w:rPr>
                <w:color w:val="000000"/>
                <w:lang w:val="en-GB"/>
              </w:rPr>
            </w:pPr>
          </w:p>
        </w:tc>
      </w:tr>
      <w:tr w:rsidR="00AC7127" w:rsidRPr="00607BDE" w14:paraId="73168726" w14:textId="77777777">
        <w:trPr>
          <w:trHeight w:val="240"/>
        </w:trPr>
        <w:tc>
          <w:tcPr>
            <w:tcW w:w="1667" w:type="pct"/>
            <w:tcMar>
              <w:left w:w="100" w:type="dxa"/>
              <w:right w:w="100" w:type="dxa"/>
            </w:tcMar>
          </w:tcPr>
          <w:p w14:paraId="06E5960E" w14:textId="77777777" w:rsidR="00A77B3E" w:rsidRPr="00607BDE" w:rsidRDefault="00C401B9">
            <w:pPr>
              <w:rPr>
                <w:color w:val="000000"/>
                <w:lang w:val="en-GB"/>
              </w:rPr>
            </w:pPr>
            <w:r w:rsidRPr="00607BDE">
              <w:rPr>
                <w:color w:val="000000"/>
                <w:lang w:val="en-GB"/>
              </w:rPr>
              <w:t>Member State amending decision entry into force date</w:t>
            </w:r>
          </w:p>
        </w:tc>
        <w:tc>
          <w:tcPr>
            <w:tcW w:w="1667" w:type="pct"/>
            <w:tcMar>
              <w:left w:w="100" w:type="dxa"/>
              <w:right w:w="100" w:type="dxa"/>
            </w:tcMar>
          </w:tcPr>
          <w:p w14:paraId="30BA3881" w14:textId="77777777" w:rsidR="00A77B3E" w:rsidRPr="00607BDE" w:rsidRDefault="00A77B3E">
            <w:pPr>
              <w:rPr>
                <w:color w:val="000000"/>
                <w:lang w:val="en-GB"/>
              </w:rPr>
            </w:pPr>
          </w:p>
        </w:tc>
      </w:tr>
      <w:tr w:rsidR="00AC7127" w:rsidRPr="00607BDE" w14:paraId="39005E55" w14:textId="77777777">
        <w:trPr>
          <w:trHeight w:val="240"/>
        </w:trPr>
        <w:tc>
          <w:tcPr>
            <w:tcW w:w="1667" w:type="pct"/>
            <w:tcMar>
              <w:left w:w="100" w:type="dxa"/>
              <w:right w:w="100" w:type="dxa"/>
            </w:tcMar>
          </w:tcPr>
          <w:p w14:paraId="424BB849" w14:textId="77777777" w:rsidR="00A77B3E" w:rsidRPr="00607BDE" w:rsidRDefault="00C401B9">
            <w:pPr>
              <w:rPr>
                <w:color w:val="000000"/>
                <w:lang w:val="en-GB"/>
              </w:rPr>
            </w:pPr>
            <w:r w:rsidRPr="00607BDE">
              <w:rPr>
                <w:color w:val="000000"/>
                <w:lang w:val="en-GB"/>
              </w:rPr>
              <w:t>Non-substantial transfer (Article 24(5) of the Common Provisions Regulation</w:t>
            </w:r>
          </w:p>
        </w:tc>
        <w:tc>
          <w:tcPr>
            <w:tcW w:w="1667" w:type="pct"/>
            <w:tcMar>
              <w:left w:w="100" w:type="dxa"/>
              <w:right w:w="100" w:type="dxa"/>
            </w:tcMar>
          </w:tcPr>
          <w:p w14:paraId="6DE9AF8B" w14:textId="77777777" w:rsidR="00A77B3E" w:rsidRPr="00607BDE" w:rsidRDefault="00C401B9">
            <w:pPr>
              <w:rPr>
                <w:color w:val="000000"/>
                <w:lang w:val="en-GB"/>
              </w:rPr>
            </w:pPr>
            <w:r w:rsidRPr="00607BDE">
              <w:rPr>
                <w:color w:val="000000"/>
                <w:lang w:val="en-GB"/>
              </w:rPr>
              <w:t>No</w:t>
            </w:r>
          </w:p>
        </w:tc>
      </w:tr>
    </w:tbl>
    <w:p w14:paraId="5E2FC003" w14:textId="5FD25925" w:rsidR="00A77B3E" w:rsidRPr="00607BDE" w:rsidRDefault="00C401B9">
      <w:pPr>
        <w:jc w:val="center"/>
        <w:rPr>
          <w:b/>
          <w:color w:val="000000"/>
          <w:lang w:val="en-GB"/>
        </w:rPr>
      </w:pPr>
      <w:r w:rsidRPr="00607BDE">
        <w:rPr>
          <w:color w:val="000000"/>
          <w:lang w:val="en-GB"/>
        </w:rPr>
        <w:br w:type="page"/>
      </w:r>
      <w:r w:rsidR="00012DC2">
        <w:rPr>
          <w:b/>
          <w:color w:val="000000"/>
          <w:lang w:val="en-GB"/>
        </w:rPr>
        <w:lastRenderedPageBreak/>
        <w:t>Table</w:t>
      </w:r>
      <w:r w:rsidRPr="00607BDE">
        <w:rPr>
          <w:b/>
          <w:bCs/>
          <w:color w:val="000000"/>
          <w:lang w:val="en-GB"/>
        </w:rPr>
        <w:t xml:space="preserve"> of contents</w:t>
      </w:r>
    </w:p>
    <w:p w14:paraId="68E62AD3" w14:textId="77777777" w:rsidR="00A77B3E" w:rsidRPr="00607BDE" w:rsidRDefault="00A77B3E">
      <w:pPr>
        <w:jc w:val="center"/>
        <w:rPr>
          <w:color w:val="000000"/>
          <w:lang w:val="en-GB"/>
        </w:rPr>
      </w:pPr>
    </w:p>
    <w:p w14:paraId="6105C488" w14:textId="77777777" w:rsidR="00F06B4A" w:rsidRDefault="00D87FDC">
      <w:pPr>
        <w:pStyle w:val="Spistreci1"/>
        <w:tabs>
          <w:tab w:val="right" w:leader="dot" w:pos="10240"/>
        </w:tabs>
        <w:rPr>
          <w:rFonts w:asciiTheme="minorHAnsi" w:eastAsiaTheme="minorEastAsia" w:hAnsiTheme="minorHAnsi" w:cstheme="minorBidi"/>
          <w:sz w:val="22"/>
          <w:szCs w:val="22"/>
          <w:lang w:val="pl-PL" w:eastAsia="pl-PL"/>
        </w:rPr>
      </w:pPr>
      <w:r w:rsidRPr="00607BDE">
        <w:rPr>
          <w:color w:val="000000"/>
          <w:lang w:val="en-GB"/>
        </w:rPr>
        <w:fldChar w:fldCharType="begin"/>
      </w:r>
      <w:r w:rsidR="00A77B3E" w:rsidRPr="00607BDE">
        <w:rPr>
          <w:color w:val="000000"/>
          <w:lang w:val="en-GB"/>
        </w:rPr>
        <w:instrText>TOC \o "1-9" \z \u \h</w:instrText>
      </w:r>
      <w:r w:rsidRPr="00607BDE">
        <w:rPr>
          <w:color w:val="000000"/>
          <w:lang w:val="en-GB"/>
        </w:rPr>
        <w:fldChar w:fldCharType="separate"/>
      </w:r>
      <w:hyperlink w:anchor="_Toc128975973" w:history="1">
        <w:r w:rsidR="00F06B4A" w:rsidRPr="001169A2">
          <w:rPr>
            <w:rStyle w:val="Hipercze"/>
            <w:lang w:val="en-GB"/>
          </w:rPr>
          <w:t>1. Programme strategy: main challenges and policy responses</w:t>
        </w:r>
        <w:r w:rsidR="00F06B4A">
          <w:rPr>
            <w:webHidden/>
          </w:rPr>
          <w:tab/>
        </w:r>
        <w:r>
          <w:rPr>
            <w:webHidden/>
          </w:rPr>
          <w:fldChar w:fldCharType="begin"/>
        </w:r>
        <w:r w:rsidR="00F06B4A">
          <w:rPr>
            <w:webHidden/>
          </w:rPr>
          <w:instrText xml:space="preserve"> PAGEREF _Toc128975973 \h </w:instrText>
        </w:r>
        <w:r>
          <w:rPr>
            <w:webHidden/>
          </w:rPr>
        </w:r>
        <w:r>
          <w:rPr>
            <w:webHidden/>
          </w:rPr>
          <w:fldChar w:fldCharType="separate"/>
        </w:r>
        <w:r w:rsidR="00F06B4A">
          <w:rPr>
            <w:webHidden/>
          </w:rPr>
          <w:t>4</w:t>
        </w:r>
        <w:r>
          <w:rPr>
            <w:webHidden/>
          </w:rPr>
          <w:fldChar w:fldCharType="end"/>
        </w:r>
      </w:hyperlink>
    </w:p>
    <w:p w14:paraId="3551741E"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5974" w:history="1">
        <w:r w:rsidR="00F06B4A" w:rsidRPr="001169A2">
          <w:rPr>
            <w:rStyle w:val="Hipercze"/>
            <w:lang w:val="en-GB"/>
          </w:rPr>
          <w:t>2. Specific objectives and technical assistance</w:t>
        </w:r>
        <w:r w:rsidR="00F06B4A">
          <w:rPr>
            <w:webHidden/>
          </w:rPr>
          <w:tab/>
        </w:r>
        <w:r w:rsidR="00D87FDC">
          <w:rPr>
            <w:webHidden/>
          </w:rPr>
          <w:fldChar w:fldCharType="begin"/>
        </w:r>
        <w:r w:rsidR="00F06B4A">
          <w:rPr>
            <w:webHidden/>
          </w:rPr>
          <w:instrText xml:space="preserve"> PAGEREF _Toc128975974 \h </w:instrText>
        </w:r>
        <w:r w:rsidR="00D87FDC">
          <w:rPr>
            <w:webHidden/>
          </w:rPr>
        </w:r>
        <w:r w:rsidR="00D87FDC">
          <w:rPr>
            <w:webHidden/>
          </w:rPr>
          <w:fldChar w:fldCharType="separate"/>
        </w:r>
        <w:r w:rsidR="00F06B4A">
          <w:rPr>
            <w:webHidden/>
          </w:rPr>
          <w:t>9</w:t>
        </w:r>
        <w:r w:rsidR="00D87FDC">
          <w:rPr>
            <w:webHidden/>
          </w:rPr>
          <w:fldChar w:fldCharType="end"/>
        </w:r>
      </w:hyperlink>
    </w:p>
    <w:p w14:paraId="10E06D28"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5975" w:history="1">
        <w:r w:rsidR="00F06B4A" w:rsidRPr="001169A2">
          <w:rPr>
            <w:rStyle w:val="Hipercze"/>
            <w:lang w:val="en-GB"/>
          </w:rPr>
          <w:t>2.1. Specific objective: 1. European integrated border management</w:t>
        </w:r>
        <w:r w:rsidR="00F06B4A">
          <w:rPr>
            <w:webHidden/>
          </w:rPr>
          <w:tab/>
        </w:r>
        <w:r w:rsidR="00D87FDC">
          <w:rPr>
            <w:webHidden/>
          </w:rPr>
          <w:fldChar w:fldCharType="begin"/>
        </w:r>
        <w:r w:rsidR="00F06B4A">
          <w:rPr>
            <w:webHidden/>
          </w:rPr>
          <w:instrText xml:space="preserve"> PAGEREF _Toc128975975 \h </w:instrText>
        </w:r>
        <w:r w:rsidR="00D87FDC">
          <w:rPr>
            <w:webHidden/>
          </w:rPr>
        </w:r>
        <w:r w:rsidR="00D87FDC">
          <w:rPr>
            <w:webHidden/>
          </w:rPr>
          <w:fldChar w:fldCharType="separate"/>
        </w:r>
        <w:r w:rsidR="00F06B4A">
          <w:rPr>
            <w:webHidden/>
          </w:rPr>
          <w:t>10</w:t>
        </w:r>
        <w:r w:rsidR="00D87FDC">
          <w:rPr>
            <w:webHidden/>
          </w:rPr>
          <w:fldChar w:fldCharType="end"/>
        </w:r>
      </w:hyperlink>
    </w:p>
    <w:p w14:paraId="0CC84B3C"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76" w:history="1">
        <w:r w:rsidR="00F06B4A" w:rsidRPr="001169A2">
          <w:rPr>
            <w:rStyle w:val="Hipercze"/>
            <w:lang w:val="en-GB"/>
          </w:rPr>
          <w:t>2.1.1. Description of the specific objective</w:t>
        </w:r>
        <w:r w:rsidR="00F06B4A">
          <w:rPr>
            <w:webHidden/>
          </w:rPr>
          <w:tab/>
        </w:r>
        <w:r w:rsidR="00D87FDC">
          <w:rPr>
            <w:webHidden/>
          </w:rPr>
          <w:fldChar w:fldCharType="begin"/>
        </w:r>
        <w:r w:rsidR="00F06B4A">
          <w:rPr>
            <w:webHidden/>
          </w:rPr>
          <w:instrText xml:space="preserve"> PAGEREF _Toc128975976 \h </w:instrText>
        </w:r>
        <w:r w:rsidR="00D87FDC">
          <w:rPr>
            <w:webHidden/>
          </w:rPr>
        </w:r>
        <w:r w:rsidR="00D87FDC">
          <w:rPr>
            <w:webHidden/>
          </w:rPr>
          <w:fldChar w:fldCharType="separate"/>
        </w:r>
        <w:r w:rsidR="00F06B4A">
          <w:rPr>
            <w:webHidden/>
          </w:rPr>
          <w:t>10</w:t>
        </w:r>
        <w:r w:rsidR="00D87FDC">
          <w:rPr>
            <w:webHidden/>
          </w:rPr>
          <w:fldChar w:fldCharType="end"/>
        </w:r>
      </w:hyperlink>
    </w:p>
    <w:p w14:paraId="7AFAFD02"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77" w:history="1">
        <w:r w:rsidR="00F06B4A" w:rsidRPr="001169A2">
          <w:rPr>
            <w:rStyle w:val="Hipercze"/>
            <w:lang w:val="en-GB"/>
          </w:rPr>
          <w:t>2.1.2. Indicators</w:t>
        </w:r>
        <w:r w:rsidR="00F06B4A">
          <w:rPr>
            <w:webHidden/>
          </w:rPr>
          <w:tab/>
        </w:r>
        <w:r w:rsidR="00D87FDC">
          <w:rPr>
            <w:webHidden/>
          </w:rPr>
          <w:fldChar w:fldCharType="begin"/>
        </w:r>
        <w:r w:rsidR="00F06B4A">
          <w:rPr>
            <w:webHidden/>
          </w:rPr>
          <w:instrText xml:space="preserve"> PAGEREF _Toc128975977 \h </w:instrText>
        </w:r>
        <w:r w:rsidR="00D87FDC">
          <w:rPr>
            <w:webHidden/>
          </w:rPr>
        </w:r>
        <w:r w:rsidR="00D87FDC">
          <w:rPr>
            <w:webHidden/>
          </w:rPr>
          <w:fldChar w:fldCharType="separate"/>
        </w:r>
        <w:r w:rsidR="00F06B4A">
          <w:rPr>
            <w:webHidden/>
          </w:rPr>
          <w:t>17</w:t>
        </w:r>
        <w:r w:rsidR="00D87FDC">
          <w:rPr>
            <w:webHidden/>
          </w:rPr>
          <w:fldChar w:fldCharType="end"/>
        </w:r>
      </w:hyperlink>
    </w:p>
    <w:p w14:paraId="09C9291F"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78" w:history="1">
        <w:r w:rsidR="00F06B4A" w:rsidRPr="001169A2">
          <w:rPr>
            <w:rStyle w:val="Hipercze"/>
            <w:lang w:val="en-GB"/>
          </w:rPr>
          <w:t>Table 1: Output indicators</w:t>
        </w:r>
        <w:r w:rsidR="00F06B4A">
          <w:rPr>
            <w:webHidden/>
          </w:rPr>
          <w:tab/>
        </w:r>
        <w:r w:rsidR="00D87FDC">
          <w:rPr>
            <w:webHidden/>
          </w:rPr>
          <w:fldChar w:fldCharType="begin"/>
        </w:r>
        <w:r w:rsidR="00F06B4A">
          <w:rPr>
            <w:webHidden/>
          </w:rPr>
          <w:instrText xml:space="preserve"> PAGEREF _Toc128975978 \h </w:instrText>
        </w:r>
        <w:r w:rsidR="00D87FDC">
          <w:rPr>
            <w:webHidden/>
          </w:rPr>
        </w:r>
        <w:r w:rsidR="00D87FDC">
          <w:rPr>
            <w:webHidden/>
          </w:rPr>
          <w:fldChar w:fldCharType="separate"/>
        </w:r>
        <w:r w:rsidR="00F06B4A">
          <w:rPr>
            <w:webHidden/>
          </w:rPr>
          <w:t>17</w:t>
        </w:r>
        <w:r w:rsidR="00D87FDC">
          <w:rPr>
            <w:webHidden/>
          </w:rPr>
          <w:fldChar w:fldCharType="end"/>
        </w:r>
      </w:hyperlink>
    </w:p>
    <w:p w14:paraId="053B3340"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79" w:history="1">
        <w:r w:rsidR="00F06B4A" w:rsidRPr="001169A2">
          <w:rPr>
            <w:rStyle w:val="Hipercze"/>
            <w:lang w:val="en-GB"/>
          </w:rPr>
          <w:t>Table 2: Result indicators</w:t>
        </w:r>
        <w:r w:rsidR="00F06B4A">
          <w:rPr>
            <w:webHidden/>
          </w:rPr>
          <w:tab/>
        </w:r>
        <w:r w:rsidR="00D87FDC">
          <w:rPr>
            <w:webHidden/>
          </w:rPr>
          <w:fldChar w:fldCharType="begin"/>
        </w:r>
        <w:r w:rsidR="00F06B4A">
          <w:rPr>
            <w:webHidden/>
          </w:rPr>
          <w:instrText xml:space="preserve"> PAGEREF _Toc128975979 \h </w:instrText>
        </w:r>
        <w:r w:rsidR="00D87FDC">
          <w:rPr>
            <w:webHidden/>
          </w:rPr>
        </w:r>
        <w:r w:rsidR="00D87FDC">
          <w:rPr>
            <w:webHidden/>
          </w:rPr>
          <w:fldChar w:fldCharType="separate"/>
        </w:r>
        <w:r w:rsidR="00F06B4A">
          <w:rPr>
            <w:webHidden/>
          </w:rPr>
          <w:t>18</w:t>
        </w:r>
        <w:r w:rsidR="00D87FDC">
          <w:rPr>
            <w:webHidden/>
          </w:rPr>
          <w:fldChar w:fldCharType="end"/>
        </w:r>
      </w:hyperlink>
    </w:p>
    <w:p w14:paraId="4B29DF70"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80" w:history="1">
        <w:r w:rsidR="00F06B4A" w:rsidRPr="001169A2">
          <w:rPr>
            <w:rStyle w:val="Hipercze"/>
            <w:lang w:val="en-GB"/>
          </w:rPr>
          <w:t>2.1.3. Indicative breakdown of programme resources (EU) by type of intervention</w:t>
        </w:r>
        <w:r w:rsidR="00F06B4A">
          <w:rPr>
            <w:webHidden/>
          </w:rPr>
          <w:tab/>
        </w:r>
        <w:r w:rsidR="00D87FDC">
          <w:rPr>
            <w:webHidden/>
          </w:rPr>
          <w:fldChar w:fldCharType="begin"/>
        </w:r>
        <w:r w:rsidR="00F06B4A">
          <w:rPr>
            <w:webHidden/>
          </w:rPr>
          <w:instrText xml:space="preserve"> PAGEREF _Toc128975980 \h </w:instrText>
        </w:r>
        <w:r w:rsidR="00D87FDC">
          <w:rPr>
            <w:webHidden/>
          </w:rPr>
        </w:r>
        <w:r w:rsidR="00D87FDC">
          <w:rPr>
            <w:webHidden/>
          </w:rPr>
          <w:fldChar w:fldCharType="separate"/>
        </w:r>
        <w:r w:rsidR="00F06B4A">
          <w:rPr>
            <w:webHidden/>
          </w:rPr>
          <w:t>21</w:t>
        </w:r>
        <w:r w:rsidR="00D87FDC">
          <w:rPr>
            <w:webHidden/>
          </w:rPr>
          <w:fldChar w:fldCharType="end"/>
        </w:r>
      </w:hyperlink>
    </w:p>
    <w:p w14:paraId="206DA694"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81" w:history="1">
        <w:r w:rsidR="00F06B4A" w:rsidRPr="001169A2">
          <w:rPr>
            <w:rStyle w:val="Hipercze"/>
            <w:lang w:val="en-GB"/>
          </w:rPr>
          <w:t>Table 3: Indicative breakdown</w:t>
        </w:r>
        <w:r w:rsidR="00F06B4A">
          <w:rPr>
            <w:webHidden/>
          </w:rPr>
          <w:tab/>
        </w:r>
        <w:r w:rsidR="00D87FDC">
          <w:rPr>
            <w:webHidden/>
          </w:rPr>
          <w:fldChar w:fldCharType="begin"/>
        </w:r>
        <w:r w:rsidR="00F06B4A">
          <w:rPr>
            <w:webHidden/>
          </w:rPr>
          <w:instrText xml:space="preserve"> PAGEREF _Toc128975981 \h </w:instrText>
        </w:r>
        <w:r w:rsidR="00D87FDC">
          <w:rPr>
            <w:webHidden/>
          </w:rPr>
        </w:r>
        <w:r w:rsidR="00D87FDC">
          <w:rPr>
            <w:webHidden/>
          </w:rPr>
          <w:fldChar w:fldCharType="separate"/>
        </w:r>
        <w:r w:rsidR="00F06B4A">
          <w:rPr>
            <w:webHidden/>
          </w:rPr>
          <w:t>21</w:t>
        </w:r>
        <w:r w:rsidR="00D87FDC">
          <w:rPr>
            <w:webHidden/>
          </w:rPr>
          <w:fldChar w:fldCharType="end"/>
        </w:r>
      </w:hyperlink>
    </w:p>
    <w:p w14:paraId="299C3BE8"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5982" w:history="1">
        <w:r w:rsidR="00F06B4A" w:rsidRPr="001169A2">
          <w:rPr>
            <w:rStyle w:val="Hipercze"/>
            <w:lang w:val="en-GB"/>
          </w:rPr>
          <w:t>2.1. Specific objective: 2. Common visa policy</w:t>
        </w:r>
        <w:r w:rsidR="00F06B4A">
          <w:rPr>
            <w:webHidden/>
          </w:rPr>
          <w:tab/>
        </w:r>
        <w:r w:rsidR="00D87FDC">
          <w:rPr>
            <w:webHidden/>
          </w:rPr>
          <w:fldChar w:fldCharType="begin"/>
        </w:r>
        <w:r w:rsidR="00F06B4A">
          <w:rPr>
            <w:webHidden/>
          </w:rPr>
          <w:instrText xml:space="preserve"> PAGEREF _Toc128975982 \h </w:instrText>
        </w:r>
        <w:r w:rsidR="00D87FDC">
          <w:rPr>
            <w:webHidden/>
          </w:rPr>
        </w:r>
        <w:r w:rsidR="00D87FDC">
          <w:rPr>
            <w:webHidden/>
          </w:rPr>
          <w:fldChar w:fldCharType="separate"/>
        </w:r>
        <w:r w:rsidR="00F06B4A">
          <w:rPr>
            <w:webHidden/>
          </w:rPr>
          <w:t>23</w:t>
        </w:r>
        <w:r w:rsidR="00D87FDC">
          <w:rPr>
            <w:webHidden/>
          </w:rPr>
          <w:fldChar w:fldCharType="end"/>
        </w:r>
      </w:hyperlink>
    </w:p>
    <w:p w14:paraId="69B2F956"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83" w:history="1">
        <w:r w:rsidR="00F06B4A" w:rsidRPr="001169A2">
          <w:rPr>
            <w:rStyle w:val="Hipercze"/>
            <w:lang w:val="en-GB"/>
          </w:rPr>
          <w:t>2.1.1. Description of the specific objective</w:t>
        </w:r>
        <w:r w:rsidR="00F06B4A">
          <w:rPr>
            <w:webHidden/>
          </w:rPr>
          <w:tab/>
        </w:r>
        <w:r w:rsidR="00D87FDC">
          <w:rPr>
            <w:webHidden/>
          </w:rPr>
          <w:fldChar w:fldCharType="begin"/>
        </w:r>
        <w:r w:rsidR="00F06B4A">
          <w:rPr>
            <w:webHidden/>
          </w:rPr>
          <w:instrText xml:space="preserve"> PAGEREF _Toc128975983 \h </w:instrText>
        </w:r>
        <w:r w:rsidR="00D87FDC">
          <w:rPr>
            <w:webHidden/>
          </w:rPr>
        </w:r>
        <w:r w:rsidR="00D87FDC">
          <w:rPr>
            <w:webHidden/>
          </w:rPr>
          <w:fldChar w:fldCharType="separate"/>
        </w:r>
        <w:r w:rsidR="00F06B4A">
          <w:rPr>
            <w:webHidden/>
          </w:rPr>
          <w:t>23</w:t>
        </w:r>
        <w:r w:rsidR="00D87FDC">
          <w:rPr>
            <w:webHidden/>
          </w:rPr>
          <w:fldChar w:fldCharType="end"/>
        </w:r>
      </w:hyperlink>
    </w:p>
    <w:p w14:paraId="12145214"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84" w:history="1">
        <w:r w:rsidR="00F06B4A" w:rsidRPr="001169A2">
          <w:rPr>
            <w:rStyle w:val="Hipercze"/>
            <w:lang w:val="en-GB"/>
          </w:rPr>
          <w:t>2.1.2. Indicators</w:t>
        </w:r>
        <w:r w:rsidR="00F06B4A">
          <w:rPr>
            <w:webHidden/>
          </w:rPr>
          <w:tab/>
        </w:r>
        <w:r w:rsidR="00D87FDC">
          <w:rPr>
            <w:webHidden/>
          </w:rPr>
          <w:fldChar w:fldCharType="begin"/>
        </w:r>
        <w:r w:rsidR="00F06B4A">
          <w:rPr>
            <w:webHidden/>
          </w:rPr>
          <w:instrText xml:space="preserve"> PAGEREF _Toc128975984 \h </w:instrText>
        </w:r>
        <w:r w:rsidR="00D87FDC">
          <w:rPr>
            <w:webHidden/>
          </w:rPr>
        </w:r>
        <w:r w:rsidR="00D87FDC">
          <w:rPr>
            <w:webHidden/>
          </w:rPr>
          <w:fldChar w:fldCharType="separate"/>
        </w:r>
        <w:r w:rsidR="00F06B4A">
          <w:rPr>
            <w:webHidden/>
          </w:rPr>
          <w:t>28</w:t>
        </w:r>
        <w:r w:rsidR="00D87FDC">
          <w:rPr>
            <w:webHidden/>
          </w:rPr>
          <w:fldChar w:fldCharType="end"/>
        </w:r>
      </w:hyperlink>
    </w:p>
    <w:p w14:paraId="309D8A14"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85" w:history="1">
        <w:r w:rsidR="00F06B4A" w:rsidRPr="001169A2">
          <w:rPr>
            <w:rStyle w:val="Hipercze"/>
            <w:lang w:val="en-GB"/>
          </w:rPr>
          <w:t>Table 1: Output indicators</w:t>
        </w:r>
        <w:r w:rsidR="00F06B4A">
          <w:rPr>
            <w:webHidden/>
          </w:rPr>
          <w:tab/>
        </w:r>
        <w:r w:rsidR="00D87FDC">
          <w:rPr>
            <w:webHidden/>
          </w:rPr>
          <w:fldChar w:fldCharType="begin"/>
        </w:r>
        <w:r w:rsidR="00F06B4A">
          <w:rPr>
            <w:webHidden/>
          </w:rPr>
          <w:instrText xml:space="preserve"> PAGEREF _Toc128975985 \h </w:instrText>
        </w:r>
        <w:r w:rsidR="00D87FDC">
          <w:rPr>
            <w:webHidden/>
          </w:rPr>
        </w:r>
        <w:r w:rsidR="00D87FDC">
          <w:rPr>
            <w:webHidden/>
          </w:rPr>
          <w:fldChar w:fldCharType="separate"/>
        </w:r>
        <w:r w:rsidR="00F06B4A">
          <w:rPr>
            <w:webHidden/>
          </w:rPr>
          <w:t>28</w:t>
        </w:r>
        <w:r w:rsidR="00D87FDC">
          <w:rPr>
            <w:webHidden/>
          </w:rPr>
          <w:fldChar w:fldCharType="end"/>
        </w:r>
      </w:hyperlink>
    </w:p>
    <w:p w14:paraId="26C6FFAD"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86" w:history="1">
        <w:r w:rsidR="00F06B4A" w:rsidRPr="001169A2">
          <w:rPr>
            <w:rStyle w:val="Hipercze"/>
            <w:lang w:val="en-GB"/>
          </w:rPr>
          <w:t>Table 2: Result indicators</w:t>
        </w:r>
        <w:r w:rsidR="00F06B4A">
          <w:rPr>
            <w:webHidden/>
          </w:rPr>
          <w:tab/>
        </w:r>
        <w:r w:rsidR="00D87FDC">
          <w:rPr>
            <w:webHidden/>
          </w:rPr>
          <w:fldChar w:fldCharType="begin"/>
        </w:r>
        <w:r w:rsidR="00F06B4A">
          <w:rPr>
            <w:webHidden/>
          </w:rPr>
          <w:instrText xml:space="preserve"> PAGEREF _Toc128975986 \h </w:instrText>
        </w:r>
        <w:r w:rsidR="00D87FDC">
          <w:rPr>
            <w:webHidden/>
          </w:rPr>
        </w:r>
        <w:r w:rsidR="00D87FDC">
          <w:rPr>
            <w:webHidden/>
          </w:rPr>
          <w:fldChar w:fldCharType="separate"/>
        </w:r>
        <w:r w:rsidR="00F06B4A">
          <w:rPr>
            <w:webHidden/>
          </w:rPr>
          <w:t>29</w:t>
        </w:r>
        <w:r w:rsidR="00D87FDC">
          <w:rPr>
            <w:webHidden/>
          </w:rPr>
          <w:fldChar w:fldCharType="end"/>
        </w:r>
      </w:hyperlink>
    </w:p>
    <w:p w14:paraId="3B4B6498"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87" w:history="1">
        <w:r w:rsidR="00F06B4A" w:rsidRPr="001169A2">
          <w:rPr>
            <w:rStyle w:val="Hipercze"/>
            <w:lang w:val="en-GB"/>
          </w:rPr>
          <w:t>2.1.3. Indicative breakdown of programme resources (EU) by type of intervention</w:t>
        </w:r>
        <w:r w:rsidR="00F06B4A">
          <w:rPr>
            <w:webHidden/>
          </w:rPr>
          <w:tab/>
        </w:r>
        <w:r w:rsidR="00D87FDC">
          <w:rPr>
            <w:webHidden/>
          </w:rPr>
          <w:fldChar w:fldCharType="begin"/>
        </w:r>
        <w:r w:rsidR="00F06B4A">
          <w:rPr>
            <w:webHidden/>
          </w:rPr>
          <w:instrText xml:space="preserve"> PAGEREF _Toc128975987 \h </w:instrText>
        </w:r>
        <w:r w:rsidR="00D87FDC">
          <w:rPr>
            <w:webHidden/>
          </w:rPr>
        </w:r>
        <w:r w:rsidR="00D87FDC">
          <w:rPr>
            <w:webHidden/>
          </w:rPr>
          <w:fldChar w:fldCharType="separate"/>
        </w:r>
        <w:r w:rsidR="00F06B4A">
          <w:rPr>
            <w:webHidden/>
          </w:rPr>
          <w:t>31</w:t>
        </w:r>
        <w:r w:rsidR="00D87FDC">
          <w:rPr>
            <w:webHidden/>
          </w:rPr>
          <w:fldChar w:fldCharType="end"/>
        </w:r>
      </w:hyperlink>
    </w:p>
    <w:p w14:paraId="565EDF67"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88" w:history="1">
        <w:r w:rsidR="00F06B4A" w:rsidRPr="001169A2">
          <w:rPr>
            <w:rStyle w:val="Hipercze"/>
            <w:lang w:val="en-GB"/>
          </w:rPr>
          <w:t>Table 3: Indicative breakdown</w:t>
        </w:r>
        <w:r w:rsidR="00F06B4A">
          <w:rPr>
            <w:webHidden/>
          </w:rPr>
          <w:tab/>
        </w:r>
        <w:r w:rsidR="00D87FDC">
          <w:rPr>
            <w:webHidden/>
          </w:rPr>
          <w:fldChar w:fldCharType="begin"/>
        </w:r>
        <w:r w:rsidR="00F06B4A">
          <w:rPr>
            <w:webHidden/>
          </w:rPr>
          <w:instrText xml:space="preserve"> PAGEREF _Toc128975988 \h </w:instrText>
        </w:r>
        <w:r w:rsidR="00D87FDC">
          <w:rPr>
            <w:webHidden/>
          </w:rPr>
        </w:r>
        <w:r w:rsidR="00D87FDC">
          <w:rPr>
            <w:webHidden/>
          </w:rPr>
          <w:fldChar w:fldCharType="separate"/>
        </w:r>
        <w:r w:rsidR="00F06B4A">
          <w:rPr>
            <w:webHidden/>
          </w:rPr>
          <w:t>31</w:t>
        </w:r>
        <w:r w:rsidR="00D87FDC">
          <w:rPr>
            <w:webHidden/>
          </w:rPr>
          <w:fldChar w:fldCharType="end"/>
        </w:r>
      </w:hyperlink>
    </w:p>
    <w:p w14:paraId="10AD5780"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5989" w:history="1">
        <w:r w:rsidR="00F06B4A" w:rsidRPr="001169A2">
          <w:rPr>
            <w:rStyle w:val="Hipercze"/>
            <w:lang w:val="en-GB"/>
          </w:rPr>
          <w:t>2.2. Technical support: TA.36(5). Technical assistance – flat rate (Article 36(5) of the Common Provisions Regulation)</w:t>
        </w:r>
        <w:r w:rsidR="00F06B4A">
          <w:rPr>
            <w:webHidden/>
          </w:rPr>
          <w:tab/>
        </w:r>
        <w:r w:rsidR="00D87FDC">
          <w:rPr>
            <w:webHidden/>
          </w:rPr>
          <w:fldChar w:fldCharType="begin"/>
        </w:r>
        <w:r w:rsidR="00F06B4A">
          <w:rPr>
            <w:webHidden/>
          </w:rPr>
          <w:instrText xml:space="preserve"> PAGEREF _Toc128975989 \h </w:instrText>
        </w:r>
        <w:r w:rsidR="00D87FDC">
          <w:rPr>
            <w:webHidden/>
          </w:rPr>
        </w:r>
        <w:r w:rsidR="00D87FDC">
          <w:rPr>
            <w:webHidden/>
          </w:rPr>
          <w:fldChar w:fldCharType="separate"/>
        </w:r>
        <w:r w:rsidR="00F06B4A">
          <w:rPr>
            <w:webHidden/>
          </w:rPr>
          <w:t>32</w:t>
        </w:r>
        <w:r w:rsidR="00D87FDC">
          <w:rPr>
            <w:webHidden/>
          </w:rPr>
          <w:fldChar w:fldCharType="end"/>
        </w:r>
      </w:hyperlink>
    </w:p>
    <w:p w14:paraId="65027E3F"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90" w:history="1">
        <w:r w:rsidR="00F06B4A" w:rsidRPr="001169A2">
          <w:rPr>
            <w:rStyle w:val="Hipercze"/>
            <w:lang w:val="en-GB"/>
          </w:rPr>
          <w:t>2.2.1. Description</w:t>
        </w:r>
        <w:r w:rsidR="00F06B4A">
          <w:rPr>
            <w:webHidden/>
          </w:rPr>
          <w:tab/>
        </w:r>
        <w:r w:rsidR="00D87FDC">
          <w:rPr>
            <w:webHidden/>
          </w:rPr>
          <w:fldChar w:fldCharType="begin"/>
        </w:r>
        <w:r w:rsidR="00F06B4A">
          <w:rPr>
            <w:webHidden/>
          </w:rPr>
          <w:instrText xml:space="preserve"> PAGEREF _Toc128975990 \h </w:instrText>
        </w:r>
        <w:r w:rsidR="00D87FDC">
          <w:rPr>
            <w:webHidden/>
          </w:rPr>
        </w:r>
        <w:r w:rsidR="00D87FDC">
          <w:rPr>
            <w:webHidden/>
          </w:rPr>
          <w:fldChar w:fldCharType="separate"/>
        </w:r>
        <w:r w:rsidR="00F06B4A">
          <w:rPr>
            <w:webHidden/>
          </w:rPr>
          <w:t>32</w:t>
        </w:r>
        <w:r w:rsidR="00D87FDC">
          <w:rPr>
            <w:webHidden/>
          </w:rPr>
          <w:fldChar w:fldCharType="end"/>
        </w:r>
      </w:hyperlink>
    </w:p>
    <w:p w14:paraId="2BB2324C"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91" w:history="1">
        <w:r w:rsidR="00F06B4A" w:rsidRPr="001169A2">
          <w:rPr>
            <w:rStyle w:val="Hipercze"/>
            <w:lang w:val="en-GB"/>
          </w:rPr>
          <w:t>2.2.2. Indicative breakdown of technical assistance under Article 37 of the Common Provisions Regulation</w:t>
        </w:r>
        <w:r w:rsidR="00F06B4A">
          <w:rPr>
            <w:webHidden/>
          </w:rPr>
          <w:tab/>
        </w:r>
        <w:r w:rsidR="00D87FDC">
          <w:rPr>
            <w:webHidden/>
          </w:rPr>
          <w:fldChar w:fldCharType="begin"/>
        </w:r>
        <w:r w:rsidR="00F06B4A">
          <w:rPr>
            <w:webHidden/>
          </w:rPr>
          <w:instrText xml:space="preserve"> PAGEREF _Toc128975991 \h </w:instrText>
        </w:r>
        <w:r w:rsidR="00D87FDC">
          <w:rPr>
            <w:webHidden/>
          </w:rPr>
        </w:r>
        <w:r w:rsidR="00D87FDC">
          <w:rPr>
            <w:webHidden/>
          </w:rPr>
          <w:fldChar w:fldCharType="separate"/>
        </w:r>
        <w:r w:rsidR="00F06B4A">
          <w:rPr>
            <w:webHidden/>
          </w:rPr>
          <w:t>33</w:t>
        </w:r>
        <w:r w:rsidR="00D87FDC">
          <w:rPr>
            <w:webHidden/>
          </w:rPr>
          <w:fldChar w:fldCharType="end"/>
        </w:r>
      </w:hyperlink>
    </w:p>
    <w:p w14:paraId="6E40474D"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92" w:history="1">
        <w:r w:rsidR="00F06B4A" w:rsidRPr="001169A2">
          <w:rPr>
            <w:rStyle w:val="Hipercze"/>
            <w:lang w:val="en-GB"/>
          </w:rPr>
          <w:t>Table 4: Indicative breakdown</w:t>
        </w:r>
        <w:r w:rsidR="00F06B4A">
          <w:rPr>
            <w:webHidden/>
          </w:rPr>
          <w:tab/>
        </w:r>
        <w:r w:rsidR="00D87FDC">
          <w:rPr>
            <w:webHidden/>
          </w:rPr>
          <w:fldChar w:fldCharType="begin"/>
        </w:r>
        <w:r w:rsidR="00F06B4A">
          <w:rPr>
            <w:webHidden/>
          </w:rPr>
          <w:instrText xml:space="preserve"> PAGEREF _Toc128975992 \h </w:instrText>
        </w:r>
        <w:r w:rsidR="00D87FDC">
          <w:rPr>
            <w:webHidden/>
          </w:rPr>
        </w:r>
        <w:r w:rsidR="00D87FDC">
          <w:rPr>
            <w:webHidden/>
          </w:rPr>
          <w:fldChar w:fldCharType="separate"/>
        </w:r>
        <w:r w:rsidR="00F06B4A">
          <w:rPr>
            <w:webHidden/>
          </w:rPr>
          <w:t>33</w:t>
        </w:r>
        <w:r w:rsidR="00D87FDC">
          <w:rPr>
            <w:webHidden/>
          </w:rPr>
          <w:fldChar w:fldCharType="end"/>
        </w:r>
      </w:hyperlink>
    </w:p>
    <w:p w14:paraId="32FC4FEE"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5993" w:history="1">
        <w:r w:rsidR="00F06B4A" w:rsidRPr="001169A2">
          <w:rPr>
            <w:rStyle w:val="Hipercze"/>
            <w:lang w:val="en-GB"/>
          </w:rPr>
          <w:t>3. Financing plan</w:t>
        </w:r>
        <w:r w:rsidR="00F06B4A">
          <w:rPr>
            <w:webHidden/>
          </w:rPr>
          <w:tab/>
        </w:r>
        <w:r w:rsidR="00D87FDC">
          <w:rPr>
            <w:webHidden/>
          </w:rPr>
          <w:fldChar w:fldCharType="begin"/>
        </w:r>
        <w:r w:rsidR="00F06B4A">
          <w:rPr>
            <w:webHidden/>
          </w:rPr>
          <w:instrText xml:space="preserve"> PAGEREF _Toc128975993 \h </w:instrText>
        </w:r>
        <w:r w:rsidR="00D87FDC">
          <w:rPr>
            <w:webHidden/>
          </w:rPr>
        </w:r>
        <w:r w:rsidR="00D87FDC">
          <w:rPr>
            <w:webHidden/>
          </w:rPr>
          <w:fldChar w:fldCharType="separate"/>
        </w:r>
        <w:r w:rsidR="00F06B4A">
          <w:rPr>
            <w:webHidden/>
          </w:rPr>
          <w:t>34</w:t>
        </w:r>
        <w:r w:rsidR="00D87FDC">
          <w:rPr>
            <w:webHidden/>
          </w:rPr>
          <w:fldChar w:fldCharType="end"/>
        </w:r>
      </w:hyperlink>
    </w:p>
    <w:p w14:paraId="14933A26"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5994" w:history="1">
        <w:r w:rsidR="00F06B4A" w:rsidRPr="001169A2">
          <w:rPr>
            <w:rStyle w:val="Hipercze"/>
            <w:lang w:val="en-GB"/>
          </w:rPr>
          <w:t>3.1. Financial allocations by year</w:t>
        </w:r>
        <w:r w:rsidR="00F06B4A">
          <w:rPr>
            <w:webHidden/>
          </w:rPr>
          <w:tab/>
        </w:r>
        <w:r w:rsidR="00D87FDC">
          <w:rPr>
            <w:webHidden/>
          </w:rPr>
          <w:fldChar w:fldCharType="begin"/>
        </w:r>
        <w:r w:rsidR="00F06B4A">
          <w:rPr>
            <w:webHidden/>
          </w:rPr>
          <w:instrText xml:space="preserve"> PAGEREF _Toc128975994 \h </w:instrText>
        </w:r>
        <w:r w:rsidR="00D87FDC">
          <w:rPr>
            <w:webHidden/>
          </w:rPr>
        </w:r>
        <w:r w:rsidR="00D87FDC">
          <w:rPr>
            <w:webHidden/>
          </w:rPr>
          <w:fldChar w:fldCharType="separate"/>
        </w:r>
        <w:r w:rsidR="00F06B4A">
          <w:rPr>
            <w:webHidden/>
          </w:rPr>
          <w:t>34</w:t>
        </w:r>
        <w:r w:rsidR="00D87FDC">
          <w:rPr>
            <w:webHidden/>
          </w:rPr>
          <w:fldChar w:fldCharType="end"/>
        </w:r>
      </w:hyperlink>
    </w:p>
    <w:p w14:paraId="6F2A91BA"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95" w:history="1">
        <w:r w:rsidR="00F06B4A" w:rsidRPr="001169A2">
          <w:rPr>
            <w:rStyle w:val="Hipercze"/>
            <w:lang w:val="en-GB"/>
          </w:rPr>
          <w:t>Table 5: Financial allocations by year</w:t>
        </w:r>
        <w:r w:rsidR="00F06B4A">
          <w:rPr>
            <w:webHidden/>
          </w:rPr>
          <w:tab/>
        </w:r>
        <w:r w:rsidR="00D87FDC">
          <w:rPr>
            <w:webHidden/>
          </w:rPr>
          <w:fldChar w:fldCharType="begin"/>
        </w:r>
        <w:r w:rsidR="00F06B4A">
          <w:rPr>
            <w:webHidden/>
          </w:rPr>
          <w:instrText xml:space="preserve"> PAGEREF _Toc128975995 \h </w:instrText>
        </w:r>
        <w:r w:rsidR="00D87FDC">
          <w:rPr>
            <w:webHidden/>
          </w:rPr>
        </w:r>
        <w:r w:rsidR="00D87FDC">
          <w:rPr>
            <w:webHidden/>
          </w:rPr>
          <w:fldChar w:fldCharType="separate"/>
        </w:r>
        <w:r w:rsidR="00F06B4A">
          <w:rPr>
            <w:webHidden/>
          </w:rPr>
          <w:t>34</w:t>
        </w:r>
        <w:r w:rsidR="00D87FDC">
          <w:rPr>
            <w:webHidden/>
          </w:rPr>
          <w:fldChar w:fldCharType="end"/>
        </w:r>
      </w:hyperlink>
    </w:p>
    <w:p w14:paraId="4F25892D"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5996" w:history="1">
        <w:r w:rsidR="00F06B4A" w:rsidRPr="001169A2">
          <w:rPr>
            <w:rStyle w:val="Hipercze"/>
            <w:lang w:val="en-GB"/>
          </w:rPr>
          <w:t>3.2. Total financial allocations</w:t>
        </w:r>
        <w:r w:rsidR="00F06B4A">
          <w:rPr>
            <w:webHidden/>
          </w:rPr>
          <w:tab/>
        </w:r>
        <w:r w:rsidR="00D87FDC">
          <w:rPr>
            <w:webHidden/>
          </w:rPr>
          <w:fldChar w:fldCharType="begin"/>
        </w:r>
        <w:r w:rsidR="00F06B4A">
          <w:rPr>
            <w:webHidden/>
          </w:rPr>
          <w:instrText xml:space="preserve"> PAGEREF _Toc128975996 \h </w:instrText>
        </w:r>
        <w:r w:rsidR="00D87FDC">
          <w:rPr>
            <w:webHidden/>
          </w:rPr>
        </w:r>
        <w:r w:rsidR="00D87FDC">
          <w:rPr>
            <w:webHidden/>
          </w:rPr>
          <w:fldChar w:fldCharType="separate"/>
        </w:r>
        <w:r w:rsidR="00F06B4A">
          <w:rPr>
            <w:webHidden/>
          </w:rPr>
          <w:t>35</w:t>
        </w:r>
        <w:r w:rsidR="00D87FDC">
          <w:rPr>
            <w:webHidden/>
          </w:rPr>
          <w:fldChar w:fldCharType="end"/>
        </w:r>
      </w:hyperlink>
    </w:p>
    <w:p w14:paraId="6E0C5FE2"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5997" w:history="1">
        <w:r w:rsidR="00F06B4A" w:rsidRPr="001169A2">
          <w:rPr>
            <w:rStyle w:val="Hipercze"/>
            <w:lang w:val="en-GB"/>
          </w:rPr>
          <w:t>Table 6: Total financial allocations by fund and national co-financing</w:t>
        </w:r>
        <w:r w:rsidR="00F06B4A">
          <w:rPr>
            <w:webHidden/>
          </w:rPr>
          <w:tab/>
        </w:r>
        <w:r w:rsidR="00D87FDC">
          <w:rPr>
            <w:webHidden/>
          </w:rPr>
          <w:fldChar w:fldCharType="begin"/>
        </w:r>
        <w:r w:rsidR="00F06B4A">
          <w:rPr>
            <w:webHidden/>
          </w:rPr>
          <w:instrText xml:space="preserve"> PAGEREF _Toc128975997 \h </w:instrText>
        </w:r>
        <w:r w:rsidR="00D87FDC">
          <w:rPr>
            <w:webHidden/>
          </w:rPr>
        </w:r>
        <w:r w:rsidR="00D87FDC">
          <w:rPr>
            <w:webHidden/>
          </w:rPr>
          <w:fldChar w:fldCharType="separate"/>
        </w:r>
        <w:r w:rsidR="00F06B4A">
          <w:rPr>
            <w:webHidden/>
          </w:rPr>
          <w:t>35</w:t>
        </w:r>
        <w:r w:rsidR="00D87FDC">
          <w:rPr>
            <w:webHidden/>
          </w:rPr>
          <w:fldChar w:fldCharType="end"/>
        </w:r>
      </w:hyperlink>
    </w:p>
    <w:p w14:paraId="6BC74774"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5998" w:history="1">
        <w:r w:rsidR="00F06B4A" w:rsidRPr="001169A2">
          <w:rPr>
            <w:rStyle w:val="Hipercze"/>
            <w:lang w:val="en-GB"/>
          </w:rPr>
          <w:t>3.3. Transfers</w:t>
        </w:r>
        <w:r w:rsidR="00F06B4A">
          <w:rPr>
            <w:webHidden/>
          </w:rPr>
          <w:tab/>
        </w:r>
        <w:r w:rsidR="00D87FDC">
          <w:rPr>
            <w:webHidden/>
          </w:rPr>
          <w:fldChar w:fldCharType="begin"/>
        </w:r>
        <w:r w:rsidR="00F06B4A">
          <w:rPr>
            <w:webHidden/>
          </w:rPr>
          <w:instrText xml:space="preserve"> PAGEREF _Toc128975998 \h </w:instrText>
        </w:r>
        <w:r w:rsidR="00D87FDC">
          <w:rPr>
            <w:webHidden/>
          </w:rPr>
        </w:r>
        <w:r w:rsidR="00D87FDC">
          <w:rPr>
            <w:webHidden/>
          </w:rPr>
          <w:fldChar w:fldCharType="separate"/>
        </w:r>
        <w:r w:rsidR="00F06B4A">
          <w:rPr>
            <w:webHidden/>
          </w:rPr>
          <w:t>36</w:t>
        </w:r>
        <w:r w:rsidR="00D87FDC">
          <w:rPr>
            <w:webHidden/>
          </w:rPr>
          <w:fldChar w:fldCharType="end"/>
        </w:r>
      </w:hyperlink>
    </w:p>
    <w:p w14:paraId="570D0BC6"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5999" w:history="1">
        <w:r w:rsidR="00F06B4A" w:rsidRPr="001169A2">
          <w:rPr>
            <w:rStyle w:val="Hipercze"/>
            <w:lang w:val="en-GB"/>
          </w:rPr>
          <w:t>Table 7: Transfers between shared management funds</w:t>
        </w:r>
        <w:r w:rsidR="00F06B4A" w:rsidRPr="001169A2">
          <w:rPr>
            <w:rStyle w:val="Hipercze"/>
            <w:vertAlign w:val="superscript"/>
            <w:lang w:val="en-GB"/>
          </w:rPr>
          <w:t>1</w:t>
        </w:r>
        <w:r w:rsidR="00F06B4A">
          <w:rPr>
            <w:webHidden/>
          </w:rPr>
          <w:tab/>
        </w:r>
        <w:r w:rsidR="00D87FDC">
          <w:rPr>
            <w:webHidden/>
          </w:rPr>
          <w:fldChar w:fldCharType="begin"/>
        </w:r>
        <w:r w:rsidR="00F06B4A">
          <w:rPr>
            <w:webHidden/>
          </w:rPr>
          <w:instrText xml:space="preserve"> PAGEREF _Toc128975999 \h </w:instrText>
        </w:r>
        <w:r w:rsidR="00D87FDC">
          <w:rPr>
            <w:webHidden/>
          </w:rPr>
        </w:r>
        <w:r w:rsidR="00D87FDC">
          <w:rPr>
            <w:webHidden/>
          </w:rPr>
          <w:fldChar w:fldCharType="separate"/>
        </w:r>
        <w:r w:rsidR="00F06B4A">
          <w:rPr>
            <w:webHidden/>
          </w:rPr>
          <w:t>36</w:t>
        </w:r>
        <w:r w:rsidR="00D87FDC">
          <w:rPr>
            <w:webHidden/>
          </w:rPr>
          <w:fldChar w:fldCharType="end"/>
        </w:r>
      </w:hyperlink>
    </w:p>
    <w:p w14:paraId="2A8994A8" w14:textId="77777777" w:rsidR="00F06B4A" w:rsidRDefault="008C7C03">
      <w:pPr>
        <w:pStyle w:val="Spistreci3"/>
        <w:tabs>
          <w:tab w:val="right" w:leader="dot" w:pos="10240"/>
        </w:tabs>
        <w:rPr>
          <w:rFonts w:asciiTheme="minorHAnsi" w:eastAsiaTheme="minorEastAsia" w:hAnsiTheme="minorHAnsi" w:cstheme="minorBidi"/>
          <w:sz w:val="22"/>
          <w:szCs w:val="22"/>
          <w:lang w:val="pl-PL" w:eastAsia="pl-PL"/>
        </w:rPr>
      </w:pPr>
      <w:hyperlink w:anchor="_Toc128976000" w:history="1">
        <w:r w:rsidR="00F06B4A" w:rsidRPr="001169A2">
          <w:rPr>
            <w:rStyle w:val="Hipercze"/>
            <w:lang w:val="en-GB"/>
          </w:rPr>
          <w:t>Table 8: Transfers to instruments under direct or indirect management</w:t>
        </w:r>
        <w:r w:rsidR="00F06B4A" w:rsidRPr="001169A2">
          <w:rPr>
            <w:rStyle w:val="Hipercze"/>
            <w:vertAlign w:val="superscript"/>
            <w:lang w:val="en-GB"/>
          </w:rPr>
          <w:t>1</w:t>
        </w:r>
        <w:r w:rsidR="00F06B4A">
          <w:rPr>
            <w:webHidden/>
          </w:rPr>
          <w:tab/>
        </w:r>
        <w:r w:rsidR="00D87FDC">
          <w:rPr>
            <w:webHidden/>
          </w:rPr>
          <w:fldChar w:fldCharType="begin"/>
        </w:r>
        <w:r w:rsidR="00F06B4A">
          <w:rPr>
            <w:webHidden/>
          </w:rPr>
          <w:instrText xml:space="preserve"> PAGEREF _Toc128976000 \h </w:instrText>
        </w:r>
        <w:r w:rsidR="00D87FDC">
          <w:rPr>
            <w:webHidden/>
          </w:rPr>
        </w:r>
        <w:r w:rsidR="00D87FDC">
          <w:rPr>
            <w:webHidden/>
          </w:rPr>
          <w:fldChar w:fldCharType="separate"/>
        </w:r>
        <w:r w:rsidR="00F06B4A">
          <w:rPr>
            <w:webHidden/>
          </w:rPr>
          <w:t>37</w:t>
        </w:r>
        <w:r w:rsidR="00D87FDC">
          <w:rPr>
            <w:webHidden/>
          </w:rPr>
          <w:fldChar w:fldCharType="end"/>
        </w:r>
      </w:hyperlink>
    </w:p>
    <w:p w14:paraId="7B18AFD1"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01" w:history="1">
        <w:r w:rsidR="00F06B4A" w:rsidRPr="001169A2">
          <w:rPr>
            <w:rStyle w:val="Hipercze"/>
            <w:lang w:val="en-GB"/>
          </w:rPr>
          <w:t>4. Enabling conditions</w:t>
        </w:r>
        <w:r w:rsidR="00F06B4A">
          <w:rPr>
            <w:webHidden/>
          </w:rPr>
          <w:tab/>
        </w:r>
        <w:r w:rsidR="00D87FDC">
          <w:rPr>
            <w:webHidden/>
          </w:rPr>
          <w:fldChar w:fldCharType="begin"/>
        </w:r>
        <w:r w:rsidR="00F06B4A">
          <w:rPr>
            <w:webHidden/>
          </w:rPr>
          <w:instrText xml:space="preserve"> PAGEREF _Toc128976001 \h </w:instrText>
        </w:r>
        <w:r w:rsidR="00D87FDC">
          <w:rPr>
            <w:webHidden/>
          </w:rPr>
        </w:r>
        <w:r w:rsidR="00D87FDC">
          <w:rPr>
            <w:webHidden/>
          </w:rPr>
          <w:fldChar w:fldCharType="separate"/>
        </w:r>
        <w:r w:rsidR="00F06B4A">
          <w:rPr>
            <w:webHidden/>
          </w:rPr>
          <w:t>38</w:t>
        </w:r>
        <w:r w:rsidR="00D87FDC">
          <w:rPr>
            <w:webHidden/>
          </w:rPr>
          <w:fldChar w:fldCharType="end"/>
        </w:r>
      </w:hyperlink>
    </w:p>
    <w:p w14:paraId="7D1DED5E"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6002" w:history="1">
        <w:r w:rsidR="00F06B4A" w:rsidRPr="001169A2">
          <w:rPr>
            <w:rStyle w:val="Hipercze"/>
            <w:lang w:val="en-GB"/>
          </w:rPr>
          <w:t>Table 9: Horizontal enabling conditions</w:t>
        </w:r>
        <w:r w:rsidR="00F06B4A">
          <w:rPr>
            <w:webHidden/>
          </w:rPr>
          <w:tab/>
        </w:r>
        <w:r w:rsidR="00D87FDC">
          <w:rPr>
            <w:webHidden/>
          </w:rPr>
          <w:fldChar w:fldCharType="begin"/>
        </w:r>
        <w:r w:rsidR="00F06B4A">
          <w:rPr>
            <w:webHidden/>
          </w:rPr>
          <w:instrText xml:space="preserve"> PAGEREF _Toc128976002 \h </w:instrText>
        </w:r>
        <w:r w:rsidR="00D87FDC">
          <w:rPr>
            <w:webHidden/>
          </w:rPr>
        </w:r>
        <w:r w:rsidR="00D87FDC">
          <w:rPr>
            <w:webHidden/>
          </w:rPr>
          <w:fldChar w:fldCharType="separate"/>
        </w:r>
        <w:r w:rsidR="00F06B4A">
          <w:rPr>
            <w:webHidden/>
          </w:rPr>
          <w:t>38</w:t>
        </w:r>
        <w:r w:rsidR="00D87FDC">
          <w:rPr>
            <w:webHidden/>
          </w:rPr>
          <w:fldChar w:fldCharType="end"/>
        </w:r>
      </w:hyperlink>
    </w:p>
    <w:p w14:paraId="00282683"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03" w:history="1">
        <w:r w:rsidR="00F06B4A" w:rsidRPr="001169A2">
          <w:rPr>
            <w:rStyle w:val="Hipercze"/>
            <w:lang w:val="en-GB"/>
          </w:rPr>
          <w:t>5. Programme authorities</w:t>
        </w:r>
        <w:r w:rsidR="00F06B4A">
          <w:rPr>
            <w:webHidden/>
          </w:rPr>
          <w:tab/>
        </w:r>
        <w:r w:rsidR="00D87FDC">
          <w:rPr>
            <w:webHidden/>
          </w:rPr>
          <w:fldChar w:fldCharType="begin"/>
        </w:r>
        <w:r w:rsidR="00F06B4A">
          <w:rPr>
            <w:webHidden/>
          </w:rPr>
          <w:instrText xml:space="preserve"> PAGEREF _Toc128976003 \h </w:instrText>
        </w:r>
        <w:r w:rsidR="00D87FDC">
          <w:rPr>
            <w:webHidden/>
          </w:rPr>
        </w:r>
        <w:r w:rsidR="00D87FDC">
          <w:rPr>
            <w:webHidden/>
          </w:rPr>
          <w:fldChar w:fldCharType="separate"/>
        </w:r>
        <w:r w:rsidR="00F06B4A">
          <w:rPr>
            <w:webHidden/>
          </w:rPr>
          <w:t>44</w:t>
        </w:r>
        <w:r w:rsidR="00D87FDC">
          <w:rPr>
            <w:webHidden/>
          </w:rPr>
          <w:fldChar w:fldCharType="end"/>
        </w:r>
      </w:hyperlink>
    </w:p>
    <w:p w14:paraId="1F5A30B4"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6004" w:history="1">
        <w:r w:rsidR="00F06B4A" w:rsidRPr="001169A2">
          <w:rPr>
            <w:rStyle w:val="Hipercze"/>
            <w:lang w:val="en-GB"/>
          </w:rPr>
          <w:t>Table 10: Programme authorities</w:t>
        </w:r>
        <w:r w:rsidR="00F06B4A">
          <w:rPr>
            <w:webHidden/>
          </w:rPr>
          <w:tab/>
        </w:r>
        <w:r w:rsidR="00D87FDC">
          <w:rPr>
            <w:webHidden/>
          </w:rPr>
          <w:fldChar w:fldCharType="begin"/>
        </w:r>
        <w:r w:rsidR="00F06B4A">
          <w:rPr>
            <w:webHidden/>
          </w:rPr>
          <w:instrText xml:space="preserve"> PAGEREF _Toc128976004 \h </w:instrText>
        </w:r>
        <w:r w:rsidR="00D87FDC">
          <w:rPr>
            <w:webHidden/>
          </w:rPr>
        </w:r>
        <w:r w:rsidR="00D87FDC">
          <w:rPr>
            <w:webHidden/>
          </w:rPr>
          <w:fldChar w:fldCharType="separate"/>
        </w:r>
        <w:r w:rsidR="00F06B4A">
          <w:rPr>
            <w:webHidden/>
          </w:rPr>
          <w:t>44</w:t>
        </w:r>
        <w:r w:rsidR="00D87FDC">
          <w:rPr>
            <w:webHidden/>
          </w:rPr>
          <w:fldChar w:fldCharType="end"/>
        </w:r>
      </w:hyperlink>
    </w:p>
    <w:p w14:paraId="620B3D4F"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05" w:history="1">
        <w:r w:rsidR="00F06B4A" w:rsidRPr="001169A2">
          <w:rPr>
            <w:rStyle w:val="Hipercze"/>
            <w:lang w:val="en-GB"/>
          </w:rPr>
          <w:t>6. Partnership</w:t>
        </w:r>
        <w:r w:rsidR="00F06B4A">
          <w:rPr>
            <w:webHidden/>
          </w:rPr>
          <w:tab/>
        </w:r>
        <w:r w:rsidR="00D87FDC">
          <w:rPr>
            <w:webHidden/>
          </w:rPr>
          <w:fldChar w:fldCharType="begin"/>
        </w:r>
        <w:r w:rsidR="00F06B4A">
          <w:rPr>
            <w:webHidden/>
          </w:rPr>
          <w:instrText xml:space="preserve"> PAGEREF _Toc128976005 \h </w:instrText>
        </w:r>
        <w:r w:rsidR="00D87FDC">
          <w:rPr>
            <w:webHidden/>
          </w:rPr>
        </w:r>
        <w:r w:rsidR="00D87FDC">
          <w:rPr>
            <w:webHidden/>
          </w:rPr>
          <w:fldChar w:fldCharType="separate"/>
        </w:r>
        <w:r w:rsidR="00F06B4A">
          <w:rPr>
            <w:webHidden/>
          </w:rPr>
          <w:t>45</w:t>
        </w:r>
        <w:r w:rsidR="00D87FDC">
          <w:rPr>
            <w:webHidden/>
          </w:rPr>
          <w:fldChar w:fldCharType="end"/>
        </w:r>
      </w:hyperlink>
    </w:p>
    <w:p w14:paraId="643BF8B5"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06" w:history="1">
        <w:r w:rsidR="00F06B4A" w:rsidRPr="001169A2">
          <w:rPr>
            <w:rStyle w:val="Hipercze"/>
            <w:lang w:val="en-GB"/>
          </w:rPr>
          <w:t>7. Communication and visibility</w:t>
        </w:r>
        <w:r w:rsidR="00F06B4A">
          <w:rPr>
            <w:webHidden/>
          </w:rPr>
          <w:tab/>
        </w:r>
        <w:r w:rsidR="00D87FDC">
          <w:rPr>
            <w:webHidden/>
          </w:rPr>
          <w:fldChar w:fldCharType="begin"/>
        </w:r>
        <w:r w:rsidR="00F06B4A">
          <w:rPr>
            <w:webHidden/>
          </w:rPr>
          <w:instrText xml:space="preserve"> PAGEREF _Toc128976006 \h </w:instrText>
        </w:r>
        <w:r w:rsidR="00D87FDC">
          <w:rPr>
            <w:webHidden/>
          </w:rPr>
        </w:r>
        <w:r w:rsidR="00D87FDC">
          <w:rPr>
            <w:webHidden/>
          </w:rPr>
          <w:fldChar w:fldCharType="separate"/>
        </w:r>
        <w:r w:rsidR="00F06B4A">
          <w:rPr>
            <w:webHidden/>
          </w:rPr>
          <w:t>47</w:t>
        </w:r>
        <w:r w:rsidR="00D87FDC">
          <w:rPr>
            <w:webHidden/>
          </w:rPr>
          <w:fldChar w:fldCharType="end"/>
        </w:r>
      </w:hyperlink>
    </w:p>
    <w:p w14:paraId="6BC11F01"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07" w:history="1">
        <w:r w:rsidR="00F06B4A" w:rsidRPr="001169A2">
          <w:rPr>
            <w:rStyle w:val="Hipercze"/>
            <w:lang w:val="en-GB"/>
          </w:rPr>
          <w:t>8. Use of unit costs, lump sums, flat rates and financing not linked to costs</w:t>
        </w:r>
        <w:r w:rsidR="00F06B4A">
          <w:rPr>
            <w:webHidden/>
          </w:rPr>
          <w:tab/>
        </w:r>
        <w:r w:rsidR="00D87FDC">
          <w:rPr>
            <w:webHidden/>
          </w:rPr>
          <w:fldChar w:fldCharType="begin"/>
        </w:r>
        <w:r w:rsidR="00F06B4A">
          <w:rPr>
            <w:webHidden/>
          </w:rPr>
          <w:instrText xml:space="preserve"> PAGEREF _Toc128976007 \h </w:instrText>
        </w:r>
        <w:r w:rsidR="00D87FDC">
          <w:rPr>
            <w:webHidden/>
          </w:rPr>
        </w:r>
        <w:r w:rsidR="00D87FDC">
          <w:rPr>
            <w:webHidden/>
          </w:rPr>
          <w:fldChar w:fldCharType="separate"/>
        </w:r>
        <w:r w:rsidR="00F06B4A">
          <w:rPr>
            <w:webHidden/>
          </w:rPr>
          <w:t>50</w:t>
        </w:r>
        <w:r w:rsidR="00D87FDC">
          <w:rPr>
            <w:webHidden/>
          </w:rPr>
          <w:fldChar w:fldCharType="end"/>
        </w:r>
      </w:hyperlink>
    </w:p>
    <w:p w14:paraId="6ACF4EBD"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08" w:history="1">
        <w:r w:rsidR="00F06B4A" w:rsidRPr="001169A2">
          <w:rPr>
            <w:rStyle w:val="Hipercze"/>
            <w:lang w:val="en-GB"/>
          </w:rPr>
          <w:t>Appendix 1: Union contribution based on unit costs, lump sums and flat rates</w:t>
        </w:r>
        <w:r w:rsidR="00F06B4A">
          <w:rPr>
            <w:webHidden/>
          </w:rPr>
          <w:tab/>
        </w:r>
        <w:r w:rsidR="00D87FDC">
          <w:rPr>
            <w:webHidden/>
          </w:rPr>
          <w:fldChar w:fldCharType="begin"/>
        </w:r>
        <w:r w:rsidR="00F06B4A">
          <w:rPr>
            <w:webHidden/>
          </w:rPr>
          <w:instrText xml:space="preserve"> PAGEREF _Toc128976008 \h </w:instrText>
        </w:r>
        <w:r w:rsidR="00D87FDC">
          <w:rPr>
            <w:webHidden/>
          </w:rPr>
        </w:r>
        <w:r w:rsidR="00D87FDC">
          <w:rPr>
            <w:webHidden/>
          </w:rPr>
          <w:fldChar w:fldCharType="separate"/>
        </w:r>
        <w:r w:rsidR="00F06B4A">
          <w:rPr>
            <w:webHidden/>
          </w:rPr>
          <w:t>51</w:t>
        </w:r>
        <w:r w:rsidR="00D87FDC">
          <w:rPr>
            <w:webHidden/>
          </w:rPr>
          <w:fldChar w:fldCharType="end"/>
        </w:r>
      </w:hyperlink>
    </w:p>
    <w:p w14:paraId="2E0C9FB9"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6009" w:history="1">
        <w:r w:rsidR="00F06B4A" w:rsidRPr="001169A2">
          <w:rPr>
            <w:rStyle w:val="Hipercze"/>
            <w:lang w:val="en-GB"/>
          </w:rPr>
          <w:t>A. Summary of the main elements</w:t>
        </w:r>
        <w:r w:rsidR="00F06B4A">
          <w:rPr>
            <w:webHidden/>
          </w:rPr>
          <w:tab/>
        </w:r>
        <w:r w:rsidR="00D87FDC">
          <w:rPr>
            <w:webHidden/>
          </w:rPr>
          <w:fldChar w:fldCharType="begin"/>
        </w:r>
        <w:r w:rsidR="00F06B4A">
          <w:rPr>
            <w:webHidden/>
          </w:rPr>
          <w:instrText xml:space="preserve"> PAGEREF _Toc128976009 \h </w:instrText>
        </w:r>
        <w:r w:rsidR="00D87FDC">
          <w:rPr>
            <w:webHidden/>
          </w:rPr>
        </w:r>
        <w:r w:rsidR="00D87FDC">
          <w:rPr>
            <w:webHidden/>
          </w:rPr>
          <w:fldChar w:fldCharType="separate"/>
        </w:r>
        <w:r w:rsidR="00F06B4A">
          <w:rPr>
            <w:webHidden/>
          </w:rPr>
          <w:t>51</w:t>
        </w:r>
        <w:r w:rsidR="00D87FDC">
          <w:rPr>
            <w:webHidden/>
          </w:rPr>
          <w:fldChar w:fldCharType="end"/>
        </w:r>
      </w:hyperlink>
    </w:p>
    <w:p w14:paraId="355847D0"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6010" w:history="1">
        <w:r w:rsidR="00F06B4A" w:rsidRPr="001169A2">
          <w:rPr>
            <w:rStyle w:val="Hipercze"/>
            <w:lang w:val="en-GB"/>
          </w:rPr>
          <w:t>B. Detailed information by type of operation</w:t>
        </w:r>
        <w:r w:rsidR="00F06B4A">
          <w:rPr>
            <w:webHidden/>
          </w:rPr>
          <w:tab/>
        </w:r>
        <w:r w:rsidR="00D87FDC">
          <w:rPr>
            <w:webHidden/>
          </w:rPr>
          <w:fldChar w:fldCharType="begin"/>
        </w:r>
        <w:r w:rsidR="00F06B4A">
          <w:rPr>
            <w:webHidden/>
          </w:rPr>
          <w:instrText xml:space="preserve"> PAGEREF _Toc128976010 \h </w:instrText>
        </w:r>
        <w:r w:rsidR="00D87FDC">
          <w:rPr>
            <w:webHidden/>
          </w:rPr>
        </w:r>
        <w:r w:rsidR="00D87FDC">
          <w:rPr>
            <w:webHidden/>
          </w:rPr>
          <w:fldChar w:fldCharType="separate"/>
        </w:r>
        <w:r w:rsidR="00F06B4A">
          <w:rPr>
            <w:webHidden/>
          </w:rPr>
          <w:t>52</w:t>
        </w:r>
        <w:r w:rsidR="00D87FDC">
          <w:rPr>
            <w:webHidden/>
          </w:rPr>
          <w:fldChar w:fldCharType="end"/>
        </w:r>
      </w:hyperlink>
    </w:p>
    <w:p w14:paraId="16C7B49B"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6011" w:history="1">
        <w:r w:rsidR="00F06B4A" w:rsidRPr="001169A2">
          <w:rPr>
            <w:rStyle w:val="Hipercze"/>
            <w:lang w:val="en-GB"/>
          </w:rPr>
          <w:t>C. Calculation of the standard scale of unit costs, lump sums or flat rates</w:t>
        </w:r>
        <w:r w:rsidR="00F06B4A">
          <w:rPr>
            <w:webHidden/>
          </w:rPr>
          <w:tab/>
        </w:r>
        <w:r w:rsidR="00D87FDC">
          <w:rPr>
            <w:webHidden/>
          </w:rPr>
          <w:fldChar w:fldCharType="begin"/>
        </w:r>
        <w:r w:rsidR="00F06B4A">
          <w:rPr>
            <w:webHidden/>
          </w:rPr>
          <w:instrText xml:space="preserve"> PAGEREF _Toc128976011 \h </w:instrText>
        </w:r>
        <w:r w:rsidR="00D87FDC">
          <w:rPr>
            <w:webHidden/>
          </w:rPr>
        </w:r>
        <w:r w:rsidR="00D87FDC">
          <w:rPr>
            <w:webHidden/>
          </w:rPr>
          <w:fldChar w:fldCharType="separate"/>
        </w:r>
        <w:r w:rsidR="00F06B4A">
          <w:rPr>
            <w:webHidden/>
          </w:rPr>
          <w:t>53</w:t>
        </w:r>
        <w:r w:rsidR="00D87FDC">
          <w:rPr>
            <w:webHidden/>
          </w:rPr>
          <w:fldChar w:fldCharType="end"/>
        </w:r>
      </w:hyperlink>
    </w:p>
    <w:p w14:paraId="06686113"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6012" w:history="1">
        <w:r w:rsidR="00F06B4A" w:rsidRPr="001169A2">
          <w:rPr>
            <w:rStyle w:val="Hipercze"/>
            <w:lang w:val="en-GB"/>
          </w:rPr>
          <w:t>1. Source of data used to calculate the standard scale of unit costs, lump sums or flat rates (who produced, collected and recorded the data; where the data are stored; cut-off dates; validation, etc.):</w:t>
        </w:r>
        <w:r w:rsidR="00F06B4A">
          <w:rPr>
            <w:webHidden/>
          </w:rPr>
          <w:tab/>
        </w:r>
        <w:r w:rsidR="00D87FDC">
          <w:rPr>
            <w:webHidden/>
          </w:rPr>
          <w:fldChar w:fldCharType="begin"/>
        </w:r>
        <w:r w:rsidR="00F06B4A">
          <w:rPr>
            <w:webHidden/>
          </w:rPr>
          <w:instrText xml:space="preserve"> PAGEREF _Toc128976012 \h </w:instrText>
        </w:r>
        <w:r w:rsidR="00D87FDC">
          <w:rPr>
            <w:webHidden/>
          </w:rPr>
        </w:r>
        <w:r w:rsidR="00D87FDC">
          <w:rPr>
            <w:webHidden/>
          </w:rPr>
          <w:fldChar w:fldCharType="separate"/>
        </w:r>
        <w:r w:rsidR="00F06B4A">
          <w:rPr>
            <w:webHidden/>
          </w:rPr>
          <w:t>53</w:t>
        </w:r>
        <w:r w:rsidR="00D87FDC">
          <w:rPr>
            <w:webHidden/>
          </w:rPr>
          <w:fldChar w:fldCharType="end"/>
        </w:r>
      </w:hyperlink>
    </w:p>
    <w:p w14:paraId="6D60C34E"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6013" w:history="1">
        <w:r w:rsidR="00F06B4A" w:rsidRPr="001169A2">
          <w:rPr>
            <w:rStyle w:val="Hipercze"/>
            <w:lang w:val="en-GB"/>
          </w:rPr>
          <w:t>2. Please specify why the proposed method and calculation based on Article 94(2) CPR is relevant to the type of operation.</w:t>
        </w:r>
        <w:r w:rsidR="00F06B4A">
          <w:rPr>
            <w:webHidden/>
          </w:rPr>
          <w:tab/>
        </w:r>
        <w:r w:rsidR="00D87FDC">
          <w:rPr>
            <w:webHidden/>
          </w:rPr>
          <w:fldChar w:fldCharType="begin"/>
        </w:r>
        <w:r w:rsidR="00F06B4A">
          <w:rPr>
            <w:webHidden/>
          </w:rPr>
          <w:instrText xml:space="preserve"> PAGEREF _Toc128976013 \h </w:instrText>
        </w:r>
        <w:r w:rsidR="00D87FDC">
          <w:rPr>
            <w:webHidden/>
          </w:rPr>
        </w:r>
        <w:r w:rsidR="00D87FDC">
          <w:rPr>
            <w:webHidden/>
          </w:rPr>
          <w:fldChar w:fldCharType="separate"/>
        </w:r>
        <w:r w:rsidR="00F06B4A">
          <w:rPr>
            <w:webHidden/>
          </w:rPr>
          <w:t>54</w:t>
        </w:r>
        <w:r w:rsidR="00D87FDC">
          <w:rPr>
            <w:webHidden/>
          </w:rPr>
          <w:fldChar w:fldCharType="end"/>
        </w:r>
      </w:hyperlink>
    </w:p>
    <w:p w14:paraId="34318A63"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6014" w:history="1">
        <w:r w:rsidR="00F06B4A" w:rsidRPr="001169A2">
          <w:rPr>
            <w:rStyle w:val="Hipercze"/>
            <w:lang w:val="en-GB"/>
          </w:rPr>
          <w:t>3. Please specify how the calculations were made, in particular including any assumptions made in terms of quality or quantities. Where relevant, statistical evidence and benchmarks should be used and, if requested, provided in a format that is usable by the Commission.</w:t>
        </w:r>
        <w:r w:rsidR="00F06B4A">
          <w:rPr>
            <w:webHidden/>
          </w:rPr>
          <w:tab/>
        </w:r>
        <w:r w:rsidR="00D87FDC">
          <w:rPr>
            <w:webHidden/>
          </w:rPr>
          <w:fldChar w:fldCharType="begin"/>
        </w:r>
        <w:r w:rsidR="00F06B4A">
          <w:rPr>
            <w:webHidden/>
          </w:rPr>
          <w:instrText xml:space="preserve"> PAGEREF _Toc128976014 \h </w:instrText>
        </w:r>
        <w:r w:rsidR="00D87FDC">
          <w:rPr>
            <w:webHidden/>
          </w:rPr>
        </w:r>
        <w:r w:rsidR="00D87FDC">
          <w:rPr>
            <w:webHidden/>
          </w:rPr>
          <w:fldChar w:fldCharType="separate"/>
        </w:r>
        <w:r w:rsidR="00F06B4A">
          <w:rPr>
            <w:webHidden/>
          </w:rPr>
          <w:t>55</w:t>
        </w:r>
        <w:r w:rsidR="00D87FDC">
          <w:rPr>
            <w:webHidden/>
          </w:rPr>
          <w:fldChar w:fldCharType="end"/>
        </w:r>
      </w:hyperlink>
    </w:p>
    <w:p w14:paraId="6B96C5F6"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6015" w:history="1">
        <w:r w:rsidR="00F06B4A" w:rsidRPr="001169A2">
          <w:rPr>
            <w:rStyle w:val="Hipercze"/>
            <w:lang w:val="en-GB"/>
          </w:rPr>
          <w:t>4. Please explain how you have ensured that only eligible expenditure was included in the calculation of the standard scale of unit cost, lump sum or flat rate:</w:t>
        </w:r>
        <w:r w:rsidR="00F06B4A">
          <w:rPr>
            <w:webHidden/>
          </w:rPr>
          <w:tab/>
        </w:r>
        <w:r w:rsidR="00D87FDC">
          <w:rPr>
            <w:webHidden/>
          </w:rPr>
          <w:fldChar w:fldCharType="begin"/>
        </w:r>
        <w:r w:rsidR="00F06B4A">
          <w:rPr>
            <w:webHidden/>
          </w:rPr>
          <w:instrText xml:space="preserve"> PAGEREF _Toc128976015 \h </w:instrText>
        </w:r>
        <w:r w:rsidR="00D87FDC">
          <w:rPr>
            <w:webHidden/>
          </w:rPr>
        </w:r>
        <w:r w:rsidR="00D87FDC">
          <w:rPr>
            <w:webHidden/>
          </w:rPr>
          <w:fldChar w:fldCharType="separate"/>
        </w:r>
        <w:r w:rsidR="00F06B4A">
          <w:rPr>
            <w:webHidden/>
          </w:rPr>
          <w:t>56</w:t>
        </w:r>
        <w:r w:rsidR="00D87FDC">
          <w:rPr>
            <w:webHidden/>
          </w:rPr>
          <w:fldChar w:fldCharType="end"/>
        </w:r>
      </w:hyperlink>
    </w:p>
    <w:p w14:paraId="123571F2" w14:textId="77777777" w:rsidR="00F06B4A" w:rsidRDefault="008C7C03">
      <w:pPr>
        <w:pStyle w:val="Spistreci4"/>
        <w:tabs>
          <w:tab w:val="right" w:leader="dot" w:pos="10240"/>
        </w:tabs>
        <w:rPr>
          <w:rFonts w:asciiTheme="minorHAnsi" w:eastAsiaTheme="minorEastAsia" w:hAnsiTheme="minorHAnsi" w:cstheme="minorBidi"/>
          <w:sz w:val="22"/>
          <w:szCs w:val="22"/>
          <w:lang w:val="pl-PL" w:eastAsia="pl-PL"/>
        </w:rPr>
      </w:pPr>
      <w:hyperlink w:anchor="_Toc128976016" w:history="1">
        <w:r w:rsidR="00F06B4A" w:rsidRPr="001169A2">
          <w:rPr>
            <w:rStyle w:val="Hipercze"/>
            <w:lang w:val="en-GB"/>
          </w:rPr>
          <w:t>5. Assessment of the audit authority(ies) of the calculation methodology and amounts and the arrangements to ensure the verification, quality, collection and storage of data.</w:t>
        </w:r>
        <w:r w:rsidR="00F06B4A">
          <w:rPr>
            <w:webHidden/>
          </w:rPr>
          <w:tab/>
        </w:r>
        <w:r w:rsidR="00D87FDC">
          <w:rPr>
            <w:webHidden/>
          </w:rPr>
          <w:fldChar w:fldCharType="begin"/>
        </w:r>
        <w:r w:rsidR="00F06B4A">
          <w:rPr>
            <w:webHidden/>
          </w:rPr>
          <w:instrText xml:space="preserve"> PAGEREF _Toc128976016 \h </w:instrText>
        </w:r>
        <w:r w:rsidR="00D87FDC">
          <w:rPr>
            <w:webHidden/>
          </w:rPr>
        </w:r>
        <w:r w:rsidR="00D87FDC">
          <w:rPr>
            <w:webHidden/>
          </w:rPr>
          <w:fldChar w:fldCharType="separate"/>
        </w:r>
        <w:r w:rsidR="00F06B4A">
          <w:rPr>
            <w:webHidden/>
          </w:rPr>
          <w:t>57</w:t>
        </w:r>
        <w:r w:rsidR="00D87FDC">
          <w:rPr>
            <w:webHidden/>
          </w:rPr>
          <w:fldChar w:fldCharType="end"/>
        </w:r>
      </w:hyperlink>
    </w:p>
    <w:p w14:paraId="276102E5"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17" w:history="1">
        <w:r w:rsidR="00F06B4A" w:rsidRPr="001169A2">
          <w:rPr>
            <w:rStyle w:val="Hipercze"/>
            <w:lang w:val="en-GB"/>
          </w:rPr>
          <w:t>Appendix 2: Union contribution based on financing not linked to costs</w:t>
        </w:r>
        <w:r w:rsidR="00F06B4A">
          <w:rPr>
            <w:webHidden/>
          </w:rPr>
          <w:tab/>
        </w:r>
        <w:r w:rsidR="00D87FDC">
          <w:rPr>
            <w:webHidden/>
          </w:rPr>
          <w:fldChar w:fldCharType="begin"/>
        </w:r>
        <w:r w:rsidR="00F06B4A">
          <w:rPr>
            <w:webHidden/>
          </w:rPr>
          <w:instrText xml:space="preserve"> PAGEREF _Toc128976017 \h </w:instrText>
        </w:r>
        <w:r w:rsidR="00D87FDC">
          <w:rPr>
            <w:webHidden/>
          </w:rPr>
        </w:r>
        <w:r w:rsidR="00D87FDC">
          <w:rPr>
            <w:webHidden/>
          </w:rPr>
          <w:fldChar w:fldCharType="separate"/>
        </w:r>
        <w:r w:rsidR="00F06B4A">
          <w:rPr>
            <w:webHidden/>
          </w:rPr>
          <w:t>58</w:t>
        </w:r>
        <w:r w:rsidR="00D87FDC">
          <w:rPr>
            <w:webHidden/>
          </w:rPr>
          <w:fldChar w:fldCharType="end"/>
        </w:r>
      </w:hyperlink>
    </w:p>
    <w:p w14:paraId="4FB8C496"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6018" w:history="1">
        <w:r w:rsidR="00F06B4A" w:rsidRPr="001169A2">
          <w:rPr>
            <w:rStyle w:val="Hipercze"/>
            <w:lang w:val="en-GB"/>
          </w:rPr>
          <w:t>A. Summary of the main elements</w:t>
        </w:r>
        <w:r w:rsidR="00F06B4A">
          <w:rPr>
            <w:webHidden/>
          </w:rPr>
          <w:tab/>
        </w:r>
        <w:r w:rsidR="00D87FDC">
          <w:rPr>
            <w:webHidden/>
          </w:rPr>
          <w:fldChar w:fldCharType="begin"/>
        </w:r>
        <w:r w:rsidR="00F06B4A">
          <w:rPr>
            <w:webHidden/>
          </w:rPr>
          <w:instrText xml:space="preserve"> PAGEREF _Toc128976018 \h </w:instrText>
        </w:r>
        <w:r w:rsidR="00D87FDC">
          <w:rPr>
            <w:webHidden/>
          </w:rPr>
        </w:r>
        <w:r w:rsidR="00D87FDC">
          <w:rPr>
            <w:webHidden/>
          </w:rPr>
          <w:fldChar w:fldCharType="separate"/>
        </w:r>
        <w:r w:rsidR="00F06B4A">
          <w:rPr>
            <w:webHidden/>
          </w:rPr>
          <w:t>58</w:t>
        </w:r>
        <w:r w:rsidR="00D87FDC">
          <w:rPr>
            <w:webHidden/>
          </w:rPr>
          <w:fldChar w:fldCharType="end"/>
        </w:r>
      </w:hyperlink>
    </w:p>
    <w:p w14:paraId="7E5A8D93"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6019" w:history="1">
        <w:r w:rsidR="00F06B4A" w:rsidRPr="001169A2">
          <w:rPr>
            <w:rStyle w:val="Hipercze"/>
            <w:lang w:val="en-GB"/>
          </w:rPr>
          <w:t>B. Detailed information by type of operation</w:t>
        </w:r>
        <w:r w:rsidR="00F06B4A">
          <w:rPr>
            <w:webHidden/>
          </w:rPr>
          <w:tab/>
        </w:r>
        <w:r w:rsidR="00D87FDC">
          <w:rPr>
            <w:webHidden/>
          </w:rPr>
          <w:fldChar w:fldCharType="begin"/>
        </w:r>
        <w:r w:rsidR="00F06B4A">
          <w:rPr>
            <w:webHidden/>
          </w:rPr>
          <w:instrText xml:space="preserve"> PAGEREF _Toc128976019 \h </w:instrText>
        </w:r>
        <w:r w:rsidR="00D87FDC">
          <w:rPr>
            <w:webHidden/>
          </w:rPr>
        </w:r>
        <w:r w:rsidR="00D87FDC">
          <w:rPr>
            <w:webHidden/>
          </w:rPr>
          <w:fldChar w:fldCharType="separate"/>
        </w:r>
        <w:r w:rsidR="00F06B4A">
          <w:rPr>
            <w:webHidden/>
          </w:rPr>
          <w:t>59</w:t>
        </w:r>
        <w:r w:rsidR="00D87FDC">
          <w:rPr>
            <w:webHidden/>
          </w:rPr>
          <w:fldChar w:fldCharType="end"/>
        </w:r>
      </w:hyperlink>
    </w:p>
    <w:p w14:paraId="72F62D7F"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20" w:history="1">
        <w:r w:rsidR="00F06B4A" w:rsidRPr="001169A2">
          <w:rPr>
            <w:rStyle w:val="Hipercze"/>
            <w:lang w:val="en-GB"/>
          </w:rPr>
          <w:t>Annex 3</w:t>
        </w:r>
        <w:r w:rsidR="00F06B4A">
          <w:rPr>
            <w:webHidden/>
          </w:rPr>
          <w:tab/>
        </w:r>
        <w:r w:rsidR="00D87FDC">
          <w:rPr>
            <w:webHidden/>
          </w:rPr>
          <w:fldChar w:fldCharType="begin"/>
        </w:r>
        <w:r w:rsidR="00F06B4A">
          <w:rPr>
            <w:webHidden/>
          </w:rPr>
          <w:instrText xml:space="preserve"> PAGEREF _Toc128976020 \h </w:instrText>
        </w:r>
        <w:r w:rsidR="00D87FDC">
          <w:rPr>
            <w:webHidden/>
          </w:rPr>
        </w:r>
        <w:r w:rsidR="00D87FDC">
          <w:rPr>
            <w:webHidden/>
          </w:rPr>
          <w:fldChar w:fldCharType="separate"/>
        </w:r>
        <w:r w:rsidR="00F06B4A">
          <w:rPr>
            <w:webHidden/>
          </w:rPr>
          <w:t>60</w:t>
        </w:r>
        <w:r w:rsidR="00D87FDC">
          <w:rPr>
            <w:webHidden/>
          </w:rPr>
          <w:fldChar w:fldCharType="end"/>
        </w:r>
      </w:hyperlink>
    </w:p>
    <w:p w14:paraId="693C4CF5" w14:textId="77777777" w:rsidR="00F06B4A" w:rsidRDefault="008C7C03">
      <w:pPr>
        <w:pStyle w:val="Spistreci2"/>
        <w:tabs>
          <w:tab w:val="right" w:leader="dot" w:pos="10240"/>
        </w:tabs>
        <w:rPr>
          <w:rFonts w:asciiTheme="minorHAnsi" w:eastAsiaTheme="minorEastAsia" w:hAnsiTheme="minorHAnsi" w:cstheme="minorBidi"/>
          <w:sz w:val="22"/>
          <w:szCs w:val="22"/>
          <w:lang w:val="pl-PL" w:eastAsia="pl-PL"/>
        </w:rPr>
      </w:pPr>
      <w:hyperlink w:anchor="_Toc128976021" w:history="1">
        <w:r w:rsidR="00F06B4A" w:rsidRPr="001169A2">
          <w:rPr>
            <w:rStyle w:val="Hipercze"/>
            <w:lang w:val="en-GB"/>
          </w:rPr>
          <w:t>Thematic instrument</w:t>
        </w:r>
        <w:r w:rsidR="00F06B4A">
          <w:rPr>
            <w:webHidden/>
          </w:rPr>
          <w:tab/>
        </w:r>
        <w:r w:rsidR="00D87FDC">
          <w:rPr>
            <w:webHidden/>
          </w:rPr>
          <w:fldChar w:fldCharType="begin"/>
        </w:r>
        <w:r w:rsidR="00F06B4A">
          <w:rPr>
            <w:webHidden/>
          </w:rPr>
          <w:instrText xml:space="preserve"> PAGEREF _Toc128976021 \h </w:instrText>
        </w:r>
        <w:r w:rsidR="00D87FDC">
          <w:rPr>
            <w:webHidden/>
          </w:rPr>
        </w:r>
        <w:r w:rsidR="00D87FDC">
          <w:rPr>
            <w:webHidden/>
          </w:rPr>
          <w:fldChar w:fldCharType="separate"/>
        </w:r>
        <w:r w:rsidR="00F06B4A">
          <w:rPr>
            <w:webHidden/>
          </w:rPr>
          <w:t>60</w:t>
        </w:r>
        <w:r w:rsidR="00D87FDC">
          <w:rPr>
            <w:webHidden/>
          </w:rPr>
          <w:fldChar w:fldCharType="end"/>
        </w:r>
      </w:hyperlink>
    </w:p>
    <w:p w14:paraId="49613B87" w14:textId="77777777" w:rsidR="00F06B4A" w:rsidRDefault="008C7C03">
      <w:pPr>
        <w:pStyle w:val="Spistreci1"/>
        <w:tabs>
          <w:tab w:val="right" w:leader="dot" w:pos="10240"/>
        </w:tabs>
        <w:rPr>
          <w:rFonts w:asciiTheme="minorHAnsi" w:eastAsiaTheme="minorEastAsia" w:hAnsiTheme="minorHAnsi" w:cstheme="minorBidi"/>
          <w:sz w:val="22"/>
          <w:szCs w:val="22"/>
          <w:lang w:val="pl-PL" w:eastAsia="pl-PL"/>
        </w:rPr>
      </w:pPr>
      <w:hyperlink w:anchor="_Toc128976022" w:history="1">
        <w:r w:rsidR="00F06B4A" w:rsidRPr="001169A2">
          <w:rPr>
            <w:rStyle w:val="Hipercze"/>
            <w:lang w:val="en-GB"/>
          </w:rPr>
          <w:t>DOCUMENTS</w:t>
        </w:r>
        <w:r w:rsidR="00F06B4A">
          <w:rPr>
            <w:webHidden/>
          </w:rPr>
          <w:tab/>
        </w:r>
        <w:r w:rsidR="00D87FDC">
          <w:rPr>
            <w:webHidden/>
          </w:rPr>
          <w:fldChar w:fldCharType="begin"/>
        </w:r>
        <w:r w:rsidR="00F06B4A">
          <w:rPr>
            <w:webHidden/>
          </w:rPr>
          <w:instrText xml:space="preserve"> PAGEREF _Toc128976022 \h </w:instrText>
        </w:r>
        <w:r w:rsidR="00D87FDC">
          <w:rPr>
            <w:webHidden/>
          </w:rPr>
        </w:r>
        <w:r w:rsidR="00D87FDC">
          <w:rPr>
            <w:webHidden/>
          </w:rPr>
          <w:fldChar w:fldCharType="separate"/>
        </w:r>
        <w:r w:rsidR="00F06B4A">
          <w:rPr>
            <w:webHidden/>
          </w:rPr>
          <w:t>61</w:t>
        </w:r>
        <w:r w:rsidR="00D87FDC">
          <w:rPr>
            <w:webHidden/>
          </w:rPr>
          <w:fldChar w:fldCharType="end"/>
        </w:r>
      </w:hyperlink>
    </w:p>
    <w:p w14:paraId="7D7596F3" w14:textId="77777777" w:rsidR="00A77B3E" w:rsidRPr="00607BDE" w:rsidRDefault="00D87FDC">
      <w:pPr>
        <w:pStyle w:val="Nagwek1"/>
        <w:rPr>
          <w:rFonts w:ascii="Times New Roman" w:hAnsi="Times New Roman" w:cs="Times New Roman"/>
          <w:b w:val="0"/>
          <w:color w:val="000000"/>
          <w:sz w:val="24"/>
          <w:lang w:val="en-GB"/>
        </w:rPr>
      </w:pPr>
      <w:r w:rsidRPr="00607BDE">
        <w:rPr>
          <w:rFonts w:ascii="Times New Roman" w:hAnsi="Times New Roman" w:cs="Times New Roman"/>
          <w:b w:val="0"/>
          <w:color w:val="000000"/>
          <w:sz w:val="24"/>
          <w:lang w:val="en-GB"/>
        </w:rPr>
        <w:fldChar w:fldCharType="end"/>
      </w:r>
      <w:r w:rsidR="00C401B9" w:rsidRPr="00607BDE">
        <w:rPr>
          <w:rFonts w:ascii="Times New Roman" w:hAnsi="Times New Roman" w:cs="Times New Roman"/>
          <w:b w:val="0"/>
          <w:color w:val="000000"/>
          <w:sz w:val="24"/>
          <w:lang w:val="en-GB"/>
        </w:rPr>
        <w:br w:type="page"/>
      </w:r>
      <w:bookmarkStart w:id="1" w:name="_Toc128975973"/>
      <w:r w:rsidR="00C401B9" w:rsidRPr="00607BDE">
        <w:rPr>
          <w:rFonts w:ascii="Times New Roman" w:hAnsi="Times New Roman" w:cs="Times New Roman"/>
          <w:b w:val="0"/>
          <w:color w:val="000000"/>
          <w:sz w:val="24"/>
          <w:lang w:val="en-GB"/>
        </w:rPr>
        <w:lastRenderedPageBreak/>
        <w:t>1. Programme strategy: main challenges and policy responses</w:t>
      </w:r>
      <w:bookmarkEnd w:id="1"/>
    </w:p>
    <w:p w14:paraId="232CE94E" w14:textId="77777777" w:rsidR="00A77B3E" w:rsidRPr="00607BDE" w:rsidRDefault="00C401B9">
      <w:pPr>
        <w:rPr>
          <w:color w:val="000000"/>
          <w:sz w:val="16"/>
          <w:lang w:val="en-GB"/>
        </w:rPr>
      </w:pPr>
      <w:r w:rsidRPr="00607BDE">
        <w:rPr>
          <w:color w:val="000000"/>
          <w:lang w:val="en-GB"/>
        </w:rPr>
        <w:t>Reference: Article 22(3)(a)(iii), (iv), (v) and (ix) of Regulation (EU) 2021/1060 (CPR)</w:t>
      </w:r>
    </w:p>
    <w:p w14:paraId="0CFF2716" w14:textId="77777777" w:rsidR="00A77B3E" w:rsidRPr="00607BDE" w:rsidRDefault="00A77B3E">
      <w:pPr>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C7127" w:rsidRPr="00607BDE" w14:paraId="4AEF52D4" w14:textId="77777777">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14:paraId="338B30FD" w14:textId="77777777" w:rsidR="00A77B3E" w:rsidRPr="00607BDE" w:rsidRDefault="00A77B3E">
            <w:pPr>
              <w:rPr>
                <w:color w:val="000000"/>
                <w:sz w:val="0"/>
                <w:lang w:val="en-GB"/>
              </w:rPr>
            </w:pPr>
          </w:p>
          <w:p w14:paraId="7DE32403" w14:textId="77777777" w:rsidR="00A77B3E" w:rsidRPr="00607BDE" w:rsidRDefault="00C401B9">
            <w:pPr>
              <w:rPr>
                <w:color w:val="000000"/>
                <w:lang w:val="en-GB"/>
              </w:rPr>
            </w:pPr>
            <w:r w:rsidRPr="00607BDE">
              <w:rPr>
                <w:color w:val="000000"/>
                <w:lang w:val="en-GB"/>
              </w:rPr>
              <w:t>The Programme covers a broad spectrum of actions proposed to be implemented. They will be a continuation of actions carried out under ISF 2014-2020 and new initiatives.</w:t>
            </w:r>
          </w:p>
          <w:p w14:paraId="0DE97995" w14:textId="77777777" w:rsidR="00A77B3E" w:rsidRPr="00607BDE" w:rsidRDefault="00A77B3E">
            <w:pPr>
              <w:rPr>
                <w:color w:val="000000"/>
                <w:lang w:val="en-GB"/>
              </w:rPr>
            </w:pPr>
          </w:p>
          <w:p w14:paraId="50EA1195" w14:textId="77777777" w:rsidR="00A77B3E" w:rsidRPr="00607BDE" w:rsidRDefault="00C401B9">
            <w:pPr>
              <w:rPr>
                <w:color w:val="000000"/>
                <w:lang w:val="en-GB"/>
              </w:rPr>
            </w:pPr>
            <w:r w:rsidRPr="00607BDE">
              <w:rPr>
                <w:color w:val="000000"/>
                <w:lang w:val="en-GB"/>
              </w:rPr>
              <w:t xml:space="preserve">The implementation of the ISF 2014-2020 provided for completion of a number of actions both in the area of the external EU border surveillance and visa policy, i.e. expand the EU perimeter border surveillance systems; improve border checks at the external EU border; modernise ICT systems used for border management; upgrade the infrastructure and equipment of field BG units; maintain and develop the BG's operational capacity; provide specialist training to BG officers; meet the </w:t>
            </w:r>
            <w:r w:rsidRPr="00607BDE">
              <w:rPr>
                <w:i/>
                <w:iCs/>
                <w:color w:val="000000"/>
                <w:lang w:val="en-GB"/>
              </w:rPr>
              <w:t xml:space="preserve">acquis </w:t>
            </w:r>
            <w:r w:rsidRPr="00607BDE">
              <w:rPr>
                <w:color w:val="000000"/>
                <w:lang w:val="en-GB"/>
              </w:rPr>
              <w:t>regarding border management and visa policy; enhance the capacity of the consular services; harmonise the visa issuance practice and ensure better consular coverage; complete works related to amending the Visa Code; eliminate deficiencies in consular services provided; modify the Visa-Consul system and the training infrastructure for the consular service.</w:t>
            </w:r>
          </w:p>
          <w:p w14:paraId="3EB173C5" w14:textId="77777777" w:rsidR="00A77B3E" w:rsidRPr="00607BDE" w:rsidRDefault="00A77B3E">
            <w:pPr>
              <w:rPr>
                <w:color w:val="000000"/>
                <w:lang w:val="en-GB"/>
              </w:rPr>
            </w:pPr>
          </w:p>
          <w:p w14:paraId="38B322F6" w14:textId="77777777" w:rsidR="00A77B3E" w:rsidRPr="00607BDE" w:rsidRDefault="00C401B9">
            <w:pPr>
              <w:rPr>
                <w:color w:val="000000"/>
                <w:lang w:val="en-GB"/>
              </w:rPr>
            </w:pPr>
            <w:r w:rsidRPr="00607BDE">
              <w:rPr>
                <w:color w:val="000000"/>
                <w:lang w:val="en-GB"/>
              </w:rPr>
              <w:t>Despite intensive actions, the current experience shows that it is necessary to continue projects aimed to improve border management and common visa policy. Challenges are still encountered that require to be addressed properly.</w:t>
            </w:r>
          </w:p>
          <w:p w14:paraId="4B50FB67" w14:textId="77777777" w:rsidR="00A77B3E" w:rsidRPr="00607BDE" w:rsidRDefault="00A77B3E">
            <w:pPr>
              <w:rPr>
                <w:color w:val="000000"/>
                <w:lang w:val="en-GB"/>
              </w:rPr>
            </w:pPr>
          </w:p>
          <w:p w14:paraId="7CC9758E" w14:textId="77777777" w:rsidR="00A77B3E" w:rsidRPr="00607BDE" w:rsidRDefault="00C401B9">
            <w:pPr>
              <w:rPr>
                <w:color w:val="000000"/>
                <w:lang w:val="en-GB"/>
              </w:rPr>
            </w:pPr>
            <w:r w:rsidRPr="00607BDE">
              <w:rPr>
                <w:color w:val="000000"/>
                <w:lang w:val="en-GB"/>
              </w:rPr>
              <w:t>Actions planned for implementation as part of the Programme have been selected on the basis of an analysis of the country's needs regarding the management of the external EU border, migration management, common visa policy and on structured national strategies, including:</w:t>
            </w:r>
          </w:p>
          <w:p w14:paraId="57AFD24E" w14:textId="77777777" w:rsidR="00A77B3E" w:rsidRPr="00607BDE" w:rsidRDefault="00C401B9">
            <w:pPr>
              <w:numPr>
                <w:ilvl w:val="0"/>
                <w:numId w:val="1"/>
              </w:numPr>
              <w:rPr>
                <w:color w:val="000000"/>
                <w:lang w:val="en-GB"/>
              </w:rPr>
            </w:pPr>
            <w:r w:rsidRPr="00607BDE">
              <w:rPr>
                <w:color w:val="000000"/>
                <w:lang w:val="en-GB"/>
              </w:rPr>
              <w:t>Strategy for Responsible Development up to 2020 (with the perspective up to 2030),</w:t>
            </w:r>
          </w:p>
          <w:p w14:paraId="0F23CEC9" w14:textId="77777777" w:rsidR="00A77B3E" w:rsidRPr="00607BDE" w:rsidRDefault="00C401B9">
            <w:pPr>
              <w:numPr>
                <w:ilvl w:val="0"/>
                <w:numId w:val="1"/>
              </w:numPr>
              <w:rPr>
                <w:color w:val="000000"/>
                <w:lang w:val="en-GB"/>
              </w:rPr>
            </w:pPr>
            <w:r w:rsidRPr="00607BDE">
              <w:rPr>
                <w:color w:val="000000"/>
                <w:lang w:val="en-GB"/>
              </w:rPr>
              <w:t>National Security Strategy,</w:t>
            </w:r>
          </w:p>
          <w:p w14:paraId="6BC09D54" w14:textId="77777777" w:rsidR="00A77B3E" w:rsidRPr="00607BDE" w:rsidRDefault="00C401B9">
            <w:pPr>
              <w:numPr>
                <w:ilvl w:val="0"/>
                <w:numId w:val="1"/>
              </w:numPr>
              <w:rPr>
                <w:color w:val="000000"/>
                <w:lang w:val="en-GB"/>
              </w:rPr>
            </w:pPr>
            <w:r w:rsidRPr="00607BDE">
              <w:rPr>
                <w:color w:val="000000"/>
                <w:lang w:val="en-GB"/>
              </w:rPr>
              <w:t>Strategy for Integrated Management of the Polish State Border for 2019-2030,</w:t>
            </w:r>
          </w:p>
          <w:p w14:paraId="57609514" w14:textId="77777777" w:rsidR="00A77B3E" w:rsidRPr="00607BDE" w:rsidRDefault="00C401B9">
            <w:pPr>
              <w:numPr>
                <w:ilvl w:val="0"/>
                <w:numId w:val="1"/>
              </w:numPr>
              <w:rPr>
                <w:color w:val="000000"/>
                <w:lang w:val="en-GB"/>
              </w:rPr>
            </w:pPr>
            <w:r w:rsidRPr="00607BDE">
              <w:rPr>
                <w:color w:val="000000"/>
                <w:lang w:val="en-GB"/>
              </w:rPr>
              <w:t>Concept of Border Guard Functioning in 2020-2022, with the perspective up to 2027,</w:t>
            </w:r>
          </w:p>
          <w:p w14:paraId="2F43F9F5" w14:textId="77777777" w:rsidR="00A77B3E" w:rsidRPr="00607BDE" w:rsidRDefault="00C401B9">
            <w:pPr>
              <w:numPr>
                <w:ilvl w:val="0"/>
                <w:numId w:val="1"/>
              </w:numPr>
              <w:rPr>
                <w:color w:val="000000"/>
                <w:lang w:val="en-GB"/>
              </w:rPr>
            </w:pPr>
            <w:r w:rsidRPr="00607BDE">
              <w:rPr>
                <w:color w:val="000000"/>
                <w:lang w:val="en-GB"/>
              </w:rPr>
              <w:t>Strategic Concept of Maritime Security of the Republic of Poland,</w:t>
            </w:r>
          </w:p>
          <w:p w14:paraId="5DD8EFBD" w14:textId="77777777" w:rsidR="00A77B3E" w:rsidRPr="00607BDE" w:rsidRDefault="00C401B9">
            <w:pPr>
              <w:numPr>
                <w:ilvl w:val="0"/>
                <w:numId w:val="1"/>
              </w:numPr>
              <w:rPr>
                <w:color w:val="000000"/>
                <w:lang w:val="en-GB"/>
              </w:rPr>
            </w:pPr>
            <w:r w:rsidRPr="00607BDE">
              <w:rPr>
                <w:color w:val="000000"/>
                <w:lang w:val="en-GB"/>
              </w:rPr>
              <w:t>Strategy of Development of the National Security System of the Republic of Poland 2022,</w:t>
            </w:r>
          </w:p>
          <w:p w14:paraId="6672074A" w14:textId="77777777" w:rsidR="00A77B3E" w:rsidRPr="00607BDE" w:rsidRDefault="00C401B9">
            <w:pPr>
              <w:numPr>
                <w:ilvl w:val="0"/>
                <w:numId w:val="1"/>
              </w:numPr>
              <w:rPr>
                <w:color w:val="000000"/>
                <w:lang w:val="en-GB"/>
              </w:rPr>
            </w:pPr>
            <w:r w:rsidRPr="00607BDE">
              <w:rPr>
                <w:color w:val="000000"/>
                <w:lang w:val="en-GB"/>
              </w:rPr>
              <w:t>Cybersecurity Strategy of the Republic of Poland for 2017-2022,</w:t>
            </w:r>
          </w:p>
          <w:p w14:paraId="3F8E95B9" w14:textId="77777777" w:rsidR="00A77B3E" w:rsidRPr="00607BDE" w:rsidRDefault="00C401B9">
            <w:pPr>
              <w:numPr>
                <w:ilvl w:val="0"/>
                <w:numId w:val="1"/>
              </w:numPr>
              <w:rPr>
                <w:color w:val="000000"/>
                <w:lang w:val="en-GB"/>
              </w:rPr>
            </w:pPr>
            <w:r w:rsidRPr="00607BDE">
              <w:rPr>
                <w:color w:val="000000"/>
                <w:lang w:val="en-GB"/>
              </w:rPr>
              <w:t>National Programme for Securing Critical Infrastructure,</w:t>
            </w:r>
          </w:p>
          <w:p w14:paraId="5C12AD00" w14:textId="77777777" w:rsidR="00A77B3E" w:rsidRPr="00607BDE" w:rsidRDefault="00C401B9">
            <w:pPr>
              <w:numPr>
                <w:ilvl w:val="0"/>
                <w:numId w:val="1"/>
              </w:numPr>
              <w:rPr>
                <w:color w:val="000000"/>
                <w:lang w:val="en-GB"/>
              </w:rPr>
            </w:pPr>
            <w:r w:rsidRPr="00607BDE">
              <w:rPr>
                <w:color w:val="000000"/>
                <w:lang w:val="en-GB"/>
              </w:rPr>
              <w:t>Strategy of the Polish Foreign Policy 2017-2021,</w:t>
            </w:r>
          </w:p>
          <w:p w14:paraId="5383CE30" w14:textId="77777777" w:rsidR="00A77B3E" w:rsidRPr="00607BDE" w:rsidRDefault="00C401B9">
            <w:pPr>
              <w:numPr>
                <w:ilvl w:val="0"/>
                <w:numId w:val="1"/>
              </w:numPr>
              <w:rPr>
                <w:color w:val="000000"/>
                <w:lang w:val="en-GB"/>
              </w:rPr>
            </w:pPr>
            <w:r w:rsidRPr="00607BDE">
              <w:rPr>
                <w:color w:val="000000"/>
                <w:lang w:val="en-GB"/>
              </w:rPr>
              <w:t>Plan for adapting public administration authorities to cooperation with the modified large-scale EU information systems - MasterPlan.</w:t>
            </w:r>
          </w:p>
          <w:p w14:paraId="0289E494" w14:textId="77777777" w:rsidR="00A77B3E" w:rsidRPr="00607BDE" w:rsidRDefault="00A77B3E">
            <w:pPr>
              <w:rPr>
                <w:color w:val="000000"/>
                <w:lang w:val="en-GB"/>
              </w:rPr>
            </w:pPr>
          </w:p>
          <w:p w14:paraId="7F12ACC5" w14:textId="77777777" w:rsidR="00A77B3E" w:rsidRPr="00607BDE" w:rsidRDefault="00C401B9">
            <w:pPr>
              <w:rPr>
                <w:color w:val="000000"/>
                <w:lang w:val="en-GB"/>
              </w:rPr>
            </w:pPr>
            <w:r w:rsidRPr="00607BDE">
              <w:rPr>
                <w:color w:val="000000"/>
                <w:u w:val="single"/>
                <w:lang w:val="en-GB"/>
              </w:rPr>
              <w:t xml:space="preserve">Actions for the Programme were selected also on the basis of the multiannual strategic policy for European Integrated Border Management in accordance with Article 8(4) of Regulation (EU) 2019/1896. </w:t>
            </w:r>
          </w:p>
          <w:p w14:paraId="0A7B0BD1" w14:textId="77777777" w:rsidR="00A77B3E" w:rsidRPr="00607BDE" w:rsidRDefault="00A77B3E">
            <w:pPr>
              <w:rPr>
                <w:color w:val="000000"/>
                <w:lang w:val="en-GB"/>
              </w:rPr>
            </w:pPr>
          </w:p>
          <w:p w14:paraId="2D80F9EA" w14:textId="77777777" w:rsidR="00A77B3E" w:rsidRPr="00607BDE" w:rsidRDefault="00C401B9">
            <w:pPr>
              <w:rPr>
                <w:color w:val="000000"/>
                <w:lang w:val="en-GB"/>
              </w:rPr>
            </w:pPr>
            <w:r w:rsidRPr="00607BDE">
              <w:rPr>
                <w:b/>
                <w:bCs/>
                <w:color w:val="000000"/>
                <w:lang w:val="en-GB"/>
              </w:rPr>
              <w:t xml:space="preserve">The Programme's objectives include ensuring cohesion with the application of the Union </w:t>
            </w:r>
            <w:r w:rsidRPr="00607BDE">
              <w:rPr>
                <w:b/>
                <w:bCs/>
                <w:i/>
                <w:iCs/>
                <w:color w:val="000000"/>
                <w:lang w:val="en-GB"/>
              </w:rPr>
              <w:t xml:space="preserve">acquis </w:t>
            </w:r>
            <w:r w:rsidRPr="00607BDE">
              <w:rPr>
                <w:b/>
                <w:bCs/>
                <w:color w:val="000000"/>
                <w:lang w:val="en-GB"/>
              </w:rPr>
              <w:t xml:space="preserve">on borders and visas and, where applicable, specific actions plans throughout the Programme's life. </w:t>
            </w:r>
          </w:p>
          <w:p w14:paraId="48004732" w14:textId="77777777" w:rsidR="00A77B3E" w:rsidRPr="00607BDE" w:rsidRDefault="00A77B3E">
            <w:pPr>
              <w:rPr>
                <w:color w:val="000000"/>
                <w:lang w:val="en-GB"/>
              </w:rPr>
            </w:pPr>
          </w:p>
          <w:p w14:paraId="4DB8240D" w14:textId="23984BB0" w:rsidR="00A77B3E" w:rsidRPr="00607BDE" w:rsidRDefault="00C401B9">
            <w:pPr>
              <w:rPr>
                <w:color w:val="000000"/>
                <w:lang w:val="en-GB"/>
              </w:rPr>
            </w:pPr>
            <w:r w:rsidRPr="00607BDE">
              <w:rPr>
                <w:color w:val="000000"/>
                <w:lang w:val="en-GB"/>
              </w:rPr>
              <w:t>The external EU border consists of the following sections</w:t>
            </w:r>
            <w:r w:rsidR="00307CF7">
              <w:rPr>
                <w:color w:val="000000"/>
                <w:lang w:val="en-GB"/>
              </w:rPr>
              <w:t>:</w:t>
            </w:r>
            <w:r w:rsidRPr="00607BDE">
              <w:rPr>
                <w:color w:val="000000"/>
                <w:lang w:val="en-GB"/>
              </w:rPr>
              <w:t xml:space="preserve"> PL-RUS (232 km), PL-BY (418 km) and PL-UA (535 km), as well as the external border of the territorial sea (440 km) and international airports. </w:t>
            </w:r>
          </w:p>
          <w:p w14:paraId="2C4BED3A" w14:textId="77777777" w:rsidR="00A77B3E" w:rsidRPr="00607BDE" w:rsidRDefault="00A77B3E">
            <w:pPr>
              <w:rPr>
                <w:color w:val="000000"/>
                <w:lang w:val="en-GB"/>
              </w:rPr>
            </w:pPr>
          </w:p>
          <w:p w14:paraId="77D89020" w14:textId="77777777" w:rsidR="00A77B3E" w:rsidRPr="00607BDE" w:rsidRDefault="00C401B9">
            <w:pPr>
              <w:rPr>
                <w:color w:val="000000"/>
                <w:lang w:val="en-GB"/>
              </w:rPr>
            </w:pPr>
            <w:r w:rsidRPr="00607BDE">
              <w:rPr>
                <w:color w:val="000000"/>
                <w:lang w:val="en-GB"/>
              </w:rPr>
              <w:t xml:space="preserve">The migration flows has shown an upward trend over the recent years. The total number of crossings in personal border traffic in 2021 amounted to 19,441,553 persons, compared to 18,000,547 in 2020. In 2021, the border traffic of means of land transport was recorded to grow from 4,757,849 in 2020 to 5,101,184 in 2021. In 2021, there were 10,458 people arrested for unlawful crossing of the State border, compared to 4,156 people in 2020. In 2021, there were a total of 4,460 people found to be using falsified documents for crossing the border/staying in the Republic of Poland, compared to 1,863 in 2020. The upward trends are influenced by the migration crisis at the PL-BY border, the war in Ukraine and migration in southern Europe. </w:t>
            </w:r>
            <w:r w:rsidRPr="00607BDE">
              <w:rPr>
                <w:color w:val="000000"/>
                <w:u w:val="single"/>
                <w:lang w:val="en-GB"/>
              </w:rPr>
              <w:t>The migration pressure along the PL-BY border section</w:t>
            </w:r>
            <w:r w:rsidRPr="00607BDE">
              <w:rPr>
                <w:color w:val="000000"/>
                <w:lang w:val="en-GB"/>
              </w:rPr>
              <w:t xml:space="preserve"> grew in the </w:t>
            </w:r>
            <w:r w:rsidRPr="00607BDE">
              <w:rPr>
                <w:color w:val="000000"/>
                <w:lang w:val="en-GB"/>
              </w:rPr>
              <w:lastRenderedPageBreak/>
              <w:t xml:space="preserve">second half of 2021 when </w:t>
            </w:r>
            <w:r w:rsidRPr="00607BDE">
              <w:rPr>
                <w:b/>
                <w:bCs/>
                <w:color w:val="000000"/>
                <w:lang w:val="en-GB"/>
              </w:rPr>
              <w:t>ca. 39,000 cases of attempts</w:t>
            </w:r>
            <w:r w:rsidRPr="00607BDE">
              <w:rPr>
                <w:color w:val="000000"/>
                <w:lang w:val="en-GB"/>
              </w:rPr>
              <w:t xml:space="preserve"> to cross the green bor</w:t>
            </w:r>
            <w:r w:rsidR="00307CF7">
              <w:rPr>
                <w:color w:val="000000"/>
                <w:lang w:val="en-GB"/>
              </w:rPr>
              <w:t>d</w:t>
            </w:r>
            <w:r w:rsidRPr="00607BDE">
              <w:rPr>
                <w:color w:val="000000"/>
                <w:lang w:val="en-GB"/>
              </w:rPr>
              <w:t xml:space="preserve">er into Poland were recorded. The threat of illegal migration at the border with BY will continue to be high. </w:t>
            </w:r>
            <w:r w:rsidRPr="00607BDE">
              <w:rPr>
                <w:color w:val="000000"/>
                <w:u w:val="single"/>
                <w:lang w:val="en-GB"/>
              </w:rPr>
              <w:t>The strong migration pressure along the PL-UA border section</w:t>
            </w:r>
            <w:r w:rsidRPr="00607BDE">
              <w:rPr>
                <w:color w:val="000000"/>
                <w:lang w:val="en-GB"/>
              </w:rPr>
              <w:t xml:space="preserve"> is caused by Russia's armed aggression on Ukraine. </w:t>
            </w:r>
            <w:r w:rsidRPr="00607BDE">
              <w:rPr>
                <w:b/>
                <w:bCs/>
                <w:color w:val="000000"/>
                <w:lang w:val="en-GB"/>
              </w:rPr>
              <w:t>Since 24 February 2022, around 7 million people have left Ukraine, of whom 6.6 million were UA nationals (1.4 million UA nationals have been covered by temporary protection)</w:t>
            </w:r>
            <w:r w:rsidRPr="00607BDE">
              <w:rPr>
                <w:color w:val="000000"/>
                <w:lang w:val="en-GB"/>
              </w:rPr>
              <w:t xml:space="preserve">. The current war will give rise to numerous threats. There is a </w:t>
            </w:r>
            <w:r w:rsidRPr="00607BDE">
              <w:rPr>
                <w:color w:val="000000"/>
                <w:u w:val="single"/>
                <w:lang w:val="en-GB"/>
              </w:rPr>
              <w:t>strong migration pressure in southern European countries (the Balkan route)</w:t>
            </w:r>
            <w:r w:rsidRPr="00607BDE">
              <w:rPr>
                <w:color w:val="000000"/>
                <w:lang w:val="en-GB"/>
              </w:rPr>
              <w:t>. Strengthening and temporary restoration of the checks at southern sections of the EU border may lead to a stronger migration pressure on the direction to/through PL.</w:t>
            </w:r>
          </w:p>
          <w:p w14:paraId="4A1E1575" w14:textId="77777777" w:rsidR="00A77B3E" w:rsidRPr="00607BDE" w:rsidRDefault="00A77B3E">
            <w:pPr>
              <w:rPr>
                <w:color w:val="000000"/>
                <w:lang w:val="en-GB"/>
              </w:rPr>
            </w:pPr>
          </w:p>
          <w:p w14:paraId="7F2A10D4" w14:textId="77777777" w:rsidR="00A77B3E" w:rsidRPr="00607BDE" w:rsidRDefault="00C401B9">
            <w:pPr>
              <w:rPr>
                <w:color w:val="000000"/>
                <w:lang w:val="en-GB"/>
              </w:rPr>
            </w:pPr>
            <w:r w:rsidRPr="00607BDE">
              <w:rPr>
                <w:color w:val="000000"/>
                <w:lang w:val="en-GB"/>
              </w:rPr>
              <w:t>Development of various types of threats presents new challenges for the services responsible for the supervision, surveillance and control of the external EU border and leads to increase loads on the border infrastructure. There is a need to continue the expansion and modernisation of technical border surveillance both on land and sea. This applies also to the equipment used by the officers in their everyday work, including particularly replacement of worn out or outdated equipment, in order to ensure full readiness and effective response of the services. The increased border and illegal migration are followed by more frequent cases of using false documents to cross the border or receive international protection, including attempts to cross the border undertaken by undesirable persons or persons being a threat to the security of PL and EU. The services' capacity to conduct border checks should be enhanced based on modern IT and biometric technologies. There is a continued need to prevent and combat cross-border crime to keep up with the constantly changing methods of operation of groups involved in such crime. The current and future challenges faced by the Schengen area make it necessary to constantly develop EU information systems. This means the necessity to update those systems and install new ones, which is connected with the adoption of regulations of the European Parliament and of the Council.</w:t>
            </w:r>
          </w:p>
          <w:p w14:paraId="0BD4815E" w14:textId="77777777" w:rsidR="00A77B3E" w:rsidRPr="00607BDE" w:rsidRDefault="00A77B3E">
            <w:pPr>
              <w:rPr>
                <w:color w:val="000000"/>
                <w:lang w:val="en-GB"/>
              </w:rPr>
            </w:pPr>
          </w:p>
          <w:p w14:paraId="7273996F" w14:textId="77777777" w:rsidR="00A77B3E" w:rsidRPr="00607BDE" w:rsidRDefault="00C401B9">
            <w:pPr>
              <w:rPr>
                <w:color w:val="000000"/>
                <w:lang w:val="en-GB"/>
              </w:rPr>
            </w:pPr>
            <w:r w:rsidRPr="00607BDE">
              <w:rPr>
                <w:color w:val="000000"/>
                <w:lang w:val="en-GB"/>
              </w:rPr>
              <w:t>The fundamental challenges for the Schengen area include building and updating large-scale EU information systems. They are the continuation of actions carried out under the ISF 2014-2020. Taken into account in the process of developing the Programme have been the ongoing EU efforts to introduce changes regarding the SIS, VIS, Eurodac, and to build new large-scale information systems: EES, ETIAS, ECRIS-TCN, and to implement interoperability for these systems. The said changes are meant to improve the management of the external borders of the Schengen area and tighten the system, and to increase the level of security within the EU. This is a complex task for Member States, as they must adapt organisational and technical structures and legal frameworks to the planned changes. In Poland, the process of deployment of new large-scale EU information systems and modernisation of the existing ones is coordinated by the Government Plenipotentiary for Large-Scale EU Information Systems. Implementation of the Interoperability tools, which are meant to link the large-scale EU information systems, is the most complex and demanding task in this area. In the context of interoperability, it must be borne in mind that the interoperability will apply equally to the central and local layers of the large-scale systems (in all Member States).</w:t>
            </w:r>
          </w:p>
          <w:p w14:paraId="57D2308F" w14:textId="77777777" w:rsidR="00A77B3E" w:rsidRPr="00607BDE" w:rsidRDefault="00A77B3E">
            <w:pPr>
              <w:rPr>
                <w:color w:val="000000"/>
                <w:lang w:val="en-GB"/>
              </w:rPr>
            </w:pPr>
          </w:p>
          <w:p w14:paraId="359DB3E5" w14:textId="77777777" w:rsidR="00A77B3E" w:rsidRPr="00607BDE" w:rsidRDefault="00C401B9">
            <w:pPr>
              <w:rPr>
                <w:color w:val="000000"/>
                <w:lang w:val="en-GB"/>
              </w:rPr>
            </w:pPr>
            <w:r w:rsidRPr="00607BDE">
              <w:rPr>
                <w:color w:val="000000"/>
                <w:lang w:val="en-GB"/>
              </w:rPr>
              <w:t>Maintaining zero checks at its internal borders is a challenge faced by the Schengen area. It requires effective checks at external borders and is a guarantee that border checks can be reintroduced only as a last resort and for a limited period. Therefore, steps must be taken to ensure effective control of the external borders. The Programme will indirectly contribute to achieving this objective through financing of tasks aimed to strengthen the external EU borders and increasing the effectiveness of border checks.</w:t>
            </w:r>
          </w:p>
          <w:p w14:paraId="7E0B18C7" w14:textId="77777777" w:rsidR="00A77B3E" w:rsidRPr="00607BDE" w:rsidRDefault="00A77B3E">
            <w:pPr>
              <w:rPr>
                <w:color w:val="000000"/>
                <w:lang w:val="en-GB"/>
              </w:rPr>
            </w:pPr>
          </w:p>
          <w:p w14:paraId="0AC27A2A" w14:textId="77777777" w:rsidR="00A77B3E" w:rsidRPr="00607BDE" w:rsidRDefault="00C401B9">
            <w:pPr>
              <w:rPr>
                <w:color w:val="000000"/>
                <w:lang w:val="en-GB"/>
              </w:rPr>
            </w:pPr>
            <w:r w:rsidRPr="00607BDE">
              <w:rPr>
                <w:color w:val="000000"/>
                <w:lang w:val="en-GB"/>
              </w:rPr>
              <w:t xml:space="preserve">The growing migration flows and threats related to illegal migration observed in the recent years have entailed the necessity to ensure modern visa policy. Appropriate implementation of the policy accompanied by the development of a new architecture of large-scale EU information systems is a fundamental element in addressing the aforementioned challenges. This is particularly evident in Poland, whose consular missions in many regions around the world are leaders in terms of the number of visa applications processed. For example, Poland issued more than 437,000 Schengen visas in 2019 (taking the 10th place among the 26 Schengen Member States). The current human resources at consular missions are inadequate to meet the load caused by the number of visa applications submitted (consular tasks are currently carried out by 521 consular officers, including 128 consuls of the Republic </w:t>
            </w:r>
            <w:r w:rsidRPr="00607BDE">
              <w:rPr>
                <w:color w:val="000000"/>
                <w:lang w:val="en-GB"/>
              </w:rPr>
              <w:lastRenderedPageBreak/>
              <w:t xml:space="preserve">of Poland supported by more than 500 other employees). The effectiveness of visa processing must be increased through digitalisation of the process by means of supporting the development, operation and maintenance of the VIS and by ensuring its interoperability at national level. The workload caused by visa applications submitted requires adapting and expanding the premises and technical infrastructure of the competent Ministry as well as of the network of embassies and consulates of the Republic of Poland. A modern visa policy means consular personnel who are ready for the current challenges. By continuing the already started training programme, it is proposed to increase the competence capacity of the personnel involved in the visa process. </w:t>
            </w:r>
          </w:p>
          <w:p w14:paraId="61D55813" w14:textId="77777777" w:rsidR="00A77B3E" w:rsidRPr="00607BDE" w:rsidRDefault="00A77B3E">
            <w:pPr>
              <w:rPr>
                <w:color w:val="000000"/>
                <w:lang w:val="en-GB"/>
              </w:rPr>
            </w:pPr>
          </w:p>
          <w:p w14:paraId="50A0C14B" w14:textId="77777777" w:rsidR="00A77B3E" w:rsidRPr="00607BDE" w:rsidRDefault="00C401B9">
            <w:pPr>
              <w:rPr>
                <w:color w:val="000000"/>
                <w:lang w:val="en-GB"/>
              </w:rPr>
            </w:pPr>
            <w:r w:rsidRPr="00607BDE">
              <w:rPr>
                <w:b/>
                <w:bCs/>
                <w:color w:val="000000"/>
                <w:lang w:val="en-GB"/>
              </w:rPr>
              <w:t>BMVI will therefore address challenges regarding:</w:t>
            </w:r>
          </w:p>
          <w:p w14:paraId="422445C5" w14:textId="77777777" w:rsidR="00A77B3E" w:rsidRPr="00607BDE" w:rsidRDefault="00A77B3E">
            <w:pPr>
              <w:rPr>
                <w:color w:val="000000"/>
                <w:lang w:val="en-GB"/>
              </w:rPr>
            </w:pPr>
          </w:p>
          <w:p w14:paraId="04956326" w14:textId="77777777" w:rsidR="00A77B3E" w:rsidRPr="00607BDE" w:rsidRDefault="00C401B9">
            <w:pPr>
              <w:rPr>
                <w:color w:val="000000"/>
                <w:lang w:val="en-GB"/>
              </w:rPr>
            </w:pPr>
            <w:r w:rsidRPr="00607BDE">
              <w:rPr>
                <w:color w:val="000000"/>
                <w:lang w:val="en-GB"/>
              </w:rPr>
              <w:t>1.Borders:</w:t>
            </w:r>
          </w:p>
          <w:p w14:paraId="72094E57" w14:textId="77777777" w:rsidR="00A77B3E" w:rsidRPr="00607BDE" w:rsidRDefault="00C401B9">
            <w:pPr>
              <w:numPr>
                <w:ilvl w:val="0"/>
                <w:numId w:val="2"/>
              </w:numPr>
              <w:rPr>
                <w:color w:val="000000"/>
                <w:lang w:val="en-GB"/>
              </w:rPr>
            </w:pPr>
            <w:r w:rsidRPr="00607BDE">
              <w:rPr>
                <w:color w:val="000000"/>
                <w:lang w:val="en-GB"/>
              </w:rPr>
              <w:t>strengthening the system of surveillance of the external EU border and increasing the effectiveness of border checks,</w:t>
            </w:r>
          </w:p>
          <w:p w14:paraId="6A0F5FE1" w14:textId="77777777" w:rsidR="00A77B3E" w:rsidRPr="00607BDE" w:rsidRDefault="00C401B9">
            <w:pPr>
              <w:numPr>
                <w:ilvl w:val="0"/>
                <w:numId w:val="2"/>
              </w:numPr>
              <w:rPr>
                <w:color w:val="000000"/>
                <w:lang w:val="en-GB"/>
              </w:rPr>
            </w:pPr>
            <w:r w:rsidRPr="00607BDE">
              <w:rPr>
                <w:color w:val="000000"/>
                <w:lang w:val="en-GB"/>
              </w:rPr>
              <w:t xml:space="preserve">facilitating the prevention of and combating cross-border crime </w:t>
            </w:r>
            <w:r w:rsidRPr="00607BDE">
              <w:rPr>
                <w:color w:val="000000"/>
                <w:u w:val="single"/>
                <w:lang w:val="en-GB"/>
              </w:rPr>
              <w:t>at external borders</w:t>
            </w:r>
            <w:r w:rsidRPr="00607BDE">
              <w:rPr>
                <w:color w:val="000000"/>
                <w:lang w:val="en-GB"/>
              </w:rPr>
              <w:t>,</w:t>
            </w:r>
          </w:p>
          <w:p w14:paraId="6ADE39BD" w14:textId="77777777" w:rsidR="00A77B3E" w:rsidRPr="00607BDE" w:rsidRDefault="00C401B9">
            <w:pPr>
              <w:numPr>
                <w:ilvl w:val="0"/>
                <w:numId w:val="2"/>
              </w:numPr>
              <w:rPr>
                <w:color w:val="000000"/>
                <w:lang w:val="en-GB"/>
              </w:rPr>
            </w:pPr>
            <w:r w:rsidRPr="00607BDE">
              <w:rPr>
                <w:color w:val="000000"/>
                <w:lang w:val="en-GB"/>
              </w:rPr>
              <w:t>prevention of illegal immigration and effective management of migration flows,</w:t>
            </w:r>
          </w:p>
          <w:p w14:paraId="6A5A034A" w14:textId="77777777" w:rsidR="00A77B3E" w:rsidRPr="00607BDE" w:rsidRDefault="00C401B9">
            <w:pPr>
              <w:numPr>
                <w:ilvl w:val="0"/>
                <w:numId w:val="2"/>
              </w:numPr>
              <w:rPr>
                <w:color w:val="000000"/>
                <w:lang w:val="en-GB"/>
              </w:rPr>
            </w:pPr>
            <w:r w:rsidRPr="00607BDE">
              <w:rPr>
                <w:color w:val="000000"/>
                <w:lang w:val="en-GB"/>
              </w:rPr>
              <w:t>increasing the efficiency of the BG's response in case of intensified threats or crisis on the external EU border,</w:t>
            </w:r>
          </w:p>
          <w:p w14:paraId="1A3D2300" w14:textId="77777777" w:rsidR="00A77B3E" w:rsidRPr="00607BDE" w:rsidRDefault="00C401B9">
            <w:pPr>
              <w:numPr>
                <w:ilvl w:val="0"/>
                <w:numId w:val="2"/>
              </w:numPr>
              <w:rPr>
                <w:color w:val="000000"/>
                <w:lang w:val="en-GB"/>
              </w:rPr>
            </w:pPr>
            <w:r w:rsidRPr="00607BDE">
              <w:rPr>
                <w:color w:val="000000"/>
                <w:lang w:val="en-GB"/>
              </w:rPr>
              <w:t>establishment, operation and maintenance of large-scale EU IT systems (EES, SIS, ETIAS, EURODAC – in the area of border management), ensuring their interoperability at national level,</w:t>
            </w:r>
          </w:p>
          <w:p w14:paraId="367466CE" w14:textId="77777777" w:rsidR="00A77B3E" w:rsidRPr="00607BDE" w:rsidRDefault="00C401B9">
            <w:pPr>
              <w:numPr>
                <w:ilvl w:val="0"/>
                <w:numId w:val="2"/>
              </w:numPr>
              <w:rPr>
                <w:color w:val="000000"/>
                <w:lang w:val="en-GB"/>
              </w:rPr>
            </w:pPr>
            <w:r w:rsidRPr="00607BDE">
              <w:rPr>
                <w:color w:val="000000"/>
                <w:lang w:val="en-GB"/>
              </w:rPr>
              <w:t>strengthening the capacity to conduct border checks based on modern IT technologies, including biometrics;</w:t>
            </w:r>
          </w:p>
          <w:p w14:paraId="2A98C255" w14:textId="77777777" w:rsidR="00A77B3E" w:rsidRPr="00607BDE" w:rsidRDefault="00C401B9">
            <w:pPr>
              <w:numPr>
                <w:ilvl w:val="0"/>
                <w:numId w:val="2"/>
              </w:numPr>
              <w:rPr>
                <w:color w:val="000000"/>
                <w:lang w:val="en-GB"/>
              </w:rPr>
            </w:pPr>
            <w:r w:rsidRPr="00607BDE">
              <w:rPr>
                <w:color w:val="000000"/>
                <w:lang w:val="en-GB"/>
              </w:rPr>
              <w:t>ensuring integration of the BG's national IT systems with the EUROSUR system,</w:t>
            </w:r>
          </w:p>
          <w:p w14:paraId="4163F405" w14:textId="77777777" w:rsidR="00A77B3E" w:rsidRPr="00607BDE" w:rsidRDefault="00C401B9">
            <w:pPr>
              <w:numPr>
                <w:ilvl w:val="0"/>
                <w:numId w:val="2"/>
              </w:numPr>
              <w:rPr>
                <w:color w:val="000000"/>
                <w:lang w:val="en-GB"/>
              </w:rPr>
            </w:pPr>
            <w:r w:rsidRPr="00607BDE">
              <w:rPr>
                <w:color w:val="000000"/>
                <w:lang w:val="en-GB"/>
              </w:rPr>
              <w:t>strengthening the BG operating capacity in the context of obligations arising from Regulation 2019/1896 and repealing Regulations 1052/2013 and 2016/1624, which will be addressed as part of the EBCG capacity development planning (Article 9 of Regulation 2019/1896), in accordance with the National Capability Development Programme under preparation.</w:t>
            </w:r>
          </w:p>
          <w:p w14:paraId="3295460C" w14:textId="77777777" w:rsidR="00A77B3E" w:rsidRPr="00607BDE" w:rsidRDefault="00A77B3E">
            <w:pPr>
              <w:rPr>
                <w:color w:val="000000"/>
                <w:lang w:val="en-GB"/>
              </w:rPr>
            </w:pPr>
          </w:p>
          <w:p w14:paraId="23AD1938" w14:textId="77777777" w:rsidR="00A77B3E" w:rsidRPr="00607BDE" w:rsidRDefault="00C401B9">
            <w:pPr>
              <w:rPr>
                <w:color w:val="000000"/>
                <w:lang w:val="en-GB"/>
              </w:rPr>
            </w:pPr>
            <w:r w:rsidRPr="00607BDE">
              <w:rPr>
                <w:color w:val="000000"/>
                <w:lang w:val="en-GB"/>
              </w:rPr>
              <w:t>The BG intends to carry out tasks that will support the development of the national component of the EBCG. The mobile equipment purchased will meet the technical standards defined by Frontex and will be registered in the technical equipment pool. The equipment purchases will be accompanied by purchases of training packages for BG officers (also for the teaching personnel at BG Training Centres which provide training to BG officers and Frontex personnel) regarding the operation, maintenance and utilisation tactics.</w:t>
            </w:r>
          </w:p>
          <w:p w14:paraId="42AD5189" w14:textId="77777777" w:rsidR="00A77B3E" w:rsidRPr="00607BDE" w:rsidRDefault="00A77B3E">
            <w:pPr>
              <w:rPr>
                <w:color w:val="000000"/>
                <w:lang w:val="en-GB"/>
              </w:rPr>
            </w:pPr>
          </w:p>
          <w:p w14:paraId="0E1DC698" w14:textId="77777777" w:rsidR="00A77B3E" w:rsidRPr="00607BDE" w:rsidRDefault="00C401B9">
            <w:pPr>
              <w:rPr>
                <w:color w:val="000000"/>
                <w:lang w:val="en-GB"/>
              </w:rPr>
            </w:pPr>
            <w:r w:rsidRPr="00607BDE">
              <w:rPr>
                <w:color w:val="000000"/>
                <w:lang w:val="en-GB"/>
              </w:rPr>
              <w:t>2.Visas:</w:t>
            </w:r>
          </w:p>
          <w:p w14:paraId="2758762F" w14:textId="77777777" w:rsidR="00A77B3E" w:rsidRPr="00607BDE" w:rsidRDefault="00C401B9">
            <w:pPr>
              <w:numPr>
                <w:ilvl w:val="0"/>
                <w:numId w:val="3"/>
              </w:numPr>
              <w:rPr>
                <w:color w:val="000000"/>
                <w:lang w:val="en-GB"/>
              </w:rPr>
            </w:pPr>
            <w:r w:rsidRPr="00607BDE">
              <w:rPr>
                <w:color w:val="000000"/>
                <w:lang w:val="en-GB"/>
              </w:rPr>
              <w:t>increasing the effectiveness of the visa application handling process (digitalisation of the visa process),</w:t>
            </w:r>
          </w:p>
          <w:p w14:paraId="07BAAF10" w14:textId="77777777" w:rsidR="00A77B3E" w:rsidRPr="00607BDE" w:rsidRDefault="00C401B9">
            <w:pPr>
              <w:numPr>
                <w:ilvl w:val="0"/>
                <w:numId w:val="3"/>
              </w:numPr>
              <w:rPr>
                <w:color w:val="000000"/>
                <w:lang w:val="en-GB"/>
              </w:rPr>
            </w:pPr>
            <w:r w:rsidRPr="00607BDE">
              <w:rPr>
                <w:color w:val="000000"/>
                <w:lang w:val="en-GB"/>
              </w:rPr>
              <w:t>increasing the competence capacity of the personnel involved in the visa process,</w:t>
            </w:r>
          </w:p>
          <w:p w14:paraId="1FDA9EF4" w14:textId="77777777" w:rsidR="00A77B3E" w:rsidRPr="00607BDE" w:rsidRDefault="00C401B9">
            <w:pPr>
              <w:numPr>
                <w:ilvl w:val="0"/>
                <w:numId w:val="3"/>
              </w:numPr>
              <w:rPr>
                <w:color w:val="000000"/>
                <w:lang w:val="en-GB"/>
              </w:rPr>
            </w:pPr>
            <w:r w:rsidRPr="00607BDE">
              <w:rPr>
                <w:color w:val="000000"/>
                <w:lang w:val="en-GB"/>
              </w:rPr>
              <w:t>providing infrastructural reinforcement of the headquarters of the competent ministry and the existing consular facilities (adaptation and possible expansion of the network of embassies and consulates),</w:t>
            </w:r>
          </w:p>
          <w:p w14:paraId="2110BB94" w14:textId="77777777" w:rsidR="00A77B3E" w:rsidRPr="00607BDE" w:rsidRDefault="00C401B9">
            <w:pPr>
              <w:numPr>
                <w:ilvl w:val="0"/>
                <w:numId w:val="3"/>
              </w:numPr>
              <w:rPr>
                <w:color w:val="000000"/>
                <w:lang w:val="en-GB"/>
              </w:rPr>
            </w:pPr>
            <w:r w:rsidRPr="00607BDE">
              <w:rPr>
                <w:color w:val="000000"/>
                <w:lang w:val="en-GB"/>
              </w:rPr>
              <w:t>supporting the further development, operation and maintenance of VIS, ensuring its interoperability at national level.</w:t>
            </w:r>
          </w:p>
          <w:p w14:paraId="19F8D471" w14:textId="77777777" w:rsidR="00A77B3E" w:rsidRPr="00607BDE" w:rsidRDefault="00A77B3E">
            <w:pPr>
              <w:rPr>
                <w:color w:val="000000"/>
                <w:lang w:val="en-GB"/>
              </w:rPr>
            </w:pPr>
          </w:p>
          <w:p w14:paraId="79FAA4F3" w14:textId="249C75DB" w:rsidR="00A77B3E" w:rsidRPr="00607BDE" w:rsidRDefault="00C401B9">
            <w:pPr>
              <w:rPr>
                <w:color w:val="000000"/>
                <w:lang w:val="en-GB"/>
              </w:rPr>
            </w:pPr>
            <w:r w:rsidRPr="00607BDE">
              <w:rPr>
                <w:color w:val="000000"/>
                <w:lang w:val="en-GB"/>
              </w:rPr>
              <w:t xml:space="preserve">Poland is now at the phase of quarterly reporting to the EC and </w:t>
            </w:r>
            <w:r w:rsidR="00307CF7">
              <w:rPr>
                <w:color w:val="000000"/>
                <w:lang w:val="en-GB"/>
              </w:rPr>
              <w:t>the Council of the EU</w:t>
            </w:r>
            <w:r w:rsidRPr="00607BDE">
              <w:rPr>
                <w:color w:val="000000"/>
                <w:lang w:val="en-GB"/>
              </w:rPr>
              <w:t xml:space="preserve"> on the addressing of the recommendations from the evaluations conducted within the 5-year cycle in 2019. The funds covered by BMVI will be dedicated to addressing the current and future recommendations from the Vulnerability Assessment and Sch-Eval, including:</w:t>
            </w:r>
          </w:p>
          <w:p w14:paraId="1F96FD6F" w14:textId="77777777" w:rsidR="00A77B3E" w:rsidRPr="00607BDE" w:rsidRDefault="00A77B3E">
            <w:pPr>
              <w:rPr>
                <w:color w:val="000000"/>
                <w:lang w:val="en-GB"/>
              </w:rPr>
            </w:pPr>
          </w:p>
          <w:p w14:paraId="7E85483D" w14:textId="77777777" w:rsidR="00A77B3E" w:rsidRPr="00607BDE" w:rsidRDefault="00C401B9">
            <w:pPr>
              <w:numPr>
                <w:ilvl w:val="0"/>
                <w:numId w:val="4"/>
              </w:numPr>
              <w:rPr>
                <w:color w:val="000000"/>
                <w:lang w:val="en-GB"/>
              </w:rPr>
            </w:pPr>
            <w:r w:rsidRPr="00607BDE">
              <w:rPr>
                <w:color w:val="000000"/>
                <w:lang w:val="en-GB"/>
              </w:rPr>
              <w:t>Ensuring regular specialist training for the BG management staff at strategic, regional and local levels in the areas of border surveillance and regulatory changes;</w:t>
            </w:r>
          </w:p>
          <w:p w14:paraId="5A313FD9" w14:textId="77777777" w:rsidR="00A77B3E" w:rsidRPr="00607BDE" w:rsidRDefault="00C401B9">
            <w:pPr>
              <w:numPr>
                <w:ilvl w:val="0"/>
                <w:numId w:val="4"/>
              </w:numPr>
              <w:rPr>
                <w:color w:val="000000"/>
                <w:lang w:val="en-GB"/>
              </w:rPr>
            </w:pPr>
            <w:r w:rsidRPr="00607BDE">
              <w:rPr>
                <w:color w:val="000000"/>
                <w:lang w:val="en-GB"/>
              </w:rPr>
              <w:t>Increasing the availability and use of working dogs for the purpose of border surveillance;</w:t>
            </w:r>
          </w:p>
          <w:p w14:paraId="2E6B530E" w14:textId="77777777" w:rsidR="00A77B3E" w:rsidRPr="00607BDE" w:rsidRDefault="00C401B9">
            <w:pPr>
              <w:numPr>
                <w:ilvl w:val="0"/>
                <w:numId w:val="4"/>
              </w:numPr>
              <w:rPr>
                <w:color w:val="000000"/>
                <w:lang w:val="en-GB"/>
              </w:rPr>
            </w:pPr>
            <w:r w:rsidRPr="00607BDE">
              <w:rPr>
                <w:color w:val="000000"/>
                <w:lang w:val="en-GB"/>
              </w:rPr>
              <w:lastRenderedPageBreak/>
              <w:t>Improving the command of the English language, and Russian if required, among BG officers;</w:t>
            </w:r>
          </w:p>
          <w:p w14:paraId="665E1727" w14:textId="77777777" w:rsidR="00A77B3E" w:rsidRPr="00607BDE" w:rsidRDefault="00C401B9">
            <w:pPr>
              <w:numPr>
                <w:ilvl w:val="0"/>
                <w:numId w:val="4"/>
              </w:numPr>
              <w:rPr>
                <w:color w:val="000000"/>
                <w:lang w:val="en-GB"/>
              </w:rPr>
            </w:pPr>
            <w:r w:rsidRPr="00607BDE">
              <w:rPr>
                <w:color w:val="000000"/>
                <w:lang w:val="en-GB"/>
              </w:rPr>
              <w:t xml:space="preserve">Increasing the detectability of persons hidden in means of transport through </w:t>
            </w:r>
            <w:r w:rsidRPr="00607BDE">
              <w:rPr>
                <w:i/>
                <w:iCs/>
                <w:color w:val="000000"/>
                <w:lang w:val="en-GB"/>
              </w:rPr>
              <w:t xml:space="preserve">inter alia </w:t>
            </w:r>
            <w:r w:rsidRPr="00607BDE">
              <w:rPr>
                <w:color w:val="000000"/>
                <w:lang w:val="en-GB"/>
              </w:rPr>
              <w:t>providing appropriate equipment for first-line checks of lorries and other types of vehicles;</w:t>
            </w:r>
          </w:p>
          <w:p w14:paraId="42AB0F8E" w14:textId="77777777" w:rsidR="00A77B3E" w:rsidRPr="00607BDE" w:rsidRDefault="00C401B9">
            <w:pPr>
              <w:numPr>
                <w:ilvl w:val="0"/>
                <w:numId w:val="4"/>
              </w:numPr>
              <w:rPr>
                <w:color w:val="000000"/>
                <w:lang w:val="en-GB"/>
              </w:rPr>
            </w:pPr>
            <w:r w:rsidRPr="00607BDE">
              <w:rPr>
                <w:color w:val="000000"/>
                <w:lang w:val="en-GB"/>
              </w:rPr>
              <w:t>Increasing the number of checks conducted in means of transport to detect persons who may be hidden inside to evade border checks.</w:t>
            </w:r>
          </w:p>
          <w:p w14:paraId="37809301" w14:textId="77777777" w:rsidR="00A77B3E" w:rsidRPr="00607BDE" w:rsidRDefault="00A77B3E">
            <w:pPr>
              <w:rPr>
                <w:color w:val="000000"/>
                <w:lang w:val="en-GB"/>
              </w:rPr>
            </w:pPr>
          </w:p>
          <w:p w14:paraId="5A944DBA" w14:textId="77777777" w:rsidR="00A77B3E" w:rsidRPr="00607BDE" w:rsidRDefault="00C401B9">
            <w:pPr>
              <w:rPr>
                <w:color w:val="000000"/>
                <w:lang w:val="en-GB"/>
              </w:rPr>
            </w:pPr>
            <w:r w:rsidRPr="00607BDE">
              <w:rPr>
                <w:color w:val="000000"/>
                <w:lang w:val="en-GB"/>
              </w:rPr>
              <w:t xml:space="preserve">Based on an analysis of needs and following consultations, it was decided that the </w:t>
            </w:r>
            <w:r w:rsidRPr="00607BDE">
              <w:rPr>
                <w:b/>
                <w:bCs/>
                <w:color w:val="000000"/>
                <w:lang w:val="en-GB"/>
              </w:rPr>
              <w:t>aforementioned challenges are of priority importance to Poland</w:t>
            </w:r>
            <w:r w:rsidRPr="00607BDE">
              <w:rPr>
                <w:color w:val="000000"/>
                <w:lang w:val="en-GB"/>
              </w:rPr>
              <w:t xml:space="preserve">. The actions respond to a number of needs and are planned to support various border management aspects as effectively as possible. Given the high demand for equipment and training, achieving such effects would not be possible only with the use of national funds, but they will be used to complement the basic needs. In the 2021-2027 perspective, it is planned to spend the border surveillance services' own funds to on </w:t>
            </w:r>
            <w:r w:rsidRPr="00607BDE">
              <w:rPr>
                <w:i/>
                <w:iCs/>
                <w:color w:val="000000"/>
                <w:lang w:val="en-GB"/>
              </w:rPr>
              <w:t xml:space="preserve">inter alia </w:t>
            </w:r>
            <w:r w:rsidRPr="00607BDE">
              <w:rPr>
                <w:color w:val="000000"/>
                <w:lang w:val="en-GB"/>
              </w:rPr>
              <w:t>actions involving continuous supplies of materials, equipment and services as necessary to carry out statutory responsibilities.</w:t>
            </w:r>
          </w:p>
          <w:p w14:paraId="0676B389" w14:textId="77777777" w:rsidR="00A77B3E" w:rsidRPr="00607BDE" w:rsidRDefault="00A77B3E">
            <w:pPr>
              <w:rPr>
                <w:color w:val="000000"/>
                <w:lang w:val="en-GB"/>
              </w:rPr>
            </w:pPr>
          </w:p>
          <w:p w14:paraId="12D255E1" w14:textId="77777777" w:rsidR="00A77B3E" w:rsidRPr="00607BDE" w:rsidRDefault="00C401B9">
            <w:pPr>
              <w:rPr>
                <w:color w:val="000000"/>
                <w:lang w:val="en-GB"/>
              </w:rPr>
            </w:pPr>
            <w:r w:rsidRPr="00607BDE">
              <w:rPr>
                <w:b/>
                <w:bCs/>
                <w:color w:val="000000"/>
                <w:lang w:val="en-GB"/>
              </w:rPr>
              <w:t>From the perspective of the scope of the proposed actions under the Programme and the characteristics of both institutions, the BG and Foreign Ministry play the leading role in border management and visa policy. Other competent bodies as regards management of border crossings include also Voivodes.</w:t>
            </w:r>
          </w:p>
          <w:p w14:paraId="2A355AAD" w14:textId="77777777" w:rsidR="00A77B3E" w:rsidRPr="00607BDE" w:rsidRDefault="00A77B3E">
            <w:pPr>
              <w:rPr>
                <w:color w:val="000000"/>
                <w:lang w:val="en-GB"/>
              </w:rPr>
            </w:pPr>
          </w:p>
          <w:p w14:paraId="5BE472B1" w14:textId="77777777" w:rsidR="00A77B3E" w:rsidRPr="00607BDE" w:rsidRDefault="00C401B9">
            <w:pPr>
              <w:rPr>
                <w:color w:val="000000"/>
                <w:lang w:val="en-GB"/>
              </w:rPr>
            </w:pPr>
            <w:r w:rsidRPr="00607BDE">
              <w:rPr>
                <w:color w:val="000000"/>
                <w:lang w:val="en-GB"/>
              </w:rPr>
              <w:t>Implementation of projects under the Programme will contribute to effective safeguarding the EU border against cross-border threats to security, including illegal movements of people and means of transport. The actions in question will contribute to supporting the common visa policy, facilitating legal travel and preventing migration and security-related threats.</w:t>
            </w:r>
          </w:p>
          <w:p w14:paraId="6610D3F4" w14:textId="77777777" w:rsidR="00A77B3E" w:rsidRPr="00607BDE" w:rsidRDefault="00A77B3E">
            <w:pPr>
              <w:rPr>
                <w:color w:val="000000"/>
                <w:lang w:val="en-GB"/>
              </w:rPr>
            </w:pPr>
          </w:p>
          <w:p w14:paraId="2EA027CF" w14:textId="77777777" w:rsidR="00A77B3E" w:rsidRPr="00607BDE" w:rsidRDefault="00C401B9">
            <w:pPr>
              <w:rPr>
                <w:color w:val="000000"/>
                <w:lang w:val="en-GB"/>
              </w:rPr>
            </w:pPr>
            <w:r w:rsidRPr="00607BDE">
              <w:rPr>
                <w:color w:val="000000"/>
                <w:lang w:val="en-GB"/>
              </w:rPr>
              <w:t>The training actions selected for co-financing under the Programme are the continuation of the projects completed by BG training centres (</w:t>
            </w:r>
            <w:r w:rsidRPr="00607BDE">
              <w:rPr>
                <w:i/>
                <w:iCs/>
                <w:color w:val="000000"/>
                <w:lang w:val="en-GB"/>
              </w:rPr>
              <w:t xml:space="preserve">inter alia </w:t>
            </w:r>
            <w:r w:rsidRPr="00607BDE">
              <w:rPr>
                <w:color w:val="000000"/>
                <w:lang w:val="en-GB"/>
              </w:rPr>
              <w:t>under the External Borders Fund, the ISF 2014-2020, the Norwegian Financial Mechanism). This is a result of a strong demand for participation of BG officers in training to increase their professional competencies and the inability to meet that demand from own budget.</w:t>
            </w:r>
          </w:p>
          <w:p w14:paraId="512406D1" w14:textId="77777777" w:rsidR="00A77B3E" w:rsidRPr="00607BDE" w:rsidRDefault="00A77B3E">
            <w:pPr>
              <w:rPr>
                <w:color w:val="000000"/>
                <w:lang w:val="en-GB"/>
              </w:rPr>
            </w:pPr>
          </w:p>
          <w:p w14:paraId="6E2658DD" w14:textId="77777777" w:rsidR="00A77B3E" w:rsidRPr="00607BDE" w:rsidRDefault="00C401B9">
            <w:pPr>
              <w:rPr>
                <w:color w:val="000000"/>
                <w:lang w:val="en-GB"/>
              </w:rPr>
            </w:pPr>
            <w:r w:rsidRPr="00607BDE">
              <w:rPr>
                <w:color w:val="000000"/>
                <w:lang w:val="en-GB"/>
              </w:rPr>
              <w:t xml:space="preserve">Actions taken under the Programme will be complementary to actions financed under the following instruments: the ISF 2021-2027 (as regards SIS, cooperation with law enforcement agencies in matters of migrant smuggling and information gathering); specific actions; national funds (including </w:t>
            </w:r>
            <w:r w:rsidRPr="00607BDE">
              <w:rPr>
                <w:i/>
                <w:iCs/>
                <w:color w:val="000000"/>
                <w:lang w:val="en-GB"/>
              </w:rPr>
              <w:t xml:space="preserve">inter alia </w:t>
            </w:r>
            <w:r w:rsidRPr="00607BDE">
              <w:rPr>
                <w:color w:val="000000"/>
                <w:lang w:val="en-GB"/>
              </w:rPr>
              <w:t xml:space="preserve">the so-called Modernisation Act 2020-2025); the "Home Affairs" programme under the NFM; the PL-UA Cross-Border Cooperation Programme (support for BG units at the external EU border, the biggest support was concentrated on the border with UA). </w:t>
            </w:r>
            <w:r w:rsidRPr="00607BDE">
              <w:rPr>
                <w:color w:val="000000"/>
                <w:u w:val="single"/>
                <w:lang w:val="en-GB"/>
              </w:rPr>
              <w:t xml:space="preserve">Complementarity and synergy between funds covered by the partnership agreement and other Union instruments is described in the </w:t>
            </w:r>
            <w:r w:rsidRPr="00607BDE">
              <w:rPr>
                <w:i/>
                <w:iCs/>
                <w:color w:val="000000"/>
                <w:u w:val="single"/>
                <w:lang w:val="en-GB"/>
              </w:rPr>
              <w:t>Partnership Agreement on the Implementation of the Cohesion Policy in Poland in 2021-2027</w:t>
            </w:r>
            <w:r w:rsidRPr="00607BDE">
              <w:rPr>
                <w:color w:val="000000"/>
                <w:u w:val="single"/>
                <w:lang w:val="en-GB"/>
              </w:rPr>
              <w:t>.</w:t>
            </w:r>
          </w:p>
          <w:p w14:paraId="502C076D" w14:textId="77777777" w:rsidR="00A77B3E" w:rsidRPr="00607BDE" w:rsidRDefault="00A77B3E">
            <w:pPr>
              <w:rPr>
                <w:color w:val="000000"/>
                <w:lang w:val="en-GB"/>
              </w:rPr>
            </w:pPr>
          </w:p>
          <w:p w14:paraId="4425C53A" w14:textId="77777777" w:rsidR="00A77B3E" w:rsidRPr="00607BDE" w:rsidRDefault="00C401B9">
            <w:pPr>
              <w:rPr>
                <w:color w:val="000000"/>
                <w:lang w:val="en-GB"/>
              </w:rPr>
            </w:pPr>
            <w:r w:rsidRPr="00607BDE">
              <w:rPr>
                <w:color w:val="000000"/>
                <w:lang w:val="en-GB"/>
              </w:rPr>
              <w:t>The BMVI will be complementary to the CCEI. In Poland, border, passport and custom checks are conducted at border crossings.</w:t>
            </w:r>
          </w:p>
          <w:p w14:paraId="780C19BC" w14:textId="77777777" w:rsidR="00A77B3E" w:rsidRPr="00607BDE" w:rsidRDefault="00A77B3E">
            <w:pPr>
              <w:rPr>
                <w:color w:val="000000"/>
                <w:lang w:val="en-GB"/>
              </w:rPr>
            </w:pPr>
          </w:p>
          <w:p w14:paraId="03442F12" w14:textId="77777777" w:rsidR="00A77B3E" w:rsidRPr="00607BDE" w:rsidRDefault="00C401B9">
            <w:pPr>
              <w:rPr>
                <w:color w:val="000000"/>
                <w:lang w:val="en-GB"/>
              </w:rPr>
            </w:pPr>
            <w:r w:rsidRPr="00607BDE">
              <w:rPr>
                <w:color w:val="000000"/>
                <w:lang w:val="en-GB"/>
              </w:rPr>
              <w:t>BMVI actions apply solely to checks on people. Equipment co-financed by the CCEI will be purchased for the purpose of checking goods. In this respect, the BMVI and CCEI are complementary and do not overlap.</w:t>
            </w:r>
          </w:p>
          <w:p w14:paraId="69CE7D0F" w14:textId="77777777" w:rsidR="00A77B3E" w:rsidRPr="00607BDE" w:rsidRDefault="00A77B3E">
            <w:pPr>
              <w:rPr>
                <w:color w:val="000000"/>
                <w:lang w:val="en-GB"/>
              </w:rPr>
            </w:pPr>
          </w:p>
          <w:p w14:paraId="31A09925" w14:textId="77777777" w:rsidR="00A77B3E" w:rsidRPr="00607BDE" w:rsidRDefault="00C401B9">
            <w:pPr>
              <w:rPr>
                <w:color w:val="000000"/>
                <w:lang w:val="en-GB"/>
              </w:rPr>
            </w:pPr>
            <w:r w:rsidRPr="00607BDE">
              <w:rPr>
                <w:color w:val="000000"/>
                <w:lang w:val="en-GB"/>
              </w:rPr>
              <w:t>Actions taken under the Programme will be the continuation of investments at the external EU border covered from the ISF 2014-2020 and from the State budget.</w:t>
            </w:r>
          </w:p>
          <w:p w14:paraId="791FF21C" w14:textId="77777777" w:rsidR="00A77B3E" w:rsidRPr="00607BDE" w:rsidRDefault="00A77B3E">
            <w:pPr>
              <w:rPr>
                <w:color w:val="000000"/>
                <w:lang w:val="en-GB"/>
              </w:rPr>
            </w:pPr>
          </w:p>
          <w:p w14:paraId="59981BEC" w14:textId="77777777" w:rsidR="00A77B3E" w:rsidRPr="00607BDE" w:rsidRDefault="00C401B9">
            <w:pPr>
              <w:rPr>
                <w:color w:val="000000"/>
                <w:lang w:val="en-GB"/>
              </w:rPr>
            </w:pPr>
            <w:r w:rsidRPr="00607BDE">
              <w:rPr>
                <w:color w:val="000000"/>
                <w:lang w:val="en-GB"/>
              </w:rPr>
              <w:t>The cohesion between the Programme actions and actions under the National Capability Development Programme (NCDP) and the planned "roadmap" for the capacity development is confirmed by the establishment of the Capacity Development Contact Point which is responsible for preparing the NCDP and sending its final version to Frontex.</w:t>
            </w:r>
          </w:p>
          <w:p w14:paraId="3B742166" w14:textId="77777777" w:rsidR="00A77B3E" w:rsidRPr="00607BDE" w:rsidRDefault="00A77B3E">
            <w:pPr>
              <w:rPr>
                <w:color w:val="000000"/>
                <w:lang w:val="en-GB"/>
              </w:rPr>
            </w:pPr>
          </w:p>
          <w:p w14:paraId="713218C6" w14:textId="77777777" w:rsidR="00A77B3E" w:rsidRPr="00607BDE" w:rsidRDefault="00C401B9">
            <w:pPr>
              <w:rPr>
                <w:color w:val="000000"/>
                <w:lang w:val="en-GB"/>
              </w:rPr>
            </w:pPr>
            <w:r w:rsidRPr="00607BDE">
              <w:rPr>
                <w:color w:val="000000"/>
                <w:lang w:val="en-GB"/>
              </w:rPr>
              <w:lastRenderedPageBreak/>
              <w:t xml:space="preserve">The planned cooperation with Frontex will encompass two levels throughout the BMVI 2021-2027. Firstly, active participation of BG representatives in the work of the EIBM Working Group and CDN. In addition to representatives of Poland and Frontex, both fora include also representatives of the EC. Secondly, participation of the BG in Frontex operations in accordance with Regulation (EU) 2019/1896 and the Agency's working plan – the Single Programming Document 2022-2024. </w:t>
            </w:r>
          </w:p>
          <w:p w14:paraId="29ED5227" w14:textId="77777777" w:rsidR="00A77B3E" w:rsidRPr="00607BDE" w:rsidRDefault="00A77B3E">
            <w:pPr>
              <w:rPr>
                <w:color w:val="000000"/>
                <w:lang w:val="en-GB"/>
              </w:rPr>
            </w:pPr>
          </w:p>
          <w:p w14:paraId="10755D24" w14:textId="77777777" w:rsidR="00A77B3E" w:rsidRPr="00607BDE" w:rsidRDefault="00C401B9">
            <w:pPr>
              <w:rPr>
                <w:color w:val="000000"/>
                <w:lang w:val="en-GB"/>
              </w:rPr>
            </w:pPr>
            <w:r w:rsidRPr="00607BDE">
              <w:rPr>
                <w:b/>
                <w:bCs/>
                <w:color w:val="000000"/>
                <w:lang w:val="en-GB"/>
              </w:rPr>
              <w:t>Poland does not intend to use financial instruments as an additional form of support.</w:t>
            </w:r>
          </w:p>
          <w:p w14:paraId="0182DFAF" w14:textId="77777777" w:rsidR="00A77B3E" w:rsidRPr="00607BDE" w:rsidRDefault="00A77B3E">
            <w:pPr>
              <w:rPr>
                <w:color w:val="000000"/>
                <w:lang w:val="en-GB"/>
              </w:rPr>
            </w:pPr>
          </w:p>
          <w:p w14:paraId="14CBF97E" w14:textId="77777777" w:rsidR="00A77B3E" w:rsidRPr="00607BDE" w:rsidRDefault="00C401B9">
            <w:pPr>
              <w:rPr>
                <w:color w:val="000000"/>
                <w:lang w:val="en-GB"/>
              </w:rPr>
            </w:pPr>
            <w:r w:rsidRPr="00607BDE">
              <w:rPr>
                <w:b/>
                <w:bCs/>
                <w:color w:val="000000"/>
                <w:lang w:val="en-GB"/>
              </w:rPr>
              <w:t xml:space="preserve">Poland's border management and visa policy is consistent with the Union </w:t>
            </w:r>
            <w:r w:rsidRPr="00607BDE">
              <w:rPr>
                <w:b/>
                <w:bCs/>
                <w:i/>
                <w:iCs/>
                <w:color w:val="000000"/>
                <w:lang w:val="en-GB"/>
              </w:rPr>
              <w:t>acquis</w:t>
            </w:r>
            <w:r w:rsidRPr="00607BDE">
              <w:rPr>
                <w:b/>
                <w:bCs/>
                <w:color w:val="000000"/>
                <w:lang w:val="en-GB"/>
              </w:rPr>
              <w:t>.</w:t>
            </w:r>
          </w:p>
          <w:p w14:paraId="702F2419" w14:textId="77777777" w:rsidR="00A77B3E" w:rsidRPr="00607BDE" w:rsidRDefault="00A77B3E">
            <w:pPr>
              <w:rPr>
                <w:color w:val="000000"/>
                <w:lang w:val="en-GB"/>
              </w:rPr>
            </w:pPr>
          </w:p>
          <w:p w14:paraId="5B88C9CE" w14:textId="77777777" w:rsidR="00A77B3E" w:rsidRPr="00607BDE" w:rsidRDefault="00C401B9">
            <w:pPr>
              <w:rPr>
                <w:color w:val="000000"/>
                <w:lang w:val="en-GB"/>
              </w:rPr>
            </w:pPr>
            <w:r w:rsidRPr="00607BDE">
              <w:rPr>
                <w:color w:val="000000"/>
                <w:lang w:val="en-GB"/>
              </w:rPr>
              <w:t>Due to the increased allocation and new obligations imposed under Regulation no. (EU) 2021/1148, it is required to increase employment at the MA and IB. Experiences from cooperation with beneficiaries under the ISF 2014-2020 show that their administrative capacities raise no doubts. Experiences from the work on the Programme indicate improving the contacts with beneficiaries to eliminate problems in mutual cooperation through facilitating the communication or searching for new communication channels. The increase in allocation and number of projects compared to 2014-2020 may entail a slightly bigger load on the AA. Simplified cost options were available in the 2014-2020 perspective to the minimum extent. Introduction of this system requires prudence and caution because it is related to the risk of decreased quality and scope of services provided to third-country nationals. Simplified cost options will not be used for services provided to TCNs.</w:t>
            </w:r>
          </w:p>
          <w:p w14:paraId="29B2C9AA" w14:textId="77777777" w:rsidR="00A77B3E" w:rsidRPr="00607BDE" w:rsidRDefault="00A77B3E">
            <w:pPr>
              <w:rPr>
                <w:color w:val="000000"/>
                <w:lang w:val="en-GB"/>
              </w:rPr>
            </w:pPr>
          </w:p>
        </w:tc>
      </w:tr>
    </w:tbl>
    <w:p w14:paraId="5A496136" w14:textId="77777777" w:rsidR="00A77B3E" w:rsidRPr="00607BDE" w:rsidRDefault="00A77B3E">
      <w:pPr>
        <w:rPr>
          <w:color w:val="000000"/>
          <w:lang w:val="en-GB"/>
        </w:rPr>
        <w:sectPr w:rsidR="00A77B3E" w:rsidRPr="00607BDE">
          <w:footerReference w:type="default" r:id="rId8"/>
          <w:pgSz w:w="11906" w:h="16838"/>
          <w:pgMar w:top="720" w:right="936" w:bottom="864" w:left="720" w:header="0" w:footer="72" w:gutter="0"/>
          <w:cols w:space="720"/>
          <w:noEndnote/>
          <w:docGrid w:linePitch="360"/>
        </w:sectPr>
      </w:pPr>
    </w:p>
    <w:p w14:paraId="4C23386C" w14:textId="77777777" w:rsidR="00A77B3E" w:rsidRPr="00607BDE" w:rsidRDefault="00C401B9">
      <w:pPr>
        <w:pStyle w:val="Nagwek1"/>
        <w:spacing w:before="100" w:after="0"/>
        <w:rPr>
          <w:rFonts w:ascii="Times New Roman" w:hAnsi="Times New Roman" w:cs="Times New Roman"/>
          <w:b w:val="0"/>
          <w:color w:val="000000"/>
          <w:sz w:val="24"/>
          <w:lang w:val="en-GB"/>
        </w:rPr>
      </w:pPr>
      <w:bookmarkStart w:id="2" w:name="_Toc128975974"/>
      <w:r w:rsidRPr="00607BDE">
        <w:rPr>
          <w:rFonts w:ascii="Times New Roman" w:hAnsi="Times New Roman" w:cs="Times New Roman"/>
          <w:b w:val="0"/>
          <w:color w:val="000000"/>
          <w:sz w:val="24"/>
          <w:lang w:val="en-GB"/>
        </w:rPr>
        <w:lastRenderedPageBreak/>
        <w:t>2. Specific objectives and technical assistance</w:t>
      </w:r>
      <w:bookmarkEnd w:id="2"/>
    </w:p>
    <w:p w14:paraId="7E385EF9" w14:textId="77777777" w:rsidR="00A77B3E" w:rsidRPr="00607BDE" w:rsidRDefault="00A77B3E">
      <w:pPr>
        <w:spacing w:before="100"/>
        <w:rPr>
          <w:color w:val="000000"/>
          <w:sz w:val="0"/>
          <w:lang w:val="en-GB"/>
        </w:rPr>
      </w:pPr>
    </w:p>
    <w:p w14:paraId="53A06B32" w14:textId="77777777" w:rsidR="00A77B3E" w:rsidRPr="00607BDE" w:rsidRDefault="00C401B9">
      <w:pPr>
        <w:spacing w:before="100"/>
        <w:rPr>
          <w:color w:val="000000"/>
          <w:sz w:val="12"/>
          <w:lang w:val="en-GB"/>
        </w:rPr>
      </w:pPr>
      <w:r w:rsidRPr="00607BDE">
        <w:rPr>
          <w:color w:val="000000"/>
          <w:lang w:val="en-GB"/>
        </w:rPr>
        <w:t>Reference: Article 22(2) and (4) of the Common Provisions Regulation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120"/>
        <w:gridCol w:w="2560"/>
      </w:tblGrid>
      <w:tr w:rsidR="00AC7127" w:rsidRPr="00607BDE" w14:paraId="082B16A0" w14:textId="77777777">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3D3701" w14:textId="77777777" w:rsidR="00A77B3E" w:rsidRPr="00607BDE" w:rsidRDefault="00C401B9">
            <w:pPr>
              <w:spacing w:before="100"/>
              <w:jc w:val="center"/>
              <w:rPr>
                <w:color w:val="000000"/>
                <w:lang w:val="en-GB"/>
              </w:rPr>
            </w:pPr>
            <w:r w:rsidRPr="00607BDE">
              <w:rPr>
                <w:color w:val="000000"/>
                <w:lang w:val="en-GB"/>
              </w:rPr>
              <w:t xml:space="preserve"> Selected</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73F309" w14:textId="77777777" w:rsidR="00A77B3E" w:rsidRPr="00607BDE" w:rsidRDefault="00C401B9">
            <w:pPr>
              <w:spacing w:before="100"/>
              <w:jc w:val="center"/>
              <w:rPr>
                <w:color w:val="000000"/>
                <w:lang w:val="en-GB"/>
              </w:rPr>
            </w:pPr>
            <w:r w:rsidRPr="00607BDE">
              <w:rPr>
                <w:color w:val="000000"/>
                <w:lang w:val="en-GB"/>
              </w:rPr>
              <w:t>Specific objective or technical assistance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3F79A8" w14:textId="77777777" w:rsidR="00A77B3E" w:rsidRPr="00607BDE" w:rsidRDefault="00C401B9">
            <w:pPr>
              <w:spacing w:before="100"/>
              <w:jc w:val="center"/>
              <w:rPr>
                <w:color w:val="000000"/>
                <w:lang w:val="en-GB"/>
              </w:rPr>
            </w:pPr>
            <w:r w:rsidRPr="00607BDE">
              <w:rPr>
                <w:color w:val="000000"/>
                <w:lang w:val="en-GB"/>
              </w:rPr>
              <w:t>Type of action</w:t>
            </w:r>
          </w:p>
        </w:tc>
      </w:tr>
      <w:tr w:rsidR="00AC7127" w:rsidRPr="00607BDE" w14:paraId="2874BF3B"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0F9D83"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A9CEF" w14:textId="77777777" w:rsidR="00A77B3E" w:rsidRPr="00607BDE" w:rsidRDefault="00C401B9">
            <w:pPr>
              <w:spacing w:before="100"/>
              <w:rPr>
                <w:color w:val="000000"/>
                <w:lang w:val="en-GB"/>
              </w:rPr>
            </w:pPr>
            <w:r w:rsidRPr="00607BDE">
              <w:rPr>
                <w:color w:val="000000"/>
                <w:lang w:val="en-GB"/>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3377E" w14:textId="77777777" w:rsidR="00A77B3E" w:rsidRPr="00607BDE" w:rsidRDefault="00C401B9">
            <w:pPr>
              <w:spacing w:before="100"/>
              <w:rPr>
                <w:color w:val="000000"/>
                <w:lang w:val="en-GB"/>
              </w:rPr>
            </w:pPr>
            <w:r w:rsidRPr="00607BDE">
              <w:rPr>
                <w:color w:val="000000"/>
                <w:lang w:val="en-GB"/>
              </w:rPr>
              <w:t>Regular actions</w:t>
            </w:r>
          </w:p>
        </w:tc>
      </w:tr>
      <w:tr w:rsidR="00AC7127" w:rsidRPr="00607BDE" w14:paraId="71774F4E"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907D6"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E6892" w14:textId="77777777" w:rsidR="00A77B3E" w:rsidRPr="00607BDE" w:rsidRDefault="00C401B9">
            <w:pPr>
              <w:spacing w:before="100"/>
              <w:rPr>
                <w:color w:val="000000"/>
                <w:lang w:val="en-GB"/>
              </w:rPr>
            </w:pPr>
            <w:r w:rsidRPr="00607BDE">
              <w:rPr>
                <w:color w:val="000000"/>
                <w:lang w:val="en-GB"/>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E7BFD" w14:textId="77777777" w:rsidR="00A77B3E" w:rsidRPr="00607BDE" w:rsidRDefault="00C401B9">
            <w:pPr>
              <w:spacing w:before="100"/>
              <w:rPr>
                <w:color w:val="000000"/>
                <w:lang w:val="en-GB"/>
              </w:rPr>
            </w:pPr>
            <w:r w:rsidRPr="00607BDE">
              <w:rPr>
                <w:color w:val="000000"/>
                <w:lang w:val="en-GB"/>
              </w:rPr>
              <w:t>Specific actions</w:t>
            </w:r>
          </w:p>
        </w:tc>
      </w:tr>
      <w:tr w:rsidR="00AC7127" w:rsidRPr="00607BDE" w14:paraId="391CB9CE"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2A5E99"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BBF6A" w14:textId="77777777" w:rsidR="00A77B3E" w:rsidRPr="00607BDE" w:rsidRDefault="00C401B9">
            <w:pPr>
              <w:spacing w:before="100"/>
              <w:rPr>
                <w:color w:val="000000"/>
                <w:lang w:val="en-GB"/>
              </w:rPr>
            </w:pPr>
            <w:r w:rsidRPr="00607BDE">
              <w:rPr>
                <w:color w:val="000000"/>
                <w:lang w:val="en-GB"/>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B2950" w14:textId="77777777" w:rsidR="00A77B3E" w:rsidRPr="00607BDE" w:rsidRDefault="00C401B9">
            <w:pPr>
              <w:spacing w:before="100"/>
              <w:rPr>
                <w:color w:val="000000"/>
                <w:lang w:val="en-GB"/>
              </w:rPr>
            </w:pPr>
            <w:r w:rsidRPr="00607BDE">
              <w:rPr>
                <w:color w:val="000000"/>
                <w:lang w:val="en-GB"/>
              </w:rPr>
              <w:t>Actions set out in Annex IV</w:t>
            </w:r>
          </w:p>
        </w:tc>
      </w:tr>
      <w:tr w:rsidR="00AC7127" w:rsidRPr="00607BDE" w14:paraId="2F2C18F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0E237"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C30B4F" w14:textId="77777777" w:rsidR="00A77B3E" w:rsidRPr="00607BDE" w:rsidRDefault="00C401B9">
            <w:pPr>
              <w:spacing w:before="100"/>
              <w:rPr>
                <w:color w:val="000000"/>
                <w:lang w:val="en-GB"/>
              </w:rPr>
            </w:pPr>
            <w:r w:rsidRPr="00607BDE">
              <w:rPr>
                <w:color w:val="000000"/>
                <w:lang w:val="en-GB"/>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95996F" w14:textId="77777777" w:rsidR="00A77B3E" w:rsidRPr="00607BDE" w:rsidRDefault="00C401B9">
            <w:pPr>
              <w:spacing w:before="100"/>
              <w:rPr>
                <w:color w:val="000000"/>
                <w:lang w:val="en-GB"/>
              </w:rPr>
            </w:pPr>
            <w:r w:rsidRPr="00607BDE">
              <w:rPr>
                <w:color w:val="000000"/>
                <w:lang w:val="en-GB"/>
              </w:rPr>
              <w:t>Operating support</w:t>
            </w:r>
          </w:p>
        </w:tc>
      </w:tr>
      <w:tr w:rsidR="00AC7127" w:rsidRPr="00607BDE" w14:paraId="39CDB65D"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63C7B"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0"/>
                    <w:checked w:val="0"/>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0B0D7A" w14:textId="77777777" w:rsidR="00A77B3E" w:rsidRPr="00607BDE" w:rsidRDefault="00C401B9">
            <w:pPr>
              <w:spacing w:before="100"/>
              <w:rPr>
                <w:color w:val="000000"/>
                <w:lang w:val="en-GB"/>
              </w:rPr>
            </w:pPr>
            <w:r w:rsidRPr="00607BDE">
              <w:rPr>
                <w:color w:val="000000"/>
                <w:lang w:val="en-GB"/>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0F683" w14:textId="77777777" w:rsidR="00A77B3E" w:rsidRPr="00607BDE" w:rsidRDefault="00C401B9">
            <w:pPr>
              <w:spacing w:before="100"/>
              <w:rPr>
                <w:color w:val="000000"/>
                <w:lang w:val="en-GB"/>
              </w:rPr>
            </w:pPr>
            <w:r w:rsidRPr="00607BDE">
              <w:rPr>
                <w:color w:val="000000"/>
                <w:lang w:val="en-GB"/>
              </w:rPr>
              <w:t>STS</w:t>
            </w:r>
          </w:p>
        </w:tc>
      </w:tr>
      <w:tr w:rsidR="00AC7127" w:rsidRPr="00607BDE" w14:paraId="3A945AD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D9DF29"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0"/>
                    <w:checked w:val="0"/>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2E568" w14:textId="77777777" w:rsidR="00A77B3E" w:rsidRPr="00607BDE" w:rsidRDefault="00C401B9">
            <w:pPr>
              <w:spacing w:before="100"/>
              <w:rPr>
                <w:color w:val="000000"/>
                <w:lang w:val="en-GB"/>
              </w:rPr>
            </w:pPr>
            <w:r w:rsidRPr="00607BDE">
              <w:rPr>
                <w:color w:val="000000"/>
                <w:lang w:val="en-GB"/>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7CBDB" w14:textId="77777777" w:rsidR="00A77B3E" w:rsidRPr="00607BDE" w:rsidRDefault="00C401B9">
            <w:pPr>
              <w:spacing w:before="100"/>
              <w:rPr>
                <w:color w:val="000000"/>
                <w:lang w:val="en-GB"/>
              </w:rPr>
            </w:pPr>
            <w:r w:rsidRPr="00607BDE">
              <w:rPr>
                <w:color w:val="000000"/>
                <w:lang w:val="en-GB"/>
              </w:rPr>
              <w:t>Emergency assistance</w:t>
            </w:r>
          </w:p>
        </w:tc>
      </w:tr>
      <w:tr w:rsidR="00AC7127" w:rsidRPr="00607BDE" w14:paraId="575F393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CB7A0"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CD5BB4" w14:textId="77777777" w:rsidR="00A77B3E" w:rsidRPr="00607BDE" w:rsidRDefault="00C401B9">
            <w:pPr>
              <w:spacing w:before="100"/>
              <w:rPr>
                <w:color w:val="000000"/>
                <w:lang w:val="en-GB"/>
              </w:rPr>
            </w:pPr>
            <w:r w:rsidRPr="00607BDE">
              <w:rPr>
                <w:color w:val="000000"/>
                <w:lang w:val="en-GB"/>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3D56B" w14:textId="77777777" w:rsidR="00A77B3E" w:rsidRPr="00607BDE" w:rsidRDefault="00C401B9">
            <w:pPr>
              <w:spacing w:before="100"/>
              <w:rPr>
                <w:color w:val="000000"/>
                <w:lang w:val="en-GB"/>
              </w:rPr>
            </w:pPr>
            <w:r w:rsidRPr="00607BDE">
              <w:rPr>
                <w:color w:val="000000"/>
                <w:lang w:val="en-GB"/>
              </w:rPr>
              <w:t>Article 85(2) of the ETIAS Regulation</w:t>
            </w:r>
          </w:p>
        </w:tc>
      </w:tr>
      <w:tr w:rsidR="00AC7127" w:rsidRPr="00607BDE" w14:paraId="0B25E88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2300E4"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E62C15" w14:textId="77777777" w:rsidR="00A77B3E" w:rsidRPr="00607BDE" w:rsidRDefault="00C401B9">
            <w:pPr>
              <w:spacing w:before="100"/>
              <w:rPr>
                <w:color w:val="000000"/>
                <w:lang w:val="en-GB"/>
              </w:rPr>
            </w:pPr>
            <w:r w:rsidRPr="00607BDE">
              <w:rPr>
                <w:color w:val="000000"/>
                <w:lang w:val="en-GB"/>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35E1D9" w14:textId="77777777" w:rsidR="00A77B3E" w:rsidRPr="00607BDE" w:rsidRDefault="00C401B9">
            <w:pPr>
              <w:spacing w:before="100"/>
              <w:rPr>
                <w:color w:val="000000"/>
                <w:lang w:val="en-GB"/>
              </w:rPr>
            </w:pPr>
            <w:r w:rsidRPr="00607BDE">
              <w:rPr>
                <w:color w:val="000000"/>
                <w:lang w:val="en-GB"/>
              </w:rPr>
              <w:t>Article 85(3) of the ETIAS Regulation</w:t>
            </w:r>
          </w:p>
        </w:tc>
      </w:tr>
      <w:tr w:rsidR="00AC7127" w:rsidRPr="00607BDE" w14:paraId="6B2B8F6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51F7D"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5CB1A" w14:textId="77777777" w:rsidR="00A77B3E" w:rsidRPr="00607BDE" w:rsidRDefault="00C401B9">
            <w:pPr>
              <w:spacing w:before="100"/>
              <w:rPr>
                <w:color w:val="000000"/>
                <w:lang w:val="en-GB"/>
              </w:rPr>
            </w:pPr>
            <w:r w:rsidRPr="00607BDE">
              <w:rPr>
                <w:color w:val="000000"/>
                <w:lang w:val="en-GB"/>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D6794" w14:textId="77777777" w:rsidR="00A77B3E" w:rsidRPr="00607BDE" w:rsidRDefault="00C401B9">
            <w:pPr>
              <w:spacing w:before="100"/>
              <w:rPr>
                <w:color w:val="000000"/>
                <w:lang w:val="en-GB"/>
              </w:rPr>
            </w:pPr>
            <w:r w:rsidRPr="00607BDE">
              <w:rPr>
                <w:color w:val="000000"/>
                <w:lang w:val="en-GB"/>
              </w:rPr>
              <w:t>Regular actions</w:t>
            </w:r>
          </w:p>
        </w:tc>
      </w:tr>
      <w:tr w:rsidR="00AC7127" w:rsidRPr="00607BDE" w14:paraId="1099293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284453"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0"/>
                    <w:checked w:val="0"/>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D1CDBE" w14:textId="77777777" w:rsidR="00A77B3E" w:rsidRPr="00607BDE" w:rsidRDefault="00C401B9">
            <w:pPr>
              <w:spacing w:before="100"/>
              <w:rPr>
                <w:color w:val="000000"/>
                <w:lang w:val="en-GB"/>
              </w:rPr>
            </w:pPr>
            <w:r w:rsidRPr="00607BDE">
              <w:rPr>
                <w:color w:val="000000"/>
                <w:lang w:val="en-GB"/>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E9E3C" w14:textId="77777777" w:rsidR="00A77B3E" w:rsidRPr="00607BDE" w:rsidRDefault="00C401B9">
            <w:pPr>
              <w:spacing w:before="100"/>
              <w:rPr>
                <w:color w:val="000000"/>
                <w:lang w:val="en-GB"/>
              </w:rPr>
            </w:pPr>
            <w:r w:rsidRPr="00607BDE">
              <w:rPr>
                <w:color w:val="000000"/>
                <w:lang w:val="en-GB"/>
              </w:rPr>
              <w:t>Specific actions</w:t>
            </w:r>
          </w:p>
        </w:tc>
      </w:tr>
      <w:tr w:rsidR="00AC7127" w:rsidRPr="00607BDE" w14:paraId="63038442"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F0422"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DE7553" w14:textId="77777777" w:rsidR="00A77B3E" w:rsidRPr="00607BDE" w:rsidRDefault="00C401B9">
            <w:pPr>
              <w:spacing w:before="100"/>
              <w:rPr>
                <w:color w:val="000000"/>
                <w:lang w:val="en-GB"/>
              </w:rPr>
            </w:pPr>
            <w:r w:rsidRPr="00607BDE">
              <w:rPr>
                <w:color w:val="000000"/>
                <w:lang w:val="en-GB"/>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47DD59" w14:textId="77777777" w:rsidR="00A77B3E" w:rsidRPr="00607BDE" w:rsidRDefault="00C401B9">
            <w:pPr>
              <w:spacing w:before="100"/>
              <w:rPr>
                <w:color w:val="000000"/>
                <w:lang w:val="en-GB"/>
              </w:rPr>
            </w:pPr>
            <w:r w:rsidRPr="00607BDE">
              <w:rPr>
                <w:color w:val="000000"/>
                <w:lang w:val="en-GB"/>
              </w:rPr>
              <w:t>Actions set out in Annex IV</w:t>
            </w:r>
          </w:p>
        </w:tc>
      </w:tr>
      <w:tr w:rsidR="00AC7127" w:rsidRPr="00607BDE" w14:paraId="0C67723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5CB85"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D643E" w14:textId="77777777" w:rsidR="00A77B3E" w:rsidRPr="00607BDE" w:rsidRDefault="00C401B9">
            <w:pPr>
              <w:spacing w:before="100"/>
              <w:rPr>
                <w:color w:val="000000"/>
                <w:lang w:val="en-GB"/>
              </w:rPr>
            </w:pPr>
            <w:r w:rsidRPr="00607BDE">
              <w:rPr>
                <w:color w:val="000000"/>
                <w:lang w:val="en-GB"/>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4B5778" w14:textId="77777777" w:rsidR="00A77B3E" w:rsidRPr="00607BDE" w:rsidRDefault="00C401B9">
            <w:pPr>
              <w:spacing w:before="100"/>
              <w:rPr>
                <w:color w:val="000000"/>
                <w:lang w:val="en-GB"/>
              </w:rPr>
            </w:pPr>
            <w:r w:rsidRPr="00607BDE">
              <w:rPr>
                <w:color w:val="000000"/>
                <w:lang w:val="en-GB"/>
              </w:rPr>
              <w:t>Operating support</w:t>
            </w:r>
          </w:p>
        </w:tc>
      </w:tr>
      <w:tr w:rsidR="00AC7127" w:rsidRPr="00607BDE" w14:paraId="2B7AD30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9620E4"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0"/>
                    <w:checked w:val="0"/>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8B467" w14:textId="77777777" w:rsidR="00A77B3E" w:rsidRPr="00607BDE" w:rsidRDefault="00C401B9">
            <w:pPr>
              <w:spacing w:before="100"/>
              <w:rPr>
                <w:color w:val="000000"/>
                <w:lang w:val="en-GB"/>
              </w:rPr>
            </w:pPr>
            <w:r w:rsidRPr="00607BDE">
              <w:rPr>
                <w:color w:val="000000"/>
                <w:lang w:val="en-GB"/>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DAAB6" w14:textId="77777777" w:rsidR="00A77B3E" w:rsidRPr="00607BDE" w:rsidRDefault="00C401B9">
            <w:pPr>
              <w:spacing w:before="100"/>
              <w:rPr>
                <w:color w:val="000000"/>
                <w:lang w:val="en-GB"/>
              </w:rPr>
            </w:pPr>
            <w:r w:rsidRPr="00607BDE">
              <w:rPr>
                <w:color w:val="000000"/>
                <w:lang w:val="en-GB"/>
              </w:rPr>
              <w:t>Emergency assistance</w:t>
            </w:r>
          </w:p>
        </w:tc>
      </w:tr>
      <w:tr w:rsidR="00AC7127" w:rsidRPr="00607BDE" w14:paraId="1AA8F04A"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FF3F6A"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1"/>
                    <w:checked/>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3086FE" w14:textId="77777777" w:rsidR="00A77B3E" w:rsidRPr="00607BDE" w:rsidRDefault="00C401B9">
            <w:pPr>
              <w:spacing w:before="100"/>
              <w:rPr>
                <w:color w:val="000000"/>
                <w:lang w:val="en-GB"/>
              </w:rPr>
            </w:pPr>
            <w:r w:rsidRPr="00607BDE">
              <w:rPr>
                <w:color w:val="000000"/>
                <w:lang w:val="en-GB"/>
              </w:rPr>
              <w:t>TA.36(5). Technical assistance – flat rate (Article 36(5) of the Common Provisions Regulation)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B7B509" w14:textId="77777777" w:rsidR="00A77B3E" w:rsidRPr="00607BDE" w:rsidRDefault="00A77B3E">
            <w:pPr>
              <w:spacing w:before="100"/>
              <w:rPr>
                <w:color w:val="000000"/>
                <w:lang w:val="en-GB"/>
              </w:rPr>
            </w:pPr>
          </w:p>
        </w:tc>
      </w:tr>
      <w:tr w:rsidR="00AC7127" w:rsidRPr="00607BDE" w14:paraId="3DEFF5BD"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170E70" w14:textId="77777777" w:rsidR="00A77B3E" w:rsidRPr="00607BDE" w:rsidRDefault="00D87FDC">
            <w:pPr>
              <w:spacing w:before="100"/>
              <w:jc w:val="center"/>
              <w:rPr>
                <w:color w:val="000000"/>
                <w:lang w:val="en-GB"/>
              </w:rPr>
            </w:pPr>
            <w:r w:rsidRPr="00607BDE">
              <w:rPr>
                <w:color w:val="000000"/>
                <w:lang w:val="en-GB"/>
              </w:rPr>
              <w:fldChar w:fldCharType="begin">
                <w:ffData>
                  <w:name w:val=""/>
                  <w:enabled/>
                  <w:calcOnExit w:val="0"/>
                  <w:checkBox>
                    <w:size w:val="20"/>
                    <w:default w:val="0"/>
                    <w:checked w:val="0"/>
                  </w:checkBox>
                </w:ffData>
              </w:fldChar>
            </w:r>
            <w:r w:rsidR="00C401B9" w:rsidRPr="00607BDE">
              <w:rPr>
                <w:color w:val="000000"/>
                <w:lang w:val="en-GB"/>
              </w:rPr>
              <w:instrText xml:space="preserve"> FORMCHECKBOX </w:instrText>
            </w:r>
            <w:r w:rsidR="008C7C03">
              <w:rPr>
                <w:color w:val="000000"/>
                <w:lang w:val="en-GB"/>
              </w:rPr>
            </w:r>
            <w:r w:rsidR="008C7C03">
              <w:rPr>
                <w:color w:val="000000"/>
                <w:lang w:val="en-GB"/>
              </w:rPr>
              <w:fldChar w:fldCharType="separate"/>
            </w:r>
            <w:r w:rsidRPr="00607BDE">
              <w:rPr>
                <w:color w:val="000000"/>
                <w:lang w:val="en-GB"/>
              </w:rPr>
              <w:fldChar w:fldCharType="end"/>
            </w:r>
            <w:r w:rsidR="00C401B9" w:rsidRPr="00607BDE">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1CA6F" w14:textId="77777777" w:rsidR="00A77B3E" w:rsidRPr="00607BDE" w:rsidRDefault="00C401B9">
            <w:pPr>
              <w:spacing w:before="100"/>
              <w:rPr>
                <w:color w:val="000000"/>
                <w:lang w:val="en-GB"/>
              </w:rPr>
            </w:pPr>
            <w:r w:rsidRPr="00607BDE">
              <w:rPr>
                <w:color w:val="000000"/>
                <w:lang w:val="en-GB"/>
              </w:rPr>
              <w:t>TA.37. Technical assistance – Financing not linked to costs (Article 37 of the Common Provisions Regulation)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0FE5CF" w14:textId="77777777" w:rsidR="00A77B3E" w:rsidRPr="00607BDE" w:rsidRDefault="00A77B3E">
            <w:pPr>
              <w:spacing w:before="100"/>
              <w:rPr>
                <w:color w:val="000000"/>
                <w:lang w:val="en-GB"/>
              </w:rPr>
            </w:pPr>
          </w:p>
        </w:tc>
      </w:tr>
    </w:tbl>
    <w:p w14:paraId="39B32EB3" w14:textId="77777777" w:rsidR="00A77B3E" w:rsidRPr="00607BDE" w:rsidRDefault="00A77B3E">
      <w:pPr>
        <w:spacing w:before="100"/>
        <w:jc w:val="center"/>
        <w:rPr>
          <w:color w:val="000000"/>
          <w:lang w:val="en-GB"/>
        </w:rPr>
        <w:sectPr w:rsidR="00A77B3E" w:rsidRPr="00607BDE">
          <w:headerReference w:type="even" r:id="rId9"/>
          <w:headerReference w:type="default" r:id="rId10"/>
          <w:footerReference w:type="even" r:id="rId11"/>
          <w:footerReference w:type="default" r:id="rId12"/>
          <w:headerReference w:type="first" r:id="rId13"/>
          <w:footerReference w:type="first" r:id="rId14"/>
          <w:pgSz w:w="11906" w:h="16838"/>
          <w:pgMar w:top="720" w:right="936" w:bottom="864" w:left="720" w:header="0" w:footer="72" w:gutter="0"/>
          <w:cols w:space="720"/>
          <w:noEndnote/>
          <w:docGrid w:linePitch="360"/>
        </w:sectPr>
      </w:pPr>
    </w:p>
    <w:p w14:paraId="2A13571B"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3" w:name="_Toc128975975"/>
      <w:r w:rsidRPr="00607BDE">
        <w:rPr>
          <w:rFonts w:ascii="Times New Roman" w:hAnsi="Times New Roman" w:cs="Times New Roman"/>
          <w:b w:val="0"/>
          <w:i w:val="0"/>
          <w:color w:val="000000"/>
          <w:sz w:val="24"/>
          <w:lang w:val="en-GB"/>
        </w:rPr>
        <w:lastRenderedPageBreak/>
        <w:t>2.1. Specific objective: 1. European integrated border management</w:t>
      </w:r>
      <w:bookmarkEnd w:id="3"/>
    </w:p>
    <w:p w14:paraId="430164A0" w14:textId="77777777" w:rsidR="00A77B3E" w:rsidRPr="00607BDE" w:rsidRDefault="00A77B3E">
      <w:pPr>
        <w:spacing w:before="100"/>
        <w:rPr>
          <w:color w:val="000000"/>
          <w:sz w:val="0"/>
          <w:lang w:val="en-GB"/>
        </w:rPr>
      </w:pPr>
    </w:p>
    <w:p w14:paraId="277E2259" w14:textId="77777777" w:rsidR="00A77B3E" w:rsidRPr="00607BDE" w:rsidRDefault="00C401B9">
      <w:pPr>
        <w:pStyle w:val="Nagwek3"/>
        <w:spacing w:before="100" w:after="0"/>
        <w:rPr>
          <w:rFonts w:ascii="Times New Roman" w:hAnsi="Times New Roman" w:cs="Times New Roman"/>
          <w:b w:val="0"/>
          <w:color w:val="000000"/>
          <w:sz w:val="24"/>
          <w:lang w:val="en-GB"/>
        </w:rPr>
      </w:pPr>
      <w:bookmarkStart w:id="4" w:name="_Toc128975976"/>
      <w:r w:rsidRPr="00607BDE">
        <w:rPr>
          <w:rFonts w:ascii="Times New Roman" w:hAnsi="Times New Roman" w:cs="Times New Roman"/>
          <w:b w:val="0"/>
          <w:color w:val="000000"/>
          <w:sz w:val="24"/>
          <w:lang w:val="en-GB"/>
        </w:rPr>
        <w:t>2.1.1. Description of the specific objective</w:t>
      </w:r>
      <w:bookmarkEnd w:id="4"/>
    </w:p>
    <w:p w14:paraId="2CF86A1A"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C7127" w:rsidRPr="00607BDE" w14:paraId="6E23822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B4302" w14:textId="77777777" w:rsidR="00A77B3E" w:rsidRPr="00607BDE" w:rsidRDefault="00A77B3E">
            <w:pPr>
              <w:spacing w:before="100"/>
              <w:rPr>
                <w:color w:val="000000"/>
                <w:sz w:val="0"/>
                <w:lang w:val="en-GB"/>
              </w:rPr>
            </w:pPr>
          </w:p>
          <w:p w14:paraId="38167C38" w14:textId="77777777" w:rsidR="00A77B3E" w:rsidRPr="00607BDE" w:rsidRDefault="00C401B9">
            <w:pPr>
              <w:spacing w:before="100"/>
              <w:rPr>
                <w:color w:val="000000"/>
                <w:lang w:val="en-GB"/>
              </w:rPr>
            </w:pPr>
            <w:r w:rsidRPr="00607BDE">
              <w:rPr>
                <w:b/>
                <w:bCs/>
                <w:color w:val="000000"/>
                <w:lang w:val="en-GB"/>
              </w:rPr>
              <w:t>Present status and current challenges:</w:t>
            </w:r>
          </w:p>
          <w:p w14:paraId="51A837AD" w14:textId="77777777" w:rsidR="00A77B3E" w:rsidRPr="00607BDE" w:rsidRDefault="00C401B9">
            <w:pPr>
              <w:spacing w:before="100"/>
              <w:rPr>
                <w:color w:val="000000"/>
                <w:lang w:val="en-GB"/>
              </w:rPr>
            </w:pPr>
            <w:r w:rsidRPr="00607BDE">
              <w:rPr>
                <w:color w:val="000000"/>
                <w:lang w:val="en-GB"/>
              </w:rPr>
              <w:t>Surveillance at the land border is provided by BG units which include BG posts, while the maritime border is protected by one BG unit composed on posts and squadrons. One post protects the land border with RUS along the Vistula Spit (850 m).</w:t>
            </w:r>
          </w:p>
          <w:p w14:paraId="3D6CBEB1" w14:textId="77777777" w:rsidR="00A77B3E" w:rsidRPr="00607BDE" w:rsidRDefault="00A77B3E">
            <w:pPr>
              <w:spacing w:before="100"/>
              <w:rPr>
                <w:color w:val="000000"/>
                <w:lang w:val="en-GB"/>
              </w:rPr>
            </w:pPr>
          </w:p>
          <w:p w14:paraId="0FDC53C9" w14:textId="77777777" w:rsidR="00A77B3E" w:rsidRPr="00607BDE" w:rsidRDefault="00C401B9">
            <w:pPr>
              <w:spacing w:before="100"/>
              <w:rPr>
                <w:color w:val="000000"/>
                <w:lang w:val="en-GB"/>
              </w:rPr>
            </w:pPr>
            <w:r w:rsidRPr="00607BDE">
              <w:rPr>
                <w:color w:val="000000"/>
                <w:lang w:val="en-GB"/>
              </w:rPr>
              <w:t>The BG operates equipment which provides for 24/7 surveillance of the border. The land border is patrolled by foot and motorised patrols as well as aerial vehicles equipped with aerial surveillance systems and UAVs. The maritime border is protected by specialised personnel, vessels, aerial vehicles and the Automated Radar Surveillance System (</w:t>
            </w:r>
            <w:r w:rsidRPr="00607BDE">
              <w:rPr>
                <w:i/>
                <w:iCs/>
                <w:color w:val="000000"/>
                <w:lang w:val="en-GB"/>
              </w:rPr>
              <w:t>Zautomatyzowany System Radarowego Nadzoru</w:t>
            </w:r>
            <w:r w:rsidRPr="00607BDE">
              <w:rPr>
                <w:color w:val="000000"/>
                <w:lang w:val="en-GB"/>
              </w:rPr>
              <w:t>, ZSRN).</w:t>
            </w:r>
          </w:p>
          <w:p w14:paraId="12870470" w14:textId="77777777" w:rsidR="00A77B3E" w:rsidRPr="00607BDE" w:rsidRDefault="00A77B3E">
            <w:pPr>
              <w:spacing w:before="100"/>
              <w:rPr>
                <w:color w:val="000000"/>
                <w:lang w:val="en-GB"/>
              </w:rPr>
            </w:pPr>
          </w:p>
          <w:p w14:paraId="60C1FBED" w14:textId="77777777" w:rsidR="00A77B3E" w:rsidRPr="00607BDE" w:rsidRDefault="00C401B9">
            <w:pPr>
              <w:spacing w:before="100"/>
              <w:rPr>
                <w:color w:val="000000"/>
                <w:lang w:val="en-GB"/>
              </w:rPr>
            </w:pPr>
            <w:r w:rsidRPr="00607BDE">
              <w:rPr>
                <w:color w:val="000000"/>
                <w:lang w:val="en-GB"/>
              </w:rPr>
              <w:t>The BG has ca. 14,000 officers (as of 31 December 2020) in 96 posts, 2 squadrons, 9 unit commands and the National Headquarters of the BG. 76 posts protect the external EU border. Border traffic takes place through 69 border crossing points, of which 33 on the land border, 17 at air crossing points, 18 sea crossing points and 1 river crossing point. The border with RUS has 7 crossing points, the border with BY - 13, the border with UA - 14; they are maintained by territorially competent Voivodes.</w:t>
            </w:r>
          </w:p>
          <w:p w14:paraId="0CEA98A1" w14:textId="77777777" w:rsidR="00A77B3E" w:rsidRPr="00607BDE" w:rsidRDefault="00A77B3E">
            <w:pPr>
              <w:spacing w:before="100"/>
              <w:rPr>
                <w:color w:val="000000"/>
                <w:lang w:val="en-GB"/>
              </w:rPr>
            </w:pPr>
          </w:p>
          <w:p w14:paraId="1EEE10B0" w14:textId="77777777" w:rsidR="00A77B3E" w:rsidRPr="00607BDE" w:rsidRDefault="00C401B9">
            <w:pPr>
              <w:spacing w:before="100"/>
              <w:rPr>
                <w:color w:val="000000"/>
                <w:lang w:val="en-GB"/>
              </w:rPr>
            </w:pPr>
            <w:r w:rsidRPr="00607BDE">
              <w:rPr>
                <w:color w:val="000000"/>
                <w:lang w:val="en-GB"/>
              </w:rPr>
              <w:t>The BG will build the perimeter system at the external EU border (1,121 km). 31 km of the system have been built along the border with UA (ISF 2014-2020), and an investment financed from national funds will secure the land section of the border with BY (202 km). 225 km of technical surveillance will be built along the water border with BY (SA BMVI) and 157 km along sections of the external EU border (BMVI). Construction of the rest will be financed from national funds, including under the Modernisation Act 2022-2025. The current needs for opto-electronics in 2022-2025 include (in items of equipment): 64 observation vehicles, 20 opto-electronic systems on watch towers, 100 portable thermal vision cameras, 250 thermal-vision monoculars, 200 pairs of night vision goggles. The purchases under the BMVI will include (in items of equipment): 25 observation vehicles (additionally 2 under SA BMVI), 6 opto-electronic systems on watch towers, 100 portable thermal vision cameras, 27 pairs of night vision goggles. The financing of the other needs will be provided from national funds, including under the Modernisation Act 2022-2025.</w:t>
            </w:r>
          </w:p>
          <w:p w14:paraId="2E02EC42" w14:textId="77777777" w:rsidR="00A77B3E" w:rsidRPr="00607BDE" w:rsidRDefault="00A77B3E">
            <w:pPr>
              <w:spacing w:before="100"/>
              <w:rPr>
                <w:color w:val="000000"/>
                <w:lang w:val="en-GB"/>
              </w:rPr>
            </w:pPr>
          </w:p>
          <w:p w14:paraId="412E5BEB" w14:textId="77777777" w:rsidR="00A77B3E" w:rsidRPr="00607BDE" w:rsidRDefault="00C401B9">
            <w:pPr>
              <w:spacing w:before="100"/>
              <w:rPr>
                <w:color w:val="000000"/>
                <w:lang w:val="en-GB"/>
              </w:rPr>
            </w:pPr>
            <w:r w:rsidRPr="00607BDE">
              <w:rPr>
                <w:color w:val="000000"/>
                <w:u w:val="single"/>
                <w:lang w:val="en-GB"/>
              </w:rPr>
              <w:t xml:space="preserve">Within the available funds, the BG proposed "Modernisation of the Central ICT Node (CWT) and Back-up ICT Node (ZWT) to ensure high availability of the National Border Infrastructure (KIG)", which is why it is not possible to implement large-scale systems within the current financial framework of the Programme. Their development was financed from the ISF 2014-2020. </w:t>
            </w:r>
          </w:p>
          <w:p w14:paraId="2A892C33" w14:textId="77777777" w:rsidR="00A77B3E" w:rsidRPr="00607BDE" w:rsidRDefault="00A77B3E">
            <w:pPr>
              <w:spacing w:before="100"/>
              <w:rPr>
                <w:color w:val="000000"/>
                <w:lang w:val="en-GB"/>
              </w:rPr>
            </w:pPr>
          </w:p>
          <w:p w14:paraId="6B717498" w14:textId="77777777" w:rsidR="00A77B3E" w:rsidRPr="00607BDE" w:rsidRDefault="00C401B9">
            <w:pPr>
              <w:spacing w:before="100"/>
              <w:rPr>
                <w:color w:val="000000"/>
                <w:lang w:val="en-GB"/>
              </w:rPr>
            </w:pPr>
            <w:r w:rsidRPr="00607BDE">
              <w:rPr>
                <w:color w:val="000000"/>
                <w:u w:val="single"/>
                <w:lang w:val="en-GB"/>
              </w:rPr>
              <w:t xml:space="preserve">Actions regarding the construction of the perimeter system on the land sections of the border, construction and expansion of the border infrastructure, perimeter system on the water sections of the border with BY and along 157 km of the land section of the external EU border do not regard the construction of the physical barrier. </w:t>
            </w:r>
          </w:p>
          <w:p w14:paraId="7A92E3C6" w14:textId="77777777" w:rsidR="00A77B3E" w:rsidRPr="00607BDE" w:rsidRDefault="00A77B3E">
            <w:pPr>
              <w:spacing w:before="100"/>
              <w:rPr>
                <w:color w:val="000000"/>
                <w:lang w:val="en-GB"/>
              </w:rPr>
            </w:pPr>
          </w:p>
          <w:p w14:paraId="70392D2B" w14:textId="77777777" w:rsidR="00A77B3E" w:rsidRPr="00607BDE" w:rsidRDefault="00C401B9">
            <w:pPr>
              <w:spacing w:before="100"/>
              <w:rPr>
                <w:color w:val="000000"/>
                <w:lang w:val="en-GB"/>
              </w:rPr>
            </w:pPr>
            <w:r w:rsidRPr="00607BDE">
              <w:rPr>
                <w:color w:val="000000"/>
                <w:lang w:val="en-GB"/>
              </w:rPr>
              <w:t>The BG used complementarity when planning BMVI tasks.</w:t>
            </w:r>
          </w:p>
          <w:p w14:paraId="5C86CFC4" w14:textId="77777777" w:rsidR="00A77B3E" w:rsidRPr="00607BDE" w:rsidRDefault="00A77B3E">
            <w:pPr>
              <w:spacing w:before="100"/>
              <w:rPr>
                <w:color w:val="000000"/>
                <w:lang w:val="en-GB"/>
              </w:rPr>
            </w:pPr>
          </w:p>
          <w:p w14:paraId="3ADD89DD" w14:textId="77777777" w:rsidR="00A77B3E" w:rsidRPr="00607BDE" w:rsidRDefault="00C401B9">
            <w:pPr>
              <w:spacing w:before="100"/>
              <w:rPr>
                <w:color w:val="000000"/>
                <w:lang w:val="en-GB"/>
              </w:rPr>
            </w:pPr>
            <w:r w:rsidRPr="00607BDE">
              <w:rPr>
                <w:color w:val="000000"/>
                <w:lang w:val="en-GB"/>
              </w:rPr>
              <w:t>The task under the BMVI 2021-2027 continue the previous ones financed from either national or EU funds.</w:t>
            </w:r>
          </w:p>
          <w:p w14:paraId="5FFEC032" w14:textId="77777777" w:rsidR="00A77B3E" w:rsidRPr="00607BDE" w:rsidRDefault="00A77B3E">
            <w:pPr>
              <w:spacing w:before="100"/>
              <w:rPr>
                <w:color w:val="000000"/>
                <w:lang w:val="en-GB"/>
              </w:rPr>
            </w:pPr>
          </w:p>
          <w:p w14:paraId="4B2020FE" w14:textId="77777777" w:rsidR="00A77B3E" w:rsidRPr="00607BDE" w:rsidRDefault="00C401B9">
            <w:pPr>
              <w:spacing w:before="100"/>
              <w:rPr>
                <w:color w:val="000000"/>
                <w:lang w:val="en-GB"/>
              </w:rPr>
            </w:pPr>
            <w:r w:rsidRPr="00607BDE">
              <w:rPr>
                <w:color w:val="000000"/>
                <w:lang w:val="en-GB"/>
              </w:rPr>
              <w:t>The BG participates in research projects under Horizon 2020. Information about those projects is publicly available.</w:t>
            </w:r>
          </w:p>
          <w:p w14:paraId="2A9EA085" w14:textId="77777777" w:rsidR="00A77B3E" w:rsidRPr="00607BDE" w:rsidRDefault="00A77B3E">
            <w:pPr>
              <w:spacing w:before="100"/>
              <w:rPr>
                <w:color w:val="000000"/>
                <w:lang w:val="en-GB"/>
              </w:rPr>
            </w:pPr>
          </w:p>
          <w:p w14:paraId="2280C58A" w14:textId="77777777" w:rsidR="00A77B3E" w:rsidRPr="00607BDE" w:rsidRDefault="00C401B9">
            <w:pPr>
              <w:spacing w:before="100"/>
              <w:rPr>
                <w:color w:val="000000"/>
                <w:lang w:val="en-GB"/>
              </w:rPr>
            </w:pPr>
            <w:r w:rsidRPr="00607BDE">
              <w:rPr>
                <w:color w:val="000000"/>
                <w:lang w:val="en-GB"/>
              </w:rPr>
              <w:t>The BG neither participated nor plans to participate in EFS+ projects.</w:t>
            </w:r>
          </w:p>
          <w:p w14:paraId="412713F4" w14:textId="77777777" w:rsidR="00A77B3E" w:rsidRPr="00607BDE" w:rsidRDefault="00A77B3E">
            <w:pPr>
              <w:spacing w:before="100"/>
              <w:rPr>
                <w:color w:val="000000"/>
                <w:lang w:val="en-GB"/>
              </w:rPr>
            </w:pPr>
          </w:p>
          <w:p w14:paraId="133542CC" w14:textId="77777777" w:rsidR="00A77B3E" w:rsidRPr="00607BDE" w:rsidRDefault="00C401B9">
            <w:pPr>
              <w:spacing w:before="100"/>
              <w:rPr>
                <w:color w:val="000000"/>
                <w:lang w:val="en-GB"/>
              </w:rPr>
            </w:pPr>
            <w:r w:rsidRPr="00607BDE">
              <w:rPr>
                <w:color w:val="000000"/>
                <w:lang w:val="en-GB"/>
              </w:rPr>
              <w:t>No actions set out in Annex IV to Regulation 2021/1148 are planned within SO1.</w:t>
            </w:r>
          </w:p>
          <w:p w14:paraId="7D5046B3" w14:textId="77777777" w:rsidR="00A77B3E" w:rsidRPr="00607BDE" w:rsidRDefault="00A77B3E">
            <w:pPr>
              <w:spacing w:before="100"/>
              <w:rPr>
                <w:color w:val="000000"/>
                <w:lang w:val="en-GB"/>
              </w:rPr>
            </w:pPr>
          </w:p>
          <w:p w14:paraId="0BB542E2" w14:textId="21622103" w:rsidR="00A77B3E" w:rsidRPr="00607BDE" w:rsidRDefault="00C401B9">
            <w:pPr>
              <w:spacing w:before="100"/>
              <w:rPr>
                <w:color w:val="000000"/>
                <w:lang w:val="en-GB"/>
              </w:rPr>
            </w:pPr>
            <w:r w:rsidRPr="00607BDE">
              <w:rPr>
                <w:b/>
                <w:bCs/>
                <w:color w:val="000000"/>
                <w:lang w:val="en-GB"/>
              </w:rPr>
              <w:t>Implement</w:t>
            </w:r>
            <w:r w:rsidR="00307CF7">
              <w:rPr>
                <w:b/>
                <w:bCs/>
                <w:color w:val="000000"/>
                <w:lang w:val="en-GB"/>
              </w:rPr>
              <w:t>ation</w:t>
            </w:r>
            <w:r w:rsidRPr="00607BDE">
              <w:rPr>
                <w:b/>
                <w:bCs/>
                <w:color w:val="000000"/>
                <w:lang w:val="en-GB"/>
              </w:rPr>
              <w:t xml:space="preserve"> measures and actions:</w:t>
            </w:r>
          </w:p>
          <w:p w14:paraId="43D38356" w14:textId="4C992A62" w:rsidR="00A77B3E" w:rsidRPr="00607BDE" w:rsidRDefault="00C401B9">
            <w:pPr>
              <w:spacing w:before="100"/>
              <w:rPr>
                <w:color w:val="000000"/>
                <w:lang w:val="en-GB"/>
              </w:rPr>
            </w:pPr>
            <w:r w:rsidRPr="00607BDE">
              <w:rPr>
                <w:b/>
                <w:bCs/>
                <w:color w:val="000000"/>
                <w:lang w:val="en-GB"/>
              </w:rPr>
              <w:t>In the perspective of needs and challenges, the Programme will concentrate in the integrated border management policy area on implement</w:t>
            </w:r>
            <w:r w:rsidR="00462B18">
              <w:rPr>
                <w:b/>
                <w:bCs/>
                <w:color w:val="000000"/>
                <w:lang w:val="en-GB"/>
              </w:rPr>
              <w:t>ation</w:t>
            </w:r>
            <w:r w:rsidRPr="00607BDE">
              <w:rPr>
                <w:b/>
                <w:bCs/>
                <w:color w:val="000000"/>
                <w:lang w:val="en-GB"/>
              </w:rPr>
              <w:t xml:space="preserve"> measures and scope of support set forth in Annexes II and III to Regulation 2021/1148. </w:t>
            </w:r>
          </w:p>
          <w:p w14:paraId="24624CAA" w14:textId="77777777" w:rsidR="00A77B3E" w:rsidRPr="00607BDE" w:rsidRDefault="00A77B3E">
            <w:pPr>
              <w:spacing w:before="100"/>
              <w:rPr>
                <w:color w:val="000000"/>
                <w:lang w:val="en-GB"/>
              </w:rPr>
            </w:pPr>
          </w:p>
          <w:p w14:paraId="6A23E81A" w14:textId="77777777" w:rsidR="00A77B3E" w:rsidRPr="00607BDE" w:rsidRDefault="00C401B9">
            <w:pPr>
              <w:spacing w:before="100"/>
              <w:rPr>
                <w:color w:val="000000"/>
                <w:lang w:val="en-GB"/>
              </w:rPr>
            </w:pPr>
            <w:r w:rsidRPr="00607BDE">
              <w:rPr>
                <w:i/>
                <w:iCs/>
                <w:color w:val="000000"/>
                <w:lang w:val="en-GB"/>
              </w:rPr>
              <w:t>IT Systems</w:t>
            </w:r>
          </w:p>
          <w:p w14:paraId="7E8C1F2F" w14:textId="77777777" w:rsidR="00A77B3E" w:rsidRPr="00607BDE" w:rsidRDefault="00C401B9">
            <w:pPr>
              <w:spacing w:before="100"/>
              <w:rPr>
                <w:color w:val="000000"/>
                <w:lang w:val="en-GB"/>
              </w:rPr>
            </w:pPr>
            <w:r w:rsidRPr="00607BDE">
              <w:rPr>
                <w:color w:val="000000"/>
                <w:lang w:val="en-GB"/>
              </w:rPr>
              <w:t>All BG's systems are located in the CWT and ensure high availability and reliability of the architecture through the ZWT and SWD (Synchronous Access Node) blocks. The most important systems are built on the CSI SG platform (the Central Information System of the Border Guard). The platform includes systems for border checks, foreigner handling, investigation support and large-scale EU systems support. The BG is a leading institution in the EES, ETIAS, EUROSUR, and a main user of the SIS and VIS. The expansion of the respective areas contributes to reliability and availability of large-scale EU and national systems within the CSI. The objectives of building large-scale systems require adaptation of IT tools to: the changing requirements and threats, high availability of the CWT and ZWT, modernisation of the ICT platform and telecommunication system to provide services produced at the CSI SG based on the KIG. This will increase the volume of aggregated and stored information.</w:t>
            </w:r>
          </w:p>
          <w:p w14:paraId="609543EF" w14:textId="77777777" w:rsidR="00A77B3E" w:rsidRPr="00607BDE" w:rsidRDefault="00A77B3E">
            <w:pPr>
              <w:spacing w:before="100"/>
              <w:rPr>
                <w:color w:val="000000"/>
                <w:lang w:val="en-GB"/>
              </w:rPr>
            </w:pPr>
          </w:p>
          <w:p w14:paraId="595C1D63" w14:textId="2AFBD795" w:rsidR="00A77B3E" w:rsidRPr="00607BDE" w:rsidRDefault="00C401B9">
            <w:pPr>
              <w:spacing w:before="100"/>
              <w:rPr>
                <w:color w:val="000000"/>
                <w:lang w:val="en-GB"/>
              </w:rPr>
            </w:pPr>
            <w:r w:rsidRPr="00607BDE">
              <w:rPr>
                <w:color w:val="000000"/>
                <w:u w:val="single"/>
                <w:lang w:val="en-GB"/>
              </w:rPr>
              <w:t xml:space="preserve">The modernisation of the CWT, SWD and ZWT to ensure high availability of the KIG </w:t>
            </w:r>
            <w:r w:rsidR="00462B18">
              <w:rPr>
                <w:color w:val="000000"/>
                <w:u w:val="single"/>
                <w:lang w:val="en-GB"/>
              </w:rPr>
              <w:t>is</w:t>
            </w:r>
            <w:r w:rsidRPr="00607BDE">
              <w:rPr>
                <w:color w:val="000000"/>
                <w:u w:val="single"/>
                <w:lang w:val="en-GB"/>
              </w:rPr>
              <w:t xml:space="preserve"> a BMVI priority. It is a necessary element for the functioning of border and large-scale systems.</w:t>
            </w:r>
          </w:p>
          <w:p w14:paraId="3DE03894" w14:textId="77777777" w:rsidR="00A77B3E" w:rsidRPr="00607BDE" w:rsidRDefault="00A77B3E">
            <w:pPr>
              <w:spacing w:before="100"/>
              <w:rPr>
                <w:color w:val="000000"/>
                <w:lang w:val="en-GB"/>
              </w:rPr>
            </w:pPr>
          </w:p>
          <w:p w14:paraId="5DE768E5" w14:textId="77777777" w:rsidR="00A77B3E" w:rsidRPr="00607BDE" w:rsidRDefault="00C401B9">
            <w:pPr>
              <w:spacing w:before="100"/>
              <w:rPr>
                <w:color w:val="000000"/>
                <w:lang w:val="en-GB"/>
              </w:rPr>
            </w:pPr>
            <w:r w:rsidRPr="00607BDE">
              <w:rPr>
                <w:color w:val="000000"/>
                <w:lang w:val="en-GB"/>
              </w:rPr>
              <w:t>The large-scale systems that will function within the KIG are being built. Delays on the central side (EU-Lisa) have postponed the date of implementation of the SIS Recast and EES. They affect the planned building of ETIAS, which will be deployed 9 months after the implementation of the EES.</w:t>
            </w:r>
          </w:p>
          <w:p w14:paraId="11AFFEF2" w14:textId="77777777" w:rsidR="00A77B3E" w:rsidRPr="00607BDE" w:rsidRDefault="00A77B3E">
            <w:pPr>
              <w:spacing w:before="100"/>
              <w:rPr>
                <w:color w:val="000000"/>
                <w:lang w:val="en-GB"/>
              </w:rPr>
            </w:pPr>
          </w:p>
          <w:p w14:paraId="27D45704" w14:textId="77777777" w:rsidR="00A77B3E" w:rsidRPr="00607BDE" w:rsidRDefault="00C401B9">
            <w:pPr>
              <w:spacing w:before="100"/>
              <w:rPr>
                <w:color w:val="000000"/>
                <w:lang w:val="en-GB"/>
              </w:rPr>
            </w:pPr>
            <w:r w:rsidRPr="00607BDE">
              <w:rPr>
                <w:color w:val="000000"/>
                <w:lang w:val="en-GB"/>
              </w:rPr>
              <w:t>The Police operates the SIS via the unreliable and outdated STBS II (ICT System of the Sirene Bureau II). A new System for the Exchange of International and National Information (SWIMiK) must be built and implemented. This arises from the adoption of the SIS-recast in 2018. Europol and Frontex have become new users of the SIS. The efficiency and reliability of the SWIMiK must be enhanced.</w:t>
            </w:r>
          </w:p>
          <w:p w14:paraId="181B0AC6" w14:textId="77777777" w:rsidR="00A77B3E" w:rsidRPr="00607BDE" w:rsidRDefault="00A77B3E">
            <w:pPr>
              <w:spacing w:before="100"/>
              <w:rPr>
                <w:color w:val="000000"/>
                <w:lang w:val="en-GB"/>
              </w:rPr>
            </w:pPr>
          </w:p>
          <w:p w14:paraId="60790AFF" w14:textId="77777777" w:rsidR="00A77B3E" w:rsidRPr="00607BDE" w:rsidRDefault="00C401B9">
            <w:pPr>
              <w:spacing w:before="100"/>
              <w:rPr>
                <w:color w:val="000000"/>
                <w:lang w:val="en-GB"/>
              </w:rPr>
            </w:pPr>
            <w:r w:rsidRPr="00607BDE">
              <w:rPr>
                <w:color w:val="000000"/>
                <w:lang w:val="en-GB"/>
              </w:rPr>
              <w:t>The BG does not raise any additional needs as regards actions to be financed under Article 85(2) or (3) of the ETIAS Regulation. This will be revised at a later date.</w:t>
            </w:r>
          </w:p>
          <w:p w14:paraId="1EA7B3E7" w14:textId="77777777" w:rsidR="00A77B3E" w:rsidRPr="00607BDE" w:rsidRDefault="00A77B3E">
            <w:pPr>
              <w:spacing w:before="100"/>
              <w:rPr>
                <w:color w:val="000000"/>
                <w:lang w:val="en-GB"/>
              </w:rPr>
            </w:pPr>
          </w:p>
          <w:p w14:paraId="22AD6189" w14:textId="77777777" w:rsidR="00A77B3E" w:rsidRPr="00607BDE" w:rsidRDefault="00C401B9">
            <w:pPr>
              <w:spacing w:before="100"/>
              <w:rPr>
                <w:color w:val="000000"/>
                <w:lang w:val="en-GB"/>
              </w:rPr>
            </w:pPr>
            <w:r w:rsidRPr="00607BDE">
              <w:rPr>
                <w:color w:val="000000"/>
                <w:lang w:val="en-GB"/>
              </w:rPr>
              <w:t>No additional needs regarding maintenance, development and operation of the ETIAS have been identified. Shall the situation change, a proposal for including the costs to the BMVI will be submitted.</w:t>
            </w:r>
          </w:p>
          <w:p w14:paraId="70839C95" w14:textId="77777777" w:rsidR="00A77B3E" w:rsidRPr="00607BDE" w:rsidRDefault="00A77B3E">
            <w:pPr>
              <w:spacing w:before="100"/>
              <w:rPr>
                <w:color w:val="000000"/>
                <w:lang w:val="en-GB"/>
              </w:rPr>
            </w:pPr>
          </w:p>
          <w:p w14:paraId="041AFBD7" w14:textId="77777777" w:rsidR="00A77B3E" w:rsidRPr="00607BDE" w:rsidRDefault="00C401B9">
            <w:pPr>
              <w:spacing w:before="100"/>
              <w:rPr>
                <w:color w:val="000000"/>
                <w:lang w:val="en-GB"/>
              </w:rPr>
            </w:pPr>
            <w:r w:rsidRPr="00607BDE">
              <w:rPr>
                <w:color w:val="000000"/>
                <w:lang w:val="en-GB"/>
              </w:rPr>
              <w:t>The following actions regard actions for the functioning of the national IT infrastructure to ensure appropriate operation of large-scale ICT systems/interoperability.</w:t>
            </w:r>
          </w:p>
          <w:p w14:paraId="1A3C1663" w14:textId="77777777" w:rsidR="00A77B3E" w:rsidRPr="00607BDE" w:rsidRDefault="00A77B3E">
            <w:pPr>
              <w:spacing w:before="100"/>
              <w:rPr>
                <w:color w:val="000000"/>
                <w:lang w:val="en-GB"/>
              </w:rPr>
            </w:pPr>
          </w:p>
          <w:p w14:paraId="0E339F0C" w14:textId="1A8A2AC6" w:rsidR="00A77B3E" w:rsidRPr="00607BDE" w:rsidRDefault="00C401B9">
            <w:pPr>
              <w:spacing w:before="100"/>
              <w:rPr>
                <w:color w:val="000000"/>
                <w:lang w:val="en-GB"/>
              </w:rPr>
            </w:pPr>
            <w:r w:rsidRPr="00607BDE">
              <w:rPr>
                <w:b/>
                <w:bCs/>
                <w:color w:val="000000"/>
                <w:lang w:val="en-GB"/>
              </w:rPr>
              <w:t>The following actions planned for the purpose of implement</w:t>
            </w:r>
            <w:r w:rsidR="00462B18">
              <w:rPr>
                <w:b/>
                <w:bCs/>
                <w:color w:val="000000"/>
                <w:lang w:val="en-GB"/>
              </w:rPr>
              <w:t>ation</w:t>
            </w:r>
            <w:r w:rsidRPr="00607BDE">
              <w:rPr>
                <w:b/>
                <w:bCs/>
                <w:color w:val="000000"/>
                <w:lang w:val="en-GB"/>
              </w:rPr>
              <w:t xml:space="preserve"> measure 1.e and the scope of support 3.d</w:t>
            </w:r>
            <w:r w:rsidRPr="00607BDE">
              <w:rPr>
                <w:color w:val="000000"/>
                <w:lang w:val="en-GB"/>
              </w:rPr>
              <w:t>:</w:t>
            </w:r>
          </w:p>
          <w:p w14:paraId="6D6942FC" w14:textId="77777777" w:rsidR="00A77B3E" w:rsidRPr="00607BDE" w:rsidRDefault="00C401B9">
            <w:pPr>
              <w:numPr>
                <w:ilvl w:val="0"/>
                <w:numId w:val="5"/>
              </w:numPr>
              <w:spacing w:before="100"/>
              <w:rPr>
                <w:color w:val="000000"/>
                <w:lang w:val="en-GB"/>
              </w:rPr>
            </w:pPr>
            <w:r w:rsidRPr="00607BDE">
              <w:rPr>
                <w:color w:val="000000"/>
                <w:lang w:val="en-GB"/>
              </w:rPr>
              <w:t>Continuation of ISF 2014-2020 actions in modernisation of the server and hardware/software infrastructure;</w:t>
            </w:r>
          </w:p>
          <w:p w14:paraId="7A3B9D27" w14:textId="77777777" w:rsidR="00A77B3E" w:rsidRPr="00607BDE" w:rsidRDefault="00C401B9">
            <w:pPr>
              <w:numPr>
                <w:ilvl w:val="0"/>
                <w:numId w:val="5"/>
              </w:numPr>
              <w:spacing w:before="100"/>
              <w:rPr>
                <w:color w:val="000000"/>
                <w:lang w:val="en-GB"/>
              </w:rPr>
            </w:pPr>
            <w:r w:rsidRPr="00607BDE">
              <w:rPr>
                <w:color w:val="000000"/>
                <w:lang w:val="en-GB"/>
              </w:rPr>
              <w:t>Modernisation of the CWT and ZWT to ensure high availability of the KIG;</w:t>
            </w:r>
          </w:p>
          <w:p w14:paraId="5C08D8AD" w14:textId="77777777" w:rsidR="00A77B3E" w:rsidRPr="00607BDE" w:rsidRDefault="00C401B9">
            <w:pPr>
              <w:numPr>
                <w:ilvl w:val="0"/>
                <w:numId w:val="5"/>
              </w:numPr>
              <w:spacing w:before="100"/>
              <w:rPr>
                <w:color w:val="000000"/>
                <w:lang w:val="en-GB"/>
              </w:rPr>
            </w:pPr>
            <w:r w:rsidRPr="00607BDE">
              <w:rPr>
                <w:color w:val="000000"/>
                <w:lang w:val="en-GB"/>
              </w:rPr>
              <w:t>Integration of the existing KIG and connecting it with the single national interface;</w:t>
            </w:r>
          </w:p>
          <w:p w14:paraId="5A6D5A42" w14:textId="77777777" w:rsidR="00A77B3E" w:rsidRPr="00607BDE" w:rsidRDefault="00C401B9">
            <w:pPr>
              <w:numPr>
                <w:ilvl w:val="0"/>
                <w:numId w:val="5"/>
              </w:numPr>
              <w:spacing w:before="100"/>
              <w:rPr>
                <w:color w:val="000000"/>
                <w:lang w:val="en-GB"/>
              </w:rPr>
            </w:pPr>
            <w:r w:rsidRPr="00607BDE">
              <w:rPr>
                <w:color w:val="000000"/>
                <w:lang w:val="en-GB"/>
              </w:rPr>
              <w:t>SIS II recast - integration of biometric systems within the SIS with the common biometric matching service;</w:t>
            </w:r>
          </w:p>
          <w:p w14:paraId="302C8805" w14:textId="77777777" w:rsidR="00A77B3E" w:rsidRPr="00607BDE" w:rsidRDefault="00C401B9">
            <w:pPr>
              <w:numPr>
                <w:ilvl w:val="0"/>
                <w:numId w:val="5"/>
              </w:numPr>
              <w:spacing w:before="100"/>
              <w:rPr>
                <w:color w:val="000000"/>
                <w:lang w:val="en-GB"/>
              </w:rPr>
            </w:pPr>
            <w:r w:rsidRPr="00607BDE">
              <w:rPr>
                <w:color w:val="000000"/>
                <w:lang w:val="en-GB"/>
              </w:rPr>
              <w:t>Modernisation of the hardware and software infrastructure used by the Foreigners Department of the National Border Guard Headquarters (ZCU KGSG) in executing SIS recast tasks in the area of migration;</w:t>
            </w:r>
          </w:p>
          <w:p w14:paraId="376AECD4" w14:textId="77777777" w:rsidR="00A77B3E" w:rsidRPr="00607BDE" w:rsidRDefault="00C401B9">
            <w:pPr>
              <w:numPr>
                <w:ilvl w:val="0"/>
                <w:numId w:val="5"/>
              </w:numPr>
              <w:spacing w:before="100"/>
              <w:rPr>
                <w:color w:val="000000"/>
                <w:lang w:val="en-GB"/>
              </w:rPr>
            </w:pPr>
            <w:r w:rsidRPr="00607BDE">
              <w:rPr>
                <w:color w:val="000000"/>
                <w:lang w:val="en-GB"/>
              </w:rPr>
              <w:t>EURODAC recast in border management;</w:t>
            </w:r>
          </w:p>
          <w:p w14:paraId="1C0C3FA8" w14:textId="4197B7E2" w:rsidR="00A77B3E" w:rsidRPr="00607BDE" w:rsidRDefault="00C401B9">
            <w:pPr>
              <w:numPr>
                <w:ilvl w:val="0"/>
                <w:numId w:val="5"/>
              </w:numPr>
              <w:spacing w:before="100"/>
              <w:rPr>
                <w:color w:val="000000"/>
                <w:lang w:val="en-GB"/>
              </w:rPr>
            </w:pPr>
            <w:r w:rsidRPr="00607BDE">
              <w:rPr>
                <w:color w:val="000000"/>
                <w:lang w:val="en-GB"/>
              </w:rPr>
              <w:t>B</w:t>
            </w:r>
            <w:r w:rsidR="00462B18">
              <w:rPr>
                <w:color w:val="000000"/>
                <w:lang w:val="en-GB"/>
              </w:rPr>
              <w:t>u</w:t>
            </w:r>
            <w:r w:rsidRPr="00607BDE">
              <w:rPr>
                <w:color w:val="000000"/>
                <w:lang w:val="en-GB"/>
              </w:rPr>
              <w:t>ilding and implementing the new SWIMiK.</w:t>
            </w:r>
          </w:p>
          <w:p w14:paraId="1CF2E42E" w14:textId="77777777" w:rsidR="00A77B3E" w:rsidRPr="00607BDE" w:rsidRDefault="00A77B3E">
            <w:pPr>
              <w:spacing w:before="100"/>
              <w:rPr>
                <w:color w:val="000000"/>
                <w:lang w:val="en-GB"/>
              </w:rPr>
            </w:pPr>
          </w:p>
          <w:p w14:paraId="2D286B84" w14:textId="77777777" w:rsidR="00A77B3E" w:rsidRPr="00607BDE" w:rsidRDefault="00C401B9">
            <w:pPr>
              <w:spacing w:before="100"/>
              <w:rPr>
                <w:color w:val="000000"/>
                <w:lang w:val="en-GB"/>
              </w:rPr>
            </w:pPr>
            <w:r w:rsidRPr="00607BDE">
              <w:rPr>
                <w:color w:val="000000"/>
                <w:lang w:val="en-GB"/>
              </w:rPr>
              <w:t>The actions will involve purchases of servers, ICT hardware, data transmission equipment, storage devices, network traffic equipment and IT infrastructure.</w:t>
            </w:r>
          </w:p>
          <w:p w14:paraId="02B16047" w14:textId="77777777" w:rsidR="00A77B3E" w:rsidRPr="00607BDE" w:rsidRDefault="00A77B3E">
            <w:pPr>
              <w:spacing w:before="100"/>
              <w:rPr>
                <w:color w:val="000000"/>
                <w:lang w:val="en-GB"/>
              </w:rPr>
            </w:pPr>
          </w:p>
          <w:p w14:paraId="69C7358B" w14:textId="77777777" w:rsidR="00A77B3E" w:rsidRPr="00607BDE" w:rsidRDefault="00C401B9">
            <w:pPr>
              <w:spacing w:before="100"/>
              <w:rPr>
                <w:color w:val="000000"/>
                <w:lang w:val="en-GB"/>
              </w:rPr>
            </w:pPr>
            <w:r w:rsidRPr="00607BDE">
              <w:rPr>
                <w:i/>
                <w:iCs/>
                <w:color w:val="000000"/>
                <w:lang w:val="en-GB"/>
              </w:rPr>
              <w:t>Perimeter systems along land sections of the border, and training</w:t>
            </w:r>
          </w:p>
          <w:p w14:paraId="1A5E06B8" w14:textId="77777777" w:rsidR="00A77B3E" w:rsidRPr="00607BDE" w:rsidRDefault="00C401B9">
            <w:pPr>
              <w:spacing w:before="100"/>
              <w:rPr>
                <w:color w:val="000000"/>
                <w:lang w:val="en-GB"/>
              </w:rPr>
            </w:pPr>
            <w:r w:rsidRPr="00607BDE">
              <w:rPr>
                <w:color w:val="000000"/>
                <w:lang w:val="en-GB"/>
              </w:rPr>
              <w:t>Following the trials in 2018-2019 (an ISF 2014-2020 project), the BG decided to deploy perimeter systems that reduce the physical surveillance of the border and provide for detecting and identifying threats, gathering evidence and taking actions to identify and prevent cross-border crime. In line with the Schengen evaluation recommendations and vulnerability assessment, the Frontex system will integrate the existing technical means of border surveillance (opto-electronic systems on watch towers and mobile perimeter systems) as well as other technical means (portable surveillance units, portable thermal and night vision devices, motion-activated security cameras). A priority will be given to means which address the deficiencies signalled in the past, present and future Vulnerability assesments/Sch-Evals. The section completed covers 31 km of the border with UA. The BG has planned to expand it ultimately along border sections of ca. 400 km (RUS-BY-UA).</w:t>
            </w:r>
          </w:p>
          <w:p w14:paraId="24347692" w14:textId="77777777" w:rsidR="00A77B3E" w:rsidRPr="00607BDE" w:rsidRDefault="00A77B3E">
            <w:pPr>
              <w:spacing w:before="100"/>
              <w:rPr>
                <w:color w:val="000000"/>
                <w:lang w:val="en-GB"/>
              </w:rPr>
            </w:pPr>
          </w:p>
          <w:p w14:paraId="0BB57B96" w14:textId="77777777" w:rsidR="00A77B3E" w:rsidRPr="00607BDE" w:rsidRDefault="00C401B9">
            <w:pPr>
              <w:spacing w:before="100"/>
              <w:rPr>
                <w:color w:val="000000"/>
                <w:lang w:val="en-GB"/>
              </w:rPr>
            </w:pPr>
            <w:r w:rsidRPr="00607BDE">
              <w:rPr>
                <w:color w:val="000000"/>
                <w:lang w:val="en-GB"/>
              </w:rPr>
              <w:t xml:space="preserve">There is an imperative continuous professional development of SG officers in accordance with the Union </w:t>
            </w:r>
            <w:r w:rsidRPr="00607BDE">
              <w:rPr>
                <w:i/>
                <w:iCs/>
                <w:color w:val="000000"/>
                <w:lang w:val="en-GB"/>
              </w:rPr>
              <w:t xml:space="preserve">acquis </w:t>
            </w:r>
            <w:r w:rsidRPr="00607BDE">
              <w:rPr>
                <w:color w:val="000000"/>
                <w:lang w:val="en-GB"/>
              </w:rPr>
              <w:t>and national needs. Training will cover operation of European and national databases, use of modern tools which support border traffic controls, implementation and use of biometric technologies, and ensuring continued access to information. This will strengthen the BG capacity and security of the external EU borders, and counteracts the current threats.</w:t>
            </w:r>
          </w:p>
          <w:p w14:paraId="4C52D3FA" w14:textId="77777777" w:rsidR="00A77B3E" w:rsidRPr="00607BDE" w:rsidRDefault="00A77B3E">
            <w:pPr>
              <w:spacing w:before="100"/>
              <w:rPr>
                <w:color w:val="000000"/>
                <w:lang w:val="en-GB"/>
              </w:rPr>
            </w:pPr>
          </w:p>
          <w:p w14:paraId="209AF749" w14:textId="74763DA7" w:rsidR="00A77B3E" w:rsidRPr="00607BDE" w:rsidRDefault="00C401B9">
            <w:pPr>
              <w:spacing w:before="100"/>
              <w:rPr>
                <w:color w:val="000000"/>
                <w:lang w:val="en-GB"/>
              </w:rPr>
            </w:pPr>
            <w:r w:rsidRPr="00607BDE">
              <w:rPr>
                <w:b/>
                <w:bCs/>
                <w:color w:val="000000"/>
                <w:lang w:val="en-GB"/>
              </w:rPr>
              <w:t>The following actions are planned for the purpose of implement</w:t>
            </w:r>
            <w:r w:rsidR="00462B18">
              <w:rPr>
                <w:b/>
                <w:bCs/>
                <w:color w:val="000000"/>
                <w:lang w:val="en-GB"/>
              </w:rPr>
              <w:t>ation</w:t>
            </w:r>
            <w:r w:rsidRPr="00607BDE">
              <w:rPr>
                <w:b/>
                <w:bCs/>
                <w:color w:val="000000"/>
                <w:lang w:val="en-GB"/>
              </w:rPr>
              <w:t xml:space="preserve"> measure 1.d:</w:t>
            </w:r>
          </w:p>
          <w:p w14:paraId="740D80B6" w14:textId="77777777" w:rsidR="00A77B3E" w:rsidRPr="00607BDE" w:rsidRDefault="00C401B9">
            <w:pPr>
              <w:spacing w:before="100"/>
              <w:rPr>
                <w:color w:val="000000"/>
                <w:lang w:val="en-GB"/>
              </w:rPr>
            </w:pPr>
            <w:r w:rsidRPr="00607BDE">
              <w:rPr>
                <w:b/>
                <w:bCs/>
                <w:color w:val="000000"/>
                <w:lang w:val="en-GB"/>
              </w:rPr>
              <w:t>Scope of support 1.a:</w:t>
            </w:r>
          </w:p>
          <w:p w14:paraId="450FB41D" w14:textId="77777777" w:rsidR="00A77B3E" w:rsidRPr="00607BDE" w:rsidRDefault="00C401B9">
            <w:pPr>
              <w:numPr>
                <w:ilvl w:val="0"/>
                <w:numId w:val="6"/>
              </w:numPr>
              <w:spacing w:before="100"/>
              <w:rPr>
                <w:color w:val="000000"/>
                <w:lang w:val="en-GB"/>
              </w:rPr>
            </w:pPr>
            <w:r w:rsidRPr="00607BDE">
              <w:rPr>
                <w:color w:val="000000"/>
                <w:lang w:val="en-GB"/>
              </w:rPr>
              <w:t>Automated surveillance systems – building and expanding perimeter surveillance systems;</w:t>
            </w:r>
          </w:p>
          <w:p w14:paraId="067D88E4" w14:textId="77777777" w:rsidR="00A77B3E" w:rsidRPr="00607BDE" w:rsidRDefault="00C401B9">
            <w:pPr>
              <w:numPr>
                <w:ilvl w:val="0"/>
                <w:numId w:val="6"/>
              </w:numPr>
              <w:spacing w:before="100"/>
              <w:rPr>
                <w:color w:val="000000"/>
                <w:lang w:val="en-GB"/>
              </w:rPr>
            </w:pPr>
            <w:r w:rsidRPr="00607BDE">
              <w:rPr>
                <w:color w:val="000000"/>
                <w:lang w:val="en-GB"/>
              </w:rPr>
              <w:t>Automated protection systems – expanding opto-electronic and border surveillance systems;</w:t>
            </w:r>
          </w:p>
          <w:p w14:paraId="18F949D4" w14:textId="77777777" w:rsidR="00A77B3E" w:rsidRPr="00607BDE" w:rsidRDefault="00C401B9">
            <w:pPr>
              <w:spacing w:before="100"/>
              <w:rPr>
                <w:color w:val="000000"/>
                <w:lang w:val="en-GB"/>
              </w:rPr>
            </w:pPr>
            <w:r w:rsidRPr="00607BDE">
              <w:rPr>
                <w:b/>
                <w:bCs/>
                <w:color w:val="000000"/>
                <w:lang w:val="en-GB"/>
              </w:rPr>
              <w:t>Scope of support 1.c:</w:t>
            </w:r>
          </w:p>
          <w:p w14:paraId="2E9209EE" w14:textId="77777777" w:rsidR="00A77B3E" w:rsidRPr="00607BDE" w:rsidRDefault="00C401B9">
            <w:pPr>
              <w:numPr>
                <w:ilvl w:val="0"/>
                <w:numId w:val="7"/>
              </w:numPr>
              <w:spacing w:before="100"/>
              <w:rPr>
                <w:color w:val="000000"/>
                <w:lang w:val="en-GB"/>
              </w:rPr>
            </w:pPr>
            <w:r w:rsidRPr="00607BDE">
              <w:rPr>
                <w:color w:val="000000"/>
                <w:lang w:val="en-GB"/>
              </w:rPr>
              <w:t>Training aimed at increasing the officers' proficiency in:</w:t>
            </w:r>
          </w:p>
          <w:p w14:paraId="3393C6FA" w14:textId="77777777" w:rsidR="00A77B3E" w:rsidRPr="00607BDE" w:rsidRDefault="00C401B9">
            <w:pPr>
              <w:numPr>
                <w:ilvl w:val="1"/>
                <w:numId w:val="7"/>
              </w:numPr>
              <w:spacing w:before="100"/>
              <w:rPr>
                <w:color w:val="000000"/>
                <w:lang w:val="en-GB"/>
              </w:rPr>
            </w:pPr>
            <w:r w:rsidRPr="00607BDE">
              <w:rPr>
                <w:color w:val="000000"/>
                <w:lang w:val="en-GB"/>
              </w:rPr>
              <w:t xml:space="preserve">operation of optoelectronic, perimeter, surveillance, check and control devices, border traffic control and border surveillance, verification of authenticity of documents, forensic analysis, driving technique and command of foreign languages, identification of and </w:t>
            </w:r>
            <w:r w:rsidRPr="00607BDE">
              <w:rPr>
                <w:color w:val="000000"/>
                <w:lang w:val="en-GB"/>
              </w:rPr>
              <w:lastRenderedPageBreak/>
              <w:t>assistance to vulnerable persons with special needs, asylum law, non-refoulement guidelines, human trafficking and protection of children.</w:t>
            </w:r>
          </w:p>
          <w:p w14:paraId="474544A7" w14:textId="77777777" w:rsidR="00A77B3E" w:rsidRPr="00607BDE" w:rsidRDefault="00C401B9">
            <w:pPr>
              <w:numPr>
                <w:ilvl w:val="0"/>
                <w:numId w:val="7"/>
              </w:numPr>
              <w:spacing w:before="100"/>
              <w:rPr>
                <w:color w:val="000000"/>
                <w:lang w:val="en-GB"/>
              </w:rPr>
            </w:pPr>
            <w:r w:rsidRPr="00607BDE">
              <w:rPr>
                <w:color w:val="000000"/>
                <w:lang w:val="en-GB"/>
              </w:rPr>
              <w:t>Training and expansion of the training facilities for the purpose of integrated management of the external EU border:</w:t>
            </w:r>
          </w:p>
          <w:p w14:paraId="4767A0B8" w14:textId="77777777" w:rsidR="00A77B3E" w:rsidRPr="00607BDE" w:rsidRDefault="00C401B9">
            <w:pPr>
              <w:numPr>
                <w:ilvl w:val="1"/>
                <w:numId w:val="7"/>
              </w:numPr>
              <w:spacing w:before="100"/>
              <w:rPr>
                <w:color w:val="000000"/>
                <w:lang w:val="en-GB"/>
              </w:rPr>
            </w:pPr>
            <w:r w:rsidRPr="00607BDE">
              <w:rPr>
                <w:color w:val="000000"/>
                <w:lang w:val="en-GB"/>
              </w:rPr>
              <w:t>training of SG officers in traveller profiling during border checks/controls;</w:t>
            </w:r>
          </w:p>
          <w:p w14:paraId="6D8D9BD1" w14:textId="77777777" w:rsidR="00A77B3E" w:rsidRPr="00607BDE" w:rsidRDefault="00C401B9">
            <w:pPr>
              <w:numPr>
                <w:ilvl w:val="1"/>
                <w:numId w:val="7"/>
              </w:numPr>
              <w:spacing w:before="100"/>
              <w:rPr>
                <w:color w:val="000000"/>
                <w:lang w:val="en-GB"/>
              </w:rPr>
            </w:pPr>
            <w:r w:rsidRPr="00607BDE">
              <w:rPr>
                <w:color w:val="000000"/>
                <w:lang w:val="en-GB"/>
              </w:rPr>
              <w:t>increasing the national capacity in document fraud detection, with the participation of the EBCGA, CEPOL, Europol etc.;</w:t>
            </w:r>
          </w:p>
          <w:p w14:paraId="6C9F8D1F" w14:textId="77777777" w:rsidR="00A77B3E" w:rsidRPr="00607BDE" w:rsidRDefault="00C401B9">
            <w:pPr>
              <w:numPr>
                <w:ilvl w:val="1"/>
                <w:numId w:val="7"/>
              </w:numPr>
              <w:spacing w:before="100"/>
              <w:rPr>
                <w:color w:val="000000"/>
                <w:lang w:val="en-GB"/>
              </w:rPr>
            </w:pPr>
            <w:r w:rsidRPr="00607BDE">
              <w:rPr>
                <w:color w:val="000000"/>
                <w:lang w:val="en-GB"/>
              </w:rPr>
              <w:t>acquisition and training of sniffer dogs for the purpose of protecting the border, in areas where the technical surveillance system does not cover the entire section of the land border;</w:t>
            </w:r>
          </w:p>
          <w:p w14:paraId="3FF5C331" w14:textId="77777777" w:rsidR="00A77B3E" w:rsidRPr="00607BDE" w:rsidRDefault="00C401B9">
            <w:pPr>
              <w:numPr>
                <w:ilvl w:val="1"/>
                <w:numId w:val="7"/>
              </w:numPr>
              <w:spacing w:before="100"/>
              <w:rPr>
                <w:color w:val="000000"/>
                <w:lang w:val="en-GB"/>
              </w:rPr>
            </w:pPr>
            <w:r w:rsidRPr="00607BDE">
              <w:rPr>
                <w:color w:val="000000"/>
                <w:lang w:val="en-GB"/>
              </w:rPr>
              <w:t>increasing the number of interpreters to provide support in investigative activities related to migrant smuggling.</w:t>
            </w:r>
          </w:p>
          <w:p w14:paraId="524DFC0D" w14:textId="77777777" w:rsidR="00A77B3E" w:rsidRPr="00607BDE" w:rsidRDefault="00A77B3E">
            <w:pPr>
              <w:spacing w:before="100"/>
              <w:rPr>
                <w:color w:val="000000"/>
                <w:lang w:val="en-GB"/>
              </w:rPr>
            </w:pPr>
          </w:p>
          <w:p w14:paraId="14CB62FB" w14:textId="77777777" w:rsidR="00A77B3E" w:rsidRPr="00607BDE" w:rsidRDefault="00C401B9">
            <w:pPr>
              <w:spacing w:before="100"/>
              <w:rPr>
                <w:color w:val="000000"/>
                <w:lang w:val="en-GB"/>
              </w:rPr>
            </w:pPr>
            <w:r w:rsidRPr="00607BDE">
              <w:rPr>
                <w:color w:val="000000"/>
                <w:lang w:val="en-GB"/>
              </w:rPr>
              <w:t>It is not reasonable to include in the Programme any training for BG standing corps officers (Cat.2, Cat.3) in EBCG standing corps under Article 62(6) of the EBCG Regulation. These matters represent an integral element of training which covers all SG officers.</w:t>
            </w:r>
          </w:p>
          <w:p w14:paraId="59A0EC02" w14:textId="77777777" w:rsidR="00A77B3E" w:rsidRPr="00607BDE" w:rsidRDefault="00A77B3E">
            <w:pPr>
              <w:spacing w:before="100"/>
              <w:rPr>
                <w:color w:val="000000"/>
                <w:lang w:val="en-GB"/>
              </w:rPr>
            </w:pPr>
          </w:p>
          <w:p w14:paraId="0D8AE4BE" w14:textId="77777777" w:rsidR="00A77B3E" w:rsidRPr="00607BDE" w:rsidRDefault="00C401B9">
            <w:pPr>
              <w:spacing w:before="100"/>
              <w:rPr>
                <w:color w:val="000000"/>
                <w:lang w:val="en-GB"/>
              </w:rPr>
            </w:pPr>
            <w:r w:rsidRPr="00607BDE">
              <w:rPr>
                <w:color w:val="000000"/>
                <w:lang w:val="en-GB"/>
              </w:rPr>
              <w:t>In order to maintain and strengthen its operational capacity in accordance with the requirements arising from Regulation 2019/1896, the BG conducts annual updates of the National Expert Pool (KRE) referred to in Article 147 of the Border Guard Act and meant for secondment under Articles 56 and 57 of the aforementioned Regulation. Under the national legislation, secondments are based on the consent of the person concerned, so it is necessary to update the list, increasing the human resources capacity.</w:t>
            </w:r>
          </w:p>
          <w:p w14:paraId="24760299" w14:textId="77777777" w:rsidR="00A77B3E" w:rsidRPr="00607BDE" w:rsidRDefault="00A77B3E">
            <w:pPr>
              <w:spacing w:before="100"/>
              <w:rPr>
                <w:color w:val="000000"/>
                <w:lang w:val="en-GB"/>
              </w:rPr>
            </w:pPr>
          </w:p>
          <w:p w14:paraId="5E4E7C8D" w14:textId="77777777" w:rsidR="00A77B3E" w:rsidRPr="00607BDE" w:rsidRDefault="00C401B9">
            <w:pPr>
              <w:spacing w:before="100"/>
              <w:rPr>
                <w:color w:val="000000"/>
                <w:lang w:val="en-GB"/>
              </w:rPr>
            </w:pPr>
            <w:r w:rsidRPr="00607BDE">
              <w:rPr>
                <w:color w:val="000000"/>
                <w:lang w:val="en-GB"/>
              </w:rPr>
              <w:t>The BG will implement a programme of profiled training for members of the KRE. The initiative will be in line with Frontex support in the area of building the capacity of the EBCG standing corps in order to reduce the deficit of training projects in Member States by Frontex.</w:t>
            </w:r>
          </w:p>
          <w:p w14:paraId="040D0651" w14:textId="77777777" w:rsidR="00A77B3E" w:rsidRPr="00607BDE" w:rsidRDefault="00A77B3E">
            <w:pPr>
              <w:spacing w:before="100"/>
              <w:rPr>
                <w:color w:val="000000"/>
                <w:lang w:val="en-GB"/>
              </w:rPr>
            </w:pPr>
          </w:p>
          <w:p w14:paraId="02B803C8" w14:textId="77777777" w:rsidR="00A77B3E" w:rsidRPr="00607BDE" w:rsidRDefault="00C401B9">
            <w:pPr>
              <w:spacing w:before="100"/>
              <w:rPr>
                <w:color w:val="000000"/>
                <w:lang w:val="en-GB"/>
              </w:rPr>
            </w:pPr>
            <w:r w:rsidRPr="00607BDE">
              <w:rPr>
                <w:i/>
                <w:iCs/>
                <w:color w:val="000000"/>
                <w:lang w:val="en-GB"/>
              </w:rPr>
              <w:t>Development of the ZSRN on the maritime border and construction and expansion of the border infrastructure</w:t>
            </w:r>
          </w:p>
          <w:p w14:paraId="6875C587" w14:textId="77777777" w:rsidR="00A77B3E" w:rsidRPr="00607BDE" w:rsidRDefault="00C401B9">
            <w:pPr>
              <w:spacing w:before="100"/>
              <w:rPr>
                <w:color w:val="000000"/>
                <w:lang w:val="en-GB"/>
              </w:rPr>
            </w:pPr>
            <w:r w:rsidRPr="00607BDE">
              <w:rPr>
                <w:color w:val="000000"/>
                <w:lang w:val="en-GB"/>
              </w:rPr>
              <w:t xml:space="preserve">The BG operates the ZSRN to ensure surveillance of the maritime border. The ZSRN has detected breaches of regulations and attempts to breach the maritime border. The deployment of the ZSRN led to changes in the organisation of service with the use of BG vessels. At present, those vessels are deployed in interventions in maritime areas in response to events identified by the ZSRN. Schengen evaluations of the blue border have so far gave positive assessments of the implementation and operation of the ZSRN. The construction of the ZSRN was financed under </w:t>
            </w:r>
            <w:r w:rsidRPr="00607BDE">
              <w:rPr>
                <w:i/>
                <w:iCs/>
                <w:color w:val="000000"/>
                <w:lang w:val="en-GB"/>
              </w:rPr>
              <w:t xml:space="preserve">inter alia </w:t>
            </w:r>
            <w:r w:rsidRPr="00607BDE">
              <w:rPr>
                <w:color w:val="000000"/>
                <w:lang w:val="en-GB"/>
              </w:rPr>
              <w:t>PHARE 2001-2003. The pilot sector, covering two Surveillance Posts at the border with RUS, has been in service since 2005. The ZSRN was implemented in 2013. The worn-out condition of the ZSRN and its importance to the surveillance of the State border have led to the imperative to build a new ZSRN 2.0, which will bring an added value through maintaining an appropriately high level of surveillance of the maritime border (including with RUS).</w:t>
            </w:r>
          </w:p>
          <w:p w14:paraId="0927BCE4" w14:textId="77777777" w:rsidR="00A77B3E" w:rsidRPr="00607BDE" w:rsidRDefault="00A77B3E">
            <w:pPr>
              <w:spacing w:before="100"/>
              <w:rPr>
                <w:color w:val="000000"/>
                <w:lang w:val="en-GB"/>
              </w:rPr>
            </w:pPr>
          </w:p>
          <w:p w14:paraId="54863013" w14:textId="77777777" w:rsidR="00A77B3E" w:rsidRPr="00607BDE" w:rsidRDefault="00C401B9">
            <w:pPr>
              <w:spacing w:before="100"/>
              <w:rPr>
                <w:color w:val="000000"/>
                <w:lang w:val="en-GB"/>
              </w:rPr>
            </w:pPr>
            <w:r w:rsidRPr="00607BDE">
              <w:rPr>
                <w:color w:val="000000"/>
                <w:lang w:val="en-GB"/>
              </w:rPr>
              <w:t>225 km of technical surveillance will be built along the water border with BY (SA BMVI) and 157 km along the external EU border. The investments will cover: building technical surveillance along 382 km between border crossing points, IT and electrical infrastructure, and modernising the premises which house the surveillance centres.</w:t>
            </w:r>
          </w:p>
          <w:p w14:paraId="3AEF1A0D" w14:textId="77777777" w:rsidR="00A77B3E" w:rsidRPr="00607BDE" w:rsidRDefault="00A77B3E">
            <w:pPr>
              <w:spacing w:before="100"/>
              <w:rPr>
                <w:color w:val="000000"/>
                <w:lang w:val="en-GB"/>
              </w:rPr>
            </w:pPr>
          </w:p>
          <w:p w14:paraId="01C733B4" w14:textId="77777777" w:rsidR="00A77B3E" w:rsidRPr="00607BDE" w:rsidRDefault="00C401B9">
            <w:pPr>
              <w:spacing w:before="100"/>
              <w:rPr>
                <w:color w:val="000000"/>
                <w:lang w:val="en-GB"/>
              </w:rPr>
            </w:pPr>
            <w:r w:rsidRPr="00607BDE">
              <w:rPr>
                <w:color w:val="000000"/>
                <w:lang w:val="en-GB"/>
              </w:rPr>
              <w:lastRenderedPageBreak/>
              <w:t>Work is under way to improve the throughput capacity of border crossing points managed by Voivodes (including by means of building new border crossing points). The scope of work depends on the funding (national and foreign).</w:t>
            </w:r>
          </w:p>
          <w:p w14:paraId="52171EBC" w14:textId="77777777" w:rsidR="00A77B3E" w:rsidRPr="00607BDE" w:rsidRDefault="00A77B3E">
            <w:pPr>
              <w:spacing w:before="100"/>
              <w:rPr>
                <w:color w:val="000000"/>
                <w:lang w:val="en-GB"/>
              </w:rPr>
            </w:pPr>
          </w:p>
          <w:p w14:paraId="5C0301CB" w14:textId="77777777" w:rsidR="00A77B3E" w:rsidRPr="00607BDE" w:rsidRDefault="00C401B9">
            <w:pPr>
              <w:spacing w:before="100"/>
              <w:rPr>
                <w:color w:val="000000"/>
                <w:lang w:val="en-GB"/>
              </w:rPr>
            </w:pPr>
            <w:r w:rsidRPr="00607BDE">
              <w:rPr>
                <w:color w:val="000000"/>
                <w:lang w:val="en-GB"/>
              </w:rPr>
              <w:t>Within the framework of digitalisation of travel documents, pilot are being carried out regarding electronic documents which will replace traditional media. The move to electronic documents will entail the necessity to equip the BG with reading and verification devices and software.</w:t>
            </w:r>
          </w:p>
          <w:p w14:paraId="7A689E03" w14:textId="77777777" w:rsidR="00A77B3E" w:rsidRPr="00607BDE" w:rsidRDefault="00A77B3E">
            <w:pPr>
              <w:spacing w:before="100"/>
              <w:rPr>
                <w:color w:val="000000"/>
                <w:lang w:val="en-GB"/>
              </w:rPr>
            </w:pPr>
          </w:p>
          <w:p w14:paraId="1A82CE0E" w14:textId="772826BA" w:rsidR="00A77B3E" w:rsidRPr="00607BDE" w:rsidRDefault="00C401B9">
            <w:pPr>
              <w:spacing w:before="100"/>
              <w:rPr>
                <w:color w:val="000000"/>
                <w:lang w:val="en-GB"/>
              </w:rPr>
            </w:pPr>
            <w:r w:rsidRPr="00607BDE">
              <w:rPr>
                <w:b/>
                <w:bCs/>
                <w:color w:val="000000"/>
                <w:lang w:val="en-GB"/>
              </w:rPr>
              <w:t>The following actions planned for the purpose of implement</w:t>
            </w:r>
            <w:r w:rsidR="00462B18">
              <w:rPr>
                <w:b/>
                <w:bCs/>
                <w:color w:val="000000"/>
                <w:lang w:val="en-GB"/>
              </w:rPr>
              <w:t>ation</w:t>
            </w:r>
            <w:r w:rsidRPr="00607BDE">
              <w:rPr>
                <w:b/>
                <w:bCs/>
                <w:color w:val="000000"/>
                <w:lang w:val="en-GB"/>
              </w:rPr>
              <w:t xml:space="preserve"> measure 1.a.i and the scope of support 1.b:</w:t>
            </w:r>
          </w:p>
          <w:p w14:paraId="2727B765" w14:textId="77777777" w:rsidR="00A77B3E" w:rsidRPr="00607BDE" w:rsidRDefault="00C401B9">
            <w:pPr>
              <w:numPr>
                <w:ilvl w:val="0"/>
                <w:numId w:val="8"/>
              </w:numPr>
              <w:spacing w:before="100"/>
              <w:rPr>
                <w:color w:val="000000"/>
                <w:lang w:val="en-GB"/>
              </w:rPr>
            </w:pPr>
            <w:r w:rsidRPr="00607BDE">
              <w:rPr>
                <w:color w:val="000000"/>
                <w:lang w:val="en-GB"/>
              </w:rPr>
              <w:t>Automated surveillance systems–construction and expansion of the ZSRN in Polish maritime areas;</w:t>
            </w:r>
          </w:p>
          <w:p w14:paraId="39B35C08" w14:textId="77777777" w:rsidR="00A77B3E" w:rsidRPr="00607BDE" w:rsidRDefault="00C401B9">
            <w:pPr>
              <w:numPr>
                <w:ilvl w:val="0"/>
                <w:numId w:val="8"/>
              </w:numPr>
              <w:spacing w:before="100"/>
              <w:rPr>
                <w:color w:val="000000"/>
                <w:lang w:val="en-GB"/>
              </w:rPr>
            </w:pPr>
            <w:r w:rsidRPr="00607BDE">
              <w:rPr>
                <w:color w:val="000000"/>
                <w:lang w:val="en-GB"/>
              </w:rPr>
              <w:t xml:space="preserve">Construction and expansion of the infrastructure and buildings at border crossing points and for the purpose of border surveillance between border crossing points, </w:t>
            </w:r>
            <w:r w:rsidRPr="00607BDE">
              <w:rPr>
                <w:color w:val="000000"/>
                <w:u w:val="single"/>
                <w:lang w:val="en-GB"/>
              </w:rPr>
              <w:t>which are not a physical barrier</w:t>
            </w:r>
            <w:r w:rsidRPr="00607BDE">
              <w:rPr>
                <w:color w:val="000000"/>
                <w:lang w:val="en-GB"/>
              </w:rPr>
              <w:t>;</w:t>
            </w:r>
          </w:p>
          <w:p w14:paraId="30DE7D8B" w14:textId="77777777" w:rsidR="00A77B3E" w:rsidRPr="00607BDE" w:rsidRDefault="00C401B9">
            <w:pPr>
              <w:numPr>
                <w:ilvl w:val="0"/>
                <w:numId w:val="8"/>
              </w:numPr>
              <w:spacing w:before="100"/>
              <w:rPr>
                <w:color w:val="000000"/>
                <w:lang w:val="en-GB"/>
              </w:rPr>
            </w:pPr>
            <w:r w:rsidRPr="00607BDE">
              <w:rPr>
                <w:color w:val="000000"/>
                <w:lang w:val="en-GB"/>
              </w:rPr>
              <w:t>Equipping with mobile devices or proximity readers (in the case of desktop computers) for reading and verifying electronic documents;</w:t>
            </w:r>
          </w:p>
          <w:p w14:paraId="628300C8" w14:textId="77777777" w:rsidR="00A77B3E" w:rsidRPr="00607BDE" w:rsidRDefault="00C401B9">
            <w:pPr>
              <w:numPr>
                <w:ilvl w:val="0"/>
                <w:numId w:val="8"/>
              </w:numPr>
              <w:spacing w:before="100"/>
              <w:rPr>
                <w:color w:val="000000"/>
                <w:lang w:val="en-GB"/>
              </w:rPr>
            </w:pPr>
            <w:r w:rsidRPr="00607BDE">
              <w:rPr>
                <w:color w:val="000000"/>
                <w:lang w:val="en-GB"/>
              </w:rPr>
              <w:t>Acquisition of software for reading electronic documents.</w:t>
            </w:r>
          </w:p>
          <w:p w14:paraId="56C1D6D7" w14:textId="77777777" w:rsidR="00A77B3E" w:rsidRPr="00607BDE" w:rsidRDefault="00A77B3E">
            <w:pPr>
              <w:spacing w:before="100"/>
              <w:rPr>
                <w:color w:val="000000"/>
                <w:lang w:val="en-GB"/>
              </w:rPr>
            </w:pPr>
          </w:p>
          <w:p w14:paraId="655BDC4E" w14:textId="77777777" w:rsidR="00A77B3E" w:rsidRPr="00607BDE" w:rsidRDefault="00C401B9">
            <w:pPr>
              <w:spacing w:before="100"/>
              <w:rPr>
                <w:color w:val="000000"/>
                <w:lang w:val="en-GB"/>
              </w:rPr>
            </w:pPr>
            <w:r w:rsidRPr="00607BDE">
              <w:rPr>
                <w:i/>
                <w:iCs/>
                <w:color w:val="000000"/>
                <w:lang w:val="en-GB"/>
              </w:rPr>
              <w:t>Inter-agency cooperation and EUROSUR</w:t>
            </w:r>
          </w:p>
          <w:p w14:paraId="101F9340" w14:textId="77777777" w:rsidR="00A77B3E" w:rsidRPr="00607BDE" w:rsidRDefault="00C401B9">
            <w:pPr>
              <w:spacing w:before="100"/>
              <w:rPr>
                <w:color w:val="000000"/>
                <w:lang w:val="en-GB"/>
              </w:rPr>
            </w:pPr>
            <w:r w:rsidRPr="00607BDE">
              <w:rPr>
                <w:color w:val="000000"/>
                <w:lang w:val="en-GB"/>
              </w:rPr>
              <w:t>Inter-agency cooperation will encompass the EU level. The BG capacity to cooperate with law enforcement agencies in cases of migrant smuggling and information gathering will be increased, which will ensure streamlined checks at border crossing points as well as continuous and broad pre-border surveillance. In the context of development of various types of threats which present new challenges, the BG operates CIRAM to acquire information in order to reduce and minimise the risks and ensure efficiency of actions taken through targeting those actions. Planning and execution of border control tasks are based on risk analysis conclusions. The BG prepares products in accordance with CIRAM.</w:t>
            </w:r>
          </w:p>
          <w:p w14:paraId="2660BBD8" w14:textId="77777777" w:rsidR="00A77B3E" w:rsidRPr="00607BDE" w:rsidRDefault="00A77B3E">
            <w:pPr>
              <w:spacing w:before="100"/>
              <w:rPr>
                <w:color w:val="000000"/>
                <w:lang w:val="en-GB"/>
              </w:rPr>
            </w:pPr>
          </w:p>
          <w:p w14:paraId="68130CC8" w14:textId="77777777" w:rsidR="00A77B3E" w:rsidRPr="00607BDE" w:rsidRDefault="00C401B9">
            <w:pPr>
              <w:spacing w:before="100"/>
              <w:rPr>
                <w:color w:val="000000"/>
                <w:lang w:val="en-GB"/>
              </w:rPr>
            </w:pPr>
            <w:r w:rsidRPr="00607BDE">
              <w:rPr>
                <w:color w:val="000000"/>
                <w:lang w:val="en-GB"/>
              </w:rPr>
              <w:t>Inter-agency cooperation projects will address challenges related to identification of persons and interoperability of large-scale systems with national systems and BG databases. They will increase the national capacity in detecting document fraud. Within the framework of the 2014-2020, the BG is carrying out projects aimed to equip the KRG for the EES purposes by purchasing devices which allow for biometric registration and meeting the requirements of Regulation (EU) 2018/1861. The SG equipment must be supplemented with the relevant solutions.</w:t>
            </w:r>
          </w:p>
          <w:p w14:paraId="3DDE4127" w14:textId="77777777" w:rsidR="00A77B3E" w:rsidRPr="00607BDE" w:rsidRDefault="00A77B3E">
            <w:pPr>
              <w:spacing w:before="100"/>
              <w:rPr>
                <w:color w:val="000000"/>
                <w:lang w:val="en-GB"/>
              </w:rPr>
            </w:pPr>
          </w:p>
          <w:p w14:paraId="12764F9C" w14:textId="77777777" w:rsidR="00A77B3E" w:rsidRPr="00607BDE" w:rsidRDefault="00C401B9">
            <w:pPr>
              <w:spacing w:before="100"/>
              <w:rPr>
                <w:color w:val="000000"/>
                <w:lang w:val="en-GB"/>
              </w:rPr>
            </w:pPr>
            <w:r w:rsidRPr="00607BDE">
              <w:rPr>
                <w:color w:val="000000"/>
                <w:lang w:val="en-GB"/>
              </w:rPr>
              <w:t xml:space="preserve">Designating, operating and maintaining a 24/7 national coordination centre (KOK) within the EUROSUR is a challange according to Regulation (EU) 2019/1896. The Commander-in-Chief of the Border Guard is in responsible for tasks of the national coordination centre. KOK tasks are carried out by units of the National Border Guard Headquarters within their respective remits, and coordinated by the Analytical and Situation Bureau of the National Border Guard Headquarters (BAS KGSG). KOK tasks on the maritime border are carried out by the Maritime Unit of the Border Guard. Since the KOK operates continuously, the National Contact Point of the National Coordination Centre (KPK KOK) for EUROSUR was established within the BAS KGSG and duty hours set (at present, 7 officers serve in the shift system). The KPK's task is to cooperate with national coordination centres in other EU Member States, ensuring a 24/7 flow of information on illegal migration and cross-border crime. The KPK reports to EUROSUR in accordance with Regulation (EU) 2019/1896 and Implementing Regulation (EU) 2021/581. Reporting is based on the BG reporting systems (databases) via EUROSUR apps provided and </w:t>
            </w:r>
            <w:r w:rsidRPr="00607BDE">
              <w:rPr>
                <w:color w:val="000000"/>
                <w:lang w:val="en-GB"/>
              </w:rPr>
              <w:lastRenderedPageBreak/>
              <w:t>administered by Frontex. Cooperation with the National Revenue Administration (KAS) is aimed to train KAS representatives in Frontex tools.</w:t>
            </w:r>
          </w:p>
          <w:p w14:paraId="5FD8D05D" w14:textId="77777777" w:rsidR="00A77B3E" w:rsidRPr="00607BDE" w:rsidRDefault="00A77B3E">
            <w:pPr>
              <w:spacing w:before="100"/>
              <w:rPr>
                <w:color w:val="000000"/>
                <w:lang w:val="en-GB"/>
              </w:rPr>
            </w:pPr>
          </w:p>
          <w:p w14:paraId="1BBE5E92" w14:textId="77777777" w:rsidR="00A77B3E" w:rsidRPr="00607BDE" w:rsidRDefault="00C401B9">
            <w:pPr>
              <w:spacing w:before="100"/>
              <w:rPr>
                <w:color w:val="000000"/>
                <w:lang w:val="en-GB"/>
              </w:rPr>
            </w:pPr>
            <w:r w:rsidRPr="00607BDE">
              <w:rPr>
                <w:color w:val="000000"/>
                <w:lang w:val="en-GB"/>
              </w:rPr>
              <w:t>To ensure access to EUROSUR at operational level, access stations are installed at BG units on the external border. Such stations are operated in the Maritime Unit of the Border Guard and the Bieszczady Unit of the Border Guard (the border with UA). The stations have access to classified information. It is planned to organise training for users. The evolution of software and IT infrastructure entails the necessity to take actions to meet the new standards of communication within EUROSUR.</w:t>
            </w:r>
          </w:p>
          <w:p w14:paraId="713ED842" w14:textId="77777777" w:rsidR="00A77B3E" w:rsidRPr="00607BDE" w:rsidRDefault="00A77B3E">
            <w:pPr>
              <w:spacing w:before="100"/>
              <w:rPr>
                <w:color w:val="000000"/>
                <w:lang w:val="en-GB"/>
              </w:rPr>
            </w:pPr>
          </w:p>
          <w:p w14:paraId="12FB5849" w14:textId="77777777" w:rsidR="00A77B3E" w:rsidRPr="00607BDE" w:rsidRDefault="00C401B9">
            <w:pPr>
              <w:spacing w:before="100"/>
              <w:rPr>
                <w:color w:val="000000"/>
                <w:lang w:val="en-GB"/>
              </w:rPr>
            </w:pPr>
            <w:r w:rsidRPr="00607BDE">
              <w:rPr>
                <w:color w:val="000000"/>
                <w:lang w:val="en-GB"/>
              </w:rPr>
              <w:t>As regards confidentiality of information exchanged with/transmitted to EUROSUR, the reporting workstations have the status of classified workstations with security documentation approved by the ABW (up to the RESTREINT EU/ EU RESTRICTED level). Every user has the required security clearance regarding protection of classified information and has been familiarised with the provisions of the said security documentation regarding the operation of the workstation. All users have also been trained in using, protecting and applying means of workstation security.</w:t>
            </w:r>
          </w:p>
          <w:p w14:paraId="4F76A92F" w14:textId="77777777" w:rsidR="00A77B3E" w:rsidRPr="00607BDE" w:rsidRDefault="00A77B3E">
            <w:pPr>
              <w:spacing w:before="100"/>
              <w:rPr>
                <w:color w:val="000000"/>
                <w:lang w:val="en-GB"/>
              </w:rPr>
            </w:pPr>
          </w:p>
          <w:p w14:paraId="1645408D" w14:textId="5A629F89" w:rsidR="00A77B3E" w:rsidRPr="00607BDE" w:rsidRDefault="00C401B9">
            <w:pPr>
              <w:spacing w:before="100"/>
              <w:rPr>
                <w:color w:val="000000"/>
                <w:lang w:val="en-GB"/>
              </w:rPr>
            </w:pPr>
            <w:r w:rsidRPr="00607BDE">
              <w:rPr>
                <w:b/>
                <w:bCs/>
                <w:color w:val="000000"/>
                <w:lang w:val="en-GB"/>
              </w:rPr>
              <w:t>The following actions planned for the purpose of implement</w:t>
            </w:r>
            <w:r w:rsidR="00462B18">
              <w:rPr>
                <w:b/>
                <w:bCs/>
                <w:color w:val="000000"/>
                <w:lang w:val="en-GB"/>
              </w:rPr>
              <w:t>ation</w:t>
            </w:r>
            <w:r w:rsidRPr="00607BDE">
              <w:rPr>
                <w:b/>
                <w:bCs/>
                <w:color w:val="000000"/>
                <w:lang w:val="en-GB"/>
              </w:rPr>
              <w:t xml:space="preserve"> measure 1.a.i and the scope of support 1.i:</w:t>
            </w:r>
          </w:p>
          <w:p w14:paraId="79CA17D8" w14:textId="77777777" w:rsidR="00A77B3E" w:rsidRPr="00607BDE" w:rsidRDefault="00C401B9">
            <w:pPr>
              <w:numPr>
                <w:ilvl w:val="0"/>
                <w:numId w:val="9"/>
              </w:numPr>
              <w:spacing w:before="100"/>
              <w:rPr>
                <w:color w:val="000000"/>
                <w:lang w:val="en-GB"/>
              </w:rPr>
            </w:pPr>
            <w:r w:rsidRPr="00607BDE">
              <w:rPr>
                <w:color w:val="000000"/>
                <w:lang w:val="en-GB"/>
              </w:rPr>
              <w:t>Modernisation of the AFIS;</w:t>
            </w:r>
          </w:p>
          <w:p w14:paraId="5901A344" w14:textId="77777777" w:rsidR="00A77B3E" w:rsidRPr="00607BDE" w:rsidRDefault="00C401B9">
            <w:pPr>
              <w:numPr>
                <w:ilvl w:val="0"/>
                <w:numId w:val="9"/>
              </w:numPr>
              <w:spacing w:before="100"/>
              <w:rPr>
                <w:color w:val="000000"/>
                <w:lang w:val="en-GB"/>
              </w:rPr>
            </w:pPr>
            <w:r w:rsidRPr="00607BDE">
              <w:rPr>
                <w:color w:val="000000"/>
                <w:lang w:val="en-GB"/>
              </w:rPr>
              <w:t>Modernisation of the ABIS, for the purpose of identifying persons on the basis of facial images recorded in the SIS.</w:t>
            </w:r>
          </w:p>
          <w:p w14:paraId="2EE153D3" w14:textId="148F2F40" w:rsidR="00A77B3E" w:rsidRPr="00607BDE" w:rsidRDefault="00C401B9">
            <w:pPr>
              <w:spacing w:before="100"/>
              <w:rPr>
                <w:color w:val="000000"/>
                <w:lang w:val="en-GB"/>
              </w:rPr>
            </w:pPr>
            <w:r w:rsidRPr="00607BDE">
              <w:rPr>
                <w:b/>
                <w:bCs/>
                <w:color w:val="000000"/>
                <w:lang w:val="en-GB"/>
              </w:rPr>
              <w:t>The following actions planned for the purpose of implement</w:t>
            </w:r>
            <w:r w:rsidR="00462B18">
              <w:rPr>
                <w:b/>
                <w:bCs/>
                <w:color w:val="000000"/>
                <w:lang w:val="en-GB"/>
              </w:rPr>
              <w:t>ation</w:t>
            </w:r>
            <w:r w:rsidRPr="00607BDE">
              <w:rPr>
                <w:b/>
                <w:bCs/>
                <w:color w:val="000000"/>
                <w:lang w:val="en-GB"/>
              </w:rPr>
              <w:t xml:space="preserve"> measure 1.e and the scope of support 3.i:</w:t>
            </w:r>
          </w:p>
          <w:p w14:paraId="1559A39E" w14:textId="77777777" w:rsidR="00A77B3E" w:rsidRPr="00607BDE" w:rsidRDefault="00C401B9">
            <w:pPr>
              <w:numPr>
                <w:ilvl w:val="0"/>
                <w:numId w:val="10"/>
              </w:numPr>
              <w:spacing w:before="100"/>
              <w:rPr>
                <w:color w:val="000000"/>
                <w:lang w:val="en-GB"/>
              </w:rPr>
            </w:pPr>
            <w:r w:rsidRPr="00607BDE">
              <w:rPr>
                <w:color w:val="000000"/>
                <w:lang w:val="en-GB"/>
              </w:rPr>
              <w:t>Design and development of the following technical elements: a European search portal, a common biometric matching system, a common ID repository, a multiple ID detector, ensured interoperability between all large-scale EU information systems in service with national domain systems and databases used by the BG;</w:t>
            </w:r>
          </w:p>
          <w:p w14:paraId="2AE68F55" w14:textId="541473FB" w:rsidR="00A77B3E" w:rsidRPr="00607BDE" w:rsidRDefault="00C401B9">
            <w:pPr>
              <w:spacing w:before="100"/>
              <w:rPr>
                <w:color w:val="000000"/>
                <w:lang w:val="en-GB"/>
              </w:rPr>
            </w:pPr>
            <w:r w:rsidRPr="00607BDE">
              <w:rPr>
                <w:b/>
                <w:bCs/>
                <w:color w:val="000000"/>
                <w:lang w:val="en-GB"/>
              </w:rPr>
              <w:t>The following actions planned for the purpose of implement</w:t>
            </w:r>
            <w:r w:rsidR="00462B18">
              <w:rPr>
                <w:b/>
                <w:bCs/>
                <w:color w:val="000000"/>
                <w:lang w:val="en-GB"/>
              </w:rPr>
              <w:t>ation</w:t>
            </w:r>
            <w:r w:rsidRPr="00607BDE">
              <w:rPr>
                <w:b/>
                <w:bCs/>
                <w:color w:val="000000"/>
                <w:lang w:val="en-GB"/>
              </w:rPr>
              <w:t xml:space="preserve"> measure 1.c and the scope of support 1.i:</w:t>
            </w:r>
          </w:p>
          <w:p w14:paraId="6A158CCA" w14:textId="77777777" w:rsidR="00A77B3E" w:rsidRPr="00607BDE" w:rsidRDefault="00C401B9">
            <w:pPr>
              <w:numPr>
                <w:ilvl w:val="0"/>
                <w:numId w:val="11"/>
              </w:numPr>
              <w:spacing w:before="100"/>
              <w:rPr>
                <w:color w:val="000000"/>
                <w:lang w:val="en-GB"/>
              </w:rPr>
            </w:pPr>
            <w:r w:rsidRPr="00607BDE">
              <w:rPr>
                <w:color w:val="000000"/>
                <w:lang w:val="en-GB"/>
              </w:rPr>
              <w:t>Increasing the national capacity in the area of document fraud detection, with the participation of the EBCG, CEPOL, Europol etc., including investments in equipping border crossing points with devices for checking biometric fingerprint data encoded in electronic travel documents;</w:t>
            </w:r>
          </w:p>
          <w:p w14:paraId="57C70436" w14:textId="2FB233D5" w:rsidR="00A77B3E" w:rsidRPr="00607BDE" w:rsidRDefault="00C401B9">
            <w:pPr>
              <w:spacing w:before="100"/>
              <w:rPr>
                <w:color w:val="000000"/>
                <w:lang w:val="en-GB"/>
              </w:rPr>
            </w:pPr>
            <w:r w:rsidRPr="00607BDE">
              <w:rPr>
                <w:b/>
                <w:bCs/>
                <w:color w:val="000000"/>
                <w:lang w:val="en-GB"/>
              </w:rPr>
              <w:t>The following actions planned for the purpose of implement</w:t>
            </w:r>
            <w:r w:rsidR="00462B18">
              <w:rPr>
                <w:b/>
                <w:bCs/>
                <w:color w:val="000000"/>
                <w:lang w:val="en-GB"/>
              </w:rPr>
              <w:t>ation</w:t>
            </w:r>
            <w:r w:rsidRPr="00607BDE">
              <w:rPr>
                <w:b/>
                <w:bCs/>
                <w:color w:val="000000"/>
                <w:lang w:val="en-GB"/>
              </w:rPr>
              <w:t xml:space="preserve"> measure 1.c and the scope of support 1.g:</w:t>
            </w:r>
          </w:p>
          <w:p w14:paraId="08F97BDD" w14:textId="77777777" w:rsidR="00A77B3E" w:rsidRPr="00607BDE" w:rsidRDefault="00C401B9">
            <w:pPr>
              <w:numPr>
                <w:ilvl w:val="0"/>
                <w:numId w:val="12"/>
              </w:numPr>
              <w:spacing w:before="100"/>
              <w:rPr>
                <w:color w:val="000000"/>
                <w:lang w:val="en-GB"/>
              </w:rPr>
            </w:pPr>
            <w:r w:rsidRPr="00607BDE">
              <w:rPr>
                <w:color w:val="000000"/>
                <w:lang w:val="en-GB"/>
              </w:rPr>
              <w:t>Ensuring the functioning of the national coordination centre in the 24/7 system (recruitment to fill the vacancies if required, internal training);</w:t>
            </w:r>
          </w:p>
          <w:p w14:paraId="66118481" w14:textId="77777777" w:rsidR="00A77B3E" w:rsidRPr="00607BDE" w:rsidRDefault="00C401B9">
            <w:pPr>
              <w:numPr>
                <w:ilvl w:val="0"/>
                <w:numId w:val="12"/>
              </w:numPr>
              <w:spacing w:before="100"/>
              <w:rPr>
                <w:color w:val="000000"/>
                <w:lang w:val="en-GB"/>
              </w:rPr>
            </w:pPr>
            <w:r w:rsidRPr="00607BDE">
              <w:rPr>
                <w:color w:val="000000"/>
                <w:lang w:val="en-GB"/>
              </w:rPr>
              <w:t>Reporting events subject to reporting under Regulations 2019/1896 and 2021/58;</w:t>
            </w:r>
          </w:p>
          <w:p w14:paraId="4915440C" w14:textId="77777777" w:rsidR="00A77B3E" w:rsidRPr="00607BDE" w:rsidRDefault="00C401B9">
            <w:pPr>
              <w:numPr>
                <w:ilvl w:val="0"/>
                <w:numId w:val="12"/>
              </w:numPr>
              <w:spacing w:before="100"/>
              <w:rPr>
                <w:color w:val="000000"/>
                <w:lang w:val="en-GB"/>
              </w:rPr>
            </w:pPr>
            <w:r w:rsidRPr="00607BDE">
              <w:rPr>
                <w:color w:val="000000"/>
                <w:lang w:val="en-GB"/>
              </w:rPr>
              <w:t>Conducting actions, in cooperation with Frontex, aimed to automate the process of reporting data from the BG ICT systems directly to the EUROSUR app;</w:t>
            </w:r>
          </w:p>
          <w:p w14:paraId="4FE04B83" w14:textId="77777777" w:rsidR="00A77B3E" w:rsidRPr="00607BDE" w:rsidRDefault="00C401B9">
            <w:pPr>
              <w:numPr>
                <w:ilvl w:val="0"/>
                <w:numId w:val="12"/>
              </w:numPr>
              <w:spacing w:before="100"/>
              <w:rPr>
                <w:color w:val="000000"/>
                <w:lang w:val="en-GB"/>
              </w:rPr>
            </w:pPr>
            <w:r w:rsidRPr="00607BDE">
              <w:rPr>
                <w:color w:val="000000"/>
                <w:lang w:val="en-GB"/>
              </w:rPr>
              <w:t>Use of combined EUROSUR services, referred to in Article 28 of Regulation 2019/1896 on the EBCG and repealing Regulations 1052/2013 and 2016/1624;</w:t>
            </w:r>
          </w:p>
          <w:p w14:paraId="6ABDC18B" w14:textId="77777777" w:rsidR="00A77B3E" w:rsidRPr="00607BDE" w:rsidRDefault="00C401B9">
            <w:pPr>
              <w:numPr>
                <w:ilvl w:val="0"/>
                <w:numId w:val="12"/>
              </w:numPr>
              <w:spacing w:before="100"/>
              <w:rPr>
                <w:color w:val="000000"/>
                <w:lang w:val="en-GB"/>
              </w:rPr>
            </w:pPr>
            <w:r w:rsidRPr="00607BDE">
              <w:rPr>
                <w:color w:val="000000"/>
                <w:lang w:val="en-GB"/>
              </w:rPr>
              <w:t>Including BG units into the EUROSUR area (first access to information, then participation in reporting).</w:t>
            </w:r>
          </w:p>
          <w:p w14:paraId="0CB6F35A" w14:textId="77777777" w:rsidR="00A77B3E" w:rsidRPr="00607BDE" w:rsidRDefault="00A77B3E">
            <w:pPr>
              <w:spacing w:before="100"/>
              <w:rPr>
                <w:color w:val="000000"/>
                <w:lang w:val="en-GB"/>
              </w:rPr>
            </w:pPr>
          </w:p>
          <w:p w14:paraId="61A26EDA" w14:textId="77777777" w:rsidR="00A77B3E" w:rsidRPr="00607BDE" w:rsidRDefault="00C401B9">
            <w:pPr>
              <w:spacing w:before="100"/>
              <w:rPr>
                <w:color w:val="000000"/>
                <w:lang w:val="en-GB"/>
              </w:rPr>
            </w:pPr>
            <w:r w:rsidRPr="00607BDE">
              <w:rPr>
                <w:i/>
                <w:iCs/>
                <w:color w:val="000000"/>
                <w:lang w:val="en-GB"/>
              </w:rPr>
              <w:t>Land assets</w:t>
            </w:r>
          </w:p>
          <w:p w14:paraId="2F839303" w14:textId="77777777" w:rsidR="00A77B3E" w:rsidRPr="00607BDE" w:rsidRDefault="00C401B9">
            <w:pPr>
              <w:spacing w:before="100"/>
              <w:rPr>
                <w:color w:val="000000"/>
                <w:lang w:val="en-GB"/>
              </w:rPr>
            </w:pPr>
            <w:r w:rsidRPr="00607BDE">
              <w:rPr>
                <w:color w:val="000000"/>
                <w:lang w:val="en-GB"/>
              </w:rPr>
              <w:lastRenderedPageBreak/>
              <w:t xml:space="preserve">The SG will address the lacks in its mobile equipment by means of </w:t>
            </w:r>
            <w:r w:rsidRPr="00607BDE">
              <w:rPr>
                <w:i/>
                <w:iCs/>
                <w:color w:val="000000"/>
                <w:lang w:val="en-GB"/>
              </w:rPr>
              <w:t xml:space="preserve">inter alia </w:t>
            </w:r>
            <w:r w:rsidRPr="00607BDE">
              <w:rPr>
                <w:color w:val="000000"/>
                <w:lang w:val="en-GB"/>
              </w:rPr>
              <w:t>off-road vehicles and observation vehicles which ensure a 24-hour access to the border. The equipment will be compatible with Frontex technical standards and will be registered in the technical equipment pool increasing the operational capacities of the EBCG.</w:t>
            </w:r>
          </w:p>
          <w:p w14:paraId="65ABB08E" w14:textId="77777777" w:rsidR="00A77B3E" w:rsidRPr="00607BDE" w:rsidRDefault="00A77B3E">
            <w:pPr>
              <w:spacing w:before="100"/>
              <w:rPr>
                <w:color w:val="000000"/>
                <w:lang w:val="en-GB"/>
              </w:rPr>
            </w:pPr>
          </w:p>
          <w:p w14:paraId="06A128F5" w14:textId="627B4F70" w:rsidR="00A77B3E" w:rsidRPr="00607BDE" w:rsidRDefault="00C401B9">
            <w:pPr>
              <w:spacing w:before="100"/>
              <w:rPr>
                <w:color w:val="000000"/>
                <w:lang w:val="en-GB"/>
              </w:rPr>
            </w:pPr>
            <w:r w:rsidRPr="00607BDE">
              <w:rPr>
                <w:b/>
                <w:bCs/>
                <w:color w:val="000000"/>
                <w:lang w:val="en-GB"/>
              </w:rPr>
              <w:t>The following actions planned for the purpose of implement</w:t>
            </w:r>
            <w:r w:rsidR="00462B18">
              <w:rPr>
                <w:b/>
                <w:bCs/>
                <w:color w:val="000000"/>
                <w:lang w:val="en-GB"/>
              </w:rPr>
              <w:t>ation</w:t>
            </w:r>
            <w:r w:rsidRPr="00607BDE">
              <w:rPr>
                <w:b/>
                <w:bCs/>
                <w:color w:val="000000"/>
                <w:lang w:val="en-GB"/>
              </w:rPr>
              <w:t xml:space="preserve"> measure 1.a. and the scope of support 1.b:</w:t>
            </w:r>
          </w:p>
          <w:p w14:paraId="6FACEBA9" w14:textId="77777777" w:rsidR="00A77B3E" w:rsidRPr="00607BDE" w:rsidRDefault="00C401B9">
            <w:pPr>
              <w:numPr>
                <w:ilvl w:val="0"/>
                <w:numId w:val="13"/>
              </w:numPr>
              <w:spacing w:before="100"/>
              <w:rPr>
                <w:color w:val="000000"/>
                <w:lang w:val="en-GB"/>
              </w:rPr>
            </w:pPr>
            <w:r w:rsidRPr="00607BDE">
              <w:rPr>
                <w:color w:val="000000"/>
                <w:lang w:val="en-GB"/>
              </w:rPr>
              <w:t>Modernisation of the transport fleet (off-road vehicles, ATVs, motorcycles) in accordance with Frontex technical standards and registered in the technical equipment pool (as an example of strengthening the operational capacities in accordance with the requirements of Regulation 2019/1896).</w:t>
            </w:r>
          </w:p>
          <w:p w14:paraId="57D9961F" w14:textId="77777777" w:rsidR="00A77B3E" w:rsidRPr="00607BDE" w:rsidRDefault="00A77B3E">
            <w:pPr>
              <w:spacing w:before="100"/>
              <w:rPr>
                <w:color w:val="000000"/>
                <w:lang w:val="en-GB"/>
              </w:rPr>
            </w:pPr>
          </w:p>
          <w:p w14:paraId="51611A79" w14:textId="77777777" w:rsidR="00A77B3E" w:rsidRPr="00607BDE" w:rsidRDefault="00C401B9">
            <w:pPr>
              <w:spacing w:before="100"/>
              <w:rPr>
                <w:color w:val="000000"/>
                <w:lang w:val="en-GB"/>
              </w:rPr>
            </w:pPr>
            <w:r w:rsidRPr="00607BDE">
              <w:rPr>
                <w:b/>
                <w:bCs/>
                <w:color w:val="000000"/>
                <w:lang w:val="en-GB"/>
              </w:rPr>
              <w:t>Operating support within scope of support 1.l:</w:t>
            </w:r>
          </w:p>
          <w:p w14:paraId="15416D6D" w14:textId="77777777" w:rsidR="00A77B3E" w:rsidRPr="00607BDE" w:rsidRDefault="00C401B9">
            <w:pPr>
              <w:spacing w:before="100"/>
              <w:rPr>
                <w:color w:val="000000"/>
                <w:lang w:val="en-GB"/>
              </w:rPr>
            </w:pPr>
            <w:r w:rsidRPr="00607BDE">
              <w:rPr>
                <w:color w:val="000000"/>
                <w:lang w:val="en-GB"/>
              </w:rPr>
              <w:t>1) Training</w:t>
            </w:r>
          </w:p>
          <w:p w14:paraId="0A0F9D6E" w14:textId="77777777" w:rsidR="00A77B3E" w:rsidRPr="00607BDE" w:rsidRDefault="00C401B9">
            <w:pPr>
              <w:spacing w:before="100"/>
              <w:rPr>
                <w:color w:val="000000"/>
                <w:lang w:val="en-GB"/>
              </w:rPr>
            </w:pPr>
            <w:r w:rsidRPr="00607BDE">
              <w:rPr>
                <w:color w:val="000000"/>
                <w:lang w:val="en-GB"/>
              </w:rPr>
              <w:t>Qualifications and skills of persons responsible for international cooperation will be improved, and the quality of their contribution to the European exchange of information will be increased, e.g. through technical language training addressed to persons managing EU systems (SIS II). The BG will be the beneficiary.</w:t>
            </w:r>
          </w:p>
          <w:p w14:paraId="14174C98" w14:textId="77777777" w:rsidR="00A77B3E" w:rsidRPr="00607BDE" w:rsidRDefault="00C401B9">
            <w:pPr>
              <w:spacing w:before="100"/>
              <w:rPr>
                <w:color w:val="000000"/>
                <w:lang w:val="en-GB"/>
              </w:rPr>
            </w:pPr>
            <w:r w:rsidRPr="00607BDE">
              <w:rPr>
                <w:color w:val="000000"/>
                <w:lang w:val="en-GB"/>
              </w:rPr>
              <w:t>2) Support in maintenance of IT systems</w:t>
            </w:r>
          </w:p>
          <w:p w14:paraId="5CE22F92" w14:textId="77777777" w:rsidR="00A77B3E" w:rsidRPr="00607BDE" w:rsidRDefault="00C401B9">
            <w:pPr>
              <w:spacing w:before="100"/>
              <w:rPr>
                <w:color w:val="000000"/>
                <w:lang w:val="en-GB"/>
              </w:rPr>
            </w:pPr>
            <w:r w:rsidRPr="00607BDE">
              <w:rPr>
                <w:color w:val="000000"/>
                <w:lang w:val="en-GB"/>
              </w:rPr>
              <w:t xml:space="preserve">Post-warranty equipment will be provided for the purposes of the SIS II, as well as additional remuneration connected with SIS II tasks. Persons involved in large-scale projects will be provided with training and salaries in accordance with the requirements of Regulation 2021/1148. The BG will be the beneficiary. </w:t>
            </w:r>
          </w:p>
          <w:p w14:paraId="6C47D166" w14:textId="77777777" w:rsidR="00A77B3E" w:rsidRPr="00607BDE" w:rsidRDefault="00A77B3E">
            <w:pPr>
              <w:spacing w:before="100"/>
              <w:rPr>
                <w:color w:val="000000"/>
                <w:lang w:val="en-GB"/>
              </w:rPr>
            </w:pPr>
          </w:p>
          <w:p w14:paraId="1A391C56" w14:textId="2FA36C75" w:rsidR="00A77B3E" w:rsidRPr="00607BDE" w:rsidRDefault="00C401B9">
            <w:pPr>
              <w:spacing w:before="100"/>
              <w:rPr>
                <w:color w:val="000000"/>
                <w:lang w:val="en-GB"/>
              </w:rPr>
            </w:pPr>
            <w:r w:rsidRPr="00607BDE">
              <w:rPr>
                <w:b/>
                <w:bCs/>
                <w:color w:val="000000"/>
                <w:lang w:val="en-GB"/>
              </w:rPr>
              <w:t xml:space="preserve">BMVI </w:t>
            </w:r>
            <w:r w:rsidR="00462B18">
              <w:rPr>
                <w:b/>
                <w:bCs/>
                <w:color w:val="000000"/>
                <w:lang w:val="en-GB"/>
              </w:rPr>
              <w:t xml:space="preserve">specific </w:t>
            </w:r>
            <w:r w:rsidRPr="00607BDE">
              <w:rPr>
                <w:b/>
                <w:bCs/>
                <w:color w:val="000000"/>
                <w:lang w:val="en-GB"/>
              </w:rPr>
              <w:t>actions:</w:t>
            </w:r>
          </w:p>
          <w:p w14:paraId="1C00C079" w14:textId="77777777" w:rsidR="00A77B3E" w:rsidRPr="00607BDE" w:rsidRDefault="00C401B9">
            <w:pPr>
              <w:spacing w:before="100"/>
              <w:rPr>
                <w:color w:val="000000"/>
                <w:lang w:val="en-GB"/>
              </w:rPr>
            </w:pPr>
            <w:r w:rsidRPr="00607BDE">
              <w:rPr>
                <w:color w:val="000000"/>
                <w:lang w:val="en-GB"/>
              </w:rPr>
              <w:t>In Poland, they will cover the following projects:</w:t>
            </w:r>
          </w:p>
          <w:p w14:paraId="63E4A265" w14:textId="77777777" w:rsidR="00A77B3E" w:rsidRPr="00607BDE" w:rsidRDefault="00C401B9">
            <w:pPr>
              <w:numPr>
                <w:ilvl w:val="0"/>
                <w:numId w:val="14"/>
              </w:numPr>
              <w:spacing w:before="100"/>
              <w:rPr>
                <w:color w:val="000000"/>
                <w:lang w:val="en-GB"/>
              </w:rPr>
            </w:pPr>
            <w:r w:rsidRPr="00607BDE">
              <w:rPr>
                <w:color w:val="000000"/>
                <w:lang w:val="en-GB"/>
              </w:rPr>
              <w:t>BMVI/2021/SA/1.5.8 "Strengthening the surveillance of the external EU border against unforeseen irregular migration";</w:t>
            </w:r>
          </w:p>
          <w:p w14:paraId="5536DE9F" w14:textId="77777777" w:rsidR="00A77B3E" w:rsidRPr="00607BDE" w:rsidRDefault="00C401B9">
            <w:pPr>
              <w:numPr>
                <w:ilvl w:val="0"/>
                <w:numId w:val="14"/>
              </w:numPr>
              <w:spacing w:before="100"/>
              <w:rPr>
                <w:color w:val="000000"/>
                <w:lang w:val="en-GB"/>
              </w:rPr>
            </w:pPr>
            <w:r w:rsidRPr="00607BDE">
              <w:rPr>
                <w:color w:val="000000"/>
                <w:lang w:val="en-GB"/>
              </w:rPr>
              <w:t>BMVI/2021/SA/1.5.4/017 "Support for the implementation of Interoperability in Poland";</w:t>
            </w:r>
          </w:p>
          <w:p w14:paraId="3507631D" w14:textId="77777777" w:rsidR="00A77B3E" w:rsidRPr="00607BDE" w:rsidRDefault="00C401B9">
            <w:pPr>
              <w:numPr>
                <w:ilvl w:val="0"/>
                <w:numId w:val="14"/>
              </w:numPr>
              <w:spacing w:before="100"/>
              <w:rPr>
                <w:color w:val="000000"/>
                <w:lang w:val="en-GB"/>
              </w:rPr>
            </w:pPr>
            <w:r w:rsidRPr="00607BDE">
              <w:rPr>
                <w:color w:val="000000"/>
                <w:lang w:val="en-GB"/>
              </w:rPr>
              <w:t>BMVI/2021-2022/SA/1.2.1/005 "A mobile system for detecting and locating low flying objects that have illegally crossed the state border using radar technology".</w:t>
            </w:r>
          </w:p>
          <w:p w14:paraId="777211D8" w14:textId="77777777" w:rsidR="00A77B3E" w:rsidRPr="00607BDE" w:rsidRDefault="00A77B3E">
            <w:pPr>
              <w:spacing w:before="100"/>
              <w:rPr>
                <w:color w:val="000000"/>
                <w:lang w:val="en-GB"/>
              </w:rPr>
            </w:pPr>
          </w:p>
        </w:tc>
      </w:tr>
    </w:tbl>
    <w:p w14:paraId="63450794" w14:textId="77777777" w:rsidR="00A77B3E" w:rsidRPr="00607BDE" w:rsidRDefault="00A77B3E">
      <w:pPr>
        <w:spacing w:before="100"/>
        <w:rPr>
          <w:color w:val="000000"/>
          <w:lang w:val="en-GB"/>
        </w:rPr>
        <w:sectPr w:rsidR="00A77B3E" w:rsidRPr="00607BDE">
          <w:headerReference w:type="even" r:id="rId15"/>
          <w:headerReference w:type="default" r:id="rId16"/>
          <w:footerReference w:type="even" r:id="rId17"/>
          <w:footerReference w:type="default" r:id="rId18"/>
          <w:headerReference w:type="first" r:id="rId19"/>
          <w:footerReference w:type="first" r:id="rId20"/>
          <w:pgSz w:w="11906" w:h="16838"/>
          <w:pgMar w:top="720" w:right="936" w:bottom="864" w:left="720" w:header="0" w:footer="72" w:gutter="0"/>
          <w:cols w:space="720"/>
          <w:noEndnote/>
          <w:docGrid w:linePitch="360"/>
        </w:sectPr>
      </w:pPr>
    </w:p>
    <w:p w14:paraId="6A40AAE1" w14:textId="77777777" w:rsidR="00A77B3E" w:rsidRPr="00607BDE" w:rsidRDefault="00C401B9">
      <w:pPr>
        <w:spacing w:before="100"/>
        <w:rPr>
          <w:color w:val="000000"/>
          <w:lang w:val="en-GB"/>
        </w:rPr>
      </w:pPr>
      <w:r w:rsidRPr="00607BDE">
        <w:rPr>
          <w:color w:val="000000"/>
          <w:lang w:val="en-GB"/>
        </w:rPr>
        <w:lastRenderedPageBreak/>
        <w:t>2.1. Specific objective 1. European integrated border management</w:t>
      </w:r>
    </w:p>
    <w:p w14:paraId="4DE86C14" w14:textId="77777777" w:rsidR="00A77B3E" w:rsidRPr="00607BDE" w:rsidRDefault="00C401B9">
      <w:pPr>
        <w:pStyle w:val="Nagwek3"/>
        <w:spacing w:before="100" w:after="0"/>
        <w:rPr>
          <w:rFonts w:ascii="Times New Roman" w:hAnsi="Times New Roman" w:cs="Times New Roman"/>
          <w:b w:val="0"/>
          <w:color w:val="000000"/>
          <w:sz w:val="24"/>
          <w:lang w:val="en-GB"/>
        </w:rPr>
      </w:pPr>
      <w:bookmarkStart w:id="5" w:name="_Toc128975977"/>
      <w:r w:rsidRPr="00607BDE">
        <w:rPr>
          <w:rFonts w:ascii="Times New Roman" w:hAnsi="Times New Roman" w:cs="Times New Roman"/>
          <w:b w:val="0"/>
          <w:color w:val="000000"/>
          <w:sz w:val="24"/>
          <w:lang w:val="en-GB"/>
        </w:rPr>
        <w:t>2.1.2. Indicators</w:t>
      </w:r>
      <w:bookmarkEnd w:id="5"/>
    </w:p>
    <w:p w14:paraId="68871C25" w14:textId="77777777" w:rsidR="00A77B3E" w:rsidRPr="00607BDE" w:rsidRDefault="00C401B9">
      <w:pPr>
        <w:spacing w:before="100"/>
        <w:rPr>
          <w:color w:val="000000"/>
          <w:sz w:val="12"/>
          <w:lang w:val="en-GB"/>
        </w:rPr>
      </w:pPr>
      <w:r w:rsidRPr="00607BDE">
        <w:rPr>
          <w:color w:val="000000"/>
          <w:lang w:val="en-GB"/>
        </w:rPr>
        <w:t>Reference: Article 22(4)(e) of the Common Provisions Regulation</w:t>
      </w:r>
    </w:p>
    <w:p w14:paraId="224FB253" w14:textId="77777777" w:rsidR="00A77B3E" w:rsidRPr="00607BDE" w:rsidRDefault="00C401B9">
      <w:pPr>
        <w:pStyle w:val="Nagwek4"/>
        <w:spacing w:before="100" w:after="0"/>
        <w:rPr>
          <w:b w:val="0"/>
          <w:color w:val="000000"/>
          <w:sz w:val="24"/>
          <w:lang w:val="en-GB"/>
        </w:rPr>
      </w:pPr>
      <w:bookmarkStart w:id="6" w:name="_Toc128975978"/>
      <w:r w:rsidRPr="00607BDE">
        <w:rPr>
          <w:b w:val="0"/>
          <w:color w:val="000000"/>
          <w:sz w:val="24"/>
          <w:lang w:val="en-GB"/>
        </w:rPr>
        <w:t>Table 1: Output indicators</w:t>
      </w:r>
      <w:bookmarkEnd w:id="6"/>
    </w:p>
    <w:p w14:paraId="6678EFCB"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9447"/>
        <w:gridCol w:w="1757"/>
        <w:gridCol w:w="1683"/>
        <w:gridCol w:w="1372"/>
      </w:tblGrid>
      <w:tr w:rsidR="00AC7127" w:rsidRPr="00607BDE" w14:paraId="324D336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943030" w14:textId="77777777" w:rsidR="00A77B3E" w:rsidRPr="00607BDE" w:rsidRDefault="00C401B9">
            <w:pPr>
              <w:spacing w:before="100"/>
              <w:jc w:val="center"/>
              <w:rPr>
                <w:color w:val="000000"/>
                <w:sz w:val="20"/>
                <w:lang w:val="en-GB"/>
              </w:rPr>
            </w:pPr>
            <w:r w:rsidRPr="00607BDE">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097B6C" w14:textId="77777777" w:rsidR="00A77B3E" w:rsidRPr="00607BDE" w:rsidRDefault="00C401B9">
            <w:pPr>
              <w:spacing w:before="100"/>
              <w:jc w:val="center"/>
              <w:rPr>
                <w:color w:val="000000"/>
                <w:sz w:val="20"/>
                <w:lang w:val="en-GB"/>
              </w:rPr>
            </w:pPr>
            <w:r w:rsidRPr="00607BDE">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D0E435" w14:textId="77777777" w:rsidR="00A77B3E" w:rsidRPr="00607BDE" w:rsidRDefault="00C401B9">
            <w:pPr>
              <w:spacing w:before="100"/>
              <w:jc w:val="center"/>
              <w:rPr>
                <w:color w:val="000000"/>
                <w:sz w:val="20"/>
                <w:lang w:val="en-GB"/>
              </w:rPr>
            </w:pPr>
            <w:r w:rsidRPr="00607BDE">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CF9667" w14:textId="77777777" w:rsidR="00A77B3E" w:rsidRPr="00607BDE" w:rsidRDefault="00C401B9">
            <w:pPr>
              <w:spacing w:before="100"/>
              <w:jc w:val="center"/>
              <w:rPr>
                <w:color w:val="000000"/>
                <w:sz w:val="20"/>
                <w:lang w:val="en-GB"/>
              </w:rPr>
            </w:pPr>
            <w:r w:rsidRPr="00607BDE">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C9BC65" w14:textId="77777777" w:rsidR="00A77B3E" w:rsidRPr="00607BDE" w:rsidRDefault="00C401B9">
            <w:pPr>
              <w:spacing w:before="100"/>
              <w:jc w:val="center"/>
              <w:rPr>
                <w:color w:val="000000"/>
                <w:sz w:val="20"/>
                <w:lang w:val="en-GB"/>
              </w:rPr>
            </w:pPr>
            <w:r w:rsidRPr="00607BDE">
              <w:rPr>
                <w:color w:val="000000"/>
                <w:sz w:val="20"/>
                <w:lang w:val="en-GB"/>
              </w:rPr>
              <w:t>Target (2029)</w:t>
            </w:r>
          </w:p>
        </w:tc>
      </w:tr>
      <w:tr w:rsidR="00AC7127" w:rsidRPr="00607BDE" w14:paraId="5A19F1F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B9BF8C" w14:textId="77777777" w:rsidR="00A77B3E" w:rsidRPr="00607BDE" w:rsidRDefault="00C401B9">
            <w:pPr>
              <w:spacing w:before="100"/>
              <w:rPr>
                <w:color w:val="000000"/>
                <w:sz w:val="20"/>
                <w:lang w:val="en-GB"/>
              </w:rPr>
            </w:pPr>
            <w:r w:rsidRPr="00607BDE">
              <w:rPr>
                <w:color w:val="000000"/>
                <w:sz w:val="20"/>
                <w:lang w:val="en-GB"/>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F6427D" w14:textId="77777777" w:rsidR="00A77B3E" w:rsidRPr="00607BDE" w:rsidRDefault="00C401B9">
            <w:pPr>
              <w:spacing w:before="100"/>
              <w:rPr>
                <w:color w:val="000000"/>
                <w:sz w:val="20"/>
                <w:lang w:val="en-GB"/>
              </w:rPr>
            </w:pPr>
            <w:r w:rsidRPr="00607BDE">
              <w:rPr>
                <w:color w:val="000000"/>
                <w:sz w:val="20"/>
                <w:lang w:val="en-GB"/>
              </w:rPr>
              <w:t>The number of items of equipment purchased for border crossing points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618D14"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6DFFAD"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F6474B" w14:textId="77777777" w:rsidR="00A77B3E" w:rsidRPr="00607BDE" w:rsidRDefault="00C401B9">
            <w:pPr>
              <w:spacing w:before="100"/>
              <w:jc w:val="right"/>
              <w:rPr>
                <w:color w:val="000000"/>
                <w:sz w:val="20"/>
                <w:lang w:val="en-GB"/>
              </w:rPr>
            </w:pPr>
            <w:r w:rsidRPr="00607BDE">
              <w:rPr>
                <w:color w:val="000000"/>
                <w:sz w:val="20"/>
                <w:lang w:val="en-GB"/>
              </w:rPr>
              <w:t>5,807</w:t>
            </w:r>
          </w:p>
        </w:tc>
      </w:tr>
      <w:tr w:rsidR="00AC7127" w:rsidRPr="00607BDE" w14:paraId="6AABFD1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649C40" w14:textId="77777777" w:rsidR="00A77B3E" w:rsidRPr="00607BDE" w:rsidRDefault="00C401B9">
            <w:pPr>
              <w:spacing w:before="100"/>
              <w:rPr>
                <w:color w:val="000000"/>
                <w:sz w:val="20"/>
                <w:lang w:val="en-GB"/>
              </w:rPr>
            </w:pPr>
            <w:r w:rsidRPr="00607BDE">
              <w:rPr>
                <w:color w:val="000000"/>
                <w:sz w:val="20"/>
                <w:lang w:val="en-GB"/>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CAFEF8" w14:textId="77777777" w:rsidR="00A77B3E" w:rsidRPr="00607BDE" w:rsidRDefault="00C401B9">
            <w:pPr>
              <w:spacing w:before="100"/>
              <w:rPr>
                <w:color w:val="000000"/>
                <w:sz w:val="20"/>
                <w:lang w:val="en-GB"/>
              </w:rPr>
            </w:pPr>
            <w:r w:rsidRPr="00607BDE">
              <w:rPr>
                <w:color w:val="000000"/>
                <w:sz w:val="20"/>
                <w:lang w:val="en-GB"/>
              </w:rPr>
              <w:t>of which the number of automated border control gates/self-service systems/passport e-gates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A44104"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5F16E2"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FDD39C"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011FF9C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1900BE" w14:textId="77777777" w:rsidR="00A77B3E" w:rsidRPr="00607BDE" w:rsidRDefault="00C401B9">
            <w:pPr>
              <w:spacing w:before="100"/>
              <w:rPr>
                <w:color w:val="000000"/>
                <w:sz w:val="20"/>
                <w:lang w:val="en-GB"/>
              </w:rPr>
            </w:pPr>
            <w:r w:rsidRPr="00607BDE">
              <w:rPr>
                <w:color w:val="000000"/>
                <w:sz w:val="20"/>
                <w:lang w:val="en-GB"/>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3E6B5D" w14:textId="77777777" w:rsidR="00A77B3E" w:rsidRPr="00607BDE" w:rsidRDefault="00C401B9">
            <w:pPr>
              <w:spacing w:before="100"/>
              <w:rPr>
                <w:color w:val="000000"/>
                <w:sz w:val="20"/>
                <w:lang w:val="en-GB"/>
              </w:rPr>
            </w:pPr>
            <w:r w:rsidRPr="00607BDE">
              <w:rPr>
                <w:color w:val="000000"/>
                <w:sz w:val="20"/>
                <w:lang w:val="en-GB"/>
              </w:rPr>
              <w:t>The number of items of infrastructure maintained/repaired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A9AFAA"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C507A4"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C2F438" w14:textId="77777777" w:rsidR="00A77B3E" w:rsidRPr="00607BDE" w:rsidRDefault="00C401B9">
            <w:pPr>
              <w:spacing w:before="100"/>
              <w:jc w:val="right"/>
              <w:rPr>
                <w:color w:val="000000"/>
                <w:sz w:val="20"/>
                <w:lang w:val="en-GB"/>
              </w:rPr>
            </w:pPr>
            <w:r w:rsidRPr="00607BDE">
              <w:rPr>
                <w:color w:val="000000"/>
                <w:sz w:val="20"/>
                <w:lang w:val="en-GB"/>
              </w:rPr>
              <w:t>10</w:t>
            </w:r>
          </w:p>
        </w:tc>
      </w:tr>
      <w:tr w:rsidR="00AC7127" w:rsidRPr="00607BDE" w14:paraId="2212345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BE6E29" w14:textId="77777777" w:rsidR="00A77B3E" w:rsidRPr="00607BDE" w:rsidRDefault="00C401B9">
            <w:pPr>
              <w:spacing w:before="100"/>
              <w:rPr>
                <w:color w:val="000000"/>
                <w:sz w:val="20"/>
                <w:lang w:val="en-GB"/>
              </w:rPr>
            </w:pPr>
            <w:r w:rsidRPr="00607BDE">
              <w:rPr>
                <w:color w:val="000000"/>
                <w:sz w:val="20"/>
                <w:lang w:val="en-GB"/>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94E214" w14:textId="77777777" w:rsidR="00A77B3E" w:rsidRPr="00607BDE" w:rsidRDefault="00C401B9">
            <w:pPr>
              <w:spacing w:before="100"/>
              <w:rPr>
                <w:color w:val="000000"/>
                <w:sz w:val="20"/>
                <w:lang w:val="en-GB"/>
              </w:rPr>
            </w:pPr>
            <w:r w:rsidRPr="00607BDE">
              <w:rPr>
                <w:color w:val="000000"/>
                <w:sz w:val="20"/>
                <w:lang w:val="en-GB"/>
              </w:rPr>
              <w:t xml:space="preserve"> The number of hotspot areas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B1EDA2"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F64DEC"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182A0F"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4D15C22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6E3ACE" w14:textId="77777777" w:rsidR="00A77B3E" w:rsidRPr="00607BDE" w:rsidRDefault="00C401B9">
            <w:pPr>
              <w:spacing w:before="100"/>
              <w:rPr>
                <w:color w:val="000000"/>
                <w:sz w:val="20"/>
                <w:lang w:val="en-GB"/>
              </w:rPr>
            </w:pPr>
            <w:r w:rsidRPr="00607BDE">
              <w:rPr>
                <w:color w:val="000000"/>
                <w:sz w:val="20"/>
                <w:lang w:val="en-GB"/>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D2C4D5" w14:textId="77777777" w:rsidR="00A77B3E" w:rsidRPr="00607BDE" w:rsidRDefault="00C401B9">
            <w:pPr>
              <w:spacing w:before="100"/>
              <w:rPr>
                <w:color w:val="000000"/>
                <w:sz w:val="20"/>
                <w:lang w:val="en-GB"/>
              </w:rPr>
            </w:pPr>
            <w:r w:rsidRPr="00607BDE">
              <w:rPr>
                <w:color w:val="000000"/>
                <w:sz w:val="20"/>
                <w:lang w:val="en-GB"/>
              </w:rPr>
              <w:t>The number of facilities for border crossing points constructed/upgraded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D5EA9B"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96243C"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F8E92A"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5B8D845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C64076" w14:textId="77777777" w:rsidR="00A77B3E" w:rsidRPr="00607BDE" w:rsidRDefault="00C401B9">
            <w:pPr>
              <w:spacing w:before="100"/>
              <w:rPr>
                <w:color w:val="000000"/>
                <w:sz w:val="20"/>
                <w:lang w:val="en-GB"/>
              </w:rPr>
            </w:pPr>
            <w:r w:rsidRPr="00607BDE">
              <w:rPr>
                <w:color w:val="000000"/>
                <w:sz w:val="20"/>
                <w:lang w:val="en-GB"/>
              </w:rPr>
              <w:t>O.1.5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A3D719" w14:textId="77777777" w:rsidR="00A77B3E" w:rsidRPr="00607BDE" w:rsidRDefault="00C401B9">
            <w:pPr>
              <w:spacing w:before="100"/>
              <w:rPr>
                <w:color w:val="000000"/>
                <w:sz w:val="20"/>
                <w:lang w:val="en-GB"/>
              </w:rPr>
            </w:pPr>
            <w:r w:rsidRPr="00607BDE">
              <w:rPr>
                <w:color w:val="000000"/>
                <w:sz w:val="20"/>
                <w:lang w:val="en-GB"/>
              </w:rPr>
              <w:t>The number of aerial vehicles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7F8098"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752EFF"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98B610"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00FBDA0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19DEAE" w14:textId="77777777" w:rsidR="00A77B3E" w:rsidRPr="00607BDE" w:rsidRDefault="00C401B9">
            <w:pPr>
              <w:spacing w:before="100"/>
              <w:rPr>
                <w:color w:val="000000"/>
                <w:sz w:val="20"/>
                <w:lang w:val="en-GB"/>
              </w:rPr>
            </w:pPr>
            <w:r w:rsidRPr="00607BDE">
              <w:rPr>
                <w:color w:val="000000"/>
                <w:sz w:val="20"/>
                <w:lang w:val="en-GB"/>
              </w:rPr>
              <w:t>O.1.5.1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80AF72" w14:textId="77777777" w:rsidR="00A77B3E" w:rsidRPr="00607BDE" w:rsidRDefault="00C401B9">
            <w:pPr>
              <w:spacing w:before="100"/>
              <w:rPr>
                <w:color w:val="000000"/>
                <w:sz w:val="20"/>
                <w:lang w:val="en-GB"/>
              </w:rPr>
            </w:pPr>
            <w:r w:rsidRPr="00607BDE">
              <w:rPr>
                <w:color w:val="000000"/>
                <w:sz w:val="20"/>
                <w:lang w:val="en-GB"/>
              </w:rPr>
              <w:t>of which the number of unmanned aerial vehicles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D79A62"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4A5FB7"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46DF92"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249DA30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E901DB" w14:textId="77777777" w:rsidR="00A77B3E" w:rsidRPr="00607BDE" w:rsidRDefault="00C401B9">
            <w:pPr>
              <w:spacing w:before="100"/>
              <w:rPr>
                <w:color w:val="000000"/>
                <w:sz w:val="20"/>
                <w:lang w:val="en-GB"/>
              </w:rPr>
            </w:pPr>
            <w:r w:rsidRPr="00607BDE">
              <w:rPr>
                <w:color w:val="000000"/>
                <w:sz w:val="20"/>
                <w:lang w:val="en-GB"/>
              </w:rPr>
              <w:t>O.1.6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F9264B" w14:textId="77777777" w:rsidR="00A77B3E" w:rsidRPr="00607BDE" w:rsidRDefault="00C401B9">
            <w:pPr>
              <w:spacing w:before="100"/>
              <w:rPr>
                <w:color w:val="000000"/>
                <w:sz w:val="20"/>
                <w:lang w:val="en-GB"/>
              </w:rPr>
            </w:pPr>
            <w:r w:rsidRPr="00607BDE">
              <w:rPr>
                <w:color w:val="000000"/>
                <w:sz w:val="20"/>
                <w:lang w:val="en-GB"/>
              </w:rPr>
              <w:t>The number of maritime transport means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3EFA97"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049B3"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B81F83"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096F487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8342F7" w14:textId="77777777" w:rsidR="00A77B3E" w:rsidRPr="00607BDE" w:rsidRDefault="00C401B9">
            <w:pPr>
              <w:spacing w:before="100"/>
              <w:rPr>
                <w:color w:val="000000"/>
                <w:sz w:val="20"/>
                <w:lang w:val="en-GB"/>
              </w:rPr>
            </w:pPr>
            <w:r w:rsidRPr="00607BDE">
              <w:rPr>
                <w:color w:val="000000"/>
                <w:sz w:val="20"/>
                <w:lang w:val="en-GB"/>
              </w:rPr>
              <w:t>O.1.7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ACE343" w14:textId="77777777" w:rsidR="00A77B3E" w:rsidRPr="00607BDE" w:rsidRDefault="00C401B9">
            <w:pPr>
              <w:spacing w:before="100"/>
              <w:rPr>
                <w:color w:val="000000"/>
                <w:sz w:val="20"/>
                <w:lang w:val="en-GB"/>
              </w:rPr>
            </w:pPr>
            <w:r w:rsidRPr="00607BDE">
              <w:rPr>
                <w:color w:val="000000"/>
                <w:sz w:val="20"/>
                <w:lang w:val="en-GB"/>
              </w:rPr>
              <w:t>The number of land transport means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97398A"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871F73"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CE6115" w14:textId="77777777" w:rsidR="00A77B3E" w:rsidRPr="00607BDE" w:rsidRDefault="00C401B9">
            <w:pPr>
              <w:spacing w:before="100"/>
              <w:jc w:val="right"/>
              <w:rPr>
                <w:color w:val="000000"/>
                <w:sz w:val="20"/>
                <w:lang w:val="en-GB"/>
              </w:rPr>
            </w:pPr>
            <w:r w:rsidRPr="00607BDE">
              <w:rPr>
                <w:color w:val="000000"/>
                <w:sz w:val="20"/>
                <w:lang w:val="en-GB"/>
              </w:rPr>
              <w:t>27</w:t>
            </w:r>
          </w:p>
        </w:tc>
      </w:tr>
      <w:tr w:rsidR="00AC7127" w:rsidRPr="00607BDE" w14:paraId="3887CB9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3B84A7" w14:textId="77777777" w:rsidR="00A77B3E" w:rsidRPr="00607BDE" w:rsidRDefault="00C401B9">
            <w:pPr>
              <w:spacing w:before="100"/>
              <w:rPr>
                <w:color w:val="000000"/>
                <w:sz w:val="20"/>
                <w:lang w:val="en-GB"/>
              </w:rPr>
            </w:pPr>
            <w:r w:rsidRPr="00607BDE">
              <w:rPr>
                <w:color w:val="000000"/>
                <w:sz w:val="20"/>
                <w:lang w:val="en-GB"/>
              </w:rPr>
              <w:t>O.1.8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5CAD78" w14:textId="77777777" w:rsidR="00A77B3E" w:rsidRPr="00607BDE" w:rsidRDefault="00C401B9">
            <w:pPr>
              <w:spacing w:before="100"/>
              <w:rPr>
                <w:color w:val="000000"/>
                <w:sz w:val="20"/>
                <w:lang w:val="en-GB"/>
              </w:rPr>
            </w:pPr>
            <w:r w:rsidRPr="00607BDE">
              <w:rPr>
                <w:color w:val="000000"/>
                <w:sz w:val="20"/>
                <w:lang w:val="en-GB"/>
              </w:rPr>
              <w:t>The 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77B447"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4BDFE9" w14:textId="77777777" w:rsidR="00A77B3E" w:rsidRPr="00607BDE" w:rsidRDefault="00C401B9">
            <w:pPr>
              <w:spacing w:before="100"/>
              <w:jc w:val="right"/>
              <w:rPr>
                <w:color w:val="000000"/>
                <w:sz w:val="20"/>
                <w:lang w:val="en-GB"/>
              </w:rPr>
            </w:pPr>
            <w:r w:rsidRPr="00607BDE">
              <w:rPr>
                <w:color w:val="000000"/>
                <w:sz w:val="20"/>
                <w:lang w:val="en-GB"/>
              </w:rPr>
              <w:t>220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D9B880" w14:textId="77777777" w:rsidR="00A77B3E" w:rsidRPr="00607BDE" w:rsidRDefault="00C401B9">
            <w:pPr>
              <w:spacing w:before="100"/>
              <w:jc w:val="right"/>
              <w:rPr>
                <w:color w:val="000000"/>
                <w:sz w:val="20"/>
                <w:lang w:val="en-GB"/>
              </w:rPr>
            </w:pPr>
            <w:r w:rsidRPr="00607BDE">
              <w:rPr>
                <w:color w:val="000000"/>
                <w:sz w:val="20"/>
                <w:lang w:val="en-GB"/>
              </w:rPr>
              <w:t>3,420</w:t>
            </w:r>
          </w:p>
        </w:tc>
      </w:tr>
      <w:tr w:rsidR="00AC7127" w:rsidRPr="00607BDE" w14:paraId="4B1DCCF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99FF1A" w14:textId="77777777" w:rsidR="00A77B3E" w:rsidRPr="00607BDE" w:rsidRDefault="00C401B9">
            <w:pPr>
              <w:spacing w:before="100"/>
              <w:rPr>
                <w:color w:val="000000"/>
                <w:sz w:val="20"/>
                <w:lang w:val="en-GB"/>
              </w:rPr>
            </w:pPr>
            <w:r w:rsidRPr="00607BDE">
              <w:rPr>
                <w:color w:val="000000"/>
                <w:sz w:val="20"/>
                <w:lang w:val="en-GB"/>
              </w:rPr>
              <w:t>O.1.8.1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DC5878" w14:textId="77777777" w:rsidR="00A77B3E" w:rsidRPr="00607BDE" w:rsidRDefault="00C401B9">
            <w:pPr>
              <w:spacing w:before="100"/>
              <w:rPr>
                <w:color w:val="000000"/>
                <w:sz w:val="20"/>
                <w:lang w:val="en-GB"/>
              </w:rPr>
            </w:pPr>
            <w:r w:rsidRPr="00607BDE">
              <w:rPr>
                <w:color w:val="000000"/>
                <w:sz w:val="20"/>
                <w:lang w:val="en-GB"/>
              </w:rPr>
              <w:t>of which the number of participants in training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3ACD23"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DC6D84" w14:textId="77777777" w:rsidR="00A77B3E" w:rsidRPr="00607BDE" w:rsidRDefault="00C401B9">
            <w:pPr>
              <w:spacing w:before="100"/>
              <w:jc w:val="right"/>
              <w:rPr>
                <w:color w:val="000000"/>
                <w:sz w:val="20"/>
                <w:lang w:val="en-GB"/>
              </w:rPr>
            </w:pPr>
            <w:r w:rsidRPr="00607BDE">
              <w:rPr>
                <w:color w:val="000000"/>
                <w:sz w:val="20"/>
                <w:lang w:val="en-GB"/>
              </w:rPr>
              <w:t>220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622477" w14:textId="77777777" w:rsidR="00A77B3E" w:rsidRPr="00607BDE" w:rsidRDefault="00C401B9">
            <w:pPr>
              <w:spacing w:before="100"/>
              <w:jc w:val="right"/>
              <w:rPr>
                <w:color w:val="000000"/>
                <w:sz w:val="20"/>
                <w:lang w:val="en-GB"/>
              </w:rPr>
            </w:pPr>
            <w:r w:rsidRPr="00607BDE">
              <w:rPr>
                <w:color w:val="000000"/>
                <w:sz w:val="20"/>
                <w:lang w:val="en-GB"/>
              </w:rPr>
              <w:t>3,420</w:t>
            </w:r>
          </w:p>
        </w:tc>
      </w:tr>
      <w:tr w:rsidR="00AC7127" w:rsidRPr="00607BDE" w14:paraId="5746C98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4CCA24" w14:textId="77777777" w:rsidR="00A77B3E" w:rsidRPr="00607BDE" w:rsidRDefault="00C401B9">
            <w:pPr>
              <w:spacing w:before="100"/>
              <w:rPr>
                <w:color w:val="000000"/>
                <w:sz w:val="20"/>
                <w:lang w:val="en-GB"/>
              </w:rPr>
            </w:pPr>
            <w:r w:rsidRPr="00607BDE">
              <w:rPr>
                <w:color w:val="000000"/>
                <w:sz w:val="20"/>
                <w:lang w:val="en-GB"/>
              </w:rPr>
              <w:t>O.1.9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F39994" w14:textId="77777777" w:rsidR="00A77B3E" w:rsidRPr="00607BDE" w:rsidRDefault="00C401B9">
            <w:pPr>
              <w:spacing w:before="100"/>
              <w:rPr>
                <w:color w:val="000000"/>
                <w:sz w:val="20"/>
                <w:lang w:val="en-GB"/>
              </w:rPr>
            </w:pPr>
            <w:r w:rsidRPr="00607BDE">
              <w:rPr>
                <w:color w:val="000000"/>
                <w:sz w:val="20"/>
                <w:lang w:val="en-GB"/>
              </w:rPr>
              <w:t>The number of immigration liaison officers deployed to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5775B7"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4BDB19"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214452"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3058C9E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AEA579" w14:textId="77777777" w:rsidR="00A77B3E" w:rsidRPr="00607BDE" w:rsidRDefault="00C401B9">
            <w:pPr>
              <w:spacing w:before="100"/>
              <w:rPr>
                <w:color w:val="000000"/>
                <w:sz w:val="20"/>
                <w:lang w:val="en-GB"/>
              </w:rPr>
            </w:pPr>
            <w:r w:rsidRPr="00607BDE">
              <w:rPr>
                <w:color w:val="000000"/>
                <w:sz w:val="20"/>
                <w:lang w:val="en-GB"/>
              </w:rPr>
              <w:t>O.1.10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0EF3D7" w14:textId="77777777" w:rsidR="00A77B3E" w:rsidRPr="00607BDE" w:rsidRDefault="00C401B9">
            <w:pPr>
              <w:spacing w:before="100"/>
              <w:rPr>
                <w:color w:val="000000"/>
                <w:sz w:val="20"/>
                <w:lang w:val="en-GB"/>
              </w:rPr>
            </w:pPr>
            <w:r w:rsidRPr="00607BDE">
              <w:rPr>
                <w:color w:val="000000"/>
                <w:sz w:val="20"/>
                <w:lang w:val="en-GB"/>
              </w:rPr>
              <w:t>The number of IT functionalities developed/maintained/upgraded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AD53A0"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6DF6C4"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A0AEA4" w14:textId="77777777" w:rsidR="00A77B3E" w:rsidRPr="00607BDE" w:rsidRDefault="00C401B9">
            <w:pPr>
              <w:spacing w:before="100"/>
              <w:jc w:val="right"/>
              <w:rPr>
                <w:color w:val="000000"/>
                <w:sz w:val="20"/>
                <w:lang w:val="en-GB"/>
              </w:rPr>
            </w:pPr>
            <w:r w:rsidRPr="00607BDE">
              <w:rPr>
                <w:color w:val="000000"/>
                <w:sz w:val="20"/>
                <w:lang w:val="en-GB"/>
              </w:rPr>
              <w:t>4</w:t>
            </w:r>
          </w:p>
        </w:tc>
      </w:tr>
      <w:tr w:rsidR="00AC7127" w:rsidRPr="00607BDE" w14:paraId="7BE8FFF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478F25" w14:textId="77777777" w:rsidR="00A77B3E" w:rsidRPr="00607BDE" w:rsidRDefault="00C401B9">
            <w:pPr>
              <w:spacing w:before="100"/>
              <w:rPr>
                <w:color w:val="000000"/>
                <w:sz w:val="20"/>
                <w:lang w:val="en-GB"/>
              </w:rPr>
            </w:pPr>
            <w:r w:rsidRPr="00607BDE">
              <w:rPr>
                <w:color w:val="000000"/>
                <w:sz w:val="20"/>
                <w:lang w:val="en-GB"/>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4B568F" w14:textId="77777777" w:rsidR="00A77B3E" w:rsidRPr="00607BDE" w:rsidRDefault="00C401B9">
            <w:pPr>
              <w:spacing w:before="100"/>
              <w:rPr>
                <w:color w:val="000000"/>
                <w:sz w:val="20"/>
                <w:lang w:val="en-GB"/>
              </w:rPr>
            </w:pPr>
            <w:r w:rsidRPr="00607BDE">
              <w:rPr>
                <w:color w:val="000000"/>
                <w:sz w:val="20"/>
                <w:lang w:val="en-GB"/>
              </w:rPr>
              <w:t>The number of large-scale IT systems developed/maintained/upgraded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4476CD"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8E81EC"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1B0057"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351D907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B18CD0" w14:textId="77777777" w:rsidR="00A77B3E" w:rsidRPr="00607BDE" w:rsidRDefault="00C401B9">
            <w:pPr>
              <w:spacing w:before="100"/>
              <w:rPr>
                <w:color w:val="000000"/>
                <w:sz w:val="20"/>
                <w:lang w:val="en-GB"/>
              </w:rPr>
            </w:pPr>
            <w:r w:rsidRPr="00607BDE">
              <w:rPr>
                <w:color w:val="000000"/>
                <w:sz w:val="20"/>
                <w:lang w:val="en-GB"/>
              </w:rPr>
              <w:t>O.1.11.1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73E3CD" w14:textId="77777777" w:rsidR="00A77B3E" w:rsidRPr="00607BDE" w:rsidRDefault="00C401B9">
            <w:pPr>
              <w:spacing w:before="100"/>
              <w:rPr>
                <w:color w:val="000000"/>
                <w:sz w:val="20"/>
                <w:lang w:val="en-GB"/>
              </w:rPr>
            </w:pPr>
            <w:r w:rsidRPr="00607BDE">
              <w:rPr>
                <w:color w:val="000000"/>
                <w:sz w:val="20"/>
                <w:lang w:val="en-GB"/>
              </w:rPr>
              <w:t>of which the number of large-scale IT systems developed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F6F9F3"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DFCE40"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F8212C"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4B08BA1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3C0C42" w14:textId="77777777" w:rsidR="00A77B3E" w:rsidRPr="00607BDE" w:rsidRDefault="00C401B9">
            <w:pPr>
              <w:spacing w:before="100"/>
              <w:rPr>
                <w:color w:val="000000"/>
                <w:sz w:val="20"/>
                <w:lang w:val="en-GB"/>
              </w:rPr>
            </w:pPr>
            <w:r w:rsidRPr="00607BDE">
              <w:rPr>
                <w:color w:val="000000"/>
                <w:sz w:val="20"/>
                <w:lang w:val="en-GB"/>
              </w:rPr>
              <w:t>O.1.12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AF1072" w14:textId="77777777" w:rsidR="00A77B3E" w:rsidRPr="00607BDE" w:rsidRDefault="00C401B9">
            <w:pPr>
              <w:spacing w:before="100"/>
              <w:rPr>
                <w:color w:val="000000"/>
                <w:sz w:val="20"/>
                <w:lang w:val="en-GB"/>
              </w:rPr>
            </w:pPr>
            <w:r w:rsidRPr="00607BDE">
              <w:rPr>
                <w:color w:val="000000"/>
                <w:sz w:val="20"/>
                <w:lang w:val="en-GB"/>
              </w:rPr>
              <w:t>The number of cooperation projects with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16E8C3"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EC6AB8"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C6BB36"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4ECBDF5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D807E5" w14:textId="77777777" w:rsidR="00A77B3E" w:rsidRPr="00607BDE" w:rsidRDefault="00C401B9">
            <w:pPr>
              <w:spacing w:before="100"/>
              <w:rPr>
                <w:color w:val="000000"/>
                <w:sz w:val="20"/>
                <w:lang w:val="en-GB"/>
              </w:rPr>
            </w:pPr>
            <w:r w:rsidRPr="00607BDE">
              <w:rPr>
                <w:color w:val="000000"/>
                <w:sz w:val="20"/>
                <w:lang w:val="en-GB"/>
              </w:rPr>
              <w:t>O.1.13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B39DD5" w14:textId="77777777" w:rsidR="00A77B3E" w:rsidRPr="00607BDE" w:rsidRDefault="00C401B9">
            <w:pPr>
              <w:spacing w:before="100"/>
              <w:rPr>
                <w:color w:val="000000"/>
                <w:sz w:val="20"/>
                <w:lang w:val="en-GB"/>
              </w:rPr>
            </w:pPr>
            <w:r w:rsidRPr="00607BDE">
              <w:rPr>
                <w:color w:val="000000"/>
                <w:sz w:val="20"/>
                <w:lang w:val="en-GB"/>
              </w:rPr>
              <w:t>The number of persons who have applied for international protection at border crossing points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BAAC5A"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72C678"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34EF45" w14:textId="77777777" w:rsidR="00A77B3E" w:rsidRPr="00607BDE" w:rsidRDefault="00C401B9">
            <w:pPr>
              <w:spacing w:before="100"/>
              <w:jc w:val="right"/>
              <w:rPr>
                <w:color w:val="000000"/>
                <w:sz w:val="20"/>
                <w:lang w:val="en-GB"/>
              </w:rPr>
            </w:pPr>
            <w:r w:rsidRPr="00607BDE">
              <w:rPr>
                <w:color w:val="000000"/>
                <w:sz w:val="20"/>
                <w:lang w:val="en-GB"/>
              </w:rPr>
              <w:t>0</w:t>
            </w:r>
          </w:p>
        </w:tc>
      </w:tr>
    </w:tbl>
    <w:p w14:paraId="7E43EC10" w14:textId="77777777" w:rsidR="00A77B3E" w:rsidRPr="00607BDE" w:rsidRDefault="00C401B9">
      <w:pPr>
        <w:spacing w:before="100"/>
        <w:rPr>
          <w:color w:val="000000"/>
          <w:lang w:val="en-GB"/>
        </w:rPr>
      </w:pPr>
      <w:r w:rsidRPr="00607BDE">
        <w:rPr>
          <w:color w:val="000000"/>
          <w:sz w:val="20"/>
          <w:lang w:val="en-GB"/>
        </w:rPr>
        <w:br w:type="page"/>
      </w:r>
      <w:r w:rsidRPr="00607BDE">
        <w:rPr>
          <w:color w:val="000000"/>
          <w:lang w:val="en-GB"/>
        </w:rPr>
        <w:lastRenderedPageBreak/>
        <w:t>2.1. Specific objective 1. European integrated border management</w:t>
      </w:r>
    </w:p>
    <w:p w14:paraId="0EC40B64" w14:textId="77777777" w:rsidR="00A77B3E" w:rsidRPr="00607BDE" w:rsidRDefault="00C401B9">
      <w:pPr>
        <w:spacing w:before="100"/>
        <w:rPr>
          <w:color w:val="000000"/>
          <w:sz w:val="0"/>
          <w:lang w:val="en-GB"/>
        </w:rPr>
      </w:pPr>
      <w:r w:rsidRPr="00607BDE">
        <w:rPr>
          <w:color w:val="000000"/>
          <w:lang w:val="en-GB"/>
        </w:rPr>
        <w:t>2.1.2. Indicators</w:t>
      </w:r>
    </w:p>
    <w:p w14:paraId="11F5AC42" w14:textId="77777777" w:rsidR="00A77B3E" w:rsidRPr="00607BDE" w:rsidRDefault="00C401B9">
      <w:pPr>
        <w:spacing w:before="100"/>
        <w:rPr>
          <w:color w:val="000000"/>
          <w:sz w:val="12"/>
          <w:lang w:val="en-GB"/>
        </w:rPr>
      </w:pPr>
      <w:r w:rsidRPr="00607BDE">
        <w:rPr>
          <w:color w:val="000000"/>
          <w:lang w:val="en-GB"/>
        </w:rPr>
        <w:t>Reference: Article 22(4)(e) of the Common Provisions Regulation</w:t>
      </w:r>
    </w:p>
    <w:p w14:paraId="18DE2AE8" w14:textId="77777777" w:rsidR="00A77B3E" w:rsidRPr="00607BDE" w:rsidRDefault="00C401B9">
      <w:pPr>
        <w:pStyle w:val="Nagwek4"/>
        <w:spacing w:before="100" w:after="0"/>
        <w:rPr>
          <w:b w:val="0"/>
          <w:color w:val="000000"/>
          <w:sz w:val="24"/>
          <w:lang w:val="en-GB"/>
        </w:rPr>
      </w:pPr>
      <w:bookmarkStart w:id="7" w:name="_Toc128975979"/>
      <w:r w:rsidRPr="00607BDE">
        <w:rPr>
          <w:b w:val="0"/>
          <w:color w:val="000000"/>
          <w:sz w:val="24"/>
          <w:lang w:val="en-GB"/>
        </w:rPr>
        <w:t>Table 2: Result indicators</w:t>
      </w:r>
      <w:bookmarkEnd w:id="7"/>
    </w:p>
    <w:p w14:paraId="1E20D256"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AC7127" w:rsidRPr="00607BDE" w14:paraId="52C7B6FD"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31EEBA" w14:textId="77777777" w:rsidR="00A77B3E" w:rsidRPr="00607BDE" w:rsidRDefault="00C401B9">
            <w:pPr>
              <w:spacing w:before="100"/>
              <w:jc w:val="center"/>
              <w:rPr>
                <w:color w:val="000000"/>
                <w:sz w:val="20"/>
                <w:lang w:val="en-GB"/>
              </w:rPr>
            </w:pPr>
            <w:r w:rsidRPr="00607BDE">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A04C55" w14:textId="77777777" w:rsidR="00A77B3E" w:rsidRPr="00607BDE" w:rsidRDefault="00C401B9">
            <w:pPr>
              <w:spacing w:before="100"/>
              <w:jc w:val="center"/>
              <w:rPr>
                <w:color w:val="000000"/>
                <w:sz w:val="20"/>
                <w:lang w:val="en-GB"/>
              </w:rPr>
            </w:pPr>
            <w:r w:rsidRPr="00607BDE">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9D2EF8" w14:textId="77777777" w:rsidR="00A77B3E" w:rsidRPr="00607BDE" w:rsidRDefault="00C401B9">
            <w:pPr>
              <w:spacing w:before="100"/>
              <w:jc w:val="center"/>
              <w:rPr>
                <w:color w:val="000000"/>
                <w:sz w:val="20"/>
                <w:lang w:val="en-GB"/>
              </w:rPr>
            </w:pPr>
            <w:r w:rsidRPr="00607BDE">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1FD4FC" w14:textId="77777777" w:rsidR="00A77B3E" w:rsidRPr="00607BDE" w:rsidRDefault="00C401B9">
            <w:pPr>
              <w:spacing w:before="100"/>
              <w:jc w:val="center"/>
              <w:rPr>
                <w:color w:val="000000"/>
                <w:sz w:val="20"/>
                <w:lang w:val="en-GB"/>
              </w:rPr>
            </w:pPr>
            <w:r w:rsidRPr="00607BDE">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3A88CE" w14:textId="77777777" w:rsidR="00A77B3E" w:rsidRPr="00607BDE" w:rsidRDefault="00C401B9">
            <w:pPr>
              <w:spacing w:before="100"/>
              <w:jc w:val="center"/>
              <w:rPr>
                <w:color w:val="000000"/>
                <w:sz w:val="20"/>
                <w:lang w:val="en-GB"/>
              </w:rPr>
            </w:pPr>
            <w:r w:rsidRPr="00607BDE">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9F4F0F" w14:textId="77777777" w:rsidR="00A77B3E" w:rsidRPr="00607BDE" w:rsidRDefault="00C401B9">
            <w:pPr>
              <w:spacing w:before="100"/>
              <w:jc w:val="center"/>
              <w:rPr>
                <w:color w:val="000000"/>
                <w:sz w:val="20"/>
                <w:lang w:val="en-GB"/>
              </w:rPr>
            </w:pPr>
            <w:r w:rsidRPr="00607BDE">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A8AE9F" w14:textId="77777777" w:rsidR="00A77B3E" w:rsidRPr="00607BDE" w:rsidRDefault="00C401B9">
            <w:pPr>
              <w:spacing w:before="100"/>
              <w:jc w:val="center"/>
              <w:rPr>
                <w:color w:val="000000"/>
                <w:sz w:val="20"/>
                <w:lang w:val="en-GB"/>
              </w:rPr>
            </w:pPr>
            <w:r w:rsidRPr="00607BDE">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3FB7C5" w14:textId="77777777" w:rsidR="00A77B3E" w:rsidRPr="00607BDE" w:rsidRDefault="00C401B9">
            <w:pPr>
              <w:spacing w:before="100"/>
              <w:jc w:val="center"/>
              <w:rPr>
                <w:color w:val="000000"/>
                <w:sz w:val="20"/>
                <w:lang w:val="en-GB"/>
              </w:rPr>
            </w:pPr>
            <w:r w:rsidRPr="00607BDE">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79C847" w14:textId="77777777" w:rsidR="00A77B3E" w:rsidRPr="00607BDE" w:rsidRDefault="00C401B9">
            <w:pPr>
              <w:spacing w:before="100"/>
              <w:jc w:val="center"/>
              <w:rPr>
                <w:color w:val="000000"/>
                <w:sz w:val="20"/>
                <w:lang w:val="en-GB"/>
              </w:rPr>
            </w:pPr>
            <w:r w:rsidRPr="00607BDE">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04F8C0" w14:textId="77777777" w:rsidR="00A77B3E" w:rsidRPr="00607BDE" w:rsidRDefault="00C401B9">
            <w:pPr>
              <w:spacing w:before="100"/>
              <w:rPr>
                <w:color w:val="000000"/>
                <w:sz w:val="20"/>
                <w:lang w:val="en-GB"/>
              </w:rPr>
            </w:pPr>
            <w:r w:rsidRPr="00607BDE">
              <w:rPr>
                <w:color w:val="000000"/>
                <w:sz w:val="20"/>
                <w:lang w:val="en-GB"/>
              </w:rPr>
              <w:t>Comments</w:t>
            </w:r>
          </w:p>
        </w:tc>
      </w:tr>
      <w:tr w:rsidR="00AC7127" w:rsidRPr="00607BDE" w14:paraId="40EFC55B"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C3EE90" w14:textId="77777777" w:rsidR="00A77B3E" w:rsidRPr="00607BDE" w:rsidRDefault="00C401B9">
            <w:pPr>
              <w:spacing w:before="100"/>
              <w:rPr>
                <w:color w:val="000000"/>
                <w:sz w:val="20"/>
                <w:lang w:val="en-GB"/>
              </w:rPr>
            </w:pPr>
            <w:r w:rsidRPr="00607BDE">
              <w:rPr>
                <w:color w:val="000000"/>
                <w:sz w:val="20"/>
                <w:lang w:val="en-GB"/>
              </w:rPr>
              <w:t>R.1.14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3DE4F" w14:textId="77777777" w:rsidR="00A77B3E" w:rsidRPr="00607BDE" w:rsidRDefault="00C401B9">
            <w:pPr>
              <w:spacing w:before="100"/>
              <w:rPr>
                <w:color w:val="000000"/>
                <w:sz w:val="20"/>
                <w:lang w:val="en-GB"/>
              </w:rPr>
            </w:pPr>
            <w:r w:rsidRPr="00607BDE">
              <w:rPr>
                <w:color w:val="000000"/>
                <w:sz w:val="20"/>
                <w:lang w:val="en-GB"/>
              </w:rPr>
              <w:t>The number of items of equipment registered in the technical equipment pool of the European Border and Coast Guard Agency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447ED"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83706"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83B88D"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BA4C1"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C6E68" w14:textId="77777777" w:rsidR="00A77B3E" w:rsidRPr="00607BDE" w:rsidRDefault="00C401B9">
            <w:pPr>
              <w:spacing w:before="100"/>
              <w:jc w:val="center"/>
              <w:rPr>
                <w:color w:val="000000"/>
                <w:sz w:val="20"/>
                <w:lang w:val="en-GB"/>
              </w:rPr>
            </w:pPr>
            <w:r w:rsidRPr="00607BDE">
              <w:rPr>
                <w:color w:val="000000"/>
                <w:sz w:val="20"/>
                <w:lang w:val="en-GB"/>
              </w:rPr>
              <w:t>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247401"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833D9A" w14:textId="77777777" w:rsidR="00A77B3E" w:rsidRPr="00607BDE" w:rsidRDefault="00C401B9">
            <w:pPr>
              <w:spacing w:before="100"/>
              <w:rPr>
                <w:color w:val="000000"/>
                <w:sz w:val="20"/>
                <w:lang w:val="en-GB"/>
              </w:rPr>
            </w:pPr>
            <w:r w:rsidRPr="00607BDE">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F24B9" w14:textId="77777777" w:rsidR="00A77B3E" w:rsidRPr="00607BDE" w:rsidRDefault="00C401B9">
            <w:pPr>
              <w:spacing w:before="100"/>
              <w:rPr>
                <w:color w:val="000000"/>
                <w:sz w:val="20"/>
                <w:lang w:val="en-GB"/>
              </w:rPr>
            </w:pPr>
            <w:r w:rsidRPr="00607BDE">
              <w:rPr>
                <w:color w:val="000000"/>
                <w:sz w:val="20"/>
                <w:lang w:val="en-GB"/>
              </w:rPr>
              <w:t>The value of the indicator covers, in addition to means of transport purchased under the BMVI Programme, also Specific Action BMVI/2021-2022/SA/1.2.1/005.</w:t>
            </w:r>
          </w:p>
          <w:p w14:paraId="379096A3" w14:textId="77777777" w:rsidR="00A77B3E" w:rsidRPr="00607BDE" w:rsidRDefault="00C401B9">
            <w:pPr>
              <w:spacing w:before="100"/>
              <w:rPr>
                <w:color w:val="000000"/>
                <w:sz w:val="20"/>
                <w:lang w:val="en-GB"/>
              </w:rPr>
            </w:pPr>
            <w:r w:rsidRPr="00607BDE">
              <w:rPr>
                <w:color w:val="000000"/>
                <w:sz w:val="20"/>
                <w:lang w:val="en-GB"/>
              </w:rPr>
              <w:t>It does not cover BMVI/2021/SA/1.5.8 Working package 2. Explanation is provided in the methodology.</w:t>
            </w:r>
          </w:p>
        </w:tc>
      </w:tr>
      <w:tr w:rsidR="00AC7127" w:rsidRPr="00607BDE" w14:paraId="70AF2F9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2FB3D" w14:textId="77777777" w:rsidR="00A77B3E" w:rsidRPr="00607BDE" w:rsidRDefault="00C401B9">
            <w:pPr>
              <w:spacing w:before="100"/>
              <w:rPr>
                <w:color w:val="000000"/>
                <w:sz w:val="20"/>
                <w:lang w:val="en-GB"/>
              </w:rPr>
            </w:pPr>
            <w:r w:rsidRPr="00607BDE">
              <w:rPr>
                <w:color w:val="000000"/>
                <w:sz w:val="20"/>
                <w:lang w:val="en-GB"/>
              </w:rPr>
              <w:t>R.1.15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D426D" w14:textId="77777777" w:rsidR="00A77B3E" w:rsidRPr="00607BDE" w:rsidRDefault="00C401B9">
            <w:pPr>
              <w:spacing w:before="100"/>
              <w:rPr>
                <w:color w:val="000000"/>
                <w:sz w:val="20"/>
                <w:lang w:val="en-GB"/>
              </w:rPr>
            </w:pPr>
            <w:r w:rsidRPr="00607BDE">
              <w:rPr>
                <w:color w:val="000000"/>
                <w:sz w:val="20"/>
                <w:lang w:val="en-GB"/>
              </w:rPr>
              <w:t>The number of items of equipment put at the disposal of the European Border Coast Guard Agency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8A45B0"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02E9B"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8B698"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1A73B"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95D40" w14:textId="77777777" w:rsidR="00A77B3E" w:rsidRPr="00607BDE" w:rsidRDefault="00C401B9">
            <w:pPr>
              <w:spacing w:before="100"/>
              <w:jc w:val="center"/>
              <w:rPr>
                <w:color w:val="000000"/>
                <w:sz w:val="20"/>
                <w:lang w:val="en-GB"/>
              </w:rPr>
            </w:pPr>
            <w:r w:rsidRPr="00607BDE">
              <w:rPr>
                <w:color w:val="000000"/>
                <w:sz w:val="20"/>
                <w:lang w:val="en-GB"/>
              </w:rPr>
              <w:t>27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6B196C"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BB0E6A" w14:textId="77777777" w:rsidR="00A77B3E" w:rsidRPr="00607BDE" w:rsidRDefault="00C401B9">
            <w:pPr>
              <w:spacing w:before="100"/>
              <w:rPr>
                <w:color w:val="000000"/>
                <w:sz w:val="20"/>
                <w:lang w:val="en-GB"/>
              </w:rPr>
            </w:pPr>
            <w:r w:rsidRPr="00607BDE">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4CB9B" w14:textId="77777777" w:rsidR="00A77B3E" w:rsidRPr="00607BDE" w:rsidRDefault="00C401B9">
            <w:pPr>
              <w:spacing w:before="100"/>
              <w:rPr>
                <w:color w:val="000000"/>
                <w:sz w:val="20"/>
                <w:lang w:val="en-GB"/>
              </w:rPr>
            </w:pPr>
            <w:r w:rsidRPr="00607BDE">
              <w:rPr>
                <w:color w:val="000000"/>
                <w:sz w:val="20"/>
                <w:lang w:val="en-GB"/>
              </w:rPr>
              <w:t>The value of the indicator covers, in addition to means of transport purchased under the BMVI Programme, also Specific Action BMVI/2021-2022/SA/1.2.1/005.</w:t>
            </w:r>
          </w:p>
          <w:p w14:paraId="3CA3BDA5" w14:textId="77777777" w:rsidR="00A77B3E" w:rsidRPr="00607BDE" w:rsidRDefault="00C401B9">
            <w:pPr>
              <w:spacing w:before="100"/>
              <w:rPr>
                <w:color w:val="000000"/>
                <w:sz w:val="20"/>
                <w:lang w:val="en-GB"/>
              </w:rPr>
            </w:pPr>
            <w:r w:rsidRPr="00607BDE">
              <w:rPr>
                <w:color w:val="000000"/>
                <w:sz w:val="20"/>
                <w:lang w:val="en-GB"/>
              </w:rPr>
              <w:lastRenderedPageBreak/>
              <w:t>It does not cover BMVI/2021/SA/1.5.8 Working package 2. Explanation is provided in the methodology.</w:t>
            </w:r>
          </w:p>
        </w:tc>
      </w:tr>
      <w:tr w:rsidR="00AC7127" w:rsidRPr="00607BDE" w14:paraId="3F9145C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1AD18" w14:textId="77777777" w:rsidR="00A77B3E" w:rsidRPr="00607BDE" w:rsidRDefault="00C401B9">
            <w:pPr>
              <w:spacing w:before="100"/>
              <w:rPr>
                <w:color w:val="000000"/>
                <w:sz w:val="20"/>
                <w:lang w:val="en-GB"/>
              </w:rPr>
            </w:pPr>
            <w:r w:rsidRPr="00607BDE">
              <w:rPr>
                <w:color w:val="000000"/>
                <w:sz w:val="20"/>
                <w:lang w:val="en-GB"/>
              </w:rPr>
              <w:lastRenderedPageBreak/>
              <w:t>R.1.16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1A214D" w14:textId="77777777" w:rsidR="00A77B3E" w:rsidRPr="00607BDE" w:rsidRDefault="00C401B9">
            <w:pPr>
              <w:spacing w:before="100"/>
              <w:rPr>
                <w:color w:val="000000"/>
                <w:sz w:val="20"/>
                <w:lang w:val="en-GB"/>
              </w:rPr>
            </w:pPr>
            <w:r w:rsidRPr="00607BDE">
              <w:rPr>
                <w:color w:val="000000"/>
                <w:sz w:val="20"/>
                <w:lang w:val="en-GB"/>
              </w:rPr>
              <w:t>The number of initiated/improved forms of cooperation of national authorities with the EUROSUR national coordination centres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7C4790"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228D2"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4BB09"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80B54"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7852A" w14:textId="77777777" w:rsidR="00A77B3E" w:rsidRPr="00607BDE" w:rsidRDefault="00C401B9">
            <w:pPr>
              <w:spacing w:before="100"/>
              <w:jc w:val="center"/>
              <w:rPr>
                <w:color w:val="000000"/>
                <w:sz w:val="20"/>
                <w:lang w:val="en-GB"/>
              </w:rPr>
            </w:pPr>
            <w:r w:rsidRPr="00607BDE">
              <w:rPr>
                <w:color w:val="000000"/>
                <w:sz w:val="20"/>
                <w:lang w:val="en-GB"/>
              </w:rPr>
              <w:t>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5C423F"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66483F" w14:textId="77777777" w:rsidR="00A77B3E" w:rsidRPr="00607BDE" w:rsidRDefault="00C401B9">
            <w:pPr>
              <w:spacing w:before="100"/>
              <w:rPr>
                <w:color w:val="000000"/>
                <w:sz w:val="20"/>
                <w:lang w:val="en-GB"/>
              </w:rPr>
            </w:pPr>
            <w:r w:rsidRPr="00607BDE">
              <w:rPr>
                <w:color w:val="000000"/>
                <w:sz w:val="20"/>
                <w:lang w:val="en-GB"/>
              </w:rPr>
              <w:t>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E7F2B" w14:textId="77777777" w:rsidR="00A77B3E" w:rsidRPr="00607BDE" w:rsidRDefault="00C401B9">
            <w:pPr>
              <w:spacing w:before="100"/>
              <w:rPr>
                <w:color w:val="000000"/>
                <w:sz w:val="20"/>
                <w:lang w:val="en-GB"/>
              </w:rPr>
            </w:pPr>
            <w:r w:rsidRPr="00607BDE">
              <w:rPr>
                <w:color w:val="000000"/>
                <w:sz w:val="20"/>
                <w:lang w:val="en-GB"/>
              </w:rPr>
              <w:t>The indicator covers: modernisation of the ZSRN, the perimeter system, Working Package 1 from BMVI/2021/SA/1.5.8 and 1 EUROSUR component covering BMVI Programme actions. Each action is counted as one component.</w:t>
            </w:r>
          </w:p>
        </w:tc>
      </w:tr>
      <w:tr w:rsidR="00AC7127" w:rsidRPr="00607BDE" w14:paraId="0D90756D"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2E9CC3" w14:textId="77777777" w:rsidR="00A77B3E" w:rsidRPr="00607BDE" w:rsidRDefault="00C401B9">
            <w:pPr>
              <w:spacing w:before="100"/>
              <w:rPr>
                <w:color w:val="000000"/>
                <w:sz w:val="20"/>
                <w:lang w:val="en-GB"/>
              </w:rPr>
            </w:pPr>
            <w:r w:rsidRPr="00607BDE">
              <w:rPr>
                <w:color w:val="000000"/>
                <w:sz w:val="20"/>
                <w:lang w:val="en-GB"/>
              </w:rPr>
              <w:t>R.1.17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0CAE4" w14:textId="77777777" w:rsidR="00A77B3E" w:rsidRPr="00607BDE" w:rsidRDefault="00C401B9">
            <w:pPr>
              <w:spacing w:before="100"/>
              <w:rPr>
                <w:color w:val="000000"/>
                <w:sz w:val="20"/>
                <w:lang w:val="en-GB"/>
              </w:rPr>
            </w:pPr>
            <w:r w:rsidRPr="00607BDE">
              <w:rPr>
                <w:color w:val="000000"/>
                <w:sz w:val="20"/>
                <w:lang w:val="en-GB"/>
              </w:rPr>
              <w:t>The number of border crossings through automated border control systems and e-gates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475CD"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1825BF"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6CD5EB" w14:textId="77777777" w:rsidR="00A77B3E" w:rsidRPr="00607BDE" w:rsidRDefault="00C401B9">
            <w:pPr>
              <w:spacing w:before="100"/>
              <w:rPr>
                <w:color w:val="000000"/>
                <w:sz w:val="20"/>
                <w:lang w:val="en-GB"/>
              </w:rPr>
            </w:pPr>
            <w:r w:rsidRPr="00607BDE">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5787CA"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12E1E" w14:textId="77777777" w:rsidR="00A77B3E" w:rsidRPr="00607BDE" w:rsidRDefault="00C401B9">
            <w:pPr>
              <w:spacing w:before="100"/>
              <w:jc w:val="center"/>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5317A8"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F4AF2" w14:textId="77777777" w:rsidR="00A77B3E" w:rsidRPr="00607BDE" w:rsidRDefault="00C401B9">
            <w:pPr>
              <w:spacing w:before="100"/>
              <w:rPr>
                <w:color w:val="000000"/>
                <w:sz w:val="20"/>
                <w:lang w:val="en-GB"/>
              </w:rPr>
            </w:pPr>
            <w:r w:rsidRPr="00607BDE">
              <w:rPr>
                <w:color w:val="000000"/>
                <w:sz w:val="20"/>
                <w:lang w:val="en-GB"/>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AAE142" w14:textId="77777777" w:rsidR="00A77B3E" w:rsidRPr="00607BDE" w:rsidRDefault="00C401B9">
            <w:pPr>
              <w:spacing w:before="100"/>
              <w:rPr>
                <w:color w:val="000000"/>
                <w:sz w:val="20"/>
                <w:lang w:val="en-GB"/>
              </w:rPr>
            </w:pPr>
            <w:r w:rsidRPr="00607BDE">
              <w:rPr>
                <w:color w:val="000000"/>
                <w:sz w:val="20"/>
                <w:lang w:val="en-GB"/>
              </w:rPr>
              <w:t>N/A</w:t>
            </w:r>
          </w:p>
        </w:tc>
      </w:tr>
      <w:tr w:rsidR="00AC7127" w:rsidRPr="00607BDE" w14:paraId="2AB2394D"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57EE8" w14:textId="77777777" w:rsidR="00A77B3E" w:rsidRPr="00607BDE" w:rsidRDefault="00C401B9">
            <w:pPr>
              <w:spacing w:before="100"/>
              <w:rPr>
                <w:color w:val="000000"/>
                <w:sz w:val="20"/>
                <w:lang w:val="en-GB"/>
              </w:rPr>
            </w:pPr>
            <w:r w:rsidRPr="00607BDE">
              <w:rPr>
                <w:color w:val="000000"/>
                <w:sz w:val="20"/>
                <w:lang w:val="en-GB"/>
              </w:rPr>
              <w:t>R.1.18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127FD8" w14:textId="77777777" w:rsidR="00A77B3E" w:rsidRPr="00607BDE" w:rsidRDefault="00C401B9">
            <w:pPr>
              <w:spacing w:before="100"/>
              <w:rPr>
                <w:color w:val="000000"/>
                <w:sz w:val="20"/>
                <w:lang w:val="en-GB"/>
              </w:rPr>
            </w:pPr>
            <w:r w:rsidRPr="00607BDE">
              <w:rPr>
                <w:color w:val="000000"/>
                <w:sz w:val="20"/>
                <w:lang w:val="en-GB"/>
              </w:rPr>
              <w:t>The number of addressed recommendations from Schengen evaluations and from vulnerability assessments in the area of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F5B29"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8F7A1"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E0BD1F"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41BBD"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8F474" w14:textId="77777777" w:rsidR="00A77B3E" w:rsidRPr="00607BDE" w:rsidRDefault="00C401B9">
            <w:pPr>
              <w:spacing w:before="100"/>
              <w:jc w:val="center"/>
              <w:rPr>
                <w:color w:val="000000"/>
                <w:sz w:val="20"/>
                <w:lang w:val="en-GB"/>
              </w:rPr>
            </w:pPr>
            <w:r w:rsidRPr="00607BDE">
              <w:rPr>
                <w:color w:val="000000"/>
                <w:sz w:val="20"/>
                <w:lang w:val="en-GB"/>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6FB54" w14:textId="77777777" w:rsidR="00A77B3E" w:rsidRPr="00607BDE" w:rsidRDefault="00C401B9">
            <w:pPr>
              <w:spacing w:before="100"/>
              <w:rPr>
                <w:color w:val="000000"/>
                <w:sz w:val="20"/>
                <w:lang w:val="en-GB"/>
              </w:rPr>
            </w:pPr>
            <w:r w:rsidRPr="00607BDE">
              <w:rPr>
                <w:color w:val="000000"/>
                <w:sz w:val="20"/>
                <w:lang w:val="en-GB"/>
              </w:rPr>
              <w:t>percentage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4A2A6" w14:textId="77777777" w:rsidR="00A77B3E" w:rsidRPr="00607BDE" w:rsidRDefault="00C401B9">
            <w:pPr>
              <w:spacing w:before="100"/>
              <w:rPr>
                <w:color w:val="000000"/>
                <w:sz w:val="20"/>
                <w:lang w:val="en-GB"/>
              </w:rPr>
            </w:pPr>
            <w:r w:rsidRPr="00607BDE">
              <w:rPr>
                <w:color w:val="000000"/>
                <w:sz w:val="20"/>
                <w:lang w:val="en-GB"/>
              </w:rPr>
              <w:t>Project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30B20B" w14:textId="77777777" w:rsidR="00A77B3E" w:rsidRPr="00607BDE" w:rsidRDefault="00C401B9">
            <w:pPr>
              <w:spacing w:before="100"/>
              <w:rPr>
                <w:color w:val="000000"/>
                <w:sz w:val="20"/>
                <w:lang w:val="en-GB"/>
              </w:rPr>
            </w:pPr>
            <w:r w:rsidRPr="00607BDE">
              <w:rPr>
                <w:color w:val="000000"/>
                <w:sz w:val="20"/>
                <w:lang w:val="en-GB"/>
              </w:rPr>
              <w:t>Measurement unit: percent.</w:t>
            </w:r>
          </w:p>
          <w:p w14:paraId="4C2B0D83" w14:textId="77777777" w:rsidR="00A77B3E" w:rsidRPr="00607BDE" w:rsidRDefault="00C401B9">
            <w:pPr>
              <w:spacing w:before="100"/>
              <w:rPr>
                <w:color w:val="000000"/>
                <w:sz w:val="20"/>
                <w:lang w:val="en-GB"/>
              </w:rPr>
            </w:pPr>
            <w:r w:rsidRPr="00607BDE">
              <w:rPr>
                <w:color w:val="000000"/>
                <w:sz w:val="20"/>
                <w:lang w:val="en-GB"/>
              </w:rPr>
              <w:t>Recommendation regarding purchase and training of working dogs (100%)</w:t>
            </w:r>
          </w:p>
        </w:tc>
      </w:tr>
      <w:tr w:rsidR="00AC7127" w:rsidRPr="00607BDE" w14:paraId="66FDD9C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4D093B" w14:textId="77777777" w:rsidR="00A77B3E" w:rsidRPr="00607BDE" w:rsidRDefault="00C401B9">
            <w:pPr>
              <w:spacing w:before="100"/>
              <w:rPr>
                <w:color w:val="000000"/>
                <w:sz w:val="20"/>
                <w:lang w:val="en-GB"/>
              </w:rPr>
            </w:pPr>
            <w:r w:rsidRPr="00607BDE">
              <w:rPr>
                <w:color w:val="000000"/>
                <w:sz w:val="20"/>
                <w:lang w:val="en-GB"/>
              </w:rPr>
              <w:lastRenderedPageBreak/>
              <w:t>R.1.19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67D023" w14:textId="77777777" w:rsidR="00A77B3E" w:rsidRPr="00607BDE" w:rsidRDefault="00C401B9">
            <w:pPr>
              <w:spacing w:before="100"/>
              <w:rPr>
                <w:color w:val="000000"/>
                <w:sz w:val="20"/>
                <w:lang w:val="en-GB"/>
              </w:rPr>
            </w:pPr>
            <w:r w:rsidRPr="00607BDE">
              <w:rPr>
                <w:color w:val="000000"/>
                <w:sz w:val="20"/>
                <w:lang w:val="en-GB"/>
              </w:rPr>
              <w:t>The number of participants who report three months after a training activity that they are using the skills and competences acquired during that training activity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88EEE"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00D7C"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243C3" w14:textId="77777777" w:rsidR="00A77B3E" w:rsidRPr="00607BDE" w:rsidRDefault="00C401B9">
            <w:pPr>
              <w:spacing w:before="100"/>
              <w:rPr>
                <w:color w:val="000000"/>
                <w:sz w:val="20"/>
                <w:lang w:val="en-GB"/>
              </w:rPr>
            </w:pPr>
            <w:r w:rsidRPr="00607BDE">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3E511A"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A344D" w14:textId="77777777" w:rsidR="00A77B3E" w:rsidRPr="00607BDE" w:rsidRDefault="00C401B9">
            <w:pPr>
              <w:spacing w:before="100"/>
              <w:jc w:val="center"/>
              <w:rPr>
                <w:color w:val="000000"/>
                <w:sz w:val="20"/>
                <w:lang w:val="en-GB"/>
              </w:rPr>
            </w:pPr>
            <w:r w:rsidRPr="00607BDE">
              <w:rPr>
                <w:color w:val="000000"/>
                <w:sz w:val="20"/>
                <w:lang w:val="en-GB"/>
              </w:rPr>
              <w:t>2,400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75505A"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8797F" w14:textId="77777777" w:rsidR="00A77B3E" w:rsidRPr="00607BDE" w:rsidRDefault="00C401B9">
            <w:pPr>
              <w:spacing w:before="100"/>
              <w:rPr>
                <w:color w:val="000000"/>
                <w:sz w:val="20"/>
                <w:lang w:val="en-GB"/>
              </w:rPr>
            </w:pPr>
            <w:r w:rsidRPr="00607BDE">
              <w:rPr>
                <w:color w:val="000000"/>
                <w:sz w:val="20"/>
                <w:lang w:val="en-GB"/>
              </w:rPr>
              <w:t>Projects / evaluation surveys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79A6B9" w14:textId="77777777" w:rsidR="00A77B3E" w:rsidRPr="00607BDE" w:rsidRDefault="00C401B9">
            <w:pPr>
              <w:spacing w:before="100"/>
              <w:rPr>
                <w:color w:val="000000"/>
                <w:sz w:val="20"/>
                <w:lang w:val="en-GB"/>
              </w:rPr>
            </w:pPr>
            <w:r w:rsidRPr="00607BDE">
              <w:rPr>
                <w:color w:val="000000"/>
                <w:sz w:val="20"/>
                <w:lang w:val="en-GB"/>
              </w:rPr>
              <w:t>It is assumed that the specified number of trained participants confirm within 3 to 6 months after a training activity that they are using the acquired knowledge. The specified number is 70% of the total number of participants.</w:t>
            </w:r>
          </w:p>
        </w:tc>
      </w:tr>
      <w:tr w:rsidR="00AC7127" w:rsidRPr="00607BDE" w14:paraId="3457DB63"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88794" w14:textId="77777777" w:rsidR="00A77B3E" w:rsidRPr="00607BDE" w:rsidRDefault="00C401B9">
            <w:pPr>
              <w:spacing w:before="100"/>
              <w:rPr>
                <w:color w:val="000000"/>
                <w:sz w:val="20"/>
                <w:lang w:val="en-GB"/>
              </w:rPr>
            </w:pPr>
            <w:r w:rsidRPr="00607BDE">
              <w:rPr>
                <w:color w:val="000000"/>
                <w:sz w:val="20"/>
                <w:lang w:val="en-GB"/>
              </w:rPr>
              <w:t>R.1.20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95FBE6" w14:textId="77777777" w:rsidR="00A77B3E" w:rsidRPr="00607BDE" w:rsidRDefault="00C401B9">
            <w:pPr>
              <w:spacing w:before="100"/>
              <w:rPr>
                <w:color w:val="000000"/>
                <w:sz w:val="20"/>
                <w:lang w:val="en-GB"/>
              </w:rPr>
            </w:pPr>
            <w:r w:rsidRPr="00607BDE">
              <w:rPr>
                <w:color w:val="000000"/>
                <w:sz w:val="20"/>
                <w:lang w:val="en-GB"/>
              </w:rPr>
              <w:t>The number of persons refused entry by border authorities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ED9D2A"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342C8"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15A323"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203D32"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D88BF2" w14:textId="77777777" w:rsidR="00A77B3E" w:rsidRPr="00607BDE" w:rsidRDefault="00C401B9">
            <w:pPr>
              <w:spacing w:before="100"/>
              <w:jc w:val="center"/>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D8227"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6F7B3" w14:textId="77777777" w:rsidR="00A77B3E" w:rsidRPr="00607BDE" w:rsidRDefault="00C401B9">
            <w:pPr>
              <w:spacing w:before="100"/>
              <w:rPr>
                <w:color w:val="000000"/>
                <w:sz w:val="20"/>
                <w:lang w:val="en-GB"/>
              </w:rPr>
            </w:pPr>
            <w:r w:rsidRPr="00607BDE">
              <w:rPr>
                <w:color w:val="000000"/>
                <w:sz w:val="20"/>
                <w:lang w:val="en-GB"/>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9463A" w14:textId="77777777" w:rsidR="00A77B3E" w:rsidRPr="00607BDE" w:rsidRDefault="00C401B9">
            <w:pPr>
              <w:spacing w:before="100"/>
              <w:rPr>
                <w:color w:val="000000"/>
                <w:sz w:val="20"/>
                <w:lang w:val="en-GB"/>
              </w:rPr>
            </w:pPr>
            <w:r w:rsidRPr="00607BDE">
              <w:rPr>
                <w:color w:val="000000"/>
                <w:sz w:val="20"/>
                <w:lang w:val="en-GB"/>
              </w:rPr>
              <w:t>N/A</w:t>
            </w:r>
          </w:p>
        </w:tc>
      </w:tr>
    </w:tbl>
    <w:p w14:paraId="29884746" w14:textId="77777777" w:rsidR="00A77B3E" w:rsidRPr="00607BDE" w:rsidRDefault="00A77B3E">
      <w:pPr>
        <w:spacing w:before="100"/>
        <w:rPr>
          <w:color w:val="000000"/>
          <w:sz w:val="20"/>
          <w:lang w:val="en-GB"/>
        </w:rPr>
        <w:sectPr w:rsidR="00A77B3E" w:rsidRPr="00607BDE">
          <w:headerReference w:type="even" r:id="rId21"/>
          <w:headerReference w:type="default" r:id="rId22"/>
          <w:footerReference w:type="even" r:id="rId23"/>
          <w:footerReference w:type="default" r:id="rId24"/>
          <w:headerReference w:type="first" r:id="rId25"/>
          <w:footerReference w:type="first" r:id="rId26"/>
          <w:pgSz w:w="16838" w:h="11906" w:orient="landscape"/>
          <w:pgMar w:top="720" w:right="720" w:bottom="864" w:left="936" w:header="288" w:footer="72" w:gutter="0"/>
          <w:cols w:space="720"/>
          <w:noEndnote/>
          <w:docGrid w:linePitch="360"/>
        </w:sectPr>
      </w:pPr>
    </w:p>
    <w:p w14:paraId="6C2307E4" w14:textId="77777777" w:rsidR="00A77B3E" w:rsidRPr="00607BDE" w:rsidRDefault="00C401B9">
      <w:pPr>
        <w:spacing w:before="100"/>
        <w:rPr>
          <w:color w:val="000000"/>
          <w:sz w:val="0"/>
          <w:lang w:val="en-GB"/>
        </w:rPr>
      </w:pPr>
      <w:r w:rsidRPr="00607BDE">
        <w:rPr>
          <w:color w:val="000000"/>
          <w:lang w:val="en-GB"/>
        </w:rPr>
        <w:lastRenderedPageBreak/>
        <w:t>2.1. Specific objective 1. European integrated border management</w:t>
      </w:r>
    </w:p>
    <w:p w14:paraId="16F2B044" w14:textId="77777777" w:rsidR="00A77B3E" w:rsidRPr="00607BDE" w:rsidRDefault="00C401B9">
      <w:pPr>
        <w:pStyle w:val="Nagwek3"/>
        <w:spacing w:before="100" w:after="0"/>
        <w:rPr>
          <w:rFonts w:ascii="Times New Roman" w:hAnsi="Times New Roman" w:cs="Times New Roman"/>
          <w:b w:val="0"/>
          <w:color w:val="000000"/>
          <w:sz w:val="24"/>
          <w:lang w:val="en-GB"/>
        </w:rPr>
      </w:pPr>
      <w:bookmarkStart w:id="8" w:name="_Toc128975980"/>
      <w:r w:rsidRPr="00607BDE">
        <w:rPr>
          <w:rFonts w:ascii="Times New Roman" w:hAnsi="Times New Roman" w:cs="Times New Roman"/>
          <w:b w:val="0"/>
          <w:color w:val="000000"/>
          <w:sz w:val="24"/>
          <w:lang w:val="en-GB"/>
        </w:rPr>
        <w:t>2.1.3. Indicative breakdown of programme resources (EU) by type of intervention</w:t>
      </w:r>
      <w:bookmarkEnd w:id="8"/>
    </w:p>
    <w:p w14:paraId="7760CCAF" w14:textId="77777777" w:rsidR="00A77B3E" w:rsidRPr="00607BDE" w:rsidRDefault="00C401B9">
      <w:pPr>
        <w:spacing w:before="100"/>
        <w:rPr>
          <w:color w:val="000000"/>
          <w:lang w:val="en-GB"/>
        </w:rPr>
      </w:pPr>
      <w:r w:rsidRPr="00607BDE">
        <w:rPr>
          <w:color w:val="000000"/>
          <w:lang w:val="en-GB"/>
        </w:rPr>
        <w:t>Reference: Article 22(5) of the Common Provisions Regulation and Article 16(12) of the AMIF Regulation, Article 13(12) of the ISF Regulation or Article 13(18) of the BMVI Regulation</w:t>
      </w:r>
    </w:p>
    <w:p w14:paraId="57994750" w14:textId="77777777" w:rsidR="00A77B3E" w:rsidRPr="00607BDE" w:rsidRDefault="00C401B9">
      <w:pPr>
        <w:pStyle w:val="Nagwek4"/>
        <w:spacing w:before="100" w:after="0"/>
        <w:rPr>
          <w:b w:val="0"/>
          <w:color w:val="000000"/>
          <w:sz w:val="24"/>
          <w:lang w:val="en-GB"/>
        </w:rPr>
      </w:pPr>
      <w:bookmarkStart w:id="9" w:name="_Toc128975981"/>
      <w:r w:rsidRPr="00607BDE">
        <w:rPr>
          <w:b w:val="0"/>
          <w:color w:val="000000"/>
          <w:sz w:val="24"/>
          <w:lang w:val="en-GB"/>
        </w:rPr>
        <w:t>Table 3: Indicative breakdown</w:t>
      </w:r>
      <w:bookmarkEnd w:id="9"/>
    </w:p>
    <w:p w14:paraId="2E51BE13"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1299"/>
        <w:gridCol w:w="2210"/>
      </w:tblGrid>
      <w:tr w:rsidR="00AC7127" w:rsidRPr="00607BDE" w14:paraId="5DB9C00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5BBF7" w14:textId="77777777" w:rsidR="00A77B3E" w:rsidRPr="00607BDE" w:rsidRDefault="00C401B9">
            <w:pPr>
              <w:spacing w:before="100"/>
              <w:rPr>
                <w:color w:val="000000"/>
                <w:sz w:val="20"/>
                <w:lang w:val="en-GB"/>
              </w:rPr>
            </w:pPr>
            <w:r w:rsidRPr="00607BDE">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38BD22" w14:textId="77777777" w:rsidR="00A77B3E" w:rsidRPr="00607BDE" w:rsidRDefault="00C401B9">
            <w:pPr>
              <w:spacing w:before="100"/>
              <w:rPr>
                <w:color w:val="000000"/>
                <w:sz w:val="20"/>
                <w:lang w:val="en-GB"/>
              </w:rPr>
            </w:pPr>
            <w:r w:rsidRPr="00607BDE">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BCA95B" w14:textId="77777777" w:rsidR="00A77B3E" w:rsidRPr="00607BDE" w:rsidRDefault="00C401B9">
            <w:pPr>
              <w:spacing w:before="100"/>
              <w:jc w:val="right"/>
              <w:rPr>
                <w:color w:val="000000"/>
                <w:sz w:val="20"/>
                <w:lang w:val="en-GB"/>
              </w:rPr>
            </w:pPr>
            <w:r w:rsidRPr="00607BDE">
              <w:rPr>
                <w:color w:val="000000"/>
                <w:sz w:val="20"/>
                <w:lang w:val="en-GB"/>
              </w:rPr>
              <w:t>Indicative amount (in EUR)</w:t>
            </w:r>
          </w:p>
        </w:tc>
      </w:tr>
      <w:tr w:rsidR="00AC7127" w:rsidRPr="00607BDE" w14:paraId="7ABD02A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8C0AF"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4C1E0" w14:textId="77777777" w:rsidR="00A77B3E" w:rsidRPr="00607BDE" w:rsidRDefault="00C401B9">
            <w:pPr>
              <w:spacing w:before="100"/>
              <w:rPr>
                <w:color w:val="000000"/>
                <w:sz w:val="20"/>
                <w:lang w:val="en-GB"/>
              </w:rPr>
            </w:pPr>
            <w:r w:rsidRPr="00607BDE">
              <w:rPr>
                <w:color w:val="000000"/>
                <w:sz w:val="20"/>
                <w:lang w:val="en-GB"/>
              </w:rPr>
              <w:t xml:space="preserve">001.Border checks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EB972" w14:textId="77777777" w:rsidR="00A77B3E" w:rsidRPr="00607BDE" w:rsidRDefault="00C401B9">
            <w:pPr>
              <w:spacing w:before="100"/>
              <w:jc w:val="right"/>
              <w:rPr>
                <w:color w:val="000000"/>
                <w:sz w:val="20"/>
                <w:lang w:val="en-GB"/>
              </w:rPr>
            </w:pPr>
            <w:r w:rsidRPr="00607BDE">
              <w:rPr>
                <w:color w:val="000000"/>
                <w:sz w:val="20"/>
                <w:lang w:val="en-GB"/>
              </w:rPr>
              <w:t>1,460,000.00</w:t>
            </w:r>
          </w:p>
        </w:tc>
      </w:tr>
      <w:tr w:rsidR="00AC7127" w:rsidRPr="00607BDE" w14:paraId="7208FD3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1CDD39"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5FB20B" w14:textId="77777777" w:rsidR="00A77B3E" w:rsidRPr="00607BDE" w:rsidRDefault="00C401B9">
            <w:pPr>
              <w:spacing w:before="100"/>
              <w:rPr>
                <w:color w:val="000000"/>
                <w:sz w:val="20"/>
                <w:lang w:val="en-GB"/>
              </w:rPr>
            </w:pPr>
            <w:r w:rsidRPr="00607BDE">
              <w:rPr>
                <w:color w:val="000000"/>
                <w:sz w:val="20"/>
                <w:lang w:val="en-GB"/>
              </w:rPr>
              <w:t>002.Border surveillance – air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3E1DC6"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02C5C43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7CB80"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76CC23" w14:textId="77777777" w:rsidR="00A77B3E" w:rsidRPr="00607BDE" w:rsidRDefault="00C401B9">
            <w:pPr>
              <w:spacing w:before="100"/>
              <w:rPr>
                <w:color w:val="000000"/>
                <w:sz w:val="20"/>
                <w:lang w:val="en-GB"/>
              </w:rPr>
            </w:pPr>
            <w:r w:rsidRPr="00607BDE">
              <w:rPr>
                <w:color w:val="000000"/>
                <w:sz w:val="20"/>
                <w:lang w:val="en-GB"/>
              </w:rPr>
              <w:t>003.Border surveillance – land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21E01" w14:textId="77777777" w:rsidR="00A77B3E" w:rsidRPr="00607BDE" w:rsidRDefault="00C401B9">
            <w:pPr>
              <w:spacing w:before="100"/>
              <w:jc w:val="right"/>
              <w:rPr>
                <w:color w:val="000000"/>
                <w:sz w:val="20"/>
                <w:lang w:val="en-GB"/>
              </w:rPr>
            </w:pPr>
            <w:r w:rsidRPr="00607BDE">
              <w:rPr>
                <w:color w:val="000000"/>
                <w:sz w:val="20"/>
                <w:lang w:val="en-GB"/>
              </w:rPr>
              <w:t>5,428,999.82</w:t>
            </w:r>
          </w:p>
        </w:tc>
      </w:tr>
      <w:tr w:rsidR="00AC7127" w:rsidRPr="00607BDE" w14:paraId="0638B1E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042546"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6E558" w14:textId="77777777" w:rsidR="00A77B3E" w:rsidRPr="00607BDE" w:rsidRDefault="00C401B9">
            <w:pPr>
              <w:spacing w:before="100"/>
              <w:rPr>
                <w:color w:val="000000"/>
                <w:sz w:val="20"/>
                <w:lang w:val="en-GB"/>
              </w:rPr>
            </w:pPr>
            <w:r w:rsidRPr="00607BDE">
              <w:rPr>
                <w:color w:val="000000"/>
                <w:sz w:val="20"/>
                <w:lang w:val="en-GB"/>
              </w:rPr>
              <w:t>004.Border surveillance – maritime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693590"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18B31F4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E980E"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EC2B72" w14:textId="77777777" w:rsidR="00A77B3E" w:rsidRPr="00607BDE" w:rsidRDefault="00C401B9">
            <w:pPr>
              <w:spacing w:before="100"/>
              <w:rPr>
                <w:color w:val="000000"/>
                <w:sz w:val="20"/>
                <w:lang w:val="en-GB"/>
              </w:rPr>
            </w:pPr>
            <w:r w:rsidRPr="00607BDE">
              <w:rPr>
                <w:color w:val="000000"/>
                <w:sz w:val="20"/>
                <w:lang w:val="en-GB"/>
              </w:rPr>
              <w:t>005.Border surveillance – automated border surveillance systems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4BB6DD" w14:textId="77777777" w:rsidR="00A77B3E" w:rsidRPr="00607BDE" w:rsidRDefault="00C401B9">
            <w:pPr>
              <w:spacing w:before="100"/>
              <w:jc w:val="right"/>
              <w:rPr>
                <w:color w:val="000000"/>
                <w:sz w:val="20"/>
                <w:lang w:val="en-GB"/>
              </w:rPr>
            </w:pPr>
            <w:r w:rsidRPr="00607BDE">
              <w:rPr>
                <w:color w:val="000000"/>
                <w:sz w:val="20"/>
                <w:lang w:val="en-GB"/>
              </w:rPr>
              <w:t>111,566,547.03</w:t>
            </w:r>
          </w:p>
        </w:tc>
      </w:tr>
      <w:tr w:rsidR="00AC7127" w:rsidRPr="00607BDE" w14:paraId="5516E1D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C34B85"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502A9" w14:textId="77777777" w:rsidR="00A77B3E" w:rsidRPr="00607BDE" w:rsidRDefault="00C401B9">
            <w:pPr>
              <w:spacing w:before="100"/>
              <w:rPr>
                <w:color w:val="000000"/>
                <w:sz w:val="20"/>
                <w:lang w:val="en-GB"/>
              </w:rPr>
            </w:pPr>
            <w:r w:rsidRPr="00607BDE">
              <w:rPr>
                <w:color w:val="000000"/>
                <w:sz w:val="20"/>
                <w:lang w:val="en-GB"/>
              </w:rPr>
              <w:t>006.Border surveillance – other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B3E2F7" w14:textId="77777777" w:rsidR="00A77B3E" w:rsidRPr="00607BDE" w:rsidRDefault="00C401B9">
            <w:pPr>
              <w:spacing w:before="100"/>
              <w:jc w:val="right"/>
              <w:rPr>
                <w:color w:val="000000"/>
                <w:sz w:val="20"/>
                <w:lang w:val="en-GB"/>
              </w:rPr>
            </w:pPr>
            <w:r w:rsidRPr="00607BDE">
              <w:rPr>
                <w:color w:val="000000"/>
                <w:sz w:val="20"/>
                <w:lang w:val="en-GB"/>
              </w:rPr>
              <w:t>3,531,000.00</w:t>
            </w:r>
          </w:p>
        </w:tc>
      </w:tr>
      <w:tr w:rsidR="00AC7127" w:rsidRPr="00607BDE" w14:paraId="3EBC31E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2D337"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DC437" w14:textId="77777777" w:rsidR="00A77B3E" w:rsidRPr="00607BDE" w:rsidRDefault="00C401B9">
            <w:pPr>
              <w:spacing w:before="100"/>
              <w:rPr>
                <w:color w:val="000000"/>
                <w:sz w:val="20"/>
                <w:lang w:val="en-GB"/>
              </w:rPr>
            </w:pPr>
            <w:r w:rsidRPr="00607BDE">
              <w:rPr>
                <w:color w:val="000000"/>
                <w:sz w:val="20"/>
                <w:lang w:val="en-GB"/>
              </w:rPr>
              <w:t>007.Technical and operational measures within the Schengen area which are related to border control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D46A7"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78E555D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2944D"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028B6" w14:textId="77777777" w:rsidR="00A77B3E" w:rsidRPr="00607BDE" w:rsidRDefault="00C401B9">
            <w:pPr>
              <w:spacing w:before="100"/>
              <w:rPr>
                <w:color w:val="000000"/>
                <w:sz w:val="20"/>
                <w:lang w:val="en-GB"/>
              </w:rPr>
            </w:pPr>
            <w:r w:rsidRPr="00607BDE">
              <w:rPr>
                <w:color w:val="000000"/>
                <w:sz w:val="20"/>
                <w:lang w:val="en-GB"/>
              </w:rPr>
              <w:t>008.Situational awareness and exchange of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6A6B0"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7348ED6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1C4519"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9397F1" w14:textId="77777777" w:rsidR="00A77B3E" w:rsidRPr="00607BDE" w:rsidRDefault="00C401B9">
            <w:pPr>
              <w:spacing w:before="100"/>
              <w:rPr>
                <w:color w:val="000000"/>
                <w:sz w:val="20"/>
                <w:lang w:val="en-GB"/>
              </w:rPr>
            </w:pPr>
            <w:r w:rsidRPr="00607BDE">
              <w:rPr>
                <w:color w:val="000000"/>
                <w:sz w:val="20"/>
                <w:lang w:val="en-GB"/>
              </w:rPr>
              <w:t>009.Risk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8B372"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0C763B3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8BC8C"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F613CF" w14:textId="77777777" w:rsidR="00A77B3E" w:rsidRPr="00607BDE" w:rsidRDefault="00C401B9">
            <w:pPr>
              <w:spacing w:before="100"/>
              <w:rPr>
                <w:color w:val="000000"/>
                <w:sz w:val="20"/>
                <w:lang w:val="en-GB"/>
              </w:rPr>
            </w:pPr>
            <w:r w:rsidRPr="00607BDE">
              <w:rPr>
                <w:color w:val="000000"/>
                <w:sz w:val="20"/>
                <w:lang w:val="en-GB"/>
              </w:rPr>
              <w:t xml:space="preserve">010.Processing of data and information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62DAF2"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3F7B8F2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AD439"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C525E" w14:textId="77777777" w:rsidR="00A77B3E" w:rsidRPr="00607BDE" w:rsidRDefault="00C401B9">
            <w:pPr>
              <w:spacing w:before="100"/>
              <w:rPr>
                <w:color w:val="000000"/>
                <w:sz w:val="20"/>
                <w:lang w:val="en-GB"/>
              </w:rPr>
            </w:pPr>
            <w:r w:rsidRPr="00607BDE">
              <w:rPr>
                <w:color w:val="000000"/>
                <w:sz w:val="20"/>
                <w:lang w:val="en-GB"/>
              </w:rPr>
              <w:t>011.Hotspot areas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30BAD0"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1D68E73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2FEA52"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3CF7C7" w14:textId="77777777" w:rsidR="00A77B3E" w:rsidRPr="00607BDE" w:rsidRDefault="00C401B9">
            <w:pPr>
              <w:spacing w:before="100"/>
              <w:rPr>
                <w:color w:val="000000"/>
                <w:sz w:val="20"/>
                <w:lang w:val="en-GB"/>
              </w:rPr>
            </w:pPr>
            <w:r w:rsidRPr="00607BDE">
              <w:rPr>
                <w:color w:val="000000"/>
                <w:sz w:val="20"/>
                <w:lang w:val="en-GB"/>
              </w:rPr>
              <w:t>012.Measures related to the identification and referral of vulnerable persons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A324F"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5042103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7A4DF1"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CFC27" w14:textId="77777777" w:rsidR="00A77B3E" w:rsidRPr="00607BDE" w:rsidRDefault="00C401B9">
            <w:pPr>
              <w:spacing w:before="100"/>
              <w:rPr>
                <w:color w:val="000000"/>
                <w:sz w:val="20"/>
                <w:lang w:val="en-GB"/>
              </w:rPr>
            </w:pPr>
            <w:r w:rsidRPr="00607BDE">
              <w:rPr>
                <w:color w:val="000000"/>
                <w:sz w:val="20"/>
                <w:lang w:val="en-GB"/>
              </w:rPr>
              <w:t xml:space="preserve">013.Measures related to the identification and referral of persons who are in need of, or who wish to apply for, international protection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3249B3"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23159A4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53D64"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C0E145" w14:textId="77777777" w:rsidR="00A77B3E" w:rsidRPr="00607BDE" w:rsidRDefault="00C401B9">
            <w:pPr>
              <w:spacing w:before="100"/>
              <w:rPr>
                <w:color w:val="000000"/>
                <w:sz w:val="20"/>
                <w:lang w:val="en-GB"/>
              </w:rPr>
            </w:pPr>
            <w:r w:rsidRPr="00607BDE">
              <w:rPr>
                <w:color w:val="000000"/>
                <w:sz w:val="20"/>
                <w:lang w:val="en-GB"/>
              </w:rPr>
              <w:t>014.European Border and Coast Guard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EF9E5"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3EFE65D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BCE8A"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BF4193" w14:textId="77777777" w:rsidR="00A77B3E" w:rsidRPr="00607BDE" w:rsidRDefault="00C401B9">
            <w:pPr>
              <w:spacing w:before="100"/>
              <w:rPr>
                <w:color w:val="000000"/>
                <w:sz w:val="20"/>
                <w:lang w:val="en-GB"/>
              </w:rPr>
            </w:pPr>
            <w:r w:rsidRPr="00607BDE">
              <w:rPr>
                <w:color w:val="000000"/>
                <w:sz w:val="20"/>
                <w:lang w:val="en-GB"/>
              </w:rPr>
              <w:t>015.Inter-agency cooperation – 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437C25"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04820B0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94DC9E"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05D23" w14:textId="77777777" w:rsidR="00A77B3E" w:rsidRPr="00607BDE" w:rsidRDefault="00C401B9">
            <w:pPr>
              <w:spacing w:before="100"/>
              <w:rPr>
                <w:color w:val="000000"/>
                <w:sz w:val="20"/>
                <w:lang w:val="en-GB"/>
              </w:rPr>
            </w:pPr>
            <w:r w:rsidRPr="00607BDE">
              <w:rPr>
                <w:color w:val="000000"/>
                <w:sz w:val="20"/>
                <w:lang w:val="en-GB"/>
              </w:rPr>
              <w:t>016.Inter-agency cooperation – Union level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1C2FC"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46276BA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DB7FB"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7C0A5" w14:textId="77777777" w:rsidR="00A77B3E" w:rsidRPr="00607BDE" w:rsidRDefault="00C401B9">
            <w:pPr>
              <w:spacing w:before="100"/>
              <w:rPr>
                <w:color w:val="000000"/>
                <w:sz w:val="20"/>
                <w:lang w:val="en-GB"/>
              </w:rPr>
            </w:pPr>
            <w:r w:rsidRPr="00607BDE">
              <w:rPr>
                <w:color w:val="000000"/>
                <w:sz w:val="20"/>
                <w:lang w:val="en-GB"/>
              </w:rPr>
              <w:t>017.Inter-agency cooperation – with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665713"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7221E50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593017"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6E76F" w14:textId="77777777" w:rsidR="00A77B3E" w:rsidRPr="00607BDE" w:rsidRDefault="00C401B9">
            <w:pPr>
              <w:spacing w:before="100"/>
              <w:rPr>
                <w:color w:val="000000"/>
                <w:sz w:val="20"/>
                <w:lang w:val="en-GB"/>
              </w:rPr>
            </w:pPr>
            <w:r w:rsidRPr="00607BDE">
              <w:rPr>
                <w:color w:val="000000"/>
                <w:sz w:val="20"/>
                <w:lang w:val="en-GB"/>
              </w:rPr>
              <w:t>018.Joint deployment of immigration liaison officers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393138"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26798C2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5CBD93"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17D82" w14:textId="77777777" w:rsidR="00A77B3E" w:rsidRPr="00607BDE" w:rsidRDefault="00C401B9">
            <w:pPr>
              <w:spacing w:before="100"/>
              <w:rPr>
                <w:color w:val="000000"/>
                <w:sz w:val="20"/>
                <w:lang w:val="en-GB"/>
              </w:rPr>
            </w:pPr>
            <w:r w:rsidRPr="00607BDE">
              <w:rPr>
                <w:color w:val="000000"/>
                <w:sz w:val="20"/>
                <w:lang w:val="en-GB"/>
              </w:rPr>
              <w:t>019.Large-scale IT systems – Eurodac for border management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8942F" w14:textId="77777777" w:rsidR="00A77B3E" w:rsidRPr="00607BDE" w:rsidRDefault="00C401B9">
            <w:pPr>
              <w:spacing w:before="100"/>
              <w:jc w:val="right"/>
              <w:rPr>
                <w:color w:val="000000"/>
                <w:sz w:val="20"/>
                <w:lang w:val="en-GB"/>
              </w:rPr>
            </w:pPr>
            <w:r w:rsidRPr="00607BDE">
              <w:rPr>
                <w:color w:val="000000"/>
                <w:sz w:val="20"/>
                <w:lang w:val="en-GB"/>
              </w:rPr>
              <w:t>6,413,869.50</w:t>
            </w:r>
          </w:p>
        </w:tc>
      </w:tr>
      <w:tr w:rsidR="00AC7127" w:rsidRPr="00607BDE" w14:paraId="0D9A4E0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021C58"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061897" w14:textId="77777777" w:rsidR="00A77B3E" w:rsidRPr="00607BDE" w:rsidRDefault="00C401B9">
            <w:pPr>
              <w:spacing w:before="100"/>
              <w:rPr>
                <w:color w:val="000000"/>
                <w:sz w:val="20"/>
                <w:lang w:val="en-GB"/>
              </w:rPr>
            </w:pPr>
            <w:r w:rsidRPr="00607BDE">
              <w:rPr>
                <w:color w:val="000000"/>
                <w:sz w:val="20"/>
                <w:lang w:val="en-GB"/>
              </w:rPr>
              <w:t>020.Large-scale IT systems – Entry/Exit System (EES)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A0A4E" w14:textId="77777777" w:rsidR="00A77B3E" w:rsidRPr="00607BDE" w:rsidRDefault="00C401B9">
            <w:pPr>
              <w:spacing w:before="100"/>
              <w:jc w:val="right"/>
              <w:rPr>
                <w:color w:val="000000"/>
                <w:sz w:val="20"/>
                <w:lang w:val="en-GB"/>
              </w:rPr>
            </w:pPr>
            <w:r w:rsidRPr="00607BDE">
              <w:rPr>
                <w:color w:val="000000"/>
                <w:sz w:val="20"/>
                <w:lang w:val="en-GB"/>
              </w:rPr>
              <w:t>6,413,869.50</w:t>
            </w:r>
          </w:p>
        </w:tc>
      </w:tr>
      <w:tr w:rsidR="00AC7127" w:rsidRPr="00607BDE" w14:paraId="4B179D1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B0D190"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46BC9" w14:textId="77777777" w:rsidR="00A77B3E" w:rsidRPr="00607BDE" w:rsidRDefault="00C401B9">
            <w:pPr>
              <w:spacing w:before="100"/>
              <w:rPr>
                <w:color w:val="000000"/>
                <w:sz w:val="20"/>
                <w:lang w:val="en-GB"/>
              </w:rPr>
            </w:pPr>
            <w:r w:rsidRPr="00607BDE">
              <w:rPr>
                <w:color w:val="000000"/>
                <w:sz w:val="20"/>
                <w:lang w:val="en-GB"/>
              </w:rPr>
              <w:t>021.Large-scale IT systems – European Travel Information and Authorisation System (ETIAS) – others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87DC34" w14:textId="77777777" w:rsidR="00A77B3E" w:rsidRPr="00607BDE" w:rsidRDefault="00C401B9">
            <w:pPr>
              <w:spacing w:before="100"/>
              <w:jc w:val="right"/>
              <w:rPr>
                <w:color w:val="000000"/>
                <w:sz w:val="20"/>
                <w:lang w:val="en-GB"/>
              </w:rPr>
            </w:pPr>
            <w:r w:rsidRPr="00607BDE">
              <w:rPr>
                <w:color w:val="000000"/>
                <w:sz w:val="20"/>
                <w:lang w:val="en-GB"/>
              </w:rPr>
              <w:t>6,000,000.00</w:t>
            </w:r>
          </w:p>
        </w:tc>
      </w:tr>
      <w:tr w:rsidR="00AC7127" w:rsidRPr="00607BDE" w14:paraId="2C57844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27244"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67EA8" w14:textId="77777777" w:rsidR="00A77B3E" w:rsidRPr="00607BDE" w:rsidRDefault="00C401B9">
            <w:pPr>
              <w:spacing w:before="100"/>
              <w:rPr>
                <w:color w:val="000000"/>
                <w:sz w:val="20"/>
                <w:lang w:val="en-GB"/>
              </w:rPr>
            </w:pPr>
            <w:r w:rsidRPr="00607BDE">
              <w:rPr>
                <w:color w:val="000000"/>
                <w:sz w:val="20"/>
                <w:lang w:val="en-GB"/>
              </w:rPr>
              <w:t>022.Large-scale IT systems – European Travel Information and Authorisation System (ETIAS) – Article 85(2) of Regulation (EU) 2018/1240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5D8B5" w14:textId="77777777" w:rsidR="00A77B3E" w:rsidRPr="00607BDE" w:rsidRDefault="00C401B9">
            <w:pPr>
              <w:spacing w:before="100"/>
              <w:jc w:val="right"/>
              <w:rPr>
                <w:color w:val="000000"/>
                <w:sz w:val="20"/>
                <w:lang w:val="en-GB"/>
              </w:rPr>
            </w:pPr>
            <w:r w:rsidRPr="00607BDE">
              <w:rPr>
                <w:color w:val="000000"/>
                <w:sz w:val="20"/>
                <w:lang w:val="en-GB"/>
              </w:rPr>
              <w:t>20,000.00</w:t>
            </w:r>
          </w:p>
        </w:tc>
      </w:tr>
      <w:tr w:rsidR="00AC7127" w:rsidRPr="00607BDE" w14:paraId="33DDAEA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7965B1"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3EF3FE" w14:textId="77777777" w:rsidR="00A77B3E" w:rsidRPr="00607BDE" w:rsidRDefault="00C401B9">
            <w:pPr>
              <w:spacing w:before="100"/>
              <w:rPr>
                <w:color w:val="000000"/>
                <w:sz w:val="20"/>
                <w:lang w:val="en-GB"/>
              </w:rPr>
            </w:pPr>
            <w:r w:rsidRPr="00607BDE">
              <w:rPr>
                <w:color w:val="000000"/>
                <w:sz w:val="20"/>
                <w:lang w:val="en-GB"/>
              </w:rPr>
              <w:t>023.Large-scale IT systems – European Travel Information and Authorisation System (ETIAS) – Article 85(3) of Regulation (EU) 2018/1240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23360E" w14:textId="77777777" w:rsidR="00A77B3E" w:rsidRPr="00607BDE" w:rsidRDefault="00C401B9">
            <w:pPr>
              <w:spacing w:before="100"/>
              <w:jc w:val="right"/>
              <w:rPr>
                <w:color w:val="000000"/>
                <w:sz w:val="20"/>
                <w:lang w:val="en-GB"/>
              </w:rPr>
            </w:pPr>
            <w:r w:rsidRPr="00607BDE">
              <w:rPr>
                <w:color w:val="000000"/>
                <w:sz w:val="20"/>
                <w:lang w:val="en-GB"/>
              </w:rPr>
              <w:t>20,000.00</w:t>
            </w:r>
          </w:p>
        </w:tc>
      </w:tr>
      <w:tr w:rsidR="00AC7127" w:rsidRPr="00607BDE" w14:paraId="3114F8A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2D26D"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F868C" w14:textId="77777777" w:rsidR="00A77B3E" w:rsidRPr="00607BDE" w:rsidRDefault="00C401B9">
            <w:pPr>
              <w:spacing w:before="100"/>
              <w:rPr>
                <w:color w:val="000000"/>
                <w:sz w:val="20"/>
                <w:lang w:val="en-GB"/>
              </w:rPr>
            </w:pPr>
            <w:r w:rsidRPr="00607BDE">
              <w:rPr>
                <w:color w:val="000000"/>
                <w:sz w:val="20"/>
                <w:lang w:val="en-GB"/>
              </w:rPr>
              <w:t xml:space="preserve">024.Large-scale IT systems – Schengen Information System (SIS)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998BB" w14:textId="77777777" w:rsidR="00A77B3E" w:rsidRPr="00607BDE" w:rsidRDefault="00C401B9">
            <w:pPr>
              <w:spacing w:before="100"/>
              <w:jc w:val="right"/>
              <w:rPr>
                <w:color w:val="000000"/>
                <w:sz w:val="20"/>
                <w:lang w:val="en-GB"/>
              </w:rPr>
            </w:pPr>
            <w:r w:rsidRPr="00607BDE">
              <w:rPr>
                <w:color w:val="000000"/>
                <w:sz w:val="20"/>
                <w:lang w:val="en-GB"/>
              </w:rPr>
              <w:t>1,000,000.00</w:t>
            </w:r>
          </w:p>
        </w:tc>
      </w:tr>
      <w:tr w:rsidR="00AC7127" w:rsidRPr="00607BDE" w14:paraId="5C203F3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94EE46"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5BCB6" w14:textId="77777777" w:rsidR="00A77B3E" w:rsidRPr="00607BDE" w:rsidRDefault="00C401B9">
            <w:pPr>
              <w:spacing w:before="100"/>
              <w:rPr>
                <w:color w:val="000000"/>
                <w:sz w:val="20"/>
                <w:lang w:val="en-GB"/>
              </w:rPr>
            </w:pPr>
            <w:r w:rsidRPr="00607BDE">
              <w:rPr>
                <w:color w:val="000000"/>
                <w:sz w:val="20"/>
                <w:lang w:val="en-GB"/>
              </w:rPr>
              <w:t>025.Large-scale IT systems – Interoperability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A55E52" w14:textId="77777777" w:rsidR="00A77B3E" w:rsidRPr="00607BDE" w:rsidRDefault="00C401B9">
            <w:pPr>
              <w:spacing w:before="100"/>
              <w:jc w:val="right"/>
              <w:rPr>
                <w:color w:val="000000"/>
                <w:sz w:val="20"/>
                <w:lang w:val="en-GB"/>
              </w:rPr>
            </w:pPr>
            <w:r w:rsidRPr="00607BDE">
              <w:rPr>
                <w:color w:val="000000"/>
                <w:sz w:val="20"/>
                <w:lang w:val="en-GB"/>
              </w:rPr>
              <w:t>1,612,594.34</w:t>
            </w:r>
          </w:p>
        </w:tc>
      </w:tr>
      <w:tr w:rsidR="00AC7127" w:rsidRPr="00607BDE" w14:paraId="579B41D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25E923"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DBA7C" w14:textId="77777777" w:rsidR="00A77B3E" w:rsidRPr="00607BDE" w:rsidRDefault="00C401B9">
            <w:pPr>
              <w:spacing w:before="100"/>
              <w:rPr>
                <w:color w:val="000000"/>
                <w:sz w:val="20"/>
                <w:lang w:val="en-GB"/>
              </w:rPr>
            </w:pPr>
            <w:r w:rsidRPr="00607BDE">
              <w:rPr>
                <w:color w:val="000000"/>
                <w:sz w:val="20"/>
                <w:lang w:val="en-GB"/>
              </w:rPr>
              <w:t>026.Operating support – Integrated border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97E78F" w14:textId="77777777" w:rsidR="00A77B3E" w:rsidRPr="00607BDE" w:rsidRDefault="00C401B9">
            <w:pPr>
              <w:spacing w:before="100"/>
              <w:jc w:val="right"/>
              <w:rPr>
                <w:color w:val="000000"/>
                <w:sz w:val="20"/>
                <w:lang w:val="en-GB"/>
              </w:rPr>
            </w:pPr>
            <w:r w:rsidRPr="00607BDE">
              <w:rPr>
                <w:color w:val="000000"/>
                <w:sz w:val="20"/>
                <w:lang w:val="en-GB"/>
              </w:rPr>
              <w:t>500,000.00</w:t>
            </w:r>
          </w:p>
        </w:tc>
      </w:tr>
      <w:tr w:rsidR="00AC7127" w:rsidRPr="00607BDE" w14:paraId="7A06E48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3A070F"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DB380" w14:textId="77777777" w:rsidR="00A77B3E" w:rsidRPr="00607BDE" w:rsidRDefault="00C401B9">
            <w:pPr>
              <w:spacing w:before="100"/>
              <w:rPr>
                <w:color w:val="000000"/>
                <w:sz w:val="20"/>
                <w:lang w:val="en-GB"/>
              </w:rPr>
            </w:pPr>
            <w:r w:rsidRPr="00607BDE">
              <w:rPr>
                <w:color w:val="000000"/>
                <w:sz w:val="20"/>
                <w:lang w:val="en-GB"/>
              </w:rPr>
              <w:t>027.Operating support – Large-scale IT systems for border management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4C0274" w14:textId="77777777" w:rsidR="00A77B3E" w:rsidRPr="00607BDE" w:rsidRDefault="00C401B9">
            <w:pPr>
              <w:spacing w:before="100"/>
              <w:jc w:val="right"/>
              <w:rPr>
                <w:color w:val="000000"/>
                <w:sz w:val="20"/>
                <w:lang w:val="en-GB"/>
              </w:rPr>
            </w:pPr>
            <w:r w:rsidRPr="00607BDE">
              <w:rPr>
                <w:color w:val="000000"/>
                <w:sz w:val="20"/>
                <w:lang w:val="en-GB"/>
              </w:rPr>
              <w:t>500,000.00</w:t>
            </w:r>
          </w:p>
        </w:tc>
      </w:tr>
      <w:tr w:rsidR="00AC7127" w:rsidRPr="00607BDE" w14:paraId="37C062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9ADFC"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149D7F" w14:textId="77777777" w:rsidR="00A77B3E" w:rsidRPr="00607BDE" w:rsidRDefault="00C401B9">
            <w:pPr>
              <w:spacing w:before="100"/>
              <w:rPr>
                <w:color w:val="000000"/>
                <w:sz w:val="20"/>
                <w:lang w:val="en-GB"/>
              </w:rPr>
            </w:pPr>
            <w:r w:rsidRPr="00607BDE">
              <w:rPr>
                <w:color w:val="000000"/>
                <w:sz w:val="20"/>
                <w:lang w:val="en-GB"/>
              </w:rPr>
              <w:t>028.Operating support – Special Transit Scheme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B0235"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0C281B7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BD744"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CE4158" w14:textId="77777777" w:rsidR="00A77B3E" w:rsidRPr="00607BDE" w:rsidRDefault="00C401B9">
            <w:pPr>
              <w:spacing w:before="100"/>
              <w:rPr>
                <w:color w:val="000000"/>
                <w:sz w:val="20"/>
                <w:lang w:val="en-GB"/>
              </w:rPr>
            </w:pPr>
            <w:r w:rsidRPr="00607BDE">
              <w:rPr>
                <w:color w:val="000000"/>
                <w:sz w:val="20"/>
                <w:lang w:val="en-GB"/>
              </w:rPr>
              <w:t>029.Data quality and data subjects’ rights to information, access to, rectification and erasure of, their personal data, and to the restriction of the processing thereof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D8730" w14:textId="77777777" w:rsidR="00A77B3E" w:rsidRPr="00607BDE" w:rsidRDefault="00C401B9">
            <w:pPr>
              <w:spacing w:before="100"/>
              <w:jc w:val="right"/>
              <w:rPr>
                <w:color w:val="000000"/>
                <w:sz w:val="20"/>
                <w:lang w:val="en-GB"/>
              </w:rPr>
            </w:pPr>
            <w:r w:rsidRPr="00607BDE">
              <w:rPr>
                <w:color w:val="000000"/>
                <w:sz w:val="20"/>
                <w:lang w:val="en-GB"/>
              </w:rPr>
              <w:t>0.00</w:t>
            </w:r>
          </w:p>
        </w:tc>
      </w:tr>
    </w:tbl>
    <w:p w14:paraId="79B1CA8A" w14:textId="77777777" w:rsidR="00A77B3E" w:rsidRPr="00607BDE" w:rsidRDefault="00A77B3E">
      <w:pPr>
        <w:spacing w:before="100"/>
        <w:rPr>
          <w:color w:val="000000"/>
          <w:sz w:val="20"/>
          <w:lang w:val="en-GB"/>
        </w:rPr>
        <w:sectPr w:rsidR="00A77B3E" w:rsidRPr="00607BDE">
          <w:pgSz w:w="16838" w:h="11906" w:orient="landscape"/>
          <w:pgMar w:top="720" w:right="720" w:bottom="864" w:left="936" w:header="288" w:footer="72" w:gutter="0"/>
          <w:cols w:space="720"/>
          <w:noEndnote/>
          <w:docGrid w:linePitch="360"/>
        </w:sectPr>
      </w:pPr>
    </w:p>
    <w:p w14:paraId="34B40014"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10" w:name="_Toc128975982"/>
      <w:r w:rsidRPr="00607BDE">
        <w:rPr>
          <w:rFonts w:ascii="Times New Roman" w:hAnsi="Times New Roman" w:cs="Times New Roman"/>
          <w:b w:val="0"/>
          <w:i w:val="0"/>
          <w:color w:val="000000"/>
          <w:sz w:val="24"/>
          <w:lang w:val="en-GB"/>
        </w:rPr>
        <w:t>2.1. Specific objective: 2. Common visa policy</w:t>
      </w:r>
      <w:bookmarkEnd w:id="10"/>
    </w:p>
    <w:p w14:paraId="7873C120" w14:textId="77777777" w:rsidR="00A77B3E" w:rsidRPr="00607BDE" w:rsidRDefault="00A77B3E">
      <w:pPr>
        <w:spacing w:before="100"/>
        <w:rPr>
          <w:color w:val="000000"/>
          <w:sz w:val="0"/>
          <w:lang w:val="en-GB"/>
        </w:rPr>
      </w:pPr>
    </w:p>
    <w:p w14:paraId="0BC4DBDE" w14:textId="77777777" w:rsidR="00A77B3E" w:rsidRPr="00607BDE" w:rsidRDefault="00C401B9">
      <w:pPr>
        <w:pStyle w:val="Nagwek3"/>
        <w:spacing w:before="100" w:after="0"/>
        <w:rPr>
          <w:rFonts w:ascii="Times New Roman" w:hAnsi="Times New Roman" w:cs="Times New Roman"/>
          <w:b w:val="0"/>
          <w:color w:val="000000"/>
          <w:sz w:val="24"/>
          <w:lang w:val="en-GB"/>
        </w:rPr>
      </w:pPr>
      <w:bookmarkStart w:id="11" w:name="_Toc128975983"/>
      <w:r w:rsidRPr="00607BDE">
        <w:rPr>
          <w:rFonts w:ascii="Times New Roman" w:hAnsi="Times New Roman" w:cs="Times New Roman"/>
          <w:b w:val="0"/>
          <w:color w:val="000000"/>
          <w:sz w:val="24"/>
          <w:lang w:val="en-GB"/>
        </w:rPr>
        <w:t>2.1.1. Description of the specific objective</w:t>
      </w:r>
      <w:bookmarkEnd w:id="11"/>
    </w:p>
    <w:p w14:paraId="1A339537"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C7127" w:rsidRPr="00607BDE" w14:paraId="430734D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00FFC" w14:textId="77777777" w:rsidR="00A77B3E" w:rsidRPr="00607BDE" w:rsidRDefault="00A77B3E">
            <w:pPr>
              <w:spacing w:before="100"/>
              <w:rPr>
                <w:color w:val="000000"/>
                <w:sz w:val="0"/>
                <w:lang w:val="en-GB"/>
              </w:rPr>
            </w:pPr>
          </w:p>
          <w:p w14:paraId="5FA20871" w14:textId="77777777" w:rsidR="00A77B3E" w:rsidRPr="00607BDE" w:rsidRDefault="00C401B9">
            <w:pPr>
              <w:spacing w:before="100"/>
              <w:rPr>
                <w:color w:val="000000"/>
                <w:lang w:val="en-GB"/>
              </w:rPr>
            </w:pPr>
            <w:bookmarkStart w:id="12" w:name="Koniec"/>
            <w:r w:rsidRPr="00607BDE">
              <w:rPr>
                <w:b/>
                <w:bCs/>
                <w:color w:val="000000"/>
                <w:lang w:val="en-GB"/>
              </w:rPr>
              <w:t>Present status and current challenges:</w:t>
            </w:r>
          </w:p>
          <w:bookmarkEnd w:id="12"/>
          <w:p w14:paraId="662AC558" w14:textId="77777777" w:rsidR="00A77B3E" w:rsidRPr="00607BDE" w:rsidRDefault="00C401B9">
            <w:pPr>
              <w:spacing w:before="100"/>
              <w:rPr>
                <w:color w:val="000000"/>
                <w:lang w:val="en-GB"/>
              </w:rPr>
            </w:pPr>
            <w:r w:rsidRPr="00607BDE">
              <w:rPr>
                <w:color w:val="000000"/>
                <w:lang w:val="en-GB"/>
              </w:rPr>
              <w:t>The network of Polish consular missions is managed by the Ministry of Foreign Affairs. At present, consular tasks are performed by 521 consular officials (including 128 Consuls of the Republic of Poland), who are supported by more than 500 other employees. Most of their tasks involve visa-related activities. In 2019, Poland spent a total of over 437,000 Schengen visas (10th place among the 26 Schengen States). In many places around the world, Poland is among the Member States with the highest numbers of visa applications considered.</w:t>
            </w:r>
          </w:p>
          <w:p w14:paraId="11E1A932" w14:textId="77777777" w:rsidR="00A77B3E" w:rsidRPr="00607BDE" w:rsidRDefault="00A77B3E">
            <w:pPr>
              <w:spacing w:before="100"/>
              <w:rPr>
                <w:color w:val="000000"/>
                <w:lang w:val="en-GB"/>
              </w:rPr>
            </w:pPr>
          </w:p>
          <w:p w14:paraId="1924B00B" w14:textId="77777777" w:rsidR="00A77B3E" w:rsidRPr="00607BDE" w:rsidRDefault="00C401B9">
            <w:pPr>
              <w:spacing w:before="100"/>
              <w:rPr>
                <w:color w:val="000000"/>
                <w:lang w:val="en-GB"/>
              </w:rPr>
            </w:pPr>
            <w:r w:rsidRPr="00607BDE">
              <w:rPr>
                <w:color w:val="000000"/>
                <w:lang w:val="en-GB"/>
              </w:rPr>
              <w:t>The Schengen area still faces numerous challenges which regard ensuring an appropriate level of security and protection against illegal migration. Appropriate implementation of a modern visa policy is one of the primary elements which must be in place to meet those problems, and together with the development of the new large-scale EU information system architecture it is in line with the need to optimise the field of migration management.</w:t>
            </w:r>
          </w:p>
          <w:p w14:paraId="2F825769" w14:textId="77777777" w:rsidR="00A77B3E" w:rsidRPr="00607BDE" w:rsidRDefault="00A77B3E">
            <w:pPr>
              <w:spacing w:before="100"/>
              <w:rPr>
                <w:color w:val="000000"/>
                <w:lang w:val="en-GB"/>
              </w:rPr>
            </w:pPr>
          </w:p>
          <w:p w14:paraId="36602093" w14:textId="77777777" w:rsidR="00A77B3E" w:rsidRPr="00607BDE" w:rsidRDefault="00C401B9">
            <w:pPr>
              <w:spacing w:before="100"/>
              <w:rPr>
                <w:color w:val="000000"/>
                <w:lang w:val="en-GB"/>
              </w:rPr>
            </w:pPr>
            <w:r w:rsidRPr="00607BDE">
              <w:rPr>
                <w:color w:val="000000"/>
                <w:lang w:val="en-GB"/>
              </w:rPr>
              <w:t>With the entry into force of the new Visa Code, a possibility has been introduced for central authorities of Member States to handle Schengen visa applications. Since Poland is faced with a strong interest in visas, works are under way to improve the Visa Decision Centre (formerly the Central Visa Authority), which will contribute to reducing the visa processing time and increasing the quality of the process. The development of the Visa Decision Centre will require expenditures on, mainly, the costs of infrastructure (e.g. the building, equipment), system (e.g. ICT equipment and tools) and personnel.</w:t>
            </w:r>
          </w:p>
          <w:p w14:paraId="20CE818B" w14:textId="77777777" w:rsidR="00A77B3E" w:rsidRPr="00607BDE" w:rsidRDefault="00A77B3E">
            <w:pPr>
              <w:spacing w:before="100"/>
              <w:rPr>
                <w:color w:val="000000"/>
                <w:lang w:val="en-GB"/>
              </w:rPr>
            </w:pPr>
          </w:p>
          <w:p w14:paraId="2D4C78AE" w14:textId="77777777" w:rsidR="00A77B3E" w:rsidRPr="00607BDE" w:rsidRDefault="00C401B9">
            <w:pPr>
              <w:spacing w:before="100"/>
              <w:rPr>
                <w:color w:val="000000"/>
                <w:lang w:val="en-GB"/>
              </w:rPr>
            </w:pPr>
            <w:r w:rsidRPr="00607BDE">
              <w:rPr>
                <w:color w:val="000000"/>
                <w:lang w:val="en-GB"/>
              </w:rPr>
              <w:t>The high quality of the visa process remains a fixed priority of the Polish policy, and the competencies of the visa application personnel represent a key element of that policy, directly affecting the security of the entire Schengen Area. The large number of Schengen visas issued in 2019 shows a significant interest in entering Poland on the part of third-country nationals (a total of 437,000 visas, 10th place among all Member States), and the multitude of visa representation agreements signed additionally affects the necessity to ensure an appropriate level of service (Poland issues visas on behalf of other Schengen Area States in 15 locations around the world).</w:t>
            </w:r>
          </w:p>
          <w:p w14:paraId="69BE741D" w14:textId="77777777" w:rsidR="00A77B3E" w:rsidRPr="00607BDE" w:rsidRDefault="00A77B3E">
            <w:pPr>
              <w:spacing w:before="100"/>
              <w:rPr>
                <w:color w:val="000000"/>
                <w:lang w:val="en-GB"/>
              </w:rPr>
            </w:pPr>
          </w:p>
          <w:p w14:paraId="4A79729F" w14:textId="77777777" w:rsidR="00A77B3E" w:rsidRPr="00607BDE" w:rsidRDefault="00C401B9">
            <w:pPr>
              <w:spacing w:before="100"/>
              <w:rPr>
                <w:color w:val="000000"/>
                <w:lang w:val="en-GB"/>
              </w:rPr>
            </w:pPr>
            <w:r w:rsidRPr="00607BDE">
              <w:rPr>
                <w:color w:val="000000"/>
                <w:lang w:val="en-GB"/>
              </w:rPr>
              <w:t>Since the visa policy in the area of short-stay visas falls under the exclusive EU jurisdiction, a particular attention should be paid to regular improvement of the consular personnel's qualifications in this respect. The recent dynamics in this area is tremendous (the amended Visa Code, the VIS modernisation, implementation of the EES and ETIAS, ensuring the interoperability of teh aforementioned systems etc.), thus the need to keep the knowledge held up-to-date is particularly urgent. The current migration situation indicates also a special necessity to include security threats and migration risk assessment in such training.</w:t>
            </w:r>
          </w:p>
          <w:p w14:paraId="302F21CB" w14:textId="77777777" w:rsidR="00A77B3E" w:rsidRPr="00607BDE" w:rsidRDefault="00A77B3E">
            <w:pPr>
              <w:spacing w:before="100"/>
              <w:rPr>
                <w:color w:val="000000"/>
                <w:lang w:val="en-GB"/>
              </w:rPr>
            </w:pPr>
          </w:p>
          <w:p w14:paraId="1B302F08" w14:textId="77777777" w:rsidR="00A77B3E" w:rsidRPr="00607BDE" w:rsidRDefault="00C401B9">
            <w:pPr>
              <w:spacing w:before="100"/>
              <w:rPr>
                <w:color w:val="000000"/>
                <w:lang w:val="en-GB"/>
              </w:rPr>
            </w:pPr>
            <w:r w:rsidRPr="00607BDE">
              <w:rPr>
                <w:color w:val="000000"/>
                <w:lang w:val="en-GB"/>
              </w:rPr>
              <w:t>Under Council Decision (EU) 15005/19, Schengen evaluation recommendations no. 2 and 3 indicate clearly that the training programme must be expanded. It is necessary to provide standard and regular training at central and regional level, on the one hand, and to monitor the practical use of the available knowledge at individual posts, on the other. The foregoing should be complemented by study visits and thematic conferences with the participation of representatives of other authorities and Member States, which would provide for exchanging experiences in key areas. The aforementioned obligations will be extended so that the Programme could contribute to meeting also the future Recommendations.</w:t>
            </w:r>
          </w:p>
          <w:p w14:paraId="228907EC" w14:textId="77777777" w:rsidR="00A77B3E" w:rsidRPr="00607BDE" w:rsidRDefault="00A77B3E">
            <w:pPr>
              <w:spacing w:before="100"/>
              <w:rPr>
                <w:color w:val="000000"/>
                <w:lang w:val="en-GB"/>
              </w:rPr>
            </w:pPr>
          </w:p>
          <w:p w14:paraId="7E019D2E" w14:textId="77777777" w:rsidR="00A77B3E" w:rsidRPr="00607BDE" w:rsidRDefault="00C401B9">
            <w:pPr>
              <w:spacing w:before="100"/>
              <w:rPr>
                <w:color w:val="000000"/>
                <w:lang w:val="en-GB"/>
              </w:rPr>
            </w:pPr>
            <w:r w:rsidRPr="00607BDE">
              <w:rPr>
                <w:color w:val="000000"/>
                <w:lang w:val="en-GB"/>
              </w:rPr>
              <w:t>In addition to the above, language competencies of the personnel involved in the visa process are also important. Analysis of documents filed by foreigners and interviews with them represent an essential element of the integrity of the entire process (visa applicants often speak only their native language.)</w:t>
            </w:r>
          </w:p>
          <w:p w14:paraId="1EF7F39C" w14:textId="77777777" w:rsidR="00A77B3E" w:rsidRPr="00607BDE" w:rsidRDefault="00A77B3E">
            <w:pPr>
              <w:spacing w:before="100"/>
              <w:rPr>
                <w:color w:val="000000"/>
                <w:lang w:val="en-GB"/>
              </w:rPr>
            </w:pPr>
          </w:p>
          <w:p w14:paraId="294971ED" w14:textId="77777777" w:rsidR="00A77B3E" w:rsidRPr="00607BDE" w:rsidRDefault="00C401B9">
            <w:pPr>
              <w:spacing w:before="100"/>
              <w:rPr>
                <w:color w:val="000000"/>
                <w:lang w:val="en-GB"/>
              </w:rPr>
            </w:pPr>
            <w:r w:rsidRPr="00607BDE">
              <w:rPr>
                <w:color w:val="000000"/>
                <w:lang w:val="en-GB"/>
              </w:rPr>
              <w:t>There is also a need to modernise the existing consular post infrastructure, provide substantive support to the consular personnel and appropriately adapt and monitor the training process.</w:t>
            </w:r>
          </w:p>
          <w:p w14:paraId="01A46B2A" w14:textId="77777777" w:rsidR="00A77B3E" w:rsidRPr="00607BDE" w:rsidRDefault="00A77B3E">
            <w:pPr>
              <w:spacing w:before="100"/>
              <w:rPr>
                <w:color w:val="000000"/>
                <w:lang w:val="en-GB"/>
              </w:rPr>
            </w:pPr>
          </w:p>
          <w:p w14:paraId="1BAFEA79" w14:textId="77777777" w:rsidR="00A77B3E" w:rsidRPr="00607BDE" w:rsidRDefault="00C401B9">
            <w:pPr>
              <w:spacing w:before="100"/>
              <w:rPr>
                <w:color w:val="000000"/>
                <w:lang w:val="en-GB"/>
              </w:rPr>
            </w:pPr>
            <w:r w:rsidRPr="00607BDE">
              <w:rPr>
                <w:color w:val="000000"/>
                <w:lang w:val="en-GB"/>
              </w:rPr>
              <w:t>Lessons learned from the COVID-19 pandemic show clearly that it is necessary to continuously adapt the visa process to new circumstances, including to accelerate the work on its digitalisation. Not only will this contribute to streamlining the process, but will also allow maintaining all forms of security. In order to make full use of the possibilities offered by new digital systems, it is also necessary to train the consular personnel. Increasing the national potential in the area of efficient handling of visa applications ,and a gradual digitalisation of the entire process respond to the need to pursue a smart visa policy that contributes to economic growth.</w:t>
            </w:r>
          </w:p>
          <w:p w14:paraId="46C2F0FC" w14:textId="77777777" w:rsidR="00A77B3E" w:rsidRPr="00607BDE" w:rsidRDefault="00A77B3E">
            <w:pPr>
              <w:spacing w:before="100"/>
              <w:rPr>
                <w:color w:val="000000"/>
                <w:lang w:val="en-GB"/>
              </w:rPr>
            </w:pPr>
          </w:p>
          <w:p w14:paraId="3FA3CE66" w14:textId="77777777" w:rsidR="00A77B3E" w:rsidRPr="00607BDE" w:rsidRDefault="00C401B9">
            <w:pPr>
              <w:spacing w:before="100"/>
              <w:rPr>
                <w:color w:val="000000"/>
                <w:lang w:val="en-GB"/>
              </w:rPr>
            </w:pPr>
            <w:r w:rsidRPr="00607BDE">
              <w:rPr>
                <w:color w:val="000000"/>
                <w:lang w:val="en-GB"/>
              </w:rPr>
              <w:t>In order to make the visa policy more efficient, i.e. to increase the number of visa applications handled while ensuring high security standards, Poland intends to employ the new legal tools that were introduced in 2020 under EU legislation. Indeed, with the entry into force of the new Visa Code, a possibility has been introduced for central authorities of Member States to handle Schengen visa applications. This solution will clearly contribute to streamlining the visa process, particularly in places where visa demand is high.</w:t>
            </w:r>
          </w:p>
          <w:p w14:paraId="0A31EEEF" w14:textId="77777777" w:rsidR="00A77B3E" w:rsidRPr="00607BDE" w:rsidRDefault="00A77B3E">
            <w:pPr>
              <w:spacing w:before="100"/>
              <w:rPr>
                <w:color w:val="000000"/>
                <w:lang w:val="en-GB"/>
              </w:rPr>
            </w:pPr>
          </w:p>
          <w:p w14:paraId="38A7EC10" w14:textId="77777777" w:rsidR="00A77B3E" w:rsidRPr="00607BDE" w:rsidRDefault="00C401B9">
            <w:pPr>
              <w:spacing w:before="100"/>
              <w:rPr>
                <w:color w:val="000000"/>
                <w:lang w:val="en-GB"/>
              </w:rPr>
            </w:pPr>
            <w:r w:rsidRPr="00607BDE">
              <w:rPr>
                <w:color w:val="000000"/>
                <w:lang w:val="en-GB"/>
              </w:rPr>
              <w:t>In order to create an effective and customer-friendly visa process, actions must also be undertaken to reinforce the posts by providing periodic staff support, modernising and/or purchasing new hardware and equipment, as well as developing better ICT solutions and helpful system tools. In this respect, one must take into account inter alia the requirements that will emerge upon implementation of interoperability between systems, certain online elements of the visa process and possible new EU solutions, such as a digital visa sticker. The new system tools could significantly accelerate the process of verification of information provided in visa applications, while the staff support actions would aim at tackling the prblems generated by the increased visa traffic and difficulties in providing timely foreigner service.</w:t>
            </w:r>
          </w:p>
          <w:p w14:paraId="1D180638" w14:textId="77777777" w:rsidR="00A77B3E" w:rsidRPr="00607BDE" w:rsidRDefault="00A77B3E">
            <w:pPr>
              <w:spacing w:before="100"/>
              <w:rPr>
                <w:color w:val="000000"/>
                <w:lang w:val="en-GB"/>
              </w:rPr>
            </w:pPr>
          </w:p>
          <w:p w14:paraId="3DB3551B" w14:textId="2B848625" w:rsidR="00A77B3E" w:rsidRPr="00607BDE" w:rsidRDefault="00C401B9">
            <w:pPr>
              <w:spacing w:before="100"/>
              <w:rPr>
                <w:color w:val="000000"/>
                <w:lang w:val="en-GB"/>
              </w:rPr>
            </w:pPr>
            <w:r w:rsidRPr="00607BDE">
              <w:rPr>
                <w:color w:val="000000"/>
                <w:lang w:val="en-GB"/>
              </w:rPr>
              <w:t xml:space="preserve">Furthermore, it will be essential to reinforce the existing training facilities by ensuring maintenance and regular modernisation of appropriately equipped </w:t>
            </w:r>
            <w:r w:rsidR="00462B18">
              <w:rPr>
                <w:color w:val="000000"/>
                <w:lang w:val="en-GB"/>
              </w:rPr>
              <w:t>training rooms</w:t>
            </w:r>
            <w:r w:rsidRPr="00607BDE">
              <w:rPr>
                <w:color w:val="000000"/>
                <w:lang w:val="en-GB"/>
              </w:rPr>
              <w:t>, purchasing teaching materials and equipment used in the training process, as well as taking actions to digitalise courses, including by establishing a modern e-learning platform. The existing training infrastructure does not provide for effective training of the consular personnel. Lessons learned from the COVID-19 pandemic show clearly that it is necessary to achieve readiness to conduct training through e-l</w:t>
            </w:r>
            <w:r w:rsidR="00462B18">
              <w:rPr>
                <w:color w:val="000000"/>
                <w:lang w:val="en-GB"/>
              </w:rPr>
              <w:t>e</w:t>
            </w:r>
            <w:r w:rsidRPr="00607BDE">
              <w:rPr>
                <w:color w:val="000000"/>
                <w:lang w:val="en-GB"/>
              </w:rPr>
              <w:t>arning/remote means.</w:t>
            </w:r>
          </w:p>
          <w:p w14:paraId="23D4C095" w14:textId="77777777" w:rsidR="00A77B3E" w:rsidRPr="00607BDE" w:rsidRDefault="00A77B3E">
            <w:pPr>
              <w:spacing w:before="100"/>
              <w:rPr>
                <w:color w:val="000000"/>
                <w:lang w:val="en-GB"/>
              </w:rPr>
            </w:pPr>
          </w:p>
          <w:p w14:paraId="33ECCA74" w14:textId="77777777" w:rsidR="00A77B3E" w:rsidRPr="00607BDE" w:rsidRDefault="00C401B9">
            <w:pPr>
              <w:spacing w:before="100"/>
              <w:rPr>
                <w:color w:val="000000"/>
                <w:lang w:val="en-GB"/>
              </w:rPr>
            </w:pPr>
            <w:r w:rsidRPr="00607BDE">
              <w:rPr>
                <w:color w:val="000000"/>
                <w:lang w:val="en-GB"/>
              </w:rPr>
              <w:t>Such broadly understood infrastructural reinforcement has a direct impact on enhancing the visa efficiency while ensuring the highest possible quality of the visa process.</w:t>
            </w:r>
          </w:p>
          <w:p w14:paraId="1E1F9212" w14:textId="77777777" w:rsidR="00A77B3E" w:rsidRPr="00607BDE" w:rsidRDefault="00A77B3E">
            <w:pPr>
              <w:spacing w:before="100"/>
              <w:rPr>
                <w:color w:val="000000"/>
                <w:lang w:val="en-GB"/>
              </w:rPr>
            </w:pPr>
          </w:p>
          <w:p w14:paraId="3C336C6B" w14:textId="77777777" w:rsidR="00A77B3E" w:rsidRPr="00607BDE" w:rsidRDefault="00C401B9">
            <w:pPr>
              <w:spacing w:before="100"/>
              <w:rPr>
                <w:color w:val="000000"/>
                <w:lang w:val="en-GB"/>
              </w:rPr>
            </w:pPr>
            <w:r w:rsidRPr="00607BDE">
              <w:rPr>
                <w:color w:val="000000"/>
                <w:lang w:val="en-GB"/>
              </w:rPr>
              <w:t>No actions set out in Annex IV to Regulation 2021/1148 are planned within SO2.</w:t>
            </w:r>
          </w:p>
          <w:p w14:paraId="1BD32156" w14:textId="77777777" w:rsidR="00A77B3E" w:rsidRPr="00607BDE" w:rsidRDefault="00A77B3E">
            <w:pPr>
              <w:spacing w:before="100"/>
              <w:rPr>
                <w:color w:val="000000"/>
                <w:lang w:val="en-GB"/>
              </w:rPr>
            </w:pPr>
          </w:p>
          <w:p w14:paraId="0DB29944" w14:textId="77777777" w:rsidR="00A77B3E" w:rsidRPr="00607BDE" w:rsidRDefault="00C401B9">
            <w:pPr>
              <w:spacing w:before="100"/>
              <w:rPr>
                <w:color w:val="000000"/>
                <w:lang w:val="en-GB"/>
              </w:rPr>
            </w:pPr>
            <w:r w:rsidRPr="00607BDE">
              <w:rPr>
                <w:color w:val="000000"/>
                <w:u w:val="single"/>
                <w:lang w:val="en-GB"/>
              </w:rPr>
              <w:t>The share of the Programme budget meant for SO2 is lower than 10% due to the priority actions in SO1 related to the tense situation at the external EU border.</w:t>
            </w:r>
          </w:p>
          <w:p w14:paraId="17AE81F3" w14:textId="77777777" w:rsidR="00A77B3E" w:rsidRPr="00607BDE" w:rsidRDefault="00A77B3E">
            <w:pPr>
              <w:spacing w:before="100"/>
              <w:rPr>
                <w:color w:val="000000"/>
                <w:lang w:val="en-GB"/>
              </w:rPr>
            </w:pPr>
          </w:p>
          <w:p w14:paraId="1CBBFC41" w14:textId="161AF16A" w:rsidR="00A77B3E" w:rsidRPr="00607BDE" w:rsidRDefault="00C401B9">
            <w:pPr>
              <w:spacing w:before="100"/>
              <w:rPr>
                <w:color w:val="000000"/>
                <w:lang w:val="en-GB"/>
              </w:rPr>
            </w:pPr>
            <w:r w:rsidRPr="00607BDE">
              <w:rPr>
                <w:b/>
                <w:bCs/>
                <w:color w:val="000000"/>
                <w:lang w:val="en-GB"/>
              </w:rPr>
              <w:t>Implement</w:t>
            </w:r>
            <w:r w:rsidR="00462B18">
              <w:rPr>
                <w:b/>
                <w:bCs/>
                <w:color w:val="000000"/>
                <w:lang w:val="en-GB"/>
              </w:rPr>
              <w:t>ation</w:t>
            </w:r>
            <w:r w:rsidRPr="00607BDE">
              <w:rPr>
                <w:b/>
                <w:bCs/>
                <w:color w:val="000000"/>
                <w:lang w:val="en-GB"/>
              </w:rPr>
              <w:t xml:space="preserve"> measures and actions:</w:t>
            </w:r>
          </w:p>
          <w:p w14:paraId="72C90D32" w14:textId="77777777" w:rsidR="00A77B3E" w:rsidRPr="00607BDE" w:rsidRDefault="00A77B3E">
            <w:pPr>
              <w:spacing w:before="100"/>
              <w:rPr>
                <w:color w:val="000000"/>
                <w:lang w:val="en-GB"/>
              </w:rPr>
            </w:pPr>
          </w:p>
          <w:p w14:paraId="260C3139" w14:textId="22AC3D49" w:rsidR="00A77B3E" w:rsidRPr="00607BDE" w:rsidRDefault="00C401B9">
            <w:pPr>
              <w:spacing w:before="100"/>
              <w:rPr>
                <w:color w:val="000000"/>
                <w:lang w:val="en-GB"/>
              </w:rPr>
            </w:pPr>
            <w:r w:rsidRPr="00607BDE">
              <w:rPr>
                <w:b/>
                <w:bCs/>
                <w:color w:val="000000"/>
                <w:lang w:val="en-GB"/>
              </w:rPr>
              <w:t>In the perspective of needs and challenges, the Programme will concentrate in the visa policy area on implement</w:t>
            </w:r>
            <w:r w:rsidR="00462B18">
              <w:rPr>
                <w:b/>
                <w:bCs/>
                <w:color w:val="000000"/>
                <w:lang w:val="en-GB"/>
              </w:rPr>
              <w:t>ation</w:t>
            </w:r>
            <w:r w:rsidRPr="00607BDE">
              <w:rPr>
                <w:b/>
                <w:bCs/>
                <w:color w:val="000000"/>
                <w:lang w:val="en-GB"/>
              </w:rPr>
              <w:t xml:space="preserve"> measures and scope of support set forth in Annexes II and III to Regulation 2021/1148. </w:t>
            </w:r>
          </w:p>
          <w:p w14:paraId="3CC92D80" w14:textId="77777777" w:rsidR="00A77B3E" w:rsidRPr="00607BDE" w:rsidRDefault="00A77B3E">
            <w:pPr>
              <w:spacing w:before="100"/>
              <w:rPr>
                <w:color w:val="000000"/>
                <w:lang w:val="en-GB"/>
              </w:rPr>
            </w:pPr>
          </w:p>
          <w:p w14:paraId="0CE36085" w14:textId="77777777" w:rsidR="00A77B3E" w:rsidRPr="00607BDE" w:rsidRDefault="00C401B9">
            <w:pPr>
              <w:spacing w:before="100"/>
              <w:rPr>
                <w:color w:val="000000"/>
                <w:lang w:val="en-GB"/>
              </w:rPr>
            </w:pPr>
            <w:r w:rsidRPr="00607BDE">
              <w:rPr>
                <w:i/>
                <w:iCs/>
                <w:color w:val="000000"/>
                <w:lang w:val="en-GB"/>
              </w:rPr>
              <w:t>Large-scale information systems for the common visa policy</w:t>
            </w:r>
          </w:p>
          <w:p w14:paraId="09FA79B4" w14:textId="77777777" w:rsidR="00A77B3E" w:rsidRPr="00607BDE" w:rsidRDefault="00C401B9">
            <w:pPr>
              <w:spacing w:before="100"/>
              <w:rPr>
                <w:color w:val="000000"/>
                <w:lang w:val="en-GB"/>
              </w:rPr>
            </w:pPr>
            <w:r w:rsidRPr="00607BDE">
              <w:rPr>
                <w:color w:val="000000"/>
                <w:lang w:val="en-GB"/>
              </w:rPr>
              <w:t>Efficient use of the available IT tools, VIS, and interoperability, represent an important element which allows appropriate migration risk estimation (the VIS records some 50,000 transactions per hour). In the light of Regulation</w:t>
            </w:r>
            <w:r w:rsidR="00F775FA">
              <w:rPr>
                <w:color w:val="000000"/>
                <w:lang w:val="en-GB"/>
              </w:rPr>
              <w:t xml:space="preserve"> </w:t>
            </w:r>
            <w:r w:rsidRPr="00607BDE">
              <w:rPr>
                <w:color w:val="000000"/>
                <w:lang w:val="en-GB"/>
              </w:rPr>
              <w:t>2021/1134, it is necessary to modify and update IT systems used for implementing the amended VIS Regulation and other regulations, such as the EES Regulation, to the extent that it bears on the visa procedure. Furthermore, the future harmonisation of standards implemented by all Member States will facilitate travel and interoperability.</w:t>
            </w:r>
          </w:p>
          <w:p w14:paraId="691BA862" w14:textId="77777777" w:rsidR="00A77B3E" w:rsidRPr="00607BDE" w:rsidRDefault="00C401B9">
            <w:pPr>
              <w:spacing w:before="100"/>
              <w:rPr>
                <w:color w:val="000000"/>
                <w:lang w:val="en-GB"/>
              </w:rPr>
            </w:pPr>
            <w:r w:rsidRPr="00607BDE">
              <w:rPr>
                <w:color w:val="000000"/>
                <w:lang w:val="en-GB"/>
              </w:rPr>
              <w:t>As regards the implementation of the VIS Recast, actions must be taken to ensure adaptation to the new VIS technical specifications and integration of CS-VIS and VISMail, especially for the purpose of automation of notifications and modification of the course of all visa processes. It is a challenge to ensure adaptation to the changes in the level of quality and volume of data processed by information systems as part of visa services, including biometric data and passport data pages.</w:t>
            </w:r>
          </w:p>
          <w:p w14:paraId="6517A811" w14:textId="77777777" w:rsidR="00A77B3E" w:rsidRPr="00607BDE" w:rsidRDefault="00C401B9">
            <w:pPr>
              <w:spacing w:before="100"/>
              <w:rPr>
                <w:color w:val="000000"/>
                <w:lang w:val="en-GB"/>
              </w:rPr>
            </w:pPr>
            <w:r w:rsidRPr="00607BDE">
              <w:rPr>
                <w:color w:val="000000"/>
                <w:lang w:val="en-GB"/>
              </w:rPr>
              <w:t>As regards the implementation of interoperability tools, actions must be taken to develop and implement tools for the management of yellow links and MIDs. Furthermore, the system of transmitting and managing rights of consular and large-scale systems must be reorganised due to the introduction of "ESP profiles". It is also necessary to rebuild the communication layer with large-scale EU systems and change the search methods in those systems. It is also important to develop new functionalities and user interfaces in the consular systems.</w:t>
            </w:r>
          </w:p>
          <w:p w14:paraId="579786AA" w14:textId="77777777" w:rsidR="00A77B3E" w:rsidRPr="00607BDE" w:rsidRDefault="00C401B9">
            <w:pPr>
              <w:spacing w:before="100"/>
              <w:rPr>
                <w:color w:val="000000"/>
                <w:lang w:val="en-GB"/>
              </w:rPr>
            </w:pPr>
            <w:r w:rsidRPr="00607BDE">
              <w:rPr>
                <w:color w:val="000000"/>
                <w:lang w:val="en-GB"/>
              </w:rPr>
              <w:t>Another relevant objective to be achieved is preparation of adequately secure and efficient hardware-software infrastructure on the part of the BG to streamline the visa process (verification, issuance).</w:t>
            </w:r>
          </w:p>
          <w:p w14:paraId="6B161693" w14:textId="77777777" w:rsidR="00A77B3E" w:rsidRPr="00607BDE" w:rsidRDefault="00A77B3E">
            <w:pPr>
              <w:spacing w:before="100"/>
              <w:rPr>
                <w:color w:val="000000"/>
                <w:lang w:val="en-GB"/>
              </w:rPr>
            </w:pPr>
          </w:p>
          <w:p w14:paraId="496CF80B" w14:textId="44B7E1D3" w:rsidR="00A77B3E" w:rsidRPr="00607BDE" w:rsidRDefault="00C401B9">
            <w:pPr>
              <w:spacing w:before="100"/>
              <w:rPr>
                <w:color w:val="000000"/>
                <w:lang w:val="en-GB"/>
              </w:rPr>
            </w:pPr>
            <w:r w:rsidRPr="00607BDE">
              <w:rPr>
                <w:b/>
                <w:bCs/>
                <w:color w:val="000000"/>
                <w:lang w:val="en-GB"/>
              </w:rPr>
              <w:t>The following actions planned for the purpose of implement</w:t>
            </w:r>
            <w:r w:rsidR="00462B18">
              <w:rPr>
                <w:b/>
                <w:bCs/>
                <w:color w:val="000000"/>
                <w:lang w:val="en-GB"/>
              </w:rPr>
              <w:t>ation</w:t>
            </w:r>
            <w:r w:rsidRPr="00607BDE">
              <w:rPr>
                <w:b/>
                <w:bCs/>
                <w:color w:val="000000"/>
                <w:lang w:val="en-GB"/>
              </w:rPr>
              <w:t xml:space="preserve"> measure 2.e and the scope of support 3.d</w:t>
            </w:r>
            <w:r w:rsidRPr="00607BDE">
              <w:rPr>
                <w:color w:val="000000"/>
                <w:lang w:val="en-GB"/>
              </w:rPr>
              <w:t>:</w:t>
            </w:r>
          </w:p>
          <w:p w14:paraId="74749489" w14:textId="77777777" w:rsidR="00A77B3E" w:rsidRPr="00607BDE" w:rsidRDefault="00C401B9">
            <w:pPr>
              <w:numPr>
                <w:ilvl w:val="0"/>
                <w:numId w:val="15"/>
              </w:numPr>
              <w:spacing w:before="100"/>
              <w:rPr>
                <w:color w:val="000000"/>
                <w:lang w:val="en-GB"/>
              </w:rPr>
            </w:pPr>
            <w:r w:rsidRPr="00607BDE">
              <w:rPr>
                <w:color w:val="000000"/>
                <w:lang w:val="en-GB"/>
              </w:rPr>
              <w:t>Further expansion of the VIS and further expansion of tools that will introduce full interoperability of large-scale information systems;</w:t>
            </w:r>
          </w:p>
          <w:p w14:paraId="3773441B" w14:textId="77777777" w:rsidR="00A77B3E" w:rsidRPr="00607BDE" w:rsidRDefault="00C401B9">
            <w:pPr>
              <w:numPr>
                <w:ilvl w:val="0"/>
                <w:numId w:val="15"/>
              </w:numPr>
              <w:spacing w:before="100"/>
              <w:rPr>
                <w:color w:val="000000"/>
                <w:lang w:val="en-GB"/>
              </w:rPr>
            </w:pPr>
            <w:r w:rsidRPr="00607BDE">
              <w:rPr>
                <w:color w:val="000000"/>
                <w:lang w:val="en-GB"/>
              </w:rPr>
              <w:t>Providing Polish institutions with access to the modernised VIS;</w:t>
            </w:r>
          </w:p>
          <w:p w14:paraId="5C088EDB" w14:textId="77777777" w:rsidR="00A77B3E" w:rsidRPr="00607BDE" w:rsidRDefault="00C401B9">
            <w:pPr>
              <w:numPr>
                <w:ilvl w:val="0"/>
                <w:numId w:val="15"/>
              </w:numPr>
              <w:spacing w:before="100"/>
              <w:rPr>
                <w:color w:val="000000"/>
                <w:lang w:val="en-GB"/>
              </w:rPr>
            </w:pPr>
            <w:r w:rsidRPr="00607BDE">
              <w:rPr>
                <w:color w:val="000000"/>
                <w:lang w:val="en-GB"/>
              </w:rPr>
              <w:t>Actions related to interoperability of the VIS and EES;</w:t>
            </w:r>
          </w:p>
          <w:p w14:paraId="4F5D5999" w14:textId="77777777" w:rsidR="00A77B3E" w:rsidRPr="00607BDE" w:rsidRDefault="00C401B9">
            <w:pPr>
              <w:numPr>
                <w:ilvl w:val="0"/>
                <w:numId w:val="15"/>
              </w:numPr>
              <w:spacing w:before="100"/>
              <w:rPr>
                <w:color w:val="000000"/>
                <w:lang w:val="en-GB"/>
              </w:rPr>
            </w:pPr>
            <w:r w:rsidRPr="00607BDE">
              <w:rPr>
                <w:color w:val="000000"/>
                <w:lang w:val="en-GB"/>
              </w:rPr>
              <w:t>Implementation of the SIS Recast;</w:t>
            </w:r>
          </w:p>
          <w:p w14:paraId="4B432DF4" w14:textId="77777777" w:rsidR="00A77B3E" w:rsidRPr="00607BDE" w:rsidRDefault="00C401B9">
            <w:pPr>
              <w:numPr>
                <w:ilvl w:val="0"/>
                <w:numId w:val="15"/>
              </w:numPr>
              <w:spacing w:before="100"/>
              <w:rPr>
                <w:color w:val="000000"/>
                <w:lang w:val="en-GB"/>
              </w:rPr>
            </w:pPr>
            <w:r w:rsidRPr="00607BDE">
              <w:rPr>
                <w:color w:val="000000"/>
                <w:lang w:val="en-GB"/>
              </w:rPr>
              <w:t>Implementation of interoperability tools, in particular the ESP and MID/CIR;</w:t>
            </w:r>
          </w:p>
          <w:p w14:paraId="6B46CEA4" w14:textId="77777777" w:rsidR="00A77B3E" w:rsidRPr="00607BDE" w:rsidRDefault="00C401B9">
            <w:pPr>
              <w:numPr>
                <w:ilvl w:val="0"/>
                <w:numId w:val="15"/>
              </w:numPr>
              <w:spacing w:before="100"/>
              <w:rPr>
                <w:color w:val="000000"/>
                <w:lang w:val="en-GB"/>
              </w:rPr>
            </w:pPr>
            <w:r w:rsidRPr="00607BDE">
              <w:rPr>
                <w:color w:val="000000"/>
                <w:lang w:val="en-GB"/>
              </w:rPr>
              <w:t>Launch of the process of rebuilding the CSI SG infrastructure, with a particular focus on the expansion of the ZWT;</w:t>
            </w:r>
          </w:p>
          <w:p w14:paraId="16726417" w14:textId="77777777" w:rsidR="00A77B3E" w:rsidRPr="00607BDE" w:rsidRDefault="00C401B9">
            <w:pPr>
              <w:numPr>
                <w:ilvl w:val="0"/>
                <w:numId w:val="15"/>
              </w:numPr>
              <w:spacing w:before="100"/>
              <w:rPr>
                <w:color w:val="000000"/>
                <w:lang w:val="en-GB"/>
              </w:rPr>
            </w:pPr>
            <w:r w:rsidRPr="00607BDE">
              <w:rPr>
                <w:color w:val="000000"/>
                <w:lang w:val="en-GB"/>
              </w:rPr>
              <w:t>Replacement of the components involved in the communication process within the VIS.</w:t>
            </w:r>
          </w:p>
          <w:p w14:paraId="3D76793B" w14:textId="77777777" w:rsidR="00A77B3E" w:rsidRPr="00607BDE" w:rsidRDefault="00A77B3E">
            <w:pPr>
              <w:spacing w:before="100"/>
              <w:rPr>
                <w:color w:val="000000"/>
                <w:lang w:val="en-GB"/>
              </w:rPr>
            </w:pPr>
          </w:p>
          <w:p w14:paraId="0515B317" w14:textId="77777777" w:rsidR="00A77B3E" w:rsidRPr="00607BDE" w:rsidRDefault="00C401B9">
            <w:pPr>
              <w:spacing w:before="100"/>
              <w:rPr>
                <w:color w:val="000000"/>
                <w:lang w:val="en-GB"/>
              </w:rPr>
            </w:pPr>
            <w:r w:rsidRPr="00607BDE">
              <w:rPr>
                <w:i/>
                <w:iCs/>
                <w:color w:val="000000"/>
                <w:lang w:val="en-GB"/>
              </w:rPr>
              <w:t>Digitalisation of the visa process</w:t>
            </w:r>
          </w:p>
          <w:p w14:paraId="2C8426FD" w14:textId="5D5F405B" w:rsidR="00A77B3E" w:rsidRPr="00607BDE" w:rsidRDefault="00C401B9">
            <w:pPr>
              <w:spacing w:before="100"/>
              <w:rPr>
                <w:color w:val="000000"/>
                <w:lang w:val="en-GB"/>
              </w:rPr>
            </w:pPr>
            <w:r w:rsidRPr="00607BDE">
              <w:rPr>
                <w:color w:val="000000"/>
                <w:lang w:val="en-GB"/>
              </w:rPr>
              <w:t xml:space="preserve">Consular information systems, especially the Visa-Consul system and also e-Consulate, which is used for contacting customers of consular missions, undergo continuous modernisation and expansion as a result legislative, organisational, technological and business changes. Furthermore, the system must keep up with changes in external systems. At present, the </w:t>
            </w:r>
            <w:r w:rsidR="00312668">
              <w:rPr>
                <w:color w:val="000000"/>
                <w:lang w:val="en-GB"/>
              </w:rPr>
              <w:t>Ministry of Foreign Affairs</w:t>
            </w:r>
            <w:r w:rsidRPr="00607BDE">
              <w:rPr>
                <w:color w:val="000000"/>
                <w:lang w:val="en-GB"/>
              </w:rPr>
              <w:t xml:space="preserve"> is in the process of developing assumption for a new consular system which will replace Visa-Consul. Due to the high share of visa services in all consular services and in connection with the modernisation and expansion of large-scale systems, this area is among areas that require attention. The modernisation and digitalisation solutions planned in the visa area apply also to the Visa Decision Centre.</w:t>
            </w:r>
          </w:p>
          <w:p w14:paraId="64D88323" w14:textId="77777777" w:rsidR="00A77B3E" w:rsidRPr="00607BDE" w:rsidRDefault="00A77B3E">
            <w:pPr>
              <w:spacing w:before="100"/>
              <w:rPr>
                <w:color w:val="000000"/>
                <w:lang w:val="en-GB"/>
              </w:rPr>
            </w:pPr>
          </w:p>
          <w:p w14:paraId="612BBDA4" w14:textId="77777777" w:rsidR="00A77B3E" w:rsidRPr="00607BDE" w:rsidRDefault="00C401B9">
            <w:pPr>
              <w:spacing w:before="100"/>
              <w:rPr>
                <w:color w:val="000000"/>
                <w:lang w:val="en-GB"/>
              </w:rPr>
            </w:pPr>
            <w:r w:rsidRPr="00607BDE">
              <w:rPr>
                <w:color w:val="000000"/>
                <w:lang w:val="en-GB"/>
              </w:rPr>
              <w:t xml:space="preserve">In order to digitalise the visa process, actions must be taken to put in place a new communication module for exchanging EU VAP data and implement new functionalities in the area of large data storage, including scans of supporting documents and subsequent archiving. Modification and expansion of payment processing (on-line payments in EU VAP) and modules for the management of meetings with visa customers at consulates are challenges in this area. It is also essential to adapt the Visa-Consul system to cooperating with the improved SIS and EES. </w:t>
            </w:r>
          </w:p>
          <w:p w14:paraId="661713F1" w14:textId="77777777" w:rsidR="00A77B3E" w:rsidRPr="00607BDE" w:rsidRDefault="00A77B3E">
            <w:pPr>
              <w:spacing w:before="100"/>
              <w:rPr>
                <w:color w:val="000000"/>
                <w:lang w:val="en-GB"/>
              </w:rPr>
            </w:pPr>
          </w:p>
          <w:p w14:paraId="1E64FCD0" w14:textId="77777777" w:rsidR="00A77B3E" w:rsidRPr="00607BDE" w:rsidRDefault="00C401B9">
            <w:pPr>
              <w:spacing w:before="100"/>
              <w:rPr>
                <w:color w:val="000000"/>
                <w:lang w:val="en-GB"/>
              </w:rPr>
            </w:pPr>
            <w:r w:rsidRPr="00607BDE">
              <w:rPr>
                <w:color w:val="000000"/>
                <w:lang w:val="en-GB"/>
              </w:rPr>
              <w:t>However, it must be emphasised that arrangements, particularly at EU level, will have a significant impact on the scope of future work related to digitalisation of the visa process.</w:t>
            </w:r>
          </w:p>
          <w:p w14:paraId="23437F7F" w14:textId="77777777" w:rsidR="00A77B3E" w:rsidRPr="00607BDE" w:rsidRDefault="00A77B3E">
            <w:pPr>
              <w:spacing w:before="100"/>
              <w:rPr>
                <w:color w:val="000000"/>
                <w:lang w:val="en-GB"/>
              </w:rPr>
            </w:pPr>
          </w:p>
          <w:p w14:paraId="6F7EECFF" w14:textId="2A34C1B2" w:rsidR="00A77B3E" w:rsidRPr="00607BDE" w:rsidRDefault="00C401B9">
            <w:pPr>
              <w:spacing w:before="100"/>
              <w:rPr>
                <w:color w:val="000000"/>
                <w:lang w:val="en-GB"/>
              </w:rPr>
            </w:pPr>
            <w:r w:rsidRPr="00607BDE">
              <w:rPr>
                <w:b/>
                <w:bCs/>
                <w:color w:val="000000"/>
                <w:lang w:val="en-GB"/>
              </w:rPr>
              <w:t>The following actions planned for the purpose of implement</w:t>
            </w:r>
            <w:r w:rsidR="00312668">
              <w:rPr>
                <w:b/>
                <w:bCs/>
                <w:color w:val="000000"/>
                <w:lang w:val="en-GB"/>
              </w:rPr>
              <w:t>ation</w:t>
            </w:r>
            <w:r w:rsidRPr="00607BDE">
              <w:rPr>
                <w:b/>
                <w:bCs/>
                <w:color w:val="000000"/>
                <w:lang w:val="en-GB"/>
              </w:rPr>
              <w:t xml:space="preserve"> measure 2.c. and the scope of support 2.b:</w:t>
            </w:r>
          </w:p>
          <w:p w14:paraId="7356E5E0" w14:textId="77777777" w:rsidR="00A77B3E" w:rsidRPr="00607BDE" w:rsidRDefault="00C401B9">
            <w:pPr>
              <w:numPr>
                <w:ilvl w:val="0"/>
                <w:numId w:val="16"/>
              </w:numPr>
              <w:spacing w:before="100"/>
              <w:rPr>
                <w:color w:val="000000"/>
                <w:lang w:val="en-GB"/>
              </w:rPr>
            </w:pPr>
            <w:r w:rsidRPr="00607BDE">
              <w:rPr>
                <w:color w:val="000000"/>
                <w:lang w:val="en-GB"/>
              </w:rPr>
              <w:t>Adaptation of consular systems (Visa-Consul) to cooperate with new and modernised systems as part of digitalisation of the visa process;</w:t>
            </w:r>
          </w:p>
          <w:p w14:paraId="67BDAA4C" w14:textId="77777777" w:rsidR="00A77B3E" w:rsidRPr="00607BDE" w:rsidRDefault="00C401B9">
            <w:pPr>
              <w:numPr>
                <w:ilvl w:val="0"/>
                <w:numId w:val="16"/>
              </w:numPr>
              <w:spacing w:before="100"/>
              <w:rPr>
                <w:color w:val="000000"/>
                <w:lang w:val="en-GB"/>
              </w:rPr>
            </w:pPr>
            <w:r w:rsidRPr="00607BDE">
              <w:rPr>
                <w:color w:val="000000"/>
                <w:lang w:val="en-GB"/>
              </w:rPr>
              <w:t>Technological, organisational and procedural adaptation to cooperation with the EU Visa Application Portal (EU VAP – an EU-level initiative) and issuance of digital visas;</w:t>
            </w:r>
          </w:p>
          <w:p w14:paraId="723B2369" w14:textId="77777777" w:rsidR="00A77B3E" w:rsidRPr="00607BDE" w:rsidRDefault="00C401B9">
            <w:pPr>
              <w:numPr>
                <w:ilvl w:val="0"/>
                <w:numId w:val="16"/>
              </w:numPr>
              <w:spacing w:before="100"/>
              <w:rPr>
                <w:color w:val="000000"/>
                <w:lang w:val="en-GB"/>
              </w:rPr>
            </w:pPr>
            <w:r w:rsidRPr="00607BDE">
              <w:rPr>
                <w:color w:val="000000"/>
                <w:lang w:val="en-GB"/>
              </w:rPr>
              <w:t>Expansion of the Visa Decision Centre – development of tools which support digitalisation of visa processes, including in cooperation with external providers of visa services.</w:t>
            </w:r>
          </w:p>
          <w:p w14:paraId="61CA725F" w14:textId="77777777" w:rsidR="00A77B3E" w:rsidRPr="00607BDE" w:rsidRDefault="00A77B3E">
            <w:pPr>
              <w:spacing w:before="100"/>
              <w:rPr>
                <w:color w:val="000000"/>
                <w:lang w:val="en-GB"/>
              </w:rPr>
            </w:pPr>
          </w:p>
          <w:p w14:paraId="2E9290D6" w14:textId="77777777" w:rsidR="00A77B3E" w:rsidRPr="00607BDE" w:rsidRDefault="00C401B9">
            <w:pPr>
              <w:spacing w:before="100"/>
              <w:rPr>
                <w:color w:val="000000"/>
                <w:lang w:val="en-GB"/>
              </w:rPr>
            </w:pPr>
            <w:r w:rsidRPr="00607BDE">
              <w:rPr>
                <w:i/>
                <w:iCs/>
                <w:color w:val="000000"/>
                <w:lang w:val="en-GB"/>
              </w:rPr>
              <w:t>Training for the personnel contributing to the implementation of the common visa policy and consular cooperation</w:t>
            </w:r>
          </w:p>
          <w:p w14:paraId="47CB31EA" w14:textId="77777777" w:rsidR="00A77B3E" w:rsidRPr="00607BDE" w:rsidRDefault="00C401B9">
            <w:pPr>
              <w:spacing w:before="100"/>
              <w:rPr>
                <w:color w:val="000000"/>
                <w:lang w:val="en-GB"/>
              </w:rPr>
            </w:pPr>
            <w:r w:rsidRPr="00607BDE">
              <w:rPr>
                <w:color w:val="000000"/>
                <w:lang w:val="en-GB"/>
              </w:rPr>
              <w:t>The appropriate level of quality and effectiveness of the visa process can be maintained by ensuring the provision of necessary training. To ensure a fully effective accomplishment of this objective, training shall cover all personnel involved in the visa process: consular officials and local employees at consular missions (a 2019 Schengen evaluation requirement). As required under the new Visa Code, in order to ensure appropriate assessment of the migration risk and possible security threats, the personnel not only must have sound knowledge of the local circumstances in the countries from which visa applications come, but should also have appropriate command of the language necessary to analyse the documents submitted. Due to the broad scope of the training courses, they will be conducted not only by the personnel of the Ministry of Foreign Affairs, but also by external entities (e.g. Frontex, agencies subordinated to the Ministry of the Interior and Administration).</w:t>
            </w:r>
          </w:p>
          <w:p w14:paraId="5946C57C" w14:textId="77777777" w:rsidR="00A77B3E" w:rsidRPr="00607BDE" w:rsidRDefault="00A77B3E">
            <w:pPr>
              <w:spacing w:before="100"/>
              <w:rPr>
                <w:color w:val="000000"/>
                <w:lang w:val="en-GB"/>
              </w:rPr>
            </w:pPr>
          </w:p>
          <w:p w14:paraId="0B12F9F8" w14:textId="44F78CF3" w:rsidR="00A77B3E" w:rsidRPr="00607BDE" w:rsidRDefault="00C401B9">
            <w:pPr>
              <w:spacing w:before="100"/>
              <w:rPr>
                <w:color w:val="000000"/>
                <w:lang w:val="en-GB"/>
              </w:rPr>
            </w:pPr>
            <w:r w:rsidRPr="00607BDE">
              <w:rPr>
                <w:b/>
                <w:bCs/>
                <w:color w:val="000000"/>
                <w:lang w:val="en-GB"/>
              </w:rPr>
              <w:t>The following actions planned for the purpose of implement</w:t>
            </w:r>
            <w:r w:rsidR="00312668">
              <w:rPr>
                <w:b/>
                <w:bCs/>
                <w:color w:val="000000"/>
                <w:lang w:val="en-GB"/>
              </w:rPr>
              <w:t>ation</w:t>
            </w:r>
            <w:r w:rsidRPr="00607BDE">
              <w:rPr>
                <w:b/>
                <w:bCs/>
                <w:color w:val="000000"/>
                <w:lang w:val="en-GB"/>
              </w:rPr>
              <w:t xml:space="preserve"> measure 2.a. and the scope of support 2.c:</w:t>
            </w:r>
          </w:p>
          <w:p w14:paraId="720C635A" w14:textId="77777777" w:rsidR="00A77B3E" w:rsidRPr="00607BDE" w:rsidRDefault="00C401B9">
            <w:pPr>
              <w:numPr>
                <w:ilvl w:val="0"/>
                <w:numId w:val="17"/>
              </w:numPr>
              <w:spacing w:before="100"/>
              <w:rPr>
                <w:color w:val="000000"/>
                <w:lang w:val="en-GB"/>
              </w:rPr>
            </w:pPr>
            <w:r w:rsidRPr="00607BDE">
              <w:rPr>
                <w:color w:val="000000"/>
                <w:lang w:val="en-GB"/>
              </w:rPr>
              <w:t>Training for consulate personnel and other employees involved in the implementation of the common visa policy and consular cooperation;</w:t>
            </w:r>
          </w:p>
          <w:p w14:paraId="604C5FBE" w14:textId="77777777" w:rsidR="00A77B3E" w:rsidRPr="00607BDE" w:rsidRDefault="00C401B9">
            <w:pPr>
              <w:numPr>
                <w:ilvl w:val="0"/>
                <w:numId w:val="17"/>
              </w:numPr>
              <w:spacing w:before="100"/>
              <w:rPr>
                <w:color w:val="000000"/>
                <w:lang w:val="en-GB"/>
              </w:rPr>
            </w:pPr>
            <w:r w:rsidRPr="00607BDE">
              <w:rPr>
                <w:color w:val="000000"/>
                <w:lang w:val="en-GB"/>
              </w:rPr>
              <w:t>Training for the personnel of the Visa Decision Centre.</w:t>
            </w:r>
          </w:p>
          <w:p w14:paraId="6D01D32A" w14:textId="77777777" w:rsidR="00A77B3E" w:rsidRPr="00607BDE" w:rsidRDefault="00A77B3E">
            <w:pPr>
              <w:spacing w:before="100"/>
              <w:rPr>
                <w:color w:val="000000"/>
                <w:lang w:val="en-GB"/>
              </w:rPr>
            </w:pPr>
          </w:p>
          <w:p w14:paraId="7A0ED59C" w14:textId="77777777" w:rsidR="00A77B3E" w:rsidRPr="00607BDE" w:rsidRDefault="00C401B9">
            <w:pPr>
              <w:spacing w:before="100"/>
              <w:rPr>
                <w:color w:val="000000"/>
                <w:lang w:val="en-GB"/>
              </w:rPr>
            </w:pPr>
            <w:r w:rsidRPr="00607BDE">
              <w:rPr>
                <w:i/>
                <w:iCs/>
                <w:color w:val="000000"/>
                <w:lang w:val="en-GB"/>
              </w:rPr>
              <w:t>Strengthening the infrastructure used in the visa process</w:t>
            </w:r>
          </w:p>
          <w:p w14:paraId="2625BC7B" w14:textId="77777777" w:rsidR="00A77B3E" w:rsidRPr="00607BDE" w:rsidRDefault="00C401B9">
            <w:pPr>
              <w:spacing w:before="100"/>
              <w:rPr>
                <w:color w:val="000000"/>
                <w:lang w:val="en-GB"/>
              </w:rPr>
            </w:pPr>
            <w:r w:rsidRPr="00607BDE">
              <w:rPr>
                <w:color w:val="000000"/>
                <w:lang w:val="en-GB"/>
              </w:rPr>
              <w:t>The broadly understood infrastructural reinforcement has a direct impact on increasing the visa efficiency while ensuring the highest possible quality of the visa process. In places where visa demand is particularly strong, it makes it possible to streamline the process and optimise the customer service. It is also necessary to ensure a high level of travel document verification in terms of possible security threats. In this light, it is relevant to increase the efficiency of the visa process by enhancing the national potential in handling of visa applications and gradual digitalisation of the entire process.</w:t>
            </w:r>
          </w:p>
          <w:p w14:paraId="10BC8970" w14:textId="77777777" w:rsidR="00A77B3E" w:rsidRPr="00607BDE" w:rsidRDefault="00A77B3E">
            <w:pPr>
              <w:spacing w:before="100"/>
              <w:rPr>
                <w:color w:val="000000"/>
                <w:lang w:val="en-GB"/>
              </w:rPr>
            </w:pPr>
          </w:p>
          <w:p w14:paraId="2BF13D7E" w14:textId="77777777" w:rsidR="00A77B3E" w:rsidRPr="00607BDE" w:rsidRDefault="00C401B9">
            <w:pPr>
              <w:spacing w:before="100"/>
              <w:rPr>
                <w:color w:val="000000"/>
                <w:lang w:val="en-GB"/>
              </w:rPr>
            </w:pPr>
            <w:r w:rsidRPr="00607BDE">
              <w:rPr>
                <w:color w:val="000000"/>
                <w:lang w:val="en-GB"/>
              </w:rPr>
              <w:t>At present, in their everyday foreigner handling, the Border Guard use the ZSE6 app, which as part of border checks verifies visas issued in the VIS, and the SOC to issue visas in the VIS. The operator stations are equipped with All-In-One computers and document readers, fingerprint readers, photo/video cameras and printers for sticker personalisation. Strengthening of the visa process infrastructure is of key importance because it will have impact on the speed and quality of services provided to foreigners during border checks, including VIS verification and issuance of visas. In the near future, it is required, as planned, to change the manner of personalisation of visa stickers with the use of digital codes. The BG is involved in the process of handling visa applications through the National Consultation System. Effective implementation of those tasks requires taking actions to ensure interoperability at national level. Appropriate actions must also be taken to aggregate data from national registers. As a result, it will be possible to get quick answers, which will reduce the waiting time and subsequently have a positive impact on the entire visa process.</w:t>
            </w:r>
          </w:p>
          <w:p w14:paraId="60D0E044" w14:textId="77777777" w:rsidR="00A77B3E" w:rsidRPr="00607BDE" w:rsidRDefault="00A77B3E">
            <w:pPr>
              <w:spacing w:before="100"/>
              <w:rPr>
                <w:color w:val="000000"/>
                <w:lang w:val="en-GB"/>
              </w:rPr>
            </w:pPr>
          </w:p>
          <w:p w14:paraId="48387435" w14:textId="67E72476" w:rsidR="00A77B3E" w:rsidRPr="00607BDE" w:rsidRDefault="00C401B9">
            <w:pPr>
              <w:spacing w:before="100"/>
              <w:rPr>
                <w:color w:val="000000"/>
                <w:lang w:val="en-GB"/>
              </w:rPr>
            </w:pPr>
            <w:r w:rsidRPr="00607BDE">
              <w:rPr>
                <w:b/>
                <w:bCs/>
                <w:color w:val="000000"/>
                <w:lang w:val="en-GB"/>
              </w:rPr>
              <w:t>The following actions planned for the purpose of implement</w:t>
            </w:r>
            <w:r w:rsidR="00312668">
              <w:rPr>
                <w:b/>
                <w:bCs/>
                <w:color w:val="000000"/>
                <w:lang w:val="en-GB"/>
              </w:rPr>
              <w:t>ation</w:t>
            </w:r>
            <w:r w:rsidRPr="00607BDE">
              <w:rPr>
                <w:b/>
                <w:bCs/>
                <w:color w:val="000000"/>
                <w:lang w:val="en-GB"/>
              </w:rPr>
              <w:t xml:space="preserve"> measure 2.c. and the scope of support 2.b:</w:t>
            </w:r>
          </w:p>
          <w:p w14:paraId="38CEF77C" w14:textId="77777777" w:rsidR="00A77B3E" w:rsidRPr="00607BDE" w:rsidRDefault="00C401B9">
            <w:pPr>
              <w:numPr>
                <w:ilvl w:val="0"/>
                <w:numId w:val="18"/>
              </w:numPr>
              <w:spacing w:before="100"/>
              <w:rPr>
                <w:color w:val="000000"/>
                <w:lang w:val="en-GB"/>
              </w:rPr>
            </w:pPr>
            <w:r w:rsidRPr="00607BDE">
              <w:rPr>
                <w:color w:val="000000"/>
                <w:lang w:val="en-GB"/>
              </w:rPr>
              <w:t>Technical strengthening by providing the necessary equipment;</w:t>
            </w:r>
          </w:p>
          <w:p w14:paraId="76F92EE7" w14:textId="77777777" w:rsidR="00A77B3E" w:rsidRPr="00607BDE" w:rsidRDefault="00C401B9">
            <w:pPr>
              <w:numPr>
                <w:ilvl w:val="0"/>
                <w:numId w:val="18"/>
              </w:numPr>
              <w:spacing w:before="100"/>
              <w:rPr>
                <w:color w:val="000000"/>
                <w:lang w:val="en-GB"/>
              </w:rPr>
            </w:pPr>
            <w:r w:rsidRPr="00607BDE">
              <w:rPr>
                <w:color w:val="000000"/>
                <w:lang w:val="en-GB"/>
              </w:rPr>
              <w:t>Periodic replacement of used and worn out equipment;</w:t>
            </w:r>
          </w:p>
          <w:p w14:paraId="50895279" w14:textId="77777777" w:rsidR="00A77B3E" w:rsidRPr="00607BDE" w:rsidRDefault="00C401B9">
            <w:pPr>
              <w:numPr>
                <w:ilvl w:val="0"/>
                <w:numId w:val="18"/>
              </w:numPr>
              <w:spacing w:before="100"/>
              <w:rPr>
                <w:color w:val="000000"/>
                <w:lang w:val="en-GB"/>
              </w:rPr>
            </w:pPr>
            <w:r w:rsidRPr="00607BDE">
              <w:rPr>
                <w:color w:val="000000"/>
                <w:lang w:val="en-GB"/>
              </w:rPr>
              <w:t>Replacement of all document readers and personalisation printers;</w:t>
            </w:r>
          </w:p>
          <w:p w14:paraId="3F2DBDDB" w14:textId="77777777" w:rsidR="00A77B3E" w:rsidRPr="00607BDE" w:rsidRDefault="00C401B9">
            <w:pPr>
              <w:numPr>
                <w:ilvl w:val="0"/>
                <w:numId w:val="18"/>
              </w:numPr>
              <w:spacing w:before="100"/>
              <w:rPr>
                <w:color w:val="000000"/>
                <w:lang w:val="en-GB"/>
              </w:rPr>
            </w:pPr>
            <w:r w:rsidRPr="00607BDE">
              <w:rPr>
                <w:color w:val="000000"/>
                <w:lang w:val="en-GB"/>
              </w:rPr>
              <w:t>Ensuring interoperability between the resources to compile a history of a foreigner for use in the visa process;</w:t>
            </w:r>
          </w:p>
          <w:p w14:paraId="58D9427D" w14:textId="77777777" w:rsidR="00A77B3E" w:rsidRPr="00607BDE" w:rsidRDefault="00C401B9">
            <w:pPr>
              <w:numPr>
                <w:ilvl w:val="0"/>
                <w:numId w:val="18"/>
              </w:numPr>
              <w:spacing w:before="100"/>
              <w:rPr>
                <w:color w:val="000000"/>
                <w:lang w:val="en-GB"/>
              </w:rPr>
            </w:pPr>
            <w:r w:rsidRPr="00607BDE">
              <w:rPr>
                <w:color w:val="000000"/>
                <w:lang w:val="en-GB"/>
              </w:rPr>
              <w:t>Ensuring highly efficient infrastructure to obtain detailed information for the purpose of visa decisions.</w:t>
            </w:r>
          </w:p>
          <w:p w14:paraId="21D89DA3" w14:textId="77777777" w:rsidR="00A77B3E" w:rsidRPr="00607BDE" w:rsidRDefault="00A77B3E">
            <w:pPr>
              <w:spacing w:before="100"/>
              <w:rPr>
                <w:color w:val="000000"/>
                <w:lang w:val="en-GB"/>
              </w:rPr>
            </w:pPr>
          </w:p>
          <w:p w14:paraId="0E244318" w14:textId="77777777" w:rsidR="00A77B3E" w:rsidRPr="00607BDE" w:rsidRDefault="00C401B9">
            <w:pPr>
              <w:spacing w:before="100"/>
              <w:rPr>
                <w:color w:val="000000"/>
                <w:lang w:val="en-GB"/>
              </w:rPr>
            </w:pPr>
            <w:r w:rsidRPr="00607BDE">
              <w:rPr>
                <w:b/>
                <w:bCs/>
                <w:color w:val="000000"/>
                <w:lang w:val="en-GB"/>
              </w:rPr>
              <w:t>Operating support within the scope of support 2.j:</w:t>
            </w:r>
          </w:p>
          <w:p w14:paraId="202EB122" w14:textId="77777777" w:rsidR="00A77B3E" w:rsidRPr="00607BDE" w:rsidRDefault="00C401B9">
            <w:pPr>
              <w:spacing w:before="100"/>
              <w:rPr>
                <w:color w:val="000000"/>
                <w:lang w:val="en-GB"/>
              </w:rPr>
            </w:pPr>
            <w:r w:rsidRPr="00607BDE">
              <w:rPr>
                <w:color w:val="000000"/>
                <w:lang w:val="en-GB"/>
              </w:rPr>
              <w:t>1) Training</w:t>
            </w:r>
          </w:p>
          <w:p w14:paraId="3A4E2EC8" w14:textId="77777777" w:rsidR="00A77B3E" w:rsidRPr="00607BDE" w:rsidRDefault="00C401B9">
            <w:pPr>
              <w:spacing w:before="100"/>
              <w:rPr>
                <w:color w:val="000000"/>
                <w:lang w:val="en-GB"/>
              </w:rPr>
            </w:pPr>
            <w:r w:rsidRPr="00607BDE">
              <w:rPr>
                <w:color w:val="000000"/>
                <w:lang w:val="en-GB"/>
              </w:rPr>
              <w:t>Technical language training will be addressed to persons involved in managing the VIS and VISMail systems. The planned aim of these actions will be to enhance vocational qualifications and skills of the persons responsible for international cooperation, and to ensure efficient exchange of information. A regards the Central Node of Poland's Component (CWPK) of VIS, it is planned to train users in new regulations and IT solutions. The beneficiaries will include the personnel of the Ministry of Foreign Affairs and Polish missions abroad involved in visa handling and, indirectly, also customers who use visa services.</w:t>
            </w:r>
          </w:p>
          <w:p w14:paraId="646588CB" w14:textId="77777777" w:rsidR="00A77B3E" w:rsidRPr="00607BDE" w:rsidRDefault="00A77B3E">
            <w:pPr>
              <w:spacing w:before="100"/>
              <w:rPr>
                <w:color w:val="000000"/>
                <w:lang w:val="en-GB"/>
              </w:rPr>
            </w:pPr>
          </w:p>
          <w:p w14:paraId="263DC14B" w14:textId="77777777" w:rsidR="00A77B3E" w:rsidRPr="00607BDE" w:rsidRDefault="00C401B9">
            <w:pPr>
              <w:spacing w:before="100"/>
              <w:rPr>
                <w:color w:val="000000"/>
                <w:lang w:val="en-GB"/>
              </w:rPr>
            </w:pPr>
            <w:r w:rsidRPr="00607BDE">
              <w:rPr>
                <w:color w:val="000000"/>
                <w:lang w:val="en-GB"/>
              </w:rPr>
              <w:t>2) Maintenance of IT systems and support for the personnel operating IT systems</w:t>
            </w:r>
          </w:p>
          <w:p w14:paraId="2A2D2327" w14:textId="77777777" w:rsidR="00A77B3E" w:rsidRPr="00607BDE" w:rsidRDefault="00C401B9">
            <w:pPr>
              <w:spacing w:before="100"/>
              <w:rPr>
                <w:color w:val="000000"/>
                <w:lang w:val="en-GB"/>
              </w:rPr>
            </w:pPr>
            <w:r w:rsidRPr="00607BDE">
              <w:rPr>
                <w:color w:val="000000"/>
                <w:lang w:val="en-GB"/>
              </w:rPr>
              <w:t>It is planned to provide a hardware post-warranty service for the CWPK VIS, CWPK VISMail NIS, and to ensure support regarding additional remuneration in connection with the performance of VIS tasks. The beneficiaries will include the Ministry of Foreign Affairs, and more specifically the personnel of the Ministry and Polish missions abroad.</w:t>
            </w:r>
          </w:p>
          <w:p w14:paraId="20AA5EE5" w14:textId="77777777" w:rsidR="00A77B3E" w:rsidRPr="00607BDE" w:rsidRDefault="00A77B3E">
            <w:pPr>
              <w:spacing w:before="100"/>
              <w:rPr>
                <w:color w:val="000000"/>
                <w:lang w:val="en-GB"/>
              </w:rPr>
            </w:pPr>
          </w:p>
        </w:tc>
      </w:tr>
    </w:tbl>
    <w:p w14:paraId="0683A235" w14:textId="77777777" w:rsidR="00A77B3E" w:rsidRPr="00607BDE" w:rsidRDefault="00A77B3E">
      <w:pPr>
        <w:spacing w:before="100"/>
        <w:rPr>
          <w:color w:val="000000"/>
          <w:lang w:val="en-GB"/>
        </w:rPr>
        <w:sectPr w:rsidR="00A77B3E" w:rsidRPr="00607BDE">
          <w:headerReference w:type="even" r:id="rId27"/>
          <w:headerReference w:type="default" r:id="rId28"/>
          <w:footerReference w:type="even" r:id="rId29"/>
          <w:footerReference w:type="default" r:id="rId30"/>
          <w:headerReference w:type="first" r:id="rId31"/>
          <w:footerReference w:type="first" r:id="rId32"/>
          <w:pgSz w:w="11906" w:h="16838"/>
          <w:pgMar w:top="720" w:right="936" w:bottom="864" w:left="720" w:header="0" w:footer="72" w:gutter="0"/>
          <w:cols w:space="720"/>
          <w:noEndnote/>
          <w:docGrid w:linePitch="360"/>
        </w:sectPr>
      </w:pPr>
    </w:p>
    <w:p w14:paraId="02F28D45" w14:textId="77777777" w:rsidR="00A77B3E" w:rsidRPr="00607BDE" w:rsidRDefault="00C401B9">
      <w:pPr>
        <w:spacing w:before="100"/>
        <w:rPr>
          <w:color w:val="000000"/>
          <w:lang w:val="en-GB"/>
        </w:rPr>
      </w:pPr>
      <w:r w:rsidRPr="00607BDE">
        <w:rPr>
          <w:color w:val="000000"/>
          <w:lang w:val="en-GB"/>
        </w:rPr>
        <w:t>2.1. Specific objective 2. Common visa policy</w:t>
      </w:r>
    </w:p>
    <w:p w14:paraId="2E224485" w14:textId="77777777" w:rsidR="00A77B3E" w:rsidRPr="00607BDE" w:rsidRDefault="00C401B9">
      <w:pPr>
        <w:pStyle w:val="Nagwek3"/>
        <w:spacing w:before="100" w:after="0"/>
        <w:rPr>
          <w:rFonts w:ascii="Times New Roman" w:hAnsi="Times New Roman" w:cs="Times New Roman"/>
          <w:b w:val="0"/>
          <w:color w:val="000000"/>
          <w:sz w:val="24"/>
          <w:lang w:val="en-GB"/>
        </w:rPr>
      </w:pPr>
      <w:bookmarkStart w:id="13" w:name="_Toc128975984"/>
      <w:r w:rsidRPr="00607BDE">
        <w:rPr>
          <w:rFonts w:ascii="Times New Roman" w:hAnsi="Times New Roman" w:cs="Times New Roman"/>
          <w:b w:val="0"/>
          <w:color w:val="000000"/>
          <w:sz w:val="24"/>
          <w:lang w:val="en-GB"/>
        </w:rPr>
        <w:t>2.1.2. Indicators</w:t>
      </w:r>
      <w:bookmarkEnd w:id="13"/>
    </w:p>
    <w:p w14:paraId="73AB5B7C" w14:textId="77777777" w:rsidR="00A77B3E" w:rsidRPr="00607BDE" w:rsidRDefault="00C401B9">
      <w:pPr>
        <w:spacing w:before="100"/>
        <w:rPr>
          <w:color w:val="000000"/>
          <w:sz w:val="12"/>
          <w:lang w:val="en-GB"/>
        </w:rPr>
      </w:pPr>
      <w:r w:rsidRPr="00607BDE">
        <w:rPr>
          <w:color w:val="000000"/>
          <w:lang w:val="en-GB"/>
        </w:rPr>
        <w:t>Reference: Article 22(4)(e) of the Common Provisions Regulation</w:t>
      </w:r>
    </w:p>
    <w:p w14:paraId="0FE1AB98" w14:textId="77777777" w:rsidR="00A77B3E" w:rsidRPr="00607BDE" w:rsidRDefault="00C401B9">
      <w:pPr>
        <w:pStyle w:val="Nagwek4"/>
        <w:spacing w:before="100" w:after="0"/>
        <w:rPr>
          <w:b w:val="0"/>
          <w:color w:val="000000"/>
          <w:sz w:val="24"/>
          <w:lang w:val="en-GB"/>
        </w:rPr>
      </w:pPr>
      <w:bookmarkStart w:id="14" w:name="_Toc128975985"/>
      <w:r w:rsidRPr="00607BDE">
        <w:rPr>
          <w:b w:val="0"/>
          <w:color w:val="000000"/>
          <w:sz w:val="24"/>
          <w:lang w:val="en-GB"/>
        </w:rPr>
        <w:t>Table 1: Output indicators</w:t>
      </w:r>
      <w:bookmarkEnd w:id="14"/>
    </w:p>
    <w:p w14:paraId="5F80B052"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124"/>
        <w:gridCol w:w="2207"/>
        <w:gridCol w:w="2114"/>
        <w:gridCol w:w="1723"/>
      </w:tblGrid>
      <w:tr w:rsidR="00AC7127" w:rsidRPr="00607BDE" w14:paraId="625E887E"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F92C47" w14:textId="77777777" w:rsidR="00A77B3E" w:rsidRPr="00607BDE" w:rsidRDefault="00C401B9">
            <w:pPr>
              <w:spacing w:before="100"/>
              <w:jc w:val="center"/>
              <w:rPr>
                <w:color w:val="000000"/>
                <w:sz w:val="20"/>
                <w:lang w:val="en-GB"/>
              </w:rPr>
            </w:pPr>
            <w:r w:rsidRPr="00607BDE">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248E9E" w14:textId="77777777" w:rsidR="00A77B3E" w:rsidRPr="00607BDE" w:rsidRDefault="00C401B9">
            <w:pPr>
              <w:spacing w:before="100"/>
              <w:jc w:val="center"/>
              <w:rPr>
                <w:color w:val="000000"/>
                <w:sz w:val="20"/>
                <w:lang w:val="en-GB"/>
              </w:rPr>
            </w:pPr>
            <w:r w:rsidRPr="00607BDE">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7FE951" w14:textId="77777777" w:rsidR="00A77B3E" w:rsidRPr="00607BDE" w:rsidRDefault="00C401B9">
            <w:pPr>
              <w:spacing w:before="100"/>
              <w:jc w:val="center"/>
              <w:rPr>
                <w:color w:val="000000"/>
                <w:sz w:val="20"/>
                <w:lang w:val="en-GB"/>
              </w:rPr>
            </w:pPr>
            <w:r w:rsidRPr="00607BDE">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267874" w14:textId="77777777" w:rsidR="00A77B3E" w:rsidRPr="00607BDE" w:rsidRDefault="00C401B9">
            <w:pPr>
              <w:spacing w:before="100"/>
              <w:jc w:val="center"/>
              <w:rPr>
                <w:color w:val="000000"/>
                <w:sz w:val="20"/>
                <w:lang w:val="en-GB"/>
              </w:rPr>
            </w:pPr>
            <w:r w:rsidRPr="00607BDE">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E7F2E8" w14:textId="77777777" w:rsidR="00A77B3E" w:rsidRPr="00607BDE" w:rsidRDefault="00C401B9">
            <w:pPr>
              <w:spacing w:before="100"/>
              <w:jc w:val="center"/>
              <w:rPr>
                <w:color w:val="000000"/>
                <w:sz w:val="20"/>
                <w:lang w:val="en-GB"/>
              </w:rPr>
            </w:pPr>
            <w:r w:rsidRPr="00607BDE">
              <w:rPr>
                <w:color w:val="000000"/>
                <w:sz w:val="20"/>
                <w:lang w:val="en-GB"/>
              </w:rPr>
              <w:t>Target (2029)</w:t>
            </w:r>
          </w:p>
        </w:tc>
      </w:tr>
      <w:tr w:rsidR="00AC7127" w:rsidRPr="00607BDE" w14:paraId="692A440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A73E49" w14:textId="77777777" w:rsidR="00A77B3E" w:rsidRPr="00607BDE" w:rsidRDefault="00C401B9">
            <w:pPr>
              <w:spacing w:before="100"/>
              <w:rPr>
                <w:color w:val="000000"/>
                <w:sz w:val="20"/>
                <w:lang w:val="en-GB"/>
              </w:rPr>
            </w:pPr>
            <w:r w:rsidRPr="00607BDE">
              <w:rPr>
                <w:color w:val="000000"/>
                <w:sz w:val="20"/>
                <w:lang w:val="en-GB"/>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0D61AB" w14:textId="77777777" w:rsidR="00A77B3E" w:rsidRPr="00607BDE" w:rsidRDefault="00C401B9">
            <w:pPr>
              <w:spacing w:before="100"/>
              <w:rPr>
                <w:color w:val="000000"/>
                <w:sz w:val="20"/>
                <w:lang w:val="en-GB"/>
              </w:rPr>
            </w:pPr>
            <w:r w:rsidRPr="00607BDE">
              <w:rPr>
                <w:color w:val="000000"/>
                <w:sz w:val="20"/>
                <w:lang w:val="en-GB"/>
              </w:rPr>
              <w:t>The number of projects supporting the digitalisation of visa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68AD38"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CA1DDB"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E80C3D" w14:textId="77777777" w:rsidR="00A77B3E" w:rsidRPr="00607BDE" w:rsidRDefault="00C401B9">
            <w:pPr>
              <w:spacing w:before="100"/>
              <w:jc w:val="right"/>
              <w:rPr>
                <w:color w:val="000000"/>
                <w:sz w:val="20"/>
                <w:lang w:val="en-GB"/>
              </w:rPr>
            </w:pPr>
            <w:r w:rsidRPr="00607BDE">
              <w:rPr>
                <w:color w:val="000000"/>
                <w:sz w:val="20"/>
                <w:lang w:val="en-GB"/>
              </w:rPr>
              <w:t>4</w:t>
            </w:r>
          </w:p>
        </w:tc>
      </w:tr>
      <w:tr w:rsidR="00AC7127" w:rsidRPr="00607BDE" w14:paraId="3D55E4F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814991" w14:textId="77777777" w:rsidR="00A77B3E" w:rsidRPr="00607BDE" w:rsidRDefault="00C401B9">
            <w:pPr>
              <w:spacing w:before="100"/>
              <w:rPr>
                <w:color w:val="000000"/>
                <w:sz w:val="20"/>
                <w:lang w:val="en-GB"/>
              </w:rPr>
            </w:pPr>
            <w:r w:rsidRPr="00607BDE">
              <w:rPr>
                <w:color w:val="000000"/>
                <w:sz w:val="20"/>
                <w:lang w:val="en-GB"/>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F004E9" w14:textId="77777777" w:rsidR="00A77B3E" w:rsidRPr="00607BDE" w:rsidRDefault="00C401B9">
            <w:pPr>
              <w:spacing w:before="100"/>
              <w:rPr>
                <w:color w:val="000000"/>
                <w:sz w:val="20"/>
                <w:lang w:val="en-GB"/>
              </w:rPr>
            </w:pPr>
            <w:r w:rsidRPr="00607BDE">
              <w:rPr>
                <w:color w:val="000000"/>
                <w:sz w:val="20"/>
                <w:lang w:val="en-GB"/>
              </w:rPr>
              <w:t>The 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F93230"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074995"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9EB36B" w14:textId="77777777" w:rsidR="00A77B3E" w:rsidRPr="00607BDE" w:rsidRDefault="00C401B9">
            <w:pPr>
              <w:spacing w:before="100"/>
              <w:jc w:val="right"/>
              <w:rPr>
                <w:color w:val="000000"/>
                <w:sz w:val="20"/>
                <w:lang w:val="en-GB"/>
              </w:rPr>
            </w:pPr>
            <w:r w:rsidRPr="00607BDE">
              <w:rPr>
                <w:color w:val="000000"/>
                <w:sz w:val="20"/>
                <w:lang w:val="en-GB"/>
              </w:rPr>
              <w:t>200</w:t>
            </w:r>
          </w:p>
        </w:tc>
      </w:tr>
      <w:tr w:rsidR="00AC7127" w:rsidRPr="00607BDE" w14:paraId="208D7CC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EA4F0" w14:textId="77777777" w:rsidR="00A77B3E" w:rsidRPr="00607BDE" w:rsidRDefault="00C401B9">
            <w:pPr>
              <w:spacing w:before="100"/>
              <w:rPr>
                <w:color w:val="000000"/>
                <w:sz w:val="20"/>
                <w:lang w:val="en-GB"/>
              </w:rPr>
            </w:pPr>
            <w:r w:rsidRPr="00607BDE">
              <w:rPr>
                <w:color w:val="000000"/>
                <w:sz w:val="20"/>
                <w:lang w:val="en-GB"/>
              </w:rPr>
              <w:t>O.2.2.1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4A5BA9" w14:textId="77777777" w:rsidR="00A77B3E" w:rsidRPr="00607BDE" w:rsidRDefault="00C401B9">
            <w:pPr>
              <w:spacing w:before="100"/>
              <w:rPr>
                <w:color w:val="000000"/>
                <w:sz w:val="20"/>
                <w:lang w:val="en-GB"/>
              </w:rPr>
            </w:pPr>
            <w:r w:rsidRPr="00607BDE">
              <w:rPr>
                <w:color w:val="000000"/>
                <w:sz w:val="20"/>
                <w:lang w:val="en-GB"/>
              </w:rPr>
              <w:t>of which the number of participants in training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AB3F62"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AB5609"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108364" w14:textId="77777777" w:rsidR="00A77B3E" w:rsidRPr="00607BDE" w:rsidRDefault="00C401B9">
            <w:pPr>
              <w:spacing w:before="100"/>
              <w:jc w:val="right"/>
              <w:rPr>
                <w:color w:val="000000"/>
                <w:sz w:val="20"/>
                <w:lang w:val="en-GB"/>
              </w:rPr>
            </w:pPr>
            <w:r w:rsidRPr="00607BDE">
              <w:rPr>
                <w:color w:val="000000"/>
                <w:sz w:val="20"/>
                <w:lang w:val="en-GB"/>
              </w:rPr>
              <w:t>200</w:t>
            </w:r>
          </w:p>
        </w:tc>
      </w:tr>
      <w:tr w:rsidR="00AC7127" w:rsidRPr="00607BDE" w14:paraId="0D87A4E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F7C177" w14:textId="77777777" w:rsidR="00A77B3E" w:rsidRPr="00607BDE" w:rsidRDefault="00C401B9">
            <w:pPr>
              <w:spacing w:before="100"/>
              <w:rPr>
                <w:color w:val="000000"/>
                <w:sz w:val="20"/>
                <w:lang w:val="en-GB"/>
              </w:rPr>
            </w:pPr>
            <w:r w:rsidRPr="00607BDE">
              <w:rPr>
                <w:color w:val="000000"/>
                <w:sz w:val="20"/>
                <w:lang w:val="en-GB"/>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C5EBC4" w14:textId="77777777" w:rsidR="00A77B3E" w:rsidRPr="00607BDE" w:rsidRDefault="00C401B9">
            <w:pPr>
              <w:spacing w:before="100"/>
              <w:rPr>
                <w:color w:val="000000"/>
                <w:sz w:val="20"/>
                <w:lang w:val="en-GB"/>
              </w:rPr>
            </w:pPr>
            <w:r w:rsidRPr="00607BDE">
              <w:rPr>
                <w:color w:val="000000"/>
                <w:sz w:val="20"/>
                <w:lang w:val="en-GB"/>
              </w:rPr>
              <w:t>The number of staff deployed to consulates in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F289A9"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97C880"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F3A181"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1DB8BEC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CD55D5" w14:textId="77777777" w:rsidR="00A77B3E" w:rsidRPr="00607BDE" w:rsidRDefault="00C401B9">
            <w:pPr>
              <w:spacing w:before="100"/>
              <w:rPr>
                <w:color w:val="000000"/>
                <w:sz w:val="20"/>
                <w:lang w:val="en-GB"/>
              </w:rPr>
            </w:pPr>
            <w:r w:rsidRPr="00607BDE">
              <w:rPr>
                <w:color w:val="000000"/>
                <w:sz w:val="20"/>
                <w:lang w:val="en-GB"/>
              </w:rPr>
              <w:t>O.2.3.1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629D28" w14:textId="77777777" w:rsidR="00A77B3E" w:rsidRPr="00607BDE" w:rsidRDefault="00C401B9">
            <w:pPr>
              <w:spacing w:before="100"/>
              <w:rPr>
                <w:color w:val="000000"/>
                <w:sz w:val="20"/>
                <w:lang w:val="en-GB"/>
              </w:rPr>
            </w:pPr>
            <w:r w:rsidRPr="00607BDE">
              <w:rPr>
                <w:color w:val="000000"/>
                <w:sz w:val="20"/>
                <w:lang w:val="en-GB"/>
              </w:rPr>
              <w:t xml:space="preserve">of which the number of staff deployed for visa processing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33B3AA"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805A13"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0C5229"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5DDB8E1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7B572B" w14:textId="77777777" w:rsidR="00A77B3E" w:rsidRPr="00607BDE" w:rsidRDefault="00C401B9">
            <w:pPr>
              <w:spacing w:before="100"/>
              <w:rPr>
                <w:color w:val="000000"/>
                <w:sz w:val="20"/>
                <w:lang w:val="en-GB"/>
              </w:rPr>
            </w:pPr>
            <w:r w:rsidRPr="00607BDE">
              <w:rPr>
                <w:color w:val="000000"/>
                <w:sz w:val="20"/>
                <w:lang w:val="en-GB"/>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CBF107" w14:textId="77777777" w:rsidR="00A77B3E" w:rsidRPr="00607BDE" w:rsidRDefault="00C401B9">
            <w:pPr>
              <w:spacing w:before="100"/>
              <w:rPr>
                <w:color w:val="000000"/>
                <w:sz w:val="20"/>
                <w:lang w:val="en-GB"/>
              </w:rPr>
            </w:pPr>
            <w:r w:rsidRPr="00607BDE">
              <w:rPr>
                <w:color w:val="000000"/>
                <w:sz w:val="20"/>
                <w:lang w:val="en-GB"/>
              </w:rPr>
              <w:t>The number of IT functionalities developed/maintained/upgraded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EA5C4E"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E3F01B"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7F187F" w14:textId="77777777" w:rsidR="00A77B3E" w:rsidRPr="00607BDE" w:rsidRDefault="00C401B9">
            <w:pPr>
              <w:spacing w:before="100"/>
              <w:jc w:val="right"/>
              <w:rPr>
                <w:color w:val="000000"/>
                <w:sz w:val="20"/>
                <w:lang w:val="en-GB"/>
              </w:rPr>
            </w:pPr>
            <w:r w:rsidRPr="00607BDE">
              <w:rPr>
                <w:color w:val="000000"/>
                <w:sz w:val="20"/>
                <w:lang w:val="en-GB"/>
              </w:rPr>
              <w:t>4</w:t>
            </w:r>
          </w:p>
        </w:tc>
      </w:tr>
      <w:tr w:rsidR="00AC7127" w:rsidRPr="00607BDE" w14:paraId="76A542F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E5D20E" w14:textId="77777777" w:rsidR="00A77B3E" w:rsidRPr="00607BDE" w:rsidRDefault="00C401B9">
            <w:pPr>
              <w:spacing w:before="100"/>
              <w:rPr>
                <w:color w:val="000000"/>
                <w:sz w:val="20"/>
                <w:lang w:val="en-GB"/>
              </w:rPr>
            </w:pPr>
            <w:r w:rsidRPr="00607BDE">
              <w:rPr>
                <w:color w:val="000000"/>
                <w:sz w:val="20"/>
                <w:lang w:val="en-GB"/>
              </w:rPr>
              <w:t>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B83F8C" w14:textId="77777777" w:rsidR="00A77B3E" w:rsidRPr="00607BDE" w:rsidRDefault="00C401B9">
            <w:pPr>
              <w:spacing w:before="100"/>
              <w:rPr>
                <w:color w:val="000000"/>
                <w:sz w:val="20"/>
                <w:lang w:val="en-GB"/>
              </w:rPr>
            </w:pPr>
            <w:r w:rsidRPr="00607BDE">
              <w:rPr>
                <w:color w:val="000000"/>
                <w:sz w:val="20"/>
                <w:lang w:val="en-GB"/>
              </w:rPr>
              <w:t>The number of large-scale IT systems developed/maintained/upgraded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6ABD3E"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EAD635"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286B33" w14:textId="77777777" w:rsidR="00A77B3E" w:rsidRPr="00607BDE" w:rsidRDefault="00C401B9">
            <w:pPr>
              <w:spacing w:before="100"/>
              <w:jc w:val="right"/>
              <w:rPr>
                <w:color w:val="000000"/>
                <w:sz w:val="20"/>
                <w:lang w:val="en-GB"/>
              </w:rPr>
            </w:pPr>
            <w:r w:rsidRPr="00607BDE">
              <w:rPr>
                <w:color w:val="000000"/>
                <w:sz w:val="20"/>
                <w:lang w:val="en-GB"/>
              </w:rPr>
              <w:t>3</w:t>
            </w:r>
          </w:p>
        </w:tc>
      </w:tr>
      <w:tr w:rsidR="00AC7127" w:rsidRPr="00607BDE" w14:paraId="34F1D2B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07DE58" w14:textId="77777777" w:rsidR="00A77B3E" w:rsidRPr="00607BDE" w:rsidRDefault="00C401B9">
            <w:pPr>
              <w:spacing w:before="100"/>
              <w:rPr>
                <w:color w:val="000000"/>
                <w:sz w:val="20"/>
                <w:lang w:val="en-GB"/>
              </w:rPr>
            </w:pPr>
            <w:r w:rsidRPr="00607BDE">
              <w:rPr>
                <w:color w:val="000000"/>
                <w:sz w:val="20"/>
                <w:lang w:val="en-GB"/>
              </w:rPr>
              <w:t>O.2.5.1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E9A850" w14:textId="77777777" w:rsidR="00A77B3E" w:rsidRPr="00607BDE" w:rsidRDefault="00C401B9">
            <w:pPr>
              <w:spacing w:before="100"/>
              <w:rPr>
                <w:color w:val="000000"/>
                <w:sz w:val="20"/>
                <w:lang w:val="en-GB"/>
              </w:rPr>
            </w:pPr>
            <w:r w:rsidRPr="00607BDE">
              <w:rPr>
                <w:color w:val="000000"/>
                <w:sz w:val="20"/>
                <w:lang w:val="en-GB"/>
              </w:rPr>
              <w:t xml:space="preserve">of which the number of large-scale IT systems developed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EAF6CE"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0B0C7B"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EACE1B"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6280AE0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2DF938" w14:textId="77777777" w:rsidR="00A77B3E" w:rsidRPr="00607BDE" w:rsidRDefault="00C401B9">
            <w:pPr>
              <w:spacing w:before="100"/>
              <w:rPr>
                <w:color w:val="000000"/>
                <w:sz w:val="20"/>
                <w:lang w:val="en-GB"/>
              </w:rPr>
            </w:pPr>
            <w:r w:rsidRPr="00607BDE">
              <w:rPr>
                <w:color w:val="000000"/>
                <w:sz w:val="20"/>
                <w:lang w:val="en-GB"/>
              </w:rPr>
              <w:t>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BEB668" w14:textId="77777777" w:rsidR="00A77B3E" w:rsidRPr="00607BDE" w:rsidRDefault="00C401B9">
            <w:pPr>
              <w:spacing w:before="100"/>
              <w:rPr>
                <w:color w:val="000000"/>
                <w:sz w:val="20"/>
                <w:lang w:val="en-GB"/>
              </w:rPr>
            </w:pPr>
            <w:r w:rsidRPr="00607BDE">
              <w:rPr>
                <w:color w:val="000000"/>
                <w:sz w:val="20"/>
                <w:lang w:val="en-GB"/>
              </w:rPr>
              <w:t>The number of items of infrastructure maintained/repaired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687E30"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BDB912"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71EC3D" w14:textId="77777777" w:rsidR="00A77B3E" w:rsidRPr="00607BDE" w:rsidRDefault="00C401B9">
            <w:pPr>
              <w:spacing w:before="100"/>
              <w:jc w:val="right"/>
              <w:rPr>
                <w:color w:val="000000"/>
                <w:sz w:val="20"/>
                <w:lang w:val="en-GB"/>
              </w:rPr>
            </w:pPr>
            <w:r w:rsidRPr="00607BDE">
              <w:rPr>
                <w:color w:val="000000"/>
                <w:sz w:val="20"/>
                <w:lang w:val="en-GB"/>
              </w:rPr>
              <w:t>0</w:t>
            </w:r>
          </w:p>
        </w:tc>
      </w:tr>
      <w:tr w:rsidR="00AC7127" w:rsidRPr="00607BDE" w14:paraId="19D969D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A0785C" w14:textId="77777777" w:rsidR="00A77B3E" w:rsidRPr="00607BDE" w:rsidRDefault="00C401B9">
            <w:pPr>
              <w:spacing w:before="100"/>
              <w:rPr>
                <w:color w:val="000000"/>
                <w:sz w:val="20"/>
                <w:lang w:val="en-GB"/>
              </w:rPr>
            </w:pPr>
            <w:r w:rsidRPr="00607BDE">
              <w:rPr>
                <w:color w:val="000000"/>
                <w:sz w:val="20"/>
                <w:lang w:val="en-GB"/>
              </w:rPr>
              <w:t>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36685F" w14:textId="77777777" w:rsidR="00A77B3E" w:rsidRPr="00607BDE" w:rsidRDefault="00C401B9">
            <w:pPr>
              <w:spacing w:before="100"/>
              <w:rPr>
                <w:color w:val="000000"/>
                <w:sz w:val="20"/>
                <w:lang w:val="en-GB"/>
              </w:rPr>
            </w:pPr>
            <w:r w:rsidRPr="00607BDE">
              <w:rPr>
                <w:color w:val="000000"/>
                <w:sz w:val="20"/>
                <w:lang w:val="en-GB"/>
              </w:rPr>
              <w:t>The number of real estates rented/depreciated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4EBD3C" w14:textId="77777777" w:rsidR="00A77B3E" w:rsidRPr="00607BDE" w:rsidRDefault="00C401B9">
            <w:pPr>
              <w:spacing w:before="100"/>
              <w:rPr>
                <w:color w:val="000000"/>
                <w:sz w:val="20"/>
                <w:lang w:val="en-GB"/>
              </w:rPr>
            </w:pPr>
            <w:r w:rsidRPr="00607BDE">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BE6D87" w14:textId="77777777" w:rsidR="00A77B3E" w:rsidRPr="00607BDE" w:rsidRDefault="00C401B9">
            <w:pPr>
              <w:spacing w:before="100"/>
              <w:jc w:val="right"/>
              <w:rPr>
                <w:color w:val="000000"/>
                <w:sz w:val="20"/>
                <w:lang w:val="en-GB"/>
              </w:rPr>
            </w:pPr>
            <w:r w:rsidRPr="00607BDE">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7CBFDE" w14:textId="77777777" w:rsidR="00A77B3E" w:rsidRPr="00607BDE" w:rsidRDefault="00C401B9">
            <w:pPr>
              <w:spacing w:before="100"/>
              <w:jc w:val="right"/>
              <w:rPr>
                <w:color w:val="000000"/>
                <w:sz w:val="20"/>
                <w:lang w:val="en-GB"/>
              </w:rPr>
            </w:pPr>
            <w:r w:rsidRPr="00607BDE">
              <w:rPr>
                <w:color w:val="000000"/>
                <w:sz w:val="20"/>
                <w:lang w:val="en-GB"/>
              </w:rPr>
              <w:t>0</w:t>
            </w:r>
          </w:p>
        </w:tc>
      </w:tr>
    </w:tbl>
    <w:p w14:paraId="44BD12F3" w14:textId="77777777" w:rsidR="00A77B3E" w:rsidRPr="00607BDE" w:rsidRDefault="00C401B9">
      <w:pPr>
        <w:spacing w:before="100"/>
        <w:rPr>
          <w:color w:val="000000"/>
          <w:lang w:val="en-GB"/>
        </w:rPr>
      </w:pPr>
      <w:r w:rsidRPr="00607BDE">
        <w:rPr>
          <w:color w:val="000000"/>
          <w:sz w:val="20"/>
          <w:lang w:val="en-GB"/>
        </w:rPr>
        <w:br w:type="page"/>
      </w:r>
      <w:r w:rsidRPr="00607BDE">
        <w:rPr>
          <w:color w:val="000000"/>
          <w:lang w:val="en-GB"/>
        </w:rPr>
        <w:t>2.1. Specific objective 2. Common visa policy</w:t>
      </w:r>
    </w:p>
    <w:p w14:paraId="248CCB92" w14:textId="77777777" w:rsidR="00A77B3E" w:rsidRPr="00607BDE" w:rsidRDefault="00C401B9">
      <w:pPr>
        <w:spacing w:before="100"/>
        <w:rPr>
          <w:color w:val="000000"/>
          <w:sz w:val="0"/>
          <w:lang w:val="en-GB"/>
        </w:rPr>
      </w:pPr>
      <w:r w:rsidRPr="00607BDE">
        <w:rPr>
          <w:color w:val="000000"/>
          <w:lang w:val="en-GB"/>
        </w:rPr>
        <w:t>2.1.2. Indicators</w:t>
      </w:r>
    </w:p>
    <w:p w14:paraId="486A6AF8" w14:textId="77777777" w:rsidR="00A77B3E" w:rsidRPr="00607BDE" w:rsidRDefault="00C401B9">
      <w:pPr>
        <w:spacing w:before="100"/>
        <w:rPr>
          <w:color w:val="000000"/>
          <w:sz w:val="12"/>
          <w:lang w:val="en-GB"/>
        </w:rPr>
      </w:pPr>
      <w:r w:rsidRPr="00607BDE">
        <w:rPr>
          <w:color w:val="000000"/>
          <w:lang w:val="en-GB"/>
        </w:rPr>
        <w:t>Reference: Article 22(4)(e) of the Common Provisions Regulation</w:t>
      </w:r>
    </w:p>
    <w:p w14:paraId="35967826" w14:textId="77777777" w:rsidR="00A77B3E" w:rsidRPr="00607BDE" w:rsidRDefault="00C401B9">
      <w:pPr>
        <w:pStyle w:val="Nagwek4"/>
        <w:spacing w:before="100" w:after="0"/>
        <w:rPr>
          <w:b w:val="0"/>
          <w:color w:val="000000"/>
          <w:sz w:val="24"/>
          <w:lang w:val="en-GB"/>
        </w:rPr>
      </w:pPr>
      <w:bookmarkStart w:id="15" w:name="_Toc128975986"/>
      <w:r w:rsidRPr="00607BDE">
        <w:rPr>
          <w:b w:val="0"/>
          <w:color w:val="000000"/>
          <w:sz w:val="24"/>
          <w:lang w:val="en-GB"/>
        </w:rPr>
        <w:t>Table 2: Result indicators</w:t>
      </w:r>
      <w:bookmarkEnd w:id="15"/>
    </w:p>
    <w:p w14:paraId="688C0B4A"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AC7127" w:rsidRPr="00607BDE" w14:paraId="64E3BD49"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9A0CA4" w14:textId="77777777" w:rsidR="00A77B3E" w:rsidRPr="00607BDE" w:rsidRDefault="00C401B9">
            <w:pPr>
              <w:spacing w:before="100"/>
              <w:jc w:val="center"/>
              <w:rPr>
                <w:color w:val="000000"/>
                <w:sz w:val="20"/>
                <w:lang w:val="en-GB"/>
              </w:rPr>
            </w:pPr>
            <w:r w:rsidRPr="00607BDE">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E3EBF6" w14:textId="77777777" w:rsidR="00A77B3E" w:rsidRPr="00607BDE" w:rsidRDefault="00C401B9">
            <w:pPr>
              <w:spacing w:before="100"/>
              <w:jc w:val="center"/>
              <w:rPr>
                <w:color w:val="000000"/>
                <w:sz w:val="20"/>
                <w:lang w:val="en-GB"/>
              </w:rPr>
            </w:pPr>
            <w:r w:rsidRPr="00607BDE">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E003EC" w14:textId="77777777" w:rsidR="00A77B3E" w:rsidRPr="00607BDE" w:rsidRDefault="00C401B9">
            <w:pPr>
              <w:spacing w:before="100"/>
              <w:jc w:val="center"/>
              <w:rPr>
                <w:color w:val="000000"/>
                <w:sz w:val="20"/>
                <w:lang w:val="en-GB"/>
              </w:rPr>
            </w:pPr>
            <w:r w:rsidRPr="00607BDE">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03607C" w14:textId="77777777" w:rsidR="00A77B3E" w:rsidRPr="00607BDE" w:rsidRDefault="00C401B9">
            <w:pPr>
              <w:spacing w:before="100"/>
              <w:jc w:val="center"/>
              <w:rPr>
                <w:color w:val="000000"/>
                <w:sz w:val="20"/>
                <w:lang w:val="en-GB"/>
              </w:rPr>
            </w:pPr>
            <w:r w:rsidRPr="00607BDE">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99302A" w14:textId="77777777" w:rsidR="00A77B3E" w:rsidRPr="00607BDE" w:rsidRDefault="00C401B9">
            <w:pPr>
              <w:spacing w:before="100"/>
              <w:jc w:val="center"/>
              <w:rPr>
                <w:color w:val="000000"/>
                <w:sz w:val="20"/>
                <w:lang w:val="en-GB"/>
              </w:rPr>
            </w:pPr>
            <w:r w:rsidRPr="00607BDE">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D9A128" w14:textId="77777777" w:rsidR="00A77B3E" w:rsidRPr="00607BDE" w:rsidRDefault="00C401B9">
            <w:pPr>
              <w:spacing w:before="100"/>
              <w:jc w:val="center"/>
              <w:rPr>
                <w:color w:val="000000"/>
                <w:sz w:val="20"/>
                <w:lang w:val="en-GB"/>
              </w:rPr>
            </w:pPr>
            <w:r w:rsidRPr="00607BDE">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087CEF" w14:textId="77777777" w:rsidR="00A77B3E" w:rsidRPr="00607BDE" w:rsidRDefault="00C401B9">
            <w:pPr>
              <w:spacing w:before="100"/>
              <w:jc w:val="center"/>
              <w:rPr>
                <w:color w:val="000000"/>
                <w:sz w:val="20"/>
                <w:lang w:val="en-GB"/>
              </w:rPr>
            </w:pPr>
            <w:r w:rsidRPr="00607BDE">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ADAAF9" w14:textId="77777777" w:rsidR="00A77B3E" w:rsidRPr="00607BDE" w:rsidRDefault="00C401B9">
            <w:pPr>
              <w:spacing w:before="100"/>
              <w:jc w:val="center"/>
              <w:rPr>
                <w:color w:val="000000"/>
                <w:sz w:val="20"/>
                <w:lang w:val="en-GB"/>
              </w:rPr>
            </w:pPr>
            <w:r w:rsidRPr="00607BDE">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84FD9A" w14:textId="77777777" w:rsidR="00A77B3E" w:rsidRPr="00607BDE" w:rsidRDefault="00C401B9">
            <w:pPr>
              <w:spacing w:before="100"/>
              <w:jc w:val="center"/>
              <w:rPr>
                <w:color w:val="000000"/>
                <w:sz w:val="20"/>
                <w:lang w:val="en-GB"/>
              </w:rPr>
            </w:pPr>
            <w:r w:rsidRPr="00607BDE">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01F369" w14:textId="77777777" w:rsidR="00A77B3E" w:rsidRPr="00607BDE" w:rsidRDefault="00C401B9">
            <w:pPr>
              <w:spacing w:before="100"/>
              <w:rPr>
                <w:color w:val="000000"/>
                <w:sz w:val="20"/>
                <w:lang w:val="en-GB"/>
              </w:rPr>
            </w:pPr>
            <w:r w:rsidRPr="00607BDE">
              <w:rPr>
                <w:color w:val="000000"/>
                <w:sz w:val="20"/>
                <w:lang w:val="en-GB"/>
              </w:rPr>
              <w:t>Comments</w:t>
            </w:r>
          </w:p>
        </w:tc>
      </w:tr>
      <w:tr w:rsidR="00AC7127" w:rsidRPr="00607BDE" w14:paraId="2583DD7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197ED" w14:textId="77777777" w:rsidR="00A77B3E" w:rsidRPr="00607BDE" w:rsidRDefault="00C401B9">
            <w:pPr>
              <w:spacing w:before="100"/>
              <w:rPr>
                <w:color w:val="000000"/>
                <w:sz w:val="20"/>
                <w:lang w:val="en-GB"/>
              </w:rPr>
            </w:pPr>
            <w:r w:rsidRPr="00607BDE">
              <w:rPr>
                <w:color w:val="000000"/>
                <w:sz w:val="20"/>
                <w:lang w:val="en-GB"/>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E22FB" w14:textId="77777777" w:rsidR="00A77B3E" w:rsidRPr="00607BDE" w:rsidRDefault="00C401B9">
            <w:pPr>
              <w:spacing w:before="100"/>
              <w:rPr>
                <w:color w:val="000000"/>
                <w:sz w:val="20"/>
                <w:lang w:val="en-GB"/>
              </w:rPr>
            </w:pPr>
            <w:r w:rsidRPr="00607BDE">
              <w:rPr>
                <w:color w:val="000000"/>
                <w:sz w:val="20"/>
                <w:lang w:val="en-GB"/>
              </w:rPr>
              <w:t>The number of new/upgraded consulates outside the Schengen area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E0E6C0"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013F58"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E80CE1"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42DB98"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EF377A" w14:textId="77777777" w:rsidR="00A77B3E" w:rsidRPr="00607BDE" w:rsidRDefault="00C401B9">
            <w:pPr>
              <w:spacing w:before="100"/>
              <w:jc w:val="center"/>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301452"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84ED3" w14:textId="77777777" w:rsidR="00A77B3E" w:rsidRPr="00607BDE" w:rsidRDefault="00C401B9">
            <w:pPr>
              <w:spacing w:before="100"/>
              <w:rPr>
                <w:color w:val="000000"/>
                <w:sz w:val="20"/>
                <w:lang w:val="en-GB"/>
              </w:rPr>
            </w:pPr>
            <w:r w:rsidRPr="00607BDE">
              <w:rPr>
                <w:color w:val="000000"/>
                <w:sz w:val="20"/>
                <w:lang w:val="en-GB"/>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44E7F8" w14:textId="296EA912" w:rsidR="00A77B3E" w:rsidRPr="00607BDE" w:rsidRDefault="00C401B9" w:rsidP="00312668">
            <w:pPr>
              <w:spacing w:before="100"/>
              <w:rPr>
                <w:color w:val="000000"/>
                <w:sz w:val="20"/>
                <w:lang w:val="en-GB"/>
              </w:rPr>
            </w:pPr>
            <w:r w:rsidRPr="00607BDE">
              <w:rPr>
                <w:color w:val="000000"/>
                <w:sz w:val="20"/>
                <w:lang w:val="en-GB"/>
              </w:rPr>
              <w:t>The indicat</w:t>
            </w:r>
            <w:r w:rsidR="00312668">
              <w:rPr>
                <w:color w:val="000000"/>
                <w:sz w:val="20"/>
                <w:lang w:val="en-GB"/>
              </w:rPr>
              <w:t>or</w:t>
            </w:r>
            <w:r w:rsidRPr="00607BDE">
              <w:rPr>
                <w:color w:val="000000"/>
                <w:sz w:val="20"/>
                <w:lang w:val="en-GB"/>
              </w:rPr>
              <w:t xml:space="preserve"> cannot be determined</w:t>
            </w:r>
          </w:p>
        </w:tc>
      </w:tr>
      <w:tr w:rsidR="00AC7127" w:rsidRPr="00607BDE" w14:paraId="4DDDE5F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456A1" w14:textId="77777777" w:rsidR="00A77B3E" w:rsidRPr="00607BDE" w:rsidRDefault="00C401B9">
            <w:pPr>
              <w:spacing w:before="100"/>
              <w:rPr>
                <w:color w:val="000000"/>
                <w:sz w:val="20"/>
                <w:lang w:val="en-GB"/>
              </w:rPr>
            </w:pPr>
            <w:r w:rsidRPr="00607BDE">
              <w:rPr>
                <w:color w:val="000000"/>
                <w:sz w:val="20"/>
                <w:lang w:val="en-GB"/>
              </w:rPr>
              <w:t>R.2.8.1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0C3900" w14:textId="77777777" w:rsidR="00A77B3E" w:rsidRPr="00607BDE" w:rsidRDefault="00C401B9">
            <w:pPr>
              <w:spacing w:before="100"/>
              <w:rPr>
                <w:color w:val="000000"/>
                <w:sz w:val="20"/>
                <w:lang w:val="en-GB"/>
              </w:rPr>
            </w:pPr>
            <w:r w:rsidRPr="00607BDE">
              <w:rPr>
                <w:color w:val="000000"/>
                <w:sz w:val="20"/>
                <w:lang w:val="en-GB"/>
              </w:rPr>
              <w:t>of which the number of consulates upgraded to enhance client-friendliness for visa applicants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F39F06"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2883D9"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56C711"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FA99A"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BA24EE" w14:textId="77777777" w:rsidR="00A77B3E" w:rsidRPr="00607BDE" w:rsidRDefault="00C401B9">
            <w:pPr>
              <w:spacing w:before="100"/>
              <w:jc w:val="center"/>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789D7"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FCC9A" w14:textId="77777777" w:rsidR="00A77B3E" w:rsidRPr="00607BDE" w:rsidRDefault="00C401B9">
            <w:pPr>
              <w:spacing w:before="100"/>
              <w:rPr>
                <w:color w:val="000000"/>
                <w:sz w:val="20"/>
                <w:lang w:val="en-GB"/>
              </w:rPr>
            </w:pPr>
            <w:r w:rsidRPr="00607BDE">
              <w:rPr>
                <w:color w:val="000000"/>
                <w:sz w:val="20"/>
                <w:lang w:val="en-GB"/>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B92570" w14:textId="77777777" w:rsidR="00A77B3E" w:rsidRPr="00607BDE" w:rsidRDefault="00C401B9">
            <w:pPr>
              <w:spacing w:before="100"/>
              <w:rPr>
                <w:color w:val="000000"/>
                <w:sz w:val="20"/>
                <w:lang w:val="en-GB"/>
              </w:rPr>
            </w:pPr>
            <w:r w:rsidRPr="00607BDE">
              <w:rPr>
                <w:color w:val="000000"/>
                <w:sz w:val="20"/>
                <w:lang w:val="en-GB"/>
              </w:rPr>
              <w:t>N/A</w:t>
            </w:r>
          </w:p>
        </w:tc>
      </w:tr>
      <w:tr w:rsidR="00AC7127" w:rsidRPr="00607BDE" w14:paraId="67CD4F5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CC4258" w14:textId="77777777" w:rsidR="00A77B3E" w:rsidRPr="00607BDE" w:rsidRDefault="00C401B9">
            <w:pPr>
              <w:spacing w:before="100"/>
              <w:rPr>
                <w:color w:val="000000"/>
                <w:sz w:val="20"/>
                <w:lang w:val="en-GB"/>
              </w:rPr>
            </w:pPr>
            <w:r w:rsidRPr="00607BDE">
              <w:rPr>
                <w:color w:val="000000"/>
                <w:sz w:val="20"/>
                <w:lang w:val="en-GB"/>
              </w:rPr>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1A0F59" w14:textId="77777777" w:rsidR="00A77B3E" w:rsidRPr="00607BDE" w:rsidRDefault="00C401B9">
            <w:pPr>
              <w:spacing w:before="100"/>
              <w:rPr>
                <w:color w:val="000000"/>
                <w:sz w:val="20"/>
                <w:lang w:val="en-GB"/>
              </w:rPr>
            </w:pPr>
            <w:r w:rsidRPr="00607BDE">
              <w:rPr>
                <w:color w:val="000000"/>
                <w:sz w:val="20"/>
                <w:lang w:val="en-GB"/>
              </w:rPr>
              <w:t>The number of addressed recommendations from Schengen evaluations in the area of the 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CB99F4"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E1091"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2E45F2"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3E2264"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BA2920" w14:textId="77777777" w:rsidR="00A77B3E" w:rsidRPr="00607BDE" w:rsidRDefault="00C401B9">
            <w:pPr>
              <w:spacing w:before="100"/>
              <w:jc w:val="center"/>
              <w:rPr>
                <w:color w:val="000000"/>
                <w:sz w:val="20"/>
                <w:lang w:val="en-GB"/>
              </w:rPr>
            </w:pPr>
            <w:r w:rsidRPr="00607BDE">
              <w:rPr>
                <w:color w:val="000000"/>
                <w:sz w:val="20"/>
                <w:lang w:val="en-GB"/>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C87F74" w14:textId="77777777" w:rsidR="00A77B3E" w:rsidRPr="00607BDE" w:rsidRDefault="00C401B9">
            <w:pPr>
              <w:spacing w:before="100"/>
              <w:rPr>
                <w:color w:val="000000"/>
                <w:sz w:val="20"/>
                <w:lang w:val="en-GB"/>
              </w:rPr>
            </w:pPr>
            <w:r w:rsidRPr="00607BDE">
              <w:rPr>
                <w:color w:val="000000"/>
                <w:sz w:val="20"/>
                <w:lang w:val="en-GB"/>
              </w:rPr>
              <w:t>percentage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E3BE9" w14:textId="77777777" w:rsidR="00A77B3E" w:rsidRPr="00607BDE" w:rsidRDefault="00C401B9">
            <w:pPr>
              <w:spacing w:before="100"/>
              <w:rPr>
                <w:color w:val="000000"/>
                <w:sz w:val="20"/>
                <w:lang w:val="en-GB"/>
              </w:rPr>
            </w:pPr>
            <w:r w:rsidRPr="00607BDE">
              <w:rPr>
                <w:color w:val="000000"/>
                <w:sz w:val="20"/>
                <w:lang w:val="en-GB"/>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D5161" w14:textId="77777777" w:rsidR="00A77B3E" w:rsidRPr="00607BDE" w:rsidRDefault="00C401B9">
            <w:pPr>
              <w:spacing w:before="100"/>
              <w:rPr>
                <w:color w:val="000000"/>
                <w:sz w:val="20"/>
                <w:lang w:val="en-GB"/>
              </w:rPr>
            </w:pPr>
            <w:r w:rsidRPr="00607BDE">
              <w:rPr>
                <w:color w:val="000000"/>
                <w:sz w:val="20"/>
                <w:lang w:val="en-GB"/>
              </w:rPr>
              <w:t>Measurement unit: percent.</w:t>
            </w:r>
          </w:p>
          <w:p w14:paraId="2587DA45" w14:textId="77777777" w:rsidR="00A77B3E" w:rsidRPr="00607BDE" w:rsidRDefault="00C401B9">
            <w:pPr>
              <w:spacing w:before="100"/>
              <w:rPr>
                <w:color w:val="000000"/>
                <w:sz w:val="20"/>
                <w:lang w:val="en-GB"/>
              </w:rPr>
            </w:pPr>
            <w:r w:rsidRPr="00607BDE">
              <w:rPr>
                <w:color w:val="000000"/>
                <w:sz w:val="20"/>
                <w:lang w:val="en-GB"/>
              </w:rPr>
              <w:t>The indicator cannot be determined at the moment, pending Scheval recommendation.</w:t>
            </w:r>
          </w:p>
        </w:tc>
      </w:tr>
      <w:tr w:rsidR="00AC7127" w:rsidRPr="00607BDE" w14:paraId="7309FF4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9F1B5" w14:textId="77777777" w:rsidR="00A77B3E" w:rsidRPr="00607BDE" w:rsidRDefault="00C401B9">
            <w:pPr>
              <w:spacing w:before="100"/>
              <w:rPr>
                <w:color w:val="000000"/>
                <w:sz w:val="20"/>
                <w:lang w:val="en-GB"/>
              </w:rPr>
            </w:pPr>
            <w:r w:rsidRPr="00607BDE">
              <w:rPr>
                <w:color w:val="000000"/>
                <w:sz w:val="20"/>
                <w:lang w:val="en-GB"/>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6A8791" w14:textId="77777777" w:rsidR="00A77B3E" w:rsidRPr="00607BDE" w:rsidRDefault="00C401B9">
            <w:pPr>
              <w:spacing w:before="100"/>
              <w:rPr>
                <w:color w:val="000000"/>
                <w:sz w:val="20"/>
                <w:lang w:val="en-GB"/>
              </w:rPr>
            </w:pPr>
            <w:r w:rsidRPr="00607BDE">
              <w:rPr>
                <w:color w:val="000000"/>
                <w:sz w:val="20"/>
                <w:lang w:val="en-GB"/>
              </w:rPr>
              <w:t>The number of visa applications using digital means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FA535"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1D2CC"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90AF35" w14:textId="77777777" w:rsidR="00A77B3E" w:rsidRPr="00607BDE" w:rsidRDefault="00C401B9">
            <w:pPr>
              <w:spacing w:before="100"/>
              <w:rPr>
                <w:color w:val="000000"/>
                <w:sz w:val="20"/>
                <w:lang w:val="en-GB"/>
              </w:rPr>
            </w:pPr>
            <w:r w:rsidRPr="00607BDE">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9E4896"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539582" w14:textId="77777777" w:rsidR="00A77B3E" w:rsidRPr="00607BDE" w:rsidRDefault="00C401B9">
            <w:pPr>
              <w:spacing w:before="100"/>
              <w:jc w:val="center"/>
              <w:rPr>
                <w:color w:val="000000"/>
                <w:sz w:val="20"/>
                <w:lang w:val="en-GB"/>
              </w:rPr>
            </w:pPr>
            <w:r w:rsidRPr="00607BDE">
              <w:rPr>
                <w:color w:val="000000"/>
                <w:sz w:val="20"/>
                <w:lang w:val="en-GB"/>
              </w:rPr>
              <w:t>250,000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9B6F2D"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4C7BF" w14:textId="77777777" w:rsidR="00A77B3E" w:rsidRPr="00607BDE" w:rsidRDefault="00C401B9">
            <w:pPr>
              <w:spacing w:before="100"/>
              <w:rPr>
                <w:color w:val="000000"/>
                <w:sz w:val="20"/>
                <w:lang w:val="en-GB"/>
              </w:rPr>
            </w:pPr>
            <w:r w:rsidRPr="00607BDE">
              <w:rPr>
                <w:color w:val="000000"/>
                <w:sz w:val="20"/>
                <w:lang w:val="en-GB"/>
              </w:rPr>
              <w:t>Forecasts based on the current number of visa applications using electronic means.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FBF47" w14:textId="77777777" w:rsidR="00A77B3E" w:rsidRPr="00607BDE" w:rsidRDefault="00C401B9">
            <w:pPr>
              <w:spacing w:before="100"/>
              <w:rPr>
                <w:color w:val="000000"/>
                <w:sz w:val="20"/>
                <w:lang w:val="en-GB"/>
              </w:rPr>
            </w:pPr>
            <w:r w:rsidRPr="00607BDE">
              <w:rPr>
                <w:color w:val="000000"/>
                <w:sz w:val="20"/>
                <w:lang w:val="en-GB"/>
              </w:rPr>
              <w:t>N/A</w:t>
            </w:r>
          </w:p>
        </w:tc>
      </w:tr>
      <w:tr w:rsidR="00AC7127" w:rsidRPr="00607BDE" w14:paraId="7C072813"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9323A1" w14:textId="77777777" w:rsidR="00A77B3E" w:rsidRPr="00607BDE" w:rsidRDefault="00C401B9">
            <w:pPr>
              <w:spacing w:before="100"/>
              <w:rPr>
                <w:color w:val="000000"/>
                <w:sz w:val="20"/>
                <w:lang w:val="en-GB"/>
              </w:rPr>
            </w:pPr>
            <w:r w:rsidRPr="00607BDE">
              <w:rPr>
                <w:color w:val="000000"/>
                <w:sz w:val="20"/>
                <w:lang w:val="en-GB"/>
              </w:rPr>
              <w:t>R.2.11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CAB36C" w14:textId="77777777" w:rsidR="00A77B3E" w:rsidRPr="00607BDE" w:rsidRDefault="00C401B9">
            <w:pPr>
              <w:spacing w:before="100"/>
              <w:rPr>
                <w:color w:val="000000"/>
                <w:sz w:val="20"/>
                <w:lang w:val="en-GB"/>
              </w:rPr>
            </w:pPr>
            <w:r w:rsidRPr="00607BDE">
              <w:rPr>
                <w:color w:val="000000"/>
                <w:sz w:val="20"/>
                <w:lang w:val="en-GB"/>
              </w:rPr>
              <w:t>The number of initiated/improved forms of cooperation set up among Member States in visa processing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23191"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460C5"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117EC"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F6E9B"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832126" w14:textId="77777777" w:rsidR="00A77B3E" w:rsidRPr="00607BDE" w:rsidRDefault="00C401B9">
            <w:pPr>
              <w:spacing w:before="100"/>
              <w:jc w:val="center"/>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9B9DC6"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008F24" w14:textId="77777777" w:rsidR="00A77B3E" w:rsidRPr="00607BDE" w:rsidRDefault="00C401B9">
            <w:pPr>
              <w:spacing w:before="100"/>
              <w:rPr>
                <w:color w:val="000000"/>
                <w:sz w:val="20"/>
                <w:lang w:val="en-GB"/>
              </w:rPr>
            </w:pPr>
            <w:r w:rsidRPr="00607BDE">
              <w:rPr>
                <w:color w:val="000000"/>
                <w:sz w:val="20"/>
                <w:lang w:val="en-GB"/>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04C97" w14:textId="77777777" w:rsidR="00A77B3E" w:rsidRPr="00607BDE" w:rsidRDefault="00C401B9">
            <w:pPr>
              <w:spacing w:before="100"/>
              <w:rPr>
                <w:color w:val="000000"/>
                <w:sz w:val="20"/>
                <w:lang w:val="en-GB"/>
              </w:rPr>
            </w:pPr>
            <w:r w:rsidRPr="00607BDE">
              <w:rPr>
                <w:color w:val="000000"/>
                <w:sz w:val="20"/>
                <w:lang w:val="en-GB"/>
              </w:rPr>
              <w:t>N/A</w:t>
            </w:r>
          </w:p>
        </w:tc>
      </w:tr>
      <w:tr w:rsidR="00AC7127" w:rsidRPr="00607BDE" w14:paraId="260C7BA3"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95E55" w14:textId="77777777" w:rsidR="00A77B3E" w:rsidRPr="00607BDE" w:rsidRDefault="00C401B9">
            <w:pPr>
              <w:spacing w:before="100"/>
              <w:rPr>
                <w:color w:val="000000"/>
                <w:sz w:val="20"/>
                <w:lang w:val="en-GB"/>
              </w:rPr>
            </w:pPr>
            <w:r w:rsidRPr="00607BDE">
              <w:rPr>
                <w:color w:val="000000"/>
                <w:sz w:val="20"/>
                <w:lang w:val="en-GB"/>
              </w:rPr>
              <w:t>R.2.12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C4BF6A" w14:textId="77777777" w:rsidR="00A77B3E" w:rsidRPr="00607BDE" w:rsidRDefault="00C401B9">
            <w:pPr>
              <w:spacing w:before="100"/>
              <w:rPr>
                <w:color w:val="000000"/>
                <w:sz w:val="20"/>
                <w:lang w:val="en-GB"/>
              </w:rPr>
            </w:pPr>
            <w:r w:rsidRPr="00607BDE">
              <w:rPr>
                <w:color w:val="000000"/>
                <w:sz w:val="20"/>
                <w:lang w:val="en-GB"/>
              </w:rPr>
              <w:t>The number of participants who report three months after a training activity that they are using the skills and competences acquired during that training activity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F02BDC"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F7567" w14:textId="77777777" w:rsidR="00A77B3E" w:rsidRPr="00607BDE" w:rsidRDefault="00C401B9">
            <w:pPr>
              <w:spacing w:before="100"/>
              <w:rPr>
                <w:color w:val="000000"/>
                <w:sz w:val="20"/>
                <w:lang w:val="en-GB"/>
              </w:rPr>
            </w:pPr>
            <w:r w:rsidRPr="00607BDE">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D7F27F" w14:textId="77777777" w:rsidR="00A77B3E" w:rsidRPr="00607BDE" w:rsidRDefault="00C401B9">
            <w:pPr>
              <w:spacing w:before="100"/>
              <w:rPr>
                <w:color w:val="000000"/>
                <w:sz w:val="20"/>
                <w:lang w:val="en-GB"/>
              </w:rPr>
            </w:pPr>
            <w:r w:rsidRPr="00607BDE">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7EB233" w14:textId="77777777" w:rsidR="00A77B3E" w:rsidRPr="00607BDE" w:rsidRDefault="00C401B9">
            <w:pPr>
              <w:spacing w:before="100"/>
              <w:jc w:val="center"/>
              <w:rPr>
                <w:color w:val="000000"/>
                <w:sz w:val="20"/>
                <w:lang w:val="en-GB"/>
              </w:rPr>
            </w:pPr>
            <w:r w:rsidRPr="00607BDE">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8733FB" w14:textId="77777777" w:rsidR="00A77B3E" w:rsidRPr="00607BDE" w:rsidRDefault="00C401B9">
            <w:pPr>
              <w:spacing w:before="100"/>
              <w:jc w:val="center"/>
              <w:rPr>
                <w:color w:val="000000"/>
                <w:sz w:val="20"/>
                <w:lang w:val="en-GB"/>
              </w:rPr>
            </w:pPr>
            <w:r w:rsidRPr="00607BDE">
              <w:rPr>
                <w:color w:val="000000"/>
                <w:sz w:val="20"/>
                <w:lang w:val="en-GB"/>
              </w:rPr>
              <w:t>160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E1FBC6" w14:textId="77777777" w:rsidR="00A77B3E" w:rsidRPr="00607BDE" w:rsidRDefault="00C401B9">
            <w:pPr>
              <w:spacing w:before="100"/>
              <w:rPr>
                <w:color w:val="000000"/>
                <w:sz w:val="20"/>
                <w:lang w:val="en-GB"/>
              </w:rPr>
            </w:pPr>
            <w:r w:rsidRPr="00607BDE">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84C1BC" w14:textId="77777777" w:rsidR="00A77B3E" w:rsidRPr="00607BDE" w:rsidRDefault="00C401B9">
            <w:pPr>
              <w:spacing w:before="100"/>
              <w:rPr>
                <w:color w:val="000000"/>
                <w:sz w:val="20"/>
                <w:lang w:val="en-GB"/>
              </w:rPr>
            </w:pPr>
            <w:r w:rsidRPr="00607BDE">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0904DD" w14:textId="77777777" w:rsidR="00A77B3E" w:rsidRPr="00607BDE" w:rsidRDefault="00C401B9">
            <w:pPr>
              <w:spacing w:before="100"/>
              <w:rPr>
                <w:color w:val="000000"/>
                <w:sz w:val="20"/>
                <w:lang w:val="en-GB"/>
              </w:rPr>
            </w:pPr>
            <w:r w:rsidRPr="00607BDE">
              <w:rPr>
                <w:color w:val="000000"/>
                <w:sz w:val="20"/>
                <w:lang w:val="en-GB"/>
              </w:rPr>
              <w:t>It is assumed that 80% of trained participants confirm within 3 to 6 months after a training activity that they are using the acquired knowledge.</w:t>
            </w:r>
          </w:p>
        </w:tc>
      </w:tr>
    </w:tbl>
    <w:p w14:paraId="47EFDE87" w14:textId="77777777" w:rsidR="00A77B3E" w:rsidRPr="00607BDE" w:rsidRDefault="00A77B3E">
      <w:pPr>
        <w:spacing w:before="100"/>
        <w:rPr>
          <w:color w:val="000000"/>
          <w:sz w:val="20"/>
          <w:lang w:val="en-GB"/>
        </w:rPr>
        <w:sectPr w:rsidR="00A77B3E" w:rsidRPr="00607BDE">
          <w:headerReference w:type="even" r:id="rId33"/>
          <w:headerReference w:type="default" r:id="rId34"/>
          <w:footerReference w:type="even" r:id="rId35"/>
          <w:footerReference w:type="default" r:id="rId36"/>
          <w:headerReference w:type="first" r:id="rId37"/>
          <w:footerReference w:type="first" r:id="rId38"/>
          <w:pgSz w:w="16838" w:h="11906" w:orient="landscape"/>
          <w:pgMar w:top="720" w:right="720" w:bottom="864" w:left="936" w:header="288" w:footer="72" w:gutter="0"/>
          <w:cols w:space="720"/>
          <w:noEndnote/>
          <w:docGrid w:linePitch="360"/>
        </w:sectPr>
      </w:pPr>
    </w:p>
    <w:p w14:paraId="5838B15D" w14:textId="77777777" w:rsidR="00A77B3E" w:rsidRPr="00607BDE" w:rsidRDefault="00C401B9">
      <w:pPr>
        <w:spacing w:before="100"/>
        <w:rPr>
          <w:color w:val="000000"/>
          <w:sz w:val="0"/>
          <w:lang w:val="en-GB"/>
        </w:rPr>
      </w:pPr>
      <w:r w:rsidRPr="00607BDE">
        <w:rPr>
          <w:color w:val="000000"/>
          <w:lang w:val="en-GB"/>
        </w:rPr>
        <w:t>2.1. Specific objective 2. Common visa policy</w:t>
      </w:r>
    </w:p>
    <w:p w14:paraId="11F93233" w14:textId="77777777" w:rsidR="00A77B3E" w:rsidRPr="00607BDE" w:rsidRDefault="00C401B9">
      <w:pPr>
        <w:pStyle w:val="Nagwek3"/>
        <w:spacing w:before="100" w:after="0"/>
        <w:rPr>
          <w:rFonts w:ascii="Times New Roman" w:hAnsi="Times New Roman" w:cs="Times New Roman"/>
          <w:b w:val="0"/>
          <w:color w:val="000000"/>
          <w:sz w:val="24"/>
          <w:lang w:val="en-GB"/>
        </w:rPr>
      </w:pPr>
      <w:bookmarkStart w:id="16" w:name="_Toc128975987"/>
      <w:r w:rsidRPr="00607BDE">
        <w:rPr>
          <w:rFonts w:ascii="Times New Roman" w:hAnsi="Times New Roman" w:cs="Times New Roman"/>
          <w:b w:val="0"/>
          <w:color w:val="000000"/>
          <w:sz w:val="24"/>
          <w:lang w:val="en-GB"/>
        </w:rPr>
        <w:t>2.1.3. Indicative breakdown of programme resources (EU) by type of intervention</w:t>
      </w:r>
      <w:bookmarkEnd w:id="16"/>
    </w:p>
    <w:p w14:paraId="20079A35" w14:textId="77777777" w:rsidR="00A77B3E" w:rsidRPr="00607BDE" w:rsidRDefault="00C401B9">
      <w:pPr>
        <w:spacing w:before="100"/>
        <w:rPr>
          <w:color w:val="000000"/>
          <w:lang w:val="en-GB"/>
        </w:rPr>
      </w:pPr>
      <w:r w:rsidRPr="00607BDE">
        <w:rPr>
          <w:color w:val="000000"/>
          <w:lang w:val="en-GB"/>
        </w:rPr>
        <w:t>Reference: Article 22(5) of the Common Provisions Regulation and Article 16(12) of the AMIF Regulation, Article 13(12) of the ISF Regulation or Article 13(18) of the BMVI Regulation</w:t>
      </w:r>
    </w:p>
    <w:p w14:paraId="5EB3A843" w14:textId="77777777" w:rsidR="00A77B3E" w:rsidRPr="00607BDE" w:rsidRDefault="00C401B9">
      <w:pPr>
        <w:pStyle w:val="Nagwek4"/>
        <w:spacing w:before="100" w:after="0"/>
        <w:rPr>
          <w:b w:val="0"/>
          <w:color w:val="000000"/>
          <w:sz w:val="24"/>
          <w:lang w:val="en-GB"/>
        </w:rPr>
      </w:pPr>
      <w:bookmarkStart w:id="17" w:name="_Toc128975988"/>
      <w:r w:rsidRPr="00607BDE">
        <w:rPr>
          <w:b w:val="0"/>
          <w:color w:val="000000"/>
          <w:sz w:val="24"/>
          <w:lang w:val="en-GB"/>
        </w:rPr>
        <w:t>Table 3: Indicative breakdown</w:t>
      </w:r>
      <w:bookmarkEnd w:id="17"/>
    </w:p>
    <w:p w14:paraId="2D4AF758"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1330"/>
        <w:gridCol w:w="2179"/>
      </w:tblGrid>
      <w:tr w:rsidR="00AC7127" w:rsidRPr="00607BDE" w14:paraId="07E2FC3D"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FFBF1D" w14:textId="77777777" w:rsidR="00A77B3E" w:rsidRPr="00607BDE" w:rsidRDefault="00C401B9">
            <w:pPr>
              <w:spacing w:before="100"/>
              <w:rPr>
                <w:color w:val="000000"/>
                <w:sz w:val="20"/>
                <w:lang w:val="en-GB"/>
              </w:rPr>
            </w:pPr>
            <w:r w:rsidRPr="00607BDE">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5394B4" w14:textId="77777777" w:rsidR="00A77B3E" w:rsidRPr="00607BDE" w:rsidRDefault="00C401B9">
            <w:pPr>
              <w:spacing w:before="100"/>
              <w:rPr>
                <w:color w:val="000000"/>
                <w:sz w:val="20"/>
                <w:lang w:val="en-GB"/>
              </w:rPr>
            </w:pPr>
            <w:r w:rsidRPr="00607BDE">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C76B5" w14:textId="77777777" w:rsidR="00A77B3E" w:rsidRPr="00607BDE" w:rsidRDefault="00C401B9">
            <w:pPr>
              <w:spacing w:before="100"/>
              <w:jc w:val="right"/>
              <w:rPr>
                <w:color w:val="000000"/>
                <w:sz w:val="20"/>
                <w:lang w:val="en-GB"/>
              </w:rPr>
            </w:pPr>
            <w:r w:rsidRPr="00607BDE">
              <w:rPr>
                <w:color w:val="000000"/>
                <w:sz w:val="20"/>
                <w:lang w:val="en-GB"/>
              </w:rPr>
              <w:t>Indicative amount (in EUR)</w:t>
            </w:r>
          </w:p>
        </w:tc>
      </w:tr>
      <w:tr w:rsidR="00AC7127" w:rsidRPr="00607BDE" w14:paraId="79681C8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F36031"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DFBD5" w14:textId="77777777" w:rsidR="00A77B3E" w:rsidRPr="00607BDE" w:rsidRDefault="00C401B9">
            <w:pPr>
              <w:spacing w:before="100"/>
              <w:rPr>
                <w:color w:val="000000"/>
                <w:sz w:val="20"/>
                <w:lang w:val="en-GB"/>
              </w:rPr>
            </w:pPr>
            <w:r w:rsidRPr="00607BDE">
              <w:rPr>
                <w:color w:val="000000"/>
                <w:sz w:val="20"/>
                <w:lang w:val="en-GB"/>
              </w:rPr>
              <w:t>001.Improving visa application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317E3" w14:textId="77777777" w:rsidR="00A77B3E" w:rsidRPr="00607BDE" w:rsidRDefault="00C401B9">
            <w:pPr>
              <w:spacing w:before="100"/>
              <w:jc w:val="right"/>
              <w:rPr>
                <w:color w:val="000000"/>
                <w:sz w:val="20"/>
                <w:lang w:val="en-GB"/>
              </w:rPr>
            </w:pPr>
            <w:r w:rsidRPr="00607BDE">
              <w:rPr>
                <w:color w:val="000000"/>
                <w:sz w:val="20"/>
                <w:lang w:val="en-GB"/>
              </w:rPr>
              <w:t>1,210,000.00</w:t>
            </w:r>
          </w:p>
        </w:tc>
      </w:tr>
      <w:tr w:rsidR="00AC7127" w:rsidRPr="00607BDE" w14:paraId="39833F9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1B68AC"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8B4B40" w14:textId="77777777" w:rsidR="00A77B3E" w:rsidRPr="00607BDE" w:rsidRDefault="00C401B9">
            <w:pPr>
              <w:spacing w:before="100"/>
              <w:rPr>
                <w:color w:val="000000"/>
                <w:sz w:val="20"/>
                <w:lang w:val="en-GB"/>
              </w:rPr>
            </w:pPr>
            <w:r w:rsidRPr="00607BDE">
              <w:rPr>
                <w:color w:val="000000"/>
                <w:sz w:val="20"/>
                <w:lang w:val="en-GB"/>
              </w:rPr>
              <w:t>002.Enhancing the efficiency, client-friendly environment and security at consulates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D2BC01" w14:textId="77777777" w:rsidR="00A77B3E" w:rsidRPr="00607BDE" w:rsidRDefault="00C401B9">
            <w:pPr>
              <w:spacing w:before="100"/>
              <w:jc w:val="right"/>
              <w:rPr>
                <w:color w:val="000000"/>
                <w:sz w:val="20"/>
                <w:lang w:val="en-GB"/>
              </w:rPr>
            </w:pPr>
            <w:r w:rsidRPr="00607BDE">
              <w:rPr>
                <w:color w:val="000000"/>
                <w:sz w:val="20"/>
                <w:lang w:val="en-GB"/>
              </w:rPr>
              <w:t>600,000.00</w:t>
            </w:r>
          </w:p>
        </w:tc>
      </w:tr>
      <w:tr w:rsidR="00AC7127" w:rsidRPr="00607BDE" w14:paraId="0F23FB1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2C4E49"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44811" w14:textId="77777777" w:rsidR="00A77B3E" w:rsidRPr="00607BDE" w:rsidRDefault="00C401B9">
            <w:pPr>
              <w:spacing w:before="100"/>
              <w:rPr>
                <w:color w:val="000000"/>
                <w:sz w:val="20"/>
                <w:lang w:val="en-GB"/>
              </w:rPr>
            </w:pPr>
            <w:r w:rsidRPr="00607BDE">
              <w:rPr>
                <w:color w:val="000000"/>
                <w:sz w:val="20"/>
                <w:lang w:val="en-GB"/>
              </w:rPr>
              <w:t>003.Document security/document advisers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DB6A1"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7E10BD3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65129F"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885978" w14:textId="77777777" w:rsidR="00A77B3E" w:rsidRPr="00607BDE" w:rsidRDefault="00C401B9">
            <w:pPr>
              <w:spacing w:before="100"/>
              <w:rPr>
                <w:color w:val="000000"/>
                <w:sz w:val="20"/>
                <w:lang w:val="en-GB"/>
              </w:rPr>
            </w:pPr>
            <w:r w:rsidRPr="00607BDE">
              <w:rPr>
                <w:color w:val="000000"/>
                <w:sz w:val="20"/>
                <w:lang w:val="en-GB"/>
              </w:rPr>
              <w:t>004.Consular cooperation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DD263D"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229F88E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38A726"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13C7E" w14:textId="77777777" w:rsidR="00A77B3E" w:rsidRPr="00607BDE" w:rsidRDefault="00C401B9">
            <w:pPr>
              <w:spacing w:before="100"/>
              <w:rPr>
                <w:color w:val="000000"/>
                <w:sz w:val="20"/>
                <w:lang w:val="en-GB"/>
              </w:rPr>
            </w:pPr>
            <w:r w:rsidRPr="00607BDE">
              <w:rPr>
                <w:color w:val="000000"/>
                <w:sz w:val="20"/>
                <w:lang w:val="en-GB"/>
              </w:rPr>
              <w:t>005.Consular coverage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2A5F88"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0A52FA6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3A4A3"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FED2F" w14:textId="77777777" w:rsidR="00A77B3E" w:rsidRPr="00607BDE" w:rsidRDefault="00C401B9">
            <w:pPr>
              <w:spacing w:before="100"/>
              <w:rPr>
                <w:color w:val="000000"/>
                <w:sz w:val="20"/>
                <w:lang w:val="en-GB"/>
              </w:rPr>
            </w:pPr>
            <w:r w:rsidRPr="00607BDE">
              <w:rPr>
                <w:color w:val="000000"/>
                <w:sz w:val="20"/>
                <w:lang w:val="en-GB"/>
              </w:rPr>
              <w:t>006.Large-scale IT systems – Visa Information System (VIS)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B1A75" w14:textId="77777777" w:rsidR="00A77B3E" w:rsidRPr="00607BDE" w:rsidRDefault="00C401B9">
            <w:pPr>
              <w:spacing w:before="100"/>
              <w:jc w:val="right"/>
              <w:rPr>
                <w:color w:val="000000"/>
                <w:sz w:val="20"/>
                <w:lang w:val="en-GB"/>
              </w:rPr>
            </w:pPr>
            <w:r w:rsidRPr="00607BDE">
              <w:rPr>
                <w:color w:val="000000"/>
                <w:sz w:val="20"/>
                <w:lang w:val="en-GB"/>
              </w:rPr>
              <w:t>6,500,000.00</w:t>
            </w:r>
          </w:p>
        </w:tc>
      </w:tr>
      <w:tr w:rsidR="00AC7127" w:rsidRPr="00607BDE" w14:paraId="7F8E71F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5D43F2"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045E6D" w14:textId="77777777" w:rsidR="00A77B3E" w:rsidRPr="00607BDE" w:rsidRDefault="00C401B9">
            <w:pPr>
              <w:spacing w:before="100"/>
              <w:rPr>
                <w:color w:val="000000"/>
                <w:sz w:val="20"/>
                <w:lang w:val="en-GB"/>
              </w:rPr>
            </w:pPr>
            <w:r w:rsidRPr="00607BDE">
              <w:rPr>
                <w:color w:val="000000"/>
                <w:sz w:val="20"/>
                <w:lang w:val="en-GB"/>
              </w:rPr>
              <w:t>007.Other ICT systems for visa application processing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A74852"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13CF4B2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7EF06"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97340" w14:textId="77777777" w:rsidR="00A77B3E" w:rsidRPr="00607BDE" w:rsidRDefault="00C401B9">
            <w:pPr>
              <w:spacing w:before="100"/>
              <w:rPr>
                <w:color w:val="000000"/>
                <w:sz w:val="20"/>
                <w:lang w:val="en-GB"/>
              </w:rPr>
            </w:pPr>
            <w:r w:rsidRPr="00607BDE">
              <w:rPr>
                <w:color w:val="000000"/>
                <w:sz w:val="20"/>
                <w:lang w:val="en-GB"/>
              </w:rPr>
              <w:t>008.Operating support – Common visa policy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72F52"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0041324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832CBA"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57A453" w14:textId="77777777" w:rsidR="00A77B3E" w:rsidRPr="00607BDE" w:rsidRDefault="00C401B9">
            <w:pPr>
              <w:spacing w:before="100"/>
              <w:rPr>
                <w:color w:val="000000"/>
                <w:sz w:val="20"/>
                <w:lang w:val="en-GB"/>
              </w:rPr>
            </w:pPr>
            <w:r w:rsidRPr="00607BDE">
              <w:rPr>
                <w:color w:val="000000"/>
                <w:sz w:val="20"/>
                <w:lang w:val="en-GB"/>
              </w:rPr>
              <w:t>009.Operating support – Large-scale IT systems for visa application processing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7EC4E" w14:textId="77777777" w:rsidR="00A77B3E" w:rsidRPr="00607BDE" w:rsidRDefault="00C401B9">
            <w:pPr>
              <w:spacing w:before="100"/>
              <w:jc w:val="right"/>
              <w:rPr>
                <w:color w:val="000000"/>
                <w:sz w:val="20"/>
                <w:lang w:val="en-GB"/>
              </w:rPr>
            </w:pPr>
            <w:r w:rsidRPr="00607BDE">
              <w:rPr>
                <w:color w:val="000000"/>
                <w:sz w:val="20"/>
                <w:lang w:val="en-GB"/>
              </w:rPr>
              <w:t>500,000.00</w:t>
            </w:r>
          </w:p>
        </w:tc>
      </w:tr>
      <w:tr w:rsidR="00AC7127" w:rsidRPr="00607BDE" w14:paraId="4C02D37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31606B"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CD84A" w14:textId="77777777" w:rsidR="00A77B3E" w:rsidRPr="00607BDE" w:rsidRDefault="00C401B9">
            <w:pPr>
              <w:spacing w:before="100"/>
              <w:rPr>
                <w:color w:val="000000"/>
                <w:sz w:val="20"/>
                <w:lang w:val="en-GB"/>
              </w:rPr>
            </w:pPr>
            <w:r w:rsidRPr="00607BDE">
              <w:rPr>
                <w:color w:val="000000"/>
                <w:sz w:val="20"/>
                <w:lang w:val="en-GB"/>
              </w:rPr>
              <w:t>010.Operating support – Special Transit Scheme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27AEE"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7F1E468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6DE90"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44F07D" w14:textId="77777777" w:rsidR="00A77B3E" w:rsidRPr="00607BDE" w:rsidRDefault="00C401B9">
            <w:pPr>
              <w:spacing w:before="100"/>
              <w:rPr>
                <w:color w:val="000000"/>
                <w:sz w:val="20"/>
                <w:lang w:val="en-GB"/>
              </w:rPr>
            </w:pPr>
            <w:r w:rsidRPr="00607BDE">
              <w:rPr>
                <w:color w:val="000000"/>
                <w:sz w:val="20"/>
                <w:lang w:val="en-GB"/>
              </w:rPr>
              <w:t>011.Issuance of visas with limited territorial validity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CAAB66" w14:textId="77777777" w:rsidR="00A77B3E" w:rsidRPr="00607BDE" w:rsidRDefault="00C401B9">
            <w:pPr>
              <w:spacing w:before="100"/>
              <w:jc w:val="right"/>
              <w:rPr>
                <w:color w:val="000000"/>
                <w:sz w:val="20"/>
                <w:lang w:val="en-GB"/>
              </w:rPr>
            </w:pPr>
            <w:r w:rsidRPr="00607BDE">
              <w:rPr>
                <w:color w:val="000000"/>
                <w:sz w:val="20"/>
                <w:lang w:val="en-GB"/>
              </w:rPr>
              <w:t>0.00</w:t>
            </w:r>
          </w:p>
        </w:tc>
      </w:tr>
      <w:tr w:rsidR="00AC7127" w:rsidRPr="00607BDE" w14:paraId="569F668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84F7D8"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4FFE5" w14:textId="77777777" w:rsidR="00A77B3E" w:rsidRPr="00607BDE" w:rsidRDefault="00C401B9">
            <w:pPr>
              <w:spacing w:before="100"/>
              <w:rPr>
                <w:color w:val="000000"/>
                <w:sz w:val="20"/>
                <w:lang w:val="en-GB"/>
              </w:rPr>
            </w:pPr>
            <w:r w:rsidRPr="00607BDE">
              <w:rPr>
                <w:color w:val="000000"/>
                <w:sz w:val="20"/>
                <w:lang w:val="en-GB"/>
              </w:rPr>
              <w:t>012.Data quality and data subjects’ rights to information, access to, rectification and erasure of, their personal data, and to the restriction of the processing thereof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9D9A5" w14:textId="77777777" w:rsidR="00A77B3E" w:rsidRPr="00607BDE" w:rsidRDefault="00C401B9">
            <w:pPr>
              <w:spacing w:before="100"/>
              <w:jc w:val="right"/>
              <w:rPr>
                <w:color w:val="000000"/>
                <w:sz w:val="20"/>
                <w:lang w:val="en-GB"/>
              </w:rPr>
            </w:pPr>
            <w:r w:rsidRPr="00607BDE">
              <w:rPr>
                <w:color w:val="000000"/>
                <w:sz w:val="20"/>
                <w:lang w:val="en-GB"/>
              </w:rPr>
              <w:t>0.00</w:t>
            </w:r>
          </w:p>
        </w:tc>
      </w:tr>
    </w:tbl>
    <w:p w14:paraId="3C2D5635" w14:textId="77777777" w:rsidR="00A77B3E" w:rsidRPr="00607BDE" w:rsidRDefault="00A77B3E">
      <w:pPr>
        <w:spacing w:before="100"/>
        <w:rPr>
          <w:color w:val="000000"/>
          <w:sz w:val="20"/>
          <w:lang w:val="en-GB"/>
        </w:rPr>
        <w:sectPr w:rsidR="00A77B3E" w:rsidRPr="00607BDE">
          <w:pgSz w:w="16838" w:h="11906" w:orient="landscape"/>
          <w:pgMar w:top="720" w:right="720" w:bottom="864" w:left="936" w:header="288" w:footer="72" w:gutter="0"/>
          <w:cols w:space="720"/>
          <w:noEndnote/>
          <w:docGrid w:linePitch="360"/>
        </w:sectPr>
      </w:pPr>
    </w:p>
    <w:p w14:paraId="32511130"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18" w:name="_Toc128975989"/>
      <w:r w:rsidRPr="00607BDE">
        <w:rPr>
          <w:rFonts w:ascii="Times New Roman" w:hAnsi="Times New Roman" w:cs="Times New Roman"/>
          <w:b w:val="0"/>
          <w:i w:val="0"/>
          <w:color w:val="000000"/>
          <w:sz w:val="24"/>
          <w:lang w:val="en-GB"/>
        </w:rPr>
        <w:t>2.2. Technical support: TA.36(5). Technical assistance – flat rate (Article 36(5) of the Common Provisions Regulation)</w:t>
      </w:r>
      <w:bookmarkEnd w:id="18"/>
    </w:p>
    <w:p w14:paraId="6B0D216C" w14:textId="77777777" w:rsidR="00A77B3E" w:rsidRPr="00607BDE" w:rsidRDefault="00A77B3E">
      <w:pPr>
        <w:spacing w:before="100"/>
        <w:rPr>
          <w:color w:val="000000"/>
          <w:sz w:val="0"/>
          <w:lang w:val="en-GB"/>
        </w:rPr>
      </w:pPr>
    </w:p>
    <w:p w14:paraId="71C814E8" w14:textId="77777777" w:rsidR="00A77B3E" w:rsidRPr="00607BDE" w:rsidRDefault="00C401B9">
      <w:pPr>
        <w:spacing w:before="100"/>
        <w:rPr>
          <w:color w:val="000000"/>
          <w:sz w:val="0"/>
          <w:lang w:val="en-GB"/>
        </w:rPr>
      </w:pPr>
      <w:r w:rsidRPr="00607BDE">
        <w:rPr>
          <w:color w:val="000000"/>
          <w:lang w:val="en-GB"/>
        </w:rPr>
        <w:t>Reference: Article 22(3)(f), Article 36(5), Article 37 and Article 95 of the Common Provisions Regulation</w:t>
      </w:r>
    </w:p>
    <w:p w14:paraId="23D6FF0B" w14:textId="77777777" w:rsidR="00A77B3E" w:rsidRPr="00607BDE" w:rsidRDefault="00C401B9">
      <w:pPr>
        <w:pStyle w:val="Nagwek3"/>
        <w:spacing w:before="100" w:after="0"/>
        <w:rPr>
          <w:rFonts w:ascii="Times New Roman" w:hAnsi="Times New Roman" w:cs="Times New Roman"/>
          <w:b w:val="0"/>
          <w:color w:val="000000"/>
          <w:sz w:val="24"/>
          <w:lang w:val="en-GB"/>
        </w:rPr>
      </w:pPr>
      <w:bookmarkStart w:id="19" w:name="_Toc128975990"/>
      <w:r w:rsidRPr="00607BDE">
        <w:rPr>
          <w:rFonts w:ascii="Times New Roman" w:hAnsi="Times New Roman" w:cs="Times New Roman"/>
          <w:b w:val="0"/>
          <w:color w:val="000000"/>
          <w:sz w:val="24"/>
          <w:lang w:val="en-GB"/>
        </w:rPr>
        <w:t>2.2.1. Description</w:t>
      </w:r>
      <w:bookmarkEnd w:id="19"/>
    </w:p>
    <w:p w14:paraId="0A031F18"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C7127" w:rsidRPr="00607BDE" w14:paraId="54DCFC6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CC83E2" w14:textId="77777777" w:rsidR="00A77B3E" w:rsidRPr="00607BDE" w:rsidRDefault="00A77B3E">
            <w:pPr>
              <w:spacing w:before="100"/>
              <w:rPr>
                <w:color w:val="000000"/>
                <w:sz w:val="0"/>
                <w:lang w:val="en-GB"/>
              </w:rPr>
            </w:pPr>
          </w:p>
          <w:p w14:paraId="24EC365E" w14:textId="77777777" w:rsidR="00A77B3E" w:rsidRPr="00607BDE" w:rsidRDefault="00C401B9">
            <w:pPr>
              <w:spacing w:before="100"/>
              <w:rPr>
                <w:color w:val="000000"/>
                <w:lang w:val="en-GB"/>
              </w:rPr>
            </w:pPr>
            <w:r w:rsidRPr="00607BDE">
              <w:rPr>
                <w:color w:val="000000"/>
                <w:lang w:val="en-GB"/>
              </w:rPr>
              <w:t>It is expected to use the entire allocation available under BMVI for the work relating to the preparation, management, monitoring, assessment and control of the BMVI. The Technical Assistance funds will be spent in the following types of intervention:</w:t>
            </w:r>
          </w:p>
          <w:p w14:paraId="14EE6FA5" w14:textId="77777777" w:rsidR="00A77B3E" w:rsidRPr="00607BDE" w:rsidRDefault="00A77B3E">
            <w:pPr>
              <w:spacing w:before="100"/>
              <w:rPr>
                <w:color w:val="000000"/>
                <w:lang w:val="en-GB"/>
              </w:rPr>
            </w:pPr>
          </w:p>
          <w:p w14:paraId="1A3DC8F6" w14:textId="77777777" w:rsidR="00A77B3E" w:rsidRPr="00607BDE" w:rsidRDefault="00C401B9">
            <w:pPr>
              <w:numPr>
                <w:ilvl w:val="0"/>
                <w:numId w:val="19"/>
              </w:numPr>
              <w:spacing w:before="100"/>
              <w:rPr>
                <w:color w:val="000000"/>
                <w:lang w:val="en-GB"/>
              </w:rPr>
            </w:pPr>
            <w:r w:rsidRPr="00607BDE">
              <w:rPr>
                <w:color w:val="000000"/>
                <w:lang w:val="en-GB"/>
              </w:rPr>
              <w:t xml:space="preserve">Preparation, implementation, management, monitoring and control of the fund as well as financial flows and payments, including financing of personnel salaries, administrative costs of units, costs of project monitoring and control, participation in foreign trips and meetings, organisation of training for the programme beneficiaries and partners; legal analyses; </w:t>
            </w:r>
          </w:p>
          <w:p w14:paraId="4F534BCD" w14:textId="77777777" w:rsidR="00A77B3E" w:rsidRPr="00607BDE" w:rsidRDefault="00C401B9">
            <w:pPr>
              <w:numPr>
                <w:ilvl w:val="0"/>
                <w:numId w:val="19"/>
              </w:numPr>
              <w:spacing w:before="100"/>
              <w:rPr>
                <w:color w:val="000000"/>
                <w:lang w:val="en-GB"/>
              </w:rPr>
            </w:pPr>
            <w:r w:rsidRPr="00607BDE">
              <w:rPr>
                <w:color w:val="000000"/>
                <w:lang w:val="en-GB"/>
              </w:rPr>
              <w:t>Information and communication, including financing of the production of information brochures and posters, promotion materials and maintenance of the website;</w:t>
            </w:r>
          </w:p>
          <w:p w14:paraId="498FC76C" w14:textId="77777777" w:rsidR="00A77B3E" w:rsidRPr="00607BDE" w:rsidRDefault="00C401B9">
            <w:pPr>
              <w:numPr>
                <w:ilvl w:val="0"/>
                <w:numId w:val="19"/>
              </w:numPr>
              <w:spacing w:before="100"/>
              <w:rPr>
                <w:color w:val="000000"/>
                <w:lang w:val="en-GB"/>
              </w:rPr>
            </w:pPr>
            <w:r w:rsidRPr="00607BDE">
              <w:rPr>
                <w:color w:val="000000"/>
                <w:lang w:val="en-GB"/>
              </w:rPr>
              <w:t>Evaluation and studies, data collection, including evaluation of the programme, updates and development of the database;</w:t>
            </w:r>
          </w:p>
          <w:p w14:paraId="2BE24CCF" w14:textId="77777777" w:rsidR="00A77B3E" w:rsidRPr="00607BDE" w:rsidRDefault="00C401B9">
            <w:pPr>
              <w:numPr>
                <w:ilvl w:val="0"/>
                <w:numId w:val="19"/>
              </w:numPr>
              <w:spacing w:before="100"/>
              <w:rPr>
                <w:color w:val="000000"/>
                <w:lang w:val="en-GB"/>
              </w:rPr>
            </w:pPr>
            <w:r w:rsidRPr="00607BDE">
              <w:rPr>
                <w:color w:val="000000"/>
                <w:lang w:val="en-GB"/>
              </w:rPr>
              <w:t>Capacity building through inter alia increasing professional qualifications of the personnel, participation in training and courses;</w:t>
            </w:r>
          </w:p>
          <w:p w14:paraId="23A95B1F" w14:textId="77777777" w:rsidR="00A77B3E" w:rsidRPr="00607BDE" w:rsidRDefault="00C401B9">
            <w:pPr>
              <w:numPr>
                <w:ilvl w:val="0"/>
                <w:numId w:val="19"/>
              </w:numPr>
              <w:spacing w:before="100"/>
              <w:rPr>
                <w:color w:val="000000"/>
                <w:lang w:val="en-GB"/>
              </w:rPr>
            </w:pPr>
            <w:r w:rsidRPr="00607BDE">
              <w:rPr>
                <w:color w:val="000000"/>
                <w:lang w:val="en-GB"/>
              </w:rPr>
              <w:t>Organisation of training/meetings for Applicants/Beneficiaries;</w:t>
            </w:r>
          </w:p>
          <w:p w14:paraId="33197766" w14:textId="1558E817" w:rsidR="00A77B3E" w:rsidRPr="00607BDE" w:rsidRDefault="00C401B9">
            <w:pPr>
              <w:numPr>
                <w:ilvl w:val="0"/>
                <w:numId w:val="19"/>
              </w:numPr>
              <w:spacing w:before="100"/>
              <w:rPr>
                <w:color w:val="000000"/>
                <w:lang w:val="en-GB"/>
              </w:rPr>
            </w:pPr>
            <w:r w:rsidRPr="00607BDE">
              <w:rPr>
                <w:color w:val="000000"/>
                <w:lang w:val="en-GB"/>
              </w:rPr>
              <w:t xml:space="preserve">Material support, including office appliances, office supplies and </w:t>
            </w:r>
            <w:r w:rsidR="00312668">
              <w:rPr>
                <w:color w:val="000000"/>
                <w:lang w:val="en-GB"/>
              </w:rPr>
              <w:t>teaching aids</w:t>
            </w:r>
            <w:r w:rsidRPr="00607BDE">
              <w:rPr>
                <w:color w:val="000000"/>
                <w:lang w:val="en-GB"/>
              </w:rPr>
              <w:t>.</w:t>
            </w:r>
          </w:p>
          <w:p w14:paraId="7306544D" w14:textId="77777777" w:rsidR="00A77B3E" w:rsidRPr="00607BDE" w:rsidRDefault="00A77B3E">
            <w:pPr>
              <w:spacing w:before="100"/>
              <w:rPr>
                <w:color w:val="000000"/>
                <w:lang w:val="en-GB"/>
              </w:rPr>
            </w:pPr>
          </w:p>
        </w:tc>
      </w:tr>
    </w:tbl>
    <w:p w14:paraId="3CCC64D2" w14:textId="77777777" w:rsidR="00A77B3E" w:rsidRPr="00607BDE" w:rsidRDefault="00A77B3E">
      <w:pPr>
        <w:spacing w:before="100"/>
        <w:rPr>
          <w:color w:val="000000"/>
          <w:lang w:val="en-GB"/>
        </w:rPr>
        <w:sectPr w:rsidR="00A77B3E" w:rsidRPr="00607BDE">
          <w:headerReference w:type="even" r:id="rId39"/>
          <w:headerReference w:type="default" r:id="rId40"/>
          <w:footerReference w:type="even" r:id="rId41"/>
          <w:footerReference w:type="default" r:id="rId42"/>
          <w:headerReference w:type="first" r:id="rId43"/>
          <w:footerReference w:type="first" r:id="rId44"/>
          <w:pgSz w:w="11906" w:h="16838"/>
          <w:pgMar w:top="720" w:right="936" w:bottom="864" w:left="720" w:header="0" w:footer="72" w:gutter="0"/>
          <w:cols w:space="720"/>
          <w:noEndnote/>
          <w:docGrid w:linePitch="360"/>
        </w:sectPr>
      </w:pPr>
    </w:p>
    <w:p w14:paraId="08449EDD" w14:textId="77777777" w:rsidR="00A77B3E" w:rsidRPr="00607BDE" w:rsidRDefault="00C401B9">
      <w:pPr>
        <w:spacing w:before="100"/>
        <w:rPr>
          <w:color w:val="000000"/>
          <w:sz w:val="0"/>
          <w:lang w:val="en-GB"/>
        </w:rPr>
      </w:pPr>
      <w:r w:rsidRPr="00607BDE">
        <w:rPr>
          <w:color w:val="000000"/>
          <w:lang w:val="en-GB"/>
        </w:rPr>
        <w:t>2.2. Technical assistance: TA.36(5). Technical assistance – flat rate (Article 36(5) of the Common Provisions Regulation)</w:t>
      </w:r>
    </w:p>
    <w:p w14:paraId="4B8F3E34" w14:textId="77777777" w:rsidR="00A77B3E" w:rsidRPr="00607BDE" w:rsidRDefault="00C401B9">
      <w:pPr>
        <w:pStyle w:val="Nagwek3"/>
        <w:spacing w:before="100" w:after="0"/>
        <w:rPr>
          <w:rFonts w:ascii="Times New Roman" w:hAnsi="Times New Roman" w:cs="Times New Roman"/>
          <w:b w:val="0"/>
          <w:color w:val="000000"/>
          <w:sz w:val="24"/>
          <w:lang w:val="en-GB"/>
        </w:rPr>
      </w:pPr>
      <w:bookmarkStart w:id="20" w:name="_Toc128975991"/>
      <w:r w:rsidRPr="00607BDE">
        <w:rPr>
          <w:rFonts w:ascii="Times New Roman" w:hAnsi="Times New Roman" w:cs="Times New Roman"/>
          <w:b w:val="0"/>
          <w:color w:val="000000"/>
          <w:sz w:val="24"/>
          <w:lang w:val="en-GB"/>
        </w:rPr>
        <w:t>2.2.2. Indicative breakdown of technical assistance under Article 37 of the Common Provisions Regulation</w:t>
      </w:r>
      <w:bookmarkEnd w:id="20"/>
    </w:p>
    <w:p w14:paraId="51523A64" w14:textId="77777777" w:rsidR="00A77B3E" w:rsidRPr="00607BDE" w:rsidRDefault="00C401B9">
      <w:pPr>
        <w:pStyle w:val="Nagwek4"/>
        <w:spacing w:before="100" w:after="0"/>
        <w:rPr>
          <w:b w:val="0"/>
          <w:color w:val="000000"/>
          <w:sz w:val="24"/>
          <w:lang w:val="en-GB"/>
        </w:rPr>
      </w:pPr>
      <w:bookmarkStart w:id="21" w:name="_Toc128975992"/>
      <w:r w:rsidRPr="00607BDE">
        <w:rPr>
          <w:b w:val="0"/>
          <w:color w:val="000000"/>
          <w:sz w:val="24"/>
          <w:lang w:val="en-GB"/>
        </w:rPr>
        <w:t>Table 4: Indicative breakdown</w:t>
      </w:r>
      <w:bookmarkEnd w:id="21"/>
    </w:p>
    <w:p w14:paraId="5A96DE93"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5450"/>
        <w:gridCol w:w="2740"/>
      </w:tblGrid>
      <w:tr w:rsidR="00AC7127" w:rsidRPr="00607BDE" w14:paraId="1F657793"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59BD8" w14:textId="77777777" w:rsidR="00A77B3E" w:rsidRPr="00607BDE" w:rsidRDefault="00C401B9">
            <w:pPr>
              <w:spacing w:before="100"/>
              <w:rPr>
                <w:color w:val="000000"/>
                <w:sz w:val="20"/>
                <w:lang w:val="en-GB"/>
              </w:rPr>
            </w:pPr>
            <w:r w:rsidRPr="00607BDE">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98A3A1" w14:textId="77777777" w:rsidR="00A77B3E" w:rsidRPr="00607BDE" w:rsidRDefault="00C401B9">
            <w:pPr>
              <w:spacing w:before="100"/>
              <w:rPr>
                <w:color w:val="000000"/>
                <w:sz w:val="20"/>
                <w:lang w:val="en-GB"/>
              </w:rPr>
            </w:pPr>
            <w:r w:rsidRPr="00607BDE">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CA427D" w14:textId="77777777" w:rsidR="00A77B3E" w:rsidRPr="00607BDE" w:rsidRDefault="00C401B9">
            <w:pPr>
              <w:spacing w:before="100"/>
              <w:jc w:val="right"/>
              <w:rPr>
                <w:color w:val="000000"/>
                <w:sz w:val="20"/>
                <w:lang w:val="en-GB"/>
              </w:rPr>
            </w:pPr>
            <w:r w:rsidRPr="00607BDE">
              <w:rPr>
                <w:color w:val="000000"/>
                <w:sz w:val="20"/>
                <w:lang w:val="en-GB"/>
              </w:rPr>
              <w:t>Indicative amount (in EUR)</w:t>
            </w:r>
          </w:p>
        </w:tc>
      </w:tr>
      <w:tr w:rsidR="00AC7127" w:rsidRPr="00607BDE" w14:paraId="7857295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904CB"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990AC" w14:textId="77777777" w:rsidR="00A77B3E" w:rsidRPr="00607BDE" w:rsidRDefault="00C401B9">
            <w:pPr>
              <w:spacing w:before="100"/>
              <w:rPr>
                <w:color w:val="000000"/>
                <w:sz w:val="20"/>
                <w:lang w:val="en-GB"/>
              </w:rPr>
            </w:pPr>
            <w:r w:rsidRPr="00607BDE">
              <w:rPr>
                <w:color w:val="000000"/>
                <w:sz w:val="20"/>
                <w:lang w:val="en-GB"/>
              </w:rPr>
              <w:t>001.Information and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007C7" w14:textId="77777777" w:rsidR="00A77B3E" w:rsidRPr="00607BDE" w:rsidRDefault="00C401B9">
            <w:pPr>
              <w:spacing w:before="100"/>
              <w:jc w:val="right"/>
              <w:rPr>
                <w:color w:val="000000"/>
                <w:sz w:val="20"/>
                <w:lang w:val="en-GB"/>
              </w:rPr>
            </w:pPr>
            <w:r w:rsidRPr="00607BDE">
              <w:rPr>
                <w:color w:val="000000"/>
                <w:sz w:val="20"/>
                <w:lang w:val="en-GB"/>
              </w:rPr>
              <w:t>807,000.49</w:t>
            </w:r>
          </w:p>
        </w:tc>
      </w:tr>
      <w:tr w:rsidR="00AC7127" w:rsidRPr="00607BDE" w14:paraId="34E9075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D9FCD2"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4D4D6" w14:textId="77777777" w:rsidR="00A77B3E" w:rsidRPr="00607BDE" w:rsidRDefault="00C401B9">
            <w:pPr>
              <w:spacing w:before="100"/>
              <w:rPr>
                <w:color w:val="000000"/>
                <w:sz w:val="20"/>
                <w:lang w:val="en-GB"/>
              </w:rPr>
            </w:pPr>
            <w:r w:rsidRPr="00607BDE">
              <w:rPr>
                <w:color w:val="000000"/>
                <w:sz w:val="20"/>
                <w:lang w:val="en-GB"/>
              </w:rPr>
              <w:t>002.Preparation, implementation, monitoring and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5F9B1" w14:textId="77777777" w:rsidR="00A77B3E" w:rsidRPr="00607BDE" w:rsidRDefault="00C401B9">
            <w:pPr>
              <w:spacing w:before="100"/>
              <w:jc w:val="right"/>
              <w:rPr>
                <w:color w:val="000000"/>
                <w:sz w:val="20"/>
                <w:lang w:val="en-GB"/>
              </w:rPr>
            </w:pPr>
            <w:r w:rsidRPr="00607BDE">
              <w:rPr>
                <w:color w:val="000000"/>
                <w:sz w:val="20"/>
                <w:lang w:val="en-GB"/>
              </w:rPr>
              <w:t>7,773,948.00</w:t>
            </w:r>
          </w:p>
        </w:tc>
      </w:tr>
      <w:tr w:rsidR="00AC7127" w:rsidRPr="00607BDE" w14:paraId="72EBC68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CB812D"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77CC2" w14:textId="77777777" w:rsidR="00A77B3E" w:rsidRPr="00607BDE" w:rsidRDefault="00C401B9">
            <w:pPr>
              <w:spacing w:before="100"/>
              <w:rPr>
                <w:color w:val="000000"/>
                <w:sz w:val="20"/>
                <w:lang w:val="en-GB"/>
              </w:rPr>
            </w:pPr>
            <w:r w:rsidRPr="00607BDE">
              <w:rPr>
                <w:color w:val="000000"/>
                <w:sz w:val="20"/>
                <w:lang w:val="en-GB"/>
              </w:rPr>
              <w:t>003.Evaluation and studies, data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9D70C" w14:textId="77777777" w:rsidR="00A77B3E" w:rsidRPr="00607BDE" w:rsidRDefault="00C401B9">
            <w:pPr>
              <w:spacing w:before="100"/>
              <w:jc w:val="right"/>
              <w:rPr>
                <w:color w:val="000000"/>
                <w:sz w:val="20"/>
                <w:lang w:val="en-GB"/>
              </w:rPr>
            </w:pPr>
            <w:r w:rsidRPr="00607BDE">
              <w:rPr>
                <w:color w:val="000000"/>
                <w:sz w:val="20"/>
                <w:lang w:val="en-GB"/>
              </w:rPr>
              <w:t>304,000.00</w:t>
            </w:r>
          </w:p>
        </w:tc>
      </w:tr>
      <w:tr w:rsidR="00AC7127" w:rsidRPr="00607BDE" w14:paraId="1A4AB36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2BAA04" w14:textId="77777777" w:rsidR="00A77B3E" w:rsidRPr="00607BDE" w:rsidRDefault="00C401B9">
            <w:pPr>
              <w:spacing w:before="100"/>
              <w:rPr>
                <w:color w:val="000000"/>
                <w:sz w:val="20"/>
                <w:lang w:val="en-GB"/>
              </w:rPr>
            </w:pPr>
            <w:r w:rsidRPr="00607BDE">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26433A" w14:textId="77777777" w:rsidR="00A77B3E" w:rsidRPr="00607BDE" w:rsidRDefault="00C401B9">
            <w:pPr>
              <w:spacing w:before="100"/>
              <w:rPr>
                <w:color w:val="000000"/>
                <w:sz w:val="20"/>
                <w:lang w:val="en-GB"/>
              </w:rPr>
            </w:pPr>
            <w:r w:rsidRPr="00607BDE">
              <w:rPr>
                <w:color w:val="000000"/>
                <w:sz w:val="20"/>
                <w:lang w:val="en-GB"/>
              </w:rPr>
              <w:t>004.Capacity building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DF7DD" w14:textId="77777777" w:rsidR="00A77B3E" w:rsidRPr="00607BDE" w:rsidRDefault="00C401B9">
            <w:pPr>
              <w:spacing w:before="100"/>
              <w:jc w:val="right"/>
              <w:rPr>
                <w:color w:val="000000"/>
                <w:sz w:val="20"/>
                <w:lang w:val="en-GB"/>
              </w:rPr>
            </w:pPr>
            <w:r w:rsidRPr="00607BDE">
              <w:rPr>
                <w:color w:val="000000"/>
                <w:sz w:val="20"/>
                <w:lang w:val="en-GB"/>
              </w:rPr>
              <w:t>311,664.32</w:t>
            </w:r>
          </w:p>
        </w:tc>
      </w:tr>
    </w:tbl>
    <w:p w14:paraId="3ED223C8" w14:textId="77777777" w:rsidR="00A77B3E" w:rsidRPr="00607BDE" w:rsidRDefault="00A77B3E">
      <w:pPr>
        <w:spacing w:before="100"/>
        <w:rPr>
          <w:color w:val="000000"/>
          <w:sz w:val="20"/>
          <w:lang w:val="en-GB"/>
        </w:rPr>
        <w:sectPr w:rsidR="00A77B3E" w:rsidRPr="00607BDE">
          <w:pgSz w:w="11906" w:h="16838"/>
          <w:pgMar w:top="720" w:right="936" w:bottom="864" w:left="720" w:header="0" w:footer="72" w:gutter="0"/>
          <w:cols w:space="720"/>
          <w:noEndnote/>
          <w:docGrid w:linePitch="360"/>
        </w:sectPr>
      </w:pPr>
    </w:p>
    <w:p w14:paraId="1EB37890" w14:textId="77777777" w:rsidR="00A77B3E" w:rsidRPr="00607BDE" w:rsidRDefault="00C401B9">
      <w:pPr>
        <w:pStyle w:val="Nagwek1"/>
        <w:spacing w:before="100" w:after="0"/>
        <w:rPr>
          <w:rFonts w:ascii="Times New Roman" w:hAnsi="Times New Roman" w:cs="Times New Roman"/>
          <w:b w:val="0"/>
          <w:color w:val="000000"/>
          <w:sz w:val="24"/>
          <w:lang w:val="en-GB"/>
        </w:rPr>
      </w:pPr>
      <w:bookmarkStart w:id="22" w:name="_Toc128975993"/>
      <w:r w:rsidRPr="00607BDE">
        <w:rPr>
          <w:rFonts w:ascii="Times New Roman" w:hAnsi="Times New Roman" w:cs="Times New Roman"/>
          <w:b w:val="0"/>
          <w:color w:val="000000"/>
          <w:sz w:val="24"/>
          <w:lang w:val="en-GB"/>
        </w:rPr>
        <w:t>3. Financing plan</w:t>
      </w:r>
      <w:bookmarkEnd w:id="22"/>
    </w:p>
    <w:p w14:paraId="6624FC09" w14:textId="77777777" w:rsidR="00A77B3E" w:rsidRPr="00607BDE" w:rsidRDefault="00C401B9">
      <w:pPr>
        <w:spacing w:before="100"/>
        <w:rPr>
          <w:color w:val="000000"/>
          <w:sz w:val="12"/>
          <w:lang w:val="en-GB"/>
        </w:rPr>
      </w:pPr>
      <w:r w:rsidRPr="00607BDE">
        <w:rPr>
          <w:color w:val="000000"/>
          <w:lang w:val="en-GB"/>
        </w:rPr>
        <w:t>Reference: Article 22(3)(g) of the Common Provisions Regulation</w:t>
      </w:r>
    </w:p>
    <w:p w14:paraId="33E5C94D"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23" w:name="_Toc128975994"/>
      <w:r w:rsidRPr="00607BDE">
        <w:rPr>
          <w:rFonts w:ascii="Times New Roman" w:hAnsi="Times New Roman" w:cs="Times New Roman"/>
          <w:b w:val="0"/>
          <w:i w:val="0"/>
          <w:color w:val="000000"/>
          <w:sz w:val="24"/>
          <w:lang w:val="en-GB"/>
        </w:rPr>
        <w:t>3.1. Financial allocations by year</w:t>
      </w:r>
      <w:bookmarkEnd w:id="23"/>
    </w:p>
    <w:p w14:paraId="11685542" w14:textId="77777777" w:rsidR="00A77B3E" w:rsidRPr="00607BDE" w:rsidRDefault="00C401B9">
      <w:pPr>
        <w:pStyle w:val="Nagwek4"/>
        <w:spacing w:before="100" w:after="0"/>
        <w:rPr>
          <w:b w:val="0"/>
          <w:color w:val="000000"/>
          <w:sz w:val="24"/>
          <w:lang w:val="en-GB"/>
        </w:rPr>
      </w:pPr>
      <w:bookmarkStart w:id="24" w:name="_Toc128975995"/>
      <w:r w:rsidRPr="00607BDE">
        <w:rPr>
          <w:b w:val="0"/>
          <w:color w:val="000000"/>
          <w:sz w:val="24"/>
          <w:lang w:val="en-GB"/>
        </w:rPr>
        <w:t>Table 5: Financial allocations by year</w:t>
      </w:r>
      <w:bookmarkEnd w:id="24"/>
    </w:p>
    <w:p w14:paraId="6A9B86FC" w14:textId="77777777" w:rsidR="00A77B3E" w:rsidRPr="00607BDE" w:rsidRDefault="00A77B3E">
      <w:pPr>
        <w:spacing w:before="100"/>
        <w:rPr>
          <w:color w:val="000000"/>
          <w:sz w:val="12"/>
          <w:lang w:val="en-GB"/>
        </w:rPr>
      </w:pPr>
    </w:p>
    <w:p w14:paraId="6B9672B9" w14:textId="77777777" w:rsidR="00A77B3E" w:rsidRPr="00607BDE" w:rsidRDefault="00A77B3E">
      <w:pPr>
        <w:spacing w:before="100"/>
        <w:rPr>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15"/>
        <w:gridCol w:w="1456"/>
        <w:gridCol w:w="1456"/>
        <w:gridCol w:w="1456"/>
        <w:gridCol w:w="1456"/>
        <w:gridCol w:w="1456"/>
        <w:gridCol w:w="1456"/>
        <w:gridCol w:w="1568"/>
      </w:tblGrid>
      <w:tr w:rsidR="00AC7127" w:rsidRPr="00607BDE" w14:paraId="2B499D7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BC02BF" w14:textId="77777777" w:rsidR="00A77B3E" w:rsidRPr="00607BDE" w:rsidRDefault="00C401B9">
            <w:pPr>
              <w:spacing w:before="100"/>
              <w:jc w:val="center"/>
              <w:rPr>
                <w:color w:val="000000"/>
                <w:sz w:val="16"/>
                <w:lang w:val="en-GB"/>
              </w:rPr>
            </w:pPr>
            <w:r w:rsidRPr="00607BDE">
              <w:rPr>
                <w:color w:val="000000"/>
                <w:sz w:val="16"/>
                <w:lang w:val="en-GB"/>
              </w:rPr>
              <w:t>Type of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C1FD48" w14:textId="77777777" w:rsidR="00A77B3E" w:rsidRPr="00607BDE" w:rsidRDefault="00C401B9">
            <w:pPr>
              <w:spacing w:before="100"/>
              <w:jc w:val="center"/>
              <w:rPr>
                <w:color w:val="000000"/>
                <w:sz w:val="16"/>
                <w:lang w:val="en-GB"/>
              </w:rPr>
            </w:pPr>
            <w:r w:rsidRPr="00607BDE">
              <w:rPr>
                <w:color w:val="000000"/>
                <w:sz w:val="16"/>
                <w:lang w:val="en-GB"/>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1E66DB" w14:textId="77777777" w:rsidR="00A77B3E" w:rsidRPr="00607BDE" w:rsidRDefault="00C401B9">
            <w:pPr>
              <w:spacing w:before="100"/>
              <w:jc w:val="center"/>
              <w:rPr>
                <w:color w:val="000000"/>
                <w:sz w:val="16"/>
                <w:lang w:val="en-GB"/>
              </w:rPr>
            </w:pPr>
            <w:r w:rsidRPr="00607BDE">
              <w:rPr>
                <w:color w:val="000000"/>
                <w:sz w:val="16"/>
                <w:lang w:val="en-GB"/>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5CC622" w14:textId="77777777" w:rsidR="00A77B3E" w:rsidRPr="00607BDE" w:rsidRDefault="00C401B9">
            <w:pPr>
              <w:spacing w:before="100"/>
              <w:jc w:val="center"/>
              <w:rPr>
                <w:color w:val="000000"/>
                <w:sz w:val="16"/>
                <w:lang w:val="en-GB"/>
              </w:rPr>
            </w:pPr>
            <w:r w:rsidRPr="00607BDE">
              <w:rPr>
                <w:color w:val="000000"/>
                <w:sz w:val="16"/>
                <w:lang w:val="en-GB"/>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29F9BE" w14:textId="77777777" w:rsidR="00A77B3E" w:rsidRPr="00607BDE" w:rsidRDefault="00C401B9">
            <w:pPr>
              <w:spacing w:before="100"/>
              <w:jc w:val="center"/>
              <w:rPr>
                <w:color w:val="000000"/>
                <w:sz w:val="16"/>
                <w:lang w:val="en-GB"/>
              </w:rPr>
            </w:pPr>
            <w:r w:rsidRPr="00607BDE">
              <w:rPr>
                <w:color w:val="000000"/>
                <w:sz w:val="16"/>
                <w:lang w:val="en-GB"/>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5EBD5F" w14:textId="77777777" w:rsidR="00A77B3E" w:rsidRPr="00607BDE" w:rsidRDefault="00C401B9">
            <w:pPr>
              <w:spacing w:before="100"/>
              <w:jc w:val="center"/>
              <w:rPr>
                <w:color w:val="000000"/>
                <w:sz w:val="16"/>
                <w:lang w:val="en-GB"/>
              </w:rPr>
            </w:pPr>
            <w:r w:rsidRPr="00607BDE">
              <w:rPr>
                <w:color w:val="000000"/>
                <w:sz w:val="16"/>
                <w:lang w:val="en-GB"/>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93CD10" w14:textId="77777777" w:rsidR="00A77B3E" w:rsidRPr="00607BDE" w:rsidRDefault="00C401B9">
            <w:pPr>
              <w:spacing w:before="100"/>
              <w:jc w:val="center"/>
              <w:rPr>
                <w:color w:val="000000"/>
                <w:sz w:val="16"/>
                <w:lang w:val="en-GB"/>
              </w:rPr>
            </w:pPr>
            <w:r w:rsidRPr="00607BDE">
              <w:rPr>
                <w:color w:val="000000"/>
                <w:sz w:val="16"/>
                <w:lang w:val="en-GB"/>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2EB9B4" w14:textId="77777777" w:rsidR="00A77B3E" w:rsidRPr="00607BDE" w:rsidRDefault="00C401B9">
            <w:pPr>
              <w:spacing w:before="100"/>
              <w:jc w:val="center"/>
              <w:rPr>
                <w:color w:val="000000"/>
                <w:sz w:val="16"/>
                <w:lang w:val="en-GB"/>
              </w:rPr>
            </w:pPr>
            <w:r w:rsidRPr="00607BDE">
              <w:rPr>
                <w:color w:val="000000"/>
                <w:sz w:val="16"/>
                <w:lang w:val="en-GB"/>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96EE88" w14:textId="77777777" w:rsidR="00A77B3E" w:rsidRPr="00607BDE" w:rsidRDefault="00C401B9">
            <w:pPr>
              <w:spacing w:before="100"/>
              <w:jc w:val="center"/>
              <w:rPr>
                <w:color w:val="000000"/>
                <w:sz w:val="16"/>
                <w:lang w:val="en-GB"/>
              </w:rPr>
            </w:pPr>
            <w:r w:rsidRPr="00607BDE">
              <w:rPr>
                <w:color w:val="000000"/>
                <w:sz w:val="16"/>
                <w:lang w:val="en-GB"/>
              </w:rPr>
              <w:t>Total</w:t>
            </w:r>
          </w:p>
        </w:tc>
      </w:tr>
      <w:tr w:rsidR="00AC7127" w:rsidRPr="00607BDE" w14:paraId="77D48FA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AB1B3" w14:textId="77777777" w:rsidR="00A77B3E" w:rsidRPr="00607BDE" w:rsidRDefault="00C401B9">
            <w:pPr>
              <w:spacing w:before="100"/>
              <w:rPr>
                <w:color w:val="000000"/>
                <w:sz w:val="16"/>
                <w:lang w:val="en-GB"/>
              </w:rPr>
            </w:pPr>
            <w:r w:rsidRPr="00607BDE">
              <w:rPr>
                <w:color w:val="000000"/>
                <w:sz w:val="16"/>
                <w:lang w:val="en-GB"/>
              </w:rPr>
              <w:t>Initial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F00733"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1344C" w14:textId="77777777" w:rsidR="00A77B3E" w:rsidRPr="00607BDE" w:rsidRDefault="00C401B9">
            <w:pPr>
              <w:spacing w:before="100"/>
              <w:jc w:val="right"/>
              <w:rPr>
                <w:color w:val="000000"/>
                <w:sz w:val="16"/>
                <w:lang w:val="en-GB"/>
              </w:rPr>
            </w:pPr>
            <w:r w:rsidRPr="00607BDE">
              <w:rPr>
                <w:color w:val="000000"/>
                <w:sz w:val="16"/>
                <w:lang w:val="en-GB"/>
              </w:rPr>
              <w:t>14,617,232.00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5042B7" w14:textId="77777777" w:rsidR="00A77B3E" w:rsidRPr="00607BDE" w:rsidRDefault="00C401B9">
            <w:pPr>
              <w:spacing w:before="100"/>
              <w:jc w:val="right"/>
              <w:rPr>
                <w:color w:val="000000"/>
                <w:sz w:val="16"/>
                <w:lang w:val="en-GB"/>
              </w:rPr>
            </w:pPr>
            <w:r w:rsidRPr="00607BDE">
              <w:rPr>
                <w:color w:val="000000"/>
                <w:sz w:val="16"/>
                <w:lang w:val="en-GB"/>
              </w:rPr>
              <w:t>17,760,051.00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1C5107" w14:textId="77777777" w:rsidR="00A77B3E" w:rsidRPr="00607BDE" w:rsidRDefault="00C401B9">
            <w:pPr>
              <w:spacing w:before="100"/>
              <w:jc w:val="right"/>
              <w:rPr>
                <w:color w:val="000000"/>
                <w:sz w:val="16"/>
                <w:lang w:val="en-GB"/>
              </w:rPr>
            </w:pPr>
            <w:r w:rsidRPr="00607BDE">
              <w:rPr>
                <w:color w:val="000000"/>
                <w:sz w:val="16"/>
                <w:lang w:val="en-GB"/>
              </w:rPr>
              <w:t>19,154,538.00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5D5EC6" w14:textId="77777777" w:rsidR="00A77B3E" w:rsidRPr="00607BDE" w:rsidRDefault="00C401B9">
            <w:pPr>
              <w:spacing w:before="100"/>
              <w:jc w:val="right"/>
              <w:rPr>
                <w:color w:val="000000"/>
                <w:sz w:val="16"/>
                <w:lang w:val="en-GB"/>
              </w:rPr>
            </w:pPr>
            <w:r w:rsidRPr="00607BDE">
              <w:rPr>
                <w:color w:val="000000"/>
                <w:sz w:val="16"/>
                <w:lang w:val="en-GB"/>
              </w:rPr>
              <w:t>14,831,120.00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09949D" w14:textId="77777777" w:rsidR="00A77B3E" w:rsidRPr="00607BDE" w:rsidRDefault="00C401B9">
            <w:pPr>
              <w:spacing w:before="100"/>
              <w:jc w:val="right"/>
              <w:rPr>
                <w:color w:val="000000"/>
                <w:sz w:val="16"/>
                <w:lang w:val="en-GB"/>
              </w:rPr>
            </w:pPr>
            <w:r w:rsidRPr="00607BDE">
              <w:rPr>
                <w:color w:val="000000"/>
                <w:sz w:val="16"/>
                <w:lang w:val="en-GB"/>
              </w:rPr>
              <w:t>12,276,593.00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73E33" w14:textId="77777777" w:rsidR="00A77B3E" w:rsidRPr="00607BDE" w:rsidRDefault="00C401B9">
            <w:pPr>
              <w:spacing w:before="100"/>
              <w:jc w:val="right"/>
              <w:rPr>
                <w:color w:val="000000"/>
                <w:sz w:val="16"/>
                <w:lang w:val="en-GB"/>
              </w:rPr>
            </w:pPr>
            <w:r w:rsidRPr="00607BDE">
              <w:rPr>
                <w:color w:val="000000"/>
                <w:sz w:val="16"/>
                <w:lang w:val="en-GB"/>
              </w:rPr>
              <w:t>12,443,869.00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3A0B69" w14:textId="77777777" w:rsidR="00A77B3E" w:rsidRPr="00607BDE" w:rsidRDefault="00C401B9">
            <w:pPr>
              <w:spacing w:before="100"/>
              <w:jc w:val="right"/>
              <w:rPr>
                <w:color w:val="000000"/>
                <w:sz w:val="16"/>
                <w:lang w:val="en-GB"/>
              </w:rPr>
            </w:pPr>
            <w:r w:rsidRPr="00607BDE">
              <w:rPr>
                <w:color w:val="000000"/>
                <w:sz w:val="16"/>
                <w:lang w:val="en-GB"/>
              </w:rPr>
              <w:t>91,083,403.00</w:t>
            </w:r>
          </w:p>
        </w:tc>
      </w:tr>
      <w:tr w:rsidR="00AC7127" w:rsidRPr="00607BDE" w14:paraId="6765137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84267" w14:textId="77777777" w:rsidR="00A77B3E" w:rsidRPr="00607BDE" w:rsidRDefault="00C401B9">
            <w:pPr>
              <w:spacing w:before="100"/>
              <w:rPr>
                <w:color w:val="000000"/>
                <w:sz w:val="16"/>
                <w:lang w:val="en-GB"/>
              </w:rPr>
            </w:pPr>
            <w:r w:rsidRPr="00607BDE">
              <w:rPr>
                <w:color w:val="000000"/>
                <w:sz w:val="16"/>
                <w:lang w:val="en-GB"/>
              </w:rPr>
              <w:t>Mid-term review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383492"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5A5FE"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FE0320"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CAB43A"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0C121"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ADE157"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A6B9F"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EF8244" w14:textId="77777777" w:rsidR="00A77B3E" w:rsidRPr="00607BDE" w:rsidRDefault="00A77B3E">
            <w:pPr>
              <w:spacing w:before="100"/>
              <w:jc w:val="right"/>
              <w:rPr>
                <w:color w:val="000000"/>
                <w:sz w:val="16"/>
                <w:lang w:val="en-GB"/>
              </w:rPr>
            </w:pPr>
          </w:p>
        </w:tc>
      </w:tr>
      <w:tr w:rsidR="00AC7127" w:rsidRPr="00607BDE" w14:paraId="000531C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88EE1" w14:textId="77777777" w:rsidR="00A77B3E" w:rsidRPr="00607BDE" w:rsidRDefault="00C401B9">
            <w:pPr>
              <w:spacing w:before="100"/>
              <w:rPr>
                <w:color w:val="000000"/>
                <w:sz w:val="16"/>
                <w:lang w:val="en-GB"/>
              </w:rPr>
            </w:pPr>
            <w:r w:rsidRPr="00607BDE">
              <w:rPr>
                <w:color w:val="000000"/>
                <w:sz w:val="16"/>
                <w:lang w:val="en-GB"/>
              </w:rPr>
              <w:t>Work programme under Thematic Facility 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7E0E9F"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3F582" w14:textId="77777777" w:rsidR="00A77B3E" w:rsidRPr="00607BDE" w:rsidRDefault="00C401B9">
            <w:pPr>
              <w:spacing w:before="100"/>
              <w:jc w:val="right"/>
              <w:rPr>
                <w:color w:val="000000"/>
                <w:sz w:val="16"/>
                <w:lang w:val="en-GB"/>
              </w:rPr>
            </w:pPr>
            <w:r w:rsidRPr="00607BDE">
              <w:rPr>
                <w:color w:val="000000"/>
                <w:sz w:val="16"/>
                <w:lang w:val="en-GB"/>
              </w:rPr>
              <w:t>71,390,090.00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EE2690"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A2DD8"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CD6E8A"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169162"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D409C9"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882BCE" w14:textId="77777777" w:rsidR="00A77B3E" w:rsidRPr="00607BDE" w:rsidRDefault="00C401B9">
            <w:pPr>
              <w:spacing w:before="100"/>
              <w:jc w:val="right"/>
              <w:rPr>
                <w:color w:val="000000"/>
                <w:sz w:val="16"/>
                <w:lang w:val="en-GB"/>
              </w:rPr>
            </w:pPr>
            <w:r w:rsidRPr="00607BDE">
              <w:rPr>
                <w:color w:val="000000"/>
                <w:sz w:val="16"/>
                <w:lang w:val="en-GB"/>
              </w:rPr>
              <w:t>71,390,090.00</w:t>
            </w:r>
          </w:p>
        </w:tc>
      </w:tr>
      <w:tr w:rsidR="00AC7127" w:rsidRPr="00607BDE" w14:paraId="6DA1413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52DAF5" w14:textId="77777777" w:rsidR="00A77B3E" w:rsidRPr="00607BDE" w:rsidRDefault="00C401B9">
            <w:pPr>
              <w:spacing w:before="100"/>
              <w:rPr>
                <w:color w:val="000000"/>
                <w:sz w:val="16"/>
                <w:lang w:val="en-GB"/>
              </w:rPr>
            </w:pPr>
            <w:r w:rsidRPr="00607BDE">
              <w:rPr>
                <w:color w:val="000000"/>
                <w:sz w:val="16"/>
                <w:lang w:val="en-GB"/>
              </w:rPr>
              <w:t>Work programme under Thematic Facility 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A6D009"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87A13D"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41954D"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97347"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984F80"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E99C5"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E0438"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49050" w14:textId="77777777" w:rsidR="00A77B3E" w:rsidRPr="00607BDE" w:rsidRDefault="00A77B3E">
            <w:pPr>
              <w:spacing w:before="100"/>
              <w:jc w:val="right"/>
              <w:rPr>
                <w:color w:val="000000"/>
                <w:sz w:val="16"/>
                <w:lang w:val="en-GB"/>
              </w:rPr>
            </w:pPr>
          </w:p>
        </w:tc>
      </w:tr>
      <w:tr w:rsidR="00AC7127" w:rsidRPr="00607BDE" w14:paraId="01D9E04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4F3058" w14:textId="77777777" w:rsidR="00A77B3E" w:rsidRPr="00607BDE" w:rsidRDefault="00C401B9">
            <w:pPr>
              <w:spacing w:before="100"/>
              <w:rPr>
                <w:color w:val="000000"/>
                <w:sz w:val="16"/>
                <w:lang w:val="en-GB"/>
              </w:rPr>
            </w:pPr>
            <w:r w:rsidRPr="00607BDE">
              <w:rPr>
                <w:color w:val="000000"/>
                <w:sz w:val="16"/>
                <w:lang w:val="en-GB"/>
              </w:rPr>
              <w:t>Work programme under Thematic Facility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E92B0"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4E20F0"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525719"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E457F7"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0F5833"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B78295"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1950E4"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410E99" w14:textId="77777777" w:rsidR="00A77B3E" w:rsidRPr="00607BDE" w:rsidRDefault="00A77B3E">
            <w:pPr>
              <w:spacing w:before="100"/>
              <w:jc w:val="right"/>
              <w:rPr>
                <w:color w:val="000000"/>
                <w:sz w:val="16"/>
                <w:lang w:val="en-GB"/>
              </w:rPr>
            </w:pPr>
          </w:p>
        </w:tc>
      </w:tr>
      <w:tr w:rsidR="00AC7127" w:rsidRPr="00607BDE" w14:paraId="7450D62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D84FF" w14:textId="77777777" w:rsidR="00A77B3E" w:rsidRPr="00607BDE" w:rsidRDefault="00C401B9">
            <w:pPr>
              <w:spacing w:before="100"/>
              <w:rPr>
                <w:color w:val="000000"/>
                <w:sz w:val="16"/>
                <w:lang w:val="en-GB"/>
              </w:rPr>
            </w:pPr>
            <w:r w:rsidRPr="00607BDE">
              <w:rPr>
                <w:color w:val="000000"/>
                <w:sz w:val="16"/>
                <w:lang w:val="en-GB"/>
              </w:rPr>
              <w:t>Transfer (to a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3DA84"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C2ED6B"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1AF830"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B02CDD"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61BEA"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599CC6"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03DAE"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B2FAD" w14:textId="77777777" w:rsidR="00A77B3E" w:rsidRPr="00607BDE" w:rsidRDefault="00A77B3E">
            <w:pPr>
              <w:spacing w:before="100"/>
              <w:jc w:val="right"/>
              <w:rPr>
                <w:color w:val="000000"/>
                <w:sz w:val="16"/>
                <w:lang w:val="en-GB"/>
              </w:rPr>
            </w:pPr>
          </w:p>
        </w:tc>
      </w:tr>
      <w:tr w:rsidR="00AC7127" w:rsidRPr="00607BDE" w14:paraId="3D07B2D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34ECB0" w14:textId="77777777" w:rsidR="00A77B3E" w:rsidRPr="00607BDE" w:rsidRDefault="00C401B9">
            <w:pPr>
              <w:spacing w:before="100"/>
              <w:rPr>
                <w:color w:val="000000"/>
                <w:sz w:val="16"/>
                <w:lang w:val="en-GB"/>
              </w:rPr>
            </w:pPr>
            <w:r w:rsidRPr="00607BDE">
              <w:rPr>
                <w:color w:val="000000"/>
                <w:sz w:val="16"/>
                <w:lang w:val="en-GB"/>
              </w:rPr>
              <w:t>Transfer (from a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68F746"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32261"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AAB715"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E8449"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5AE53"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DD7CC4"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86A81"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AC802" w14:textId="77777777" w:rsidR="00A77B3E" w:rsidRPr="00607BDE" w:rsidRDefault="00A77B3E">
            <w:pPr>
              <w:spacing w:before="100"/>
              <w:jc w:val="right"/>
              <w:rPr>
                <w:color w:val="000000"/>
                <w:sz w:val="16"/>
                <w:lang w:val="en-GB"/>
              </w:rPr>
            </w:pPr>
          </w:p>
        </w:tc>
      </w:tr>
      <w:tr w:rsidR="00AC7127" w:rsidRPr="00607BDE" w14:paraId="2C2219D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64D232" w14:textId="77777777" w:rsidR="00A77B3E" w:rsidRPr="00607BDE" w:rsidRDefault="00C401B9">
            <w:pPr>
              <w:spacing w:before="100"/>
              <w:rPr>
                <w:color w:val="000000"/>
                <w:sz w:val="16"/>
                <w:lang w:val="en-GB"/>
              </w:rPr>
            </w:pPr>
            <w:r w:rsidRPr="00607BDE">
              <w:rPr>
                <w:color w:val="000000"/>
                <w:sz w:val="16"/>
                <w:lang w:val="en-GB"/>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E0BE2E"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ECA17B" w14:textId="77777777" w:rsidR="00A77B3E" w:rsidRPr="00607BDE" w:rsidRDefault="00C401B9">
            <w:pPr>
              <w:spacing w:before="100"/>
              <w:jc w:val="right"/>
              <w:rPr>
                <w:color w:val="000000"/>
                <w:sz w:val="16"/>
                <w:lang w:val="en-GB"/>
              </w:rPr>
            </w:pPr>
            <w:r w:rsidRPr="00607BDE">
              <w:rPr>
                <w:color w:val="000000"/>
                <w:sz w:val="16"/>
                <w:lang w:val="en-GB"/>
              </w:rPr>
              <w:t>86,007,322.00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FBE36C" w14:textId="77777777" w:rsidR="00A77B3E" w:rsidRPr="00607BDE" w:rsidRDefault="00C401B9">
            <w:pPr>
              <w:spacing w:before="100"/>
              <w:jc w:val="right"/>
              <w:rPr>
                <w:color w:val="000000"/>
                <w:sz w:val="16"/>
                <w:lang w:val="en-GB"/>
              </w:rPr>
            </w:pPr>
            <w:r w:rsidRPr="00607BDE">
              <w:rPr>
                <w:color w:val="000000"/>
                <w:sz w:val="16"/>
                <w:lang w:val="en-GB"/>
              </w:rPr>
              <w:t>17,760,051.00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5063C1" w14:textId="77777777" w:rsidR="00A77B3E" w:rsidRPr="00607BDE" w:rsidRDefault="00C401B9">
            <w:pPr>
              <w:spacing w:before="100"/>
              <w:jc w:val="right"/>
              <w:rPr>
                <w:color w:val="000000"/>
                <w:sz w:val="16"/>
                <w:lang w:val="en-GB"/>
              </w:rPr>
            </w:pPr>
            <w:r w:rsidRPr="00607BDE">
              <w:rPr>
                <w:color w:val="000000"/>
                <w:sz w:val="16"/>
                <w:lang w:val="en-GB"/>
              </w:rPr>
              <w:t>19,154,538.00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0F9B75" w14:textId="77777777" w:rsidR="00A77B3E" w:rsidRPr="00607BDE" w:rsidRDefault="00C401B9">
            <w:pPr>
              <w:spacing w:before="100"/>
              <w:jc w:val="right"/>
              <w:rPr>
                <w:color w:val="000000"/>
                <w:sz w:val="16"/>
                <w:lang w:val="en-GB"/>
              </w:rPr>
            </w:pPr>
            <w:r w:rsidRPr="00607BDE">
              <w:rPr>
                <w:color w:val="000000"/>
                <w:sz w:val="16"/>
                <w:lang w:val="en-GB"/>
              </w:rPr>
              <w:t>14,831,120.00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BC81F" w14:textId="77777777" w:rsidR="00A77B3E" w:rsidRPr="00607BDE" w:rsidRDefault="00C401B9">
            <w:pPr>
              <w:spacing w:before="100"/>
              <w:jc w:val="right"/>
              <w:rPr>
                <w:color w:val="000000"/>
                <w:sz w:val="16"/>
                <w:lang w:val="en-GB"/>
              </w:rPr>
            </w:pPr>
            <w:r w:rsidRPr="00607BDE">
              <w:rPr>
                <w:color w:val="000000"/>
                <w:sz w:val="16"/>
                <w:lang w:val="en-GB"/>
              </w:rPr>
              <w:t>12,276,593.00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C92766" w14:textId="77777777" w:rsidR="00A77B3E" w:rsidRPr="00607BDE" w:rsidRDefault="00C401B9">
            <w:pPr>
              <w:spacing w:before="100"/>
              <w:jc w:val="right"/>
              <w:rPr>
                <w:color w:val="000000"/>
                <w:sz w:val="16"/>
                <w:lang w:val="en-GB"/>
              </w:rPr>
            </w:pPr>
            <w:r w:rsidRPr="00607BDE">
              <w:rPr>
                <w:color w:val="000000"/>
                <w:sz w:val="16"/>
                <w:lang w:val="en-GB"/>
              </w:rPr>
              <w:t>12,443,869.00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F96199" w14:textId="77777777" w:rsidR="00A77B3E" w:rsidRPr="00607BDE" w:rsidRDefault="00C401B9">
            <w:pPr>
              <w:spacing w:before="100"/>
              <w:jc w:val="right"/>
              <w:rPr>
                <w:color w:val="000000"/>
                <w:sz w:val="16"/>
                <w:lang w:val="en-GB"/>
              </w:rPr>
            </w:pPr>
            <w:r w:rsidRPr="00607BDE">
              <w:rPr>
                <w:color w:val="000000"/>
                <w:sz w:val="16"/>
                <w:lang w:val="en-GB"/>
              </w:rPr>
              <w:t>162,473,493.00</w:t>
            </w:r>
          </w:p>
        </w:tc>
      </w:tr>
    </w:tbl>
    <w:p w14:paraId="33468FEC" w14:textId="77777777" w:rsidR="00A77B3E" w:rsidRPr="00607BDE" w:rsidRDefault="00C401B9">
      <w:pPr>
        <w:spacing w:before="100"/>
        <w:rPr>
          <w:color w:val="000000"/>
          <w:lang w:val="en-GB"/>
        </w:rPr>
      </w:pPr>
      <w:r w:rsidRPr="00607BDE">
        <w:rPr>
          <w:color w:val="000000"/>
          <w:sz w:val="16"/>
          <w:lang w:val="en-GB"/>
        </w:rPr>
        <w:br w:type="page"/>
      </w:r>
    </w:p>
    <w:p w14:paraId="350C0E67"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25" w:name="_Toc128975996"/>
      <w:r w:rsidRPr="00607BDE">
        <w:rPr>
          <w:rFonts w:ascii="Times New Roman" w:hAnsi="Times New Roman" w:cs="Times New Roman"/>
          <w:b w:val="0"/>
          <w:i w:val="0"/>
          <w:color w:val="000000"/>
          <w:sz w:val="24"/>
          <w:lang w:val="en-GB"/>
        </w:rPr>
        <w:t>3.2. Total financial allocations</w:t>
      </w:r>
      <w:bookmarkEnd w:id="25"/>
    </w:p>
    <w:p w14:paraId="2A914BB4" w14:textId="77777777" w:rsidR="00A77B3E" w:rsidRPr="00607BDE" w:rsidRDefault="00C401B9">
      <w:pPr>
        <w:pStyle w:val="Nagwek4"/>
        <w:spacing w:before="100" w:after="0"/>
        <w:rPr>
          <w:b w:val="0"/>
          <w:color w:val="000000"/>
          <w:sz w:val="24"/>
          <w:lang w:val="en-GB"/>
        </w:rPr>
      </w:pPr>
      <w:bookmarkStart w:id="26" w:name="_Toc128975997"/>
      <w:r w:rsidRPr="00607BDE">
        <w:rPr>
          <w:b w:val="0"/>
          <w:color w:val="000000"/>
          <w:sz w:val="24"/>
          <w:lang w:val="en-GB"/>
        </w:rPr>
        <w:t>Table 6: Total financial allocations by fund and national co-financing</w:t>
      </w:r>
      <w:bookmarkEnd w:id="26"/>
    </w:p>
    <w:p w14:paraId="2311FA68" w14:textId="77777777" w:rsidR="00A77B3E" w:rsidRPr="00607BDE" w:rsidRDefault="00A77B3E">
      <w:pPr>
        <w:spacing w:before="100"/>
        <w:rPr>
          <w:color w:val="000000"/>
          <w:sz w:val="12"/>
          <w:lang w:val="en-GB"/>
        </w:rPr>
      </w:pPr>
    </w:p>
    <w:p w14:paraId="03C01C3C" w14:textId="77777777" w:rsidR="00A77B3E" w:rsidRPr="00607BDE" w:rsidRDefault="00A77B3E">
      <w:pPr>
        <w:spacing w:before="100"/>
        <w:rPr>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18"/>
        <w:gridCol w:w="1517"/>
        <w:gridCol w:w="1517"/>
        <w:gridCol w:w="1517"/>
        <w:gridCol w:w="1517"/>
        <w:gridCol w:w="1517"/>
        <w:gridCol w:w="1517"/>
        <w:gridCol w:w="1517"/>
      </w:tblGrid>
      <w:tr w:rsidR="00AC7127" w:rsidRPr="00607BDE" w14:paraId="2AC3B665" w14:textId="77777777">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07E2F7" w14:textId="77777777" w:rsidR="00A77B3E" w:rsidRPr="00607BDE" w:rsidRDefault="00C401B9">
            <w:pPr>
              <w:spacing w:before="100"/>
              <w:jc w:val="center"/>
              <w:rPr>
                <w:color w:val="000000"/>
                <w:sz w:val="16"/>
                <w:lang w:val="en-GB"/>
              </w:rPr>
            </w:pPr>
            <w:r w:rsidRPr="00607BDE">
              <w:rPr>
                <w:color w:val="000000"/>
                <w:sz w:val="16"/>
                <w:lang w:val="en-GB"/>
              </w:rPr>
              <w:t>Specific objective (SO)</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9B0E46" w14:textId="77777777" w:rsidR="00A77B3E" w:rsidRPr="00607BDE" w:rsidRDefault="00C401B9">
            <w:pPr>
              <w:spacing w:before="100"/>
              <w:jc w:val="center"/>
              <w:rPr>
                <w:color w:val="000000"/>
                <w:sz w:val="16"/>
                <w:lang w:val="en-GB"/>
              </w:rPr>
            </w:pPr>
            <w:r w:rsidRPr="00607BDE">
              <w:rPr>
                <w:color w:val="000000"/>
                <w:sz w:val="16"/>
                <w:lang w:val="en-GB"/>
              </w:rPr>
              <w:t>Type of action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7F66AD" w14:textId="77777777" w:rsidR="00A77B3E" w:rsidRPr="00607BDE" w:rsidRDefault="00C401B9">
            <w:pPr>
              <w:spacing w:before="100"/>
              <w:jc w:val="center"/>
              <w:rPr>
                <w:color w:val="000000"/>
                <w:sz w:val="16"/>
                <w:lang w:val="en-GB"/>
              </w:rPr>
            </w:pPr>
            <w:r w:rsidRPr="00607BDE">
              <w:rPr>
                <w:color w:val="000000"/>
                <w:sz w:val="16"/>
                <w:lang w:val="en-GB"/>
              </w:rPr>
              <w:t>Basis for calculation Union support (total or public)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92CD1F" w14:textId="77777777" w:rsidR="00A77B3E" w:rsidRPr="00607BDE" w:rsidRDefault="00C401B9">
            <w:pPr>
              <w:spacing w:before="100"/>
              <w:jc w:val="center"/>
              <w:rPr>
                <w:color w:val="000000"/>
                <w:sz w:val="16"/>
                <w:lang w:val="en-GB"/>
              </w:rPr>
            </w:pPr>
            <w:r w:rsidRPr="00607BDE">
              <w:rPr>
                <w:color w:val="000000"/>
                <w:sz w:val="16"/>
                <w:lang w:val="en-GB"/>
              </w:rPr>
              <w:t>Union contribution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D3E2AC" w14:textId="77777777" w:rsidR="00A77B3E" w:rsidRPr="00607BDE" w:rsidRDefault="00C401B9">
            <w:pPr>
              <w:spacing w:before="100"/>
              <w:jc w:val="center"/>
              <w:rPr>
                <w:color w:val="000000"/>
                <w:sz w:val="16"/>
                <w:lang w:val="en-GB"/>
              </w:rPr>
            </w:pPr>
            <w:r w:rsidRPr="00607BDE">
              <w:rPr>
                <w:color w:val="000000"/>
                <w:sz w:val="16"/>
                <w:lang w:val="en-GB"/>
              </w:rPr>
              <w:t>National contribution (b)=(c)+(d)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ABB41B" w14:textId="77777777" w:rsidR="00A77B3E" w:rsidRPr="00607BDE" w:rsidRDefault="00C401B9">
            <w:pPr>
              <w:spacing w:before="100"/>
              <w:jc w:val="center"/>
              <w:rPr>
                <w:color w:val="000000"/>
                <w:sz w:val="16"/>
                <w:lang w:val="en-GB"/>
              </w:rPr>
            </w:pPr>
            <w:r w:rsidRPr="00607BDE">
              <w:rPr>
                <w:color w:val="000000"/>
                <w:sz w:val="16"/>
                <w:lang w:val="en-GB"/>
              </w:rPr>
              <w:t>Indicative breakdown of national contribution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293E90" w14:textId="77777777" w:rsidR="00A77B3E" w:rsidRPr="00607BDE" w:rsidRDefault="00C401B9">
            <w:pPr>
              <w:spacing w:before="100"/>
              <w:jc w:val="center"/>
              <w:rPr>
                <w:color w:val="000000"/>
                <w:sz w:val="16"/>
                <w:lang w:val="en-GB"/>
              </w:rPr>
            </w:pPr>
            <w:r w:rsidRPr="00607BDE">
              <w:rPr>
                <w:color w:val="000000"/>
                <w:sz w:val="16"/>
                <w:lang w:val="en-GB"/>
              </w:rPr>
              <w:t>Total (e)=(a)+(b)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51CA1E" w14:textId="77777777" w:rsidR="00A77B3E" w:rsidRPr="00607BDE" w:rsidRDefault="00C401B9">
            <w:pPr>
              <w:spacing w:before="100"/>
              <w:jc w:val="center"/>
              <w:rPr>
                <w:color w:val="000000"/>
                <w:sz w:val="16"/>
                <w:lang w:val="en-GB"/>
              </w:rPr>
            </w:pPr>
            <w:r w:rsidRPr="00607BDE">
              <w:rPr>
                <w:color w:val="000000"/>
                <w:sz w:val="16"/>
                <w:lang w:val="en-GB"/>
              </w:rPr>
              <w:t>Co-financing rate (f)=(a)/(e)</w:t>
            </w:r>
          </w:p>
        </w:tc>
      </w:tr>
      <w:tr w:rsidR="00AC7127" w:rsidRPr="00607BDE" w14:paraId="489A79EC" w14:textId="77777777">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390956" w14:textId="77777777" w:rsidR="00A77B3E" w:rsidRPr="00607B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27F2C1" w14:textId="77777777" w:rsidR="00A77B3E" w:rsidRPr="00607B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98DBC0" w14:textId="77777777" w:rsidR="00A77B3E" w:rsidRPr="00607B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3319C2" w14:textId="77777777" w:rsidR="00A77B3E" w:rsidRPr="00607B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700C7B" w14:textId="77777777" w:rsidR="00A77B3E" w:rsidRPr="00607BDE" w:rsidRDefault="00A77B3E">
            <w:pPr>
              <w:spacing w:before="100"/>
              <w:jc w:val="center"/>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9B9ED4" w14:textId="77777777" w:rsidR="00A77B3E" w:rsidRPr="00607BDE" w:rsidRDefault="00C401B9">
            <w:pPr>
              <w:spacing w:before="100"/>
              <w:jc w:val="center"/>
              <w:rPr>
                <w:color w:val="000000"/>
                <w:sz w:val="16"/>
                <w:lang w:val="en-GB"/>
              </w:rPr>
            </w:pPr>
            <w:r w:rsidRPr="00607BDE">
              <w:rPr>
                <w:color w:val="000000"/>
                <w:sz w:val="16"/>
                <w:lang w:val="en-GB"/>
              </w:rPr>
              <w:t>Public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29042D" w14:textId="77777777" w:rsidR="00A77B3E" w:rsidRPr="00607BDE" w:rsidRDefault="00C401B9">
            <w:pPr>
              <w:spacing w:before="100"/>
              <w:jc w:val="center"/>
              <w:rPr>
                <w:color w:val="000000"/>
                <w:sz w:val="16"/>
                <w:lang w:val="en-GB"/>
              </w:rPr>
            </w:pPr>
            <w:r w:rsidRPr="00607BDE">
              <w:rPr>
                <w:color w:val="000000"/>
                <w:sz w:val="16"/>
                <w:lang w:val="en-GB"/>
              </w:rPr>
              <w:t>Private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923866" w14:textId="77777777" w:rsidR="00A77B3E" w:rsidRPr="00607BDE"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8A52E3" w14:textId="77777777" w:rsidR="00A77B3E" w:rsidRPr="00607BDE" w:rsidRDefault="00A77B3E">
            <w:pPr>
              <w:spacing w:before="100"/>
              <w:jc w:val="center"/>
              <w:rPr>
                <w:color w:val="000000"/>
                <w:sz w:val="16"/>
                <w:lang w:val="en-GB"/>
              </w:rPr>
            </w:pPr>
          </w:p>
        </w:tc>
      </w:tr>
      <w:tr w:rsidR="00AC7127" w:rsidRPr="00607BDE" w14:paraId="1C772917"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443A0F" w14:textId="77777777" w:rsidR="00A77B3E" w:rsidRPr="00607BDE" w:rsidRDefault="00C401B9">
            <w:pPr>
              <w:spacing w:before="100"/>
              <w:rPr>
                <w:color w:val="000000"/>
                <w:sz w:val="16"/>
                <w:lang w:val="en-GB"/>
              </w:rPr>
            </w:pPr>
            <w:r w:rsidRPr="00607BDE">
              <w:rPr>
                <w:color w:val="000000"/>
                <w:sz w:val="16"/>
                <w:lang w:val="en-GB"/>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743DCB" w14:textId="77777777" w:rsidR="00A77B3E" w:rsidRPr="00607BDE" w:rsidRDefault="00C401B9">
            <w:pPr>
              <w:spacing w:before="100"/>
              <w:rPr>
                <w:color w:val="000000"/>
                <w:sz w:val="16"/>
                <w:lang w:val="en-GB"/>
              </w:rPr>
            </w:pPr>
            <w:r w:rsidRPr="00607BDE">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73879C"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26570C" w14:textId="77777777" w:rsidR="00A77B3E" w:rsidRPr="00607BDE" w:rsidRDefault="00C401B9">
            <w:pPr>
              <w:spacing w:before="100"/>
              <w:jc w:val="right"/>
              <w:rPr>
                <w:color w:val="000000"/>
                <w:sz w:val="16"/>
                <w:lang w:val="en-GB"/>
              </w:rPr>
            </w:pPr>
            <w:r w:rsidRPr="00607BDE">
              <w:rPr>
                <w:color w:val="000000"/>
                <w:sz w:val="16"/>
                <w:lang w:val="en-GB"/>
              </w:rPr>
              <w:t>76,077,738.68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E62613" w14:textId="77777777" w:rsidR="00A77B3E" w:rsidRPr="00607BDE" w:rsidRDefault="00C401B9">
            <w:pPr>
              <w:spacing w:before="100"/>
              <w:jc w:val="right"/>
              <w:rPr>
                <w:color w:val="000000"/>
                <w:sz w:val="16"/>
                <w:lang w:val="en-GB"/>
              </w:rPr>
            </w:pPr>
            <w:r w:rsidRPr="00607BDE">
              <w:rPr>
                <w:color w:val="000000"/>
                <w:sz w:val="16"/>
                <w:lang w:val="en-GB"/>
              </w:rPr>
              <w:t>25,359,246.23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F8204" w14:textId="77777777" w:rsidR="00A77B3E" w:rsidRPr="00607BDE" w:rsidRDefault="00C401B9">
            <w:pPr>
              <w:spacing w:before="100"/>
              <w:jc w:val="right"/>
              <w:rPr>
                <w:color w:val="000000"/>
                <w:sz w:val="16"/>
                <w:lang w:val="en-GB"/>
              </w:rPr>
            </w:pPr>
            <w:r w:rsidRPr="00607BDE">
              <w:rPr>
                <w:color w:val="000000"/>
                <w:sz w:val="16"/>
                <w:lang w:val="en-GB"/>
              </w:rPr>
              <w:t>25,359,246.23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3BA880"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BF032" w14:textId="77777777" w:rsidR="00A77B3E" w:rsidRPr="00607BDE" w:rsidRDefault="00C401B9">
            <w:pPr>
              <w:spacing w:before="100"/>
              <w:jc w:val="right"/>
              <w:rPr>
                <w:color w:val="000000"/>
                <w:sz w:val="16"/>
                <w:lang w:val="en-GB"/>
              </w:rPr>
            </w:pPr>
            <w:r w:rsidRPr="00607BDE">
              <w:rPr>
                <w:color w:val="000000"/>
                <w:sz w:val="16"/>
                <w:lang w:val="en-GB"/>
              </w:rPr>
              <w:t>101,436,984.91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FA82C2" w14:textId="77777777" w:rsidR="00A77B3E" w:rsidRPr="00607BDE" w:rsidRDefault="00C401B9">
            <w:pPr>
              <w:spacing w:before="100"/>
              <w:jc w:val="right"/>
              <w:rPr>
                <w:color w:val="000000"/>
                <w:sz w:val="16"/>
                <w:lang w:val="en-GB"/>
              </w:rPr>
            </w:pPr>
            <w:r w:rsidRPr="00607BDE">
              <w:rPr>
                <w:color w:val="000000"/>
                <w:sz w:val="16"/>
                <w:lang w:val="en-GB"/>
              </w:rPr>
              <w:t>74.9999999975%</w:t>
            </w:r>
          </w:p>
        </w:tc>
      </w:tr>
      <w:tr w:rsidR="00AC7127" w:rsidRPr="00607BDE" w14:paraId="761F6E5E"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01E51" w14:textId="77777777" w:rsidR="00A77B3E" w:rsidRPr="00607BDE" w:rsidRDefault="00C401B9">
            <w:pPr>
              <w:spacing w:before="100"/>
              <w:rPr>
                <w:color w:val="000000"/>
                <w:sz w:val="16"/>
                <w:lang w:val="en-GB"/>
              </w:rPr>
            </w:pPr>
            <w:r w:rsidRPr="00607BDE">
              <w:rPr>
                <w:color w:val="000000"/>
                <w:sz w:val="16"/>
                <w:lang w:val="en-GB"/>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7BD6D" w14:textId="77777777" w:rsidR="00A77B3E" w:rsidRPr="00607BDE" w:rsidRDefault="00C401B9">
            <w:pPr>
              <w:spacing w:before="100"/>
              <w:rPr>
                <w:color w:val="000000"/>
                <w:sz w:val="16"/>
                <w:lang w:val="en-GB"/>
              </w:rPr>
            </w:pPr>
            <w:r w:rsidRPr="00607BDE">
              <w:rPr>
                <w:color w:val="000000"/>
                <w:sz w:val="16"/>
                <w:lang w:val="en-GB"/>
              </w:rPr>
              <w:t>Specific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3ADAAF"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44E7B" w14:textId="77777777" w:rsidR="00A77B3E" w:rsidRPr="00607BDE" w:rsidRDefault="00C401B9">
            <w:pPr>
              <w:spacing w:before="100"/>
              <w:jc w:val="right"/>
              <w:rPr>
                <w:color w:val="000000"/>
                <w:sz w:val="16"/>
                <w:lang w:val="en-GB"/>
              </w:rPr>
            </w:pPr>
            <w:r w:rsidRPr="00607BDE">
              <w:rPr>
                <w:color w:val="000000"/>
                <w:sz w:val="16"/>
                <w:lang w:val="en-GB"/>
              </w:rPr>
              <w:t>67,349,141.51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39588" w14:textId="77777777" w:rsidR="00A77B3E" w:rsidRPr="00607BDE" w:rsidRDefault="00C401B9">
            <w:pPr>
              <w:spacing w:before="100"/>
              <w:jc w:val="right"/>
              <w:rPr>
                <w:color w:val="000000"/>
                <w:sz w:val="16"/>
                <w:lang w:val="en-GB"/>
              </w:rPr>
            </w:pPr>
            <w:r w:rsidRPr="00607BDE">
              <w:rPr>
                <w:color w:val="000000"/>
                <w:sz w:val="16"/>
                <w:lang w:val="en-GB"/>
              </w:rPr>
              <w:t>7,483,237.95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AC5BE0" w14:textId="77777777" w:rsidR="00A77B3E" w:rsidRPr="00607BDE" w:rsidRDefault="00C401B9">
            <w:pPr>
              <w:spacing w:before="100"/>
              <w:jc w:val="right"/>
              <w:rPr>
                <w:color w:val="000000"/>
                <w:sz w:val="16"/>
                <w:lang w:val="en-GB"/>
              </w:rPr>
            </w:pPr>
            <w:r w:rsidRPr="00607BDE">
              <w:rPr>
                <w:color w:val="000000"/>
                <w:sz w:val="16"/>
                <w:lang w:val="en-GB"/>
              </w:rPr>
              <w:t>7,483,237.95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4D4F34"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46BE4" w14:textId="77777777" w:rsidR="00A77B3E" w:rsidRPr="00607BDE" w:rsidRDefault="00C401B9">
            <w:pPr>
              <w:spacing w:before="100"/>
              <w:jc w:val="right"/>
              <w:rPr>
                <w:color w:val="000000"/>
                <w:sz w:val="16"/>
                <w:lang w:val="en-GB"/>
              </w:rPr>
            </w:pPr>
            <w:r w:rsidRPr="00607BDE">
              <w:rPr>
                <w:color w:val="000000"/>
                <w:sz w:val="16"/>
                <w:lang w:val="en-GB"/>
              </w:rPr>
              <w:t>74,832,379.46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BBB5A" w14:textId="77777777" w:rsidR="00A77B3E" w:rsidRPr="00607BDE" w:rsidRDefault="00C401B9">
            <w:pPr>
              <w:spacing w:before="100"/>
              <w:jc w:val="right"/>
              <w:rPr>
                <w:color w:val="000000"/>
                <w:sz w:val="16"/>
                <w:lang w:val="en-GB"/>
              </w:rPr>
            </w:pPr>
            <w:r w:rsidRPr="00607BDE">
              <w:rPr>
                <w:color w:val="000000"/>
                <w:sz w:val="16"/>
                <w:lang w:val="en-GB"/>
              </w:rPr>
              <w:t>89.9999999947%</w:t>
            </w:r>
          </w:p>
        </w:tc>
      </w:tr>
      <w:tr w:rsidR="00AC7127" w:rsidRPr="00607BDE" w14:paraId="46E8833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A03F6" w14:textId="77777777" w:rsidR="00A77B3E" w:rsidRPr="00607BDE" w:rsidRDefault="00C401B9">
            <w:pPr>
              <w:spacing w:before="100"/>
              <w:rPr>
                <w:color w:val="000000"/>
                <w:sz w:val="16"/>
                <w:lang w:val="en-GB"/>
              </w:rPr>
            </w:pPr>
            <w:r w:rsidRPr="00607BDE">
              <w:rPr>
                <w:color w:val="000000"/>
                <w:sz w:val="16"/>
                <w:lang w:val="en-GB"/>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6B8EC" w14:textId="77777777" w:rsidR="00A77B3E" w:rsidRPr="00607BDE" w:rsidRDefault="00C401B9">
            <w:pPr>
              <w:spacing w:before="100"/>
              <w:rPr>
                <w:color w:val="000000"/>
                <w:sz w:val="16"/>
                <w:lang w:val="en-GB"/>
              </w:rPr>
            </w:pPr>
            <w:r w:rsidRPr="00607BDE">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13DA7"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71CAF"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470CA"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E7E21A"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9EECB"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A9214"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2C2D0" w14:textId="77777777" w:rsidR="00A77B3E" w:rsidRPr="00607BDE" w:rsidRDefault="00A77B3E">
            <w:pPr>
              <w:spacing w:before="100"/>
              <w:jc w:val="right"/>
              <w:rPr>
                <w:color w:val="000000"/>
                <w:sz w:val="16"/>
                <w:lang w:val="en-GB"/>
              </w:rPr>
            </w:pPr>
          </w:p>
        </w:tc>
      </w:tr>
      <w:tr w:rsidR="00AC7127" w:rsidRPr="00607BDE" w14:paraId="38510C6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EFD7E" w14:textId="77777777" w:rsidR="00A77B3E" w:rsidRPr="00607BDE" w:rsidRDefault="00C401B9">
            <w:pPr>
              <w:spacing w:before="100"/>
              <w:rPr>
                <w:color w:val="000000"/>
                <w:sz w:val="16"/>
                <w:lang w:val="en-GB"/>
              </w:rPr>
            </w:pPr>
            <w:r w:rsidRPr="00607BDE">
              <w:rPr>
                <w:color w:val="000000"/>
                <w:sz w:val="16"/>
                <w:lang w:val="en-GB"/>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FB82C" w14:textId="77777777" w:rsidR="00A77B3E" w:rsidRPr="00607BDE" w:rsidRDefault="00C401B9">
            <w:pPr>
              <w:spacing w:before="100"/>
              <w:rPr>
                <w:color w:val="000000"/>
                <w:sz w:val="16"/>
                <w:lang w:val="en-GB"/>
              </w:rPr>
            </w:pPr>
            <w:r w:rsidRPr="00607BDE">
              <w:rPr>
                <w:color w:val="000000"/>
                <w:sz w:val="16"/>
                <w:lang w:val="en-GB"/>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592AF4"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1AA9C" w14:textId="77777777" w:rsidR="00A77B3E" w:rsidRPr="00607BDE" w:rsidRDefault="00C401B9">
            <w:pPr>
              <w:spacing w:before="100"/>
              <w:jc w:val="right"/>
              <w:rPr>
                <w:color w:val="000000"/>
                <w:sz w:val="16"/>
                <w:lang w:val="en-GB"/>
              </w:rPr>
            </w:pPr>
            <w:r w:rsidRPr="00607BDE">
              <w:rPr>
                <w:color w:val="000000"/>
                <w:sz w:val="16"/>
                <w:lang w:val="en-GB"/>
              </w:rPr>
              <w:t>1,000,000.00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8ADF96"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B0712E"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2DCF0"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1293E4" w14:textId="77777777" w:rsidR="00A77B3E" w:rsidRPr="00607BDE" w:rsidRDefault="00C401B9">
            <w:pPr>
              <w:spacing w:before="100"/>
              <w:jc w:val="right"/>
              <w:rPr>
                <w:color w:val="000000"/>
                <w:sz w:val="16"/>
                <w:lang w:val="en-GB"/>
              </w:rPr>
            </w:pPr>
            <w:r w:rsidRPr="00607BDE">
              <w:rPr>
                <w:color w:val="000000"/>
                <w:sz w:val="16"/>
                <w:lang w:val="en-GB"/>
              </w:rPr>
              <w:t>1,000,000.00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C06E36" w14:textId="77777777" w:rsidR="00A77B3E" w:rsidRPr="00607BDE" w:rsidRDefault="00C401B9">
            <w:pPr>
              <w:spacing w:before="100"/>
              <w:jc w:val="right"/>
              <w:rPr>
                <w:color w:val="000000"/>
                <w:sz w:val="16"/>
                <w:lang w:val="en-GB"/>
              </w:rPr>
            </w:pPr>
            <w:r w:rsidRPr="00607BDE">
              <w:rPr>
                <w:color w:val="000000"/>
                <w:sz w:val="16"/>
                <w:lang w:val="en-GB"/>
              </w:rPr>
              <w:t>100.0000000000%</w:t>
            </w:r>
          </w:p>
        </w:tc>
      </w:tr>
      <w:tr w:rsidR="00AC7127" w:rsidRPr="00607BDE" w14:paraId="4FE0B0DA"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5656C" w14:textId="77777777" w:rsidR="00A77B3E" w:rsidRPr="00607BDE" w:rsidRDefault="00C401B9">
            <w:pPr>
              <w:spacing w:before="100"/>
              <w:rPr>
                <w:color w:val="000000"/>
                <w:sz w:val="16"/>
                <w:lang w:val="en-GB"/>
              </w:rPr>
            </w:pPr>
            <w:r w:rsidRPr="00607BDE">
              <w:rPr>
                <w:color w:val="000000"/>
                <w:sz w:val="16"/>
                <w:lang w:val="en-GB"/>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094D6" w14:textId="77777777" w:rsidR="00A77B3E" w:rsidRPr="00607BDE" w:rsidRDefault="00C401B9">
            <w:pPr>
              <w:spacing w:before="100"/>
              <w:rPr>
                <w:color w:val="000000"/>
                <w:sz w:val="16"/>
                <w:lang w:val="en-GB"/>
              </w:rPr>
            </w:pPr>
            <w:r w:rsidRPr="00607BDE">
              <w:rPr>
                <w:color w:val="000000"/>
                <w:sz w:val="16"/>
                <w:lang w:val="en-GB"/>
              </w:rPr>
              <w:t>Article 85(2) of the ETIAS Regulation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A9CD9"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01923" w14:textId="77777777" w:rsidR="00A77B3E" w:rsidRPr="00607BDE" w:rsidRDefault="00C401B9">
            <w:pPr>
              <w:spacing w:before="100"/>
              <w:jc w:val="right"/>
              <w:rPr>
                <w:color w:val="000000"/>
                <w:sz w:val="16"/>
                <w:lang w:val="en-GB"/>
              </w:rPr>
            </w:pPr>
            <w:r w:rsidRPr="00607BDE">
              <w:rPr>
                <w:color w:val="000000"/>
                <w:sz w:val="16"/>
                <w:lang w:val="en-GB"/>
              </w:rPr>
              <w:t>20,000.00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10132"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7BED1"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04817"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A9756" w14:textId="77777777" w:rsidR="00A77B3E" w:rsidRPr="00607BDE" w:rsidRDefault="00C401B9">
            <w:pPr>
              <w:spacing w:before="100"/>
              <w:jc w:val="right"/>
              <w:rPr>
                <w:color w:val="000000"/>
                <w:sz w:val="16"/>
                <w:lang w:val="en-GB"/>
              </w:rPr>
            </w:pPr>
            <w:r w:rsidRPr="00607BDE">
              <w:rPr>
                <w:color w:val="000000"/>
                <w:sz w:val="16"/>
                <w:lang w:val="en-GB"/>
              </w:rPr>
              <w:t>20,000.00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C972E" w14:textId="77777777" w:rsidR="00A77B3E" w:rsidRPr="00607BDE" w:rsidRDefault="00C401B9">
            <w:pPr>
              <w:spacing w:before="100"/>
              <w:jc w:val="right"/>
              <w:rPr>
                <w:color w:val="000000"/>
                <w:sz w:val="16"/>
                <w:lang w:val="en-GB"/>
              </w:rPr>
            </w:pPr>
            <w:r w:rsidRPr="00607BDE">
              <w:rPr>
                <w:color w:val="000000"/>
                <w:sz w:val="16"/>
                <w:lang w:val="en-GB"/>
              </w:rPr>
              <w:t>100.0000000000%</w:t>
            </w:r>
          </w:p>
        </w:tc>
      </w:tr>
      <w:tr w:rsidR="00AC7127" w:rsidRPr="00607BDE" w14:paraId="6E3D14F2"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ED7FAC" w14:textId="77777777" w:rsidR="00A77B3E" w:rsidRPr="00607BDE" w:rsidRDefault="00C401B9">
            <w:pPr>
              <w:spacing w:before="100"/>
              <w:rPr>
                <w:color w:val="000000"/>
                <w:sz w:val="16"/>
                <w:lang w:val="en-GB"/>
              </w:rPr>
            </w:pPr>
            <w:r w:rsidRPr="00607BDE">
              <w:rPr>
                <w:color w:val="000000"/>
                <w:sz w:val="16"/>
                <w:lang w:val="en-GB"/>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47D994" w14:textId="77777777" w:rsidR="00A77B3E" w:rsidRPr="00607BDE" w:rsidRDefault="00C401B9">
            <w:pPr>
              <w:spacing w:before="100"/>
              <w:rPr>
                <w:color w:val="000000"/>
                <w:sz w:val="16"/>
                <w:lang w:val="en-GB"/>
              </w:rPr>
            </w:pPr>
            <w:r w:rsidRPr="00607BDE">
              <w:rPr>
                <w:color w:val="000000"/>
                <w:sz w:val="16"/>
                <w:lang w:val="en-GB"/>
              </w:rPr>
              <w:t>Article 85(3) of the ETIAS Regulation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2D26B"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F0991" w14:textId="77777777" w:rsidR="00A77B3E" w:rsidRPr="00607BDE" w:rsidRDefault="00C401B9">
            <w:pPr>
              <w:spacing w:before="100"/>
              <w:jc w:val="right"/>
              <w:rPr>
                <w:color w:val="000000"/>
                <w:sz w:val="16"/>
                <w:lang w:val="en-GB"/>
              </w:rPr>
            </w:pPr>
            <w:r w:rsidRPr="00607BDE">
              <w:rPr>
                <w:color w:val="000000"/>
                <w:sz w:val="16"/>
                <w:lang w:val="en-GB"/>
              </w:rPr>
              <w:t>20,000.00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1EF071"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FB0721"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D3BEE"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00E31E" w14:textId="77777777" w:rsidR="00A77B3E" w:rsidRPr="00607BDE" w:rsidRDefault="00C401B9">
            <w:pPr>
              <w:spacing w:before="100"/>
              <w:jc w:val="right"/>
              <w:rPr>
                <w:color w:val="000000"/>
                <w:sz w:val="16"/>
                <w:lang w:val="en-GB"/>
              </w:rPr>
            </w:pPr>
            <w:r w:rsidRPr="00607BDE">
              <w:rPr>
                <w:color w:val="000000"/>
                <w:sz w:val="16"/>
                <w:lang w:val="en-GB"/>
              </w:rPr>
              <w:t>20,000.00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5BE94" w14:textId="77777777" w:rsidR="00A77B3E" w:rsidRPr="00607BDE" w:rsidRDefault="00C401B9">
            <w:pPr>
              <w:spacing w:before="100"/>
              <w:jc w:val="right"/>
              <w:rPr>
                <w:color w:val="000000"/>
                <w:sz w:val="16"/>
                <w:lang w:val="en-GB"/>
              </w:rPr>
            </w:pPr>
            <w:r w:rsidRPr="00607BDE">
              <w:rPr>
                <w:color w:val="000000"/>
                <w:sz w:val="16"/>
                <w:lang w:val="en-GB"/>
              </w:rPr>
              <w:t>100.0000000000%</w:t>
            </w:r>
          </w:p>
        </w:tc>
      </w:tr>
      <w:tr w:rsidR="00AC7127" w:rsidRPr="00607BDE" w14:paraId="32AE55EC"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59784F" w14:textId="77777777" w:rsidR="00A77B3E" w:rsidRPr="00607BDE" w:rsidRDefault="00C401B9">
            <w:pPr>
              <w:spacing w:before="100"/>
              <w:rPr>
                <w:color w:val="000000"/>
                <w:sz w:val="16"/>
                <w:lang w:val="en-GB"/>
              </w:rPr>
            </w:pPr>
            <w:r w:rsidRPr="00607BDE">
              <w:rPr>
                <w:color w:val="000000"/>
                <w:sz w:val="16"/>
                <w:lang w:val="en-GB"/>
              </w:rPr>
              <w:t>Total - 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933DB" w14:textId="77777777" w:rsidR="00A77B3E" w:rsidRPr="00607B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74B7F" w14:textId="77777777" w:rsidR="00A77B3E" w:rsidRPr="00607B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83967" w14:textId="77777777" w:rsidR="00A77B3E" w:rsidRPr="00607BDE" w:rsidRDefault="00C401B9">
            <w:pPr>
              <w:spacing w:before="100"/>
              <w:jc w:val="right"/>
              <w:rPr>
                <w:color w:val="000000"/>
                <w:sz w:val="16"/>
                <w:lang w:val="en-GB"/>
              </w:rPr>
            </w:pPr>
            <w:r w:rsidRPr="00607BDE">
              <w:rPr>
                <w:color w:val="000000"/>
                <w:sz w:val="16"/>
                <w:lang w:val="en-GB"/>
              </w:rPr>
              <w:t>144,466,880.19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EFE69" w14:textId="77777777" w:rsidR="00A77B3E" w:rsidRPr="00607BDE" w:rsidRDefault="00C401B9">
            <w:pPr>
              <w:spacing w:before="100"/>
              <w:jc w:val="right"/>
              <w:rPr>
                <w:color w:val="000000"/>
                <w:sz w:val="16"/>
                <w:lang w:val="en-GB"/>
              </w:rPr>
            </w:pPr>
            <w:r w:rsidRPr="00607BDE">
              <w:rPr>
                <w:color w:val="000000"/>
                <w:sz w:val="16"/>
                <w:lang w:val="en-GB"/>
              </w:rPr>
              <w:t>32,842,484.18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2BB64" w14:textId="77777777" w:rsidR="00A77B3E" w:rsidRPr="00607BDE" w:rsidRDefault="00C401B9">
            <w:pPr>
              <w:spacing w:before="100"/>
              <w:jc w:val="right"/>
              <w:rPr>
                <w:color w:val="000000"/>
                <w:sz w:val="16"/>
                <w:lang w:val="en-GB"/>
              </w:rPr>
            </w:pPr>
            <w:r w:rsidRPr="00607BDE">
              <w:rPr>
                <w:color w:val="000000"/>
                <w:sz w:val="16"/>
                <w:lang w:val="en-GB"/>
              </w:rPr>
              <w:t>32,842,484.18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EBBC7B"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A634C" w14:textId="77777777" w:rsidR="00A77B3E" w:rsidRPr="00607BDE" w:rsidRDefault="00C401B9">
            <w:pPr>
              <w:spacing w:before="100"/>
              <w:jc w:val="right"/>
              <w:rPr>
                <w:color w:val="000000"/>
                <w:sz w:val="16"/>
                <w:lang w:val="en-GB"/>
              </w:rPr>
            </w:pPr>
            <w:r w:rsidRPr="00607BDE">
              <w:rPr>
                <w:color w:val="000000"/>
                <w:sz w:val="16"/>
                <w:lang w:val="en-GB"/>
              </w:rPr>
              <w:t>177,309,364.37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B01F51" w14:textId="77777777" w:rsidR="00A77B3E" w:rsidRPr="00607BDE" w:rsidRDefault="00C401B9">
            <w:pPr>
              <w:spacing w:before="100"/>
              <w:jc w:val="right"/>
              <w:rPr>
                <w:color w:val="000000"/>
                <w:sz w:val="16"/>
                <w:lang w:val="en-GB"/>
              </w:rPr>
            </w:pPr>
            <w:r w:rsidRPr="00607BDE">
              <w:rPr>
                <w:color w:val="000000"/>
                <w:sz w:val="16"/>
                <w:lang w:val="en-GB"/>
              </w:rPr>
              <w:t>81.4772985642%</w:t>
            </w:r>
          </w:p>
        </w:tc>
      </w:tr>
      <w:tr w:rsidR="00AC7127" w:rsidRPr="00607BDE" w14:paraId="190C4DE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2FCFF" w14:textId="77777777" w:rsidR="00A77B3E" w:rsidRPr="00607BDE" w:rsidRDefault="00C401B9">
            <w:pPr>
              <w:spacing w:before="100"/>
              <w:rPr>
                <w:color w:val="000000"/>
                <w:sz w:val="16"/>
                <w:lang w:val="en-GB"/>
              </w:rPr>
            </w:pPr>
            <w:r w:rsidRPr="00607BDE">
              <w:rPr>
                <w:color w:val="000000"/>
                <w:sz w:val="16"/>
                <w:lang w:val="en-GB"/>
              </w:rPr>
              <w:t>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0C0AB" w14:textId="77777777" w:rsidR="00A77B3E" w:rsidRPr="00607BDE" w:rsidRDefault="00C401B9">
            <w:pPr>
              <w:spacing w:before="100"/>
              <w:rPr>
                <w:color w:val="000000"/>
                <w:sz w:val="16"/>
                <w:lang w:val="en-GB"/>
              </w:rPr>
            </w:pPr>
            <w:r w:rsidRPr="00607BDE">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C2787"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543DB" w14:textId="77777777" w:rsidR="00A77B3E" w:rsidRPr="00607BDE" w:rsidRDefault="00C401B9">
            <w:pPr>
              <w:spacing w:before="100"/>
              <w:jc w:val="right"/>
              <w:rPr>
                <w:color w:val="000000"/>
                <w:sz w:val="16"/>
                <w:lang w:val="en-GB"/>
              </w:rPr>
            </w:pPr>
            <w:r w:rsidRPr="00607BDE">
              <w:rPr>
                <w:color w:val="000000"/>
                <w:sz w:val="16"/>
                <w:lang w:val="en-GB"/>
              </w:rPr>
              <w:t>8,310,000.00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88EBEB" w14:textId="77777777" w:rsidR="00A77B3E" w:rsidRPr="00607BDE" w:rsidRDefault="00C401B9">
            <w:pPr>
              <w:spacing w:before="100"/>
              <w:jc w:val="right"/>
              <w:rPr>
                <w:color w:val="000000"/>
                <w:sz w:val="16"/>
                <w:lang w:val="en-GB"/>
              </w:rPr>
            </w:pPr>
            <w:r w:rsidRPr="00607BDE">
              <w:rPr>
                <w:color w:val="000000"/>
                <w:sz w:val="16"/>
                <w:lang w:val="en-GB"/>
              </w:rPr>
              <w:t>2,770,000.00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CF7B86" w14:textId="77777777" w:rsidR="00A77B3E" w:rsidRPr="00607BDE" w:rsidRDefault="00C401B9">
            <w:pPr>
              <w:spacing w:before="100"/>
              <w:jc w:val="right"/>
              <w:rPr>
                <w:color w:val="000000"/>
                <w:sz w:val="16"/>
                <w:lang w:val="en-GB"/>
              </w:rPr>
            </w:pPr>
            <w:r w:rsidRPr="00607BDE">
              <w:rPr>
                <w:color w:val="000000"/>
                <w:sz w:val="16"/>
                <w:lang w:val="en-GB"/>
              </w:rPr>
              <w:t>2,770,000.00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2A5EA"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3BA80" w14:textId="77777777" w:rsidR="00A77B3E" w:rsidRPr="00607BDE" w:rsidRDefault="00C401B9">
            <w:pPr>
              <w:spacing w:before="100"/>
              <w:jc w:val="right"/>
              <w:rPr>
                <w:color w:val="000000"/>
                <w:sz w:val="16"/>
                <w:lang w:val="en-GB"/>
              </w:rPr>
            </w:pPr>
            <w:r w:rsidRPr="00607BDE">
              <w:rPr>
                <w:color w:val="000000"/>
                <w:sz w:val="16"/>
                <w:lang w:val="en-GB"/>
              </w:rPr>
              <w:t>11,080,000.00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6BF0E" w14:textId="77777777" w:rsidR="00A77B3E" w:rsidRPr="00607BDE" w:rsidRDefault="00C401B9">
            <w:pPr>
              <w:spacing w:before="100"/>
              <w:jc w:val="right"/>
              <w:rPr>
                <w:color w:val="000000"/>
                <w:sz w:val="16"/>
                <w:lang w:val="en-GB"/>
              </w:rPr>
            </w:pPr>
            <w:r w:rsidRPr="00607BDE">
              <w:rPr>
                <w:color w:val="000000"/>
                <w:sz w:val="16"/>
                <w:lang w:val="en-GB"/>
              </w:rPr>
              <w:t>75.0000000000%</w:t>
            </w:r>
          </w:p>
        </w:tc>
      </w:tr>
      <w:tr w:rsidR="00AC7127" w:rsidRPr="00607BDE" w14:paraId="6C1CECDD"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5A49C" w14:textId="77777777" w:rsidR="00A77B3E" w:rsidRPr="00607BDE" w:rsidRDefault="00C401B9">
            <w:pPr>
              <w:spacing w:before="100"/>
              <w:rPr>
                <w:color w:val="000000"/>
                <w:sz w:val="16"/>
                <w:lang w:val="en-GB"/>
              </w:rPr>
            </w:pPr>
            <w:r w:rsidRPr="00607BDE">
              <w:rPr>
                <w:color w:val="000000"/>
                <w:sz w:val="16"/>
                <w:lang w:val="en-GB"/>
              </w:rPr>
              <w:t>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8BAA8" w14:textId="77777777" w:rsidR="00A77B3E" w:rsidRPr="00607BDE" w:rsidRDefault="00C401B9">
            <w:pPr>
              <w:spacing w:before="100"/>
              <w:rPr>
                <w:color w:val="000000"/>
                <w:sz w:val="16"/>
                <w:lang w:val="en-GB"/>
              </w:rPr>
            </w:pPr>
            <w:r w:rsidRPr="00607BDE">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FD8B89"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DECBB4"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39966C"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4CABDD"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6A163A"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E379D8"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65E51" w14:textId="77777777" w:rsidR="00A77B3E" w:rsidRPr="00607BDE" w:rsidRDefault="00A77B3E">
            <w:pPr>
              <w:spacing w:before="100"/>
              <w:jc w:val="right"/>
              <w:rPr>
                <w:color w:val="000000"/>
                <w:sz w:val="16"/>
                <w:lang w:val="en-GB"/>
              </w:rPr>
            </w:pPr>
          </w:p>
        </w:tc>
      </w:tr>
      <w:tr w:rsidR="00AC7127" w:rsidRPr="00607BDE" w14:paraId="3DD1E345"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B7D744" w14:textId="77777777" w:rsidR="00A77B3E" w:rsidRPr="00607BDE" w:rsidRDefault="00C401B9">
            <w:pPr>
              <w:spacing w:before="100"/>
              <w:rPr>
                <w:color w:val="000000"/>
                <w:sz w:val="16"/>
                <w:lang w:val="en-GB"/>
              </w:rPr>
            </w:pPr>
            <w:r w:rsidRPr="00607BDE">
              <w:rPr>
                <w:color w:val="000000"/>
                <w:sz w:val="16"/>
                <w:lang w:val="en-GB"/>
              </w:rPr>
              <w:t>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CA24A5" w14:textId="77777777" w:rsidR="00A77B3E" w:rsidRPr="00607BDE" w:rsidRDefault="00C401B9">
            <w:pPr>
              <w:spacing w:before="100"/>
              <w:rPr>
                <w:color w:val="000000"/>
                <w:sz w:val="16"/>
                <w:lang w:val="en-GB"/>
              </w:rPr>
            </w:pPr>
            <w:r w:rsidRPr="00607BDE">
              <w:rPr>
                <w:color w:val="000000"/>
                <w:sz w:val="16"/>
                <w:lang w:val="en-GB"/>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EC98B9" w14:textId="77777777" w:rsidR="00A77B3E" w:rsidRPr="00607BDE" w:rsidRDefault="00C401B9">
            <w:pPr>
              <w:spacing w:before="100"/>
              <w:rPr>
                <w:color w:val="000000"/>
                <w:sz w:val="16"/>
                <w:lang w:val="en-GB"/>
              </w:rPr>
            </w:pPr>
            <w:r w:rsidRPr="00607BDE">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BAF53" w14:textId="77777777" w:rsidR="00A77B3E" w:rsidRPr="00607BDE" w:rsidRDefault="00C401B9">
            <w:pPr>
              <w:spacing w:before="100"/>
              <w:jc w:val="right"/>
              <w:rPr>
                <w:color w:val="000000"/>
                <w:sz w:val="16"/>
                <w:lang w:val="en-GB"/>
              </w:rPr>
            </w:pPr>
            <w:r w:rsidRPr="00607BDE">
              <w:rPr>
                <w:color w:val="000000"/>
                <w:sz w:val="16"/>
                <w:lang w:val="en-GB"/>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71CCE2"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CDC9C0"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1A7CF"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4FA0F7" w14:textId="77777777" w:rsidR="00A77B3E" w:rsidRPr="00607BDE" w:rsidRDefault="00C401B9">
            <w:pPr>
              <w:spacing w:before="100"/>
              <w:jc w:val="right"/>
              <w:rPr>
                <w:color w:val="000000"/>
                <w:sz w:val="16"/>
                <w:lang w:val="en-GB"/>
              </w:rPr>
            </w:pPr>
            <w:r w:rsidRPr="00607BDE">
              <w:rPr>
                <w:color w:val="000000"/>
                <w:sz w:val="16"/>
                <w:lang w:val="en-GB"/>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F0BBB" w14:textId="77777777" w:rsidR="00A77B3E" w:rsidRPr="00607BDE" w:rsidRDefault="00C401B9">
            <w:pPr>
              <w:spacing w:before="100"/>
              <w:jc w:val="right"/>
              <w:rPr>
                <w:color w:val="000000"/>
                <w:sz w:val="16"/>
                <w:lang w:val="en-GB"/>
              </w:rPr>
            </w:pPr>
            <w:r w:rsidRPr="00607BDE">
              <w:rPr>
                <w:color w:val="000000"/>
                <w:sz w:val="16"/>
                <w:lang w:val="en-GB"/>
              </w:rPr>
              <w:t>100.0000000000%</w:t>
            </w:r>
          </w:p>
        </w:tc>
      </w:tr>
      <w:tr w:rsidR="00AC7127" w:rsidRPr="00607BDE" w14:paraId="6DC6786A"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89BD8" w14:textId="77777777" w:rsidR="00A77B3E" w:rsidRPr="00607BDE" w:rsidRDefault="00C401B9">
            <w:pPr>
              <w:spacing w:before="100"/>
              <w:rPr>
                <w:color w:val="000000"/>
                <w:sz w:val="16"/>
                <w:lang w:val="en-GB"/>
              </w:rPr>
            </w:pPr>
            <w:r w:rsidRPr="00607BDE">
              <w:rPr>
                <w:color w:val="000000"/>
                <w:sz w:val="16"/>
                <w:lang w:val="en-GB"/>
              </w:rPr>
              <w:t>Total - 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4F75C6" w14:textId="77777777" w:rsidR="00A77B3E" w:rsidRPr="00607B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611A3" w14:textId="77777777" w:rsidR="00A77B3E" w:rsidRPr="00607B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BF527C" w14:textId="77777777" w:rsidR="00A77B3E" w:rsidRPr="00607BDE" w:rsidRDefault="00C401B9">
            <w:pPr>
              <w:spacing w:before="100"/>
              <w:jc w:val="right"/>
              <w:rPr>
                <w:color w:val="000000"/>
                <w:sz w:val="16"/>
                <w:lang w:val="en-GB"/>
              </w:rPr>
            </w:pPr>
            <w:r w:rsidRPr="00607BDE">
              <w:rPr>
                <w:color w:val="000000"/>
                <w:sz w:val="16"/>
                <w:lang w:val="en-GB"/>
              </w:rPr>
              <w:t>8,810,000.00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C48B2" w14:textId="77777777" w:rsidR="00A77B3E" w:rsidRPr="00607BDE" w:rsidRDefault="00C401B9">
            <w:pPr>
              <w:spacing w:before="100"/>
              <w:jc w:val="right"/>
              <w:rPr>
                <w:color w:val="000000"/>
                <w:sz w:val="16"/>
                <w:lang w:val="en-GB"/>
              </w:rPr>
            </w:pPr>
            <w:r w:rsidRPr="00607BDE">
              <w:rPr>
                <w:color w:val="000000"/>
                <w:sz w:val="16"/>
                <w:lang w:val="en-GB"/>
              </w:rPr>
              <w:t>2,770,000.00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DB2DA" w14:textId="77777777" w:rsidR="00A77B3E" w:rsidRPr="00607BDE" w:rsidRDefault="00C401B9">
            <w:pPr>
              <w:spacing w:before="100"/>
              <w:jc w:val="right"/>
              <w:rPr>
                <w:color w:val="000000"/>
                <w:sz w:val="16"/>
                <w:lang w:val="en-GB"/>
              </w:rPr>
            </w:pPr>
            <w:r w:rsidRPr="00607BDE">
              <w:rPr>
                <w:color w:val="000000"/>
                <w:sz w:val="16"/>
                <w:lang w:val="en-GB"/>
              </w:rPr>
              <w:t>2,770,000.00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31508"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ACAD2" w14:textId="77777777" w:rsidR="00A77B3E" w:rsidRPr="00607BDE" w:rsidRDefault="00C401B9">
            <w:pPr>
              <w:spacing w:before="100"/>
              <w:jc w:val="right"/>
              <w:rPr>
                <w:color w:val="000000"/>
                <w:sz w:val="16"/>
                <w:lang w:val="en-GB"/>
              </w:rPr>
            </w:pPr>
            <w:r w:rsidRPr="00607BDE">
              <w:rPr>
                <w:color w:val="000000"/>
                <w:sz w:val="16"/>
                <w:lang w:val="en-GB"/>
              </w:rPr>
              <w:t>11,580,000.00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397E2" w14:textId="77777777" w:rsidR="00A77B3E" w:rsidRPr="00607BDE" w:rsidRDefault="00C401B9">
            <w:pPr>
              <w:spacing w:before="100"/>
              <w:jc w:val="right"/>
              <w:rPr>
                <w:color w:val="000000"/>
                <w:sz w:val="16"/>
                <w:lang w:val="en-GB"/>
              </w:rPr>
            </w:pPr>
            <w:r w:rsidRPr="00607BDE">
              <w:rPr>
                <w:color w:val="000000"/>
                <w:sz w:val="16"/>
                <w:lang w:val="en-GB"/>
              </w:rPr>
              <w:t>76.0794473230%</w:t>
            </w:r>
          </w:p>
        </w:tc>
      </w:tr>
      <w:tr w:rsidR="00AC7127" w:rsidRPr="00607BDE" w14:paraId="4031EE7F"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66700" w14:textId="77777777" w:rsidR="00A77B3E" w:rsidRPr="00607BDE" w:rsidRDefault="00C401B9">
            <w:pPr>
              <w:spacing w:before="100"/>
              <w:rPr>
                <w:color w:val="000000"/>
                <w:sz w:val="16"/>
                <w:lang w:val="en-GB"/>
              </w:rPr>
            </w:pPr>
            <w:r w:rsidRPr="00607BDE">
              <w:rPr>
                <w:color w:val="000000"/>
                <w:sz w:val="16"/>
                <w:lang w:val="en-GB"/>
              </w:rPr>
              <w:t>Technical assistance – flat rate (Article 36(5) of the Common Provisions Regulation)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A6BCC" w14:textId="77777777" w:rsidR="00A77B3E" w:rsidRPr="00607B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F67A9A" w14:textId="77777777" w:rsidR="00A77B3E" w:rsidRPr="00607B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CA4BC5" w14:textId="77777777" w:rsidR="00A77B3E" w:rsidRPr="00607BDE" w:rsidRDefault="00C401B9">
            <w:pPr>
              <w:spacing w:before="100"/>
              <w:jc w:val="right"/>
              <w:rPr>
                <w:color w:val="000000"/>
                <w:sz w:val="16"/>
                <w:lang w:val="en-GB"/>
              </w:rPr>
            </w:pPr>
            <w:r w:rsidRPr="00607BDE">
              <w:rPr>
                <w:color w:val="000000"/>
                <w:sz w:val="16"/>
                <w:lang w:val="en-GB"/>
              </w:rPr>
              <w:t>9,196,612.81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C9BF13" w14:textId="77777777" w:rsidR="00A77B3E" w:rsidRPr="00607B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41511" w14:textId="77777777" w:rsidR="00A77B3E" w:rsidRPr="00607B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90CDC" w14:textId="77777777" w:rsidR="00A77B3E" w:rsidRPr="00607BDE"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F2C09" w14:textId="77777777" w:rsidR="00A77B3E" w:rsidRPr="00607BDE" w:rsidRDefault="00C401B9">
            <w:pPr>
              <w:spacing w:before="100"/>
              <w:jc w:val="right"/>
              <w:rPr>
                <w:color w:val="000000"/>
                <w:sz w:val="16"/>
                <w:lang w:val="en-GB"/>
              </w:rPr>
            </w:pPr>
            <w:r w:rsidRPr="00607BDE">
              <w:rPr>
                <w:color w:val="000000"/>
                <w:sz w:val="16"/>
                <w:lang w:val="en-GB"/>
              </w:rPr>
              <w:t>9,196,612.81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99467D" w14:textId="77777777" w:rsidR="00A77B3E" w:rsidRPr="00607BDE" w:rsidRDefault="00C401B9">
            <w:pPr>
              <w:spacing w:before="100"/>
              <w:jc w:val="right"/>
              <w:rPr>
                <w:color w:val="000000"/>
                <w:sz w:val="16"/>
                <w:lang w:val="en-GB"/>
              </w:rPr>
            </w:pPr>
            <w:r w:rsidRPr="00607BDE">
              <w:rPr>
                <w:color w:val="000000"/>
                <w:sz w:val="16"/>
                <w:lang w:val="en-GB"/>
              </w:rPr>
              <w:t>100.0000000000%</w:t>
            </w:r>
          </w:p>
        </w:tc>
      </w:tr>
      <w:tr w:rsidR="00AC7127" w:rsidRPr="00607BDE" w14:paraId="6DAD1162"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9743BE" w14:textId="77777777" w:rsidR="00A77B3E" w:rsidRPr="00607BDE" w:rsidRDefault="00C401B9">
            <w:pPr>
              <w:spacing w:before="100"/>
              <w:rPr>
                <w:color w:val="000000"/>
                <w:sz w:val="16"/>
                <w:lang w:val="en-GB"/>
              </w:rPr>
            </w:pPr>
            <w:r w:rsidRPr="00607BDE">
              <w:rPr>
                <w:color w:val="000000"/>
                <w:sz w:val="16"/>
                <w:lang w:val="en-GB"/>
              </w:rPr>
              <w:t>Grand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0EC66A" w14:textId="77777777" w:rsidR="00A77B3E" w:rsidRPr="00607B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DE83AF" w14:textId="77777777" w:rsidR="00A77B3E" w:rsidRPr="00607BDE"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6EACBD" w14:textId="77777777" w:rsidR="00A77B3E" w:rsidRPr="00607BDE" w:rsidRDefault="00C401B9">
            <w:pPr>
              <w:spacing w:before="100"/>
              <w:jc w:val="right"/>
              <w:rPr>
                <w:color w:val="000000"/>
                <w:sz w:val="16"/>
                <w:lang w:val="en-GB"/>
              </w:rPr>
            </w:pPr>
            <w:r w:rsidRPr="00607BDE">
              <w:rPr>
                <w:color w:val="000000"/>
                <w:sz w:val="16"/>
                <w:lang w:val="en-GB"/>
              </w:rPr>
              <w:t>162,473,493.00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5922C" w14:textId="77777777" w:rsidR="00A77B3E" w:rsidRPr="00607BDE" w:rsidRDefault="00C401B9">
            <w:pPr>
              <w:spacing w:before="100"/>
              <w:jc w:val="right"/>
              <w:rPr>
                <w:color w:val="000000"/>
                <w:sz w:val="16"/>
                <w:lang w:val="en-GB"/>
              </w:rPr>
            </w:pPr>
            <w:r w:rsidRPr="00607BDE">
              <w:rPr>
                <w:color w:val="000000"/>
                <w:sz w:val="16"/>
                <w:lang w:val="en-GB"/>
              </w:rPr>
              <w:t>35,612,484.18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256EB7" w14:textId="77777777" w:rsidR="00A77B3E" w:rsidRPr="00607BDE" w:rsidRDefault="00C401B9">
            <w:pPr>
              <w:spacing w:before="100"/>
              <w:jc w:val="right"/>
              <w:rPr>
                <w:color w:val="000000"/>
                <w:sz w:val="16"/>
                <w:lang w:val="en-GB"/>
              </w:rPr>
            </w:pPr>
            <w:r w:rsidRPr="00607BDE">
              <w:rPr>
                <w:color w:val="000000"/>
                <w:sz w:val="16"/>
                <w:lang w:val="en-GB"/>
              </w:rPr>
              <w:t>35,612,484.18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1515F5" w14:textId="77777777" w:rsidR="00A77B3E" w:rsidRPr="00607BDE" w:rsidRDefault="00C401B9">
            <w:pPr>
              <w:spacing w:before="100"/>
              <w:jc w:val="right"/>
              <w:rPr>
                <w:color w:val="000000"/>
                <w:sz w:val="16"/>
                <w:lang w:val="en-GB"/>
              </w:rPr>
            </w:pPr>
            <w:r w:rsidRPr="00607BDE">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829AE" w14:textId="77777777" w:rsidR="00A77B3E" w:rsidRPr="00607BDE" w:rsidRDefault="00C401B9">
            <w:pPr>
              <w:spacing w:before="100"/>
              <w:jc w:val="right"/>
              <w:rPr>
                <w:color w:val="000000"/>
                <w:sz w:val="16"/>
                <w:lang w:val="en-GB"/>
              </w:rPr>
            </w:pPr>
            <w:r w:rsidRPr="00607BDE">
              <w:rPr>
                <w:color w:val="000000"/>
                <w:sz w:val="16"/>
                <w:lang w:val="en-GB"/>
              </w:rPr>
              <w:t>198,085,977.18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63AB3D" w14:textId="77777777" w:rsidR="00A77B3E" w:rsidRPr="00607BDE" w:rsidRDefault="00C401B9">
            <w:pPr>
              <w:spacing w:before="100"/>
              <w:jc w:val="right"/>
              <w:rPr>
                <w:color w:val="000000"/>
                <w:sz w:val="16"/>
                <w:lang w:val="en-GB"/>
              </w:rPr>
            </w:pPr>
            <w:r w:rsidRPr="00607BDE">
              <w:rPr>
                <w:color w:val="000000"/>
                <w:sz w:val="16"/>
                <w:lang w:val="en-GB"/>
              </w:rPr>
              <w:t>82.0217035618%</w:t>
            </w:r>
          </w:p>
        </w:tc>
      </w:tr>
    </w:tbl>
    <w:p w14:paraId="2380CEB8" w14:textId="77777777" w:rsidR="00A77B3E" w:rsidRPr="00607BDE" w:rsidRDefault="00C401B9">
      <w:pPr>
        <w:spacing w:before="100"/>
        <w:rPr>
          <w:color w:val="000000"/>
          <w:lang w:val="en-GB"/>
        </w:rPr>
      </w:pPr>
      <w:r w:rsidRPr="00607BDE">
        <w:rPr>
          <w:color w:val="000000"/>
          <w:sz w:val="16"/>
          <w:lang w:val="en-GB"/>
        </w:rPr>
        <w:br w:type="page"/>
      </w:r>
    </w:p>
    <w:p w14:paraId="1F8734E6"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27" w:name="_Toc128975998"/>
      <w:r w:rsidRPr="00607BDE">
        <w:rPr>
          <w:rFonts w:ascii="Times New Roman" w:hAnsi="Times New Roman" w:cs="Times New Roman"/>
          <w:b w:val="0"/>
          <w:i w:val="0"/>
          <w:color w:val="000000"/>
          <w:sz w:val="24"/>
          <w:lang w:val="en-GB"/>
        </w:rPr>
        <w:t>3.3. Transfers</w:t>
      </w:r>
      <w:bookmarkEnd w:id="27"/>
    </w:p>
    <w:p w14:paraId="21051D0B" w14:textId="77777777" w:rsidR="00A77B3E" w:rsidRPr="00607BDE" w:rsidRDefault="00C401B9">
      <w:pPr>
        <w:pStyle w:val="Nagwek3"/>
        <w:spacing w:before="100" w:after="0"/>
        <w:rPr>
          <w:rFonts w:ascii="Times New Roman" w:hAnsi="Times New Roman" w:cs="Times New Roman"/>
          <w:b w:val="0"/>
          <w:color w:val="000000"/>
          <w:sz w:val="0"/>
          <w:lang w:val="en-GB"/>
        </w:rPr>
      </w:pPr>
      <w:bookmarkStart w:id="28" w:name="_Toc128975999"/>
      <w:r w:rsidRPr="00607BDE">
        <w:rPr>
          <w:rFonts w:ascii="Times New Roman" w:hAnsi="Times New Roman" w:cs="Times New Roman"/>
          <w:b w:val="0"/>
          <w:color w:val="000000"/>
          <w:sz w:val="24"/>
          <w:lang w:val="en-GB"/>
        </w:rPr>
        <w:t>Table 7: Transfers between shared management funds</w:t>
      </w:r>
      <w:r w:rsidRPr="00607BDE">
        <w:rPr>
          <w:rFonts w:ascii="Times New Roman" w:hAnsi="Times New Roman" w:cs="Times New Roman"/>
          <w:b w:val="0"/>
          <w:color w:val="000000"/>
          <w:sz w:val="24"/>
          <w:vertAlign w:val="superscript"/>
          <w:lang w:val="en-GB"/>
        </w:rPr>
        <w:t>1</w:t>
      </w:r>
      <w:bookmarkEnd w:id="28"/>
    </w:p>
    <w:p w14:paraId="5C37FF65"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1437"/>
        <w:gridCol w:w="1076"/>
        <w:gridCol w:w="1463"/>
        <w:gridCol w:w="1333"/>
        <w:gridCol w:w="3151"/>
        <w:gridCol w:w="1835"/>
        <w:gridCol w:w="1250"/>
      </w:tblGrid>
      <w:tr w:rsidR="00AC7127" w:rsidRPr="00607BDE" w14:paraId="1AFF1E4F" w14:textId="77777777">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4D9BB5" w14:textId="77777777" w:rsidR="00A77B3E" w:rsidRPr="00607BDE" w:rsidRDefault="00C401B9">
            <w:pPr>
              <w:spacing w:before="100"/>
              <w:jc w:val="center"/>
              <w:rPr>
                <w:color w:val="000000"/>
                <w:lang w:val="en-GB"/>
              </w:rPr>
            </w:pPr>
            <w:r w:rsidRPr="00607BDE">
              <w:rPr>
                <w:color w:val="000000"/>
                <w:lang w:val="en-GB"/>
              </w:rPr>
              <w:t>Transferring fund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5B5CAD" w14:textId="77777777" w:rsidR="00A77B3E" w:rsidRPr="00607BDE" w:rsidRDefault="00C401B9">
            <w:pPr>
              <w:spacing w:before="100"/>
              <w:jc w:val="center"/>
              <w:rPr>
                <w:color w:val="000000"/>
                <w:lang w:val="en-GB"/>
              </w:rPr>
            </w:pPr>
            <w:r w:rsidRPr="00607BDE">
              <w:rPr>
                <w:color w:val="000000"/>
                <w:lang w:val="en-GB"/>
              </w:rPr>
              <w:t>Receiving fund</w:t>
            </w:r>
          </w:p>
        </w:tc>
      </w:tr>
      <w:tr w:rsidR="00AC7127" w:rsidRPr="00607BDE" w14:paraId="1FBB3D79" w14:textId="77777777">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3A7EC9" w14:textId="77777777" w:rsidR="00A77B3E" w:rsidRPr="00607BDE" w:rsidRDefault="00A77B3E">
            <w:pPr>
              <w:spacing w:before="100"/>
              <w:jc w:val="center"/>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1EC6CE" w14:textId="77777777" w:rsidR="00A77B3E" w:rsidRPr="00607BDE" w:rsidRDefault="00C401B9">
            <w:pPr>
              <w:spacing w:before="100"/>
              <w:jc w:val="center"/>
              <w:rPr>
                <w:color w:val="000000"/>
                <w:lang w:val="en-GB"/>
              </w:rPr>
            </w:pPr>
            <w:r w:rsidRPr="00607BDE">
              <w:rPr>
                <w:color w:val="000000"/>
                <w:lang w:val="en-GB"/>
              </w:rPr>
              <w:t>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BD81E3" w14:textId="77777777" w:rsidR="00A77B3E" w:rsidRPr="00607BDE" w:rsidRDefault="00C401B9">
            <w:pPr>
              <w:spacing w:before="100"/>
              <w:jc w:val="center"/>
              <w:rPr>
                <w:color w:val="000000"/>
                <w:lang w:val="en-GB"/>
              </w:rPr>
            </w:pPr>
            <w:r w:rsidRPr="00607BDE">
              <w:rPr>
                <w:color w:val="000000"/>
                <w:lang w:val="en-GB"/>
              </w:rPr>
              <w:t>ISF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2CAC04" w14:textId="77777777" w:rsidR="00A77B3E" w:rsidRPr="00607BDE" w:rsidRDefault="00C401B9">
            <w:pPr>
              <w:spacing w:before="100"/>
              <w:jc w:val="center"/>
              <w:rPr>
                <w:color w:val="000000"/>
                <w:lang w:val="en-GB"/>
              </w:rPr>
            </w:pPr>
            <w:r w:rsidRPr="00607BDE">
              <w:rPr>
                <w:color w:val="000000"/>
                <w:lang w:val="en-GB"/>
              </w:rPr>
              <w:t>ERDF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D00B63" w14:textId="77777777" w:rsidR="00A77B3E" w:rsidRPr="00607BDE" w:rsidRDefault="00C401B9">
            <w:pPr>
              <w:spacing w:before="100"/>
              <w:jc w:val="center"/>
              <w:rPr>
                <w:color w:val="000000"/>
                <w:lang w:val="en-GB"/>
              </w:rPr>
            </w:pPr>
            <w:r w:rsidRPr="00607BDE">
              <w:rPr>
                <w:color w:val="000000"/>
                <w:lang w:val="en-GB"/>
              </w:rPr>
              <w:t>ESF+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51D191" w14:textId="77777777" w:rsidR="00A77B3E" w:rsidRPr="00607BDE" w:rsidRDefault="00C401B9">
            <w:pPr>
              <w:spacing w:before="100"/>
              <w:jc w:val="center"/>
              <w:rPr>
                <w:color w:val="000000"/>
                <w:lang w:val="en-GB"/>
              </w:rPr>
            </w:pPr>
            <w:r w:rsidRPr="00607BDE">
              <w:rPr>
                <w:color w:val="000000"/>
                <w:lang w:val="en-GB"/>
              </w:rPr>
              <w:t>Cohesion Fund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E1AA94" w14:textId="77777777" w:rsidR="00A77B3E" w:rsidRPr="00607BDE" w:rsidRDefault="00C401B9">
            <w:pPr>
              <w:spacing w:before="100"/>
              <w:jc w:val="center"/>
              <w:rPr>
                <w:color w:val="000000"/>
                <w:lang w:val="en-GB"/>
              </w:rPr>
            </w:pPr>
            <w:r w:rsidRPr="00607BDE">
              <w:rPr>
                <w:color w:val="000000"/>
                <w:lang w:val="en-GB"/>
              </w:rPr>
              <w:t>EMFAF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59AFD5" w14:textId="77777777" w:rsidR="00A77B3E" w:rsidRPr="00607BDE" w:rsidRDefault="00C401B9">
            <w:pPr>
              <w:spacing w:before="100"/>
              <w:jc w:val="center"/>
              <w:rPr>
                <w:color w:val="000000"/>
                <w:lang w:val="en-GB"/>
              </w:rPr>
            </w:pPr>
            <w:r w:rsidRPr="00607BDE">
              <w:rPr>
                <w:color w:val="000000"/>
                <w:lang w:val="en-GB"/>
              </w:rPr>
              <w:t>Total</w:t>
            </w:r>
          </w:p>
        </w:tc>
      </w:tr>
      <w:tr w:rsidR="00AC7127" w:rsidRPr="00607BDE" w14:paraId="53DD824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31FC2F" w14:textId="77777777" w:rsidR="00A77B3E" w:rsidRPr="00607BDE" w:rsidRDefault="00C401B9">
            <w:pPr>
              <w:spacing w:before="100"/>
              <w:jc w:val="center"/>
              <w:rPr>
                <w:color w:val="000000"/>
                <w:lang w:val="en-GB"/>
              </w:rPr>
            </w:pPr>
            <w:r w:rsidRPr="00607BDE">
              <w:rPr>
                <w:color w:val="000000"/>
                <w:lang w:val="en-GB"/>
              </w:rPr>
              <w:t>BMVI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A47DE1" w14:textId="77777777" w:rsidR="00A77B3E" w:rsidRPr="00607BDE" w:rsidRDefault="00C401B9">
            <w:pPr>
              <w:spacing w:before="100"/>
              <w:jc w:val="right"/>
              <w:rPr>
                <w:color w:val="000000"/>
                <w:lang w:val="en-GB"/>
              </w:rPr>
            </w:pPr>
            <w:r w:rsidRPr="00607BDE">
              <w:rPr>
                <w:color w:val="000000"/>
                <w:lang w:val="en-GB"/>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7DDC4F" w14:textId="77777777" w:rsidR="00A77B3E" w:rsidRPr="00607BDE" w:rsidRDefault="00C401B9">
            <w:pPr>
              <w:spacing w:before="100"/>
              <w:jc w:val="right"/>
              <w:rPr>
                <w:color w:val="000000"/>
                <w:lang w:val="en-GB"/>
              </w:rPr>
            </w:pPr>
            <w:r w:rsidRPr="00607BDE">
              <w:rPr>
                <w:color w:val="000000"/>
                <w:lang w:val="en-GB"/>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7985B0" w14:textId="77777777" w:rsidR="00A77B3E" w:rsidRPr="00607BDE" w:rsidRDefault="00C401B9">
            <w:pPr>
              <w:spacing w:before="100"/>
              <w:jc w:val="right"/>
              <w:rPr>
                <w:color w:val="000000"/>
                <w:lang w:val="en-GB"/>
              </w:rPr>
            </w:pPr>
            <w:r w:rsidRPr="00607BDE">
              <w:rPr>
                <w:color w:val="000000"/>
                <w:lang w:val="en-GB"/>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0A7341" w14:textId="77777777" w:rsidR="00A77B3E" w:rsidRPr="00607BDE" w:rsidRDefault="00C401B9">
            <w:pPr>
              <w:spacing w:before="100"/>
              <w:jc w:val="right"/>
              <w:rPr>
                <w:color w:val="000000"/>
                <w:lang w:val="en-GB"/>
              </w:rPr>
            </w:pPr>
            <w:r w:rsidRPr="00607BDE">
              <w:rPr>
                <w:color w:val="000000"/>
                <w:lang w:val="en-GB"/>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F42E93" w14:textId="77777777" w:rsidR="00A77B3E" w:rsidRPr="00607BDE" w:rsidRDefault="00C401B9">
            <w:pPr>
              <w:spacing w:before="100"/>
              <w:jc w:val="right"/>
              <w:rPr>
                <w:color w:val="000000"/>
                <w:lang w:val="en-GB"/>
              </w:rPr>
            </w:pPr>
            <w:r w:rsidRPr="00607BDE">
              <w:rPr>
                <w:color w:val="000000"/>
                <w:lang w:val="en-GB"/>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AB8C74" w14:textId="77777777" w:rsidR="00A77B3E" w:rsidRPr="00607BDE" w:rsidRDefault="00C401B9">
            <w:pPr>
              <w:spacing w:before="100"/>
              <w:jc w:val="right"/>
              <w:rPr>
                <w:color w:val="000000"/>
                <w:lang w:val="en-GB"/>
              </w:rPr>
            </w:pPr>
            <w:r w:rsidRPr="00607BDE">
              <w:rPr>
                <w:color w:val="000000"/>
                <w:lang w:val="en-GB"/>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3809D1" w14:textId="77777777" w:rsidR="00A77B3E" w:rsidRPr="00607BDE" w:rsidRDefault="00C401B9">
            <w:pPr>
              <w:spacing w:before="100"/>
              <w:jc w:val="right"/>
              <w:rPr>
                <w:color w:val="000000"/>
                <w:lang w:val="en-GB"/>
              </w:rPr>
            </w:pPr>
            <w:r w:rsidRPr="00607BDE">
              <w:rPr>
                <w:color w:val="000000"/>
                <w:lang w:val="en-GB"/>
              </w:rPr>
              <w:t>0.00</w:t>
            </w:r>
          </w:p>
        </w:tc>
      </w:tr>
    </w:tbl>
    <w:p w14:paraId="73DC82AF" w14:textId="77777777" w:rsidR="00A77B3E" w:rsidRPr="00607BDE" w:rsidRDefault="00C401B9">
      <w:pPr>
        <w:spacing w:before="100"/>
        <w:rPr>
          <w:color w:val="000000"/>
          <w:lang w:val="en-GB"/>
        </w:rPr>
      </w:pPr>
      <w:r w:rsidRPr="00607BDE">
        <w:rPr>
          <w:color w:val="000000"/>
          <w:vertAlign w:val="superscript"/>
          <w:lang w:val="en-GB"/>
        </w:rPr>
        <w:t>1</w:t>
      </w:r>
      <w:r w:rsidRPr="00607BDE">
        <w:rPr>
          <w:color w:val="000000"/>
          <w:lang w:val="en-GB"/>
        </w:rPr>
        <w:t>Cumulative amounts for all transfers during programming period.</w:t>
      </w:r>
    </w:p>
    <w:p w14:paraId="6D8E750C" w14:textId="77777777" w:rsidR="00A77B3E" w:rsidRPr="00607BDE" w:rsidRDefault="00C401B9">
      <w:pPr>
        <w:pStyle w:val="Nagwek3"/>
        <w:spacing w:before="100" w:after="0"/>
        <w:rPr>
          <w:rFonts w:ascii="Times New Roman" w:hAnsi="Times New Roman" w:cs="Times New Roman"/>
          <w:b w:val="0"/>
          <w:color w:val="000000"/>
          <w:sz w:val="0"/>
          <w:lang w:val="en-GB"/>
        </w:rPr>
      </w:pPr>
      <w:r w:rsidRPr="00607BDE">
        <w:rPr>
          <w:rFonts w:ascii="Times New Roman" w:hAnsi="Times New Roman" w:cs="Times New Roman"/>
          <w:b w:val="0"/>
          <w:color w:val="000000"/>
          <w:sz w:val="24"/>
          <w:lang w:val="en-GB"/>
        </w:rPr>
        <w:br w:type="page"/>
      </w:r>
      <w:bookmarkStart w:id="29" w:name="_Toc128976000"/>
      <w:r w:rsidRPr="00607BDE">
        <w:rPr>
          <w:rFonts w:ascii="Times New Roman" w:hAnsi="Times New Roman" w:cs="Times New Roman"/>
          <w:b w:val="0"/>
          <w:color w:val="000000"/>
          <w:sz w:val="24"/>
          <w:lang w:val="en-GB"/>
        </w:rPr>
        <w:t>Table 8: Transfers to instruments under direct or indirect management</w:t>
      </w:r>
      <w:r w:rsidRPr="00607BDE">
        <w:rPr>
          <w:rFonts w:ascii="Times New Roman" w:hAnsi="Times New Roman" w:cs="Times New Roman"/>
          <w:b w:val="0"/>
          <w:color w:val="000000"/>
          <w:sz w:val="24"/>
          <w:vertAlign w:val="superscript"/>
          <w:lang w:val="en-GB"/>
        </w:rPr>
        <w:t>1</w:t>
      </w:r>
      <w:bookmarkEnd w:id="29"/>
    </w:p>
    <w:p w14:paraId="0D2D48C5"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9046"/>
      </w:tblGrid>
      <w:tr w:rsidR="00AC7127" w:rsidRPr="00607BDE" w14:paraId="458A9C54"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4D6757" w14:textId="77777777" w:rsidR="00A77B3E" w:rsidRPr="00607BDE" w:rsidRDefault="00C401B9">
            <w:pPr>
              <w:spacing w:before="100"/>
              <w:jc w:val="center"/>
              <w:rPr>
                <w:color w:val="000000"/>
                <w:lang w:val="en-GB"/>
              </w:rPr>
            </w:pPr>
            <w:r w:rsidRPr="00607BDE">
              <w:rPr>
                <w:color w:val="000000"/>
                <w:lang w:val="en-GB"/>
              </w:rPr>
              <w:t>Instrument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8229CE" w14:textId="77777777" w:rsidR="00A77B3E" w:rsidRPr="00607BDE" w:rsidRDefault="00C401B9">
            <w:pPr>
              <w:spacing w:before="100"/>
              <w:jc w:val="center"/>
              <w:rPr>
                <w:color w:val="000000"/>
                <w:lang w:val="en-GB"/>
              </w:rPr>
            </w:pPr>
            <w:r w:rsidRPr="00607BDE">
              <w:rPr>
                <w:color w:val="000000"/>
                <w:lang w:val="en-GB"/>
              </w:rPr>
              <w:t>Transfer amount</w:t>
            </w:r>
          </w:p>
        </w:tc>
      </w:tr>
    </w:tbl>
    <w:p w14:paraId="719C09D8" w14:textId="77777777" w:rsidR="00A77B3E" w:rsidRPr="00607BDE" w:rsidRDefault="00C401B9">
      <w:pPr>
        <w:spacing w:before="100"/>
        <w:rPr>
          <w:color w:val="000000"/>
          <w:lang w:val="en-GB"/>
        </w:rPr>
        <w:sectPr w:rsidR="00A77B3E" w:rsidRPr="00607BDE">
          <w:headerReference w:type="even" r:id="rId45"/>
          <w:headerReference w:type="default" r:id="rId46"/>
          <w:footerReference w:type="even" r:id="rId47"/>
          <w:footerReference w:type="default" r:id="rId48"/>
          <w:headerReference w:type="first" r:id="rId49"/>
          <w:footerReference w:type="first" r:id="rId50"/>
          <w:pgSz w:w="16838" w:h="11906" w:orient="landscape"/>
          <w:pgMar w:top="720" w:right="720" w:bottom="864" w:left="936" w:header="288" w:footer="72" w:gutter="0"/>
          <w:cols w:space="720"/>
          <w:noEndnote/>
          <w:docGrid w:linePitch="360"/>
        </w:sectPr>
      </w:pPr>
      <w:r w:rsidRPr="00607BDE">
        <w:rPr>
          <w:color w:val="000000"/>
          <w:vertAlign w:val="superscript"/>
          <w:lang w:val="en-GB"/>
        </w:rPr>
        <w:t>1</w:t>
      </w:r>
      <w:r w:rsidRPr="00607BDE">
        <w:rPr>
          <w:color w:val="000000"/>
          <w:lang w:val="en-GB"/>
        </w:rPr>
        <w:t>Cumulative amounts for all transfers during programming period.</w:t>
      </w:r>
    </w:p>
    <w:p w14:paraId="0A32A0AD" w14:textId="77777777" w:rsidR="00A77B3E" w:rsidRPr="00607BDE" w:rsidRDefault="00C401B9">
      <w:pPr>
        <w:pStyle w:val="Nagwek1"/>
        <w:spacing w:before="100" w:after="0"/>
        <w:rPr>
          <w:rFonts w:ascii="Times New Roman" w:hAnsi="Times New Roman" w:cs="Times New Roman"/>
          <w:b w:val="0"/>
          <w:color w:val="000000"/>
          <w:sz w:val="24"/>
          <w:lang w:val="en-GB"/>
        </w:rPr>
      </w:pPr>
      <w:bookmarkStart w:id="30" w:name="_Toc128976001"/>
      <w:r w:rsidRPr="00607BDE">
        <w:rPr>
          <w:rFonts w:ascii="Times New Roman" w:hAnsi="Times New Roman" w:cs="Times New Roman"/>
          <w:b w:val="0"/>
          <w:color w:val="000000"/>
          <w:sz w:val="24"/>
          <w:lang w:val="en-GB"/>
        </w:rPr>
        <w:t>4. Enabling conditions</w:t>
      </w:r>
      <w:bookmarkEnd w:id="30"/>
    </w:p>
    <w:p w14:paraId="534AD467" w14:textId="77777777" w:rsidR="00A77B3E" w:rsidRPr="00607BDE" w:rsidRDefault="00C401B9">
      <w:pPr>
        <w:spacing w:before="100"/>
        <w:rPr>
          <w:color w:val="000000"/>
          <w:lang w:val="en-GB"/>
        </w:rPr>
      </w:pPr>
      <w:r w:rsidRPr="00607BDE">
        <w:rPr>
          <w:color w:val="000000"/>
          <w:lang w:val="en-GB"/>
        </w:rPr>
        <w:t>Reference: Article 22(3)(i) of the Common Provisions Regulation</w:t>
      </w:r>
    </w:p>
    <w:p w14:paraId="78C35F29"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31" w:name="_Toc128976002"/>
      <w:r w:rsidRPr="00607BDE">
        <w:rPr>
          <w:rFonts w:ascii="Times New Roman" w:hAnsi="Times New Roman" w:cs="Times New Roman"/>
          <w:b w:val="0"/>
          <w:i w:val="0"/>
          <w:color w:val="000000"/>
          <w:sz w:val="24"/>
          <w:lang w:val="en-GB"/>
        </w:rPr>
        <w:t>Table 9: Horizontal enabling conditions</w:t>
      </w:r>
      <w:bookmarkEnd w:id="31"/>
    </w:p>
    <w:p w14:paraId="7A26AFBC" w14:textId="77777777" w:rsidR="00A77B3E" w:rsidRPr="00607BDE" w:rsidRDefault="00A77B3E">
      <w:pPr>
        <w:spacing w:before="100"/>
        <w:rPr>
          <w:color w:val="000000"/>
          <w:sz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AC7127" w:rsidRPr="00607BDE" w14:paraId="063597AE"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30CBA3" w14:textId="77777777" w:rsidR="00A77B3E" w:rsidRPr="00607BDE" w:rsidRDefault="00C401B9">
            <w:pPr>
              <w:spacing w:before="100"/>
              <w:jc w:val="center"/>
              <w:rPr>
                <w:color w:val="000000"/>
                <w:sz w:val="20"/>
                <w:lang w:val="en-GB"/>
              </w:rPr>
            </w:pPr>
            <w:r w:rsidRPr="00607BDE">
              <w:rPr>
                <w:color w:val="000000"/>
                <w:sz w:val="20"/>
                <w:lang w:val="en-GB"/>
              </w:rPr>
              <w:t>Enabling condition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010E4C" w14:textId="77777777" w:rsidR="00A77B3E" w:rsidRPr="00607BDE" w:rsidRDefault="00C401B9">
            <w:pPr>
              <w:spacing w:before="100"/>
              <w:jc w:val="center"/>
              <w:rPr>
                <w:color w:val="000000"/>
                <w:sz w:val="20"/>
                <w:lang w:val="en-GB"/>
              </w:rPr>
            </w:pPr>
            <w:r w:rsidRPr="00607BDE">
              <w:rPr>
                <w:color w:val="000000"/>
                <w:sz w:val="20"/>
                <w:lang w:val="en-GB"/>
              </w:rPr>
              <w:t>Fulfilment of enabling condition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8E4A88" w14:textId="77777777" w:rsidR="00A77B3E" w:rsidRPr="00607BDE" w:rsidRDefault="00C401B9">
            <w:pPr>
              <w:spacing w:before="100"/>
              <w:jc w:val="center"/>
              <w:rPr>
                <w:color w:val="000000"/>
                <w:sz w:val="20"/>
                <w:lang w:val="en-GB"/>
              </w:rPr>
            </w:pPr>
            <w:r w:rsidRPr="00607BDE">
              <w:rPr>
                <w:color w:val="000000"/>
                <w:sz w:val="20"/>
                <w:lang w:val="en-GB"/>
              </w:rPr>
              <w:t>Criteria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CE23D6" w14:textId="77777777" w:rsidR="00A77B3E" w:rsidRPr="00607BDE" w:rsidRDefault="00C401B9">
            <w:pPr>
              <w:spacing w:before="100"/>
              <w:jc w:val="center"/>
              <w:rPr>
                <w:color w:val="000000"/>
                <w:sz w:val="20"/>
                <w:lang w:val="en-GB"/>
              </w:rPr>
            </w:pPr>
            <w:r w:rsidRPr="00607BDE">
              <w:rPr>
                <w:color w:val="000000"/>
                <w:sz w:val="20"/>
                <w:lang w:val="en-GB"/>
              </w:rPr>
              <w:t>Fulfilment of criteria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41C02D" w14:textId="77777777" w:rsidR="00A77B3E" w:rsidRPr="00607BDE" w:rsidRDefault="00C401B9">
            <w:pPr>
              <w:spacing w:before="100"/>
              <w:jc w:val="center"/>
              <w:rPr>
                <w:color w:val="000000"/>
                <w:sz w:val="20"/>
                <w:lang w:val="en-GB"/>
              </w:rPr>
            </w:pPr>
            <w:r w:rsidRPr="00607BDE">
              <w:rPr>
                <w:color w:val="000000"/>
                <w:sz w:val="20"/>
                <w:lang w:val="en-GB"/>
              </w:rPr>
              <w:t>Reference to relevant documents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766CB8" w14:textId="77777777" w:rsidR="00A77B3E" w:rsidRPr="00607BDE" w:rsidRDefault="00C401B9">
            <w:pPr>
              <w:spacing w:before="100"/>
              <w:jc w:val="center"/>
              <w:rPr>
                <w:color w:val="000000"/>
                <w:sz w:val="20"/>
                <w:lang w:val="en-GB"/>
              </w:rPr>
            </w:pPr>
            <w:r w:rsidRPr="00607BDE">
              <w:rPr>
                <w:color w:val="000000"/>
                <w:sz w:val="20"/>
                <w:lang w:val="en-GB"/>
              </w:rPr>
              <w:t>Justification</w:t>
            </w:r>
          </w:p>
        </w:tc>
      </w:tr>
      <w:tr w:rsidR="00AC7127" w:rsidRPr="00607BDE" w14:paraId="4C33AA13"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8909A" w14:textId="77777777" w:rsidR="00A77B3E" w:rsidRPr="00607BDE" w:rsidRDefault="00C401B9">
            <w:pPr>
              <w:spacing w:before="100"/>
              <w:rPr>
                <w:color w:val="000000"/>
                <w:sz w:val="20"/>
                <w:lang w:val="en-GB"/>
              </w:rPr>
            </w:pPr>
            <w:r w:rsidRPr="00607BDE">
              <w:rPr>
                <w:color w:val="000000"/>
                <w:sz w:val="20"/>
                <w:lang w:val="en-GB"/>
              </w:rPr>
              <w:t>1. Effective monitoring mechanisms of the public procurement market</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A04C18"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9420FE" w14:textId="77777777" w:rsidR="00A77B3E" w:rsidRPr="00607BDE" w:rsidRDefault="00C401B9">
            <w:pPr>
              <w:spacing w:before="100"/>
              <w:rPr>
                <w:color w:val="000000"/>
                <w:sz w:val="20"/>
                <w:lang w:val="en-GB"/>
              </w:rPr>
            </w:pPr>
            <w:r w:rsidRPr="00607BDE">
              <w:rPr>
                <w:color w:val="000000"/>
                <w:sz w:val="20"/>
                <w:lang w:val="en-GB"/>
              </w:rPr>
              <w:t>Monitoring mechanisms are in place that cover all public contracts and their procurement under the Funds in line with Union procurement legislation. That requirement includes:</w:t>
            </w:r>
          </w:p>
          <w:p w14:paraId="3DC275CF" w14:textId="77777777" w:rsidR="00A77B3E" w:rsidRPr="00607BDE" w:rsidRDefault="00C401B9">
            <w:pPr>
              <w:spacing w:before="100"/>
              <w:rPr>
                <w:color w:val="000000"/>
                <w:sz w:val="20"/>
                <w:lang w:val="en-GB"/>
              </w:rPr>
            </w:pPr>
            <w:r w:rsidRPr="00607BDE">
              <w:rPr>
                <w:color w:val="000000"/>
                <w:sz w:val="20"/>
                <w:lang w:val="en-GB"/>
              </w:rPr>
              <w:t>1. Arrangements to ensure compilation of effective and reliable data on public procurement procedures above the Union thresholds in accordance with reporting obligations under Articles 83 and 84 of Directive 2014/24/EU and Articles 99 and 100 of Directive 2014/25/EU;</w:t>
            </w:r>
          </w:p>
          <w:p w14:paraId="682E4F41" w14:textId="77777777" w:rsidR="00A77B3E" w:rsidRPr="00607BDE" w:rsidRDefault="00A77B3E">
            <w:pPr>
              <w:spacing w:before="100"/>
              <w:rPr>
                <w:color w:val="000000"/>
                <w:sz w:val="20"/>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A34E46"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EAF38" w14:textId="77777777" w:rsidR="00A77B3E" w:rsidRPr="00607BDE" w:rsidRDefault="00C401B9">
            <w:pPr>
              <w:spacing w:before="100"/>
              <w:rPr>
                <w:color w:val="000000"/>
                <w:sz w:val="20"/>
                <w:lang w:val="en-GB"/>
              </w:rPr>
            </w:pPr>
            <w:r w:rsidRPr="00607BDE">
              <w:rPr>
                <w:color w:val="000000"/>
                <w:sz w:val="20"/>
                <w:lang w:val="en-GB"/>
              </w:rPr>
              <w:t>Link to the Act:</w:t>
            </w:r>
          </w:p>
          <w:p w14:paraId="5794BE60" w14:textId="77777777" w:rsidR="00A77B3E" w:rsidRPr="00607BDE" w:rsidRDefault="00C401B9">
            <w:pPr>
              <w:spacing w:before="100"/>
              <w:rPr>
                <w:color w:val="000000"/>
                <w:sz w:val="20"/>
                <w:lang w:val="en-GB"/>
              </w:rPr>
            </w:pPr>
            <w:r w:rsidRPr="00607BDE">
              <w:rPr>
                <w:color w:val="000000"/>
                <w:sz w:val="20"/>
                <w:lang w:val="en-GB"/>
              </w:rPr>
              <w:t xml:space="preserve">http://isap.sejm.gov.pl/isap.nsf/download.xsp/WDU20190002019/U/D20192019Lj.pdf </w:t>
            </w:r>
          </w:p>
          <w:p w14:paraId="00584A36" w14:textId="77777777" w:rsidR="00A77B3E" w:rsidRPr="00607BDE" w:rsidRDefault="00A77B3E">
            <w:pPr>
              <w:spacing w:before="100"/>
              <w:rPr>
                <w:color w:val="000000"/>
                <w:sz w:val="20"/>
                <w:lang w:val="en-GB"/>
              </w:rPr>
            </w:pPr>
          </w:p>
          <w:p w14:paraId="5623AB38" w14:textId="77777777" w:rsidR="00A77B3E" w:rsidRPr="00607BDE" w:rsidRDefault="00C401B9">
            <w:pPr>
              <w:spacing w:before="100"/>
              <w:rPr>
                <w:color w:val="000000"/>
                <w:sz w:val="20"/>
                <w:lang w:val="en-GB"/>
              </w:rPr>
            </w:pPr>
            <w:r w:rsidRPr="00607BDE">
              <w:rPr>
                <w:color w:val="000000"/>
                <w:sz w:val="20"/>
                <w:lang w:val="en-GB"/>
              </w:rPr>
              <w:t>Link to annual reports on the functioning of the public procurement system:</w:t>
            </w:r>
          </w:p>
          <w:p w14:paraId="316C66A0" w14:textId="77777777" w:rsidR="00A77B3E" w:rsidRPr="00607BDE" w:rsidRDefault="00C401B9">
            <w:pPr>
              <w:spacing w:before="100"/>
              <w:rPr>
                <w:color w:val="000000"/>
                <w:sz w:val="20"/>
                <w:lang w:val="en-GB"/>
              </w:rPr>
            </w:pPr>
            <w:r w:rsidRPr="00607BDE">
              <w:rPr>
                <w:color w:val="000000"/>
                <w:sz w:val="20"/>
                <w:lang w:val="en-GB"/>
              </w:rPr>
              <w:t>https://www.uzp.gov.pl/baza-wiedzy/analizy-systemowe/sprawozdania-o-funkcjonowaniu-systemu-zamowien-publicznych</w:t>
            </w:r>
          </w:p>
          <w:p w14:paraId="26A9E3D7"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966F2B" w14:textId="77777777" w:rsidR="00A77B3E" w:rsidRPr="00607BDE" w:rsidRDefault="00C401B9">
            <w:pPr>
              <w:spacing w:before="100"/>
              <w:rPr>
                <w:color w:val="000000"/>
                <w:sz w:val="20"/>
                <w:lang w:val="en-GB"/>
              </w:rPr>
            </w:pPr>
            <w:r w:rsidRPr="00607BDE">
              <w:rPr>
                <w:color w:val="000000"/>
                <w:sz w:val="20"/>
                <w:lang w:val="en-GB"/>
              </w:rPr>
              <w:t>In accordance with the obligations under applicable directives, the PPO prepares, every three years, reports on monitoring of the public procurement system based on data provided by contracting entities in their annual reports on public contracts awarded, data from the e-Zamówienia Platform, data from the TED and information on findings of inspections conducted by the PPO President.</w:t>
            </w:r>
          </w:p>
        </w:tc>
      </w:tr>
      <w:tr w:rsidR="00AC7127" w:rsidRPr="00607BDE" w14:paraId="567A548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10727E" w14:textId="77777777" w:rsidR="00A77B3E" w:rsidRPr="00607B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53294"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21355" w14:textId="77777777" w:rsidR="00A77B3E" w:rsidRPr="00607BDE" w:rsidRDefault="00C401B9">
            <w:pPr>
              <w:spacing w:before="100"/>
              <w:rPr>
                <w:color w:val="000000"/>
                <w:sz w:val="20"/>
                <w:lang w:val="en-GB"/>
              </w:rPr>
            </w:pPr>
            <w:r w:rsidRPr="00607BDE">
              <w:rPr>
                <w:color w:val="000000"/>
                <w:sz w:val="20"/>
                <w:lang w:val="en-GB"/>
              </w:rPr>
              <w:t xml:space="preserve">2. Arrangements to ensure the data cover at least the following elements: </w:t>
            </w:r>
          </w:p>
          <w:p w14:paraId="385C8D3B" w14:textId="77777777" w:rsidR="00A77B3E" w:rsidRPr="00607BDE" w:rsidRDefault="00C401B9">
            <w:pPr>
              <w:spacing w:before="100"/>
              <w:rPr>
                <w:color w:val="000000"/>
                <w:sz w:val="20"/>
                <w:lang w:val="en-GB"/>
              </w:rPr>
            </w:pPr>
            <w:r w:rsidRPr="00607BDE">
              <w:rPr>
                <w:color w:val="000000"/>
                <w:sz w:val="20"/>
                <w:lang w:val="en-GB"/>
              </w:rPr>
              <w:t xml:space="preserve">a) quality and intensity of competition: names of winning bidder, number of initial bidders and contractual value; </w:t>
            </w:r>
          </w:p>
          <w:p w14:paraId="51A2D2BF" w14:textId="77777777" w:rsidR="00A77B3E" w:rsidRPr="00607BDE" w:rsidRDefault="00C401B9">
            <w:pPr>
              <w:spacing w:before="100"/>
              <w:rPr>
                <w:color w:val="000000"/>
                <w:sz w:val="20"/>
                <w:lang w:val="en-GB"/>
              </w:rPr>
            </w:pPr>
            <w:r w:rsidRPr="00607BDE">
              <w:rPr>
                <w:color w:val="000000"/>
                <w:sz w:val="20"/>
                <w:lang w:val="en-GB"/>
              </w:rPr>
              <w:t>b) information on final price after completion and on participation of SMEs as direct bidders, where national systems provide such information;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BB9B5"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04A2B" w14:textId="77777777" w:rsidR="00A77B3E" w:rsidRPr="00607BDE" w:rsidRDefault="00C401B9">
            <w:pPr>
              <w:spacing w:before="100"/>
              <w:rPr>
                <w:color w:val="000000"/>
                <w:sz w:val="20"/>
                <w:lang w:val="en-GB"/>
              </w:rPr>
            </w:pPr>
            <w:r w:rsidRPr="00607BDE">
              <w:rPr>
                <w:color w:val="000000"/>
                <w:sz w:val="20"/>
                <w:lang w:val="en-GB"/>
              </w:rPr>
              <w:t xml:space="preserve">Link to the Act: </w:t>
            </w:r>
          </w:p>
          <w:p w14:paraId="097A1F61" w14:textId="77777777" w:rsidR="00A77B3E" w:rsidRPr="00607BDE" w:rsidRDefault="00C401B9">
            <w:pPr>
              <w:spacing w:before="100"/>
              <w:rPr>
                <w:color w:val="000000"/>
                <w:sz w:val="20"/>
                <w:lang w:val="en-GB"/>
              </w:rPr>
            </w:pPr>
            <w:r w:rsidRPr="00607BDE">
              <w:rPr>
                <w:color w:val="000000"/>
                <w:sz w:val="20"/>
                <w:lang w:val="en-GB"/>
              </w:rPr>
              <w:t xml:space="preserve">http://isap.sejm.gov.pl/isap.nsf/download.xsp/WDU20190002019/U/D20192019Lj.pdf </w:t>
            </w:r>
          </w:p>
          <w:p w14:paraId="2D1271DB" w14:textId="77777777" w:rsidR="00A77B3E" w:rsidRPr="00607BDE" w:rsidRDefault="00A77B3E">
            <w:pPr>
              <w:spacing w:before="100"/>
              <w:rPr>
                <w:color w:val="000000"/>
                <w:sz w:val="20"/>
                <w:lang w:val="en-GB"/>
              </w:rPr>
            </w:pPr>
          </w:p>
          <w:p w14:paraId="37A69914" w14:textId="77777777" w:rsidR="00A77B3E" w:rsidRPr="00607BDE" w:rsidRDefault="00C401B9">
            <w:pPr>
              <w:spacing w:before="100"/>
              <w:rPr>
                <w:color w:val="000000"/>
                <w:sz w:val="20"/>
                <w:lang w:val="en-GB"/>
              </w:rPr>
            </w:pPr>
            <w:r w:rsidRPr="00607BDE">
              <w:rPr>
                <w:color w:val="000000"/>
                <w:sz w:val="20"/>
                <w:lang w:val="en-GB"/>
              </w:rPr>
              <w:t>Link to annual reports on the functioning of the public procurement system:</w:t>
            </w:r>
          </w:p>
          <w:p w14:paraId="0D4B68CA" w14:textId="77777777" w:rsidR="00A77B3E" w:rsidRPr="00607BDE" w:rsidRDefault="00C401B9">
            <w:pPr>
              <w:spacing w:before="100"/>
              <w:rPr>
                <w:color w:val="000000"/>
                <w:sz w:val="20"/>
                <w:lang w:val="en-GB"/>
              </w:rPr>
            </w:pPr>
            <w:r w:rsidRPr="00607BDE">
              <w:rPr>
                <w:color w:val="000000"/>
                <w:sz w:val="20"/>
                <w:lang w:val="en-GB"/>
              </w:rPr>
              <w:t>https://www.uzp.gov.pl/baza-wiedzy/analizy-systemowe/sprawozdania-o-funkcjonowaniu-systemu-zamowien-publicznych</w:t>
            </w:r>
          </w:p>
          <w:p w14:paraId="20FFBCAA" w14:textId="77777777" w:rsidR="00A77B3E" w:rsidRPr="00607BDE" w:rsidRDefault="00A77B3E">
            <w:pPr>
              <w:spacing w:before="100"/>
              <w:rPr>
                <w:color w:val="000000"/>
                <w:sz w:val="20"/>
                <w:lang w:val="en-GB"/>
              </w:rPr>
            </w:pPr>
          </w:p>
          <w:p w14:paraId="0DF590D7"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C23BBC" w14:textId="77777777" w:rsidR="00A77B3E" w:rsidRPr="00607BDE" w:rsidRDefault="00C401B9">
            <w:pPr>
              <w:spacing w:before="100"/>
              <w:rPr>
                <w:color w:val="000000"/>
                <w:sz w:val="20"/>
                <w:lang w:val="en-GB"/>
              </w:rPr>
            </w:pPr>
            <w:r w:rsidRPr="00607BDE">
              <w:rPr>
                <w:color w:val="000000"/>
                <w:sz w:val="20"/>
                <w:lang w:val="en-GB"/>
              </w:rPr>
              <w:t>The PPO has access to all data required within the framework of the basic conditionality (the data comes from the EC's TED database, from annual reports submitted to the PPO President by contracting entities, and from the Public Procurement Bulletin database).</w:t>
            </w:r>
          </w:p>
        </w:tc>
      </w:tr>
      <w:tr w:rsidR="00AC7127" w:rsidRPr="00607BDE" w14:paraId="66A35140"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A29A5" w14:textId="77777777" w:rsidR="00A77B3E" w:rsidRPr="00607B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C6DEA"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419515" w14:textId="77777777" w:rsidR="00A77B3E" w:rsidRPr="00607BDE" w:rsidRDefault="00C401B9">
            <w:pPr>
              <w:spacing w:before="100"/>
              <w:rPr>
                <w:color w:val="000000"/>
                <w:sz w:val="20"/>
                <w:lang w:val="en-GB"/>
              </w:rPr>
            </w:pPr>
            <w:r w:rsidRPr="00607BDE">
              <w:rPr>
                <w:color w:val="000000"/>
                <w:sz w:val="20"/>
                <w:lang w:val="en-GB"/>
              </w:rPr>
              <w:t>3. Arrangements to ensure monitoring and analysis of the data by the competent national authorities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010FC2"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66A1B" w14:textId="77777777" w:rsidR="00A77B3E" w:rsidRPr="00607BDE" w:rsidRDefault="00C401B9">
            <w:pPr>
              <w:spacing w:before="100"/>
              <w:rPr>
                <w:color w:val="000000"/>
                <w:sz w:val="20"/>
                <w:lang w:val="en-GB"/>
              </w:rPr>
            </w:pPr>
            <w:r w:rsidRPr="00607BDE">
              <w:rPr>
                <w:color w:val="000000"/>
                <w:sz w:val="20"/>
                <w:lang w:val="en-GB"/>
              </w:rPr>
              <w:t xml:space="preserve">Link to the Act: </w:t>
            </w:r>
          </w:p>
          <w:p w14:paraId="37E1657A" w14:textId="77777777" w:rsidR="00A77B3E" w:rsidRPr="00607BDE" w:rsidRDefault="00C401B9">
            <w:pPr>
              <w:spacing w:before="100"/>
              <w:rPr>
                <w:color w:val="000000"/>
                <w:sz w:val="20"/>
                <w:lang w:val="en-GB"/>
              </w:rPr>
            </w:pPr>
            <w:r w:rsidRPr="00607BDE">
              <w:rPr>
                <w:color w:val="000000"/>
                <w:sz w:val="20"/>
                <w:lang w:val="en-GB"/>
              </w:rPr>
              <w:t xml:space="preserve">http://isap.sejm.gov.pl/isap.nsf/download.xsp/WDU20190002019/U/D20192019Lj.pdf </w:t>
            </w:r>
          </w:p>
          <w:p w14:paraId="5CFEC0BA" w14:textId="77777777" w:rsidR="00A77B3E" w:rsidRPr="00607BDE" w:rsidRDefault="00A77B3E">
            <w:pPr>
              <w:spacing w:before="100"/>
              <w:rPr>
                <w:color w:val="000000"/>
                <w:sz w:val="20"/>
                <w:lang w:val="en-GB"/>
              </w:rPr>
            </w:pPr>
          </w:p>
          <w:p w14:paraId="34347D62" w14:textId="77777777" w:rsidR="00A77B3E" w:rsidRPr="00607BDE" w:rsidRDefault="00C401B9">
            <w:pPr>
              <w:spacing w:before="100"/>
              <w:rPr>
                <w:color w:val="000000"/>
                <w:sz w:val="20"/>
                <w:lang w:val="en-GB"/>
              </w:rPr>
            </w:pPr>
            <w:r w:rsidRPr="00607BDE">
              <w:rPr>
                <w:color w:val="000000"/>
                <w:sz w:val="20"/>
                <w:lang w:val="en-GB"/>
              </w:rPr>
              <w:t>Link to annual reports on the functioning of the public procurement system:</w:t>
            </w:r>
          </w:p>
          <w:p w14:paraId="5CBADBF6" w14:textId="77777777" w:rsidR="00A77B3E" w:rsidRPr="00607BDE" w:rsidRDefault="00C401B9">
            <w:pPr>
              <w:spacing w:before="100"/>
              <w:rPr>
                <w:color w:val="000000"/>
                <w:sz w:val="20"/>
                <w:lang w:val="en-GB"/>
              </w:rPr>
            </w:pPr>
            <w:r w:rsidRPr="00607BDE">
              <w:rPr>
                <w:color w:val="000000"/>
                <w:sz w:val="20"/>
                <w:lang w:val="en-GB"/>
              </w:rPr>
              <w:t>https://www.uzp.gov.pl/baza-wiedzy/analizy-systemowe/sprawozdania-o-funkcjonowaniu-systemu-zamowien-publicznych</w:t>
            </w:r>
          </w:p>
          <w:p w14:paraId="07955186" w14:textId="77777777" w:rsidR="00A77B3E" w:rsidRPr="00607BDE" w:rsidRDefault="00A77B3E">
            <w:pPr>
              <w:spacing w:before="100"/>
              <w:rPr>
                <w:color w:val="000000"/>
                <w:sz w:val="20"/>
                <w:lang w:val="en-GB"/>
              </w:rPr>
            </w:pPr>
          </w:p>
          <w:p w14:paraId="06653D67"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F142F9" w14:textId="77777777" w:rsidR="00A77B3E" w:rsidRPr="00607BDE" w:rsidRDefault="00C401B9">
            <w:pPr>
              <w:spacing w:before="100"/>
              <w:rPr>
                <w:color w:val="000000"/>
                <w:sz w:val="20"/>
                <w:lang w:val="en-GB"/>
              </w:rPr>
            </w:pPr>
            <w:r w:rsidRPr="00607BDE">
              <w:rPr>
                <w:color w:val="000000"/>
                <w:sz w:val="20"/>
                <w:lang w:val="en-GB"/>
              </w:rPr>
              <w:t>In accordance with the obligations under applicable directives, the PPO prepares, every three years, reports on monitoring of the public procurement system based on data provided by contracting entities in their annual reports on public contracts awarded, data from the TED and information on findings of inspections conducted by the PPO President.</w:t>
            </w:r>
          </w:p>
        </w:tc>
      </w:tr>
      <w:tr w:rsidR="00AC7127" w:rsidRPr="00607BDE" w14:paraId="3DE79B5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0FBC3" w14:textId="77777777" w:rsidR="00A77B3E" w:rsidRPr="00607B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736D0"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7EB4A2" w14:textId="77777777" w:rsidR="00A77B3E" w:rsidRPr="00607BDE" w:rsidRDefault="00C401B9">
            <w:pPr>
              <w:spacing w:before="100"/>
              <w:rPr>
                <w:color w:val="000000"/>
                <w:sz w:val="20"/>
                <w:lang w:val="en-GB"/>
              </w:rPr>
            </w:pPr>
            <w:r w:rsidRPr="00607BDE">
              <w:rPr>
                <w:color w:val="000000"/>
                <w:sz w:val="20"/>
                <w:lang w:val="en-GB"/>
              </w:rPr>
              <w:t>4. Arrangements to make the results of the analysis available to the public in accordance with Article 83(3) of Directive 2014/24/EU and Article 99(3)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49A58"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020699" w14:textId="77777777" w:rsidR="00A77B3E" w:rsidRPr="00607BDE" w:rsidRDefault="00C401B9">
            <w:pPr>
              <w:spacing w:before="100"/>
              <w:rPr>
                <w:color w:val="000000"/>
                <w:sz w:val="20"/>
                <w:lang w:val="en-GB"/>
              </w:rPr>
            </w:pPr>
            <w:r w:rsidRPr="00607BDE">
              <w:rPr>
                <w:color w:val="000000"/>
                <w:sz w:val="20"/>
                <w:lang w:val="en-GB"/>
              </w:rPr>
              <w:t xml:space="preserve">Link to the Act: </w:t>
            </w:r>
          </w:p>
          <w:p w14:paraId="6BC3F352" w14:textId="77777777" w:rsidR="00A77B3E" w:rsidRPr="00607BDE" w:rsidRDefault="00C401B9">
            <w:pPr>
              <w:spacing w:before="100"/>
              <w:rPr>
                <w:color w:val="000000"/>
                <w:sz w:val="20"/>
                <w:lang w:val="en-GB"/>
              </w:rPr>
            </w:pPr>
            <w:r w:rsidRPr="00607BDE">
              <w:rPr>
                <w:color w:val="000000"/>
                <w:sz w:val="20"/>
                <w:lang w:val="en-GB"/>
              </w:rPr>
              <w:t xml:space="preserve">http://isap.sejm.gov.pl/isap.nsf/download.xsp/WDU20190002019/U/D20192019Lj.pdf </w:t>
            </w:r>
          </w:p>
          <w:p w14:paraId="575A8587" w14:textId="77777777" w:rsidR="00A77B3E" w:rsidRPr="00607BDE" w:rsidRDefault="00A77B3E">
            <w:pPr>
              <w:spacing w:before="100"/>
              <w:rPr>
                <w:color w:val="000000"/>
                <w:sz w:val="20"/>
                <w:lang w:val="en-GB"/>
              </w:rPr>
            </w:pPr>
          </w:p>
          <w:p w14:paraId="46C165E2" w14:textId="77777777" w:rsidR="00A77B3E" w:rsidRPr="00607BDE" w:rsidRDefault="00C401B9">
            <w:pPr>
              <w:spacing w:before="100"/>
              <w:rPr>
                <w:color w:val="000000"/>
                <w:sz w:val="20"/>
                <w:lang w:val="en-GB"/>
              </w:rPr>
            </w:pPr>
            <w:r w:rsidRPr="00607BDE">
              <w:rPr>
                <w:color w:val="000000"/>
                <w:sz w:val="20"/>
                <w:lang w:val="en-GB"/>
              </w:rPr>
              <w:t>Link to annual reports on the functioning of the public procurement system:</w:t>
            </w:r>
          </w:p>
          <w:p w14:paraId="046E60C7" w14:textId="77777777" w:rsidR="00A77B3E" w:rsidRPr="00607BDE" w:rsidRDefault="00C401B9">
            <w:pPr>
              <w:spacing w:before="100"/>
              <w:rPr>
                <w:color w:val="000000"/>
                <w:sz w:val="20"/>
                <w:lang w:val="en-GB"/>
              </w:rPr>
            </w:pPr>
            <w:r w:rsidRPr="00607BDE">
              <w:rPr>
                <w:color w:val="000000"/>
                <w:sz w:val="20"/>
                <w:lang w:val="en-GB"/>
              </w:rPr>
              <w:t>https://www.uzp.gov.pl/baza-wiedzy/analizy-systemowe/sprawozdania-o-funkcjonowaniu-systemu-zamowien-publicznych</w:t>
            </w:r>
          </w:p>
          <w:p w14:paraId="19836552" w14:textId="77777777" w:rsidR="00A77B3E" w:rsidRPr="00607BDE" w:rsidRDefault="00A77B3E">
            <w:pPr>
              <w:spacing w:before="100"/>
              <w:rPr>
                <w:color w:val="000000"/>
                <w:sz w:val="20"/>
                <w:lang w:val="en-GB"/>
              </w:rPr>
            </w:pPr>
          </w:p>
          <w:p w14:paraId="60D2C903" w14:textId="77777777" w:rsidR="00A77B3E" w:rsidRPr="00607BDE" w:rsidRDefault="00A77B3E">
            <w:pPr>
              <w:spacing w:before="100"/>
              <w:rPr>
                <w:color w:val="000000"/>
                <w:sz w:val="20"/>
                <w:lang w:val="en-GB"/>
              </w:rPr>
            </w:pPr>
          </w:p>
          <w:p w14:paraId="11766A35"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D53F3C" w14:textId="77777777" w:rsidR="00A77B3E" w:rsidRPr="00607BDE" w:rsidRDefault="00C401B9">
            <w:pPr>
              <w:spacing w:before="100"/>
              <w:rPr>
                <w:color w:val="000000"/>
                <w:sz w:val="20"/>
                <w:lang w:val="en-GB"/>
              </w:rPr>
            </w:pPr>
            <w:r w:rsidRPr="00607BDE">
              <w:rPr>
                <w:color w:val="000000"/>
                <w:sz w:val="20"/>
                <w:lang w:val="en-GB"/>
              </w:rPr>
              <w:t>On its website, the PPO publishes annual reports on the functioning of the public procurement system and periodic Information Bulletins.</w:t>
            </w:r>
          </w:p>
        </w:tc>
      </w:tr>
      <w:tr w:rsidR="00AC7127" w:rsidRPr="00607BDE" w14:paraId="14B64047"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E46F1" w14:textId="77777777" w:rsidR="00A77B3E" w:rsidRPr="00607B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4878E"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41441B" w14:textId="77777777" w:rsidR="00A77B3E" w:rsidRPr="00607BDE" w:rsidRDefault="00C401B9">
            <w:pPr>
              <w:spacing w:before="100"/>
              <w:rPr>
                <w:color w:val="000000"/>
                <w:sz w:val="20"/>
                <w:lang w:val="en-GB"/>
              </w:rPr>
            </w:pPr>
            <w:r w:rsidRPr="00607BDE">
              <w:rPr>
                <w:color w:val="000000"/>
                <w:sz w:val="20"/>
                <w:lang w:val="en-GB"/>
              </w:rPr>
              <w:t>5. Arrangements to ensure that all information pointing to suspected bid-rigging situations is communicated to the competent national bodies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E7A68"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0A9CE8" w14:textId="77777777" w:rsidR="00A77B3E" w:rsidRPr="00607BDE" w:rsidRDefault="00C401B9">
            <w:pPr>
              <w:spacing w:before="100"/>
              <w:rPr>
                <w:color w:val="000000"/>
                <w:sz w:val="20"/>
                <w:lang w:val="en-GB"/>
              </w:rPr>
            </w:pPr>
            <w:r w:rsidRPr="00607BDE">
              <w:rPr>
                <w:color w:val="000000"/>
                <w:sz w:val="20"/>
                <w:lang w:val="en-GB"/>
              </w:rPr>
              <w:t xml:space="preserve">Link to the Act: </w:t>
            </w:r>
          </w:p>
          <w:p w14:paraId="653241CE" w14:textId="77777777" w:rsidR="00A77B3E" w:rsidRPr="00607BDE" w:rsidRDefault="00C401B9">
            <w:pPr>
              <w:spacing w:before="100"/>
              <w:rPr>
                <w:color w:val="000000"/>
                <w:sz w:val="20"/>
                <w:lang w:val="en-GB"/>
              </w:rPr>
            </w:pPr>
            <w:r w:rsidRPr="00607BDE">
              <w:rPr>
                <w:color w:val="000000"/>
                <w:sz w:val="20"/>
                <w:lang w:val="en-GB"/>
              </w:rPr>
              <w:t xml:space="preserve">http://isap.sejm.gov.pl/isap.nsf/download.xsp/WDU20190002019/U/D20192019Lj.pdf </w:t>
            </w:r>
          </w:p>
          <w:p w14:paraId="54135E4A" w14:textId="77777777" w:rsidR="00A77B3E" w:rsidRPr="00607BDE" w:rsidRDefault="00A77B3E">
            <w:pPr>
              <w:spacing w:before="100"/>
              <w:rPr>
                <w:color w:val="000000"/>
                <w:sz w:val="20"/>
                <w:lang w:val="en-GB"/>
              </w:rPr>
            </w:pPr>
          </w:p>
          <w:p w14:paraId="061530A7" w14:textId="77777777" w:rsidR="00A77B3E" w:rsidRPr="00607BDE" w:rsidRDefault="00C401B9">
            <w:pPr>
              <w:spacing w:before="100"/>
              <w:rPr>
                <w:color w:val="000000"/>
                <w:sz w:val="20"/>
                <w:lang w:val="en-GB"/>
              </w:rPr>
            </w:pPr>
            <w:r w:rsidRPr="00607BDE">
              <w:rPr>
                <w:color w:val="000000"/>
                <w:sz w:val="20"/>
                <w:lang w:val="en-GB"/>
              </w:rPr>
              <w:t>Link to annual reports on the functioning of the public procurement system:</w:t>
            </w:r>
          </w:p>
          <w:p w14:paraId="75F81C21" w14:textId="77777777" w:rsidR="00A77B3E" w:rsidRPr="00607BDE" w:rsidRDefault="00C401B9">
            <w:pPr>
              <w:spacing w:before="100"/>
              <w:rPr>
                <w:color w:val="000000"/>
                <w:sz w:val="20"/>
                <w:lang w:val="en-GB"/>
              </w:rPr>
            </w:pPr>
            <w:r w:rsidRPr="00607BDE">
              <w:rPr>
                <w:color w:val="000000"/>
                <w:sz w:val="20"/>
                <w:lang w:val="en-GB"/>
              </w:rPr>
              <w:t>https://www.uzp.gov.pl/baza-wiedzy/analizy-systemowe/sprawozdania-o-funkcjonowaniu-systemu-zamowien-publicznych</w:t>
            </w:r>
          </w:p>
          <w:p w14:paraId="4A5C174C"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69B72" w14:textId="77777777" w:rsidR="00A77B3E" w:rsidRPr="00607BDE" w:rsidRDefault="00C401B9">
            <w:pPr>
              <w:spacing w:before="100"/>
              <w:rPr>
                <w:color w:val="000000"/>
                <w:sz w:val="20"/>
                <w:lang w:val="en-GB"/>
              </w:rPr>
            </w:pPr>
            <w:r w:rsidRPr="00607BDE">
              <w:rPr>
                <w:color w:val="000000"/>
                <w:sz w:val="20"/>
                <w:lang w:val="en-GB"/>
              </w:rPr>
              <w:t>If an inspection by the PPO raises any suspicions that there the procurement procedure could involve bid rigging, the PPO sends relevant information to the Office of Competition and Consumer Protection (UOKiK). The PPO and UOKIK have also signed an agreement on cooperation between the two institutions and exchange of information and experiences. Notwithstanding the foregoing, institutions and contracting authorities may contact the UOKIK directly if they suspect big rigging.</w:t>
            </w:r>
          </w:p>
        </w:tc>
      </w:tr>
      <w:tr w:rsidR="00AC7127" w:rsidRPr="00607BDE" w14:paraId="578C576F"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CB1CB" w14:textId="77777777" w:rsidR="00A77B3E" w:rsidRPr="00607BDE" w:rsidRDefault="00C401B9">
            <w:pPr>
              <w:spacing w:before="100"/>
              <w:rPr>
                <w:color w:val="000000"/>
                <w:sz w:val="20"/>
                <w:lang w:val="en-GB"/>
              </w:rPr>
            </w:pPr>
            <w:r w:rsidRPr="00607BDE">
              <w:rPr>
                <w:color w:val="000000"/>
                <w:sz w:val="20"/>
                <w:lang w:val="en-GB"/>
              </w:rPr>
              <w:t>3. Effective application and implementation of the Charter of Fundamental Rights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D95F4" w14:textId="77777777" w:rsidR="00A77B3E" w:rsidRPr="00607BDE" w:rsidRDefault="00C401B9">
            <w:pPr>
              <w:spacing w:before="100"/>
              <w:jc w:val="center"/>
              <w:rPr>
                <w:color w:val="000000"/>
                <w:sz w:val="20"/>
                <w:lang w:val="en-GB"/>
              </w:rPr>
            </w:pPr>
            <w:r w:rsidRPr="00607BDE">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EB058" w14:textId="77777777" w:rsidR="00A77B3E" w:rsidRPr="00607BDE" w:rsidRDefault="00C401B9">
            <w:pPr>
              <w:spacing w:before="100"/>
              <w:rPr>
                <w:color w:val="000000"/>
                <w:sz w:val="20"/>
                <w:lang w:val="en-GB"/>
              </w:rPr>
            </w:pPr>
            <w:r w:rsidRPr="00607BDE">
              <w:rPr>
                <w:color w:val="000000"/>
                <w:sz w:val="20"/>
                <w:lang w:val="en-GB"/>
              </w:rPr>
              <w:t xml:space="preserve">Effective mechanisms are in place to ensure compliance with the Charter of Fundamental Rights of the European Union ("the Charter") which include: </w:t>
            </w:r>
          </w:p>
          <w:p w14:paraId="0FBFFFCE" w14:textId="77777777" w:rsidR="00A77B3E" w:rsidRPr="00607BDE" w:rsidRDefault="00C401B9">
            <w:pPr>
              <w:spacing w:before="100"/>
              <w:rPr>
                <w:color w:val="000000"/>
                <w:sz w:val="20"/>
                <w:lang w:val="en-GB"/>
              </w:rPr>
            </w:pPr>
            <w:r w:rsidRPr="00607BDE">
              <w:rPr>
                <w:color w:val="000000"/>
                <w:sz w:val="20"/>
                <w:lang w:val="en-GB"/>
              </w:rPr>
              <w:t>1. Arrangements to ensure compliance of the programmes supported by the Funds and their implementation with the relevant provisions of the Charter;</w:t>
            </w:r>
          </w:p>
          <w:p w14:paraId="53C54186" w14:textId="77777777" w:rsidR="00A77B3E" w:rsidRPr="00607BDE" w:rsidRDefault="00A77B3E">
            <w:pPr>
              <w:spacing w:before="100"/>
              <w:rPr>
                <w:color w:val="000000"/>
                <w:sz w:val="20"/>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F9AA7" w14:textId="77777777" w:rsidR="00A77B3E" w:rsidRPr="00607BDE" w:rsidRDefault="00C401B9">
            <w:pPr>
              <w:spacing w:before="100"/>
              <w:jc w:val="center"/>
              <w:rPr>
                <w:color w:val="000000"/>
                <w:sz w:val="20"/>
                <w:lang w:val="en-GB"/>
              </w:rPr>
            </w:pPr>
            <w:r w:rsidRPr="00607BDE">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CE4DD" w14:textId="77777777" w:rsidR="00A77B3E" w:rsidRPr="00607BDE" w:rsidRDefault="00C401B9">
            <w:pPr>
              <w:spacing w:before="100"/>
              <w:rPr>
                <w:color w:val="000000"/>
                <w:sz w:val="20"/>
                <w:lang w:val="en-GB"/>
              </w:rPr>
            </w:pPr>
            <w:r w:rsidRPr="00607BDE">
              <w:rPr>
                <w:color w:val="000000"/>
                <w:sz w:val="20"/>
                <w:lang w:val="en-GB"/>
              </w:rPr>
              <w:t>None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34D736" w14:textId="77777777" w:rsidR="00A77B3E" w:rsidRPr="00607BDE" w:rsidRDefault="00C401B9">
            <w:pPr>
              <w:spacing w:before="100"/>
              <w:rPr>
                <w:color w:val="000000"/>
                <w:sz w:val="20"/>
                <w:lang w:val="en-GB"/>
              </w:rPr>
            </w:pPr>
            <w:r w:rsidRPr="00607BDE">
              <w:rPr>
                <w:color w:val="000000"/>
                <w:sz w:val="20"/>
                <w:lang w:val="en-GB"/>
              </w:rPr>
              <w:t xml:space="preserve">The common procedure applies to verification of compliance with the CFR both at the stage of submitting an application for co-financing and during project implementation. Suspicions regarding non-compliance and/or actions of the Beneficiary or IB/IA/MA with the CFR are reported to respectively IB/IA/MA/EU Funds Officer (in the case of programmes financed under EMFF, AMIF, BMVI and ISF there is a relevant equivalent). The competent institution analyses the matter, takes verifying actions and decides whether the report is substantiated. If it is confirmed that the CFR has been breached, depending on the character of the matter, the competent institution transmits the breach notification to relevant services, i.e. Commissioner for Human Right, National Labour Inspectorate, Patient's Rights Ombudsman and/or relevant law enforcement agencies. The programme's MA is responsible also for conducting information policy in the aforementioned area. </w:t>
            </w:r>
          </w:p>
          <w:p w14:paraId="67312628" w14:textId="77777777" w:rsidR="00A77B3E" w:rsidRPr="00607BDE" w:rsidRDefault="00C401B9">
            <w:pPr>
              <w:spacing w:before="100"/>
              <w:rPr>
                <w:color w:val="000000"/>
                <w:sz w:val="20"/>
                <w:lang w:val="en-GB"/>
              </w:rPr>
            </w:pPr>
            <w:r w:rsidRPr="00607BDE">
              <w:rPr>
                <w:color w:val="000000"/>
                <w:sz w:val="20"/>
                <w:lang w:val="en-GB"/>
              </w:rPr>
              <w:t>The Polish side believes that the requirement is met in accordance with the position dated 7 July 2022, but in the absence of the EC response to that position, the status of the requirement has been marked as not met.</w:t>
            </w:r>
          </w:p>
          <w:p w14:paraId="6391A9D1" w14:textId="77777777" w:rsidR="00A77B3E" w:rsidRPr="00607BDE" w:rsidRDefault="00A77B3E">
            <w:pPr>
              <w:spacing w:before="100"/>
              <w:rPr>
                <w:color w:val="000000"/>
                <w:sz w:val="20"/>
                <w:lang w:val="en-GB"/>
              </w:rPr>
            </w:pPr>
          </w:p>
          <w:p w14:paraId="662C963C" w14:textId="77777777" w:rsidR="00A77B3E" w:rsidRPr="00607BDE" w:rsidRDefault="00A77B3E">
            <w:pPr>
              <w:spacing w:before="100"/>
              <w:rPr>
                <w:color w:val="000000"/>
                <w:sz w:val="20"/>
                <w:lang w:val="en-GB"/>
              </w:rPr>
            </w:pPr>
          </w:p>
        </w:tc>
      </w:tr>
      <w:tr w:rsidR="00AC7127" w:rsidRPr="00607BDE" w14:paraId="12562A9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31CC9" w14:textId="77777777" w:rsidR="00A77B3E" w:rsidRPr="00607B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40E3C"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52C4A7" w14:textId="77777777" w:rsidR="00A77B3E" w:rsidRPr="00607BDE" w:rsidRDefault="00C401B9">
            <w:pPr>
              <w:spacing w:before="100"/>
              <w:rPr>
                <w:color w:val="000000"/>
                <w:sz w:val="20"/>
                <w:lang w:val="en-GB"/>
              </w:rPr>
            </w:pPr>
            <w:r w:rsidRPr="00607BDE">
              <w:rPr>
                <w:color w:val="000000"/>
                <w:sz w:val="20"/>
                <w:lang w:val="en-GB"/>
              </w:rPr>
              <w:t>2. Reporting arrangements to the monitoring committee regarding cases of non-compliance of operations supported by the Funds with the Charter and complaints regarding the Charter submitted in accordance with the arrangements made pursuant to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4EFEA0" w14:textId="77777777" w:rsidR="00A77B3E" w:rsidRPr="00607BDE" w:rsidRDefault="00C401B9">
            <w:pPr>
              <w:spacing w:before="100"/>
              <w:jc w:val="center"/>
              <w:rPr>
                <w:color w:val="000000"/>
                <w:sz w:val="20"/>
                <w:lang w:val="en-GB"/>
              </w:rPr>
            </w:pPr>
            <w:r w:rsidRPr="00607BDE">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8B36A9" w14:textId="77777777" w:rsidR="00A77B3E" w:rsidRPr="00607BDE" w:rsidRDefault="00C401B9">
            <w:pPr>
              <w:spacing w:before="100"/>
              <w:rPr>
                <w:color w:val="000000"/>
                <w:sz w:val="20"/>
                <w:lang w:val="en-GB"/>
              </w:rPr>
            </w:pPr>
            <w:r w:rsidRPr="00607BDE">
              <w:rPr>
                <w:color w:val="000000"/>
                <w:sz w:val="20"/>
                <w:lang w:val="en-GB"/>
              </w:rPr>
              <w:t>None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BCD906" w14:textId="77777777" w:rsidR="00A77B3E" w:rsidRPr="00607BDE" w:rsidRDefault="00C401B9">
            <w:pPr>
              <w:spacing w:before="100"/>
              <w:rPr>
                <w:color w:val="000000"/>
                <w:sz w:val="20"/>
                <w:lang w:val="en-GB"/>
              </w:rPr>
            </w:pPr>
            <w:r w:rsidRPr="00607BDE">
              <w:rPr>
                <w:color w:val="000000"/>
                <w:sz w:val="20"/>
                <w:lang w:val="en-GB"/>
              </w:rPr>
              <w:t xml:space="preserve">The procedure involves the Programme MA's obligation to prepare annual summary information on all reports of project non-compliance with the CFR and complaints for consideration by the Programme MC. The MC decides whether any further relevant preventive actions need to be taken with respect to teh cases reported. </w:t>
            </w:r>
          </w:p>
          <w:p w14:paraId="4CDE76AC" w14:textId="77777777" w:rsidR="00A77B3E" w:rsidRPr="00607BDE" w:rsidRDefault="00C401B9">
            <w:pPr>
              <w:spacing w:before="100"/>
              <w:rPr>
                <w:color w:val="000000"/>
                <w:sz w:val="20"/>
                <w:lang w:val="en-GB"/>
              </w:rPr>
            </w:pPr>
            <w:r w:rsidRPr="00607BDE">
              <w:rPr>
                <w:color w:val="000000"/>
                <w:sz w:val="20"/>
                <w:lang w:val="en-GB"/>
              </w:rPr>
              <w:t>The Polish side believes that the requirement is met in accordance with the position dated 7 July 2022, but in the absence of the EC response to that position, the status of the requirement has been marked as not met.</w:t>
            </w:r>
          </w:p>
          <w:p w14:paraId="0D7B86DE" w14:textId="77777777" w:rsidR="00A77B3E" w:rsidRPr="00607BDE" w:rsidRDefault="00A77B3E">
            <w:pPr>
              <w:spacing w:before="100"/>
              <w:rPr>
                <w:color w:val="000000"/>
                <w:sz w:val="20"/>
                <w:lang w:val="en-GB"/>
              </w:rPr>
            </w:pPr>
          </w:p>
          <w:p w14:paraId="56F1B914" w14:textId="77777777" w:rsidR="00A77B3E" w:rsidRPr="00607BDE" w:rsidRDefault="00A77B3E">
            <w:pPr>
              <w:spacing w:before="100"/>
              <w:rPr>
                <w:color w:val="000000"/>
                <w:sz w:val="20"/>
                <w:lang w:val="en-GB"/>
              </w:rPr>
            </w:pPr>
          </w:p>
        </w:tc>
      </w:tr>
      <w:tr w:rsidR="00AC7127" w:rsidRPr="00607BDE" w14:paraId="3DCC94F2"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AC4257" w14:textId="77777777" w:rsidR="00A77B3E" w:rsidRPr="00607BDE" w:rsidRDefault="00C401B9">
            <w:pPr>
              <w:spacing w:before="100"/>
              <w:rPr>
                <w:color w:val="000000"/>
                <w:sz w:val="20"/>
                <w:lang w:val="en-GB"/>
              </w:rPr>
            </w:pPr>
            <w:r w:rsidRPr="00607BDE">
              <w:rPr>
                <w:color w:val="000000"/>
                <w:sz w:val="20"/>
                <w:lang w:val="en-GB"/>
              </w:rPr>
              <w:t>4. Implementation and application of the United Nations Convention on the rights of persons with disabilities (UNCRPD) in accordance with Council Decision 2010/48/EC</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9BD87"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68A72E" w14:textId="77777777" w:rsidR="00A77B3E" w:rsidRPr="00607BDE" w:rsidRDefault="00C401B9">
            <w:pPr>
              <w:spacing w:before="100"/>
              <w:rPr>
                <w:color w:val="000000"/>
                <w:sz w:val="20"/>
                <w:lang w:val="en-GB"/>
              </w:rPr>
            </w:pPr>
            <w:r w:rsidRPr="00607BDE">
              <w:rPr>
                <w:color w:val="000000"/>
                <w:sz w:val="20"/>
                <w:lang w:val="en-GB"/>
              </w:rPr>
              <w:t xml:space="preserve">A national framework to ensure implementation of the UNCRPD is in place that includes: </w:t>
            </w:r>
          </w:p>
          <w:p w14:paraId="67E25FF5" w14:textId="77777777" w:rsidR="00A77B3E" w:rsidRPr="00607BDE" w:rsidRDefault="00C401B9">
            <w:pPr>
              <w:spacing w:before="100"/>
              <w:rPr>
                <w:color w:val="000000"/>
                <w:sz w:val="20"/>
                <w:lang w:val="en-GB"/>
              </w:rPr>
            </w:pPr>
            <w:r w:rsidRPr="00607BDE">
              <w:rPr>
                <w:color w:val="000000"/>
                <w:sz w:val="20"/>
                <w:lang w:val="en-GB"/>
              </w:rPr>
              <w:t>1. Objectives with measurable goals, data collection and monitoring mechanisms;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8833E9"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3C5FC9" w14:textId="77777777" w:rsidR="00A77B3E" w:rsidRPr="00607BDE" w:rsidRDefault="00C401B9">
            <w:pPr>
              <w:spacing w:before="100"/>
              <w:rPr>
                <w:color w:val="000000"/>
                <w:sz w:val="20"/>
                <w:lang w:val="en-GB"/>
              </w:rPr>
            </w:pPr>
            <w:r w:rsidRPr="00607BDE">
              <w:rPr>
                <w:color w:val="000000"/>
                <w:sz w:val="20"/>
                <w:lang w:val="en-GB"/>
              </w:rPr>
              <w:t>Link to the document:</w:t>
            </w:r>
          </w:p>
          <w:p w14:paraId="1D33A2D3" w14:textId="77777777" w:rsidR="00A77B3E" w:rsidRPr="00607BDE" w:rsidRDefault="00C401B9">
            <w:pPr>
              <w:spacing w:before="100"/>
              <w:rPr>
                <w:color w:val="000000"/>
                <w:sz w:val="20"/>
                <w:lang w:val="en-GB"/>
              </w:rPr>
            </w:pPr>
            <w:r w:rsidRPr="00607BDE">
              <w:rPr>
                <w:color w:val="000000"/>
                <w:sz w:val="20"/>
                <w:lang w:val="en-GB"/>
              </w:rPr>
              <w:t xml:space="preserve">https://dziennikustaw.gov.pl/MP/rok/2021/pozycja/218 </w:t>
            </w:r>
          </w:p>
          <w:p w14:paraId="60FA356B" w14:textId="77777777" w:rsidR="00A77B3E" w:rsidRPr="00607BDE" w:rsidRDefault="00C401B9">
            <w:pPr>
              <w:spacing w:before="100"/>
              <w:rPr>
                <w:color w:val="000000"/>
                <w:sz w:val="20"/>
                <w:lang w:val="en-GB"/>
              </w:rPr>
            </w:pPr>
            <w:r w:rsidRPr="00607BDE">
              <w:rPr>
                <w:color w:val="000000"/>
                <w:sz w:val="20"/>
                <w:lang w:val="en-GB"/>
              </w:rPr>
              <w:t>https://isap.sejm.gov.pl/isap.nsf/download.xsp/WMP20220000767/O/M20220767.pdf</w:t>
            </w:r>
          </w:p>
          <w:p w14:paraId="79E02F9F" w14:textId="77777777" w:rsidR="00A77B3E" w:rsidRPr="00607BDE" w:rsidRDefault="00A77B3E">
            <w:pPr>
              <w:spacing w:before="100"/>
              <w:rPr>
                <w:color w:val="000000"/>
                <w:sz w:val="20"/>
                <w:lang w:val="en-GB"/>
              </w:rPr>
            </w:pPr>
          </w:p>
          <w:p w14:paraId="288FDA3A" w14:textId="77777777" w:rsidR="00A77B3E" w:rsidRPr="00607BDE" w:rsidRDefault="00A77B3E">
            <w:pPr>
              <w:spacing w:before="100"/>
              <w:rPr>
                <w:color w:val="000000"/>
                <w:sz w:val="20"/>
                <w:lang w:val="en-GB"/>
              </w:rPr>
            </w:pPr>
          </w:p>
          <w:p w14:paraId="31B3B977"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ECE44" w14:textId="77777777" w:rsidR="00A77B3E" w:rsidRPr="00607BDE" w:rsidRDefault="00C401B9">
            <w:pPr>
              <w:spacing w:before="100"/>
              <w:rPr>
                <w:color w:val="000000"/>
                <w:sz w:val="20"/>
                <w:lang w:val="en-GB"/>
              </w:rPr>
            </w:pPr>
            <w:r w:rsidRPr="00607BDE">
              <w:rPr>
                <w:color w:val="000000"/>
                <w:sz w:val="20"/>
                <w:lang w:val="en-GB"/>
              </w:rPr>
              <w:t xml:space="preserve">The framework of the national policy for ensuring implementation of the UNCRPD is formed by the Strategy on the rights of persons with disabilities 2021-2030 adopted by the Council of Ministers on 16 February 2021, which lays down the objectives and actions to be achieved within a specific period with indicators and entities responsible, as well as mechanisms for monitoring of the objectives and actions and data collection in this respect. Furthermore, as regards implementation of the process of de-institutionalisation of social services, including for persons with disabilities (PwDs), the relevant strategic document is also the Strategy for the development of social services, public policy by 2030 (with the perspective by 2035) adopted by the Council of Ministers on 7 June 2022 (SRUS). </w:t>
            </w:r>
          </w:p>
          <w:p w14:paraId="3C9BDDD8" w14:textId="77777777" w:rsidR="00A77B3E" w:rsidRPr="00607BDE" w:rsidRDefault="00C401B9">
            <w:pPr>
              <w:spacing w:before="100"/>
              <w:rPr>
                <w:color w:val="000000"/>
                <w:sz w:val="20"/>
                <w:lang w:val="en-GB"/>
              </w:rPr>
            </w:pPr>
            <w:r w:rsidRPr="00607BDE">
              <w:rPr>
                <w:color w:val="000000"/>
                <w:sz w:val="20"/>
                <w:lang w:val="en-GB"/>
              </w:rPr>
              <w:t>Therefore, adoption and implementation of the SRUS allows implementation of the objectives in the area of de-institutionalisation specified in the Strategy on the rights of persons with disabilities 2021-2030 and ensures monitoring of the implementation of the indicators regarding this area for PwDs.</w:t>
            </w:r>
          </w:p>
          <w:p w14:paraId="429A8AD3" w14:textId="77777777" w:rsidR="00A77B3E" w:rsidRPr="00607BDE" w:rsidRDefault="00A77B3E">
            <w:pPr>
              <w:spacing w:before="100"/>
              <w:rPr>
                <w:color w:val="000000"/>
                <w:sz w:val="20"/>
                <w:lang w:val="en-GB"/>
              </w:rPr>
            </w:pPr>
          </w:p>
        </w:tc>
      </w:tr>
      <w:tr w:rsidR="00AC7127" w:rsidRPr="00607BDE" w14:paraId="3321878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AEF03" w14:textId="77777777" w:rsidR="00A77B3E" w:rsidRPr="00607B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3043E5"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A98122" w14:textId="77777777" w:rsidR="00A77B3E" w:rsidRPr="00607BDE" w:rsidRDefault="00C401B9">
            <w:pPr>
              <w:spacing w:before="100"/>
              <w:rPr>
                <w:color w:val="000000"/>
                <w:sz w:val="20"/>
                <w:lang w:val="en-GB"/>
              </w:rPr>
            </w:pPr>
            <w:r w:rsidRPr="00607BDE">
              <w:rPr>
                <w:color w:val="000000"/>
                <w:sz w:val="20"/>
                <w:lang w:val="en-GB"/>
              </w:rPr>
              <w:t>2. Arrangements to ensure that the accessibility policy, legislation and standards are properly reflected in the preparation and implementation of the programmes;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BC021"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69677" w14:textId="77777777" w:rsidR="00A77B3E" w:rsidRPr="00607BDE" w:rsidRDefault="00C401B9">
            <w:pPr>
              <w:spacing w:before="100"/>
              <w:rPr>
                <w:color w:val="000000"/>
                <w:sz w:val="20"/>
                <w:lang w:val="en-GB"/>
              </w:rPr>
            </w:pPr>
            <w:r w:rsidRPr="00607BDE">
              <w:rPr>
                <w:color w:val="000000"/>
                <w:sz w:val="20"/>
                <w:lang w:val="en-GB"/>
              </w:rPr>
              <w:t>Link to the document:</w:t>
            </w:r>
          </w:p>
          <w:p w14:paraId="0D174354" w14:textId="77777777" w:rsidR="00A77B3E" w:rsidRPr="00607BDE" w:rsidRDefault="00C401B9">
            <w:pPr>
              <w:spacing w:before="100"/>
              <w:rPr>
                <w:color w:val="000000"/>
                <w:sz w:val="20"/>
                <w:lang w:val="en-GB"/>
              </w:rPr>
            </w:pPr>
            <w:r w:rsidRPr="00607BDE">
              <w:rPr>
                <w:color w:val="000000"/>
                <w:sz w:val="20"/>
                <w:lang w:val="en-GB"/>
              </w:rPr>
              <w:t xml:space="preserve">https://dziennikustaw.gov.pl/MP/rok/2021/pozycja/218 </w:t>
            </w:r>
          </w:p>
          <w:p w14:paraId="507E96CD" w14:textId="77777777" w:rsidR="00A77B3E" w:rsidRPr="00607BDE" w:rsidRDefault="00C401B9">
            <w:pPr>
              <w:spacing w:before="100"/>
              <w:rPr>
                <w:color w:val="000000"/>
                <w:sz w:val="20"/>
                <w:lang w:val="en-GB"/>
              </w:rPr>
            </w:pPr>
            <w:r w:rsidRPr="00607BDE">
              <w:rPr>
                <w:color w:val="000000"/>
                <w:sz w:val="20"/>
                <w:lang w:val="en-GB"/>
              </w:rPr>
              <w:t>https://isap.sejm.gov.pl/isap.nsf/download.xsp/WMP20220000767/O/M20220767.pdf</w:t>
            </w:r>
          </w:p>
          <w:p w14:paraId="236C1389" w14:textId="77777777" w:rsidR="00A77B3E" w:rsidRPr="00607BDE" w:rsidRDefault="00A77B3E">
            <w:pPr>
              <w:spacing w:before="100"/>
              <w:rPr>
                <w:color w:val="000000"/>
                <w:sz w:val="20"/>
                <w:lang w:val="en-GB"/>
              </w:rPr>
            </w:pPr>
          </w:p>
          <w:p w14:paraId="0436392D"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3C34FC" w14:textId="77777777" w:rsidR="00A77B3E" w:rsidRPr="00607BDE" w:rsidRDefault="00C401B9">
            <w:pPr>
              <w:spacing w:before="100"/>
              <w:rPr>
                <w:color w:val="000000"/>
                <w:sz w:val="20"/>
                <w:lang w:val="en-GB"/>
              </w:rPr>
            </w:pPr>
            <w:r w:rsidRPr="00607BDE">
              <w:rPr>
                <w:color w:val="000000"/>
                <w:sz w:val="20"/>
                <w:lang w:val="en-GB"/>
              </w:rPr>
              <w:t xml:space="preserve">The criterion will be met by way of requiring the MA to take the following actions: </w:t>
            </w:r>
          </w:p>
          <w:p w14:paraId="33C985E2" w14:textId="77777777" w:rsidR="00A77B3E" w:rsidRPr="00607BDE" w:rsidRDefault="00C401B9">
            <w:pPr>
              <w:spacing w:before="100"/>
              <w:rPr>
                <w:color w:val="000000"/>
                <w:sz w:val="20"/>
                <w:lang w:val="en-GB"/>
              </w:rPr>
            </w:pPr>
            <w:r w:rsidRPr="00607BDE">
              <w:rPr>
                <w:color w:val="000000"/>
                <w:sz w:val="20"/>
                <w:lang w:val="en-GB"/>
              </w:rPr>
              <w:t>(1) indicate specific UNCRPD articles relating to the scope of support planned for teh programme,</w:t>
            </w:r>
          </w:p>
          <w:p w14:paraId="5521FCE0" w14:textId="77777777" w:rsidR="00A77B3E" w:rsidRPr="00607BDE" w:rsidRDefault="00C401B9">
            <w:pPr>
              <w:spacing w:before="100"/>
              <w:rPr>
                <w:color w:val="000000"/>
                <w:sz w:val="20"/>
                <w:lang w:val="en-GB"/>
              </w:rPr>
            </w:pPr>
            <w:r w:rsidRPr="00607BDE">
              <w:rPr>
                <w:color w:val="000000"/>
                <w:sz w:val="20"/>
                <w:lang w:val="en-GB"/>
              </w:rPr>
              <w:t xml:space="preserve">(2) ensure UNCRPD compliance of all processes and procedures at every stage of the programme implementation, i.e. programming, selection and implementation of projects, as well as project control, monitoring and evaluation, which will be reflected in </w:t>
            </w:r>
            <w:r w:rsidRPr="00607BDE">
              <w:rPr>
                <w:i/>
                <w:iCs/>
                <w:color w:val="000000"/>
                <w:sz w:val="20"/>
                <w:lang w:val="en-GB"/>
              </w:rPr>
              <w:t xml:space="preserve">inter alia </w:t>
            </w:r>
            <w:r w:rsidRPr="00607BDE">
              <w:rPr>
                <w:color w:val="000000"/>
                <w:sz w:val="20"/>
                <w:lang w:val="en-GB"/>
              </w:rPr>
              <w:t>the content of the procedures/guidelines/rules defining the manner of execution of individual processes relating to implementation of the programme,</w:t>
            </w:r>
          </w:p>
          <w:p w14:paraId="13EF0C0C" w14:textId="77777777" w:rsidR="00A77B3E" w:rsidRPr="00607BDE" w:rsidRDefault="00C401B9">
            <w:pPr>
              <w:spacing w:before="100"/>
              <w:rPr>
                <w:color w:val="000000"/>
                <w:sz w:val="20"/>
                <w:lang w:val="en-GB"/>
              </w:rPr>
            </w:pPr>
            <w:r w:rsidRPr="00607BDE">
              <w:rPr>
                <w:color w:val="000000"/>
                <w:sz w:val="20"/>
                <w:lang w:val="en-GB"/>
              </w:rPr>
              <w:t>(3) evaluate projects in terms of the UNCRPD compliance criterion,</w:t>
            </w:r>
          </w:p>
          <w:p w14:paraId="54ADE6B3" w14:textId="77777777" w:rsidR="00A77B3E" w:rsidRPr="00607BDE" w:rsidRDefault="00C401B9">
            <w:pPr>
              <w:spacing w:before="100"/>
              <w:rPr>
                <w:color w:val="000000"/>
                <w:sz w:val="20"/>
                <w:lang w:val="en-GB"/>
              </w:rPr>
            </w:pPr>
            <w:r w:rsidRPr="00607BDE">
              <w:rPr>
                <w:color w:val="000000"/>
                <w:sz w:val="20"/>
                <w:lang w:val="en-GB"/>
              </w:rPr>
              <w:t>(4) ensure application of accessibility standards by way of Guidelines setting forth accessibility standards for investments financed under the cohesion policy,</w:t>
            </w:r>
          </w:p>
          <w:p w14:paraId="2E783FAA" w14:textId="77777777" w:rsidR="00A77B3E" w:rsidRPr="00607BDE" w:rsidRDefault="00C401B9">
            <w:pPr>
              <w:spacing w:before="100"/>
              <w:rPr>
                <w:color w:val="000000"/>
                <w:sz w:val="20"/>
                <w:lang w:val="en-GB"/>
              </w:rPr>
            </w:pPr>
            <w:r w:rsidRPr="00607BDE">
              <w:rPr>
                <w:color w:val="000000"/>
                <w:sz w:val="20"/>
                <w:lang w:val="en-GB"/>
              </w:rPr>
              <w:t>(5) carry out information/awareness building actions relating to UNCRPD compliance,</w:t>
            </w:r>
          </w:p>
          <w:p w14:paraId="562F200B" w14:textId="77777777" w:rsidR="00A77B3E" w:rsidRPr="00607BDE" w:rsidRDefault="00C401B9">
            <w:pPr>
              <w:spacing w:before="100"/>
              <w:rPr>
                <w:color w:val="000000"/>
                <w:sz w:val="20"/>
                <w:lang w:val="en-GB"/>
              </w:rPr>
            </w:pPr>
            <w:r w:rsidRPr="00607BDE">
              <w:rPr>
                <w:color w:val="000000"/>
                <w:sz w:val="20"/>
                <w:lang w:val="en-GB"/>
              </w:rPr>
              <w:t>(6) introduce into the programme implementation system a procedure for reporting suspicions and complaints regarding non-compliance of interventions/actions with the UNCRPD.</w:t>
            </w:r>
          </w:p>
          <w:p w14:paraId="68ED242E" w14:textId="77777777" w:rsidR="00A77B3E" w:rsidRPr="00607BDE" w:rsidRDefault="00A77B3E">
            <w:pPr>
              <w:spacing w:before="100"/>
              <w:rPr>
                <w:color w:val="000000"/>
                <w:sz w:val="20"/>
                <w:lang w:val="en-GB"/>
              </w:rPr>
            </w:pPr>
          </w:p>
          <w:p w14:paraId="6C91DEE9" w14:textId="77777777" w:rsidR="00A77B3E" w:rsidRPr="00607BDE" w:rsidRDefault="00A77B3E">
            <w:pPr>
              <w:spacing w:before="100"/>
              <w:rPr>
                <w:color w:val="000000"/>
                <w:sz w:val="20"/>
                <w:lang w:val="en-GB"/>
              </w:rPr>
            </w:pPr>
          </w:p>
        </w:tc>
      </w:tr>
      <w:tr w:rsidR="00AC7127" w:rsidRPr="00607BDE" w14:paraId="706A7802"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5A369E" w14:textId="77777777" w:rsidR="00A77B3E" w:rsidRPr="00607BDE"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EE11AF"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292895" w14:textId="77777777" w:rsidR="00A77B3E" w:rsidRPr="00607BDE" w:rsidRDefault="00C401B9">
            <w:pPr>
              <w:spacing w:before="100"/>
              <w:rPr>
                <w:color w:val="000000"/>
                <w:sz w:val="20"/>
                <w:lang w:val="en-GB"/>
              </w:rPr>
            </w:pPr>
            <w:r w:rsidRPr="00607BDE">
              <w:rPr>
                <w:color w:val="000000"/>
                <w:sz w:val="20"/>
                <w:lang w:val="en-GB"/>
              </w:rPr>
              <w:t>3. Reporting arrangements to the monitoring committee regarding cases of non-compliance of operations supported by the Funds with the UNCRPD and complaints regarding the UNCRPD submitted in accordance with the arrangements made pursuant to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06DD4F"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64D8DE" w14:textId="77777777" w:rsidR="00A77B3E" w:rsidRPr="00607BDE" w:rsidRDefault="00C401B9">
            <w:pPr>
              <w:spacing w:before="100"/>
              <w:rPr>
                <w:color w:val="000000"/>
                <w:sz w:val="20"/>
                <w:lang w:val="en-GB"/>
              </w:rPr>
            </w:pPr>
            <w:r w:rsidRPr="00607BDE">
              <w:rPr>
                <w:color w:val="000000"/>
                <w:sz w:val="20"/>
                <w:lang w:val="en-GB"/>
              </w:rPr>
              <w:t>Link to the document:</w:t>
            </w:r>
          </w:p>
          <w:p w14:paraId="46E0AD31" w14:textId="77777777" w:rsidR="00A77B3E" w:rsidRPr="00607BDE" w:rsidRDefault="00C401B9">
            <w:pPr>
              <w:spacing w:before="100"/>
              <w:rPr>
                <w:color w:val="000000"/>
                <w:sz w:val="20"/>
                <w:lang w:val="en-GB"/>
              </w:rPr>
            </w:pPr>
            <w:r w:rsidRPr="00607BDE">
              <w:rPr>
                <w:color w:val="000000"/>
                <w:sz w:val="20"/>
                <w:lang w:val="en-GB"/>
              </w:rPr>
              <w:t xml:space="preserve">https://dziennikustaw.gov.pl/MP/rok/2021/pozycja/218 </w:t>
            </w:r>
          </w:p>
          <w:p w14:paraId="346103E6" w14:textId="77777777" w:rsidR="00A77B3E" w:rsidRPr="00607BDE" w:rsidRDefault="00C401B9">
            <w:pPr>
              <w:spacing w:before="100"/>
              <w:rPr>
                <w:color w:val="000000"/>
                <w:sz w:val="20"/>
                <w:lang w:val="en-GB"/>
              </w:rPr>
            </w:pPr>
            <w:r w:rsidRPr="00607BDE">
              <w:rPr>
                <w:color w:val="000000"/>
                <w:sz w:val="20"/>
                <w:lang w:val="en-GB"/>
              </w:rPr>
              <w:t>https://isap.sejm.gov.pl/isap.nsf/download.xsp/WMP20220000767/O/M20220767.pdf</w:t>
            </w:r>
          </w:p>
          <w:p w14:paraId="08DF52E5" w14:textId="77777777" w:rsidR="00A77B3E" w:rsidRPr="00607BDE"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7BC17A" w14:textId="77777777" w:rsidR="00A77B3E" w:rsidRPr="00607BDE" w:rsidRDefault="00C401B9">
            <w:pPr>
              <w:spacing w:before="100"/>
              <w:rPr>
                <w:color w:val="000000"/>
                <w:sz w:val="20"/>
                <w:lang w:val="en-GB"/>
              </w:rPr>
            </w:pPr>
            <w:r w:rsidRPr="00607BDE">
              <w:rPr>
                <w:color w:val="000000"/>
                <w:sz w:val="20"/>
                <w:lang w:val="en-GB"/>
              </w:rPr>
              <w:t>The criterion will be met by way of obligatory annual reporting of cases of non-compliance of interventions/actions with the UNCRPD and complaints regarding non-compliance with the UNCRPD to the Monitoring Committee.</w:t>
            </w:r>
          </w:p>
          <w:p w14:paraId="78BA5E8D" w14:textId="77777777" w:rsidR="00A77B3E" w:rsidRPr="00607BDE" w:rsidRDefault="00C401B9">
            <w:pPr>
              <w:spacing w:before="100"/>
              <w:rPr>
                <w:color w:val="000000"/>
                <w:sz w:val="20"/>
                <w:lang w:val="en-GB"/>
              </w:rPr>
            </w:pPr>
            <w:r w:rsidRPr="00607BDE">
              <w:rPr>
                <w:color w:val="000000"/>
                <w:sz w:val="20"/>
                <w:lang w:val="en-GB"/>
              </w:rPr>
              <w:t>The MC will be informed about the character and number of complaints and cases of non-compliance of interventions supported by the programme with the provisions of the UNCRPD and about related actions taken by the competent institutions. In the event of systemic or recurring breaches, following the submission of a report by the MA, the MC may take a number of actions to prevent those breaches in the future.</w:t>
            </w:r>
          </w:p>
          <w:p w14:paraId="20CA4388" w14:textId="77777777" w:rsidR="00A77B3E" w:rsidRPr="00607BDE" w:rsidRDefault="00C401B9">
            <w:pPr>
              <w:spacing w:before="100"/>
              <w:rPr>
                <w:color w:val="000000"/>
                <w:sz w:val="20"/>
                <w:lang w:val="en-GB"/>
              </w:rPr>
            </w:pPr>
            <w:r w:rsidRPr="00607BDE">
              <w:rPr>
                <w:color w:val="000000"/>
                <w:sz w:val="20"/>
                <w:lang w:val="en-GB"/>
              </w:rPr>
              <w:t>The scope of the MC's prerogatives in this respect will be defined in the MC rules based on the minimum powers defined for the MC of all programmes, including (1) the possibility of appointing a working group to investigate a given matter/problem identified, (2) continuation of analyses in order to prepare detailed recommendations regarding the most recurring breaches, and (3) intensification of awareness and information actions.</w:t>
            </w:r>
          </w:p>
          <w:p w14:paraId="0A8D7913" w14:textId="77777777" w:rsidR="00A77B3E" w:rsidRPr="00607BDE" w:rsidRDefault="00A77B3E">
            <w:pPr>
              <w:spacing w:before="100"/>
              <w:rPr>
                <w:color w:val="000000"/>
                <w:sz w:val="20"/>
                <w:lang w:val="en-GB"/>
              </w:rPr>
            </w:pPr>
          </w:p>
        </w:tc>
      </w:tr>
    </w:tbl>
    <w:p w14:paraId="3F8AE814" w14:textId="77777777" w:rsidR="00A77B3E" w:rsidRPr="00607BDE" w:rsidRDefault="00C401B9">
      <w:pPr>
        <w:pStyle w:val="Nagwek1"/>
        <w:spacing w:before="100" w:after="0"/>
        <w:rPr>
          <w:rFonts w:ascii="Times New Roman" w:hAnsi="Times New Roman" w:cs="Times New Roman"/>
          <w:b w:val="0"/>
          <w:color w:val="000000"/>
          <w:sz w:val="24"/>
          <w:lang w:val="en-GB"/>
        </w:rPr>
      </w:pPr>
      <w:r w:rsidRPr="00607BDE">
        <w:rPr>
          <w:rFonts w:ascii="Times New Roman" w:hAnsi="Times New Roman" w:cs="Times New Roman"/>
          <w:b w:val="0"/>
          <w:color w:val="000000"/>
          <w:sz w:val="20"/>
          <w:lang w:val="en-GB"/>
        </w:rPr>
        <w:br w:type="page"/>
      </w:r>
      <w:bookmarkStart w:id="32" w:name="_Toc128976003"/>
      <w:r w:rsidRPr="00607BDE">
        <w:rPr>
          <w:rFonts w:ascii="Times New Roman" w:hAnsi="Times New Roman" w:cs="Times New Roman"/>
          <w:b w:val="0"/>
          <w:color w:val="000000"/>
          <w:sz w:val="24"/>
          <w:lang w:val="en-GB"/>
        </w:rPr>
        <w:t>5. Programme authorities</w:t>
      </w:r>
      <w:bookmarkEnd w:id="32"/>
    </w:p>
    <w:p w14:paraId="4EF60AC7" w14:textId="77777777" w:rsidR="00A77B3E" w:rsidRPr="00607BDE" w:rsidRDefault="00C401B9">
      <w:pPr>
        <w:spacing w:before="100"/>
        <w:rPr>
          <w:color w:val="000000"/>
          <w:lang w:val="en-GB"/>
        </w:rPr>
      </w:pPr>
      <w:r w:rsidRPr="00607BDE">
        <w:rPr>
          <w:color w:val="000000"/>
          <w:lang w:val="en-GB"/>
        </w:rPr>
        <w:t>Reference: Article 22(3)(k) and Articles 71 and 84 of the Common Provisions Regulation</w:t>
      </w:r>
    </w:p>
    <w:p w14:paraId="50084105"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33" w:name="_Toc128976004"/>
      <w:r w:rsidRPr="00607BDE">
        <w:rPr>
          <w:rFonts w:ascii="Times New Roman" w:hAnsi="Times New Roman" w:cs="Times New Roman"/>
          <w:b w:val="0"/>
          <w:i w:val="0"/>
          <w:color w:val="000000"/>
          <w:sz w:val="24"/>
          <w:lang w:val="en-GB"/>
        </w:rPr>
        <w:t>Table 10: Programme authorities</w:t>
      </w:r>
      <w:bookmarkEnd w:id="33"/>
    </w:p>
    <w:p w14:paraId="67B336A7"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3641"/>
        <w:gridCol w:w="1477"/>
        <w:gridCol w:w="4537"/>
        <w:gridCol w:w="2754"/>
      </w:tblGrid>
      <w:tr w:rsidR="00AC7127" w:rsidRPr="00607BDE" w14:paraId="2E03DEA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449CB4" w14:textId="77777777" w:rsidR="00A77B3E" w:rsidRPr="00607BDE" w:rsidRDefault="00C401B9">
            <w:pPr>
              <w:spacing w:before="100"/>
              <w:jc w:val="center"/>
              <w:rPr>
                <w:color w:val="000000"/>
                <w:sz w:val="20"/>
                <w:lang w:val="en-GB"/>
              </w:rPr>
            </w:pPr>
            <w:r w:rsidRPr="00607BDE">
              <w:rPr>
                <w:color w:val="000000"/>
                <w:sz w:val="20"/>
                <w:lang w:val="en-GB"/>
              </w:rPr>
              <w:t>Programme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3C7EC8" w14:textId="77777777" w:rsidR="00A77B3E" w:rsidRPr="00607BDE" w:rsidRDefault="00C401B9">
            <w:pPr>
              <w:spacing w:before="100"/>
              <w:jc w:val="center"/>
              <w:rPr>
                <w:color w:val="000000"/>
                <w:sz w:val="20"/>
                <w:lang w:val="en-GB"/>
              </w:rPr>
            </w:pPr>
            <w:r w:rsidRPr="00607BDE">
              <w:rPr>
                <w:color w:val="000000"/>
                <w:sz w:val="20"/>
                <w:lang w:val="en-GB"/>
              </w:rPr>
              <w:t>Name of the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D88CE2" w14:textId="77777777" w:rsidR="00A77B3E" w:rsidRPr="00607BDE" w:rsidRDefault="00C401B9">
            <w:pPr>
              <w:spacing w:before="100"/>
              <w:jc w:val="center"/>
              <w:rPr>
                <w:color w:val="000000"/>
                <w:sz w:val="20"/>
                <w:lang w:val="en-GB"/>
              </w:rPr>
            </w:pPr>
            <w:r w:rsidRPr="00607BDE">
              <w:rPr>
                <w:color w:val="000000"/>
                <w:sz w:val="20"/>
                <w:lang w:val="en-GB"/>
              </w:rPr>
              <w:t>Contact name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A185DB" w14:textId="77777777" w:rsidR="00A77B3E" w:rsidRPr="00607BDE" w:rsidRDefault="00C401B9">
            <w:pPr>
              <w:spacing w:before="100"/>
              <w:jc w:val="center"/>
              <w:rPr>
                <w:color w:val="000000"/>
                <w:sz w:val="20"/>
                <w:lang w:val="en-GB"/>
              </w:rPr>
            </w:pPr>
            <w:r w:rsidRPr="00607BDE">
              <w:rPr>
                <w:color w:val="000000"/>
                <w:sz w:val="20"/>
                <w:lang w:val="en-GB"/>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98EE89" w14:textId="77777777" w:rsidR="00A77B3E" w:rsidRPr="00607BDE" w:rsidRDefault="00C401B9">
            <w:pPr>
              <w:spacing w:before="100"/>
              <w:jc w:val="center"/>
              <w:rPr>
                <w:color w:val="000000"/>
                <w:sz w:val="20"/>
                <w:lang w:val="en-GB"/>
              </w:rPr>
            </w:pPr>
            <w:r w:rsidRPr="00607BDE">
              <w:rPr>
                <w:color w:val="000000"/>
                <w:sz w:val="20"/>
                <w:lang w:val="en-GB"/>
              </w:rPr>
              <w:t>E-mail</w:t>
            </w:r>
          </w:p>
        </w:tc>
      </w:tr>
      <w:tr w:rsidR="00AC7127" w:rsidRPr="00607BDE" w14:paraId="4F0F44D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81812F" w14:textId="77777777" w:rsidR="00A77B3E" w:rsidRPr="00607BDE" w:rsidRDefault="00C401B9">
            <w:pPr>
              <w:spacing w:before="100"/>
              <w:rPr>
                <w:color w:val="000000"/>
                <w:sz w:val="20"/>
                <w:lang w:val="en-GB"/>
              </w:rPr>
            </w:pPr>
            <w:r w:rsidRPr="00607BDE">
              <w:rPr>
                <w:color w:val="000000"/>
                <w:sz w:val="20"/>
                <w:lang w:val="en-GB"/>
              </w:rPr>
              <w:t>Managing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5E415" w14:textId="77777777" w:rsidR="00A77B3E" w:rsidRPr="00607BDE" w:rsidRDefault="00C401B9">
            <w:pPr>
              <w:spacing w:before="100"/>
              <w:rPr>
                <w:color w:val="000000"/>
                <w:sz w:val="20"/>
                <w:lang w:val="en-GB"/>
              </w:rPr>
            </w:pPr>
            <w:r w:rsidRPr="00607BDE">
              <w:rPr>
                <w:color w:val="000000"/>
                <w:sz w:val="20"/>
                <w:lang w:val="en-GB"/>
              </w:rPr>
              <w:t>European Funds Department, Ministry of the Interior and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4BC4B4" w14:textId="77777777" w:rsidR="00A77B3E" w:rsidRPr="00607BDE" w:rsidRDefault="00C401B9">
            <w:pPr>
              <w:spacing w:before="100"/>
              <w:rPr>
                <w:color w:val="000000"/>
                <w:sz w:val="20"/>
                <w:lang w:val="en-GB"/>
              </w:rPr>
            </w:pPr>
            <w:r w:rsidRPr="00607BDE">
              <w:rPr>
                <w:color w:val="000000"/>
                <w:sz w:val="20"/>
                <w:lang w:val="en-GB"/>
              </w:rPr>
              <w:t>Maciej Kaczorowski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C62DBF" w14:textId="771F60C4" w:rsidR="00A77B3E" w:rsidRPr="00607BDE" w:rsidRDefault="00CB4E2C">
            <w:pPr>
              <w:spacing w:before="100"/>
              <w:rPr>
                <w:color w:val="000000"/>
                <w:sz w:val="20"/>
                <w:lang w:val="en-GB"/>
              </w:rPr>
            </w:pPr>
            <w:r w:rsidRPr="00CB4E2C">
              <w:rPr>
                <w:color w:val="000000"/>
                <w:sz w:val="20"/>
                <w:lang w:val="en-GB"/>
              </w:rPr>
              <w:t>Director of the European Funds Department, Ministry of the Interior and Administration (MIA)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D5B1B6" w14:textId="77777777" w:rsidR="00A77B3E" w:rsidRPr="00607BDE" w:rsidRDefault="00C401B9">
            <w:pPr>
              <w:spacing w:before="100"/>
              <w:rPr>
                <w:color w:val="000000"/>
                <w:sz w:val="20"/>
                <w:lang w:val="en-GB"/>
              </w:rPr>
            </w:pPr>
            <w:r w:rsidRPr="00607BDE">
              <w:rPr>
                <w:color w:val="000000"/>
                <w:sz w:val="20"/>
                <w:lang w:val="en-GB"/>
              </w:rPr>
              <w:t>fundusze.kontakt@mswia.gov.pl</w:t>
            </w:r>
          </w:p>
        </w:tc>
      </w:tr>
      <w:tr w:rsidR="00AC7127" w:rsidRPr="00607BDE" w14:paraId="7A0D936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D1E9DE" w14:textId="77777777" w:rsidR="00A77B3E" w:rsidRPr="00607BDE" w:rsidRDefault="00C401B9">
            <w:pPr>
              <w:spacing w:before="100"/>
              <w:rPr>
                <w:color w:val="000000"/>
                <w:sz w:val="20"/>
                <w:lang w:val="en-GB"/>
              </w:rPr>
            </w:pPr>
            <w:r w:rsidRPr="00607BDE">
              <w:rPr>
                <w:color w:val="000000"/>
                <w:sz w:val="20"/>
                <w:lang w:val="en-GB"/>
              </w:rPr>
              <w:t>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5AEBB" w14:textId="77777777" w:rsidR="00A77B3E" w:rsidRPr="00607BDE" w:rsidRDefault="00C401B9">
            <w:pPr>
              <w:spacing w:before="100"/>
              <w:rPr>
                <w:color w:val="000000"/>
                <w:sz w:val="20"/>
                <w:lang w:val="en-GB"/>
              </w:rPr>
            </w:pPr>
            <w:r w:rsidRPr="00607BDE">
              <w:rPr>
                <w:color w:val="000000"/>
                <w:sz w:val="20"/>
                <w:lang w:val="en-GB"/>
              </w:rPr>
              <w:t>Head of the National Revenue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D27E8" w14:textId="77777777" w:rsidR="00A77B3E" w:rsidRPr="00607BDE" w:rsidRDefault="00C401B9">
            <w:pPr>
              <w:spacing w:before="100"/>
              <w:rPr>
                <w:color w:val="000000"/>
                <w:sz w:val="20"/>
                <w:lang w:val="en-GB"/>
              </w:rPr>
            </w:pPr>
            <w:r w:rsidRPr="00607BDE">
              <w:rPr>
                <w:color w:val="000000"/>
                <w:sz w:val="20"/>
                <w:lang w:val="en-GB"/>
              </w:rPr>
              <w:t>Dominik Zalewski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0BF62" w14:textId="77777777" w:rsidR="00A77B3E" w:rsidRPr="00607BDE" w:rsidRDefault="00C401B9">
            <w:pPr>
              <w:spacing w:before="100"/>
              <w:rPr>
                <w:color w:val="000000"/>
                <w:sz w:val="20"/>
                <w:lang w:val="en-GB"/>
              </w:rPr>
            </w:pPr>
            <w:r w:rsidRPr="00607BDE">
              <w:rPr>
                <w:color w:val="000000"/>
                <w:sz w:val="20"/>
                <w:lang w:val="en-GB"/>
              </w:rPr>
              <w:t>Director of the Department for Audit of Public Funds, 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ACCBF" w14:textId="77777777" w:rsidR="00A77B3E" w:rsidRPr="00607BDE" w:rsidRDefault="00C401B9">
            <w:pPr>
              <w:spacing w:before="100"/>
              <w:rPr>
                <w:color w:val="000000"/>
                <w:sz w:val="20"/>
                <w:lang w:val="en-GB"/>
              </w:rPr>
            </w:pPr>
            <w:r w:rsidRPr="00607BDE">
              <w:rPr>
                <w:color w:val="000000"/>
                <w:sz w:val="20"/>
                <w:lang w:val="en-GB"/>
              </w:rPr>
              <w:t>sekretariat.DAS@mf.gov.pl</w:t>
            </w:r>
          </w:p>
        </w:tc>
      </w:tr>
      <w:tr w:rsidR="00AC7127" w:rsidRPr="00607BDE" w14:paraId="6623B62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DA6D8" w14:textId="77777777" w:rsidR="00A77B3E" w:rsidRPr="00607BDE" w:rsidRDefault="00C401B9">
            <w:pPr>
              <w:spacing w:before="100"/>
              <w:rPr>
                <w:color w:val="000000"/>
                <w:sz w:val="20"/>
                <w:lang w:val="en-GB"/>
              </w:rPr>
            </w:pPr>
            <w:r w:rsidRPr="00607BDE">
              <w:rPr>
                <w:color w:val="000000"/>
                <w:sz w:val="20"/>
                <w:lang w:val="en-GB"/>
              </w:rPr>
              <w:t>Body which receives payments from the Commission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569C30" w14:textId="77777777" w:rsidR="00A77B3E" w:rsidRPr="00607BDE" w:rsidRDefault="00C401B9">
            <w:pPr>
              <w:spacing w:before="100"/>
              <w:rPr>
                <w:color w:val="000000"/>
                <w:sz w:val="20"/>
                <w:lang w:val="en-GB"/>
              </w:rPr>
            </w:pPr>
            <w:r w:rsidRPr="00607BDE">
              <w:rPr>
                <w:color w:val="000000"/>
                <w:sz w:val="20"/>
                <w:lang w:val="en-GB"/>
              </w:rPr>
              <w:t>Minister competent for public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2B0AF" w14:textId="77777777" w:rsidR="00A77B3E" w:rsidRPr="00607BDE" w:rsidRDefault="00C401B9">
            <w:pPr>
              <w:spacing w:before="100"/>
              <w:rPr>
                <w:color w:val="000000"/>
                <w:sz w:val="20"/>
                <w:lang w:val="en-GB"/>
              </w:rPr>
            </w:pPr>
            <w:r w:rsidRPr="00607BDE">
              <w:rPr>
                <w:color w:val="000000"/>
                <w:sz w:val="20"/>
                <w:lang w:val="en-GB"/>
              </w:rPr>
              <w:t>Dorota Jaworska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30FBD9" w14:textId="77777777" w:rsidR="00A77B3E" w:rsidRPr="00607BDE" w:rsidRDefault="00C401B9">
            <w:pPr>
              <w:spacing w:before="100"/>
              <w:rPr>
                <w:color w:val="000000"/>
                <w:sz w:val="20"/>
                <w:lang w:val="en-GB"/>
              </w:rPr>
            </w:pPr>
            <w:r w:rsidRPr="00607BDE">
              <w:rPr>
                <w:color w:val="000000"/>
                <w:sz w:val="20"/>
                <w:lang w:val="en-GB"/>
              </w:rPr>
              <w:t>Director of the Paying Authority Department, 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3A783E" w14:textId="77777777" w:rsidR="00A77B3E" w:rsidRPr="00607BDE" w:rsidRDefault="00C401B9">
            <w:pPr>
              <w:spacing w:before="100"/>
              <w:rPr>
                <w:color w:val="000000"/>
                <w:sz w:val="20"/>
                <w:lang w:val="en-GB"/>
              </w:rPr>
            </w:pPr>
            <w:r w:rsidRPr="00607BDE">
              <w:rPr>
                <w:color w:val="000000"/>
                <w:sz w:val="20"/>
                <w:lang w:val="en-GB"/>
              </w:rPr>
              <w:t>sekretariatIP@mf.gov.pl</w:t>
            </w:r>
          </w:p>
        </w:tc>
      </w:tr>
    </w:tbl>
    <w:p w14:paraId="030F7832" w14:textId="77777777" w:rsidR="00A77B3E" w:rsidRPr="00607BDE" w:rsidRDefault="00A77B3E">
      <w:pPr>
        <w:spacing w:before="100"/>
        <w:jc w:val="center"/>
        <w:rPr>
          <w:color w:val="000000"/>
          <w:sz w:val="20"/>
          <w:lang w:val="en-GB"/>
        </w:rPr>
        <w:sectPr w:rsidR="00A77B3E" w:rsidRPr="00607BDE">
          <w:headerReference w:type="even" r:id="rId51"/>
          <w:headerReference w:type="default" r:id="rId52"/>
          <w:footerReference w:type="even" r:id="rId53"/>
          <w:footerReference w:type="default" r:id="rId54"/>
          <w:headerReference w:type="first" r:id="rId55"/>
          <w:footerReference w:type="first" r:id="rId56"/>
          <w:pgSz w:w="16838" w:h="11906" w:orient="landscape"/>
          <w:pgMar w:top="720" w:right="720" w:bottom="864" w:left="936" w:header="288" w:footer="72" w:gutter="0"/>
          <w:cols w:space="720"/>
          <w:noEndnote/>
          <w:docGrid w:linePitch="360"/>
        </w:sectPr>
      </w:pPr>
    </w:p>
    <w:p w14:paraId="0382C5F9" w14:textId="77777777" w:rsidR="00A77B3E" w:rsidRPr="00607BDE" w:rsidRDefault="00C401B9">
      <w:pPr>
        <w:pStyle w:val="Nagwek1"/>
        <w:spacing w:before="100" w:after="0"/>
        <w:rPr>
          <w:rFonts w:ascii="Times New Roman" w:hAnsi="Times New Roman" w:cs="Times New Roman"/>
          <w:b w:val="0"/>
          <w:color w:val="000000"/>
          <w:sz w:val="24"/>
          <w:lang w:val="en-GB"/>
        </w:rPr>
      </w:pPr>
      <w:bookmarkStart w:id="34" w:name="_Toc128976005"/>
      <w:r w:rsidRPr="00607BDE">
        <w:rPr>
          <w:rFonts w:ascii="Times New Roman" w:hAnsi="Times New Roman" w:cs="Times New Roman"/>
          <w:b w:val="0"/>
          <w:color w:val="000000"/>
          <w:sz w:val="24"/>
          <w:lang w:val="en-GB"/>
        </w:rPr>
        <w:t>6. Partnership</w:t>
      </w:r>
      <w:bookmarkEnd w:id="34"/>
    </w:p>
    <w:p w14:paraId="4AF19097" w14:textId="77777777" w:rsidR="00A77B3E" w:rsidRPr="00607BDE" w:rsidRDefault="00C401B9">
      <w:pPr>
        <w:spacing w:before="100"/>
        <w:rPr>
          <w:color w:val="000000"/>
          <w:sz w:val="16"/>
          <w:lang w:val="en-GB"/>
        </w:rPr>
      </w:pPr>
      <w:r w:rsidRPr="00607BDE">
        <w:rPr>
          <w:color w:val="000000"/>
          <w:lang w:val="en-GB"/>
        </w:rPr>
        <w:t>Reference: Article 22(3)(h) of the Common Provisions Regulation</w:t>
      </w:r>
    </w:p>
    <w:p w14:paraId="3044C4FE"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C7127" w:rsidRPr="00607BDE" w14:paraId="1C4836E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460E27" w14:textId="77777777" w:rsidR="00A77B3E" w:rsidRPr="00607BDE" w:rsidRDefault="00A77B3E">
            <w:pPr>
              <w:spacing w:before="100"/>
              <w:rPr>
                <w:color w:val="000000"/>
                <w:sz w:val="0"/>
                <w:lang w:val="en-GB"/>
              </w:rPr>
            </w:pPr>
          </w:p>
          <w:p w14:paraId="6F99CBC0" w14:textId="77777777" w:rsidR="00A77B3E" w:rsidRPr="00607BDE" w:rsidRDefault="00C401B9">
            <w:pPr>
              <w:spacing w:before="100"/>
              <w:rPr>
                <w:color w:val="000000"/>
                <w:lang w:val="en-GB"/>
              </w:rPr>
            </w:pPr>
            <w:r w:rsidRPr="00607BDE">
              <w:rPr>
                <w:color w:val="000000"/>
                <w:lang w:val="en-GB"/>
              </w:rPr>
              <w:t>As regards preparatory work, the Programme partners included a wide spectrum of entities, in particular the competent services and public institutions at national and provincial level. During the preparations, requests to submit proposed actions and comments were also sent to NGOs.</w:t>
            </w:r>
          </w:p>
          <w:p w14:paraId="7A2A7FEE" w14:textId="77777777" w:rsidR="00A77B3E" w:rsidRPr="00607BDE" w:rsidRDefault="00A77B3E">
            <w:pPr>
              <w:spacing w:before="100"/>
              <w:rPr>
                <w:color w:val="000000"/>
                <w:lang w:val="en-GB"/>
              </w:rPr>
            </w:pPr>
          </w:p>
          <w:p w14:paraId="4B7ABEFA" w14:textId="77777777" w:rsidR="00A77B3E" w:rsidRPr="00607BDE" w:rsidRDefault="00C401B9">
            <w:pPr>
              <w:spacing w:before="100"/>
              <w:rPr>
                <w:color w:val="000000"/>
                <w:lang w:val="en-GB"/>
              </w:rPr>
            </w:pPr>
            <w:r w:rsidRPr="00607BDE">
              <w:rPr>
                <w:color w:val="000000"/>
                <w:lang w:val="en-GB"/>
              </w:rPr>
              <w:t>The draft Programme was prepared by the Department of European Funds of the Ministry of the Interior and Administration on the basis of information received from key institutions - also ones which were involved in actions under the ISF 2014-2020, including the Police, the Border Guard, the Ministry of Foreign Affairs, Voivodes and others. Due to its specificity, the Programme was subjected to public consultations by virtue of publication on the ministerial website dedicated to European funds together with a request for comments, which allowed non-governmental, intergovernmental and international organisations as well as other bodies to submit their comments and action proposals. This was meant to enable organisations which were potentially interested in conducting BMVI activities to provide additional/missing information/actions and comments. Subsequently, the document was transmitted for intraministerial and interministerial consultations. Following the stage of interministerial consultations, the document was submitted for approval to the Interministerial Team for the European Home Affairs Funds (hereinafter "the Monitoring Committee"). Having received a positive opinion of the Monitoring Committee, the document was transmitted to the European Commission.</w:t>
            </w:r>
          </w:p>
          <w:p w14:paraId="3EFD5DDA" w14:textId="77777777" w:rsidR="00A77B3E" w:rsidRPr="00607BDE" w:rsidRDefault="00A77B3E">
            <w:pPr>
              <w:spacing w:before="100"/>
              <w:rPr>
                <w:color w:val="000000"/>
                <w:lang w:val="en-GB"/>
              </w:rPr>
            </w:pPr>
          </w:p>
          <w:p w14:paraId="190656A7" w14:textId="77777777" w:rsidR="00A77B3E" w:rsidRPr="00607BDE" w:rsidRDefault="00C401B9">
            <w:pPr>
              <w:spacing w:before="100"/>
              <w:rPr>
                <w:color w:val="000000"/>
                <w:lang w:val="en-GB"/>
              </w:rPr>
            </w:pPr>
            <w:r w:rsidRPr="00607BDE">
              <w:rPr>
                <w:color w:val="000000"/>
                <w:lang w:val="en-GB"/>
              </w:rPr>
              <w:t>The good practice of consultations and cooperation with the bodies indicated in Regulation (EU) 2021/1060 will be continued during the implementation of the Programme.</w:t>
            </w:r>
          </w:p>
          <w:p w14:paraId="23371212" w14:textId="77777777" w:rsidR="00A77B3E" w:rsidRPr="00607BDE" w:rsidRDefault="00A77B3E">
            <w:pPr>
              <w:spacing w:before="100"/>
              <w:rPr>
                <w:color w:val="000000"/>
                <w:lang w:val="en-GB"/>
              </w:rPr>
            </w:pPr>
          </w:p>
          <w:p w14:paraId="12BD085F" w14:textId="0ECC77F3" w:rsidR="00A77B3E" w:rsidRPr="00607BDE" w:rsidRDefault="00C401B9">
            <w:pPr>
              <w:spacing w:before="100"/>
              <w:rPr>
                <w:color w:val="000000"/>
                <w:lang w:val="en-GB"/>
              </w:rPr>
            </w:pPr>
            <w:r w:rsidRPr="00607BDE">
              <w:rPr>
                <w:color w:val="000000"/>
                <w:lang w:val="en-GB"/>
              </w:rPr>
              <w:t xml:space="preserve">The 2014-2020 Monitoring Committee, responsible for two funds: the AMIF and ISF 2014-2020, included representatives of institutions of key importance for its operations, including the Ministries of: Finance, Justice, Foreign Affairs, Family and Social Policy (with the responsibility for integration and legal migration in Poland), Development Funds and Regional Policy, </w:t>
            </w:r>
            <w:r w:rsidR="00312668">
              <w:rPr>
                <w:color w:val="000000"/>
                <w:lang w:val="en-GB"/>
              </w:rPr>
              <w:t xml:space="preserve">Polish </w:t>
            </w:r>
            <w:r w:rsidRPr="00607BDE">
              <w:rPr>
                <w:color w:val="000000"/>
                <w:lang w:val="en-GB"/>
              </w:rPr>
              <w:t xml:space="preserve">Border Guard Headquarters and National Police Headquarters, </w:t>
            </w:r>
            <w:r w:rsidR="00312668">
              <w:rPr>
                <w:color w:val="000000"/>
                <w:lang w:val="en-GB"/>
              </w:rPr>
              <w:t xml:space="preserve">National Headquarters of the </w:t>
            </w:r>
            <w:r w:rsidRPr="00607BDE">
              <w:rPr>
                <w:color w:val="000000"/>
                <w:lang w:val="en-GB"/>
              </w:rPr>
              <w:t>State Fire Service</w:t>
            </w:r>
            <w:r w:rsidR="00312668">
              <w:rPr>
                <w:color w:val="000000"/>
                <w:lang w:val="en-GB"/>
              </w:rPr>
              <w:t xml:space="preserve"> of Poland</w:t>
            </w:r>
            <w:r w:rsidRPr="00607BDE">
              <w:rPr>
                <w:color w:val="000000"/>
                <w:lang w:val="en-GB"/>
              </w:rPr>
              <w:t xml:space="preserve">, Internal Security Agency  and Office for Foreigners. </w:t>
            </w:r>
          </w:p>
          <w:p w14:paraId="78F6D117" w14:textId="77777777" w:rsidR="00A77B3E" w:rsidRPr="00607BDE" w:rsidRDefault="00C401B9">
            <w:pPr>
              <w:spacing w:before="100"/>
              <w:rPr>
                <w:color w:val="000000"/>
                <w:lang w:val="en-GB"/>
              </w:rPr>
            </w:pPr>
            <w:r w:rsidRPr="00607BDE">
              <w:rPr>
                <w:color w:val="000000"/>
                <w:lang w:val="en-GB"/>
              </w:rPr>
              <w:t>The participation of different institutions in the Monitoring Committee 2021-2027, responsible for three funds: ISF, BMVI and AMIF 2021-2027, will ensure complementarity with other financial mechanisms in accordance with Regulation (EU) 2021/1060. Furthermore, representatives of the third sector organisations concerned will be invited to take part in the Monitoring Committee as part of partnership in the implementation and subsequent evaluation of the BMVI Programme.</w:t>
            </w:r>
          </w:p>
          <w:p w14:paraId="2FC0627B" w14:textId="77777777" w:rsidR="00A77B3E" w:rsidRPr="00607BDE" w:rsidRDefault="00A77B3E">
            <w:pPr>
              <w:spacing w:before="100"/>
              <w:rPr>
                <w:color w:val="000000"/>
                <w:lang w:val="en-GB"/>
              </w:rPr>
            </w:pPr>
          </w:p>
          <w:p w14:paraId="028EDDBB" w14:textId="77777777" w:rsidR="00A77B3E" w:rsidRPr="00607BDE" w:rsidRDefault="00C401B9">
            <w:pPr>
              <w:spacing w:before="100"/>
              <w:rPr>
                <w:color w:val="000000"/>
                <w:lang w:val="en-GB"/>
              </w:rPr>
            </w:pPr>
            <w:r w:rsidRPr="00607BDE">
              <w:rPr>
                <w:color w:val="000000"/>
                <w:lang w:val="en-GB"/>
              </w:rPr>
              <w:t xml:space="preserve">Moreover, in order to ensure that the partnership principle is implemented more effectively, the Managing Authority plans to engage partners which are most representative for a given environment - adequately to the subject scope of a given programme. In accordance with Article 8 of Regulation (EU) 2021/1060 (CPR), invitations were sent to the following bodies/organisations: </w:t>
            </w:r>
          </w:p>
          <w:p w14:paraId="3DDD08A1" w14:textId="77777777" w:rsidR="00A77B3E" w:rsidRPr="00607BDE" w:rsidRDefault="00C401B9">
            <w:pPr>
              <w:numPr>
                <w:ilvl w:val="0"/>
                <w:numId w:val="20"/>
              </w:numPr>
              <w:spacing w:before="100"/>
              <w:rPr>
                <w:color w:val="000000"/>
                <w:lang w:val="en-GB"/>
              </w:rPr>
            </w:pPr>
            <w:r w:rsidRPr="00607BDE">
              <w:rPr>
                <w:color w:val="000000"/>
                <w:lang w:val="en-GB"/>
              </w:rPr>
              <w:t xml:space="preserve">Joint Government and Local Government Commission </w:t>
            </w:r>
          </w:p>
          <w:p w14:paraId="63A0DD15" w14:textId="77777777" w:rsidR="00A77B3E" w:rsidRPr="00607BDE" w:rsidRDefault="00C401B9">
            <w:pPr>
              <w:numPr>
                <w:ilvl w:val="0"/>
                <w:numId w:val="20"/>
              </w:numPr>
              <w:spacing w:before="100"/>
              <w:rPr>
                <w:color w:val="000000"/>
                <w:lang w:val="en-GB"/>
              </w:rPr>
            </w:pPr>
            <w:r w:rsidRPr="00607BDE">
              <w:rPr>
                <w:color w:val="000000"/>
                <w:lang w:val="en-GB"/>
              </w:rPr>
              <w:t xml:space="preserve">Social Dialogue Council </w:t>
            </w:r>
          </w:p>
          <w:p w14:paraId="2D4E623F" w14:textId="77777777" w:rsidR="00A77B3E" w:rsidRPr="00607BDE" w:rsidRDefault="00C401B9">
            <w:pPr>
              <w:numPr>
                <w:ilvl w:val="0"/>
                <w:numId w:val="20"/>
              </w:numPr>
              <w:spacing w:before="100"/>
              <w:rPr>
                <w:color w:val="000000"/>
                <w:lang w:val="en-GB"/>
              </w:rPr>
            </w:pPr>
            <w:r w:rsidRPr="00607BDE">
              <w:rPr>
                <w:color w:val="000000"/>
                <w:lang w:val="en-GB"/>
              </w:rPr>
              <w:t xml:space="preserve">Public Benefit Works Council </w:t>
            </w:r>
          </w:p>
          <w:p w14:paraId="331BC8C7" w14:textId="77777777" w:rsidR="00A77B3E" w:rsidRPr="00607BDE" w:rsidRDefault="00C401B9">
            <w:pPr>
              <w:numPr>
                <w:ilvl w:val="0"/>
                <w:numId w:val="20"/>
              </w:numPr>
              <w:spacing w:before="100"/>
              <w:rPr>
                <w:color w:val="000000"/>
                <w:lang w:val="en-GB"/>
              </w:rPr>
            </w:pPr>
            <w:r w:rsidRPr="00607BDE">
              <w:rPr>
                <w:color w:val="000000"/>
                <w:lang w:val="en-GB"/>
              </w:rPr>
              <w:t xml:space="preserve">International organisations – IOM Poland, UNHCR – Representation in Poland </w:t>
            </w:r>
          </w:p>
          <w:p w14:paraId="4BF2557B" w14:textId="77777777" w:rsidR="00A77B3E" w:rsidRPr="00607BDE" w:rsidRDefault="00C401B9">
            <w:pPr>
              <w:numPr>
                <w:ilvl w:val="0"/>
                <w:numId w:val="20"/>
              </w:numPr>
              <w:spacing w:before="100"/>
              <w:rPr>
                <w:color w:val="000000"/>
                <w:lang w:val="en-GB"/>
              </w:rPr>
            </w:pPr>
            <w:r w:rsidRPr="00607BDE">
              <w:rPr>
                <w:color w:val="000000"/>
                <w:lang w:val="en-GB"/>
              </w:rPr>
              <w:t>Government Plenipotentiary for Disabled Persons</w:t>
            </w:r>
          </w:p>
          <w:p w14:paraId="2AC62BB2" w14:textId="77777777" w:rsidR="00A77B3E" w:rsidRPr="00607BDE" w:rsidRDefault="00C401B9">
            <w:pPr>
              <w:numPr>
                <w:ilvl w:val="0"/>
                <w:numId w:val="20"/>
              </w:numPr>
              <w:spacing w:before="100"/>
              <w:rPr>
                <w:color w:val="000000"/>
                <w:lang w:val="en-GB"/>
              </w:rPr>
            </w:pPr>
            <w:r w:rsidRPr="00607BDE">
              <w:rPr>
                <w:color w:val="000000"/>
                <w:lang w:val="en-GB"/>
              </w:rPr>
              <w:t>Government Plenipotentiary for Equal Treatment</w:t>
            </w:r>
          </w:p>
          <w:p w14:paraId="0F87279B" w14:textId="77777777" w:rsidR="00A77B3E" w:rsidRPr="00607BDE" w:rsidRDefault="00C401B9">
            <w:pPr>
              <w:numPr>
                <w:ilvl w:val="0"/>
                <w:numId w:val="20"/>
              </w:numPr>
              <w:spacing w:before="100"/>
              <w:rPr>
                <w:color w:val="000000"/>
                <w:lang w:val="en-GB"/>
              </w:rPr>
            </w:pPr>
            <w:r w:rsidRPr="00607BDE">
              <w:rPr>
                <w:color w:val="000000"/>
                <w:lang w:val="en-GB"/>
              </w:rPr>
              <w:t xml:space="preserve">Conference of Rectors of Academic Schools in Poland </w:t>
            </w:r>
          </w:p>
          <w:p w14:paraId="4F0713EA" w14:textId="77777777" w:rsidR="00A77B3E" w:rsidRPr="00607BDE" w:rsidRDefault="00C401B9">
            <w:pPr>
              <w:numPr>
                <w:ilvl w:val="0"/>
                <w:numId w:val="20"/>
              </w:numPr>
              <w:spacing w:before="100"/>
              <w:rPr>
                <w:color w:val="000000"/>
                <w:lang w:val="en-GB"/>
              </w:rPr>
            </w:pPr>
            <w:r w:rsidRPr="00607BDE">
              <w:rPr>
                <w:color w:val="000000"/>
                <w:lang w:val="en-GB"/>
              </w:rPr>
              <w:t>Main Board of Research Institutes.</w:t>
            </w:r>
          </w:p>
          <w:p w14:paraId="5D93D119" w14:textId="77777777" w:rsidR="00A77B3E" w:rsidRPr="00607BDE" w:rsidRDefault="00A77B3E">
            <w:pPr>
              <w:spacing w:before="100"/>
              <w:rPr>
                <w:color w:val="000000"/>
                <w:lang w:val="en-GB"/>
              </w:rPr>
            </w:pPr>
          </w:p>
          <w:p w14:paraId="0AC984CD" w14:textId="77777777" w:rsidR="00A77B3E" w:rsidRPr="00607BDE" w:rsidRDefault="00C401B9">
            <w:pPr>
              <w:spacing w:before="100"/>
              <w:rPr>
                <w:color w:val="000000"/>
                <w:lang w:val="en-GB"/>
              </w:rPr>
            </w:pPr>
            <w:r w:rsidRPr="00607BDE">
              <w:rPr>
                <w:color w:val="000000"/>
                <w:lang w:val="en-GB"/>
              </w:rPr>
              <w:t>The aforementioned bodies were asked to name at least one representative to be officially nominated as members of the Monitoring Committee. The Joint Government and Local Government Commission names a representative of regional/local public authorities. The Social Dialogue Council names a representative of the social/economic partners. The Public Benefit Works Council names a representative of the civil society to ensure representation in accordance with Article 8 of Regulation (EU) 2021/1060. The Conference of Rectors of Academic Schools in Poland names a representative of academic schools. The Main Board of Research Institutes names a representative of research institutes. Depending on the subject range of the work of the Monitoring Committee, the representatives named can consult competent members of their organisations to provide relevant answers to issues raised. The rules and scope of cooperation with the partners will be laid down in the Rules of the Monitoring Committee. The Rules will be consulted with the Committee members and will also provide for the manner of involvement of the partners in the decision-making process.</w:t>
            </w:r>
          </w:p>
          <w:p w14:paraId="6FF86258" w14:textId="77777777" w:rsidR="00A77B3E" w:rsidRPr="00607BDE" w:rsidRDefault="00A77B3E">
            <w:pPr>
              <w:spacing w:before="100"/>
              <w:rPr>
                <w:color w:val="000000"/>
                <w:lang w:val="en-GB"/>
              </w:rPr>
            </w:pPr>
          </w:p>
          <w:p w14:paraId="26E1BAD0" w14:textId="77777777" w:rsidR="00A77B3E" w:rsidRPr="00607BDE" w:rsidRDefault="00C401B9">
            <w:pPr>
              <w:spacing w:before="100"/>
              <w:rPr>
                <w:color w:val="000000"/>
                <w:lang w:val="en-GB"/>
              </w:rPr>
            </w:pPr>
            <w:r w:rsidRPr="00607BDE">
              <w:rPr>
                <w:color w:val="000000"/>
                <w:lang w:val="en-GB"/>
              </w:rPr>
              <w:t>Participation of the partners under the partnership principle will be taken into account at all stages of implementation of the programmes. The participation involves also support for the Managing Authority at the stage of programming, implementation, monitoring and evaluation of the programmes for the years 2021 - 2027, in particular through:</w:t>
            </w:r>
          </w:p>
          <w:p w14:paraId="3CC88652" w14:textId="77777777" w:rsidR="00A77B3E" w:rsidRPr="00607BDE" w:rsidRDefault="00C401B9">
            <w:pPr>
              <w:numPr>
                <w:ilvl w:val="0"/>
                <w:numId w:val="21"/>
              </w:numPr>
              <w:spacing w:before="100"/>
              <w:rPr>
                <w:color w:val="000000"/>
                <w:lang w:val="en-GB"/>
              </w:rPr>
            </w:pPr>
            <w:r w:rsidRPr="00607BDE">
              <w:rPr>
                <w:color w:val="000000"/>
                <w:lang w:val="en-GB"/>
              </w:rPr>
              <w:t>participating in the work of the Monitoring Committee</w:t>
            </w:r>
          </w:p>
          <w:p w14:paraId="73D5B993" w14:textId="77777777" w:rsidR="00A77B3E" w:rsidRPr="00607BDE" w:rsidRDefault="00C401B9">
            <w:pPr>
              <w:numPr>
                <w:ilvl w:val="0"/>
                <w:numId w:val="21"/>
              </w:numPr>
              <w:spacing w:before="100"/>
              <w:rPr>
                <w:color w:val="000000"/>
                <w:lang w:val="en-GB"/>
              </w:rPr>
            </w:pPr>
            <w:r w:rsidRPr="00607BDE">
              <w:rPr>
                <w:color w:val="000000"/>
                <w:lang w:val="en-GB"/>
              </w:rPr>
              <w:t>providing opinions on ISF, BMVI and AMIF programmes and on amendments to the programmes</w:t>
            </w:r>
          </w:p>
          <w:p w14:paraId="693D28AC" w14:textId="77777777" w:rsidR="00A77B3E" w:rsidRPr="00607BDE" w:rsidRDefault="00C401B9">
            <w:pPr>
              <w:numPr>
                <w:ilvl w:val="0"/>
                <w:numId w:val="21"/>
              </w:numPr>
              <w:spacing w:before="100"/>
              <w:rPr>
                <w:color w:val="000000"/>
                <w:lang w:val="en-GB"/>
              </w:rPr>
            </w:pPr>
            <w:r w:rsidRPr="00607BDE">
              <w:rPr>
                <w:color w:val="000000"/>
                <w:lang w:val="en-GB"/>
              </w:rPr>
              <w:t>analysing the progress in implementing the programmes and achieving their objectives</w:t>
            </w:r>
          </w:p>
          <w:p w14:paraId="6A4E3A74" w14:textId="77777777" w:rsidR="00A77B3E" w:rsidRPr="00607BDE" w:rsidRDefault="00C401B9">
            <w:pPr>
              <w:numPr>
                <w:ilvl w:val="0"/>
                <w:numId w:val="21"/>
              </w:numPr>
              <w:spacing w:before="100"/>
              <w:rPr>
                <w:color w:val="000000"/>
                <w:lang w:val="en-GB"/>
              </w:rPr>
            </w:pPr>
            <w:r w:rsidRPr="00607BDE">
              <w:rPr>
                <w:color w:val="000000"/>
                <w:lang w:val="en-GB"/>
              </w:rPr>
              <w:t>providing opinions and approvals regarding project selection criteria</w:t>
            </w:r>
          </w:p>
          <w:p w14:paraId="56256A87" w14:textId="77777777" w:rsidR="00A77B3E" w:rsidRPr="00607BDE" w:rsidRDefault="00C401B9">
            <w:pPr>
              <w:numPr>
                <w:ilvl w:val="0"/>
                <w:numId w:val="21"/>
              </w:numPr>
              <w:spacing w:before="100"/>
              <w:rPr>
                <w:color w:val="000000"/>
                <w:lang w:val="en-GB"/>
              </w:rPr>
            </w:pPr>
            <w:r w:rsidRPr="00607BDE">
              <w:rPr>
                <w:color w:val="000000"/>
                <w:lang w:val="en-GB"/>
              </w:rPr>
              <w:t>participating in the process of evaluation of the programme implementation</w:t>
            </w:r>
          </w:p>
          <w:p w14:paraId="74749694" w14:textId="77777777" w:rsidR="00A77B3E" w:rsidRPr="00607BDE" w:rsidRDefault="00C401B9">
            <w:pPr>
              <w:numPr>
                <w:ilvl w:val="0"/>
                <w:numId w:val="21"/>
              </w:numPr>
              <w:spacing w:before="100"/>
              <w:rPr>
                <w:color w:val="000000"/>
                <w:lang w:val="en-GB"/>
              </w:rPr>
            </w:pPr>
            <w:r w:rsidRPr="00607BDE">
              <w:rPr>
                <w:color w:val="000000"/>
                <w:lang w:val="en-GB"/>
              </w:rPr>
              <w:t>analysing actions in the area of communication and visibility.</w:t>
            </w:r>
          </w:p>
          <w:p w14:paraId="37C1AE4B" w14:textId="77777777" w:rsidR="00A77B3E" w:rsidRPr="00607BDE" w:rsidRDefault="00A77B3E">
            <w:pPr>
              <w:spacing w:before="100"/>
              <w:rPr>
                <w:color w:val="000000"/>
                <w:lang w:val="en-GB"/>
              </w:rPr>
            </w:pPr>
          </w:p>
        </w:tc>
      </w:tr>
    </w:tbl>
    <w:p w14:paraId="196F3CF2" w14:textId="77777777" w:rsidR="00A77B3E" w:rsidRPr="00607BDE" w:rsidRDefault="00C401B9">
      <w:pPr>
        <w:pStyle w:val="Nagwek1"/>
        <w:spacing w:before="100" w:after="0"/>
        <w:rPr>
          <w:rFonts w:ascii="Times New Roman" w:hAnsi="Times New Roman" w:cs="Times New Roman"/>
          <w:b w:val="0"/>
          <w:color w:val="000000"/>
          <w:sz w:val="24"/>
          <w:lang w:val="en-GB"/>
        </w:rPr>
      </w:pPr>
      <w:r w:rsidRPr="00607BDE">
        <w:rPr>
          <w:rFonts w:ascii="Times New Roman" w:hAnsi="Times New Roman" w:cs="Times New Roman"/>
          <w:b w:val="0"/>
          <w:color w:val="000000"/>
          <w:sz w:val="24"/>
          <w:lang w:val="en-GB"/>
        </w:rPr>
        <w:br w:type="page"/>
      </w:r>
      <w:bookmarkStart w:id="35" w:name="_Toc128976006"/>
      <w:r w:rsidRPr="00607BDE">
        <w:rPr>
          <w:rFonts w:ascii="Times New Roman" w:hAnsi="Times New Roman" w:cs="Times New Roman"/>
          <w:b w:val="0"/>
          <w:color w:val="000000"/>
          <w:sz w:val="24"/>
          <w:lang w:val="en-GB"/>
        </w:rPr>
        <w:t>7. Communication and visibility</w:t>
      </w:r>
      <w:bookmarkEnd w:id="35"/>
    </w:p>
    <w:p w14:paraId="5B81E182" w14:textId="77777777" w:rsidR="00A77B3E" w:rsidRPr="00607BDE" w:rsidRDefault="00C401B9">
      <w:pPr>
        <w:spacing w:before="100"/>
        <w:rPr>
          <w:color w:val="000000"/>
          <w:sz w:val="16"/>
          <w:lang w:val="en-GB"/>
        </w:rPr>
      </w:pPr>
      <w:r w:rsidRPr="00607BDE">
        <w:rPr>
          <w:color w:val="000000"/>
          <w:lang w:val="en-GB"/>
        </w:rPr>
        <w:t>Reference: Article 22(3)(j) of the Common Provisions Regulation</w:t>
      </w:r>
    </w:p>
    <w:p w14:paraId="20B53103"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C7127" w:rsidRPr="00607BDE" w14:paraId="6927A50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26126F" w14:textId="77777777" w:rsidR="00A77B3E" w:rsidRPr="00607BDE" w:rsidRDefault="00A77B3E">
            <w:pPr>
              <w:spacing w:before="100"/>
              <w:rPr>
                <w:color w:val="000000"/>
                <w:sz w:val="0"/>
                <w:lang w:val="en-GB"/>
              </w:rPr>
            </w:pPr>
          </w:p>
          <w:p w14:paraId="699E1E10" w14:textId="77777777" w:rsidR="00A77B3E" w:rsidRPr="00607BDE" w:rsidRDefault="00C401B9">
            <w:pPr>
              <w:spacing w:before="100"/>
              <w:rPr>
                <w:color w:val="000000"/>
                <w:lang w:val="en-GB"/>
              </w:rPr>
            </w:pPr>
            <w:r w:rsidRPr="00607BDE">
              <w:rPr>
                <w:color w:val="000000"/>
                <w:lang w:val="en-GB"/>
              </w:rPr>
              <w:t>The BMVI 2021-2027 Communication Strategy comes as a part of the Communication Strategy For European Migration, Borders and Security Funds (hereinafter "the Strategy") and concerns the manner of communication with target groups for the purpose of supporting the Programme's visibility.</w:t>
            </w:r>
          </w:p>
          <w:p w14:paraId="71F441AC" w14:textId="0A4918B6" w:rsidR="00A77B3E" w:rsidRPr="00607BDE" w:rsidRDefault="00C401B9">
            <w:pPr>
              <w:spacing w:before="100"/>
              <w:rPr>
                <w:color w:val="000000"/>
                <w:lang w:val="en-GB"/>
              </w:rPr>
            </w:pPr>
            <w:r w:rsidRPr="00607BDE">
              <w:rPr>
                <w:color w:val="000000"/>
                <w:lang w:val="en-GB"/>
              </w:rPr>
              <w:t xml:space="preserve">The Strategy is in line with the national Strategy for Communication of European Funds 2021-2027 managed by the Ministry of Development Funds and Regional Policy </w:t>
            </w:r>
            <w:r w:rsidR="00CB4E2C" w:rsidRPr="00CB4E2C">
              <w:rPr>
                <w:color w:val="000000"/>
                <w:lang w:val="en-GB"/>
              </w:rPr>
              <w:t xml:space="preserve">(MDFRP), </w:t>
            </w:r>
            <w:r w:rsidRPr="00607BDE">
              <w:rPr>
                <w:color w:val="000000"/>
                <w:lang w:val="en-GB"/>
              </w:rPr>
              <w:t xml:space="preserve">and it will be implemented in cooperation with the </w:t>
            </w:r>
            <w:r w:rsidR="00CB4E2C">
              <w:rPr>
                <w:color w:val="000000"/>
                <w:lang w:val="en-GB"/>
              </w:rPr>
              <w:t>MDFRP.</w:t>
            </w:r>
          </w:p>
          <w:p w14:paraId="428858F9" w14:textId="77777777" w:rsidR="00A77B3E" w:rsidRPr="00607BDE" w:rsidRDefault="00C401B9">
            <w:pPr>
              <w:spacing w:before="100"/>
              <w:rPr>
                <w:color w:val="000000"/>
                <w:lang w:val="en-GB"/>
              </w:rPr>
            </w:pPr>
            <w:r w:rsidRPr="00607BDE">
              <w:rPr>
                <w:color w:val="000000"/>
                <w:lang w:val="en-GB"/>
              </w:rPr>
              <w:t>The BMVI Programme communication involves informing about the Programme's offering, results and impact on the country and EU development as regards:</w:t>
            </w:r>
          </w:p>
          <w:p w14:paraId="03CA1B1B" w14:textId="77777777" w:rsidR="00A77B3E" w:rsidRPr="00607BDE" w:rsidRDefault="00C401B9">
            <w:pPr>
              <w:numPr>
                <w:ilvl w:val="0"/>
                <w:numId w:val="22"/>
              </w:numPr>
              <w:spacing w:before="100"/>
              <w:rPr>
                <w:color w:val="000000"/>
                <w:lang w:val="en-GB"/>
              </w:rPr>
            </w:pPr>
            <w:r w:rsidRPr="00607BDE">
              <w:rPr>
                <w:color w:val="000000"/>
                <w:lang w:val="en-GB"/>
              </w:rPr>
              <w:t>support for the  European integrated external border management;</w:t>
            </w:r>
          </w:p>
          <w:p w14:paraId="7B7E9BB1" w14:textId="77777777" w:rsidR="00A77B3E" w:rsidRPr="00607BDE" w:rsidRDefault="00C401B9">
            <w:pPr>
              <w:numPr>
                <w:ilvl w:val="0"/>
                <w:numId w:val="22"/>
              </w:numPr>
              <w:spacing w:before="100"/>
              <w:rPr>
                <w:color w:val="000000"/>
                <w:lang w:val="en-GB"/>
              </w:rPr>
            </w:pPr>
            <w:r w:rsidRPr="00607BDE">
              <w:rPr>
                <w:color w:val="000000"/>
                <w:lang w:val="en-GB"/>
              </w:rPr>
              <w:t>support for the common visa policy to facilitate legal travel and prevent migration and security-related threats.</w:t>
            </w:r>
          </w:p>
          <w:p w14:paraId="4327E10B" w14:textId="77777777" w:rsidR="00A77B3E" w:rsidRPr="00607BDE" w:rsidRDefault="00A77B3E">
            <w:pPr>
              <w:spacing w:before="100"/>
              <w:rPr>
                <w:color w:val="000000"/>
                <w:lang w:val="en-GB"/>
              </w:rPr>
            </w:pPr>
          </w:p>
          <w:p w14:paraId="6BF133B1" w14:textId="77777777" w:rsidR="00A77B3E" w:rsidRPr="00607BDE" w:rsidRDefault="00C401B9">
            <w:pPr>
              <w:spacing w:before="100"/>
              <w:rPr>
                <w:color w:val="000000"/>
                <w:lang w:val="en-GB"/>
              </w:rPr>
            </w:pPr>
            <w:r w:rsidRPr="00607BDE">
              <w:rPr>
                <w:color w:val="000000"/>
                <w:lang w:val="en-GB"/>
              </w:rPr>
              <w:t>The communication strategy for the European Funds for Migration, Borders and Security is set forth on an annex to the MA Procedure Manual. Communication actions are carried out by the MA, IB and beneficiaries.</w:t>
            </w:r>
          </w:p>
          <w:p w14:paraId="1F58FF32" w14:textId="77777777" w:rsidR="00A77B3E" w:rsidRPr="00607BDE" w:rsidRDefault="00A77B3E">
            <w:pPr>
              <w:spacing w:before="100"/>
              <w:rPr>
                <w:color w:val="000000"/>
                <w:lang w:val="en-GB"/>
              </w:rPr>
            </w:pPr>
          </w:p>
          <w:p w14:paraId="3442D83D" w14:textId="77777777" w:rsidR="00A77B3E" w:rsidRPr="00607BDE" w:rsidRDefault="00C401B9">
            <w:pPr>
              <w:spacing w:before="100"/>
              <w:rPr>
                <w:color w:val="000000"/>
                <w:lang w:val="en-GB"/>
              </w:rPr>
            </w:pPr>
            <w:r w:rsidRPr="00607BDE">
              <w:rPr>
                <w:b/>
                <w:bCs/>
                <w:color w:val="000000"/>
                <w:lang w:val="en-GB"/>
              </w:rPr>
              <w:t>Communication Officer</w:t>
            </w:r>
          </w:p>
          <w:p w14:paraId="036E630C" w14:textId="7E1D6095" w:rsidR="00A77B3E" w:rsidRPr="00607BDE" w:rsidRDefault="00C401B9">
            <w:pPr>
              <w:spacing w:before="100"/>
              <w:rPr>
                <w:color w:val="000000"/>
                <w:lang w:val="en-GB"/>
              </w:rPr>
            </w:pPr>
            <w:r w:rsidRPr="00607BDE">
              <w:rPr>
                <w:color w:val="000000"/>
                <w:lang w:val="en-GB"/>
              </w:rPr>
              <w:t>The MA has appointed the officer for Communication of European Migration, Borders and Security Funds who, in cooperation with the National Coordinator in the M</w:t>
            </w:r>
            <w:r w:rsidR="00CB4E2C">
              <w:rPr>
                <w:color w:val="000000"/>
                <w:lang w:val="en-GB"/>
              </w:rPr>
              <w:t>DFRP</w:t>
            </w:r>
            <w:r w:rsidRPr="00607BDE">
              <w:rPr>
                <w:color w:val="000000"/>
                <w:lang w:val="en-GB"/>
              </w:rPr>
              <w:t>, conducts actions to support the visibility and promotion of the funds. Within the INFORM EU networ</w:t>
            </w:r>
            <w:r w:rsidR="00312668">
              <w:rPr>
                <w:color w:val="000000"/>
                <w:lang w:val="en-GB"/>
              </w:rPr>
              <w:t>k</w:t>
            </w:r>
            <w:r w:rsidRPr="00607BDE">
              <w:rPr>
                <w:color w:val="000000"/>
                <w:lang w:val="en-GB"/>
              </w:rPr>
              <w:t>, the Officer is responsible for cooperation with the EC, attends meetings and training, and is responsible for the website content.</w:t>
            </w:r>
          </w:p>
          <w:p w14:paraId="3CDA7064" w14:textId="77777777" w:rsidR="00A77B3E" w:rsidRPr="00607BDE" w:rsidRDefault="00A77B3E">
            <w:pPr>
              <w:spacing w:before="100"/>
              <w:rPr>
                <w:color w:val="000000"/>
                <w:lang w:val="en-GB"/>
              </w:rPr>
            </w:pPr>
          </w:p>
          <w:p w14:paraId="60EABF61" w14:textId="77777777" w:rsidR="001A1D29" w:rsidRPr="00221DC2" w:rsidRDefault="001A1D29" w:rsidP="001A1D29">
            <w:pPr>
              <w:spacing w:before="100"/>
              <w:rPr>
                <w:color w:val="000000"/>
                <w:lang w:val="en-GB"/>
              </w:rPr>
            </w:pPr>
            <w:r w:rsidRPr="00221DC2">
              <w:rPr>
                <w:b/>
                <w:bCs/>
                <w:color w:val="000000"/>
                <w:lang w:val="en-GB"/>
              </w:rPr>
              <w:t>Objectives of communication actions</w:t>
            </w:r>
          </w:p>
          <w:p w14:paraId="331A464D" w14:textId="77777777" w:rsidR="00A77B3E" w:rsidRPr="00607BDE" w:rsidRDefault="00C401B9">
            <w:pPr>
              <w:numPr>
                <w:ilvl w:val="0"/>
                <w:numId w:val="23"/>
              </w:numPr>
              <w:spacing w:before="100"/>
              <w:rPr>
                <w:color w:val="000000"/>
                <w:lang w:val="en-GB"/>
              </w:rPr>
            </w:pPr>
            <w:r w:rsidRPr="00607BDE">
              <w:rPr>
                <w:color w:val="000000"/>
                <w:lang w:val="en-GB"/>
              </w:rPr>
              <w:t>informing about and encouraging to use the funds available under the Programme;</w:t>
            </w:r>
          </w:p>
          <w:p w14:paraId="1207CC58" w14:textId="77777777" w:rsidR="00A77B3E" w:rsidRPr="00607BDE" w:rsidRDefault="00C401B9">
            <w:pPr>
              <w:numPr>
                <w:ilvl w:val="0"/>
                <w:numId w:val="23"/>
              </w:numPr>
              <w:spacing w:before="100"/>
              <w:rPr>
                <w:color w:val="000000"/>
                <w:lang w:val="en-GB"/>
              </w:rPr>
            </w:pPr>
            <w:r w:rsidRPr="00607BDE">
              <w:rPr>
                <w:color w:val="000000"/>
                <w:lang w:val="en-GB"/>
              </w:rPr>
              <w:t>informing the general public about the Programme actions and effects, including the positive impact of the Union support in the BMVI area;</w:t>
            </w:r>
          </w:p>
          <w:p w14:paraId="503713AD" w14:textId="77777777" w:rsidR="00A77B3E" w:rsidRPr="00607BDE" w:rsidRDefault="00C401B9">
            <w:pPr>
              <w:numPr>
                <w:ilvl w:val="0"/>
                <w:numId w:val="23"/>
              </w:numPr>
              <w:spacing w:before="100"/>
              <w:rPr>
                <w:color w:val="000000"/>
                <w:lang w:val="en-GB"/>
              </w:rPr>
            </w:pPr>
            <w:r w:rsidRPr="00607BDE">
              <w:rPr>
                <w:color w:val="000000"/>
                <w:lang w:val="en-GB"/>
              </w:rPr>
              <w:t>supporting the beneficiaries in implementing their projects;</w:t>
            </w:r>
          </w:p>
          <w:p w14:paraId="6BFAA72A" w14:textId="77777777" w:rsidR="00A77B3E" w:rsidRPr="00607BDE" w:rsidRDefault="00C401B9">
            <w:pPr>
              <w:numPr>
                <w:ilvl w:val="0"/>
                <w:numId w:val="23"/>
              </w:numPr>
              <w:spacing w:before="100"/>
              <w:rPr>
                <w:color w:val="000000"/>
                <w:lang w:val="en-GB"/>
              </w:rPr>
            </w:pPr>
            <w:r w:rsidRPr="00607BDE">
              <w:rPr>
                <w:color w:val="000000"/>
                <w:lang w:val="en-GB"/>
              </w:rPr>
              <w:t>ensuring high awareness regarding country development activities supported by the European Fund and the role of the European Union.</w:t>
            </w:r>
          </w:p>
          <w:p w14:paraId="09EBF5DD" w14:textId="77777777" w:rsidR="00A77B3E" w:rsidRPr="00607BDE" w:rsidRDefault="00A77B3E">
            <w:pPr>
              <w:spacing w:before="100"/>
              <w:rPr>
                <w:color w:val="000000"/>
                <w:lang w:val="en-GB"/>
              </w:rPr>
            </w:pPr>
          </w:p>
          <w:p w14:paraId="3C43DFA6" w14:textId="77777777" w:rsidR="00A77B3E" w:rsidRPr="00607BDE" w:rsidRDefault="00C401B9">
            <w:pPr>
              <w:spacing w:before="100"/>
              <w:rPr>
                <w:color w:val="000000"/>
                <w:lang w:val="en-GB"/>
              </w:rPr>
            </w:pPr>
            <w:r w:rsidRPr="00607BDE">
              <w:rPr>
                <w:b/>
                <w:bCs/>
                <w:color w:val="000000"/>
                <w:lang w:val="en-GB"/>
              </w:rPr>
              <w:t>Target groups</w:t>
            </w:r>
          </w:p>
          <w:p w14:paraId="12E7BE45" w14:textId="77777777" w:rsidR="00A77B3E" w:rsidRPr="00607BDE" w:rsidRDefault="00C401B9">
            <w:pPr>
              <w:numPr>
                <w:ilvl w:val="0"/>
                <w:numId w:val="24"/>
              </w:numPr>
              <w:spacing w:before="100"/>
              <w:rPr>
                <w:color w:val="000000"/>
                <w:lang w:val="en-GB"/>
              </w:rPr>
            </w:pPr>
            <w:r w:rsidRPr="00607BDE">
              <w:rPr>
                <w:color w:val="000000"/>
                <w:u w:val="single"/>
                <w:lang w:val="en-GB"/>
              </w:rPr>
              <w:t>beneficiaries: institutions with the monopoly on border management and visa policy (Border Guard, Ministry of Foreign Affairs);</w:t>
            </w:r>
          </w:p>
          <w:p w14:paraId="5F7B242C" w14:textId="77777777" w:rsidR="00A77B3E" w:rsidRPr="00607BDE" w:rsidRDefault="00C401B9">
            <w:pPr>
              <w:numPr>
                <w:ilvl w:val="0"/>
                <w:numId w:val="24"/>
              </w:numPr>
              <w:spacing w:before="100"/>
              <w:rPr>
                <w:color w:val="000000"/>
                <w:lang w:val="en-GB"/>
              </w:rPr>
            </w:pPr>
            <w:r w:rsidRPr="00607BDE">
              <w:rPr>
                <w:color w:val="000000"/>
                <w:u w:val="single"/>
                <w:lang w:val="en-GB"/>
              </w:rPr>
              <w:t xml:space="preserve">potential beneficiaries: entities that use BMVI support and implement projects: </w:t>
            </w:r>
            <w:r w:rsidRPr="00607BDE">
              <w:rPr>
                <w:color w:val="000000"/>
                <w:lang w:val="en-GB"/>
              </w:rPr>
              <w:t>o</w:t>
            </w:r>
            <w:r w:rsidRPr="00607BDE">
              <w:rPr>
                <w:color w:val="000000"/>
                <w:u w:val="single"/>
                <w:lang w:val="en-GB"/>
              </w:rPr>
              <w:t>ther public finance sector units, Voivodeship Offices, international organisations, non-governmental organisations, recipients of direct support under projects implemented;</w:t>
            </w:r>
          </w:p>
          <w:p w14:paraId="1227944A" w14:textId="77777777" w:rsidR="00A77B3E" w:rsidRPr="00607BDE" w:rsidRDefault="00C401B9">
            <w:pPr>
              <w:numPr>
                <w:ilvl w:val="0"/>
                <w:numId w:val="24"/>
              </w:numPr>
              <w:spacing w:before="100"/>
              <w:rPr>
                <w:color w:val="000000"/>
                <w:lang w:val="en-GB"/>
              </w:rPr>
            </w:pPr>
            <w:r w:rsidRPr="00607BDE">
              <w:rPr>
                <w:color w:val="000000"/>
                <w:u w:val="single"/>
                <w:lang w:val="en-GB"/>
              </w:rPr>
              <w:t xml:space="preserve">general public: persons and entities that benefit from the effects of the projects implemented, whether consciously or not. </w:t>
            </w:r>
          </w:p>
          <w:p w14:paraId="1370885E" w14:textId="77777777" w:rsidR="00A77B3E" w:rsidRPr="00607BDE" w:rsidRDefault="00A77B3E">
            <w:pPr>
              <w:spacing w:before="100"/>
              <w:rPr>
                <w:color w:val="000000"/>
                <w:lang w:val="en-GB"/>
              </w:rPr>
            </w:pPr>
          </w:p>
          <w:p w14:paraId="5F2C3B70" w14:textId="77777777" w:rsidR="00A77B3E" w:rsidRPr="00607BDE" w:rsidRDefault="00C401B9">
            <w:pPr>
              <w:spacing w:before="100"/>
              <w:rPr>
                <w:color w:val="000000"/>
                <w:lang w:val="en-GB"/>
              </w:rPr>
            </w:pPr>
            <w:r w:rsidRPr="00607BDE">
              <w:rPr>
                <w:b/>
                <w:bCs/>
                <w:color w:val="000000"/>
                <w:lang w:val="en-GB"/>
              </w:rPr>
              <w:t>Communication channels</w:t>
            </w:r>
          </w:p>
          <w:p w14:paraId="3EF127DB" w14:textId="77777777" w:rsidR="00A77B3E" w:rsidRPr="00607BDE" w:rsidRDefault="00C401B9">
            <w:pPr>
              <w:spacing w:before="100"/>
              <w:rPr>
                <w:color w:val="000000"/>
                <w:lang w:val="en-GB"/>
              </w:rPr>
            </w:pPr>
            <w:r w:rsidRPr="00607BDE">
              <w:rPr>
                <w:color w:val="000000"/>
                <w:lang w:val="en-GB"/>
              </w:rPr>
              <w:t>Communication channels will be selected on the basis of their effectiveness and specific objectives. Examples of channels:</w:t>
            </w:r>
          </w:p>
          <w:p w14:paraId="4492D32D" w14:textId="77777777" w:rsidR="00A77B3E" w:rsidRPr="00607BDE" w:rsidRDefault="00C401B9">
            <w:pPr>
              <w:numPr>
                <w:ilvl w:val="0"/>
                <w:numId w:val="25"/>
              </w:numPr>
              <w:spacing w:before="100"/>
              <w:rPr>
                <w:color w:val="000000"/>
                <w:lang w:val="en-GB"/>
              </w:rPr>
            </w:pPr>
            <w:r w:rsidRPr="00607BDE">
              <w:rPr>
                <w:color w:val="000000"/>
                <w:lang w:val="en-GB"/>
              </w:rPr>
              <w:t>bilingual (Polish and English) websites dedicated to home affairs funds: www.fundusze.mswia.gov.pl and www.gov.pl/web/DFE-MSWiA;</w:t>
            </w:r>
          </w:p>
          <w:p w14:paraId="4FBC3E49" w14:textId="77777777" w:rsidR="00A77B3E" w:rsidRPr="00607BDE" w:rsidRDefault="00C401B9">
            <w:pPr>
              <w:numPr>
                <w:ilvl w:val="0"/>
                <w:numId w:val="25"/>
              </w:numPr>
              <w:spacing w:before="100"/>
              <w:rPr>
                <w:color w:val="000000"/>
                <w:lang w:val="en-GB"/>
              </w:rPr>
            </w:pPr>
            <w:r w:rsidRPr="00607BDE">
              <w:rPr>
                <w:color w:val="000000"/>
                <w:lang w:val="en-GB"/>
              </w:rPr>
              <w:t>information and promotion events;</w:t>
            </w:r>
          </w:p>
          <w:p w14:paraId="03AE67AA" w14:textId="45F6C4F7" w:rsidR="00A77B3E" w:rsidRPr="00607BDE" w:rsidRDefault="00C401B9" w:rsidP="00CB4E2C">
            <w:pPr>
              <w:numPr>
                <w:ilvl w:val="0"/>
                <w:numId w:val="25"/>
              </w:numPr>
              <w:spacing w:before="100"/>
              <w:rPr>
                <w:color w:val="000000"/>
                <w:lang w:val="en-GB"/>
              </w:rPr>
            </w:pPr>
            <w:r w:rsidRPr="00607BDE">
              <w:rPr>
                <w:color w:val="000000"/>
                <w:lang w:val="en-GB"/>
              </w:rPr>
              <w:t>European Funds portal (</w:t>
            </w:r>
            <w:r w:rsidR="00CB4E2C" w:rsidRPr="00CB4E2C">
              <w:rPr>
                <w:color w:val="000000"/>
                <w:lang w:val="en-GB"/>
              </w:rPr>
              <w:t>MDFRP);</w:t>
            </w:r>
          </w:p>
          <w:p w14:paraId="54CBA2DF" w14:textId="1D96EEF9" w:rsidR="00A77B3E" w:rsidRPr="00607BDE" w:rsidRDefault="00C401B9" w:rsidP="00CB4E2C">
            <w:pPr>
              <w:numPr>
                <w:ilvl w:val="0"/>
                <w:numId w:val="25"/>
              </w:numPr>
              <w:spacing w:before="100"/>
              <w:rPr>
                <w:color w:val="000000"/>
                <w:lang w:val="en-GB"/>
              </w:rPr>
            </w:pPr>
            <w:r w:rsidRPr="00607BDE">
              <w:rPr>
                <w:color w:val="000000"/>
                <w:lang w:val="en-GB"/>
              </w:rPr>
              <w:t>network of European Funds Information Points (</w:t>
            </w:r>
            <w:r w:rsidR="00CB4E2C" w:rsidRPr="00CB4E2C">
              <w:rPr>
                <w:color w:val="000000"/>
                <w:lang w:val="en-GB"/>
              </w:rPr>
              <w:t>MDFRP);</w:t>
            </w:r>
          </w:p>
          <w:p w14:paraId="2334351B" w14:textId="4640E21F" w:rsidR="00A77B3E" w:rsidRPr="00607BDE" w:rsidRDefault="00C401B9" w:rsidP="00564D4F">
            <w:pPr>
              <w:numPr>
                <w:ilvl w:val="0"/>
                <w:numId w:val="25"/>
              </w:numPr>
              <w:spacing w:before="100"/>
              <w:rPr>
                <w:color w:val="000000"/>
                <w:lang w:val="en-GB"/>
              </w:rPr>
            </w:pPr>
            <w:r w:rsidRPr="00607BDE">
              <w:rPr>
                <w:color w:val="000000"/>
                <w:lang w:val="en-GB"/>
              </w:rPr>
              <w:t>social media: M</w:t>
            </w:r>
            <w:r w:rsidR="00564D4F">
              <w:rPr>
                <w:color w:val="000000"/>
                <w:lang w:val="en-GB"/>
              </w:rPr>
              <w:t>IA</w:t>
            </w:r>
            <w:r w:rsidRPr="00607BDE">
              <w:rPr>
                <w:color w:val="000000"/>
                <w:lang w:val="en-GB"/>
              </w:rPr>
              <w:t xml:space="preserve"> and </w:t>
            </w:r>
            <w:r w:rsidR="00564D4F">
              <w:rPr>
                <w:color w:val="000000"/>
                <w:lang w:val="en-GB"/>
              </w:rPr>
              <w:t>MDFRP.</w:t>
            </w:r>
          </w:p>
          <w:p w14:paraId="24E61C76" w14:textId="77777777" w:rsidR="00A77B3E" w:rsidRPr="00607BDE" w:rsidRDefault="00A77B3E">
            <w:pPr>
              <w:spacing w:before="100"/>
              <w:rPr>
                <w:color w:val="000000"/>
                <w:lang w:val="en-GB"/>
              </w:rPr>
            </w:pPr>
          </w:p>
          <w:p w14:paraId="2ADE9191" w14:textId="77777777" w:rsidR="00A77B3E" w:rsidRPr="00607BDE" w:rsidRDefault="00C401B9">
            <w:pPr>
              <w:spacing w:before="100"/>
              <w:rPr>
                <w:color w:val="000000"/>
                <w:lang w:val="en-GB"/>
              </w:rPr>
            </w:pPr>
            <w:r w:rsidRPr="00607BDE">
              <w:rPr>
                <w:color w:val="000000"/>
                <w:lang w:val="en-GB"/>
              </w:rPr>
              <w:t>The MA will ensure publication of information in accordance the requirements laid down in Regulations No. (EU) 2021/1060, excluding where either the EU of domestic legislation forbid such publication for reasons of security, public order, criminal investigations or personal data protection in accordance with Regulation (EU) 2016/679.</w:t>
            </w:r>
          </w:p>
          <w:p w14:paraId="37833215" w14:textId="77777777" w:rsidR="00A77B3E" w:rsidRPr="00607BDE" w:rsidRDefault="00A77B3E">
            <w:pPr>
              <w:spacing w:before="100"/>
              <w:rPr>
                <w:color w:val="000000"/>
                <w:lang w:val="en-GB"/>
              </w:rPr>
            </w:pPr>
          </w:p>
          <w:p w14:paraId="3F251144" w14:textId="77777777" w:rsidR="00A77B3E" w:rsidRPr="00607BDE" w:rsidRDefault="00C401B9">
            <w:pPr>
              <w:spacing w:before="100"/>
              <w:rPr>
                <w:color w:val="000000"/>
                <w:lang w:val="en-GB"/>
              </w:rPr>
            </w:pPr>
            <w:r w:rsidRPr="00607BDE">
              <w:rPr>
                <w:color w:val="000000"/>
                <w:lang w:val="en-GB"/>
              </w:rPr>
              <w:t>It will be important for communication to use the beneficiaries' communication capacities. Among materials prepared to support the beneficiaries in promoting the projects are a downloadable guide and graphic templates.</w:t>
            </w:r>
          </w:p>
          <w:p w14:paraId="0C143C0B" w14:textId="77777777" w:rsidR="00A77B3E" w:rsidRPr="00607BDE" w:rsidRDefault="00A77B3E">
            <w:pPr>
              <w:spacing w:before="100"/>
              <w:rPr>
                <w:color w:val="000000"/>
                <w:lang w:val="en-GB"/>
              </w:rPr>
            </w:pPr>
          </w:p>
          <w:p w14:paraId="7F501968" w14:textId="77777777" w:rsidR="00A77B3E" w:rsidRPr="00607BDE" w:rsidRDefault="00C401B9">
            <w:pPr>
              <w:spacing w:before="100"/>
              <w:rPr>
                <w:color w:val="000000"/>
                <w:lang w:val="en-GB"/>
              </w:rPr>
            </w:pPr>
            <w:r w:rsidRPr="00607BDE">
              <w:rPr>
                <w:color w:val="000000"/>
                <w:lang w:val="en-GB"/>
              </w:rPr>
              <w:t>Tools used in communication and individual target groups:</w:t>
            </w:r>
          </w:p>
          <w:p w14:paraId="3EEB9973" w14:textId="77777777" w:rsidR="00A77B3E" w:rsidRPr="00607BDE" w:rsidRDefault="00C401B9">
            <w:pPr>
              <w:numPr>
                <w:ilvl w:val="0"/>
                <w:numId w:val="26"/>
              </w:numPr>
              <w:spacing w:before="100"/>
              <w:rPr>
                <w:color w:val="000000"/>
                <w:lang w:val="en-GB"/>
              </w:rPr>
            </w:pPr>
            <w:r w:rsidRPr="00607BDE">
              <w:rPr>
                <w:color w:val="000000"/>
                <w:lang w:val="en-GB"/>
              </w:rPr>
              <w:t>Beneficiaries: the MA's website, project supervisor, social media, the European funds portal, information and promotion events</w:t>
            </w:r>
          </w:p>
          <w:p w14:paraId="6F6AB58E" w14:textId="77777777" w:rsidR="00A77B3E" w:rsidRPr="00607BDE" w:rsidRDefault="00C401B9">
            <w:pPr>
              <w:numPr>
                <w:ilvl w:val="0"/>
                <w:numId w:val="26"/>
              </w:numPr>
              <w:spacing w:before="100"/>
              <w:rPr>
                <w:color w:val="000000"/>
                <w:lang w:val="en-GB"/>
              </w:rPr>
            </w:pPr>
            <w:r w:rsidRPr="00607BDE">
              <w:rPr>
                <w:color w:val="000000"/>
                <w:lang w:val="en-GB"/>
              </w:rPr>
              <w:t>Potential beneficiaries: the MA's website, social media, the European Funds portal, EFIPs</w:t>
            </w:r>
          </w:p>
          <w:p w14:paraId="6BC3EE30" w14:textId="77777777" w:rsidR="00A77B3E" w:rsidRPr="00607BDE" w:rsidRDefault="00C401B9">
            <w:pPr>
              <w:numPr>
                <w:ilvl w:val="0"/>
                <w:numId w:val="26"/>
              </w:numPr>
              <w:spacing w:before="100"/>
              <w:rPr>
                <w:color w:val="000000"/>
                <w:lang w:val="en-GB"/>
              </w:rPr>
            </w:pPr>
            <w:r w:rsidRPr="00607BDE">
              <w:rPr>
                <w:color w:val="000000"/>
                <w:lang w:val="en-GB"/>
              </w:rPr>
              <w:t>General public: social media, the MA's website, the European Funds protal</w:t>
            </w:r>
          </w:p>
          <w:p w14:paraId="56958CF7" w14:textId="77777777" w:rsidR="00A77B3E" w:rsidRPr="00607BDE" w:rsidRDefault="00A77B3E">
            <w:pPr>
              <w:spacing w:before="100"/>
              <w:rPr>
                <w:color w:val="000000"/>
                <w:lang w:val="en-GB"/>
              </w:rPr>
            </w:pPr>
          </w:p>
          <w:p w14:paraId="424DBE5D" w14:textId="77777777" w:rsidR="00A77B3E" w:rsidRPr="00607BDE" w:rsidRDefault="00C401B9">
            <w:pPr>
              <w:spacing w:before="100"/>
              <w:rPr>
                <w:color w:val="000000"/>
                <w:lang w:val="en-GB"/>
              </w:rPr>
            </w:pPr>
            <w:r w:rsidRPr="00607BDE">
              <w:rPr>
                <w:b/>
                <w:bCs/>
                <w:color w:val="000000"/>
                <w:lang w:val="en-GB"/>
              </w:rPr>
              <w:t>Monitoring and assessment</w:t>
            </w:r>
          </w:p>
          <w:p w14:paraId="3B8CDF6F" w14:textId="77777777" w:rsidR="00A77B3E" w:rsidRPr="00607BDE" w:rsidRDefault="00C401B9">
            <w:pPr>
              <w:spacing w:before="100"/>
              <w:rPr>
                <w:color w:val="000000"/>
                <w:lang w:val="en-GB"/>
              </w:rPr>
            </w:pPr>
            <w:r w:rsidRPr="00607BDE">
              <w:rPr>
                <w:color w:val="000000"/>
                <w:lang w:val="en-GB"/>
              </w:rPr>
              <w:t>The communication actions are subject to evaluation and monitoring in terms of their quality, relevance and effectiveness. Provisions governing the obligation to ensure visibility of EU financing will be included in agreements signed with beneficiaries and will be monitored.</w:t>
            </w:r>
          </w:p>
          <w:p w14:paraId="26648383" w14:textId="77777777" w:rsidR="00A77B3E" w:rsidRPr="00607BDE" w:rsidRDefault="00A77B3E">
            <w:pPr>
              <w:spacing w:before="100"/>
              <w:rPr>
                <w:color w:val="000000"/>
                <w:lang w:val="en-GB"/>
              </w:rPr>
            </w:pPr>
          </w:p>
          <w:p w14:paraId="7915F86D" w14:textId="77777777" w:rsidR="00A77B3E" w:rsidRPr="00607BDE" w:rsidRDefault="00C401B9">
            <w:pPr>
              <w:spacing w:before="100"/>
              <w:rPr>
                <w:color w:val="000000"/>
                <w:lang w:val="en-GB"/>
              </w:rPr>
            </w:pPr>
            <w:r w:rsidRPr="00607BDE">
              <w:rPr>
                <w:color w:val="000000"/>
                <w:lang w:val="en-GB"/>
              </w:rPr>
              <w:t>Monitoring and assessment indicators:</w:t>
            </w:r>
          </w:p>
          <w:p w14:paraId="5AE86482" w14:textId="77777777" w:rsidR="00A77B3E" w:rsidRPr="00607BDE" w:rsidRDefault="00C401B9">
            <w:pPr>
              <w:spacing w:before="100"/>
              <w:rPr>
                <w:color w:val="000000"/>
                <w:lang w:val="en-GB"/>
              </w:rPr>
            </w:pPr>
            <w:r w:rsidRPr="00607BDE">
              <w:rPr>
                <w:color w:val="000000"/>
                <w:lang w:val="en-GB"/>
              </w:rPr>
              <w:t>Number of meetings for beneficiaries and applicants (unit: number)</w:t>
            </w:r>
          </w:p>
          <w:p w14:paraId="2064B342" w14:textId="77777777" w:rsidR="00A77B3E" w:rsidRPr="00607BDE" w:rsidRDefault="00C401B9">
            <w:pPr>
              <w:numPr>
                <w:ilvl w:val="0"/>
                <w:numId w:val="27"/>
              </w:numPr>
              <w:spacing w:before="100"/>
              <w:rPr>
                <w:color w:val="000000"/>
                <w:lang w:val="en-GB"/>
              </w:rPr>
            </w:pPr>
            <w:r w:rsidRPr="00607BDE">
              <w:rPr>
                <w:color w:val="000000"/>
                <w:lang w:val="en-GB"/>
              </w:rPr>
              <w:t>Baseline value - 0</w:t>
            </w:r>
          </w:p>
          <w:p w14:paraId="523DB142" w14:textId="77777777" w:rsidR="00A77B3E" w:rsidRPr="00607BDE" w:rsidRDefault="00C401B9">
            <w:pPr>
              <w:numPr>
                <w:ilvl w:val="0"/>
                <w:numId w:val="27"/>
              </w:numPr>
              <w:spacing w:before="100"/>
              <w:rPr>
                <w:color w:val="000000"/>
                <w:lang w:val="en-GB"/>
              </w:rPr>
            </w:pPr>
            <w:r w:rsidRPr="00607BDE">
              <w:rPr>
                <w:color w:val="000000"/>
                <w:lang w:val="en-GB"/>
              </w:rPr>
              <w:t>Milestone value (2024) - 4 (including one joint meeting for the ISF, the AMIF and the BMVI)</w:t>
            </w:r>
          </w:p>
          <w:p w14:paraId="23C6195B" w14:textId="77777777" w:rsidR="00A77B3E" w:rsidRPr="00607BDE" w:rsidRDefault="00C401B9">
            <w:pPr>
              <w:numPr>
                <w:ilvl w:val="0"/>
                <w:numId w:val="27"/>
              </w:numPr>
              <w:spacing w:before="100"/>
              <w:rPr>
                <w:color w:val="000000"/>
                <w:lang w:val="en-GB"/>
              </w:rPr>
            </w:pPr>
            <w:r w:rsidRPr="00607BDE">
              <w:rPr>
                <w:color w:val="000000"/>
                <w:lang w:val="en-GB"/>
              </w:rPr>
              <w:t>Target value (2029) - 13 (including three joint meetings for the ISF, the AMIF and the BMVI)</w:t>
            </w:r>
          </w:p>
          <w:p w14:paraId="01C76C83" w14:textId="77777777" w:rsidR="00A77B3E" w:rsidRPr="00607BDE" w:rsidRDefault="00C401B9">
            <w:pPr>
              <w:spacing w:before="100"/>
              <w:rPr>
                <w:color w:val="000000"/>
                <w:lang w:val="en-GB"/>
              </w:rPr>
            </w:pPr>
            <w:r w:rsidRPr="00607BDE">
              <w:rPr>
                <w:color w:val="000000"/>
                <w:lang w:val="en-GB"/>
              </w:rPr>
              <w:t>Number of visits to the MA's website covering the ISF, the AMIF and the BMVI (unit: number)</w:t>
            </w:r>
          </w:p>
          <w:p w14:paraId="5A9A96C2" w14:textId="77777777" w:rsidR="00A77B3E" w:rsidRPr="00607BDE" w:rsidRDefault="00C401B9">
            <w:pPr>
              <w:numPr>
                <w:ilvl w:val="0"/>
                <w:numId w:val="28"/>
              </w:numPr>
              <w:spacing w:before="100"/>
              <w:rPr>
                <w:color w:val="000000"/>
                <w:lang w:val="en-GB"/>
              </w:rPr>
            </w:pPr>
            <w:r w:rsidRPr="00607BDE">
              <w:rPr>
                <w:color w:val="000000"/>
                <w:lang w:val="en-GB"/>
              </w:rPr>
              <w:t>Baseline value - 0</w:t>
            </w:r>
          </w:p>
          <w:p w14:paraId="77968105" w14:textId="77777777" w:rsidR="00A77B3E" w:rsidRPr="00607BDE" w:rsidRDefault="00C401B9">
            <w:pPr>
              <w:numPr>
                <w:ilvl w:val="0"/>
                <w:numId w:val="28"/>
              </w:numPr>
              <w:spacing w:before="100"/>
              <w:rPr>
                <w:color w:val="000000"/>
                <w:lang w:val="en-GB"/>
              </w:rPr>
            </w:pPr>
            <w:r w:rsidRPr="00607BDE">
              <w:rPr>
                <w:color w:val="000000"/>
                <w:lang w:val="en-GB"/>
              </w:rPr>
              <w:t>Milestone value (2024) - 115,200</w:t>
            </w:r>
          </w:p>
          <w:p w14:paraId="63E086EA" w14:textId="77777777" w:rsidR="00A77B3E" w:rsidRPr="00607BDE" w:rsidRDefault="00C401B9">
            <w:pPr>
              <w:numPr>
                <w:ilvl w:val="0"/>
                <w:numId w:val="28"/>
              </w:numPr>
              <w:spacing w:before="100"/>
              <w:rPr>
                <w:color w:val="000000"/>
                <w:lang w:val="en-GB"/>
              </w:rPr>
            </w:pPr>
            <w:r w:rsidRPr="00607BDE">
              <w:rPr>
                <w:color w:val="000000"/>
                <w:lang w:val="en-GB"/>
              </w:rPr>
              <w:t>Target value (2029) - 241,200</w:t>
            </w:r>
          </w:p>
          <w:p w14:paraId="37A4A0A4" w14:textId="77777777" w:rsidR="00A77B3E" w:rsidRPr="00607BDE" w:rsidRDefault="00C401B9">
            <w:pPr>
              <w:spacing w:before="100"/>
              <w:rPr>
                <w:color w:val="000000"/>
                <w:lang w:val="en-GB"/>
              </w:rPr>
            </w:pPr>
            <w:r w:rsidRPr="00607BDE">
              <w:rPr>
                <w:color w:val="000000"/>
                <w:lang w:val="en-GB"/>
              </w:rPr>
              <w:t>Number of responses to inquiries about financing possibilities (unit: number)</w:t>
            </w:r>
          </w:p>
          <w:p w14:paraId="41B3810E" w14:textId="77777777" w:rsidR="00A77B3E" w:rsidRPr="00607BDE" w:rsidRDefault="00C401B9">
            <w:pPr>
              <w:numPr>
                <w:ilvl w:val="0"/>
                <w:numId w:val="29"/>
              </w:numPr>
              <w:spacing w:before="100"/>
              <w:rPr>
                <w:color w:val="000000"/>
                <w:lang w:val="en-GB"/>
              </w:rPr>
            </w:pPr>
            <w:r w:rsidRPr="00607BDE">
              <w:rPr>
                <w:color w:val="000000"/>
                <w:lang w:val="en-GB"/>
              </w:rPr>
              <w:t>Baseline value - 0</w:t>
            </w:r>
          </w:p>
          <w:p w14:paraId="1E6AC8E2" w14:textId="77777777" w:rsidR="00A77B3E" w:rsidRPr="00607BDE" w:rsidRDefault="00C401B9">
            <w:pPr>
              <w:numPr>
                <w:ilvl w:val="0"/>
                <w:numId w:val="29"/>
              </w:numPr>
              <w:spacing w:before="100"/>
              <w:rPr>
                <w:color w:val="000000"/>
                <w:lang w:val="en-GB"/>
              </w:rPr>
            </w:pPr>
            <w:r w:rsidRPr="00607BDE">
              <w:rPr>
                <w:color w:val="000000"/>
                <w:lang w:val="en-GB"/>
              </w:rPr>
              <w:t>Milestone value (2024) - 10</w:t>
            </w:r>
          </w:p>
          <w:p w14:paraId="01A954EE" w14:textId="77777777" w:rsidR="00A77B3E" w:rsidRPr="00607BDE" w:rsidRDefault="00C401B9">
            <w:pPr>
              <w:numPr>
                <w:ilvl w:val="0"/>
                <w:numId w:val="29"/>
              </w:numPr>
              <w:spacing w:before="100"/>
              <w:rPr>
                <w:color w:val="000000"/>
                <w:lang w:val="en-GB"/>
              </w:rPr>
            </w:pPr>
            <w:r w:rsidRPr="00607BDE">
              <w:rPr>
                <w:color w:val="000000"/>
                <w:lang w:val="en-GB"/>
              </w:rPr>
              <w:t>Target value (2029) - 40</w:t>
            </w:r>
          </w:p>
          <w:p w14:paraId="582BE53B" w14:textId="77777777" w:rsidR="00A77B3E" w:rsidRPr="00607BDE" w:rsidRDefault="00A77B3E">
            <w:pPr>
              <w:spacing w:before="100"/>
              <w:rPr>
                <w:color w:val="000000"/>
                <w:lang w:val="en-GB"/>
              </w:rPr>
            </w:pPr>
          </w:p>
          <w:p w14:paraId="2706002C" w14:textId="77777777" w:rsidR="00A77B3E" w:rsidRPr="00607BDE" w:rsidRDefault="00C401B9">
            <w:pPr>
              <w:spacing w:before="100"/>
              <w:rPr>
                <w:color w:val="000000"/>
                <w:lang w:val="en-GB"/>
              </w:rPr>
            </w:pPr>
            <w:r w:rsidRPr="00607BDE">
              <w:rPr>
                <w:b/>
                <w:bCs/>
                <w:color w:val="000000"/>
                <w:lang w:val="en-GB"/>
              </w:rPr>
              <w:t>Budget</w:t>
            </w:r>
          </w:p>
          <w:p w14:paraId="2C4160F7" w14:textId="77777777" w:rsidR="00A77B3E" w:rsidRPr="00607BDE" w:rsidRDefault="00C401B9">
            <w:pPr>
              <w:spacing w:before="100"/>
              <w:rPr>
                <w:color w:val="000000"/>
                <w:lang w:val="en-GB"/>
              </w:rPr>
            </w:pPr>
            <w:r w:rsidRPr="00607BDE">
              <w:rPr>
                <w:color w:val="000000"/>
                <w:lang w:val="en-GB"/>
              </w:rPr>
              <w:t>Communication actions of the MA and the IB will be financed from Technical Assistance. The estimated BMVI communication and visibility budget is EUR 807,000.49, including for the following purposes:</w:t>
            </w:r>
          </w:p>
          <w:p w14:paraId="6331BA6C" w14:textId="77777777" w:rsidR="00A77B3E" w:rsidRPr="00607BDE" w:rsidRDefault="00C401B9">
            <w:pPr>
              <w:numPr>
                <w:ilvl w:val="0"/>
                <w:numId w:val="30"/>
              </w:numPr>
              <w:spacing w:before="100"/>
              <w:rPr>
                <w:color w:val="000000"/>
                <w:lang w:val="en-GB"/>
              </w:rPr>
            </w:pPr>
            <w:r w:rsidRPr="00607BDE">
              <w:rPr>
                <w:color w:val="000000"/>
                <w:lang w:val="en-GB"/>
              </w:rPr>
              <w:t>Organisation of training and information/promotion meetings for beneficiaries and applicants – 84%</w:t>
            </w:r>
          </w:p>
          <w:p w14:paraId="05C9A125" w14:textId="77777777" w:rsidR="00A77B3E" w:rsidRPr="00607BDE" w:rsidRDefault="00C401B9">
            <w:pPr>
              <w:numPr>
                <w:ilvl w:val="0"/>
                <w:numId w:val="30"/>
              </w:numPr>
              <w:spacing w:before="100"/>
              <w:rPr>
                <w:color w:val="000000"/>
                <w:lang w:val="en-GB"/>
              </w:rPr>
            </w:pPr>
            <w:r w:rsidRPr="00607BDE">
              <w:rPr>
                <w:color w:val="000000"/>
                <w:lang w:val="en-GB"/>
              </w:rPr>
              <w:t>Organisation of information meetings/conferences regarding all funds – 25%</w:t>
            </w:r>
          </w:p>
          <w:p w14:paraId="2337CF1A" w14:textId="77777777" w:rsidR="00A77B3E" w:rsidRPr="00607BDE" w:rsidRDefault="00C401B9">
            <w:pPr>
              <w:numPr>
                <w:ilvl w:val="0"/>
                <w:numId w:val="30"/>
              </w:numPr>
              <w:spacing w:before="100"/>
              <w:rPr>
                <w:color w:val="000000"/>
                <w:lang w:val="en-GB"/>
              </w:rPr>
            </w:pPr>
            <w:r w:rsidRPr="00607BDE">
              <w:rPr>
                <w:color w:val="000000"/>
                <w:lang w:val="en-GB"/>
              </w:rPr>
              <w:t>Production of information materials - 11%</w:t>
            </w:r>
          </w:p>
          <w:p w14:paraId="2F10D6F0" w14:textId="77777777" w:rsidR="00A77B3E" w:rsidRPr="00607BDE" w:rsidRDefault="00A77B3E">
            <w:pPr>
              <w:spacing w:before="100"/>
              <w:rPr>
                <w:color w:val="000000"/>
                <w:lang w:val="en-GB"/>
              </w:rPr>
            </w:pPr>
          </w:p>
          <w:p w14:paraId="34127B65" w14:textId="77777777" w:rsidR="00A77B3E" w:rsidRPr="00607BDE" w:rsidRDefault="00C401B9">
            <w:pPr>
              <w:spacing w:before="100"/>
              <w:rPr>
                <w:color w:val="000000"/>
                <w:lang w:val="en-GB"/>
              </w:rPr>
            </w:pPr>
            <w:r w:rsidRPr="00607BDE">
              <w:rPr>
                <w:color w:val="000000"/>
                <w:lang w:val="en-GB"/>
              </w:rPr>
              <w:t>The budget will be updated depending on the results achieved.</w:t>
            </w:r>
          </w:p>
          <w:p w14:paraId="4414B319" w14:textId="77777777" w:rsidR="00A77B3E" w:rsidRPr="00607BDE" w:rsidRDefault="00A77B3E">
            <w:pPr>
              <w:spacing w:before="100"/>
              <w:rPr>
                <w:color w:val="000000"/>
                <w:lang w:val="en-GB"/>
              </w:rPr>
            </w:pPr>
          </w:p>
        </w:tc>
      </w:tr>
    </w:tbl>
    <w:p w14:paraId="30F2699D" w14:textId="77777777" w:rsidR="00A77B3E" w:rsidRPr="00607BDE" w:rsidRDefault="00C401B9">
      <w:pPr>
        <w:pStyle w:val="Nagwek1"/>
        <w:spacing w:before="100" w:after="0"/>
        <w:rPr>
          <w:rFonts w:ascii="Times New Roman" w:hAnsi="Times New Roman" w:cs="Times New Roman"/>
          <w:b w:val="0"/>
          <w:color w:val="000000"/>
          <w:sz w:val="24"/>
          <w:lang w:val="en-GB"/>
        </w:rPr>
      </w:pPr>
      <w:r w:rsidRPr="00607BDE">
        <w:rPr>
          <w:rFonts w:ascii="Times New Roman" w:hAnsi="Times New Roman" w:cs="Times New Roman"/>
          <w:b w:val="0"/>
          <w:color w:val="000000"/>
          <w:sz w:val="24"/>
          <w:lang w:val="en-GB"/>
        </w:rPr>
        <w:br w:type="page"/>
      </w:r>
      <w:bookmarkStart w:id="36" w:name="_Toc128976007"/>
      <w:r w:rsidRPr="00607BDE">
        <w:rPr>
          <w:rFonts w:ascii="Times New Roman" w:hAnsi="Times New Roman" w:cs="Times New Roman"/>
          <w:b w:val="0"/>
          <w:color w:val="000000"/>
          <w:sz w:val="24"/>
          <w:lang w:val="en-GB"/>
        </w:rPr>
        <w:t>8. Use of unit costs, lump sums, flat rates and financing not linked to costs</w:t>
      </w:r>
      <w:bookmarkEnd w:id="36"/>
    </w:p>
    <w:p w14:paraId="5ECA79BC" w14:textId="77777777" w:rsidR="00A77B3E" w:rsidRPr="00607BDE" w:rsidRDefault="00C401B9">
      <w:pPr>
        <w:spacing w:before="100"/>
        <w:rPr>
          <w:color w:val="000000"/>
          <w:sz w:val="16"/>
          <w:lang w:val="en-GB"/>
        </w:rPr>
      </w:pPr>
      <w:r w:rsidRPr="00607BDE">
        <w:rPr>
          <w:color w:val="000000"/>
          <w:lang w:val="en-GB"/>
        </w:rPr>
        <w:t>Reference: Articles 94 and 95 of the Common Provisions Regulation</w:t>
      </w:r>
    </w:p>
    <w:p w14:paraId="18AD0900"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gridCol w:w="432"/>
        <w:gridCol w:w="365"/>
      </w:tblGrid>
      <w:tr w:rsidR="00AC7127" w:rsidRPr="00607BDE" w14:paraId="66B40E8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3F0776" w14:textId="77777777" w:rsidR="00A77B3E" w:rsidRPr="00607BDE" w:rsidRDefault="00C401B9">
            <w:pPr>
              <w:spacing w:before="100"/>
              <w:jc w:val="center"/>
              <w:rPr>
                <w:color w:val="000000"/>
                <w:sz w:val="20"/>
                <w:lang w:val="en-GB"/>
              </w:rPr>
            </w:pPr>
            <w:r w:rsidRPr="00607BDE">
              <w:rPr>
                <w:color w:val="000000"/>
                <w:sz w:val="20"/>
                <w:lang w:val="en-GB"/>
              </w:rPr>
              <w:t>Intended use of Articles 94 and 95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0E1821" w14:textId="77777777" w:rsidR="00A77B3E" w:rsidRPr="00607BDE" w:rsidRDefault="00C401B9">
            <w:pPr>
              <w:spacing w:before="100"/>
              <w:jc w:val="center"/>
              <w:rPr>
                <w:color w:val="000000"/>
                <w:sz w:val="20"/>
                <w:lang w:val="en-GB"/>
              </w:rPr>
            </w:pPr>
            <w:r w:rsidRPr="00607BDE">
              <w:rPr>
                <w:color w:val="000000"/>
                <w:sz w:val="20"/>
                <w:lang w:val="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C070CB" w14:textId="77777777" w:rsidR="00A77B3E" w:rsidRPr="00607BDE" w:rsidRDefault="00C401B9">
            <w:pPr>
              <w:spacing w:before="100"/>
              <w:jc w:val="center"/>
              <w:rPr>
                <w:color w:val="000000"/>
                <w:sz w:val="20"/>
                <w:lang w:val="en-GB"/>
              </w:rPr>
            </w:pPr>
            <w:r w:rsidRPr="00607BDE">
              <w:rPr>
                <w:color w:val="000000"/>
                <w:sz w:val="20"/>
                <w:lang w:val="en-GB"/>
              </w:rPr>
              <w:t>No</w:t>
            </w:r>
          </w:p>
        </w:tc>
      </w:tr>
      <w:tr w:rsidR="00AC7127" w:rsidRPr="00607BDE" w14:paraId="0E074E1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9E821A" w14:textId="77777777" w:rsidR="00A77B3E" w:rsidRPr="00607BDE" w:rsidRDefault="00C401B9">
            <w:pPr>
              <w:spacing w:before="100"/>
              <w:rPr>
                <w:color w:val="000000"/>
                <w:sz w:val="20"/>
                <w:lang w:val="en-GB"/>
              </w:rPr>
            </w:pPr>
            <w:r w:rsidRPr="00607BDE">
              <w:rPr>
                <w:color w:val="000000"/>
                <w:sz w:val="20"/>
                <w:lang w:val="en-GB"/>
              </w:rPr>
              <w:t>From the moment of adoption onwards, the programme will use reimbursements of Union contribution based on unit costs, lump sums and flat rates in accordance with Article 94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F1DB3C" w14:textId="77777777" w:rsidR="00A77B3E" w:rsidRPr="00607BDE" w:rsidRDefault="00D87FDC">
            <w:pPr>
              <w:spacing w:before="100"/>
              <w:rPr>
                <w:color w:val="000000"/>
                <w:sz w:val="20"/>
                <w:lang w:val="en-GB"/>
              </w:rPr>
            </w:pPr>
            <w:r w:rsidRPr="00607BDE">
              <w:rPr>
                <w:color w:val="000000"/>
                <w:sz w:val="20"/>
                <w:lang w:val="en-GB"/>
              </w:rPr>
              <w:fldChar w:fldCharType="begin">
                <w:ffData>
                  <w:name w:val=""/>
                  <w:enabled/>
                  <w:calcOnExit w:val="0"/>
                  <w:checkBox>
                    <w:size w:val="20"/>
                    <w:default w:val="0"/>
                    <w:checked w:val="0"/>
                  </w:checkBox>
                </w:ffData>
              </w:fldChar>
            </w:r>
            <w:r w:rsidR="00C401B9" w:rsidRPr="00607BDE">
              <w:rPr>
                <w:color w:val="000000"/>
                <w:sz w:val="20"/>
                <w:lang w:val="en-GB"/>
              </w:rPr>
              <w:instrText xml:space="preserve"> FORMCHECKBOX </w:instrText>
            </w:r>
            <w:r w:rsidR="008C7C03">
              <w:rPr>
                <w:color w:val="000000"/>
                <w:sz w:val="20"/>
                <w:lang w:val="en-GB"/>
              </w:rPr>
            </w:r>
            <w:r w:rsidR="008C7C03">
              <w:rPr>
                <w:color w:val="000000"/>
                <w:sz w:val="20"/>
                <w:lang w:val="en-GB"/>
              </w:rPr>
              <w:fldChar w:fldCharType="separate"/>
            </w:r>
            <w:r w:rsidRPr="00607BDE">
              <w:rPr>
                <w:color w:val="000000"/>
                <w:sz w:val="20"/>
                <w:lang w:val="en-GB"/>
              </w:rPr>
              <w:fldChar w:fldCharType="end"/>
            </w:r>
            <w:r w:rsidR="00C401B9" w:rsidRPr="00607BDE">
              <w:rPr>
                <w:color w:val="000000"/>
                <w:sz w:val="20"/>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748B0D" w14:textId="77777777" w:rsidR="00A77B3E" w:rsidRPr="00607BDE" w:rsidRDefault="00D87FDC">
            <w:pPr>
              <w:spacing w:before="100"/>
              <w:rPr>
                <w:color w:val="000000"/>
                <w:sz w:val="20"/>
                <w:lang w:val="en-GB"/>
              </w:rPr>
            </w:pPr>
            <w:r w:rsidRPr="00607BDE">
              <w:rPr>
                <w:color w:val="000000"/>
                <w:sz w:val="20"/>
                <w:lang w:val="en-GB"/>
              </w:rPr>
              <w:fldChar w:fldCharType="begin">
                <w:ffData>
                  <w:name w:val=""/>
                  <w:enabled/>
                  <w:calcOnExit w:val="0"/>
                  <w:checkBox>
                    <w:size w:val="20"/>
                    <w:default w:val="1"/>
                    <w:checked/>
                  </w:checkBox>
                </w:ffData>
              </w:fldChar>
            </w:r>
            <w:r w:rsidR="00C401B9" w:rsidRPr="00607BDE">
              <w:rPr>
                <w:color w:val="000000"/>
                <w:sz w:val="20"/>
                <w:lang w:val="en-GB"/>
              </w:rPr>
              <w:instrText xml:space="preserve"> FORMCHECKBOX </w:instrText>
            </w:r>
            <w:r w:rsidR="008C7C03">
              <w:rPr>
                <w:color w:val="000000"/>
                <w:sz w:val="20"/>
                <w:lang w:val="en-GB"/>
              </w:rPr>
            </w:r>
            <w:r w:rsidR="008C7C03">
              <w:rPr>
                <w:color w:val="000000"/>
                <w:sz w:val="20"/>
                <w:lang w:val="en-GB"/>
              </w:rPr>
              <w:fldChar w:fldCharType="separate"/>
            </w:r>
            <w:r w:rsidRPr="00607BDE">
              <w:rPr>
                <w:color w:val="000000"/>
                <w:sz w:val="20"/>
                <w:lang w:val="en-GB"/>
              </w:rPr>
              <w:fldChar w:fldCharType="end"/>
            </w:r>
            <w:r w:rsidR="00C401B9" w:rsidRPr="00607BDE">
              <w:rPr>
                <w:color w:val="000000"/>
                <w:sz w:val="20"/>
                <w:lang w:val="en-GB"/>
              </w:rPr>
              <w:t xml:space="preserve"> </w:t>
            </w:r>
          </w:p>
        </w:tc>
      </w:tr>
      <w:tr w:rsidR="00AC7127" w:rsidRPr="00607BDE" w14:paraId="1F0C89C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C6096" w14:textId="77777777" w:rsidR="00A77B3E" w:rsidRPr="00607BDE" w:rsidRDefault="00C401B9">
            <w:pPr>
              <w:spacing w:before="100"/>
              <w:rPr>
                <w:color w:val="000000"/>
                <w:sz w:val="20"/>
                <w:lang w:val="en-GB"/>
              </w:rPr>
            </w:pPr>
            <w:r w:rsidRPr="00607BDE">
              <w:rPr>
                <w:color w:val="000000"/>
                <w:sz w:val="20"/>
                <w:lang w:val="en-GB"/>
              </w:rPr>
              <w:t>From the moment of adoption onwards, the programme will use reimbursement of Union contribution  based on financing not linked to costs in accordance with Article 95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24139" w14:textId="77777777" w:rsidR="00A77B3E" w:rsidRPr="00607BDE" w:rsidRDefault="00D87FDC">
            <w:pPr>
              <w:spacing w:before="100"/>
              <w:rPr>
                <w:color w:val="000000"/>
                <w:sz w:val="20"/>
                <w:lang w:val="en-GB"/>
              </w:rPr>
            </w:pPr>
            <w:r w:rsidRPr="00607BDE">
              <w:rPr>
                <w:color w:val="000000"/>
                <w:sz w:val="20"/>
                <w:lang w:val="en-GB"/>
              </w:rPr>
              <w:fldChar w:fldCharType="begin">
                <w:ffData>
                  <w:name w:val=""/>
                  <w:enabled/>
                  <w:calcOnExit w:val="0"/>
                  <w:checkBox>
                    <w:size w:val="20"/>
                    <w:default w:val="0"/>
                    <w:checked w:val="0"/>
                  </w:checkBox>
                </w:ffData>
              </w:fldChar>
            </w:r>
            <w:r w:rsidR="00C401B9" w:rsidRPr="00607BDE">
              <w:rPr>
                <w:color w:val="000000"/>
                <w:sz w:val="20"/>
                <w:lang w:val="en-GB"/>
              </w:rPr>
              <w:instrText xml:space="preserve"> FORMCHECKBOX </w:instrText>
            </w:r>
            <w:r w:rsidR="008C7C03">
              <w:rPr>
                <w:color w:val="000000"/>
                <w:sz w:val="20"/>
                <w:lang w:val="en-GB"/>
              </w:rPr>
            </w:r>
            <w:r w:rsidR="008C7C03">
              <w:rPr>
                <w:color w:val="000000"/>
                <w:sz w:val="20"/>
                <w:lang w:val="en-GB"/>
              </w:rPr>
              <w:fldChar w:fldCharType="separate"/>
            </w:r>
            <w:r w:rsidRPr="00607BDE">
              <w:rPr>
                <w:color w:val="000000"/>
                <w:sz w:val="20"/>
                <w:lang w:val="en-GB"/>
              </w:rPr>
              <w:fldChar w:fldCharType="end"/>
            </w:r>
            <w:r w:rsidR="00C401B9" w:rsidRPr="00607BDE">
              <w:rPr>
                <w:color w:val="000000"/>
                <w:sz w:val="20"/>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CDC4E" w14:textId="77777777" w:rsidR="00A77B3E" w:rsidRPr="00607BDE" w:rsidRDefault="00D87FDC">
            <w:pPr>
              <w:spacing w:before="100"/>
              <w:rPr>
                <w:color w:val="000000"/>
                <w:sz w:val="20"/>
                <w:lang w:val="en-GB"/>
              </w:rPr>
            </w:pPr>
            <w:r w:rsidRPr="00607BDE">
              <w:rPr>
                <w:color w:val="000000"/>
                <w:sz w:val="20"/>
                <w:lang w:val="en-GB"/>
              </w:rPr>
              <w:fldChar w:fldCharType="begin">
                <w:ffData>
                  <w:name w:val=""/>
                  <w:enabled/>
                  <w:calcOnExit w:val="0"/>
                  <w:checkBox>
                    <w:size w:val="20"/>
                    <w:default w:val="1"/>
                    <w:checked/>
                  </w:checkBox>
                </w:ffData>
              </w:fldChar>
            </w:r>
            <w:r w:rsidR="00C401B9" w:rsidRPr="00607BDE">
              <w:rPr>
                <w:color w:val="000000"/>
                <w:sz w:val="20"/>
                <w:lang w:val="en-GB"/>
              </w:rPr>
              <w:instrText xml:space="preserve"> FORMCHECKBOX </w:instrText>
            </w:r>
            <w:r w:rsidR="008C7C03">
              <w:rPr>
                <w:color w:val="000000"/>
                <w:sz w:val="20"/>
                <w:lang w:val="en-GB"/>
              </w:rPr>
            </w:r>
            <w:r w:rsidR="008C7C03">
              <w:rPr>
                <w:color w:val="000000"/>
                <w:sz w:val="20"/>
                <w:lang w:val="en-GB"/>
              </w:rPr>
              <w:fldChar w:fldCharType="separate"/>
            </w:r>
            <w:r w:rsidRPr="00607BDE">
              <w:rPr>
                <w:color w:val="000000"/>
                <w:sz w:val="20"/>
                <w:lang w:val="en-GB"/>
              </w:rPr>
              <w:fldChar w:fldCharType="end"/>
            </w:r>
            <w:r w:rsidR="00C401B9" w:rsidRPr="00607BDE">
              <w:rPr>
                <w:color w:val="000000"/>
                <w:sz w:val="20"/>
                <w:lang w:val="en-GB"/>
              </w:rPr>
              <w:t xml:space="preserve"> </w:t>
            </w:r>
          </w:p>
        </w:tc>
      </w:tr>
    </w:tbl>
    <w:p w14:paraId="3F0F8C23" w14:textId="77777777" w:rsidR="00A77B3E" w:rsidRPr="00607BDE" w:rsidRDefault="00A77B3E">
      <w:pPr>
        <w:spacing w:before="100"/>
        <w:jc w:val="center"/>
        <w:rPr>
          <w:color w:val="000000"/>
          <w:sz w:val="20"/>
          <w:lang w:val="en-GB"/>
        </w:rPr>
        <w:sectPr w:rsidR="00A77B3E" w:rsidRPr="00607BDE">
          <w:headerReference w:type="even" r:id="rId57"/>
          <w:headerReference w:type="default" r:id="rId58"/>
          <w:footerReference w:type="even" r:id="rId59"/>
          <w:footerReference w:type="default" r:id="rId60"/>
          <w:headerReference w:type="first" r:id="rId61"/>
          <w:footerReference w:type="first" r:id="rId62"/>
          <w:pgSz w:w="11906" w:h="16838"/>
          <w:pgMar w:top="720" w:right="936" w:bottom="864" w:left="720" w:header="0" w:footer="72" w:gutter="0"/>
          <w:cols w:space="720"/>
          <w:noEndnote/>
          <w:docGrid w:linePitch="360"/>
        </w:sectPr>
      </w:pPr>
    </w:p>
    <w:p w14:paraId="527FEE8F" w14:textId="77777777" w:rsidR="00A77B3E" w:rsidRPr="00607BDE" w:rsidRDefault="00C401B9">
      <w:pPr>
        <w:pStyle w:val="Nagwek1"/>
        <w:spacing w:before="100" w:after="0"/>
        <w:rPr>
          <w:rFonts w:ascii="Times New Roman" w:hAnsi="Times New Roman" w:cs="Times New Roman"/>
          <w:b w:val="0"/>
          <w:color w:val="000000"/>
          <w:sz w:val="24"/>
          <w:lang w:val="en-GB"/>
        </w:rPr>
      </w:pPr>
      <w:bookmarkStart w:id="37" w:name="_Toc128976008"/>
      <w:r w:rsidRPr="00607BDE">
        <w:rPr>
          <w:rFonts w:ascii="Times New Roman" w:hAnsi="Times New Roman" w:cs="Times New Roman"/>
          <w:b w:val="0"/>
          <w:color w:val="000000"/>
          <w:sz w:val="24"/>
          <w:lang w:val="en-GB"/>
        </w:rPr>
        <w:t>Appendix 1: Union contribution based on unit costs, lump sums and flat rates</w:t>
      </w:r>
      <w:bookmarkEnd w:id="37"/>
    </w:p>
    <w:p w14:paraId="10EFC79B"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38" w:name="_Toc128976009"/>
      <w:r w:rsidRPr="00607BDE">
        <w:rPr>
          <w:rFonts w:ascii="Times New Roman" w:hAnsi="Times New Roman" w:cs="Times New Roman"/>
          <w:b w:val="0"/>
          <w:i w:val="0"/>
          <w:color w:val="000000"/>
          <w:sz w:val="24"/>
          <w:lang w:val="en-GB"/>
        </w:rPr>
        <w:t>A. Summary of the main elements</w:t>
      </w:r>
      <w:bookmarkEnd w:id="38"/>
    </w:p>
    <w:p w14:paraId="59C94F1D"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497"/>
        <w:gridCol w:w="1298"/>
        <w:gridCol w:w="1996"/>
        <w:gridCol w:w="1298"/>
        <w:gridCol w:w="1996"/>
        <w:gridCol w:w="1498"/>
        <w:gridCol w:w="1198"/>
        <w:gridCol w:w="1497"/>
      </w:tblGrid>
      <w:tr w:rsidR="00AC7127" w:rsidRPr="00607BDE" w14:paraId="1E859297" w14:textId="77777777">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ECE228" w14:textId="77777777" w:rsidR="00A77B3E" w:rsidRPr="00607BDE" w:rsidRDefault="00C401B9">
            <w:pPr>
              <w:spacing w:before="100"/>
              <w:jc w:val="center"/>
              <w:rPr>
                <w:color w:val="000000"/>
                <w:sz w:val="12"/>
                <w:lang w:val="en-GB"/>
              </w:rPr>
            </w:pPr>
            <w:r w:rsidRPr="00607BDE">
              <w:rPr>
                <w:color w:val="000000"/>
                <w:sz w:val="12"/>
                <w:lang w:val="en-GB"/>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ACCB1C" w14:textId="77777777" w:rsidR="00A77B3E" w:rsidRPr="00607BDE" w:rsidRDefault="00C401B9">
            <w:pPr>
              <w:spacing w:before="100"/>
              <w:jc w:val="center"/>
              <w:rPr>
                <w:color w:val="000000"/>
                <w:sz w:val="12"/>
                <w:lang w:val="en-GB"/>
              </w:rPr>
            </w:pPr>
            <w:r w:rsidRPr="00607BDE">
              <w:rPr>
                <w:color w:val="000000"/>
                <w:sz w:val="12"/>
                <w:lang w:val="en-GB"/>
              </w:rPr>
              <w:t>Estimated proportion of the total financial allocation within the priority to which the SCO will be applied in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F8BBF3" w14:textId="77777777" w:rsidR="00A77B3E" w:rsidRPr="00607BDE" w:rsidRDefault="00C401B9">
            <w:pPr>
              <w:spacing w:before="100"/>
              <w:jc w:val="center"/>
              <w:rPr>
                <w:color w:val="000000"/>
                <w:sz w:val="12"/>
                <w:lang w:val="en-GB"/>
              </w:rPr>
            </w:pPr>
            <w:r w:rsidRPr="00607BDE">
              <w:rPr>
                <w:color w:val="000000"/>
                <w:sz w:val="12"/>
                <w:lang w:val="en-GB"/>
              </w:rPr>
              <w:t>Type(s) of operation covered</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4F3DC1" w14:textId="77777777" w:rsidR="00A77B3E" w:rsidRPr="00607BDE" w:rsidRDefault="00C401B9">
            <w:pPr>
              <w:spacing w:before="100"/>
              <w:jc w:val="center"/>
              <w:rPr>
                <w:color w:val="000000"/>
                <w:sz w:val="12"/>
                <w:lang w:val="en-GB"/>
              </w:rPr>
            </w:pPr>
            <w:r w:rsidRPr="00607BDE">
              <w:rPr>
                <w:color w:val="000000"/>
                <w:sz w:val="12"/>
                <w:lang w:val="en-GB"/>
              </w:rPr>
              <w:t>Indicator triggering reimbursement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010535" w14:textId="77777777" w:rsidR="00A77B3E" w:rsidRPr="00607BDE" w:rsidRDefault="00C401B9">
            <w:pPr>
              <w:spacing w:before="100"/>
              <w:jc w:val="center"/>
              <w:rPr>
                <w:color w:val="000000"/>
                <w:sz w:val="12"/>
                <w:lang w:val="en-GB"/>
              </w:rPr>
            </w:pPr>
            <w:r w:rsidRPr="00607BDE">
              <w:rPr>
                <w:color w:val="000000"/>
                <w:sz w:val="12"/>
                <w:lang w:val="en-GB"/>
              </w:rPr>
              <w:t>Unit of measurement for the indicator triggering reimbursement</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3191E7" w14:textId="77777777" w:rsidR="00A77B3E" w:rsidRPr="00607BDE" w:rsidRDefault="00C401B9">
            <w:pPr>
              <w:spacing w:before="100"/>
              <w:jc w:val="center"/>
              <w:rPr>
                <w:color w:val="000000"/>
                <w:sz w:val="12"/>
                <w:lang w:val="en-GB"/>
              </w:rPr>
            </w:pPr>
            <w:r w:rsidRPr="00607BDE">
              <w:rPr>
                <w:color w:val="000000"/>
                <w:sz w:val="12"/>
                <w:lang w:val="en-GB"/>
              </w:rPr>
              <w:t>Type of SCO (standard scale of unit costs, lump sums or flat rates)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B727FB" w14:textId="77777777" w:rsidR="00A77B3E" w:rsidRPr="00607BDE" w:rsidRDefault="00C401B9">
            <w:pPr>
              <w:spacing w:before="100"/>
              <w:jc w:val="center"/>
              <w:rPr>
                <w:color w:val="000000"/>
                <w:sz w:val="12"/>
                <w:lang w:val="en-GB"/>
              </w:rPr>
            </w:pPr>
            <w:r w:rsidRPr="00607BDE">
              <w:rPr>
                <w:color w:val="000000"/>
                <w:sz w:val="12"/>
                <w:lang w:val="en-GB"/>
              </w:rPr>
              <w:t>Amount (in EUR) or percentage (in case of flat rates) of the SCO</w:t>
            </w:r>
          </w:p>
        </w:tc>
      </w:tr>
      <w:tr w:rsidR="00AC7127" w:rsidRPr="00607BDE" w14:paraId="229D897E" w14:textId="77777777">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556C7F" w14:textId="77777777" w:rsidR="00A77B3E" w:rsidRPr="00607BDE"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2FFC1C" w14:textId="77777777" w:rsidR="00A77B3E" w:rsidRPr="00607BDE" w:rsidRDefault="00A77B3E">
            <w:pPr>
              <w:spacing w:before="100"/>
              <w:jc w:val="center"/>
              <w:rPr>
                <w:color w:val="000000"/>
                <w:sz w:val="12"/>
                <w:lang w:val="en-GB"/>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E78BF4" w14:textId="77777777" w:rsidR="00A77B3E" w:rsidRPr="00607BDE" w:rsidRDefault="00C401B9">
            <w:pPr>
              <w:spacing w:before="100"/>
              <w:jc w:val="center"/>
              <w:rPr>
                <w:color w:val="000000"/>
                <w:sz w:val="12"/>
                <w:lang w:val="en-GB"/>
              </w:rPr>
            </w:pPr>
            <w:r w:rsidRPr="00607BDE">
              <w:rPr>
                <w:color w:val="000000"/>
                <w:sz w:val="12"/>
                <w:lang w:val="en-GB"/>
              </w:rPr>
              <w:t>Code(1)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F0B195" w14:textId="77777777" w:rsidR="00A77B3E" w:rsidRPr="00607BDE" w:rsidRDefault="00C401B9">
            <w:pPr>
              <w:spacing w:before="100"/>
              <w:jc w:val="center"/>
              <w:rPr>
                <w:color w:val="000000"/>
                <w:sz w:val="12"/>
                <w:lang w:val="en-GB"/>
              </w:rPr>
            </w:pPr>
            <w:r w:rsidRPr="00607BDE">
              <w:rPr>
                <w:color w:val="000000"/>
                <w:sz w:val="12"/>
                <w:lang w:val="en-GB"/>
              </w:rPr>
              <w:t>Description</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D985D6" w14:textId="77777777" w:rsidR="00A77B3E" w:rsidRPr="00607BDE" w:rsidRDefault="00C401B9">
            <w:pPr>
              <w:spacing w:before="100"/>
              <w:jc w:val="center"/>
              <w:rPr>
                <w:color w:val="000000"/>
                <w:sz w:val="12"/>
                <w:lang w:val="en-GB"/>
              </w:rPr>
            </w:pPr>
            <w:r w:rsidRPr="00607BDE">
              <w:rPr>
                <w:color w:val="000000"/>
                <w:sz w:val="12"/>
                <w:lang w:val="en-GB"/>
              </w:rPr>
              <w:t>Code(2)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F0267B" w14:textId="77777777" w:rsidR="00A77B3E" w:rsidRPr="00607BDE" w:rsidRDefault="00C401B9">
            <w:pPr>
              <w:spacing w:before="100"/>
              <w:jc w:val="center"/>
              <w:rPr>
                <w:color w:val="000000"/>
                <w:sz w:val="12"/>
                <w:lang w:val="en-GB"/>
              </w:rPr>
            </w:pPr>
            <w:r w:rsidRPr="00607BDE">
              <w:rPr>
                <w:color w:val="000000"/>
                <w:sz w:val="12"/>
                <w:lang w:val="en-GB"/>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00F7F4" w14:textId="77777777" w:rsidR="00A77B3E" w:rsidRPr="00607BDE" w:rsidRDefault="00A77B3E">
            <w:pPr>
              <w:spacing w:before="100"/>
              <w:jc w:val="center"/>
              <w:rPr>
                <w:color w:val="000000"/>
                <w:sz w:val="12"/>
                <w:lang w:val="en-GB"/>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35191E" w14:textId="77777777" w:rsidR="00A77B3E" w:rsidRPr="00607BDE"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1166B1" w14:textId="77777777" w:rsidR="00A77B3E" w:rsidRPr="00607BDE" w:rsidRDefault="00A77B3E">
            <w:pPr>
              <w:spacing w:before="100"/>
              <w:jc w:val="center"/>
              <w:rPr>
                <w:color w:val="000000"/>
                <w:sz w:val="12"/>
                <w:lang w:val="en-GB"/>
              </w:rPr>
            </w:pPr>
          </w:p>
        </w:tc>
      </w:tr>
    </w:tbl>
    <w:p w14:paraId="10B05D8D" w14:textId="77777777" w:rsidR="00A77B3E" w:rsidRPr="00607BDE" w:rsidRDefault="00C401B9">
      <w:pPr>
        <w:spacing w:before="100"/>
        <w:rPr>
          <w:color w:val="000000"/>
          <w:sz w:val="12"/>
          <w:lang w:val="en-GB"/>
        </w:rPr>
      </w:pPr>
      <w:r w:rsidRPr="00607BDE">
        <w:rPr>
          <w:color w:val="000000"/>
          <w:sz w:val="12"/>
          <w:lang w:val="en-GB"/>
        </w:rPr>
        <w:t>(1) This refers to the code in Annex VI of the AMIF, BMVI and ISF Regulations.</w:t>
      </w:r>
    </w:p>
    <w:p w14:paraId="5901953B" w14:textId="77777777" w:rsidR="00A77B3E" w:rsidRPr="00607BDE" w:rsidRDefault="00C401B9">
      <w:pPr>
        <w:spacing w:before="100"/>
        <w:rPr>
          <w:color w:val="000000"/>
          <w:sz w:val="12"/>
          <w:lang w:val="en-GB"/>
        </w:rPr>
      </w:pPr>
      <w:r w:rsidRPr="00607BDE">
        <w:rPr>
          <w:color w:val="000000"/>
          <w:sz w:val="12"/>
          <w:lang w:val="en-GB"/>
        </w:rPr>
        <w:t>(2) This refers to the code of a common indicator, if applicable.</w:t>
      </w:r>
    </w:p>
    <w:p w14:paraId="2CC6DC51" w14:textId="77777777" w:rsidR="00A77B3E" w:rsidRPr="00607BDE" w:rsidRDefault="00A77B3E">
      <w:pPr>
        <w:spacing w:before="100"/>
        <w:rPr>
          <w:color w:val="000000"/>
          <w:lang w:val="en-GB"/>
        </w:rPr>
        <w:sectPr w:rsidR="00A77B3E" w:rsidRPr="00607BDE">
          <w:headerReference w:type="even" r:id="rId63"/>
          <w:headerReference w:type="default" r:id="rId64"/>
          <w:footerReference w:type="even" r:id="rId65"/>
          <w:footerReference w:type="default" r:id="rId66"/>
          <w:headerReference w:type="first" r:id="rId67"/>
          <w:footerReference w:type="first" r:id="rId68"/>
          <w:pgSz w:w="16838" w:h="11906" w:orient="landscape"/>
          <w:pgMar w:top="720" w:right="720" w:bottom="864" w:left="936" w:header="288" w:footer="72" w:gutter="0"/>
          <w:cols w:space="720"/>
          <w:noEndnote/>
          <w:docGrid w:linePitch="360"/>
        </w:sectPr>
      </w:pPr>
    </w:p>
    <w:p w14:paraId="63FEC7C5" w14:textId="77777777" w:rsidR="00A77B3E" w:rsidRPr="00607BDE" w:rsidRDefault="00C401B9">
      <w:pPr>
        <w:spacing w:before="100"/>
        <w:rPr>
          <w:color w:val="000000"/>
          <w:lang w:val="en-GB"/>
        </w:rPr>
      </w:pPr>
      <w:r w:rsidRPr="00607BDE">
        <w:rPr>
          <w:color w:val="000000"/>
          <w:lang w:val="en-GB"/>
        </w:rPr>
        <w:t>Appendix 1: Union contribution based on unit costs, lump sums and flat rates</w:t>
      </w:r>
    </w:p>
    <w:p w14:paraId="4042C12F"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39" w:name="_Toc128976010"/>
      <w:r w:rsidRPr="00607BDE">
        <w:rPr>
          <w:rFonts w:ascii="Times New Roman" w:hAnsi="Times New Roman" w:cs="Times New Roman"/>
          <w:b w:val="0"/>
          <w:i w:val="0"/>
          <w:color w:val="000000"/>
          <w:sz w:val="24"/>
          <w:lang w:val="en-GB"/>
        </w:rPr>
        <w:t>B. Detailed information by type of operation</w:t>
      </w:r>
      <w:bookmarkEnd w:id="39"/>
    </w:p>
    <w:p w14:paraId="5BFA0223" w14:textId="77777777" w:rsidR="00A77B3E" w:rsidRPr="00607BDE" w:rsidRDefault="00A77B3E">
      <w:pPr>
        <w:spacing w:before="100"/>
        <w:rPr>
          <w:color w:val="000000"/>
          <w:lang w:val="en-GB"/>
        </w:rPr>
        <w:sectPr w:rsidR="00A77B3E" w:rsidRPr="00607BDE">
          <w:pgSz w:w="16838" w:h="11906" w:orient="landscape"/>
          <w:pgMar w:top="720" w:right="720" w:bottom="864" w:left="936" w:header="288" w:footer="72" w:gutter="0"/>
          <w:cols w:space="720"/>
          <w:noEndnote/>
          <w:docGrid w:linePitch="360"/>
        </w:sectPr>
      </w:pPr>
    </w:p>
    <w:p w14:paraId="2130DF4B"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40" w:name="_Toc128976011"/>
      <w:r w:rsidRPr="00607BDE">
        <w:rPr>
          <w:rFonts w:ascii="Times New Roman" w:hAnsi="Times New Roman" w:cs="Times New Roman"/>
          <w:b w:val="0"/>
          <w:i w:val="0"/>
          <w:color w:val="000000"/>
          <w:sz w:val="24"/>
          <w:lang w:val="en-GB"/>
        </w:rPr>
        <w:t>C. Calculation of the standard scale of unit costs, lump sums or flat rates</w:t>
      </w:r>
      <w:bookmarkEnd w:id="40"/>
    </w:p>
    <w:p w14:paraId="6AF30D45" w14:textId="77777777" w:rsidR="00A77B3E" w:rsidRPr="00607BDE" w:rsidRDefault="00C401B9">
      <w:pPr>
        <w:pStyle w:val="Nagwek4"/>
        <w:spacing w:before="100" w:after="0"/>
        <w:rPr>
          <w:b w:val="0"/>
          <w:color w:val="000000"/>
          <w:sz w:val="24"/>
          <w:lang w:val="en-GB"/>
        </w:rPr>
      </w:pPr>
      <w:bookmarkStart w:id="41" w:name="_Toc128976012"/>
      <w:r w:rsidRPr="00607BDE">
        <w:rPr>
          <w:b w:val="0"/>
          <w:color w:val="000000"/>
          <w:sz w:val="24"/>
          <w:lang w:val="en-GB"/>
        </w:rPr>
        <w:t>1. Source of data used to calculate the standard scale of unit costs, lump sums or flat rates (who produced, collected and recorded the data; where the data are stored; cut-off dates; validation, etc.):</w:t>
      </w:r>
      <w:bookmarkEnd w:id="41"/>
    </w:p>
    <w:p w14:paraId="095105C8" w14:textId="77777777" w:rsidR="00A77B3E" w:rsidRPr="00607B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AC7127" w:rsidRPr="00607BDE" w14:paraId="2D793B3B"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4578AEC" w14:textId="77777777" w:rsidR="00A77B3E" w:rsidRPr="00607BDE" w:rsidRDefault="00A77B3E">
            <w:pPr>
              <w:spacing w:before="100"/>
              <w:rPr>
                <w:color w:val="000000"/>
                <w:lang w:val="en-GB"/>
              </w:rPr>
            </w:pPr>
          </w:p>
        </w:tc>
      </w:tr>
    </w:tbl>
    <w:p w14:paraId="1EE20274" w14:textId="77777777" w:rsidR="00A77B3E" w:rsidRPr="00607BDE" w:rsidRDefault="00C401B9">
      <w:pPr>
        <w:pStyle w:val="Nagwek4"/>
        <w:spacing w:before="100" w:after="0"/>
        <w:rPr>
          <w:b w:val="0"/>
          <w:color w:val="000000"/>
          <w:sz w:val="24"/>
          <w:lang w:val="en-GB"/>
        </w:rPr>
      </w:pPr>
      <w:r w:rsidRPr="00607BDE">
        <w:rPr>
          <w:b w:val="0"/>
          <w:color w:val="000000"/>
          <w:sz w:val="24"/>
          <w:lang w:val="en-GB"/>
        </w:rPr>
        <w:br w:type="page"/>
      </w:r>
      <w:bookmarkStart w:id="42" w:name="_Toc128976013"/>
      <w:r w:rsidRPr="00607BDE">
        <w:rPr>
          <w:b w:val="0"/>
          <w:color w:val="000000"/>
          <w:sz w:val="24"/>
          <w:lang w:val="en-GB"/>
        </w:rPr>
        <w:t>2. Please specify why the proposed method and calculation based on Article 94(2) CPR is relevant to the type of operation.</w:t>
      </w:r>
      <w:bookmarkEnd w:id="42"/>
    </w:p>
    <w:p w14:paraId="5F84E292" w14:textId="77777777" w:rsidR="00A77B3E" w:rsidRPr="00607B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AC7127" w:rsidRPr="00607BDE" w14:paraId="5ADBDC44"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7F4F15B" w14:textId="77777777" w:rsidR="00A77B3E" w:rsidRPr="00607BDE" w:rsidRDefault="00A77B3E">
            <w:pPr>
              <w:spacing w:before="100"/>
              <w:rPr>
                <w:color w:val="000000"/>
                <w:lang w:val="en-GB"/>
              </w:rPr>
            </w:pPr>
          </w:p>
        </w:tc>
      </w:tr>
    </w:tbl>
    <w:p w14:paraId="3F9DFCFD" w14:textId="77777777" w:rsidR="00A77B3E" w:rsidRPr="00607BDE" w:rsidRDefault="00C401B9">
      <w:pPr>
        <w:pStyle w:val="Nagwek4"/>
        <w:spacing w:before="100" w:after="0"/>
        <w:rPr>
          <w:b w:val="0"/>
          <w:color w:val="000000"/>
          <w:sz w:val="24"/>
          <w:lang w:val="en-GB"/>
        </w:rPr>
      </w:pPr>
      <w:r w:rsidRPr="00607BDE">
        <w:rPr>
          <w:b w:val="0"/>
          <w:color w:val="000000"/>
          <w:sz w:val="24"/>
          <w:lang w:val="en-GB"/>
        </w:rPr>
        <w:br w:type="page"/>
      </w:r>
      <w:bookmarkStart w:id="43" w:name="_Toc128976014"/>
      <w:r w:rsidRPr="00607BDE">
        <w:rPr>
          <w:b w:val="0"/>
          <w:color w:val="000000"/>
          <w:sz w:val="24"/>
          <w:lang w:val="en-GB"/>
        </w:rPr>
        <w:t>3. Please specify how the calculations were made, in particular including any assumptions made in terms of quality or quantities. Where relevant, statistical evidence and benchmarks should be used and, if requested, provided in a format that is usable by the Commission.</w:t>
      </w:r>
      <w:bookmarkEnd w:id="43"/>
    </w:p>
    <w:p w14:paraId="2AFF390C" w14:textId="77777777" w:rsidR="00A77B3E" w:rsidRPr="00607B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AC7127" w:rsidRPr="00607BDE" w14:paraId="511395C1"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C3C519C" w14:textId="77777777" w:rsidR="00A77B3E" w:rsidRPr="00607BDE" w:rsidRDefault="00A77B3E">
            <w:pPr>
              <w:spacing w:before="100"/>
              <w:rPr>
                <w:color w:val="000000"/>
                <w:lang w:val="en-GB"/>
              </w:rPr>
            </w:pPr>
          </w:p>
        </w:tc>
      </w:tr>
    </w:tbl>
    <w:p w14:paraId="7764DCE9" w14:textId="77777777" w:rsidR="00A77B3E" w:rsidRPr="00607BDE" w:rsidRDefault="00C401B9">
      <w:pPr>
        <w:pStyle w:val="Nagwek4"/>
        <w:spacing w:before="100" w:after="0"/>
        <w:rPr>
          <w:b w:val="0"/>
          <w:color w:val="000000"/>
          <w:sz w:val="24"/>
          <w:lang w:val="en-GB"/>
        </w:rPr>
      </w:pPr>
      <w:r w:rsidRPr="00607BDE">
        <w:rPr>
          <w:b w:val="0"/>
          <w:color w:val="000000"/>
          <w:sz w:val="24"/>
          <w:lang w:val="en-GB"/>
        </w:rPr>
        <w:br w:type="page"/>
      </w:r>
      <w:bookmarkStart w:id="44" w:name="_Toc128976015"/>
      <w:r w:rsidRPr="00607BDE">
        <w:rPr>
          <w:b w:val="0"/>
          <w:color w:val="000000"/>
          <w:sz w:val="24"/>
          <w:lang w:val="en-GB"/>
        </w:rPr>
        <w:t>4. Please explain how you have ensured that only eligible expenditure was included in the calculation of the standard scale of unit cost, lump sum or flat rate:</w:t>
      </w:r>
      <w:bookmarkEnd w:id="44"/>
    </w:p>
    <w:p w14:paraId="737BC1A4" w14:textId="77777777" w:rsidR="00A77B3E" w:rsidRPr="00607B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AC7127" w:rsidRPr="00607BDE" w14:paraId="10BE6346"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6DC0991A" w14:textId="77777777" w:rsidR="00A77B3E" w:rsidRPr="00607BDE" w:rsidRDefault="00A77B3E">
            <w:pPr>
              <w:spacing w:before="100"/>
              <w:rPr>
                <w:color w:val="000000"/>
                <w:lang w:val="en-GB"/>
              </w:rPr>
            </w:pPr>
          </w:p>
        </w:tc>
      </w:tr>
    </w:tbl>
    <w:p w14:paraId="72F32C66" w14:textId="77777777" w:rsidR="00A77B3E" w:rsidRPr="00607BDE" w:rsidRDefault="00C401B9">
      <w:pPr>
        <w:pStyle w:val="Nagwek4"/>
        <w:spacing w:before="100" w:after="0"/>
        <w:rPr>
          <w:b w:val="0"/>
          <w:color w:val="000000"/>
          <w:sz w:val="24"/>
          <w:lang w:val="en-GB"/>
        </w:rPr>
      </w:pPr>
      <w:r w:rsidRPr="00607BDE">
        <w:rPr>
          <w:b w:val="0"/>
          <w:color w:val="000000"/>
          <w:sz w:val="24"/>
          <w:lang w:val="en-GB"/>
        </w:rPr>
        <w:br w:type="page"/>
      </w:r>
      <w:bookmarkStart w:id="45" w:name="_Toc128976016"/>
      <w:r w:rsidRPr="00607BDE">
        <w:rPr>
          <w:b w:val="0"/>
          <w:color w:val="000000"/>
          <w:sz w:val="24"/>
          <w:lang w:val="en-GB"/>
        </w:rPr>
        <w:t>5. Assessment of the audit authority(ies) of the calculation methodology and amounts and the arrangements to ensure the verification, quality, collection and storage of data.</w:t>
      </w:r>
      <w:bookmarkEnd w:id="45"/>
    </w:p>
    <w:p w14:paraId="75FB3931" w14:textId="77777777" w:rsidR="00A77B3E" w:rsidRPr="00607BDE"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AC7127" w:rsidRPr="00607BDE" w14:paraId="163ACF1E"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41CDFB9F" w14:textId="77777777" w:rsidR="00A77B3E" w:rsidRPr="00607BDE" w:rsidRDefault="00A77B3E">
            <w:pPr>
              <w:spacing w:before="100"/>
              <w:rPr>
                <w:color w:val="000000"/>
                <w:lang w:val="en-GB"/>
              </w:rPr>
            </w:pPr>
          </w:p>
        </w:tc>
      </w:tr>
    </w:tbl>
    <w:p w14:paraId="692868E5" w14:textId="77777777" w:rsidR="00A77B3E" w:rsidRPr="00607BDE" w:rsidRDefault="00A77B3E">
      <w:pPr>
        <w:spacing w:before="100"/>
        <w:rPr>
          <w:color w:val="000000"/>
          <w:lang w:val="en-GB"/>
        </w:rPr>
        <w:sectPr w:rsidR="00A77B3E" w:rsidRPr="00607BDE">
          <w:headerReference w:type="even" r:id="rId69"/>
          <w:headerReference w:type="default" r:id="rId70"/>
          <w:footerReference w:type="even" r:id="rId71"/>
          <w:footerReference w:type="default" r:id="rId72"/>
          <w:headerReference w:type="first" r:id="rId73"/>
          <w:footerReference w:type="first" r:id="rId74"/>
          <w:pgSz w:w="11906" w:h="16838"/>
          <w:pgMar w:top="720" w:right="936" w:bottom="864" w:left="720" w:header="0" w:footer="72" w:gutter="0"/>
          <w:cols w:space="720"/>
          <w:noEndnote/>
          <w:docGrid w:linePitch="360"/>
        </w:sectPr>
      </w:pPr>
    </w:p>
    <w:p w14:paraId="4E4CFF78" w14:textId="77777777" w:rsidR="00A77B3E" w:rsidRPr="00607BDE" w:rsidRDefault="00C401B9">
      <w:pPr>
        <w:pStyle w:val="Nagwek1"/>
        <w:spacing w:before="100" w:after="0"/>
        <w:rPr>
          <w:rFonts w:ascii="Times New Roman" w:hAnsi="Times New Roman" w:cs="Times New Roman"/>
          <w:b w:val="0"/>
          <w:color w:val="000000"/>
          <w:sz w:val="24"/>
          <w:lang w:val="en-GB"/>
        </w:rPr>
      </w:pPr>
      <w:bookmarkStart w:id="46" w:name="_Toc128976017"/>
      <w:r w:rsidRPr="00607BDE">
        <w:rPr>
          <w:rFonts w:ascii="Times New Roman" w:hAnsi="Times New Roman" w:cs="Times New Roman"/>
          <w:b w:val="0"/>
          <w:color w:val="000000"/>
          <w:sz w:val="24"/>
          <w:lang w:val="en-GB"/>
        </w:rPr>
        <w:t>Appendix 2: Union contribution based on financing not linked to costs</w:t>
      </w:r>
      <w:bookmarkEnd w:id="46"/>
    </w:p>
    <w:p w14:paraId="7AF1761B"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47" w:name="_Toc128976018"/>
      <w:r w:rsidRPr="00607BDE">
        <w:rPr>
          <w:rFonts w:ascii="Times New Roman" w:hAnsi="Times New Roman" w:cs="Times New Roman"/>
          <w:b w:val="0"/>
          <w:i w:val="0"/>
          <w:color w:val="000000"/>
          <w:sz w:val="24"/>
          <w:lang w:val="en-GB"/>
        </w:rPr>
        <w:t>A. Summary of the main elements</w:t>
      </w:r>
      <w:bookmarkEnd w:id="47"/>
    </w:p>
    <w:p w14:paraId="1C4CF002"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569"/>
        <w:gridCol w:w="1255"/>
        <w:gridCol w:w="1570"/>
        <w:gridCol w:w="1883"/>
        <w:gridCol w:w="1570"/>
        <w:gridCol w:w="1570"/>
        <w:gridCol w:w="1570"/>
        <w:gridCol w:w="2093"/>
      </w:tblGrid>
      <w:tr w:rsidR="00AC7127" w:rsidRPr="00607BDE" w14:paraId="49EC1CA2" w14:textId="77777777">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A03C7D" w14:textId="77777777" w:rsidR="00A77B3E" w:rsidRPr="00607BDE" w:rsidRDefault="00C401B9">
            <w:pPr>
              <w:spacing w:before="100"/>
              <w:jc w:val="center"/>
              <w:rPr>
                <w:color w:val="000000"/>
                <w:sz w:val="12"/>
                <w:lang w:val="en-GB"/>
              </w:rPr>
            </w:pPr>
            <w:r w:rsidRPr="00607BDE">
              <w:rPr>
                <w:color w:val="000000"/>
                <w:sz w:val="12"/>
                <w:lang w:val="en-GB"/>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3D775A" w14:textId="77777777" w:rsidR="00A77B3E" w:rsidRPr="00607BDE" w:rsidRDefault="00C401B9">
            <w:pPr>
              <w:spacing w:before="100"/>
              <w:jc w:val="center"/>
              <w:rPr>
                <w:color w:val="000000"/>
                <w:sz w:val="12"/>
                <w:lang w:val="en-GB"/>
              </w:rPr>
            </w:pPr>
            <w:r w:rsidRPr="00607BDE">
              <w:rPr>
                <w:color w:val="000000"/>
                <w:sz w:val="12"/>
                <w:lang w:val="en-GB"/>
              </w:rPr>
              <w:t>The amount covered by the financing not linked to costs</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189FC5" w14:textId="77777777" w:rsidR="00A77B3E" w:rsidRPr="00607BDE" w:rsidRDefault="00C401B9">
            <w:pPr>
              <w:spacing w:before="100"/>
              <w:jc w:val="center"/>
              <w:rPr>
                <w:color w:val="000000"/>
                <w:sz w:val="12"/>
                <w:lang w:val="en-GB"/>
              </w:rPr>
            </w:pPr>
            <w:r w:rsidRPr="00607BDE">
              <w:rPr>
                <w:color w:val="000000"/>
                <w:sz w:val="12"/>
                <w:lang w:val="en-GB"/>
              </w:rPr>
              <w:t>Type(s) of operation covered</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B62DF2" w14:textId="77777777" w:rsidR="00A77B3E" w:rsidRPr="00607BDE" w:rsidRDefault="00C401B9">
            <w:pPr>
              <w:spacing w:before="100"/>
              <w:jc w:val="center"/>
              <w:rPr>
                <w:color w:val="000000"/>
                <w:sz w:val="12"/>
                <w:lang w:val="en-GB"/>
              </w:rPr>
            </w:pPr>
            <w:r w:rsidRPr="00607BDE">
              <w:rPr>
                <w:color w:val="000000"/>
                <w:sz w:val="12"/>
                <w:lang w:val="en-GB"/>
              </w:rPr>
              <w:t>Conditions to be fulfilled/results to be achieved triggering reimbursement by the Commission</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0D6D9E" w14:textId="77777777" w:rsidR="00A77B3E" w:rsidRPr="00607BDE" w:rsidRDefault="00C401B9">
            <w:pPr>
              <w:spacing w:before="100"/>
              <w:jc w:val="center"/>
              <w:rPr>
                <w:color w:val="000000"/>
                <w:sz w:val="12"/>
                <w:lang w:val="en-GB"/>
              </w:rPr>
            </w:pPr>
            <w:r w:rsidRPr="00607BDE">
              <w:rPr>
                <w:color w:val="000000"/>
                <w:sz w:val="12"/>
                <w:lang w:val="en-GB"/>
              </w:rPr>
              <w:t>Indicators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32EB91" w14:textId="77777777" w:rsidR="00A77B3E" w:rsidRPr="00607BDE" w:rsidRDefault="00C401B9">
            <w:pPr>
              <w:spacing w:before="100"/>
              <w:jc w:val="center"/>
              <w:rPr>
                <w:color w:val="000000"/>
                <w:sz w:val="12"/>
                <w:lang w:val="en-GB"/>
              </w:rPr>
            </w:pPr>
            <w:r w:rsidRPr="00607BDE">
              <w:rPr>
                <w:color w:val="000000"/>
                <w:sz w:val="12"/>
                <w:lang w:val="en-GB"/>
              </w:rPr>
              <w:t>Unit of measurement for the conditions to be fulfilled/results to be achieved triggering reimbursement by the Commission</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83D0BF" w14:textId="77777777" w:rsidR="00A77B3E" w:rsidRPr="00607BDE" w:rsidRDefault="00C401B9">
            <w:pPr>
              <w:spacing w:before="100"/>
              <w:jc w:val="center"/>
              <w:rPr>
                <w:color w:val="000000"/>
                <w:sz w:val="12"/>
                <w:lang w:val="en-GB"/>
              </w:rPr>
            </w:pPr>
            <w:r w:rsidRPr="00607BDE">
              <w:rPr>
                <w:color w:val="000000"/>
                <w:sz w:val="12"/>
                <w:lang w:val="en-GB"/>
              </w:rPr>
              <w:t>Envisaged type of reimbursement method used to reimburse the beneficiary or beneficiaries</w:t>
            </w:r>
          </w:p>
        </w:tc>
      </w:tr>
      <w:tr w:rsidR="00AC7127" w:rsidRPr="00607BDE" w14:paraId="4B07716A" w14:textId="77777777">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134640" w14:textId="77777777" w:rsidR="00A77B3E" w:rsidRPr="00607BDE"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7ABF18" w14:textId="77777777" w:rsidR="00A77B3E" w:rsidRPr="00607BDE" w:rsidRDefault="00A77B3E">
            <w:pPr>
              <w:spacing w:before="100"/>
              <w:jc w:val="center"/>
              <w:rPr>
                <w:color w:val="000000"/>
                <w:sz w:val="12"/>
                <w:lang w:val="en-GB"/>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01DE40" w14:textId="77777777" w:rsidR="00A77B3E" w:rsidRPr="00607BDE" w:rsidRDefault="00C401B9">
            <w:pPr>
              <w:spacing w:before="100"/>
              <w:jc w:val="center"/>
              <w:rPr>
                <w:color w:val="000000"/>
                <w:sz w:val="12"/>
                <w:lang w:val="en-GB"/>
              </w:rPr>
            </w:pPr>
            <w:r w:rsidRPr="00607BDE">
              <w:rPr>
                <w:color w:val="000000"/>
                <w:sz w:val="12"/>
                <w:lang w:val="en-GB"/>
              </w:rPr>
              <w:t>Code(1)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B8289F" w14:textId="77777777" w:rsidR="00A77B3E" w:rsidRPr="00607BDE" w:rsidRDefault="00C401B9">
            <w:pPr>
              <w:spacing w:before="100"/>
              <w:jc w:val="center"/>
              <w:rPr>
                <w:color w:val="000000"/>
                <w:sz w:val="12"/>
                <w:lang w:val="en-GB"/>
              </w:rPr>
            </w:pPr>
            <w:r w:rsidRPr="00607BDE">
              <w:rPr>
                <w:color w:val="000000"/>
                <w:sz w:val="12"/>
                <w:lang w:val="en-GB"/>
              </w:rPr>
              <w:t>Description</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FB40C3" w14:textId="77777777" w:rsidR="00A77B3E" w:rsidRPr="00607BDE" w:rsidRDefault="00A77B3E">
            <w:pPr>
              <w:spacing w:before="100"/>
              <w:jc w:val="center"/>
              <w:rPr>
                <w:color w:val="000000"/>
                <w:sz w:val="12"/>
                <w:lang w:val="en-GB"/>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F07358" w14:textId="77777777" w:rsidR="00A77B3E" w:rsidRPr="00607BDE" w:rsidRDefault="00C401B9">
            <w:pPr>
              <w:spacing w:before="100"/>
              <w:jc w:val="center"/>
              <w:rPr>
                <w:color w:val="000000"/>
                <w:sz w:val="12"/>
                <w:lang w:val="en-GB"/>
              </w:rPr>
            </w:pPr>
            <w:r w:rsidRPr="00607BDE">
              <w:rPr>
                <w:color w:val="000000"/>
                <w:sz w:val="12"/>
                <w:lang w:val="en-GB"/>
              </w:rPr>
              <w:t>Code(2)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85F680" w14:textId="77777777" w:rsidR="00A77B3E" w:rsidRPr="00607BDE" w:rsidRDefault="00C401B9">
            <w:pPr>
              <w:spacing w:before="100"/>
              <w:jc w:val="center"/>
              <w:rPr>
                <w:color w:val="000000"/>
                <w:sz w:val="12"/>
                <w:lang w:val="en-GB"/>
              </w:rPr>
            </w:pPr>
            <w:r w:rsidRPr="00607BDE">
              <w:rPr>
                <w:color w:val="000000"/>
                <w:sz w:val="12"/>
                <w:lang w:val="en-GB"/>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4E45F8" w14:textId="77777777" w:rsidR="00A77B3E" w:rsidRPr="00607BDE" w:rsidRDefault="00A77B3E">
            <w:pPr>
              <w:spacing w:before="100"/>
              <w:jc w:val="center"/>
              <w:rPr>
                <w:color w:val="000000"/>
                <w:sz w:val="12"/>
                <w:lang w:val="en-GB"/>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DF2125" w14:textId="77777777" w:rsidR="00A77B3E" w:rsidRPr="00607BDE" w:rsidRDefault="00A77B3E">
            <w:pPr>
              <w:spacing w:before="100"/>
              <w:jc w:val="center"/>
              <w:rPr>
                <w:color w:val="000000"/>
                <w:sz w:val="12"/>
                <w:lang w:val="en-GB"/>
              </w:rPr>
            </w:pPr>
          </w:p>
        </w:tc>
      </w:tr>
    </w:tbl>
    <w:p w14:paraId="7796DBB4" w14:textId="77777777" w:rsidR="00A77B3E" w:rsidRPr="00607BDE" w:rsidRDefault="00C401B9">
      <w:pPr>
        <w:spacing w:before="100"/>
        <w:rPr>
          <w:color w:val="000000"/>
          <w:sz w:val="12"/>
          <w:lang w:val="en-GB"/>
        </w:rPr>
      </w:pPr>
      <w:r w:rsidRPr="00607BDE">
        <w:rPr>
          <w:color w:val="000000"/>
          <w:sz w:val="12"/>
          <w:lang w:val="en-GB"/>
        </w:rPr>
        <w:t>(1) This refers to the code in Annex VI of the AMIF, BMVI and ISF Regulations.</w:t>
      </w:r>
    </w:p>
    <w:p w14:paraId="71776D51" w14:textId="77777777" w:rsidR="00A77B3E" w:rsidRPr="00607BDE" w:rsidRDefault="00C401B9">
      <w:pPr>
        <w:spacing w:before="100"/>
        <w:rPr>
          <w:color w:val="000000"/>
          <w:sz w:val="12"/>
          <w:lang w:val="en-GB"/>
        </w:rPr>
      </w:pPr>
      <w:r w:rsidRPr="00607BDE">
        <w:rPr>
          <w:color w:val="000000"/>
          <w:sz w:val="12"/>
          <w:lang w:val="en-GB"/>
        </w:rPr>
        <w:t>(2) This refers to the code of a common indicator, if applicable.</w:t>
      </w:r>
    </w:p>
    <w:p w14:paraId="0DA9B00B" w14:textId="77777777" w:rsidR="00A77B3E" w:rsidRPr="00607BDE" w:rsidRDefault="00A77B3E">
      <w:pPr>
        <w:spacing w:before="100"/>
        <w:rPr>
          <w:color w:val="000000"/>
          <w:sz w:val="12"/>
          <w:lang w:val="en-GB"/>
        </w:rPr>
        <w:sectPr w:rsidR="00A77B3E" w:rsidRPr="00607BDE">
          <w:headerReference w:type="even" r:id="rId75"/>
          <w:headerReference w:type="default" r:id="rId76"/>
          <w:footerReference w:type="even" r:id="rId77"/>
          <w:footerReference w:type="default" r:id="rId78"/>
          <w:headerReference w:type="first" r:id="rId79"/>
          <w:footerReference w:type="first" r:id="rId80"/>
          <w:pgSz w:w="16838" w:h="11906" w:orient="landscape"/>
          <w:pgMar w:top="720" w:right="720" w:bottom="864" w:left="936" w:header="288" w:footer="72" w:gutter="0"/>
          <w:cols w:space="720"/>
          <w:noEndnote/>
          <w:docGrid w:linePitch="360"/>
        </w:sectPr>
      </w:pPr>
    </w:p>
    <w:p w14:paraId="41D353F6"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48" w:name="_Toc128976019"/>
      <w:r w:rsidRPr="00607BDE">
        <w:rPr>
          <w:rFonts w:ascii="Times New Roman" w:hAnsi="Times New Roman" w:cs="Times New Roman"/>
          <w:b w:val="0"/>
          <w:i w:val="0"/>
          <w:color w:val="000000"/>
          <w:sz w:val="24"/>
          <w:lang w:val="en-GB"/>
        </w:rPr>
        <w:t>B. Detailed information by type of operation</w:t>
      </w:r>
      <w:bookmarkEnd w:id="48"/>
    </w:p>
    <w:p w14:paraId="6348E685" w14:textId="77777777" w:rsidR="00A77B3E" w:rsidRPr="00607BDE" w:rsidRDefault="00A77B3E">
      <w:pPr>
        <w:spacing w:before="100"/>
        <w:rPr>
          <w:color w:val="000000"/>
          <w:lang w:val="en-GB"/>
        </w:rPr>
        <w:sectPr w:rsidR="00A77B3E" w:rsidRPr="00607BDE">
          <w:headerReference w:type="even" r:id="rId81"/>
          <w:headerReference w:type="default" r:id="rId82"/>
          <w:footerReference w:type="even" r:id="rId83"/>
          <w:footerReference w:type="default" r:id="rId84"/>
          <w:headerReference w:type="first" r:id="rId85"/>
          <w:footerReference w:type="first" r:id="rId86"/>
          <w:pgSz w:w="11906" w:h="16838"/>
          <w:pgMar w:top="720" w:right="936" w:bottom="864" w:left="720" w:header="0" w:footer="72" w:gutter="0"/>
          <w:cols w:space="720"/>
          <w:noEndnote/>
          <w:docGrid w:linePitch="360"/>
        </w:sectPr>
      </w:pPr>
    </w:p>
    <w:p w14:paraId="7EC07A91" w14:textId="77777777" w:rsidR="00A77B3E" w:rsidRPr="00607BDE" w:rsidRDefault="00C401B9">
      <w:pPr>
        <w:pStyle w:val="Nagwek1"/>
        <w:spacing w:before="100" w:after="0"/>
        <w:rPr>
          <w:rFonts w:ascii="Times New Roman" w:hAnsi="Times New Roman" w:cs="Times New Roman"/>
          <w:b w:val="0"/>
          <w:color w:val="000000"/>
          <w:sz w:val="24"/>
          <w:lang w:val="en-GB"/>
        </w:rPr>
      </w:pPr>
      <w:bookmarkStart w:id="49" w:name="_Toc128976020"/>
      <w:r w:rsidRPr="00607BDE">
        <w:rPr>
          <w:rFonts w:ascii="Times New Roman" w:hAnsi="Times New Roman" w:cs="Times New Roman"/>
          <w:b w:val="0"/>
          <w:color w:val="000000"/>
          <w:sz w:val="24"/>
          <w:lang w:val="en-GB"/>
        </w:rPr>
        <w:t>Annex 3</w:t>
      </w:r>
      <w:bookmarkEnd w:id="49"/>
    </w:p>
    <w:p w14:paraId="392B0F5A" w14:textId="77777777" w:rsidR="00A77B3E" w:rsidRPr="00607BDE" w:rsidRDefault="00C401B9">
      <w:pPr>
        <w:pStyle w:val="Nagwek2"/>
        <w:spacing w:before="100" w:after="0"/>
        <w:rPr>
          <w:rFonts w:ascii="Times New Roman" w:hAnsi="Times New Roman" w:cs="Times New Roman"/>
          <w:b w:val="0"/>
          <w:i w:val="0"/>
          <w:color w:val="000000"/>
          <w:sz w:val="24"/>
          <w:lang w:val="en-GB"/>
        </w:rPr>
      </w:pPr>
      <w:bookmarkStart w:id="50" w:name="_Toc128976021"/>
      <w:r w:rsidRPr="00607BDE">
        <w:rPr>
          <w:rFonts w:ascii="Times New Roman" w:hAnsi="Times New Roman" w:cs="Times New Roman"/>
          <w:b w:val="0"/>
          <w:i w:val="0"/>
          <w:color w:val="000000"/>
          <w:sz w:val="24"/>
          <w:lang w:val="en-GB"/>
        </w:rPr>
        <w:t>Thematic instrument</w:t>
      </w:r>
      <w:bookmarkEnd w:id="50"/>
    </w:p>
    <w:p w14:paraId="43F8C124"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3146"/>
        <w:gridCol w:w="1688"/>
        <w:gridCol w:w="3617"/>
        <w:gridCol w:w="1895"/>
      </w:tblGrid>
      <w:tr w:rsidR="00AC7127" w:rsidRPr="00607BDE" w14:paraId="79F6F55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166CED" w14:textId="77777777" w:rsidR="00A77B3E" w:rsidRPr="00607BDE" w:rsidRDefault="00C401B9">
            <w:pPr>
              <w:spacing w:before="100"/>
              <w:rPr>
                <w:color w:val="000000"/>
                <w:sz w:val="16"/>
                <w:lang w:val="en-GB"/>
              </w:rPr>
            </w:pPr>
            <w:r w:rsidRPr="00607BDE">
              <w:rPr>
                <w:color w:val="000000"/>
                <w:sz w:val="16"/>
                <w:lang w:val="en-GB"/>
              </w:rPr>
              <w:t>Procedure reference 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5D9AB0" w14:textId="77777777" w:rsidR="00A77B3E" w:rsidRPr="00607BDE" w:rsidRDefault="00C401B9">
            <w:pPr>
              <w:spacing w:before="100"/>
              <w:rPr>
                <w:color w:val="000000"/>
                <w:sz w:val="16"/>
                <w:lang w:val="en-GB"/>
              </w:rPr>
            </w:pPr>
            <w:r w:rsidRPr="00607BDE">
              <w:rPr>
                <w:color w:val="000000"/>
                <w:sz w:val="16"/>
                <w:lang w:val="en-GB"/>
              </w:rPr>
              <w:t>Programme version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041C92" w14:textId="77777777" w:rsidR="00A77B3E" w:rsidRPr="00607BDE" w:rsidRDefault="00C401B9">
            <w:pPr>
              <w:spacing w:before="100"/>
              <w:rPr>
                <w:color w:val="000000"/>
                <w:sz w:val="16"/>
                <w:lang w:val="en-GB"/>
              </w:rPr>
            </w:pPr>
            <w:r w:rsidRPr="00607BDE">
              <w:rPr>
                <w:color w:val="000000"/>
                <w:sz w:val="16"/>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C8BD38" w14:textId="77777777" w:rsidR="00A77B3E" w:rsidRPr="00607BDE" w:rsidRDefault="00C401B9">
            <w:pPr>
              <w:spacing w:before="100"/>
              <w:rPr>
                <w:color w:val="000000"/>
                <w:sz w:val="16"/>
                <w:lang w:val="en-GB"/>
              </w:rPr>
            </w:pPr>
            <w:r w:rsidRPr="00607BDE">
              <w:rPr>
                <w:color w:val="000000"/>
                <w:sz w:val="16"/>
                <w:lang w:val="en-GB"/>
              </w:rPr>
              <w:t>Date accepted/rejected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FDF51" w14:textId="77777777" w:rsidR="00A77B3E" w:rsidRPr="00607BDE" w:rsidRDefault="00C401B9">
            <w:pPr>
              <w:spacing w:before="100"/>
              <w:rPr>
                <w:color w:val="000000"/>
                <w:sz w:val="16"/>
                <w:lang w:val="en-GB"/>
              </w:rPr>
            </w:pPr>
            <w:r w:rsidRPr="00607BDE">
              <w:rPr>
                <w:color w:val="000000"/>
                <w:sz w:val="16"/>
                <w:lang w:val="en-GB"/>
              </w:rPr>
              <w:t>Comments</w:t>
            </w:r>
          </w:p>
        </w:tc>
      </w:tr>
      <w:tr w:rsidR="00AC7127" w:rsidRPr="00607BDE" w14:paraId="66A7B85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E5542" w14:textId="77777777" w:rsidR="00A77B3E" w:rsidRPr="00607BDE" w:rsidRDefault="00C401B9">
            <w:pPr>
              <w:spacing w:before="100"/>
              <w:rPr>
                <w:color w:val="000000"/>
                <w:sz w:val="16"/>
                <w:lang w:val="en-GB"/>
              </w:rPr>
            </w:pPr>
            <w:r w:rsidRPr="00607BDE">
              <w:rPr>
                <w:color w:val="000000"/>
                <w:sz w:val="16"/>
                <w:lang w:val="en-GB"/>
              </w:rPr>
              <w:t>C(2022)3163 - 19 May 2022 - 1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89923B" w14:textId="77777777" w:rsidR="00A77B3E" w:rsidRPr="00607BDE" w:rsidRDefault="00C401B9">
            <w:pPr>
              <w:spacing w:before="100"/>
              <w:rPr>
                <w:color w:val="000000"/>
                <w:sz w:val="16"/>
                <w:lang w:val="en-GB"/>
              </w:rPr>
            </w:pPr>
            <w:r w:rsidRPr="00607BDE">
              <w:rPr>
                <w:color w:val="000000"/>
                <w:sz w:val="16"/>
                <w:lang w:val="en-GB"/>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BB9F53" w14:textId="77777777" w:rsidR="00A77B3E" w:rsidRPr="00607BDE" w:rsidRDefault="00C401B9">
            <w:pPr>
              <w:spacing w:before="100"/>
              <w:rPr>
                <w:color w:val="000000"/>
                <w:sz w:val="16"/>
                <w:lang w:val="en-GB"/>
              </w:rPr>
            </w:pPr>
            <w:r w:rsidRPr="00607BDE">
              <w:rPr>
                <w:color w:val="000000"/>
                <w:sz w:val="16"/>
                <w:lang w:val="en-GB"/>
              </w:rPr>
              <w:t>Accepted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C0E57" w14:textId="77777777" w:rsidR="00A77B3E" w:rsidRPr="00607BDE" w:rsidRDefault="00C401B9">
            <w:pPr>
              <w:spacing w:before="100"/>
              <w:rPr>
                <w:color w:val="000000"/>
                <w:sz w:val="16"/>
                <w:lang w:val="en-GB"/>
              </w:rPr>
            </w:pPr>
            <w:r w:rsidRPr="00607BDE">
              <w:rPr>
                <w:color w:val="000000"/>
                <w:sz w:val="16"/>
                <w:lang w:val="en-GB"/>
              </w:rPr>
              <w:t>9 Nov 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1EFB9E" w14:textId="77777777" w:rsidR="00A77B3E" w:rsidRPr="00607BDE" w:rsidRDefault="00A77B3E">
            <w:pPr>
              <w:spacing w:before="100"/>
              <w:rPr>
                <w:color w:val="000000"/>
                <w:sz w:val="16"/>
                <w:lang w:val="en-GB"/>
              </w:rPr>
            </w:pPr>
          </w:p>
        </w:tc>
      </w:tr>
      <w:tr w:rsidR="00AC7127" w:rsidRPr="00607BDE" w14:paraId="6954301C"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579036" w14:textId="77777777" w:rsidR="00A77B3E" w:rsidRPr="00607BDE"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64"/>
              <w:gridCol w:w="1025"/>
              <w:gridCol w:w="1113"/>
              <w:gridCol w:w="899"/>
              <w:gridCol w:w="9020"/>
            </w:tblGrid>
            <w:tr w:rsidR="00AC7127" w:rsidRPr="00607BDE" w14:paraId="67A5FB2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4440B4" w14:textId="77777777" w:rsidR="00A77B3E" w:rsidRPr="00607BDE" w:rsidRDefault="00C401B9">
                  <w:pPr>
                    <w:spacing w:before="100"/>
                    <w:jc w:val="center"/>
                    <w:rPr>
                      <w:color w:val="000000"/>
                      <w:sz w:val="16"/>
                      <w:lang w:val="en-GB"/>
                    </w:rPr>
                  </w:pPr>
                  <w:r w:rsidRPr="00607BDE">
                    <w:rPr>
                      <w:color w:val="000000"/>
                      <w:sz w:val="16"/>
                      <w:lang w:val="en-GB"/>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733878" w14:textId="77777777" w:rsidR="00A77B3E" w:rsidRPr="00607BDE" w:rsidRDefault="00C401B9">
                  <w:pPr>
                    <w:spacing w:before="100"/>
                    <w:jc w:val="center"/>
                    <w:rPr>
                      <w:color w:val="000000"/>
                      <w:sz w:val="16"/>
                      <w:lang w:val="en-GB"/>
                    </w:rPr>
                  </w:pPr>
                  <w:r w:rsidRPr="00607BDE">
                    <w:rPr>
                      <w:color w:val="000000"/>
                      <w:sz w:val="16"/>
                      <w:lang w:val="en-GB"/>
                    </w:rPr>
                    <w:t>Method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4A2FD5" w14:textId="77777777" w:rsidR="00A77B3E" w:rsidRPr="00607BDE" w:rsidRDefault="00C401B9">
                  <w:pPr>
                    <w:spacing w:before="100"/>
                    <w:jc w:val="center"/>
                    <w:rPr>
                      <w:color w:val="000000"/>
                      <w:sz w:val="16"/>
                      <w:lang w:val="en-GB"/>
                    </w:rPr>
                  </w:pPr>
                  <w:r w:rsidRPr="00607BDE">
                    <w:rPr>
                      <w:color w:val="000000"/>
                      <w:sz w:val="16"/>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19C8DB" w14:textId="77777777" w:rsidR="00A77B3E" w:rsidRPr="00607BDE" w:rsidRDefault="00C401B9">
                  <w:pPr>
                    <w:spacing w:before="100"/>
                    <w:jc w:val="center"/>
                    <w:rPr>
                      <w:color w:val="000000"/>
                      <w:sz w:val="16"/>
                      <w:lang w:val="en-GB"/>
                    </w:rPr>
                  </w:pPr>
                  <w:r w:rsidRPr="00607BDE">
                    <w:rPr>
                      <w:color w:val="000000"/>
                      <w:sz w:val="16"/>
                      <w:lang w:val="en-GB"/>
                    </w:rPr>
                    <w:t>Union contribution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3B6887" w14:textId="77777777" w:rsidR="00A77B3E" w:rsidRPr="00607BDE" w:rsidRDefault="00C401B9">
                  <w:pPr>
                    <w:spacing w:before="100"/>
                    <w:jc w:val="center"/>
                    <w:rPr>
                      <w:color w:val="000000"/>
                      <w:sz w:val="16"/>
                      <w:lang w:val="en-GB"/>
                    </w:rPr>
                  </w:pPr>
                  <w:r w:rsidRPr="00607BDE">
                    <w:rPr>
                      <w:color w:val="000000"/>
                      <w:sz w:val="16"/>
                      <w:lang w:val="en-GB"/>
                    </w:rPr>
                    <w:t>Advance payment rate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25DD42" w14:textId="77777777" w:rsidR="00A77B3E" w:rsidRPr="00607BDE" w:rsidRDefault="00C401B9">
                  <w:pPr>
                    <w:spacing w:before="100"/>
                    <w:jc w:val="center"/>
                    <w:rPr>
                      <w:color w:val="000000"/>
                      <w:sz w:val="16"/>
                      <w:lang w:val="en-GB"/>
                    </w:rPr>
                  </w:pPr>
                  <w:r w:rsidRPr="00607BDE">
                    <w:rPr>
                      <w:color w:val="000000"/>
                      <w:sz w:val="16"/>
                      <w:lang w:val="en-GB"/>
                    </w:rPr>
                    <w:t>Description of action</w:t>
                  </w:r>
                </w:p>
              </w:tc>
            </w:tr>
            <w:tr w:rsidR="00AC7127" w:rsidRPr="00607BDE" w14:paraId="28E2457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FE5C5" w14:textId="77777777" w:rsidR="00A77B3E" w:rsidRPr="00607BDE" w:rsidRDefault="00C401B9">
                  <w:pPr>
                    <w:spacing w:before="100"/>
                    <w:rPr>
                      <w:color w:val="000000"/>
                      <w:sz w:val="16"/>
                      <w:lang w:val="en-GB"/>
                    </w:rPr>
                  </w:pPr>
                  <w:r w:rsidRPr="00607BDE">
                    <w:rPr>
                      <w:color w:val="000000"/>
                      <w:sz w:val="16"/>
                      <w:lang w:val="en-GB"/>
                    </w:rPr>
                    <w:t>TA.36(5). Technical assistance – flat rate (Article 36(5)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EAD07" w14:textId="77777777" w:rsidR="00A77B3E" w:rsidRPr="00607BDE" w:rsidRDefault="00C401B9">
                  <w:pPr>
                    <w:spacing w:before="100"/>
                    <w:rPr>
                      <w:color w:val="000000"/>
                      <w:sz w:val="16"/>
                      <w:lang w:val="en-GB"/>
                    </w:rPr>
                  </w:pPr>
                  <w:r w:rsidRPr="00607BDE">
                    <w:rPr>
                      <w:color w:val="000000"/>
                      <w:sz w:val="16"/>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80C60C" w14:textId="77777777" w:rsidR="00A77B3E" w:rsidRPr="00607BDE" w:rsidRDefault="00C401B9">
                  <w:pPr>
                    <w:spacing w:before="100"/>
                    <w:rPr>
                      <w:color w:val="000000"/>
                      <w:sz w:val="16"/>
                      <w:lang w:val="en-GB"/>
                    </w:rPr>
                  </w:pPr>
                  <w:r w:rsidRPr="00607BDE">
                    <w:rPr>
                      <w:color w:val="000000"/>
                      <w:sz w:val="16"/>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3AB8C3" w14:textId="77777777" w:rsidR="00A77B3E" w:rsidRPr="00607BDE" w:rsidRDefault="00C401B9">
                  <w:pPr>
                    <w:spacing w:before="100"/>
                    <w:jc w:val="right"/>
                    <w:rPr>
                      <w:color w:val="000000"/>
                      <w:sz w:val="16"/>
                      <w:lang w:val="en-GB"/>
                    </w:rPr>
                  </w:pPr>
                  <w:r w:rsidRPr="00607BDE">
                    <w:rPr>
                      <w:color w:val="000000"/>
                      <w:sz w:val="16"/>
                      <w:lang w:val="en-GB"/>
                    </w:rPr>
                    <w:t>4,040,948.49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EFB2A"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864A6E" w14:textId="77777777" w:rsidR="00A77B3E" w:rsidRPr="00607BDE" w:rsidRDefault="00C401B9">
                  <w:pPr>
                    <w:spacing w:before="100"/>
                    <w:rPr>
                      <w:color w:val="000000"/>
                      <w:sz w:val="16"/>
                      <w:lang w:val="en-GB"/>
                    </w:rPr>
                  </w:pPr>
                  <w:r w:rsidRPr="00607BDE">
                    <w:rPr>
                      <w:color w:val="000000"/>
                      <w:sz w:val="16"/>
                      <w:lang w:val="en-GB"/>
                    </w:rPr>
                    <w:t>TA</w:t>
                  </w:r>
                </w:p>
              </w:tc>
            </w:tr>
            <w:tr w:rsidR="00AC7127" w:rsidRPr="00607BDE" w14:paraId="22F494A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8EAD9C" w14:textId="77777777" w:rsidR="00A77B3E" w:rsidRPr="00607BDE" w:rsidRDefault="00C401B9">
                  <w:pPr>
                    <w:spacing w:before="100"/>
                    <w:rPr>
                      <w:color w:val="000000"/>
                      <w:sz w:val="16"/>
                      <w:lang w:val="en-GB"/>
                    </w:rPr>
                  </w:pPr>
                  <w:r w:rsidRPr="00607BDE">
                    <w:rPr>
                      <w:color w:val="000000"/>
                      <w:sz w:val="16"/>
                      <w:lang w:val="en-GB"/>
                    </w:rPr>
                    <w:t>1. European integrated border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A6FDEE" w14:textId="77777777" w:rsidR="00A77B3E" w:rsidRPr="00607BDE" w:rsidRDefault="00C401B9">
                  <w:pPr>
                    <w:spacing w:before="100"/>
                    <w:rPr>
                      <w:color w:val="000000"/>
                      <w:sz w:val="16"/>
                      <w:lang w:val="en-GB"/>
                    </w:rPr>
                  </w:pPr>
                  <w:r w:rsidRPr="00607BDE">
                    <w:rPr>
                      <w:color w:val="000000"/>
                      <w:sz w:val="16"/>
                      <w:lang w:val="en-GB"/>
                    </w:rPr>
                    <w:t>Specific actions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687F82" w14:textId="77777777" w:rsidR="00A77B3E" w:rsidRPr="00607BDE" w:rsidRDefault="00C401B9">
                  <w:pPr>
                    <w:spacing w:before="100"/>
                    <w:rPr>
                      <w:color w:val="000000"/>
                      <w:sz w:val="16"/>
                      <w:lang w:val="en-GB"/>
                    </w:rPr>
                  </w:pPr>
                  <w:r w:rsidRPr="00607BDE">
                    <w:rPr>
                      <w:color w:val="000000"/>
                      <w:sz w:val="16"/>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0755E" w14:textId="77777777" w:rsidR="00A77B3E" w:rsidRPr="00607BDE" w:rsidRDefault="00C401B9">
                  <w:pPr>
                    <w:spacing w:before="100"/>
                    <w:jc w:val="right"/>
                    <w:rPr>
                      <w:color w:val="000000"/>
                      <w:sz w:val="16"/>
                      <w:lang w:val="en-GB"/>
                    </w:rPr>
                  </w:pPr>
                  <w:r w:rsidRPr="00607BDE">
                    <w:rPr>
                      <w:color w:val="000000"/>
                      <w:sz w:val="16"/>
                      <w:lang w:val="en-GB"/>
                    </w:rPr>
                    <w:t>67,349,141.51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37A81" w14:textId="77777777" w:rsidR="00A77B3E" w:rsidRPr="00607BDE"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F7B29" w14:textId="77777777" w:rsidR="00A77B3E" w:rsidRPr="00607BDE" w:rsidRDefault="00C401B9">
                  <w:pPr>
                    <w:spacing w:before="100"/>
                    <w:rPr>
                      <w:color w:val="000000"/>
                      <w:sz w:val="16"/>
                      <w:lang w:val="en-GB"/>
                    </w:rPr>
                  </w:pPr>
                  <w:r w:rsidRPr="00607BDE">
                    <w:rPr>
                      <w:color w:val="000000"/>
                      <w:sz w:val="16"/>
                      <w:lang w:val="en-GB"/>
                    </w:rPr>
                    <w:t>1) In accordance with joint communication on state-sponsored instrumentalisation of migrants at the external EU borders of 23 November 2021 (JOIN(2021)32 final), the specific action BMVI/2021/SA/1.5.8  funds will cover the additional needs for support related to the situation at the border with Belarus. The specific action complements the 2021-2027 BMVI programme and (they will) together  enhance the protection of the external EU border. The allocation for this specific action will be used to finance to the extent possible Work Package 1 ‘Technical protection of the Polish state’s border (Construction of technical protection of the EU’s external border in wetlands, waterside areas and rivers along the Polish-Belarus border — 225 km)’ and Work Package 2 ‘Modernization of the radio communication system’ in the application BMVI/2021/SA/1.5.8.2) BMVI/2021/SA/1.5.4/017 EUR 1.612.594,34  - Support to comply with the implementation of the relevant interoperability legal framework” under BMVI. The objective of this Specific Action is to support Schengen countries to comply with the implementation of the interoperability legal framework. The action has two aspects: 1) preparing the end-users of EU IT system for handling properly the information on identities contained in other systems as a result of interoperability and 2) extending the capacity of the SIRENE offices to resolve yellow links during the period that makes the Multiple Identity Detector (MID) operational. Poland implements both aspects.3) BMVI/2021-2022/SA/1.2.1/005 - A mobile system for detecting and locating low flying objects that have illegally crossed the state border using radar technology.  The project foresees to equip the Nadbużański Border Guard Regional Unit with two off-road vehicles with a radar system and a day and night vision system aimed at detecting and locating low flying objects that have illegally crossed the state border. The devices will have early detection capabilities and take into account the need to monitor the state border by detecting and tracking flying objects, also in hard-to-reach areas of the state border, which is also the external border of the EU.</w:t>
                  </w:r>
                </w:p>
              </w:tc>
            </w:tr>
          </w:tbl>
          <w:p w14:paraId="1BF6E24C" w14:textId="77777777" w:rsidR="00A77B3E" w:rsidRPr="00607BDE" w:rsidRDefault="00A77B3E">
            <w:pPr>
              <w:spacing w:before="100"/>
              <w:rPr>
                <w:color w:val="000000"/>
                <w:sz w:val="16"/>
                <w:lang w:val="en-GB"/>
              </w:rPr>
            </w:pPr>
          </w:p>
        </w:tc>
      </w:tr>
    </w:tbl>
    <w:p w14:paraId="5DC68C58" w14:textId="77777777" w:rsidR="00A77B3E" w:rsidRPr="00607BDE" w:rsidRDefault="00A77B3E">
      <w:pPr>
        <w:spacing w:before="100"/>
        <w:rPr>
          <w:color w:val="000000"/>
          <w:sz w:val="16"/>
          <w:lang w:val="en-GB"/>
        </w:rPr>
      </w:pPr>
    </w:p>
    <w:p w14:paraId="2502F492" w14:textId="77777777" w:rsidR="00A77B3E" w:rsidRPr="00607BDE" w:rsidRDefault="00A77B3E">
      <w:pPr>
        <w:spacing w:before="100"/>
        <w:rPr>
          <w:color w:val="000000"/>
          <w:sz w:val="16"/>
          <w:lang w:val="en-GB"/>
        </w:rPr>
        <w:sectPr w:rsidR="00A77B3E" w:rsidRPr="00607BDE">
          <w:headerReference w:type="even" r:id="rId87"/>
          <w:headerReference w:type="default" r:id="rId88"/>
          <w:footerReference w:type="even" r:id="rId89"/>
          <w:footerReference w:type="default" r:id="rId90"/>
          <w:headerReference w:type="first" r:id="rId91"/>
          <w:footerReference w:type="first" r:id="rId92"/>
          <w:pgSz w:w="16838" w:h="11906" w:orient="landscape"/>
          <w:pgMar w:top="720" w:right="720" w:bottom="864" w:left="936" w:header="288" w:footer="72" w:gutter="0"/>
          <w:cols w:space="720"/>
          <w:noEndnote/>
          <w:docGrid w:linePitch="360"/>
        </w:sectPr>
      </w:pPr>
    </w:p>
    <w:p w14:paraId="7D6D4E64" w14:textId="77777777" w:rsidR="00A77B3E" w:rsidRPr="00607BDE" w:rsidRDefault="00C401B9">
      <w:pPr>
        <w:pStyle w:val="Nagwek1"/>
        <w:spacing w:before="100" w:after="0"/>
        <w:rPr>
          <w:rFonts w:ascii="Times New Roman" w:hAnsi="Times New Roman" w:cs="Times New Roman"/>
          <w:b w:val="0"/>
          <w:color w:val="000000"/>
          <w:sz w:val="16"/>
          <w:lang w:val="en-GB"/>
        </w:rPr>
      </w:pPr>
      <w:bookmarkStart w:id="51" w:name="_Toc128976022"/>
      <w:r w:rsidRPr="00607BDE">
        <w:rPr>
          <w:rFonts w:ascii="Times New Roman" w:hAnsi="Times New Roman" w:cs="Times New Roman"/>
          <w:b w:val="0"/>
          <w:color w:val="000000"/>
          <w:sz w:val="16"/>
          <w:lang w:val="en-GB"/>
        </w:rPr>
        <w:t>DOCUMENTS</w:t>
      </w:r>
      <w:bookmarkEnd w:id="51"/>
    </w:p>
    <w:p w14:paraId="65654BDC" w14:textId="77777777" w:rsidR="00A77B3E" w:rsidRPr="00607BDE"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775"/>
        <w:gridCol w:w="1109"/>
        <w:gridCol w:w="1775"/>
        <w:gridCol w:w="1775"/>
        <w:gridCol w:w="4078"/>
        <w:gridCol w:w="1109"/>
        <w:gridCol w:w="1775"/>
      </w:tblGrid>
      <w:tr w:rsidR="00AC7127" w:rsidRPr="00607BDE" w14:paraId="42EC768C"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A1C28BC" w14:textId="77777777" w:rsidR="00A77B3E" w:rsidRPr="00607BDE" w:rsidRDefault="00C401B9">
            <w:pPr>
              <w:spacing w:before="100"/>
              <w:jc w:val="center"/>
              <w:rPr>
                <w:color w:val="000000"/>
                <w:sz w:val="16"/>
                <w:lang w:val="en-GB"/>
              </w:rPr>
            </w:pPr>
            <w:r w:rsidRPr="00607BDE">
              <w:rPr>
                <w:color w:val="000000"/>
                <w:sz w:val="16"/>
                <w:lang w:val="en-GB"/>
              </w:rPr>
              <w:t>Title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553B121" w14:textId="77777777" w:rsidR="00A77B3E" w:rsidRPr="00607BDE" w:rsidRDefault="00C401B9">
            <w:pPr>
              <w:spacing w:before="100"/>
              <w:jc w:val="center"/>
              <w:rPr>
                <w:color w:val="000000"/>
                <w:sz w:val="16"/>
                <w:lang w:val="en-GB"/>
              </w:rPr>
            </w:pPr>
            <w:r w:rsidRPr="00607BDE">
              <w:rPr>
                <w:color w:val="000000"/>
                <w:sz w:val="16"/>
                <w:lang w:val="en-GB"/>
              </w:rPr>
              <w:t>Type of document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6BF0A25" w14:textId="77777777" w:rsidR="00A77B3E" w:rsidRPr="00607BDE" w:rsidRDefault="00C401B9">
            <w:pPr>
              <w:spacing w:before="100"/>
              <w:jc w:val="center"/>
              <w:rPr>
                <w:color w:val="000000"/>
                <w:sz w:val="16"/>
                <w:lang w:val="en-GB"/>
              </w:rPr>
            </w:pPr>
            <w:r w:rsidRPr="00607BDE">
              <w:rPr>
                <w:color w:val="000000"/>
                <w:sz w:val="16"/>
                <w:lang w:val="en-GB"/>
              </w:rPr>
              <w:t>Date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9F4E809" w14:textId="77777777" w:rsidR="00A77B3E" w:rsidRPr="00607BDE" w:rsidRDefault="00C401B9">
            <w:pPr>
              <w:spacing w:before="100"/>
              <w:jc w:val="center"/>
              <w:rPr>
                <w:color w:val="000000"/>
                <w:sz w:val="16"/>
                <w:lang w:val="en-GB"/>
              </w:rPr>
            </w:pPr>
            <w:r w:rsidRPr="00607BDE">
              <w:rPr>
                <w:color w:val="000000"/>
                <w:sz w:val="16"/>
                <w:lang w:val="en-GB"/>
              </w:rPr>
              <w:t>Local reference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3767CC3" w14:textId="77777777" w:rsidR="00A77B3E" w:rsidRPr="00607BDE" w:rsidRDefault="00C401B9">
            <w:pPr>
              <w:spacing w:before="100"/>
              <w:jc w:val="center"/>
              <w:rPr>
                <w:color w:val="000000"/>
                <w:sz w:val="16"/>
                <w:lang w:val="en-GB"/>
              </w:rPr>
            </w:pPr>
            <w:r w:rsidRPr="00607BDE">
              <w:rPr>
                <w:color w:val="000000"/>
                <w:sz w:val="16"/>
                <w:lang w:val="en-GB"/>
              </w:rPr>
              <w:t>Commission reference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39CEFFF" w14:textId="77777777" w:rsidR="00A77B3E" w:rsidRPr="00607BDE" w:rsidRDefault="00C401B9">
            <w:pPr>
              <w:spacing w:before="100"/>
              <w:jc w:val="center"/>
              <w:rPr>
                <w:color w:val="000000"/>
                <w:sz w:val="16"/>
                <w:lang w:val="en-GB"/>
              </w:rPr>
            </w:pPr>
            <w:r w:rsidRPr="00607BDE">
              <w:rPr>
                <w:color w:val="000000"/>
                <w:sz w:val="16"/>
                <w:lang w:val="en-GB"/>
              </w:rPr>
              <w:t>Files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6AFFB73" w14:textId="77777777" w:rsidR="00A77B3E" w:rsidRPr="00607BDE" w:rsidRDefault="00C401B9">
            <w:pPr>
              <w:spacing w:before="100"/>
              <w:jc w:val="center"/>
              <w:rPr>
                <w:color w:val="000000"/>
                <w:sz w:val="16"/>
                <w:lang w:val="en-GB"/>
              </w:rPr>
            </w:pPr>
            <w:r w:rsidRPr="00607BDE">
              <w:rPr>
                <w:color w:val="000000"/>
                <w:sz w:val="16"/>
                <w:lang w:val="en-GB"/>
              </w:rPr>
              <w:t>Date sent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84E67B0" w14:textId="77777777" w:rsidR="00A77B3E" w:rsidRPr="00607BDE" w:rsidRDefault="00C401B9">
            <w:pPr>
              <w:spacing w:before="100"/>
              <w:jc w:val="center"/>
              <w:rPr>
                <w:color w:val="000000"/>
                <w:sz w:val="16"/>
                <w:lang w:val="en-GB"/>
              </w:rPr>
            </w:pPr>
            <w:r w:rsidRPr="00607BDE">
              <w:rPr>
                <w:color w:val="000000"/>
                <w:sz w:val="16"/>
                <w:lang w:val="en-GB"/>
              </w:rPr>
              <w:t>Sender</w:t>
            </w:r>
          </w:p>
        </w:tc>
      </w:tr>
      <w:tr w:rsidR="00AC7127" w:rsidRPr="00607BDE" w14:paraId="698E2083"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48CA7C3" w14:textId="77777777" w:rsidR="00A77B3E" w:rsidRPr="00607BDE" w:rsidRDefault="00C401B9">
            <w:pPr>
              <w:spacing w:before="100"/>
              <w:rPr>
                <w:color w:val="000000"/>
                <w:sz w:val="16"/>
                <w:lang w:val="en-GB"/>
              </w:rPr>
            </w:pPr>
            <w:r w:rsidRPr="00607BDE">
              <w:rPr>
                <w:color w:val="000000"/>
                <w:sz w:val="16"/>
                <w:lang w:val="en-GB"/>
              </w:rPr>
              <w:t>Detailed self-assessment of the fulfilment of Horizontal Condition 4 regarding implementation and application of the United Nations Convention on the rights of persons with disabilities (UNCRPD) in accordance with Council Decision 2010/48/EC</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30CA195" w14:textId="77777777" w:rsidR="00A77B3E" w:rsidRPr="00607BDE" w:rsidRDefault="00C401B9">
            <w:pPr>
              <w:spacing w:before="100"/>
              <w:rPr>
                <w:color w:val="000000"/>
                <w:sz w:val="16"/>
                <w:lang w:val="en-GB"/>
              </w:rPr>
            </w:pPr>
            <w:r w:rsidRPr="00607BDE">
              <w:rPr>
                <w:color w:val="000000"/>
                <w:sz w:val="16"/>
                <w:lang w:val="en-GB"/>
              </w:rPr>
              <w:t>Supplementary information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69F9E62" w14:textId="77777777" w:rsidR="00A77B3E" w:rsidRPr="00607BDE" w:rsidRDefault="00C401B9">
            <w:pPr>
              <w:spacing w:before="100"/>
              <w:rPr>
                <w:color w:val="000000"/>
                <w:sz w:val="16"/>
                <w:lang w:val="en-GB"/>
              </w:rPr>
            </w:pPr>
            <w:r w:rsidRPr="00607BDE">
              <w:rPr>
                <w:color w:val="000000"/>
                <w:sz w:val="16"/>
                <w:lang w:val="en-GB"/>
              </w:rPr>
              <w:t>15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48BD37F" w14:textId="77777777" w:rsidR="00A77B3E" w:rsidRPr="00607BDE"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33D63F7" w14:textId="77777777" w:rsidR="00A77B3E" w:rsidRPr="00607BDE" w:rsidRDefault="00C401B9">
            <w:pPr>
              <w:spacing w:before="100"/>
              <w:rPr>
                <w:color w:val="000000"/>
                <w:sz w:val="16"/>
                <w:lang w:val="en-GB"/>
              </w:rPr>
            </w:pPr>
            <w:r w:rsidRPr="00607BDE">
              <w:rPr>
                <w:color w:val="000000"/>
                <w:sz w:val="16"/>
                <w:lang w:val="en-GB"/>
              </w:rPr>
              <w:t>Ares(2022)7919698</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530B062" w14:textId="77777777" w:rsidR="00A77B3E" w:rsidRPr="00607BDE" w:rsidRDefault="00C401B9">
            <w:pPr>
              <w:spacing w:before="100"/>
              <w:rPr>
                <w:color w:val="000000"/>
                <w:sz w:val="16"/>
                <w:lang w:val="en-GB"/>
              </w:rPr>
            </w:pPr>
            <w:r w:rsidRPr="00607BDE">
              <w:rPr>
                <w:color w:val="000000"/>
                <w:sz w:val="16"/>
                <w:lang w:val="en-GB"/>
              </w:rPr>
              <w:t>Detailed self-assessment of the fulfilment of Horizontal Condition 4 regarding implementation and application of the United Nations Convention on the rights of persons with disabilities (UNCRPD) in accordance with Council Decision 2010/48/EC</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EB552D" w14:textId="77777777" w:rsidR="00A77B3E" w:rsidRPr="00607BDE" w:rsidRDefault="00C401B9">
            <w:pPr>
              <w:spacing w:before="100"/>
              <w:rPr>
                <w:color w:val="000000"/>
                <w:sz w:val="16"/>
                <w:lang w:val="en-GB"/>
              </w:rPr>
            </w:pPr>
            <w:r w:rsidRPr="00607BDE">
              <w:rPr>
                <w:color w:val="000000"/>
                <w:sz w:val="16"/>
                <w:lang w:val="en-GB"/>
              </w:rPr>
              <w:t>16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A2F7451" w14:textId="77777777" w:rsidR="00A77B3E" w:rsidRPr="00607BDE" w:rsidRDefault="00C401B9">
            <w:pPr>
              <w:spacing w:before="100"/>
              <w:rPr>
                <w:color w:val="000000"/>
                <w:sz w:val="16"/>
                <w:lang w:val="en-GB"/>
              </w:rPr>
            </w:pPr>
            <w:r w:rsidRPr="00607BDE">
              <w:rPr>
                <w:color w:val="000000"/>
                <w:sz w:val="16"/>
                <w:lang w:val="en-GB"/>
              </w:rPr>
              <w:t>Dargiel, Katarzyna</w:t>
            </w:r>
          </w:p>
        </w:tc>
      </w:tr>
      <w:tr w:rsidR="00AC7127" w:rsidRPr="00607BDE" w14:paraId="4EDCD42E"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C8240AC" w14:textId="77777777" w:rsidR="00A77B3E" w:rsidRPr="00607BDE" w:rsidRDefault="00C401B9">
            <w:pPr>
              <w:spacing w:before="100"/>
              <w:rPr>
                <w:color w:val="000000"/>
                <w:sz w:val="16"/>
                <w:lang w:val="en-GB"/>
              </w:rPr>
            </w:pPr>
            <w:r w:rsidRPr="00607BDE">
              <w:rPr>
                <w:color w:val="000000"/>
                <w:sz w:val="16"/>
                <w:lang w:val="en-GB"/>
              </w:rPr>
              <w:t>BMVI Glossary</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BF7BC5B" w14:textId="77777777" w:rsidR="00A77B3E" w:rsidRPr="00607BDE" w:rsidRDefault="00C401B9">
            <w:pPr>
              <w:spacing w:before="100"/>
              <w:rPr>
                <w:color w:val="000000"/>
                <w:sz w:val="16"/>
                <w:lang w:val="en-GB"/>
              </w:rPr>
            </w:pPr>
            <w:r w:rsidRPr="00607BDE">
              <w:rPr>
                <w:color w:val="000000"/>
                <w:sz w:val="16"/>
                <w:lang w:val="en-GB"/>
              </w:rPr>
              <w:t>Supplementary information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A01DFE6" w14:textId="77777777" w:rsidR="00A77B3E" w:rsidRPr="00607BDE" w:rsidRDefault="00C401B9">
            <w:pPr>
              <w:spacing w:before="100"/>
              <w:rPr>
                <w:color w:val="000000"/>
                <w:sz w:val="16"/>
                <w:lang w:val="en-GB"/>
              </w:rPr>
            </w:pPr>
            <w:r w:rsidRPr="00607BDE">
              <w:rPr>
                <w:color w:val="000000"/>
                <w:sz w:val="16"/>
                <w:lang w:val="en-GB"/>
              </w:rPr>
              <w:t>15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4F769AC" w14:textId="77777777" w:rsidR="00A77B3E" w:rsidRPr="00607BDE"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29DD3A4" w14:textId="77777777" w:rsidR="00A77B3E" w:rsidRPr="00607BDE" w:rsidRDefault="00C401B9">
            <w:pPr>
              <w:spacing w:before="100"/>
              <w:rPr>
                <w:color w:val="000000"/>
                <w:sz w:val="16"/>
                <w:lang w:val="en-GB"/>
              </w:rPr>
            </w:pPr>
            <w:r w:rsidRPr="00607BDE">
              <w:rPr>
                <w:color w:val="000000"/>
                <w:sz w:val="16"/>
                <w:lang w:val="en-GB"/>
              </w:rPr>
              <w:t>Ares(2022)7919698</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BCCDA1F" w14:textId="77777777" w:rsidR="00A77B3E" w:rsidRPr="00607BDE" w:rsidRDefault="00C401B9">
            <w:pPr>
              <w:spacing w:before="100"/>
              <w:rPr>
                <w:color w:val="000000"/>
                <w:sz w:val="16"/>
                <w:lang w:val="en-GB"/>
              </w:rPr>
            </w:pPr>
            <w:r w:rsidRPr="00607BDE">
              <w:rPr>
                <w:color w:val="000000"/>
                <w:sz w:val="16"/>
                <w:lang w:val="en-GB"/>
              </w:rPr>
              <w:t>BMVI Glossary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D8C328" w14:textId="77777777" w:rsidR="00A77B3E" w:rsidRPr="00607BDE" w:rsidRDefault="00C401B9">
            <w:pPr>
              <w:spacing w:before="100"/>
              <w:rPr>
                <w:color w:val="000000"/>
                <w:sz w:val="16"/>
                <w:lang w:val="en-GB"/>
              </w:rPr>
            </w:pPr>
            <w:r w:rsidRPr="00607BDE">
              <w:rPr>
                <w:color w:val="000000"/>
                <w:sz w:val="16"/>
                <w:lang w:val="en-GB"/>
              </w:rPr>
              <w:t>16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2C3DC08" w14:textId="77777777" w:rsidR="00A77B3E" w:rsidRPr="00607BDE" w:rsidRDefault="00C401B9">
            <w:pPr>
              <w:spacing w:before="100"/>
              <w:rPr>
                <w:color w:val="000000"/>
                <w:sz w:val="16"/>
                <w:lang w:val="en-GB"/>
              </w:rPr>
            </w:pPr>
            <w:r w:rsidRPr="00607BDE">
              <w:rPr>
                <w:color w:val="000000"/>
                <w:sz w:val="16"/>
                <w:lang w:val="en-GB"/>
              </w:rPr>
              <w:t>Dargiel, Katarzyna</w:t>
            </w:r>
          </w:p>
        </w:tc>
      </w:tr>
      <w:tr w:rsidR="00AC7127" w:rsidRPr="00607BDE" w14:paraId="47CDF0C9"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8C4C82C" w14:textId="77777777" w:rsidR="00A77B3E" w:rsidRPr="00607BDE" w:rsidRDefault="00C401B9">
            <w:pPr>
              <w:spacing w:before="100"/>
              <w:rPr>
                <w:color w:val="000000"/>
                <w:sz w:val="16"/>
                <w:lang w:val="en-GB"/>
              </w:rPr>
            </w:pPr>
            <w:r w:rsidRPr="00607BDE">
              <w:rPr>
                <w:color w:val="000000"/>
                <w:sz w:val="16"/>
                <w:lang w:val="en-GB"/>
              </w:rPr>
              <w:t>Output and result indicators for the Polish Programme of the Instrument for Financial Support for Border Management and Visa Policy within the framework of the Integrated Border Management Fund 2021-2027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0400333" w14:textId="77777777" w:rsidR="00A77B3E" w:rsidRPr="00607BDE" w:rsidRDefault="00C401B9">
            <w:pPr>
              <w:spacing w:before="100"/>
              <w:rPr>
                <w:color w:val="000000"/>
                <w:sz w:val="16"/>
                <w:lang w:val="en-GB"/>
              </w:rPr>
            </w:pPr>
            <w:r w:rsidRPr="00607BDE">
              <w:rPr>
                <w:color w:val="000000"/>
                <w:sz w:val="16"/>
                <w:lang w:val="en-GB"/>
              </w:rPr>
              <w:t>Supplementary information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2C76C62" w14:textId="77777777" w:rsidR="00A77B3E" w:rsidRPr="00607BDE" w:rsidRDefault="00C401B9">
            <w:pPr>
              <w:spacing w:before="100"/>
              <w:rPr>
                <w:color w:val="000000"/>
                <w:sz w:val="16"/>
                <w:lang w:val="en-GB"/>
              </w:rPr>
            </w:pPr>
            <w:r w:rsidRPr="00607BDE">
              <w:rPr>
                <w:color w:val="000000"/>
                <w:sz w:val="16"/>
                <w:lang w:val="en-GB"/>
              </w:rPr>
              <w:t>15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795AF91" w14:textId="77777777" w:rsidR="00A77B3E" w:rsidRPr="00607BDE"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47D05DF" w14:textId="77777777" w:rsidR="00A77B3E" w:rsidRPr="00607BDE" w:rsidRDefault="00C401B9">
            <w:pPr>
              <w:spacing w:before="100"/>
              <w:rPr>
                <w:color w:val="000000"/>
                <w:sz w:val="16"/>
                <w:lang w:val="en-GB"/>
              </w:rPr>
            </w:pPr>
            <w:r w:rsidRPr="00607BDE">
              <w:rPr>
                <w:color w:val="000000"/>
                <w:sz w:val="16"/>
                <w:lang w:val="en-GB"/>
              </w:rPr>
              <w:t>Ares(2022)7919698</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B571EB1" w14:textId="77777777" w:rsidR="00A77B3E" w:rsidRPr="00607BDE" w:rsidRDefault="00C401B9">
            <w:pPr>
              <w:spacing w:before="100"/>
              <w:rPr>
                <w:color w:val="000000"/>
                <w:sz w:val="16"/>
                <w:lang w:val="en-GB"/>
              </w:rPr>
            </w:pPr>
            <w:r w:rsidRPr="00607BDE">
              <w:rPr>
                <w:color w:val="000000"/>
                <w:sz w:val="16"/>
                <w:lang w:val="en-GB"/>
              </w:rPr>
              <w:t>Output and result indicators for the Polish Programme of the Instrument for Financial Support for Border Management and Visa Policy within the framework of the Integrated Border Management Fund 2021-2027</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8414E9C" w14:textId="77777777" w:rsidR="00A77B3E" w:rsidRPr="00607BDE" w:rsidRDefault="00C401B9">
            <w:pPr>
              <w:spacing w:before="100"/>
              <w:rPr>
                <w:color w:val="000000"/>
                <w:sz w:val="16"/>
                <w:lang w:val="en-GB"/>
              </w:rPr>
            </w:pPr>
            <w:r w:rsidRPr="00607BDE">
              <w:rPr>
                <w:color w:val="000000"/>
                <w:sz w:val="16"/>
                <w:lang w:val="en-GB"/>
              </w:rPr>
              <w:t>16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C717623" w14:textId="77777777" w:rsidR="00A77B3E" w:rsidRPr="00607BDE" w:rsidRDefault="00C401B9">
            <w:pPr>
              <w:spacing w:before="100"/>
              <w:rPr>
                <w:color w:val="000000"/>
                <w:sz w:val="16"/>
                <w:lang w:val="en-GB"/>
              </w:rPr>
            </w:pPr>
            <w:r w:rsidRPr="00607BDE">
              <w:rPr>
                <w:color w:val="000000"/>
                <w:sz w:val="16"/>
                <w:lang w:val="en-GB"/>
              </w:rPr>
              <w:t>Dargiel, Katarzyna</w:t>
            </w:r>
          </w:p>
        </w:tc>
      </w:tr>
      <w:tr w:rsidR="00AC7127" w:rsidRPr="00607BDE" w14:paraId="5F918767"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9B2137" w14:textId="77777777" w:rsidR="00A77B3E" w:rsidRPr="00607BDE" w:rsidRDefault="00C401B9">
            <w:pPr>
              <w:spacing w:before="100"/>
              <w:rPr>
                <w:color w:val="000000"/>
                <w:sz w:val="16"/>
                <w:lang w:val="en-GB"/>
              </w:rPr>
            </w:pPr>
            <w:r w:rsidRPr="00607BDE">
              <w:rPr>
                <w:color w:val="000000"/>
                <w:sz w:val="16"/>
                <w:lang w:val="en-GB"/>
              </w:rPr>
              <w:t>Programme snapshot 2021PL65BVPR001 1.1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4561EC9" w14:textId="77777777" w:rsidR="00A77B3E" w:rsidRPr="00607BDE" w:rsidRDefault="00C401B9">
            <w:pPr>
              <w:spacing w:before="100"/>
              <w:rPr>
                <w:color w:val="000000"/>
                <w:sz w:val="16"/>
                <w:lang w:val="en-GB"/>
              </w:rPr>
            </w:pPr>
            <w:r w:rsidRPr="00607BDE">
              <w:rPr>
                <w:color w:val="000000"/>
                <w:sz w:val="16"/>
                <w:lang w:val="en-GB"/>
              </w:rPr>
              <w:t>Data preview before sending</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6E7DCC4" w14:textId="77777777" w:rsidR="00A77B3E" w:rsidRPr="00607BDE" w:rsidRDefault="00C401B9">
            <w:pPr>
              <w:spacing w:before="100"/>
              <w:rPr>
                <w:color w:val="000000"/>
                <w:sz w:val="16"/>
                <w:lang w:val="en-GB"/>
              </w:rPr>
            </w:pPr>
            <w:r w:rsidRPr="00607BDE">
              <w:rPr>
                <w:color w:val="000000"/>
                <w:sz w:val="16"/>
                <w:lang w:val="en-GB"/>
              </w:rPr>
              <w:t>16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80CF338" w14:textId="77777777" w:rsidR="00A77B3E" w:rsidRPr="00607BDE"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3DB5EAB" w14:textId="77777777" w:rsidR="00A77B3E" w:rsidRPr="00607BDE" w:rsidRDefault="00C401B9">
            <w:pPr>
              <w:spacing w:before="100"/>
              <w:rPr>
                <w:color w:val="000000"/>
                <w:sz w:val="16"/>
                <w:lang w:val="en-GB"/>
              </w:rPr>
            </w:pPr>
            <w:r w:rsidRPr="00607BDE">
              <w:rPr>
                <w:color w:val="000000"/>
                <w:sz w:val="16"/>
                <w:lang w:val="en-GB"/>
              </w:rPr>
              <w:t>Ares(2022)7919698</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1CBB038" w14:textId="77777777" w:rsidR="00A77B3E" w:rsidRPr="00607BDE" w:rsidRDefault="00C401B9">
            <w:pPr>
              <w:spacing w:before="100"/>
              <w:rPr>
                <w:color w:val="000000"/>
                <w:sz w:val="16"/>
                <w:lang w:val="en-GB"/>
              </w:rPr>
            </w:pPr>
            <w:r w:rsidRPr="00607BDE">
              <w:rPr>
                <w:color w:val="000000"/>
                <w:sz w:val="16"/>
                <w:lang w:val="en-GB"/>
              </w:rPr>
              <w:t>Programme_snapshot_2021PL65BVPR001_1.1_en.pdf</w:t>
            </w:r>
            <w:r w:rsidRPr="00607BDE">
              <w:rPr>
                <w:color w:val="000000"/>
                <w:sz w:val="16"/>
                <w:lang w:val="en-GB"/>
              </w:rPr>
              <w:br/>
              <w:t>Programme_snapshot_2021PL65BVPR001_1.1_pl.pdf</w:t>
            </w:r>
            <w:r w:rsidRPr="00607BDE">
              <w:rPr>
                <w:color w:val="000000"/>
                <w:sz w:val="16"/>
                <w:lang w:val="en-GB"/>
              </w:rPr>
              <w:br/>
              <w:t>Programme snapshot 2021PL65BVPR001 1.1 - Machine Translated</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E3435FA" w14:textId="77777777" w:rsidR="00A77B3E" w:rsidRPr="00607BDE" w:rsidRDefault="00C401B9">
            <w:pPr>
              <w:spacing w:before="100"/>
              <w:rPr>
                <w:color w:val="000000"/>
                <w:sz w:val="16"/>
                <w:lang w:val="en-GB"/>
              </w:rPr>
            </w:pPr>
            <w:r w:rsidRPr="00607BDE">
              <w:rPr>
                <w:color w:val="000000"/>
                <w:sz w:val="16"/>
                <w:lang w:val="en-GB"/>
              </w:rPr>
              <w:t>16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407854B" w14:textId="77777777" w:rsidR="00A77B3E" w:rsidRPr="00607BDE" w:rsidRDefault="00C401B9">
            <w:pPr>
              <w:spacing w:before="100"/>
              <w:rPr>
                <w:color w:val="000000"/>
                <w:sz w:val="16"/>
                <w:lang w:val="en-GB"/>
              </w:rPr>
            </w:pPr>
            <w:r w:rsidRPr="00607BDE">
              <w:rPr>
                <w:color w:val="000000"/>
                <w:sz w:val="16"/>
                <w:lang w:val="en-GB"/>
              </w:rPr>
              <w:t>Dargiel, Katarzyna</w:t>
            </w:r>
          </w:p>
        </w:tc>
      </w:tr>
    </w:tbl>
    <w:p w14:paraId="6D046FAE" w14:textId="77777777" w:rsidR="00A77B3E" w:rsidRPr="00607BDE" w:rsidRDefault="00A77B3E">
      <w:pPr>
        <w:spacing w:before="100"/>
        <w:jc w:val="center"/>
        <w:rPr>
          <w:color w:val="000000"/>
          <w:sz w:val="16"/>
          <w:lang w:val="en-GB"/>
        </w:rPr>
      </w:pPr>
    </w:p>
    <w:sectPr w:rsidR="00A77B3E" w:rsidRPr="00607BDE" w:rsidSect="00AC7127">
      <w:headerReference w:type="even" r:id="rId93"/>
      <w:headerReference w:type="default" r:id="rId94"/>
      <w:footerReference w:type="even" r:id="rId95"/>
      <w:footerReference w:type="default" r:id="rId96"/>
      <w:headerReference w:type="first" r:id="rId97"/>
      <w:footerReference w:type="first" r:id="rId98"/>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9F805" w14:textId="77777777" w:rsidR="008402E9" w:rsidRDefault="008402E9" w:rsidP="00AC7127">
      <w:r>
        <w:separator/>
      </w:r>
    </w:p>
  </w:endnote>
  <w:endnote w:type="continuationSeparator" w:id="0">
    <w:p w14:paraId="2874CA19" w14:textId="77777777" w:rsidR="008402E9" w:rsidRDefault="008402E9" w:rsidP="00AC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107"/>
      <w:gridCol w:w="2037"/>
      <w:gridCol w:w="4106"/>
    </w:tblGrid>
    <w:tr w:rsidR="00F06B4A" w14:paraId="16A5D5B8" w14:textId="77777777">
      <w:trPr>
        <w:trHeight w:val="240"/>
      </w:trPr>
      <w:tc>
        <w:tcPr>
          <w:tcW w:w="0" w:type="auto"/>
          <w:tcMar>
            <w:left w:w="100" w:type="dxa"/>
            <w:right w:w="100" w:type="dxa"/>
          </w:tcMar>
        </w:tcPr>
        <w:p w14:paraId="386F218E" w14:textId="77777777" w:rsidR="00F06B4A" w:rsidRDefault="00F06B4A">
          <w:pPr>
            <w:rPr>
              <w:b/>
              <w:color w:val="000000"/>
            </w:rPr>
          </w:pPr>
          <w:r>
            <w:rPr>
              <w:b/>
              <w:bCs/>
              <w:color w:val="000000"/>
              <w:sz w:val="32"/>
              <w:lang w:val="en-GB"/>
            </w:rPr>
            <w:t>EN</w:t>
          </w:r>
        </w:p>
      </w:tc>
      <w:tc>
        <w:tcPr>
          <w:tcW w:w="0" w:type="auto"/>
          <w:tcMar>
            <w:left w:w="100" w:type="dxa"/>
            <w:right w:w="100" w:type="dxa"/>
          </w:tcMar>
        </w:tcPr>
        <w:p w14:paraId="1A6711EA"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8C7C03">
            <w:rPr>
              <w:b/>
              <w:color w:val="000000"/>
            </w:rPr>
            <w:t>2</w:t>
          </w:r>
          <w:r>
            <w:rPr>
              <w:b/>
              <w:color w:val="000000"/>
            </w:rPr>
            <w:fldChar w:fldCharType="end"/>
          </w:r>
        </w:p>
      </w:tc>
      <w:tc>
        <w:tcPr>
          <w:tcW w:w="0" w:type="auto"/>
          <w:tcMar>
            <w:left w:w="100" w:type="dxa"/>
            <w:right w:w="100" w:type="dxa"/>
          </w:tcMar>
        </w:tcPr>
        <w:p w14:paraId="7F2702DD" w14:textId="77777777" w:rsidR="00F06B4A" w:rsidRDefault="00F06B4A">
          <w:pPr>
            <w:jc w:val="right"/>
            <w:rPr>
              <w:b/>
              <w:color w:val="000000"/>
              <w:sz w:val="32"/>
            </w:rPr>
          </w:pPr>
          <w:r>
            <w:rPr>
              <w:b/>
              <w:bCs/>
              <w:color w:val="000000"/>
              <w:sz w:val="32"/>
              <w:lang w:val="en-GB"/>
            </w:rPr>
            <w:t>EN</w:t>
          </w:r>
        </w:p>
      </w:tc>
    </w:tr>
  </w:tbl>
  <w:p w14:paraId="7304AA04" w14:textId="77777777" w:rsidR="00F06B4A" w:rsidRDefault="00F06B4A">
    <w:pPr>
      <w:rPr>
        <w:b/>
        <w:color w:val="00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90992" w14:textId="77777777" w:rsidR="00F06B4A" w:rsidRDefault="00F06B4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16B39" w14:textId="77777777" w:rsidR="00F06B4A" w:rsidRDefault="00F06B4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F06B4A" w14:paraId="7A3DD077" w14:textId="77777777">
      <w:tc>
        <w:tcPr>
          <w:tcW w:w="0" w:type="auto"/>
          <w:tcMar>
            <w:top w:w="0" w:type="dxa"/>
            <w:left w:w="60" w:type="dxa"/>
            <w:bottom w:w="80" w:type="dxa"/>
            <w:right w:w="60" w:type="dxa"/>
          </w:tcMar>
        </w:tcPr>
        <w:p w14:paraId="3AE81827"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74F3582C"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24</w:t>
          </w:r>
          <w:r>
            <w:rPr>
              <w:b/>
              <w:color w:val="000000"/>
            </w:rPr>
            <w:fldChar w:fldCharType="end"/>
          </w:r>
        </w:p>
      </w:tc>
      <w:tc>
        <w:tcPr>
          <w:tcW w:w="0" w:type="auto"/>
          <w:tcMar>
            <w:top w:w="0" w:type="dxa"/>
            <w:left w:w="60" w:type="dxa"/>
            <w:bottom w:w="80" w:type="dxa"/>
            <w:right w:w="60" w:type="dxa"/>
          </w:tcMar>
        </w:tcPr>
        <w:p w14:paraId="368A7F2E" w14:textId="77777777" w:rsidR="00F06B4A" w:rsidRDefault="00F06B4A">
          <w:pPr>
            <w:jc w:val="right"/>
            <w:rPr>
              <w:b/>
              <w:color w:val="000000"/>
              <w:sz w:val="32"/>
            </w:rPr>
          </w:pPr>
          <w:r>
            <w:rPr>
              <w:b/>
              <w:bCs/>
              <w:color w:val="000000"/>
              <w:sz w:val="32"/>
              <w:lang w:val="en-GB"/>
            </w:rPr>
            <w:t>EN</w:t>
          </w:r>
        </w:p>
      </w:tc>
    </w:tr>
  </w:tbl>
  <w:p w14:paraId="30734D62" w14:textId="77777777" w:rsidR="00F06B4A" w:rsidRDefault="00F06B4A">
    <w:pPr>
      <w:rPr>
        <w:b/>
        <w:color w:val="00000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45A47" w14:textId="77777777" w:rsidR="00F06B4A" w:rsidRDefault="00F06B4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4058" w14:textId="77777777" w:rsidR="00F06B4A" w:rsidRDefault="00F06B4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F06B4A" w14:paraId="5C0AA609" w14:textId="77777777">
      <w:tc>
        <w:tcPr>
          <w:tcW w:w="0" w:type="auto"/>
          <w:tcMar>
            <w:top w:w="0" w:type="dxa"/>
            <w:left w:w="60" w:type="dxa"/>
            <w:bottom w:w="80" w:type="dxa"/>
            <w:right w:w="60" w:type="dxa"/>
          </w:tcMar>
        </w:tcPr>
        <w:p w14:paraId="26379D39"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3E975B90"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31</w:t>
          </w:r>
          <w:r>
            <w:rPr>
              <w:b/>
              <w:color w:val="000000"/>
            </w:rPr>
            <w:fldChar w:fldCharType="end"/>
          </w:r>
        </w:p>
      </w:tc>
      <w:tc>
        <w:tcPr>
          <w:tcW w:w="0" w:type="auto"/>
          <w:tcMar>
            <w:top w:w="0" w:type="dxa"/>
            <w:left w:w="60" w:type="dxa"/>
            <w:bottom w:w="80" w:type="dxa"/>
            <w:right w:w="60" w:type="dxa"/>
          </w:tcMar>
        </w:tcPr>
        <w:p w14:paraId="4FA08492" w14:textId="77777777" w:rsidR="00F06B4A" w:rsidRDefault="00F06B4A">
          <w:pPr>
            <w:jc w:val="right"/>
            <w:rPr>
              <w:b/>
              <w:color w:val="000000"/>
              <w:sz w:val="32"/>
            </w:rPr>
          </w:pPr>
          <w:r>
            <w:rPr>
              <w:b/>
              <w:bCs/>
              <w:color w:val="000000"/>
              <w:sz w:val="32"/>
              <w:lang w:val="en-GB"/>
            </w:rPr>
            <w:t>EN</w:t>
          </w:r>
        </w:p>
      </w:tc>
    </w:tr>
  </w:tbl>
  <w:p w14:paraId="1F908EAC" w14:textId="77777777" w:rsidR="00F06B4A" w:rsidRDefault="00F06B4A">
    <w:pPr>
      <w:rPr>
        <w:b/>
        <w:color w:val="00000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4059" w14:textId="77777777" w:rsidR="00F06B4A" w:rsidRDefault="00F06B4A"/>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3C16E" w14:textId="77777777" w:rsidR="00F06B4A" w:rsidRDefault="00F06B4A"/>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F06B4A" w14:paraId="7CFD2710" w14:textId="77777777">
      <w:tc>
        <w:tcPr>
          <w:tcW w:w="0" w:type="auto"/>
          <w:tcMar>
            <w:top w:w="0" w:type="dxa"/>
            <w:left w:w="60" w:type="dxa"/>
            <w:bottom w:w="80" w:type="dxa"/>
            <w:right w:w="60" w:type="dxa"/>
          </w:tcMar>
        </w:tcPr>
        <w:p w14:paraId="4B7403C7"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3CC1BBF0"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33</w:t>
          </w:r>
          <w:r>
            <w:rPr>
              <w:b/>
              <w:color w:val="000000"/>
            </w:rPr>
            <w:fldChar w:fldCharType="end"/>
          </w:r>
        </w:p>
      </w:tc>
      <w:tc>
        <w:tcPr>
          <w:tcW w:w="0" w:type="auto"/>
          <w:tcMar>
            <w:top w:w="0" w:type="dxa"/>
            <w:left w:w="60" w:type="dxa"/>
            <w:bottom w:w="80" w:type="dxa"/>
            <w:right w:w="60" w:type="dxa"/>
          </w:tcMar>
        </w:tcPr>
        <w:p w14:paraId="6F53CD70" w14:textId="77777777" w:rsidR="00F06B4A" w:rsidRDefault="00F06B4A">
          <w:pPr>
            <w:jc w:val="right"/>
            <w:rPr>
              <w:b/>
              <w:color w:val="000000"/>
              <w:sz w:val="32"/>
            </w:rPr>
          </w:pPr>
          <w:r>
            <w:rPr>
              <w:b/>
              <w:bCs/>
              <w:color w:val="000000"/>
              <w:sz w:val="32"/>
              <w:lang w:val="en-GB"/>
            </w:rPr>
            <w:t>EN</w:t>
          </w:r>
        </w:p>
      </w:tc>
    </w:tr>
  </w:tbl>
  <w:p w14:paraId="16D087E0" w14:textId="77777777" w:rsidR="00F06B4A" w:rsidRDefault="00F06B4A">
    <w:pPr>
      <w:rPr>
        <w:b/>
        <w:color w:val="00000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8FC3A" w14:textId="77777777" w:rsidR="00F06B4A" w:rsidRDefault="00F06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3937F" w14:textId="77777777" w:rsidR="00F06B4A" w:rsidRDefault="00F06B4A"/>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0933B" w14:textId="77777777" w:rsidR="00F06B4A" w:rsidRDefault="00F06B4A"/>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F06B4A" w14:paraId="46E62438" w14:textId="77777777">
      <w:tc>
        <w:tcPr>
          <w:tcW w:w="0" w:type="auto"/>
          <w:tcMar>
            <w:top w:w="0" w:type="dxa"/>
            <w:left w:w="60" w:type="dxa"/>
            <w:bottom w:w="80" w:type="dxa"/>
            <w:right w:w="60" w:type="dxa"/>
          </w:tcMar>
        </w:tcPr>
        <w:p w14:paraId="1360EA06"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07FE9B5C"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37</w:t>
          </w:r>
          <w:r>
            <w:rPr>
              <w:b/>
              <w:color w:val="000000"/>
            </w:rPr>
            <w:fldChar w:fldCharType="end"/>
          </w:r>
        </w:p>
      </w:tc>
      <w:tc>
        <w:tcPr>
          <w:tcW w:w="0" w:type="auto"/>
          <w:tcMar>
            <w:top w:w="0" w:type="dxa"/>
            <w:left w:w="60" w:type="dxa"/>
            <w:bottom w:w="80" w:type="dxa"/>
            <w:right w:w="60" w:type="dxa"/>
          </w:tcMar>
        </w:tcPr>
        <w:p w14:paraId="4D9ACE38" w14:textId="77777777" w:rsidR="00F06B4A" w:rsidRDefault="00F06B4A">
          <w:pPr>
            <w:jc w:val="right"/>
            <w:rPr>
              <w:b/>
              <w:color w:val="000000"/>
              <w:sz w:val="32"/>
            </w:rPr>
          </w:pPr>
          <w:r>
            <w:rPr>
              <w:b/>
              <w:bCs/>
              <w:color w:val="000000"/>
              <w:sz w:val="32"/>
              <w:lang w:val="en-GB"/>
            </w:rPr>
            <w:t>EN</w:t>
          </w:r>
        </w:p>
      </w:tc>
    </w:tr>
  </w:tbl>
  <w:p w14:paraId="06084513" w14:textId="77777777" w:rsidR="00F06B4A" w:rsidRDefault="00F06B4A">
    <w:pPr>
      <w:rPr>
        <w:b/>
        <w:color w:val="00000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D167F" w14:textId="77777777" w:rsidR="00F06B4A" w:rsidRDefault="00F06B4A"/>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DC50A" w14:textId="77777777" w:rsidR="00F06B4A" w:rsidRDefault="00F06B4A"/>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F06B4A" w14:paraId="21E8195F" w14:textId="77777777">
      <w:tc>
        <w:tcPr>
          <w:tcW w:w="0" w:type="auto"/>
          <w:tcMar>
            <w:top w:w="0" w:type="dxa"/>
            <w:left w:w="60" w:type="dxa"/>
            <w:bottom w:w="80" w:type="dxa"/>
            <w:right w:w="60" w:type="dxa"/>
          </w:tcMar>
          <w:vAlign w:val="center"/>
        </w:tcPr>
        <w:p w14:paraId="6821B55E"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vAlign w:val="center"/>
        </w:tcPr>
        <w:p w14:paraId="7037CEA8"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45</w:t>
          </w:r>
          <w:r>
            <w:rPr>
              <w:b/>
              <w:color w:val="000000"/>
            </w:rPr>
            <w:fldChar w:fldCharType="end"/>
          </w:r>
        </w:p>
      </w:tc>
      <w:tc>
        <w:tcPr>
          <w:tcW w:w="0" w:type="auto"/>
          <w:tcMar>
            <w:top w:w="0" w:type="dxa"/>
            <w:left w:w="60" w:type="dxa"/>
            <w:bottom w:w="80" w:type="dxa"/>
            <w:right w:w="60" w:type="dxa"/>
          </w:tcMar>
          <w:vAlign w:val="center"/>
        </w:tcPr>
        <w:p w14:paraId="27FFF85F" w14:textId="77777777" w:rsidR="00F06B4A" w:rsidRDefault="00F06B4A">
          <w:pPr>
            <w:jc w:val="right"/>
            <w:rPr>
              <w:b/>
              <w:color w:val="000000"/>
              <w:sz w:val="32"/>
            </w:rPr>
          </w:pPr>
          <w:r>
            <w:rPr>
              <w:b/>
              <w:bCs/>
              <w:color w:val="000000"/>
              <w:sz w:val="32"/>
              <w:lang w:val="en-GB"/>
            </w:rPr>
            <w:t>EN</w:t>
          </w:r>
        </w:p>
      </w:tc>
    </w:tr>
  </w:tbl>
  <w:p w14:paraId="60222894" w14:textId="77777777" w:rsidR="00F06B4A" w:rsidRDefault="00F06B4A">
    <w:pPr>
      <w:rPr>
        <w:b/>
        <w:color w:val="00000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BC885" w14:textId="77777777" w:rsidR="00F06B4A" w:rsidRDefault="00F06B4A"/>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27AE5" w14:textId="77777777" w:rsidR="00F06B4A" w:rsidRDefault="00F06B4A"/>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F06B4A" w14:paraId="5F682767" w14:textId="77777777">
      <w:tc>
        <w:tcPr>
          <w:tcW w:w="0" w:type="auto"/>
          <w:tcMar>
            <w:top w:w="0" w:type="dxa"/>
            <w:left w:w="60" w:type="dxa"/>
            <w:bottom w:w="80" w:type="dxa"/>
            <w:right w:w="60" w:type="dxa"/>
          </w:tcMar>
        </w:tcPr>
        <w:p w14:paraId="0D4D72B3"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6F35E988"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51</w:t>
          </w:r>
          <w:r>
            <w:rPr>
              <w:b/>
              <w:color w:val="000000"/>
            </w:rPr>
            <w:fldChar w:fldCharType="end"/>
          </w:r>
        </w:p>
      </w:tc>
      <w:tc>
        <w:tcPr>
          <w:tcW w:w="0" w:type="auto"/>
          <w:tcMar>
            <w:top w:w="0" w:type="dxa"/>
            <w:left w:w="60" w:type="dxa"/>
            <w:bottom w:w="80" w:type="dxa"/>
            <w:right w:w="60" w:type="dxa"/>
          </w:tcMar>
        </w:tcPr>
        <w:p w14:paraId="024D0291" w14:textId="77777777" w:rsidR="00F06B4A" w:rsidRDefault="00F06B4A">
          <w:pPr>
            <w:jc w:val="right"/>
            <w:rPr>
              <w:b/>
              <w:color w:val="000000"/>
              <w:sz w:val="32"/>
            </w:rPr>
          </w:pPr>
          <w:r>
            <w:rPr>
              <w:b/>
              <w:bCs/>
              <w:color w:val="000000"/>
              <w:sz w:val="32"/>
              <w:lang w:val="en-GB"/>
            </w:rPr>
            <w:t>EN</w:t>
          </w:r>
        </w:p>
      </w:tc>
    </w:tr>
  </w:tbl>
  <w:p w14:paraId="39BC7323" w14:textId="77777777" w:rsidR="00F06B4A" w:rsidRDefault="00F06B4A">
    <w:pPr>
      <w:rPr>
        <w:b/>
        <w:color w:val="00000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D564D" w14:textId="77777777" w:rsidR="00F06B4A" w:rsidRDefault="00F06B4A"/>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C5B2" w14:textId="77777777" w:rsidR="00F06B4A" w:rsidRDefault="00F06B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107"/>
      <w:gridCol w:w="2037"/>
      <w:gridCol w:w="4106"/>
    </w:tblGrid>
    <w:tr w:rsidR="00F06B4A" w14:paraId="4A7C03A3" w14:textId="77777777">
      <w:trPr>
        <w:trHeight w:val="240"/>
      </w:trPr>
      <w:tc>
        <w:tcPr>
          <w:tcW w:w="0" w:type="auto"/>
          <w:tcMar>
            <w:left w:w="100" w:type="dxa"/>
            <w:right w:w="100" w:type="dxa"/>
          </w:tcMar>
        </w:tcPr>
        <w:p w14:paraId="1F73BA1F" w14:textId="77777777" w:rsidR="00F06B4A" w:rsidRDefault="00F06B4A">
          <w:pPr>
            <w:rPr>
              <w:b/>
              <w:color w:val="000000"/>
            </w:rPr>
          </w:pPr>
          <w:r>
            <w:rPr>
              <w:b/>
              <w:bCs/>
              <w:color w:val="000000"/>
              <w:sz w:val="32"/>
              <w:lang w:val="en-GB"/>
            </w:rPr>
            <w:t>EN</w:t>
          </w:r>
        </w:p>
      </w:tc>
      <w:tc>
        <w:tcPr>
          <w:tcW w:w="0" w:type="auto"/>
          <w:tcMar>
            <w:left w:w="100" w:type="dxa"/>
            <w:right w:w="100" w:type="dxa"/>
          </w:tcMar>
        </w:tcPr>
        <w:p w14:paraId="35B7FA40"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8C7C03">
            <w:rPr>
              <w:b/>
              <w:color w:val="000000"/>
            </w:rPr>
            <w:t>9</w:t>
          </w:r>
          <w:r>
            <w:rPr>
              <w:b/>
              <w:color w:val="000000"/>
            </w:rPr>
            <w:fldChar w:fldCharType="end"/>
          </w:r>
        </w:p>
      </w:tc>
      <w:tc>
        <w:tcPr>
          <w:tcW w:w="0" w:type="auto"/>
          <w:tcMar>
            <w:left w:w="100" w:type="dxa"/>
            <w:right w:w="100" w:type="dxa"/>
          </w:tcMar>
        </w:tcPr>
        <w:p w14:paraId="6E082B8F" w14:textId="77777777" w:rsidR="00F06B4A" w:rsidRDefault="00F06B4A">
          <w:pPr>
            <w:jc w:val="right"/>
            <w:rPr>
              <w:b/>
              <w:color w:val="000000"/>
              <w:sz w:val="32"/>
            </w:rPr>
          </w:pPr>
          <w:r>
            <w:rPr>
              <w:b/>
              <w:bCs/>
              <w:color w:val="000000"/>
              <w:sz w:val="32"/>
              <w:lang w:val="en-GB"/>
            </w:rPr>
            <w:t>EN</w:t>
          </w:r>
        </w:p>
      </w:tc>
    </w:tr>
  </w:tbl>
  <w:p w14:paraId="12A45344" w14:textId="77777777" w:rsidR="00F06B4A" w:rsidRDefault="00F06B4A">
    <w:pPr>
      <w:rPr>
        <w:b/>
        <w:color w:val="000000"/>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F06B4A" w14:paraId="17BBB408" w14:textId="77777777">
      <w:tc>
        <w:tcPr>
          <w:tcW w:w="0" w:type="auto"/>
          <w:tcMar>
            <w:top w:w="0" w:type="dxa"/>
            <w:left w:w="60" w:type="dxa"/>
            <w:bottom w:w="80" w:type="dxa"/>
            <w:right w:w="60" w:type="dxa"/>
          </w:tcMar>
        </w:tcPr>
        <w:p w14:paraId="540CA6E5"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046B73A4"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53</w:t>
          </w:r>
          <w:r>
            <w:rPr>
              <w:b/>
              <w:color w:val="000000"/>
            </w:rPr>
            <w:fldChar w:fldCharType="end"/>
          </w:r>
        </w:p>
      </w:tc>
      <w:tc>
        <w:tcPr>
          <w:tcW w:w="0" w:type="auto"/>
          <w:tcMar>
            <w:top w:w="0" w:type="dxa"/>
            <w:left w:w="60" w:type="dxa"/>
            <w:bottom w:w="80" w:type="dxa"/>
            <w:right w:w="60" w:type="dxa"/>
          </w:tcMar>
        </w:tcPr>
        <w:p w14:paraId="294002E4" w14:textId="77777777" w:rsidR="00F06B4A" w:rsidRDefault="00F06B4A">
          <w:pPr>
            <w:jc w:val="right"/>
            <w:rPr>
              <w:b/>
              <w:color w:val="000000"/>
              <w:sz w:val="32"/>
            </w:rPr>
          </w:pPr>
          <w:r>
            <w:rPr>
              <w:b/>
              <w:bCs/>
              <w:color w:val="000000"/>
              <w:sz w:val="32"/>
              <w:lang w:val="en-GB"/>
            </w:rPr>
            <w:t>EN</w:t>
          </w:r>
        </w:p>
      </w:tc>
    </w:tr>
  </w:tbl>
  <w:p w14:paraId="16F64A29" w14:textId="77777777" w:rsidR="00F06B4A" w:rsidRDefault="00F06B4A">
    <w:pPr>
      <w:rPr>
        <w:b/>
        <w:color w:val="000000"/>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FC11" w14:textId="77777777" w:rsidR="00F06B4A" w:rsidRDefault="00F06B4A"/>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F9FA5" w14:textId="77777777" w:rsidR="00F06B4A" w:rsidRDefault="00F06B4A"/>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F06B4A" w14:paraId="0A5BA477" w14:textId="77777777">
      <w:tc>
        <w:tcPr>
          <w:tcW w:w="0" w:type="auto"/>
          <w:tcMar>
            <w:top w:w="0" w:type="dxa"/>
            <w:left w:w="60" w:type="dxa"/>
            <w:bottom w:w="80" w:type="dxa"/>
            <w:right w:w="60" w:type="dxa"/>
          </w:tcMar>
          <w:vAlign w:val="center"/>
        </w:tcPr>
        <w:p w14:paraId="4A2D9A7D"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vAlign w:val="center"/>
        </w:tcPr>
        <w:p w14:paraId="528C9A35"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58</w:t>
          </w:r>
          <w:r>
            <w:rPr>
              <w:b/>
              <w:color w:val="000000"/>
            </w:rPr>
            <w:fldChar w:fldCharType="end"/>
          </w:r>
        </w:p>
      </w:tc>
      <w:tc>
        <w:tcPr>
          <w:tcW w:w="0" w:type="auto"/>
          <w:tcMar>
            <w:top w:w="0" w:type="dxa"/>
            <w:left w:w="60" w:type="dxa"/>
            <w:bottom w:w="80" w:type="dxa"/>
            <w:right w:w="60" w:type="dxa"/>
          </w:tcMar>
          <w:vAlign w:val="center"/>
        </w:tcPr>
        <w:p w14:paraId="7704B333" w14:textId="77777777" w:rsidR="00F06B4A" w:rsidRDefault="00F06B4A">
          <w:pPr>
            <w:jc w:val="right"/>
            <w:rPr>
              <w:b/>
              <w:color w:val="000000"/>
              <w:sz w:val="32"/>
            </w:rPr>
          </w:pPr>
          <w:r>
            <w:rPr>
              <w:b/>
              <w:bCs/>
              <w:color w:val="000000"/>
              <w:sz w:val="32"/>
              <w:lang w:val="en-GB"/>
            </w:rPr>
            <w:t>EN</w:t>
          </w:r>
        </w:p>
      </w:tc>
    </w:tr>
  </w:tbl>
  <w:p w14:paraId="78C1234C" w14:textId="77777777" w:rsidR="00F06B4A" w:rsidRDefault="00F06B4A">
    <w:pPr>
      <w:rPr>
        <w:b/>
        <w:color w:val="000000"/>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6DB8" w14:textId="77777777" w:rsidR="00F06B4A" w:rsidRDefault="00F06B4A"/>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04436" w14:textId="77777777" w:rsidR="00F06B4A" w:rsidRDefault="00F06B4A"/>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622"/>
      <w:gridCol w:w="3939"/>
      <w:gridCol w:w="5621"/>
    </w:tblGrid>
    <w:tr w:rsidR="00F06B4A" w14:paraId="7CB81FBD" w14:textId="77777777">
      <w:tc>
        <w:tcPr>
          <w:tcW w:w="0" w:type="auto"/>
          <w:tcMar>
            <w:top w:w="20" w:type="dxa"/>
            <w:left w:w="120" w:type="dxa"/>
            <w:bottom w:w="120" w:type="dxa"/>
            <w:right w:w="120" w:type="dxa"/>
          </w:tcMar>
          <w:vAlign w:val="bottom"/>
        </w:tcPr>
        <w:p w14:paraId="02566B4F" w14:textId="77777777" w:rsidR="00F06B4A" w:rsidRDefault="00F06B4A">
          <w:pPr>
            <w:rPr>
              <w:b/>
              <w:color w:val="000000"/>
            </w:rPr>
          </w:pPr>
          <w:r>
            <w:rPr>
              <w:b/>
              <w:bCs/>
              <w:color w:val="000000"/>
              <w:sz w:val="32"/>
              <w:lang w:val="en-GB"/>
            </w:rPr>
            <w:t>EN</w:t>
          </w:r>
        </w:p>
      </w:tc>
      <w:tc>
        <w:tcPr>
          <w:tcW w:w="0" w:type="auto"/>
          <w:tcMar>
            <w:top w:w="20" w:type="dxa"/>
            <w:left w:w="120" w:type="dxa"/>
            <w:bottom w:w="120" w:type="dxa"/>
            <w:right w:w="120" w:type="dxa"/>
          </w:tcMar>
          <w:vAlign w:val="bottom"/>
        </w:tcPr>
        <w:p w14:paraId="485F6CEC"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59</w:t>
          </w:r>
          <w:r>
            <w:rPr>
              <w:b/>
              <w:color w:val="000000"/>
            </w:rPr>
            <w:fldChar w:fldCharType="end"/>
          </w:r>
        </w:p>
      </w:tc>
      <w:tc>
        <w:tcPr>
          <w:tcW w:w="0" w:type="auto"/>
          <w:tcMar>
            <w:top w:w="20" w:type="dxa"/>
            <w:left w:w="120" w:type="dxa"/>
            <w:bottom w:w="120" w:type="dxa"/>
            <w:right w:w="120" w:type="dxa"/>
          </w:tcMar>
          <w:vAlign w:val="bottom"/>
        </w:tcPr>
        <w:p w14:paraId="0FE26E8F" w14:textId="77777777" w:rsidR="00F06B4A" w:rsidRDefault="00F06B4A">
          <w:pPr>
            <w:jc w:val="right"/>
            <w:rPr>
              <w:b/>
              <w:color w:val="000000"/>
              <w:sz w:val="32"/>
            </w:rPr>
          </w:pPr>
          <w:r>
            <w:rPr>
              <w:b/>
              <w:bCs/>
              <w:color w:val="000000"/>
              <w:sz w:val="32"/>
              <w:lang w:val="en-GB"/>
            </w:rPr>
            <w:t>EN</w:t>
          </w:r>
        </w:p>
      </w:tc>
    </w:tr>
  </w:tbl>
  <w:p w14:paraId="3EA693EA" w14:textId="77777777" w:rsidR="00F06B4A" w:rsidRDefault="00F06B4A">
    <w:pPr>
      <w:rPr>
        <w:b/>
        <w:color w:val="00000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703D0" w14:textId="77777777" w:rsidR="00F06B4A" w:rsidRDefault="00F06B4A"/>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90BF3" w14:textId="77777777" w:rsidR="00F06B4A" w:rsidRDefault="00F06B4A"/>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F06B4A" w14:paraId="44E7F458" w14:textId="77777777">
      <w:tc>
        <w:tcPr>
          <w:tcW w:w="0" w:type="auto"/>
          <w:tcMar>
            <w:top w:w="0" w:type="dxa"/>
            <w:left w:w="60" w:type="dxa"/>
            <w:bottom w:w="80" w:type="dxa"/>
            <w:right w:w="60" w:type="dxa"/>
          </w:tcMar>
          <w:vAlign w:val="center"/>
        </w:tcPr>
        <w:p w14:paraId="4264452B"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vAlign w:val="center"/>
        </w:tcPr>
        <w:p w14:paraId="1BBE6C59"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60</w:t>
          </w:r>
          <w:r>
            <w:rPr>
              <w:b/>
              <w:color w:val="000000"/>
            </w:rPr>
            <w:fldChar w:fldCharType="end"/>
          </w:r>
        </w:p>
      </w:tc>
      <w:tc>
        <w:tcPr>
          <w:tcW w:w="0" w:type="auto"/>
          <w:tcMar>
            <w:top w:w="0" w:type="dxa"/>
            <w:left w:w="60" w:type="dxa"/>
            <w:bottom w:w="80" w:type="dxa"/>
            <w:right w:w="60" w:type="dxa"/>
          </w:tcMar>
          <w:vAlign w:val="center"/>
        </w:tcPr>
        <w:p w14:paraId="734F511E" w14:textId="77777777" w:rsidR="00F06B4A" w:rsidRDefault="00F06B4A">
          <w:pPr>
            <w:jc w:val="right"/>
            <w:rPr>
              <w:b/>
              <w:color w:val="000000"/>
              <w:sz w:val="32"/>
            </w:rPr>
          </w:pPr>
          <w:r>
            <w:rPr>
              <w:b/>
              <w:bCs/>
              <w:color w:val="000000"/>
              <w:sz w:val="32"/>
              <w:lang w:val="en-GB"/>
            </w:rPr>
            <w:t>EN</w:t>
          </w:r>
        </w:p>
      </w:tc>
    </w:tr>
  </w:tbl>
  <w:p w14:paraId="1195A4F8" w14:textId="77777777" w:rsidR="00F06B4A" w:rsidRDefault="00F06B4A">
    <w:pPr>
      <w:rPr>
        <w:b/>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394FE" w14:textId="77777777" w:rsidR="00F06B4A" w:rsidRDefault="00F06B4A"/>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3827" w14:textId="77777777" w:rsidR="00F06B4A" w:rsidRDefault="00F06B4A"/>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2EAE3" w14:textId="77777777" w:rsidR="00F06B4A" w:rsidRDefault="00F06B4A"/>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F06B4A" w14:paraId="1CC32CDE" w14:textId="77777777">
      <w:tc>
        <w:tcPr>
          <w:tcW w:w="0" w:type="auto"/>
          <w:tcMar>
            <w:top w:w="0" w:type="dxa"/>
            <w:left w:w="60" w:type="dxa"/>
            <w:bottom w:w="80" w:type="dxa"/>
            <w:right w:w="60" w:type="dxa"/>
          </w:tcMar>
          <w:vAlign w:val="center"/>
        </w:tcPr>
        <w:p w14:paraId="27960215"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vAlign w:val="center"/>
        </w:tcPr>
        <w:p w14:paraId="40DAAB3B"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61</w:t>
          </w:r>
          <w:r>
            <w:rPr>
              <w:b/>
              <w:color w:val="000000"/>
            </w:rPr>
            <w:fldChar w:fldCharType="end"/>
          </w:r>
        </w:p>
      </w:tc>
      <w:tc>
        <w:tcPr>
          <w:tcW w:w="0" w:type="auto"/>
          <w:tcMar>
            <w:top w:w="0" w:type="dxa"/>
            <w:left w:w="60" w:type="dxa"/>
            <w:bottom w:w="80" w:type="dxa"/>
            <w:right w:w="60" w:type="dxa"/>
          </w:tcMar>
          <w:vAlign w:val="center"/>
        </w:tcPr>
        <w:p w14:paraId="1FE7DAD7" w14:textId="77777777" w:rsidR="00F06B4A" w:rsidRDefault="00F06B4A">
          <w:pPr>
            <w:jc w:val="right"/>
            <w:rPr>
              <w:b/>
              <w:color w:val="000000"/>
              <w:sz w:val="32"/>
            </w:rPr>
          </w:pPr>
          <w:r>
            <w:rPr>
              <w:b/>
              <w:bCs/>
              <w:color w:val="000000"/>
              <w:sz w:val="32"/>
              <w:lang w:val="en-GB"/>
            </w:rPr>
            <w:t>EN</w:t>
          </w:r>
        </w:p>
      </w:tc>
    </w:tr>
  </w:tbl>
  <w:p w14:paraId="069D146C" w14:textId="77777777" w:rsidR="00F06B4A" w:rsidRDefault="00F06B4A">
    <w:pPr>
      <w:rPr>
        <w:b/>
        <w:color w:val="000000"/>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B14DC" w14:textId="77777777" w:rsidR="00F06B4A" w:rsidRDefault="00F06B4A"/>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0A59B" w14:textId="77777777" w:rsidR="00F06B4A" w:rsidRDefault="00F06B4A"/>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F06B4A" w14:paraId="5E300B45" w14:textId="77777777">
      <w:tc>
        <w:tcPr>
          <w:tcW w:w="0" w:type="auto"/>
          <w:tcMar>
            <w:top w:w="0" w:type="dxa"/>
            <w:left w:w="60" w:type="dxa"/>
            <w:bottom w:w="80" w:type="dxa"/>
            <w:right w:w="60" w:type="dxa"/>
          </w:tcMar>
        </w:tcPr>
        <w:p w14:paraId="2ABD1FB7"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3476691A"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1A1D29">
            <w:rPr>
              <w:b/>
              <w:color w:val="000000"/>
            </w:rPr>
            <w:t>62</w:t>
          </w:r>
          <w:r>
            <w:rPr>
              <w:b/>
              <w:color w:val="000000"/>
            </w:rPr>
            <w:fldChar w:fldCharType="end"/>
          </w:r>
        </w:p>
      </w:tc>
      <w:tc>
        <w:tcPr>
          <w:tcW w:w="0" w:type="auto"/>
          <w:tcMar>
            <w:top w:w="0" w:type="dxa"/>
            <w:left w:w="60" w:type="dxa"/>
            <w:bottom w:w="80" w:type="dxa"/>
            <w:right w:w="60" w:type="dxa"/>
          </w:tcMar>
        </w:tcPr>
        <w:p w14:paraId="3DAAD812" w14:textId="77777777" w:rsidR="00F06B4A" w:rsidRDefault="00F06B4A">
          <w:pPr>
            <w:jc w:val="right"/>
            <w:rPr>
              <w:b/>
              <w:color w:val="000000"/>
              <w:sz w:val="32"/>
            </w:rPr>
          </w:pPr>
          <w:r>
            <w:rPr>
              <w:b/>
              <w:bCs/>
              <w:color w:val="000000"/>
              <w:sz w:val="32"/>
              <w:lang w:val="en-GB"/>
            </w:rPr>
            <w:t>EN</w:t>
          </w:r>
        </w:p>
      </w:tc>
    </w:tr>
  </w:tbl>
  <w:p w14:paraId="742D4302" w14:textId="77777777" w:rsidR="00F06B4A" w:rsidRDefault="00F06B4A">
    <w:pPr>
      <w:rPr>
        <w:b/>
        <w:color w:val="000000"/>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BB416" w14:textId="77777777" w:rsidR="00F06B4A" w:rsidRDefault="00F06B4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5A9A" w14:textId="77777777" w:rsidR="00F06B4A" w:rsidRDefault="00F06B4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F06B4A" w14:paraId="0AFE226C" w14:textId="77777777">
      <w:trPr>
        <w:trHeight w:val="160"/>
      </w:trPr>
      <w:tc>
        <w:tcPr>
          <w:tcW w:w="0" w:type="auto"/>
          <w:tcMar>
            <w:top w:w="0" w:type="dxa"/>
            <w:left w:w="60" w:type="dxa"/>
            <w:bottom w:w="80" w:type="dxa"/>
            <w:right w:w="60" w:type="dxa"/>
          </w:tcMar>
        </w:tcPr>
        <w:p w14:paraId="5E24C124"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43126210"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8C7C03">
            <w:rPr>
              <w:b/>
              <w:color w:val="000000"/>
            </w:rPr>
            <w:t>16</w:t>
          </w:r>
          <w:r>
            <w:rPr>
              <w:b/>
              <w:color w:val="000000"/>
            </w:rPr>
            <w:fldChar w:fldCharType="end"/>
          </w:r>
        </w:p>
      </w:tc>
      <w:tc>
        <w:tcPr>
          <w:tcW w:w="0" w:type="auto"/>
          <w:tcMar>
            <w:top w:w="0" w:type="dxa"/>
            <w:left w:w="60" w:type="dxa"/>
            <w:bottom w:w="80" w:type="dxa"/>
            <w:right w:w="60" w:type="dxa"/>
          </w:tcMar>
        </w:tcPr>
        <w:p w14:paraId="3348CD70" w14:textId="77777777" w:rsidR="00F06B4A" w:rsidRDefault="00F06B4A">
          <w:pPr>
            <w:jc w:val="right"/>
            <w:rPr>
              <w:b/>
              <w:color w:val="000000"/>
              <w:sz w:val="32"/>
            </w:rPr>
          </w:pPr>
          <w:r>
            <w:rPr>
              <w:b/>
              <w:bCs/>
              <w:color w:val="000000"/>
              <w:sz w:val="32"/>
              <w:lang w:val="en-GB"/>
            </w:rPr>
            <w:t>EN</w:t>
          </w:r>
        </w:p>
      </w:tc>
    </w:tr>
  </w:tbl>
  <w:p w14:paraId="527B4FD1" w14:textId="77777777" w:rsidR="00F06B4A" w:rsidRDefault="00F06B4A">
    <w:pPr>
      <w:rPr>
        <w:b/>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4A061" w14:textId="77777777" w:rsidR="00F06B4A" w:rsidRDefault="00F06B4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5BCA" w14:textId="77777777" w:rsidR="00F06B4A" w:rsidRDefault="00F06B4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F06B4A" w14:paraId="198E6B79" w14:textId="77777777">
      <w:trPr>
        <w:trHeight w:val="160"/>
      </w:trPr>
      <w:tc>
        <w:tcPr>
          <w:tcW w:w="0" w:type="auto"/>
          <w:tcMar>
            <w:top w:w="0" w:type="dxa"/>
            <w:left w:w="60" w:type="dxa"/>
            <w:bottom w:w="80" w:type="dxa"/>
            <w:right w:w="60" w:type="dxa"/>
          </w:tcMar>
        </w:tcPr>
        <w:p w14:paraId="0369B039" w14:textId="77777777" w:rsidR="00F06B4A" w:rsidRDefault="00F06B4A">
          <w:pPr>
            <w:rPr>
              <w:b/>
              <w:color w:val="000000"/>
            </w:rPr>
          </w:pPr>
          <w:r>
            <w:rPr>
              <w:b/>
              <w:bCs/>
              <w:color w:val="000000"/>
              <w:sz w:val="32"/>
              <w:lang w:val="en-GB"/>
            </w:rPr>
            <w:t>EN</w:t>
          </w:r>
        </w:p>
      </w:tc>
      <w:tc>
        <w:tcPr>
          <w:tcW w:w="0" w:type="auto"/>
          <w:tcMar>
            <w:top w:w="0" w:type="dxa"/>
            <w:left w:w="60" w:type="dxa"/>
            <w:bottom w:w="80" w:type="dxa"/>
            <w:right w:w="60" w:type="dxa"/>
          </w:tcMar>
        </w:tcPr>
        <w:p w14:paraId="089A38AD" w14:textId="77777777" w:rsidR="00F06B4A" w:rsidRDefault="00D87FDC">
          <w:pPr>
            <w:jc w:val="center"/>
            <w:rPr>
              <w:b/>
              <w:color w:val="000000"/>
              <w:sz w:val="32"/>
            </w:rPr>
          </w:pPr>
          <w:r>
            <w:rPr>
              <w:b/>
              <w:color w:val="000000"/>
            </w:rPr>
            <w:fldChar w:fldCharType="begin"/>
          </w:r>
          <w:r w:rsidR="00F06B4A">
            <w:rPr>
              <w:b/>
              <w:color w:val="000000"/>
            </w:rPr>
            <w:instrText>PAGE</w:instrText>
          </w:r>
          <w:r>
            <w:rPr>
              <w:b/>
              <w:color w:val="000000"/>
            </w:rPr>
            <w:fldChar w:fldCharType="separate"/>
          </w:r>
          <w:r w:rsidR="008C7C03">
            <w:rPr>
              <w:b/>
              <w:color w:val="000000"/>
            </w:rPr>
            <w:t>20</w:t>
          </w:r>
          <w:r>
            <w:rPr>
              <w:b/>
              <w:color w:val="000000"/>
            </w:rPr>
            <w:fldChar w:fldCharType="end"/>
          </w:r>
        </w:p>
      </w:tc>
      <w:tc>
        <w:tcPr>
          <w:tcW w:w="0" w:type="auto"/>
          <w:tcMar>
            <w:top w:w="0" w:type="dxa"/>
            <w:left w:w="60" w:type="dxa"/>
            <w:bottom w:w="80" w:type="dxa"/>
            <w:right w:w="60" w:type="dxa"/>
          </w:tcMar>
        </w:tcPr>
        <w:p w14:paraId="1F7D00A5" w14:textId="77777777" w:rsidR="00F06B4A" w:rsidRDefault="00F06B4A">
          <w:pPr>
            <w:jc w:val="right"/>
            <w:rPr>
              <w:b/>
              <w:color w:val="000000"/>
              <w:sz w:val="32"/>
            </w:rPr>
          </w:pPr>
          <w:r>
            <w:rPr>
              <w:b/>
              <w:bCs/>
              <w:color w:val="000000"/>
              <w:sz w:val="32"/>
              <w:lang w:val="en-GB"/>
            </w:rPr>
            <w:t>EN</w:t>
          </w:r>
        </w:p>
      </w:tc>
    </w:tr>
  </w:tbl>
  <w:p w14:paraId="07BDB6E9" w14:textId="77777777" w:rsidR="00F06B4A" w:rsidRDefault="00F06B4A">
    <w:pPr>
      <w:rPr>
        <w:b/>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9192D" w14:textId="77777777" w:rsidR="008402E9" w:rsidRDefault="008402E9" w:rsidP="00AC7127">
      <w:r>
        <w:separator/>
      </w:r>
    </w:p>
  </w:footnote>
  <w:footnote w:type="continuationSeparator" w:id="0">
    <w:p w14:paraId="050B8B8B" w14:textId="77777777" w:rsidR="008402E9" w:rsidRDefault="008402E9" w:rsidP="00AC7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5A79" w14:textId="77777777" w:rsidR="00F06B4A" w:rsidRDefault="00F06B4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20614" w14:textId="77777777" w:rsidR="00F06B4A" w:rsidRDefault="00F06B4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86B4D" w14:textId="77777777" w:rsidR="00F06B4A" w:rsidRDefault="00F06B4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1CDE" w14:textId="77777777" w:rsidR="00F06B4A" w:rsidRDefault="00F06B4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4B452" w14:textId="77777777" w:rsidR="00F06B4A" w:rsidRDefault="00F06B4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6BFB" w14:textId="77777777" w:rsidR="00F06B4A" w:rsidRDefault="00F06B4A"/>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87612" w14:textId="77777777" w:rsidR="00F06B4A" w:rsidRDefault="00F06B4A"/>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E3FF1" w14:textId="77777777" w:rsidR="00F06B4A" w:rsidRDefault="00F06B4A"/>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61071" w14:textId="77777777" w:rsidR="00F06B4A" w:rsidRDefault="00F06B4A"/>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6C639" w14:textId="77777777" w:rsidR="00F06B4A" w:rsidRDefault="00F06B4A"/>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18B96" w14:textId="77777777" w:rsidR="00F06B4A" w:rsidRDefault="00F06B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E03B5" w14:textId="77777777" w:rsidR="00F06B4A" w:rsidRDefault="00F06B4A"/>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058E5" w14:textId="77777777" w:rsidR="00F06B4A" w:rsidRDefault="00F06B4A"/>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63EA" w14:textId="77777777" w:rsidR="00F06B4A" w:rsidRDefault="00F06B4A"/>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E3CF" w14:textId="77777777" w:rsidR="00F06B4A" w:rsidRDefault="00F06B4A"/>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4055D" w14:textId="77777777" w:rsidR="00F06B4A" w:rsidRDefault="00F06B4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2BA96" w14:textId="77777777" w:rsidR="00F06B4A" w:rsidRDefault="00F06B4A"/>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49E65" w14:textId="77777777" w:rsidR="00F06B4A" w:rsidRDefault="00F06B4A"/>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F2B66" w14:textId="77777777" w:rsidR="00F06B4A" w:rsidRDefault="00F06B4A"/>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0D2A1" w14:textId="77777777" w:rsidR="00F06B4A" w:rsidRDefault="00F06B4A"/>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FCA8" w14:textId="77777777" w:rsidR="00F06B4A" w:rsidRDefault="00F06B4A"/>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C6187" w14:textId="77777777" w:rsidR="00F06B4A" w:rsidRDefault="00F06B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92B9C" w14:textId="77777777" w:rsidR="00F06B4A" w:rsidRDefault="00F06B4A"/>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A1025" w14:textId="77777777" w:rsidR="00F06B4A" w:rsidRDefault="00F06B4A"/>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F4A0" w14:textId="77777777" w:rsidR="00F06B4A" w:rsidRDefault="00F06B4A"/>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E421F" w14:textId="77777777" w:rsidR="00F06B4A" w:rsidRDefault="00F06B4A"/>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1E85" w14:textId="77777777" w:rsidR="00F06B4A" w:rsidRDefault="00F06B4A"/>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EA240" w14:textId="77777777" w:rsidR="00F06B4A" w:rsidRDefault="00F06B4A"/>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C08C7" w14:textId="77777777" w:rsidR="00F06B4A" w:rsidRDefault="00F06B4A"/>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7F1B" w14:textId="77777777" w:rsidR="00F06B4A" w:rsidRDefault="00F06B4A"/>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639C" w14:textId="77777777" w:rsidR="00F06B4A" w:rsidRDefault="00F06B4A"/>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7A9F7" w14:textId="77777777" w:rsidR="00F06B4A" w:rsidRDefault="00F06B4A"/>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8084E" w14:textId="77777777" w:rsidR="00F06B4A" w:rsidRDefault="00F06B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8613E" w14:textId="77777777" w:rsidR="00F06B4A" w:rsidRDefault="00F06B4A"/>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39F3D" w14:textId="77777777" w:rsidR="00F06B4A" w:rsidRDefault="00F06B4A"/>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CF78" w14:textId="77777777" w:rsidR="00F06B4A" w:rsidRDefault="00F06B4A"/>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820E0" w14:textId="77777777" w:rsidR="00F06B4A" w:rsidRDefault="00F06B4A"/>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061F1" w14:textId="77777777" w:rsidR="00F06B4A" w:rsidRDefault="00F06B4A"/>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22F6A" w14:textId="77777777" w:rsidR="00F06B4A" w:rsidRDefault="00F06B4A"/>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8EC3A" w14:textId="77777777" w:rsidR="00F06B4A" w:rsidRDefault="00F06B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EC88C" w14:textId="77777777" w:rsidR="00F06B4A" w:rsidRDefault="00F06B4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70FE4" w14:textId="77777777" w:rsidR="00F06B4A" w:rsidRDefault="00F06B4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3D69" w14:textId="77777777" w:rsidR="00F06B4A" w:rsidRDefault="00F06B4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46955" w14:textId="77777777" w:rsidR="00F06B4A" w:rsidRDefault="00F06B4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1D16A" w14:textId="77777777" w:rsidR="00F06B4A" w:rsidRDefault="00F06B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794CE10C">
      <w:start w:val="1"/>
      <w:numFmt w:val="bullet"/>
      <w:lvlText w:val=""/>
      <w:lvlJc w:val="left"/>
      <w:pPr>
        <w:ind w:left="720" w:hanging="360"/>
      </w:pPr>
      <w:rPr>
        <w:rFonts w:ascii="Symbol" w:hAnsi="Symbol"/>
      </w:rPr>
    </w:lvl>
    <w:lvl w:ilvl="1" w:tplc="30D0E88A">
      <w:start w:val="1"/>
      <w:numFmt w:val="bullet"/>
      <w:lvlText w:val="o"/>
      <w:lvlJc w:val="left"/>
      <w:pPr>
        <w:tabs>
          <w:tab w:val="num" w:pos="1440"/>
        </w:tabs>
        <w:ind w:left="1440" w:hanging="360"/>
      </w:pPr>
      <w:rPr>
        <w:rFonts w:ascii="Courier New" w:hAnsi="Courier New"/>
      </w:rPr>
    </w:lvl>
    <w:lvl w:ilvl="2" w:tplc="B3147EBC">
      <w:start w:val="1"/>
      <w:numFmt w:val="bullet"/>
      <w:lvlText w:val=""/>
      <w:lvlJc w:val="left"/>
      <w:pPr>
        <w:tabs>
          <w:tab w:val="num" w:pos="2160"/>
        </w:tabs>
        <w:ind w:left="2160" w:hanging="360"/>
      </w:pPr>
      <w:rPr>
        <w:rFonts w:ascii="Wingdings" w:hAnsi="Wingdings"/>
      </w:rPr>
    </w:lvl>
    <w:lvl w:ilvl="3" w:tplc="7A324E92">
      <w:start w:val="1"/>
      <w:numFmt w:val="bullet"/>
      <w:lvlText w:val=""/>
      <w:lvlJc w:val="left"/>
      <w:pPr>
        <w:tabs>
          <w:tab w:val="num" w:pos="2880"/>
        </w:tabs>
        <w:ind w:left="2880" w:hanging="360"/>
      </w:pPr>
      <w:rPr>
        <w:rFonts w:ascii="Symbol" w:hAnsi="Symbol"/>
      </w:rPr>
    </w:lvl>
    <w:lvl w:ilvl="4" w:tplc="B546CD04">
      <w:start w:val="1"/>
      <w:numFmt w:val="bullet"/>
      <w:lvlText w:val="o"/>
      <w:lvlJc w:val="left"/>
      <w:pPr>
        <w:tabs>
          <w:tab w:val="num" w:pos="3600"/>
        </w:tabs>
        <w:ind w:left="3600" w:hanging="360"/>
      </w:pPr>
      <w:rPr>
        <w:rFonts w:ascii="Courier New" w:hAnsi="Courier New"/>
      </w:rPr>
    </w:lvl>
    <w:lvl w:ilvl="5" w:tplc="B29CBBD4">
      <w:start w:val="1"/>
      <w:numFmt w:val="bullet"/>
      <w:lvlText w:val=""/>
      <w:lvlJc w:val="left"/>
      <w:pPr>
        <w:tabs>
          <w:tab w:val="num" w:pos="4320"/>
        </w:tabs>
        <w:ind w:left="4320" w:hanging="360"/>
      </w:pPr>
      <w:rPr>
        <w:rFonts w:ascii="Wingdings" w:hAnsi="Wingdings"/>
      </w:rPr>
    </w:lvl>
    <w:lvl w:ilvl="6" w:tplc="3D38DD9E">
      <w:start w:val="1"/>
      <w:numFmt w:val="bullet"/>
      <w:lvlText w:val=""/>
      <w:lvlJc w:val="left"/>
      <w:pPr>
        <w:tabs>
          <w:tab w:val="num" w:pos="5040"/>
        </w:tabs>
        <w:ind w:left="5040" w:hanging="360"/>
      </w:pPr>
      <w:rPr>
        <w:rFonts w:ascii="Symbol" w:hAnsi="Symbol"/>
      </w:rPr>
    </w:lvl>
    <w:lvl w:ilvl="7" w:tplc="7834FEAC">
      <w:start w:val="1"/>
      <w:numFmt w:val="bullet"/>
      <w:lvlText w:val="o"/>
      <w:lvlJc w:val="left"/>
      <w:pPr>
        <w:tabs>
          <w:tab w:val="num" w:pos="5760"/>
        </w:tabs>
        <w:ind w:left="5760" w:hanging="360"/>
      </w:pPr>
      <w:rPr>
        <w:rFonts w:ascii="Courier New" w:hAnsi="Courier New"/>
      </w:rPr>
    </w:lvl>
    <w:lvl w:ilvl="8" w:tplc="B9FC82D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CF876C0">
      <w:start w:val="1"/>
      <w:numFmt w:val="bullet"/>
      <w:lvlText w:val=""/>
      <w:lvlJc w:val="left"/>
      <w:pPr>
        <w:ind w:left="720" w:hanging="360"/>
      </w:pPr>
      <w:rPr>
        <w:rFonts w:ascii="Symbol" w:hAnsi="Symbol"/>
      </w:rPr>
    </w:lvl>
    <w:lvl w:ilvl="1" w:tplc="33EEBCD0">
      <w:start w:val="1"/>
      <w:numFmt w:val="bullet"/>
      <w:lvlText w:val="o"/>
      <w:lvlJc w:val="left"/>
      <w:pPr>
        <w:tabs>
          <w:tab w:val="num" w:pos="1440"/>
        </w:tabs>
        <w:ind w:left="1440" w:hanging="360"/>
      </w:pPr>
      <w:rPr>
        <w:rFonts w:ascii="Courier New" w:hAnsi="Courier New"/>
      </w:rPr>
    </w:lvl>
    <w:lvl w:ilvl="2" w:tplc="1E5E3D1E">
      <w:start w:val="1"/>
      <w:numFmt w:val="bullet"/>
      <w:lvlText w:val=""/>
      <w:lvlJc w:val="left"/>
      <w:pPr>
        <w:tabs>
          <w:tab w:val="num" w:pos="2160"/>
        </w:tabs>
        <w:ind w:left="2160" w:hanging="360"/>
      </w:pPr>
      <w:rPr>
        <w:rFonts w:ascii="Wingdings" w:hAnsi="Wingdings"/>
      </w:rPr>
    </w:lvl>
    <w:lvl w:ilvl="3" w:tplc="FD707B2A">
      <w:start w:val="1"/>
      <w:numFmt w:val="bullet"/>
      <w:lvlText w:val=""/>
      <w:lvlJc w:val="left"/>
      <w:pPr>
        <w:tabs>
          <w:tab w:val="num" w:pos="2880"/>
        </w:tabs>
        <w:ind w:left="2880" w:hanging="360"/>
      </w:pPr>
      <w:rPr>
        <w:rFonts w:ascii="Symbol" w:hAnsi="Symbol"/>
      </w:rPr>
    </w:lvl>
    <w:lvl w:ilvl="4" w:tplc="74D2FA7C">
      <w:start w:val="1"/>
      <w:numFmt w:val="bullet"/>
      <w:lvlText w:val="o"/>
      <w:lvlJc w:val="left"/>
      <w:pPr>
        <w:tabs>
          <w:tab w:val="num" w:pos="3600"/>
        </w:tabs>
        <w:ind w:left="3600" w:hanging="360"/>
      </w:pPr>
      <w:rPr>
        <w:rFonts w:ascii="Courier New" w:hAnsi="Courier New"/>
      </w:rPr>
    </w:lvl>
    <w:lvl w:ilvl="5" w:tplc="01F209D4">
      <w:start w:val="1"/>
      <w:numFmt w:val="bullet"/>
      <w:lvlText w:val=""/>
      <w:lvlJc w:val="left"/>
      <w:pPr>
        <w:tabs>
          <w:tab w:val="num" w:pos="4320"/>
        </w:tabs>
        <w:ind w:left="4320" w:hanging="360"/>
      </w:pPr>
      <w:rPr>
        <w:rFonts w:ascii="Wingdings" w:hAnsi="Wingdings"/>
      </w:rPr>
    </w:lvl>
    <w:lvl w:ilvl="6" w:tplc="8758B51C">
      <w:start w:val="1"/>
      <w:numFmt w:val="bullet"/>
      <w:lvlText w:val=""/>
      <w:lvlJc w:val="left"/>
      <w:pPr>
        <w:tabs>
          <w:tab w:val="num" w:pos="5040"/>
        </w:tabs>
        <w:ind w:left="5040" w:hanging="360"/>
      </w:pPr>
      <w:rPr>
        <w:rFonts w:ascii="Symbol" w:hAnsi="Symbol"/>
      </w:rPr>
    </w:lvl>
    <w:lvl w:ilvl="7" w:tplc="A43C043C">
      <w:start w:val="1"/>
      <w:numFmt w:val="bullet"/>
      <w:lvlText w:val="o"/>
      <w:lvlJc w:val="left"/>
      <w:pPr>
        <w:tabs>
          <w:tab w:val="num" w:pos="5760"/>
        </w:tabs>
        <w:ind w:left="5760" w:hanging="360"/>
      </w:pPr>
      <w:rPr>
        <w:rFonts w:ascii="Courier New" w:hAnsi="Courier New"/>
      </w:rPr>
    </w:lvl>
    <w:lvl w:ilvl="8" w:tplc="B67E7CA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2405562">
      <w:start w:val="1"/>
      <w:numFmt w:val="bullet"/>
      <w:lvlText w:val=""/>
      <w:lvlJc w:val="left"/>
      <w:pPr>
        <w:ind w:left="720" w:hanging="360"/>
      </w:pPr>
      <w:rPr>
        <w:rFonts w:ascii="Symbol" w:hAnsi="Symbol"/>
      </w:rPr>
    </w:lvl>
    <w:lvl w:ilvl="1" w:tplc="17E4DC2A">
      <w:start w:val="1"/>
      <w:numFmt w:val="bullet"/>
      <w:lvlText w:val="o"/>
      <w:lvlJc w:val="left"/>
      <w:pPr>
        <w:tabs>
          <w:tab w:val="num" w:pos="1440"/>
        </w:tabs>
        <w:ind w:left="1440" w:hanging="360"/>
      </w:pPr>
      <w:rPr>
        <w:rFonts w:ascii="Courier New" w:hAnsi="Courier New"/>
      </w:rPr>
    </w:lvl>
    <w:lvl w:ilvl="2" w:tplc="D47C3F40">
      <w:start w:val="1"/>
      <w:numFmt w:val="bullet"/>
      <w:lvlText w:val=""/>
      <w:lvlJc w:val="left"/>
      <w:pPr>
        <w:tabs>
          <w:tab w:val="num" w:pos="2160"/>
        </w:tabs>
        <w:ind w:left="2160" w:hanging="360"/>
      </w:pPr>
      <w:rPr>
        <w:rFonts w:ascii="Wingdings" w:hAnsi="Wingdings"/>
      </w:rPr>
    </w:lvl>
    <w:lvl w:ilvl="3" w:tplc="E64A41FC">
      <w:start w:val="1"/>
      <w:numFmt w:val="bullet"/>
      <w:lvlText w:val=""/>
      <w:lvlJc w:val="left"/>
      <w:pPr>
        <w:tabs>
          <w:tab w:val="num" w:pos="2880"/>
        </w:tabs>
        <w:ind w:left="2880" w:hanging="360"/>
      </w:pPr>
      <w:rPr>
        <w:rFonts w:ascii="Symbol" w:hAnsi="Symbol"/>
      </w:rPr>
    </w:lvl>
    <w:lvl w:ilvl="4" w:tplc="DB9EE896">
      <w:start w:val="1"/>
      <w:numFmt w:val="bullet"/>
      <w:lvlText w:val="o"/>
      <w:lvlJc w:val="left"/>
      <w:pPr>
        <w:tabs>
          <w:tab w:val="num" w:pos="3600"/>
        </w:tabs>
        <w:ind w:left="3600" w:hanging="360"/>
      </w:pPr>
      <w:rPr>
        <w:rFonts w:ascii="Courier New" w:hAnsi="Courier New"/>
      </w:rPr>
    </w:lvl>
    <w:lvl w:ilvl="5" w:tplc="61AC82E0">
      <w:start w:val="1"/>
      <w:numFmt w:val="bullet"/>
      <w:lvlText w:val=""/>
      <w:lvlJc w:val="left"/>
      <w:pPr>
        <w:tabs>
          <w:tab w:val="num" w:pos="4320"/>
        </w:tabs>
        <w:ind w:left="4320" w:hanging="360"/>
      </w:pPr>
      <w:rPr>
        <w:rFonts w:ascii="Wingdings" w:hAnsi="Wingdings"/>
      </w:rPr>
    </w:lvl>
    <w:lvl w:ilvl="6" w:tplc="674EB21A">
      <w:start w:val="1"/>
      <w:numFmt w:val="bullet"/>
      <w:lvlText w:val=""/>
      <w:lvlJc w:val="left"/>
      <w:pPr>
        <w:tabs>
          <w:tab w:val="num" w:pos="5040"/>
        </w:tabs>
        <w:ind w:left="5040" w:hanging="360"/>
      </w:pPr>
      <w:rPr>
        <w:rFonts w:ascii="Symbol" w:hAnsi="Symbol"/>
      </w:rPr>
    </w:lvl>
    <w:lvl w:ilvl="7" w:tplc="0DB07564">
      <w:start w:val="1"/>
      <w:numFmt w:val="bullet"/>
      <w:lvlText w:val="o"/>
      <w:lvlJc w:val="left"/>
      <w:pPr>
        <w:tabs>
          <w:tab w:val="num" w:pos="5760"/>
        </w:tabs>
        <w:ind w:left="5760" w:hanging="360"/>
      </w:pPr>
      <w:rPr>
        <w:rFonts w:ascii="Courier New" w:hAnsi="Courier New"/>
      </w:rPr>
    </w:lvl>
    <w:lvl w:ilvl="8" w:tplc="EF9837C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6DAAECC">
      <w:start w:val="1"/>
      <w:numFmt w:val="bullet"/>
      <w:lvlText w:val=""/>
      <w:lvlJc w:val="left"/>
      <w:pPr>
        <w:ind w:left="720" w:hanging="360"/>
      </w:pPr>
      <w:rPr>
        <w:rFonts w:ascii="Symbol" w:hAnsi="Symbol"/>
      </w:rPr>
    </w:lvl>
    <w:lvl w:ilvl="1" w:tplc="7BE8F686">
      <w:start w:val="1"/>
      <w:numFmt w:val="bullet"/>
      <w:lvlText w:val="o"/>
      <w:lvlJc w:val="left"/>
      <w:pPr>
        <w:tabs>
          <w:tab w:val="num" w:pos="1440"/>
        </w:tabs>
        <w:ind w:left="1440" w:hanging="360"/>
      </w:pPr>
      <w:rPr>
        <w:rFonts w:ascii="Courier New" w:hAnsi="Courier New"/>
      </w:rPr>
    </w:lvl>
    <w:lvl w:ilvl="2" w:tplc="35D828F2">
      <w:start w:val="1"/>
      <w:numFmt w:val="bullet"/>
      <w:lvlText w:val=""/>
      <w:lvlJc w:val="left"/>
      <w:pPr>
        <w:tabs>
          <w:tab w:val="num" w:pos="2160"/>
        </w:tabs>
        <w:ind w:left="2160" w:hanging="360"/>
      </w:pPr>
      <w:rPr>
        <w:rFonts w:ascii="Wingdings" w:hAnsi="Wingdings"/>
      </w:rPr>
    </w:lvl>
    <w:lvl w:ilvl="3" w:tplc="21F06966">
      <w:start w:val="1"/>
      <w:numFmt w:val="bullet"/>
      <w:lvlText w:val=""/>
      <w:lvlJc w:val="left"/>
      <w:pPr>
        <w:tabs>
          <w:tab w:val="num" w:pos="2880"/>
        </w:tabs>
        <w:ind w:left="2880" w:hanging="360"/>
      </w:pPr>
      <w:rPr>
        <w:rFonts w:ascii="Symbol" w:hAnsi="Symbol"/>
      </w:rPr>
    </w:lvl>
    <w:lvl w:ilvl="4" w:tplc="FC783388">
      <w:start w:val="1"/>
      <w:numFmt w:val="bullet"/>
      <w:lvlText w:val="o"/>
      <w:lvlJc w:val="left"/>
      <w:pPr>
        <w:tabs>
          <w:tab w:val="num" w:pos="3600"/>
        </w:tabs>
        <w:ind w:left="3600" w:hanging="360"/>
      </w:pPr>
      <w:rPr>
        <w:rFonts w:ascii="Courier New" w:hAnsi="Courier New"/>
      </w:rPr>
    </w:lvl>
    <w:lvl w:ilvl="5" w:tplc="3FF4F092">
      <w:start w:val="1"/>
      <w:numFmt w:val="bullet"/>
      <w:lvlText w:val=""/>
      <w:lvlJc w:val="left"/>
      <w:pPr>
        <w:tabs>
          <w:tab w:val="num" w:pos="4320"/>
        </w:tabs>
        <w:ind w:left="4320" w:hanging="360"/>
      </w:pPr>
      <w:rPr>
        <w:rFonts w:ascii="Wingdings" w:hAnsi="Wingdings"/>
      </w:rPr>
    </w:lvl>
    <w:lvl w:ilvl="6" w:tplc="CFF695FA">
      <w:start w:val="1"/>
      <w:numFmt w:val="bullet"/>
      <w:lvlText w:val=""/>
      <w:lvlJc w:val="left"/>
      <w:pPr>
        <w:tabs>
          <w:tab w:val="num" w:pos="5040"/>
        </w:tabs>
        <w:ind w:left="5040" w:hanging="360"/>
      </w:pPr>
      <w:rPr>
        <w:rFonts w:ascii="Symbol" w:hAnsi="Symbol"/>
      </w:rPr>
    </w:lvl>
    <w:lvl w:ilvl="7" w:tplc="183AC486">
      <w:start w:val="1"/>
      <w:numFmt w:val="bullet"/>
      <w:lvlText w:val="o"/>
      <w:lvlJc w:val="left"/>
      <w:pPr>
        <w:tabs>
          <w:tab w:val="num" w:pos="5760"/>
        </w:tabs>
        <w:ind w:left="5760" w:hanging="360"/>
      </w:pPr>
      <w:rPr>
        <w:rFonts w:ascii="Courier New" w:hAnsi="Courier New"/>
      </w:rPr>
    </w:lvl>
    <w:lvl w:ilvl="8" w:tplc="EE7A839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D8C01A2">
      <w:start w:val="1"/>
      <w:numFmt w:val="bullet"/>
      <w:lvlText w:val=""/>
      <w:lvlJc w:val="left"/>
      <w:pPr>
        <w:ind w:left="720" w:hanging="360"/>
      </w:pPr>
      <w:rPr>
        <w:rFonts w:ascii="Symbol" w:hAnsi="Symbol"/>
      </w:rPr>
    </w:lvl>
    <w:lvl w:ilvl="1" w:tplc="0CE29B3E">
      <w:start w:val="1"/>
      <w:numFmt w:val="bullet"/>
      <w:lvlText w:val="o"/>
      <w:lvlJc w:val="left"/>
      <w:pPr>
        <w:tabs>
          <w:tab w:val="num" w:pos="1440"/>
        </w:tabs>
        <w:ind w:left="1440" w:hanging="360"/>
      </w:pPr>
      <w:rPr>
        <w:rFonts w:ascii="Courier New" w:hAnsi="Courier New"/>
      </w:rPr>
    </w:lvl>
    <w:lvl w:ilvl="2" w:tplc="39945D3A">
      <w:start w:val="1"/>
      <w:numFmt w:val="bullet"/>
      <w:lvlText w:val=""/>
      <w:lvlJc w:val="left"/>
      <w:pPr>
        <w:tabs>
          <w:tab w:val="num" w:pos="2160"/>
        </w:tabs>
        <w:ind w:left="2160" w:hanging="360"/>
      </w:pPr>
      <w:rPr>
        <w:rFonts w:ascii="Wingdings" w:hAnsi="Wingdings"/>
      </w:rPr>
    </w:lvl>
    <w:lvl w:ilvl="3" w:tplc="D74053BA">
      <w:start w:val="1"/>
      <w:numFmt w:val="bullet"/>
      <w:lvlText w:val=""/>
      <w:lvlJc w:val="left"/>
      <w:pPr>
        <w:tabs>
          <w:tab w:val="num" w:pos="2880"/>
        </w:tabs>
        <w:ind w:left="2880" w:hanging="360"/>
      </w:pPr>
      <w:rPr>
        <w:rFonts w:ascii="Symbol" w:hAnsi="Symbol"/>
      </w:rPr>
    </w:lvl>
    <w:lvl w:ilvl="4" w:tplc="8AD44EFC">
      <w:start w:val="1"/>
      <w:numFmt w:val="bullet"/>
      <w:lvlText w:val="o"/>
      <w:lvlJc w:val="left"/>
      <w:pPr>
        <w:tabs>
          <w:tab w:val="num" w:pos="3600"/>
        </w:tabs>
        <w:ind w:left="3600" w:hanging="360"/>
      </w:pPr>
      <w:rPr>
        <w:rFonts w:ascii="Courier New" w:hAnsi="Courier New"/>
      </w:rPr>
    </w:lvl>
    <w:lvl w:ilvl="5" w:tplc="80468922">
      <w:start w:val="1"/>
      <w:numFmt w:val="bullet"/>
      <w:lvlText w:val=""/>
      <w:lvlJc w:val="left"/>
      <w:pPr>
        <w:tabs>
          <w:tab w:val="num" w:pos="4320"/>
        </w:tabs>
        <w:ind w:left="4320" w:hanging="360"/>
      </w:pPr>
      <w:rPr>
        <w:rFonts w:ascii="Wingdings" w:hAnsi="Wingdings"/>
      </w:rPr>
    </w:lvl>
    <w:lvl w:ilvl="6" w:tplc="5412AA48">
      <w:start w:val="1"/>
      <w:numFmt w:val="bullet"/>
      <w:lvlText w:val=""/>
      <w:lvlJc w:val="left"/>
      <w:pPr>
        <w:tabs>
          <w:tab w:val="num" w:pos="5040"/>
        </w:tabs>
        <w:ind w:left="5040" w:hanging="360"/>
      </w:pPr>
      <w:rPr>
        <w:rFonts w:ascii="Symbol" w:hAnsi="Symbol"/>
      </w:rPr>
    </w:lvl>
    <w:lvl w:ilvl="7" w:tplc="106C7892">
      <w:start w:val="1"/>
      <w:numFmt w:val="bullet"/>
      <w:lvlText w:val="o"/>
      <w:lvlJc w:val="left"/>
      <w:pPr>
        <w:tabs>
          <w:tab w:val="num" w:pos="5760"/>
        </w:tabs>
        <w:ind w:left="5760" w:hanging="360"/>
      </w:pPr>
      <w:rPr>
        <w:rFonts w:ascii="Courier New" w:hAnsi="Courier New"/>
      </w:rPr>
    </w:lvl>
    <w:lvl w:ilvl="8" w:tplc="E9FE4B2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06EDA30">
      <w:start w:val="1"/>
      <w:numFmt w:val="bullet"/>
      <w:lvlText w:val=""/>
      <w:lvlJc w:val="left"/>
      <w:pPr>
        <w:ind w:left="720" w:hanging="360"/>
      </w:pPr>
      <w:rPr>
        <w:rFonts w:ascii="Symbol" w:hAnsi="Symbol"/>
      </w:rPr>
    </w:lvl>
    <w:lvl w:ilvl="1" w:tplc="18CA85F2">
      <w:start w:val="1"/>
      <w:numFmt w:val="bullet"/>
      <w:lvlText w:val="o"/>
      <w:lvlJc w:val="left"/>
      <w:pPr>
        <w:tabs>
          <w:tab w:val="num" w:pos="1440"/>
        </w:tabs>
        <w:ind w:left="1440" w:hanging="360"/>
      </w:pPr>
      <w:rPr>
        <w:rFonts w:ascii="Courier New" w:hAnsi="Courier New"/>
      </w:rPr>
    </w:lvl>
    <w:lvl w:ilvl="2" w:tplc="04466FF6">
      <w:start w:val="1"/>
      <w:numFmt w:val="bullet"/>
      <w:lvlText w:val=""/>
      <w:lvlJc w:val="left"/>
      <w:pPr>
        <w:tabs>
          <w:tab w:val="num" w:pos="2160"/>
        </w:tabs>
        <w:ind w:left="2160" w:hanging="360"/>
      </w:pPr>
      <w:rPr>
        <w:rFonts w:ascii="Wingdings" w:hAnsi="Wingdings"/>
      </w:rPr>
    </w:lvl>
    <w:lvl w:ilvl="3" w:tplc="C956662A">
      <w:start w:val="1"/>
      <w:numFmt w:val="bullet"/>
      <w:lvlText w:val=""/>
      <w:lvlJc w:val="left"/>
      <w:pPr>
        <w:tabs>
          <w:tab w:val="num" w:pos="2880"/>
        </w:tabs>
        <w:ind w:left="2880" w:hanging="360"/>
      </w:pPr>
      <w:rPr>
        <w:rFonts w:ascii="Symbol" w:hAnsi="Symbol"/>
      </w:rPr>
    </w:lvl>
    <w:lvl w:ilvl="4" w:tplc="B50C2858">
      <w:start w:val="1"/>
      <w:numFmt w:val="bullet"/>
      <w:lvlText w:val="o"/>
      <w:lvlJc w:val="left"/>
      <w:pPr>
        <w:tabs>
          <w:tab w:val="num" w:pos="3600"/>
        </w:tabs>
        <w:ind w:left="3600" w:hanging="360"/>
      </w:pPr>
      <w:rPr>
        <w:rFonts w:ascii="Courier New" w:hAnsi="Courier New"/>
      </w:rPr>
    </w:lvl>
    <w:lvl w:ilvl="5" w:tplc="3280C212">
      <w:start w:val="1"/>
      <w:numFmt w:val="bullet"/>
      <w:lvlText w:val=""/>
      <w:lvlJc w:val="left"/>
      <w:pPr>
        <w:tabs>
          <w:tab w:val="num" w:pos="4320"/>
        </w:tabs>
        <w:ind w:left="4320" w:hanging="360"/>
      </w:pPr>
      <w:rPr>
        <w:rFonts w:ascii="Wingdings" w:hAnsi="Wingdings"/>
      </w:rPr>
    </w:lvl>
    <w:lvl w:ilvl="6" w:tplc="AC70D86C">
      <w:start w:val="1"/>
      <w:numFmt w:val="bullet"/>
      <w:lvlText w:val=""/>
      <w:lvlJc w:val="left"/>
      <w:pPr>
        <w:tabs>
          <w:tab w:val="num" w:pos="5040"/>
        </w:tabs>
        <w:ind w:left="5040" w:hanging="360"/>
      </w:pPr>
      <w:rPr>
        <w:rFonts w:ascii="Symbol" w:hAnsi="Symbol"/>
      </w:rPr>
    </w:lvl>
    <w:lvl w:ilvl="7" w:tplc="2A6A9050">
      <w:start w:val="1"/>
      <w:numFmt w:val="bullet"/>
      <w:lvlText w:val="o"/>
      <w:lvlJc w:val="left"/>
      <w:pPr>
        <w:tabs>
          <w:tab w:val="num" w:pos="5760"/>
        </w:tabs>
        <w:ind w:left="5760" w:hanging="360"/>
      </w:pPr>
      <w:rPr>
        <w:rFonts w:ascii="Courier New" w:hAnsi="Courier New"/>
      </w:rPr>
    </w:lvl>
    <w:lvl w:ilvl="8" w:tplc="BB90212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EA348A9E">
      <w:start w:val="1"/>
      <w:numFmt w:val="bullet"/>
      <w:lvlText w:val=""/>
      <w:lvlJc w:val="left"/>
      <w:pPr>
        <w:ind w:left="720" w:hanging="360"/>
      </w:pPr>
      <w:rPr>
        <w:rFonts w:ascii="Symbol" w:hAnsi="Symbol"/>
      </w:rPr>
    </w:lvl>
    <w:lvl w:ilvl="1" w:tplc="48868BD8">
      <w:start w:val="1"/>
      <w:numFmt w:val="bullet"/>
      <w:lvlText w:val="o"/>
      <w:lvlJc w:val="left"/>
      <w:pPr>
        <w:ind w:left="1440" w:hanging="360"/>
      </w:pPr>
      <w:rPr>
        <w:rFonts w:ascii="Courier New" w:hAnsi="Courier New"/>
      </w:rPr>
    </w:lvl>
    <w:lvl w:ilvl="2" w:tplc="4BF8EA12">
      <w:start w:val="1"/>
      <w:numFmt w:val="bullet"/>
      <w:lvlText w:val=""/>
      <w:lvlJc w:val="left"/>
      <w:pPr>
        <w:tabs>
          <w:tab w:val="num" w:pos="2160"/>
        </w:tabs>
        <w:ind w:left="2160" w:hanging="360"/>
      </w:pPr>
      <w:rPr>
        <w:rFonts w:ascii="Wingdings" w:hAnsi="Wingdings"/>
      </w:rPr>
    </w:lvl>
    <w:lvl w:ilvl="3" w:tplc="6E74E15C">
      <w:start w:val="1"/>
      <w:numFmt w:val="bullet"/>
      <w:lvlText w:val=""/>
      <w:lvlJc w:val="left"/>
      <w:pPr>
        <w:tabs>
          <w:tab w:val="num" w:pos="2880"/>
        </w:tabs>
        <w:ind w:left="2880" w:hanging="360"/>
      </w:pPr>
      <w:rPr>
        <w:rFonts w:ascii="Symbol" w:hAnsi="Symbol"/>
      </w:rPr>
    </w:lvl>
    <w:lvl w:ilvl="4" w:tplc="1C72A4D6">
      <w:start w:val="1"/>
      <w:numFmt w:val="bullet"/>
      <w:lvlText w:val="o"/>
      <w:lvlJc w:val="left"/>
      <w:pPr>
        <w:tabs>
          <w:tab w:val="num" w:pos="3600"/>
        </w:tabs>
        <w:ind w:left="3600" w:hanging="360"/>
      </w:pPr>
      <w:rPr>
        <w:rFonts w:ascii="Courier New" w:hAnsi="Courier New"/>
      </w:rPr>
    </w:lvl>
    <w:lvl w:ilvl="5" w:tplc="4AF4FE3C">
      <w:start w:val="1"/>
      <w:numFmt w:val="bullet"/>
      <w:lvlText w:val=""/>
      <w:lvlJc w:val="left"/>
      <w:pPr>
        <w:tabs>
          <w:tab w:val="num" w:pos="4320"/>
        </w:tabs>
        <w:ind w:left="4320" w:hanging="360"/>
      </w:pPr>
      <w:rPr>
        <w:rFonts w:ascii="Wingdings" w:hAnsi="Wingdings"/>
      </w:rPr>
    </w:lvl>
    <w:lvl w:ilvl="6" w:tplc="FD041FDA">
      <w:start w:val="1"/>
      <w:numFmt w:val="bullet"/>
      <w:lvlText w:val=""/>
      <w:lvlJc w:val="left"/>
      <w:pPr>
        <w:tabs>
          <w:tab w:val="num" w:pos="5040"/>
        </w:tabs>
        <w:ind w:left="5040" w:hanging="360"/>
      </w:pPr>
      <w:rPr>
        <w:rFonts w:ascii="Symbol" w:hAnsi="Symbol"/>
      </w:rPr>
    </w:lvl>
    <w:lvl w:ilvl="7" w:tplc="607E5004">
      <w:start w:val="1"/>
      <w:numFmt w:val="bullet"/>
      <w:lvlText w:val="o"/>
      <w:lvlJc w:val="left"/>
      <w:pPr>
        <w:tabs>
          <w:tab w:val="num" w:pos="5760"/>
        </w:tabs>
        <w:ind w:left="5760" w:hanging="360"/>
      </w:pPr>
      <w:rPr>
        <w:rFonts w:ascii="Courier New" w:hAnsi="Courier New"/>
      </w:rPr>
    </w:lvl>
    <w:lvl w:ilvl="8" w:tplc="F956FFC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366A2AC">
      <w:start w:val="1"/>
      <w:numFmt w:val="bullet"/>
      <w:lvlText w:val=""/>
      <w:lvlJc w:val="left"/>
      <w:pPr>
        <w:ind w:left="720" w:hanging="360"/>
      </w:pPr>
      <w:rPr>
        <w:rFonts w:ascii="Symbol" w:hAnsi="Symbol"/>
      </w:rPr>
    </w:lvl>
    <w:lvl w:ilvl="1" w:tplc="3560356E">
      <w:start w:val="1"/>
      <w:numFmt w:val="bullet"/>
      <w:lvlText w:val="o"/>
      <w:lvlJc w:val="left"/>
      <w:pPr>
        <w:tabs>
          <w:tab w:val="num" w:pos="1440"/>
        </w:tabs>
        <w:ind w:left="1440" w:hanging="360"/>
      </w:pPr>
      <w:rPr>
        <w:rFonts w:ascii="Courier New" w:hAnsi="Courier New"/>
      </w:rPr>
    </w:lvl>
    <w:lvl w:ilvl="2" w:tplc="30C45994">
      <w:start w:val="1"/>
      <w:numFmt w:val="bullet"/>
      <w:lvlText w:val=""/>
      <w:lvlJc w:val="left"/>
      <w:pPr>
        <w:tabs>
          <w:tab w:val="num" w:pos="2160"/>
        </w:tabs>
        <w:ind w:left="2160" w:hanging="360"/>
      </w:pPr>
      <w:rPr>
        <w:rFonts w:ascii="Wingdings" w:hAnsi="Wingdings"/>
      </w:rPr>
    </w:lvl>
    <w:lvl w:ilvl="3" w:tplc="1D103224">
      <w:start w:val="1"/>
      <w:numFmt w:val="bullet"/>
      <w:lvlText w:val=""/>
      <w:lvlJc w:val="left"/>
      <w:pPr>
        <w:tabs>
          <w:tab w:val="num" w:pos="2880"/>
        </w:tabs>
        <w:ind w:left="2880" w:hanging="360"/>
      </w:pPr>
      <w:rPr>
        <w:rFonts w:ascii="Symbol" w:hAnsi="Symbol"/>
      </w:rPr>
    </w:lvl>
    <w:lvl w:ilvl="4" w:tplc="F8FC6EA8">
      <w:start w:val="1"/>
      <w:numFmt w:val="bullet"/>
      <w:lvlText w:val="o"/>
      <w:lvlJc w:val="left"/>
      <w:pPr>
        <w:tabs>
          <w:tab w:val="num" w:pos="3600"/>
        </w:tabs>
        <w:ind w:left="3600" w:hanging="360"/>
      </w:pPr>
      <w:rPr>
        <w:rFonts w:ascii="Courier New" w:hAnsi="Courier New"/>
      </w:rPr>
    </w:lvl>
    <w:lvl w:ilvl="5" w:tplc="7B5254DE">
      <w:start w:val="1"/>
      <w:numFmt w:val="bullet"/>
      <w:lvlText w:val=""/>
      <w:lvlJc w:val="left"/>
      <w:pPr>
        <w:tabs>
          <w:tab w:val="num" w:pos="4320"/>
        </w:tabs>
        <w:ind w:left="4320" w:hanging="360"/>
      </w:pPr>
      <w:rPr>
        <w:rFonts w:ascii="Wingdings" w:hAnsi="Wingdings"/>
      </w:rPr>
    </w:lvl>
    <w:lvl w:ilvl="6" w:tplc="62B636E4">
      <w:start w:val="1"/>
      <w:numFmt w:val="bullet"/>
      <w:lvlText w:val=""/>
      <w:lvlJc w:val="left"/>
      <w:pPr>
        <w:tabs>
          <w:tab w:val="num" w:pos="5040"/>
        </w:tabs>
        <w:ind w:left="5040" w:hanging="360"/>
      </w:pPr>
      <w:rPr>
        <w:rFonts w:ascii="Symbol" w:hAnsi="Symbol"/>
      </w:rPr>
    </w:lvl>
    <w:lvl w:ilvl="7" w:tplc="4D02AB50">
      <w:start w:val="1"/>
      <w:numFmt w:val="bullet"/>
      <w:lvlText w:val="o"/>
      <w:lvlJc w:val="left"/>
      <w:pPr>
        <w:tabs>
          <w:tab w:val="num" w:pos="5760"/>
        </w:tabs>
        <w:ind w:left="5760" w:hanging="360"/>
      </w:pPr>
      <w:rPr>
        <w:rFonts w:ascii="Courier New" w:hAnsi="Courier New"/>
      </w:rPr>
    </w:lvl>
    <w:lvl w:ilvl="8" w:tplc="9AD8D38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4E420E0">
      <w:start w:val="1"/>
      <w:numFmt w:val="bullet"/>
      <w:lvlText w:val=""/>
      <w:lvlJc w:val="left"/>
      <w:pPr>
        <w:ind w:left="720" w:hanging="360"/>
      </w:pPr>
      <w:rPr>
        <w:rFonts w:ascii="Symbol" w:hAnsi="Symbol"/>
      </w:rPr>
    </w:lvl>
    <w:lvl w:ilvl="1" w:tplc="9C283924">
      <w:start w:val="1"/>
      <w:numFmt w:val="bullet"/>
      <w:lvlText w:val="o"/>
      <w:lvlJc w:val="left"/>
      <w:pPr>
        <w:tabs>
          <w:tab w:val="num" w:pos="1440"/>
        </w:tabs>
        <w:ind w:left="1440" w:hanging="360"/>
      </w:pPr>
      <w:rPr>
        <w:rFonts w:ascii="Courier New" w:hAnsi="Courier New"/>
      </w:rPr>
    </w:lvl>
    <w:lvl w:ilvl="2" w:tplc="922E7772">
      <w:start w:val="1"/>
      <w:numFmt w:val="bullet"/>
      <w:lvlText w:val=""/>
      <w:lvlJc w:val="left"/>
      <w:pPr>
        <w:tabs>
          <w:tab w:val="num" w:pos="2160"/>
        </w:tabs>
        <w:ind w:left="2160" w:hanging="360"/>
      </w:pPr>
      <w:rPr>
        <w:rFonts w:ascii="Wingdings" w:hAnsi="Wingdings"/>
      </w:rPr>
    </w:lvl>
    <w:lvl w:ilvl="3" w:tplc="CD20FAFC">
      <w:start w:val="1"/>
      <w:numFmt w:val="bullet"/>
      <w:lvlText w:val=""/>
      <w:lvlJc w:val="left"/>
      <w:pPr>
        <w:tabs>
          <w:tab w:val="num" w:pos="2880"/>
        </w:tabs>
        <w:ind w:left="2880" w:hanging="360"/>
      </w:pPr>
      <w:rPr>
        <w:rFonts w:ascii="Symbol" w:hAnsi="Symbol"/>
      </w:rPr>
    </w:lvl>
    <w:lvl w:ilvl="4" w:tplc="2FE855AC">
      <w:start w:val="1"/>
      <w:numFmt w:val="bullet"/>
      <w:lvlText w:val="o"/>
      <w:lvlJc w:val="left"/>
      <w:pPr>
        <w:tabs>
          <w:tab w:val="num" w:pos="3600"/>
        </w:tabs>
        <w:ind w:left="3600" w:hanging="360"/>
      </w:pPr>
      <w:rPr>
        <w:rFonts w:ascii="Courier New" w:hAnsi="Courier New"/>
      </w:rPr>
    </w:lvl>
    <w:lvl w:ilvl="5" w:tplc="36DC166E">
      <w:start w:val="1"/>
      <w:numFmt w:val="bullet"/>
      <w:lvlText w:val=""/>
      <w:lvlJc w:val="left"/>
      <w:pPr>
        <w:tabs>
          <w:tab w:val="num" w:pos="4320"/>
        </w:tabs>
        <w:ind w:left="4320" w:hanging="360"/>
      </w:pPr>
      <w:rPr>
        <w:rFonts w:ascii="Wingdings" w:hAnsi="Wingdings"/>
      </w:rPr>
    </w:lvl>
    <w:lvl w:ilvl="6" w:tplc="DF4849EE">
      <w:start w:val="1"/>
      <w:numFmt w:val="bullet"/>
      <w:lvlText w:val=""/>
      <w:lvlJc w:val="left"/>
      <w:pPr>
        <w:tabs>
          <w:tab w:val="num" w:pos="5040"/>
        </w:tabs>
        <w:ind w:left="5040" w:hanging="360"/>
      </w:pPr>
      <w:rPr>
        <w:rFonts w:ascii="Symbol" w:hAnsi="Symbol"/>
      </w:rPr>
    </w:lvl>
    <w:lvl w:ilvl="7" w:tplc="8A90338A">
      <w:start w:val="1"/>
      <w:numFmt w:val="bullet"/>
      <w:lvlText w:val="o"/>
      <w:lvlJc w:val="left"/>
      <w:pPr>
        <w:tabs>
          <w:tab w:val="num" w:pos="5760"/>
        </w:tabs>
        <w:ind w:left="5760" w:hanging="360"/>
      </w:pPr>
      <w:rPr>
        <w:rFonts w:ascii="Courier New" w:hAnsi="Courier New"/>
      </w:rPr>
    </w:lvl>
    <w:lvl w:ilvl="8" w:tplc="A0DA79C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D4ECBF4">
      <w:start w:val="1"/>
      <w:numFmt w:val="bullet"/>
      <w:lvlText w:val=""/>
      <w:lvlJc w:val="left"/>
      <w:pPr>
        <w:ind w:left="720" w:hanging="360"/>
      </w:pPr>
      <w:rPr>
        <w:rFonts w:ascii="Symbol" w:hAnsi="Symbol"/>
      </w:rPr>
    </w:lvl>
    <w:lvl w:ilvl="1" w:tplc="D004CC66">
      <w:start w:val="1"/>
      <w:numFmt w:val="bullet"/>
      <w:lvlText w:val="o"/>
      <w:lvlJc w:val="left"/>
      <w:pPr>
        <w:tabs>
          <w:tab w:val="num" w:pos="1440"/>
        </w:tabs>
        <w:ind w:left="1440" w:hanging="360"/>
      </w:pPr>
      <w:rPr>
        <w:rFonts w:ascii="Courier New" w:hAnsi="Courier New"/>
      </w:rPr>
    </w:lvl>
    <w:lvl w:ilvl="2" w:tplc="F1980EC6">
      <w:start w:val="1"/>
      <w:numFmt w:val="bullet"/>
      <w:lvlText w:val=""/>
      <w:lvlJc w:val="left"/>
      <w:pPr>
        <w:tabs>
          <w:tab w:val="num" w:pos="2160"/>
        </w:tabs>
        <w:ind w:left="2160" w:hanging="360"/>
      </w:pPr>
      <w:rPr>
        <w:rFonts w:ascii="Wingdings" w:hAnsi="Wingdings"/>
      </w:rPr>
    </w:lvl>
    <w:lvl w:ilvl="3" w:tplc="42868130">
      <w:start w:val="1"/>
      <w:numFmt w:val="bullet"/>
      <w:lvlText w:val=""/>
      <w:lvlJc w:val="left"/>
      <w:pPr>
        <w:tabs>
          <w:tab w:val="num" w:pos="2880"/>
        </w:tabs>
        <w:ind w:left="2880" w:hanging="360"/>
      </w:pPr>
      <w:rPr>
        <w:rFonts w:ascii="Symbol" w:hAnsi="Symbol"/>
      </w:rPr>
    </w:lvl>
    <w:lvl w:ilvl="4" w:tplc="AF107776">
      <w:start w:val="1"/>
      <w:numFmt w:val="bullet"/>
      <w:lvlText w:val="o"/>
      <w:lvlJc w:val="left"/>
      <w:pPr>
        <w:tabs>
          <w:tab w:val="num" w:pos="3600"/>
        </w:tabs>
        <w:ind w:left="3600" w:hanging="360"/>
      </w:pPr>
      <w:rPr>
        <w:rFonts w:ascii="Courier New" w:hAnsi="Courier New"/>
      </w:rPr>
    </w:lvl>
    <w:lvl w:ilvl="5" w:tplc="8286B8D0">
      <w:start w:val="1"/>
      <w:numFmt w:val="bullet"/>
      <w:lvlText w:val=""/>
      <w:lvlJc w:val="left"/>
      <w:pPr>
        <w:tabs>
          <w:tab w:val="num" w:pos="4320"/>
        </w:tabs>
        <w:ind w:left="4320" w:hanging="360"/>
      </w:pPr>
      <w:rPr>
        <w:rFonts w:ascii="Wingdings" w:hAnsi="Wingdings"/>
      </w:rPr>
    </w:lvl>
    <w:lvl w:ilvl="6" w:tplc="874040F6">
      <w:start w:val="1"/>
      <w:numFmt w:val="bullet"/>
      <w:lvlText w:val=""/>
      <w:lvlJc w:val="left"/>
      <w:pPr>
        <w:tabs>
          <w:tab w:val="num" w:pos="5040"/>
        </w:tabs>
        <w:ind w:left="5040" w:hanging="360"/>
      </w:pPr>
      <w:rPr>
        <w:rFonts w:ascii="Symbol" w:hAnsi="Symbol"/>
      </w:rPr>
    </w:lvl>
    <w:lvl w:ilvl="7" w:tplc="ABB248CA">
      <w:start w:val="1"/>
      <w:numFmt w:val="bullet"/>
      <w:lvlText w:val="o"/>
      <w:lvlJc w:val="left"/>
      <w:pPr>
        <w:tabs>
          <w:tab w:val="num" w:pos="5760"/>
        </w:tabs>
        <w:ind w:left="5760" w:hanging="360"/>
      </w:pPr>
      <w:rPr>
        <w:rFonts w:ascii="Courier New" w:hAnsi="Courier New"/>
      </w:rPr>
    </w:lvl>
    <w:lvl w:ilvl="8" w:tplc="E4B0C9B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92E0CF0">
      <w:start w:val="1"/>
      <w:numFmt w:val="bullet"/>
      <w:lvlText w:val=""/>
      <w:lvlJc w:val="left"/>
      <w:pPr>
        <w:ind w:left="720" w:hanging="360"/>
      </w:pPr>
      <w:rPr>
        <w:rFonts w:ascii="Symbol" w:hAnsi="Symbol"/>
      </w:rPr>
    </w:lvl>
    <w:lvl w:ilvl="1" w:tplc="AE347502">
      <w:start w:val="1"/>
      <w:numFmt w:val="bullet"/>
      <w:lvlText w:val="o"/>
      <w:lvlJc w:val="left"/>
      <w:pPr>
        <w:tabs>
          <w:tab w:val="num" w:pos="1440"/>
        </w:tabs>
        <w:ind w:left="1440" w:hanging="360"/>
      </w:pPr>
      <w:rPr>
        <w:rFonts w:ascii="Courier New" w:hAnsi="Courier New"/>
      </w:rPr>
    </w:lvl>
    <w:lvl w:ilvl="2" w:tplc="6E72AC0A">
      <w:start w:val="1"/>
      <w:numFmt w:val="bullet"/>
      <w:lvlText w:val=""/>
      <w:lvlJc w:val="left"/>
      <w:pPr>
        <w:tabs>
          <w:tab w:val="num" w:pos="2160"/>
        </w:tabs>
        <w:ind w:left="2160" w:hanging="360"/>
      </w:pPr>
      <w:rPr>
        <w:rFonts w:ascii="Wingdings" w:hAnsi="Wingdings"/>
      </w:rPr>
    </w:lvl>
    <w:lvl w:ilvl="3" w:tplc="6FC0A6D0">
      <w:start w:val="1"/>
      <w:numFmt w:val="bullet"/>
      <w:lvlText w:val=""/>
      <w:lvlJc w:val="left"/>
      <w:pPr>
        <w:tabs>
          <w:tab w:val="num" w:pos="2880"/>
        </w:tabs>
        <w:ind w:left="2880" w:hanging="360"/>
      </w:pPr>
      <w:rPr>
        <w:rFonts w:ascii="Symbol" w:hAnsi="Symbol"/>
      </w:rPr>
    </w:lvl>
    <w:lvl w:ilvl="4" w:tplc="E4145C06">
      <w:start w:val="1"/>
      <w:numFmt w:val="bullet"/>
      <w:lvlText w:val="o"/>
      <w:lvlJc w:val="left"/>
      <w:pPr>
        <w:tabs>
          <w:tab w:val="num" w:pos="3600"/>
        </w:tabs>
        <w:ind w:left="3600" w:hanging="360"/>
      </w:pPr>
      <w:rPr>
        <w:rFonts w:ascii="Courier New" w:hAnsi="Courier New"/>
      </w:rPr>
    </w:lvl>
    <w:lvl w:ilvl="5" w:tplc="C5B68614">
      <w:start w:val="1"/>
      <w:numFmt w:val="bullet"/>
      <w:lvlText w:val=""/>
      <w:lvlJc w:val="left"/>
      <w:pPr>
        <w:tabs>
          <w:tab w:val="num" w:pos="4320"/>
        </w:tabs>
        <w:ind w:left="4320" w:hanging="360"/>
      </w:pPr>
      <w:rPr>
        <w:rFonts w:ascii="Wingdings" w:hAnsi="Wingdings"/>
      </w:rPr>
    </w:lvl>
    <w:lvl w:ilvl="6" w:tplc="27DCA988">
      <w:start w:val="1"/>
      <w:numFmt w:val="bullet"/>
      <w:lvlText w:val=""/>
      <w:lvlJc w:val="left"/>
      <w:pPr>
        <w:tabs>
          <w:tab w:val="num" w:pos="5040"/>
        </w:tabs>
        <w:ind w:left="5040" w:hanging="360"/>
      </w:pPr>
      <w:rPr>
        <w:rFonts w:ascii="Symbol" w:hAnsi="Symbol"/>
      </w:rPr>
    </w:lvl>
    <w:lvl w:ilvl="7" w:tplc="5C7699A8">
      <w:start w:val="1"/>
      <w:numFmt w:val="bullet"/>
      <w:lvlText w:val="o"/>
      <w:lvlJc w:val="left"/>
      <w:pPr>
        <w:tabs>
          <w:tab w:val="num" w:pos="5760"/>
        </w:tabs>
        <w:ind w:left="5760" w:hanging="360"/>
      </w:pPr>
      <w:rPr>
        <w:rFonts w:ascii="Courier New" w:hAnsi="Courier New"/>
      </w:rPr>
    </w:lvl>
    <w:lvl w:ilvl="8" w:tplc="5C1AED7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399A10C6">
      <w:start w:val="1"/>
      <w:numFmt w:val="bullet"/>
      <w:lvlText w:val=""/>
      <w:lvlJc w:val="left"/>
      <w:pPr>
        <w:ind w:left="720" w:hanging="360"/>
      </w:pPr>
      <w:rPr>
        <w:rFonts w:ascii="Symbol" w:hAnsi="Symbol"/>
      </w:rPr>
    </w:lvl>
    <w:lvl w:ilvl="1" w:tplc="F79A7938">
      <w:start w:val="1"/>
      <w:numFmt w:val="bullet"/>
      <w:lvlText w:val="o"/>
      <w:lvlJc w:val="left"/>
      <w:pPr>
        <w:tabs>
          <w:tab w:val="num" w:pos="1440"/>
        </w:tabs>
        <w:ind w:left="1440" w:hanging="360"/>
      </w:pPr>
      <w:rPr>
        <w:rFonts w:ascii="Courier New" w:hAnsi="Courier New"/>
      </w:rPr>
    </w:lvl>
    <w:lvl w:ilvl="2" w:tplc="F9C8FD90">
      <w:start w:val="1"/>
      <w:numFmt w:val="bullet"/>
      <w:lvlText w:val=""/>
      <w:lvlJc w:val="left"/>
      <w:pPr>
        <w:tabs>
          <w:tab w:val="num" w:pos="2160"/>
        </w:tabs>
        <w:ind w:left="2160" w:hanging="360"/>
      </w:pPr>
      <w:rPr>
        <w:rFonts w:ascii="Wingdings" w:hAnsi="Wingdings"/>
      </w:rPr>
    </w:lvl>
    <w:lvl w:ilvl="3" w:tplc="05886E42">
      <w:start w:val="1"/>
      <w:numFmt w:val="bullet"/>
      <w:lvlText w:val=""/>
      <w:lvlJc w:val="left"/>
      <w:pPr>
        <w:tabs>
          <w:tab w:val="num" w:pos="2880"/>
        </w:tabs>
        <w:ind w:left="2880" w:hanging="360"/>
      </w:pPr>
      <w:rPr>
        <w:rFonts w:ascii="Symbol" w:hAnsi="Symbol"/>
      </w:rPr>
    </w:lvl>
    <w:lvl w:ilvl="4" w:tplc="6066837A">
      <w:start w:val="1"/>
      <w:numFmt w:val="bullet"/>
      <w:lvlText w:val="o"/>
      <w:lvlJc w:val="left"/>
      <w:pPr>
        <w:tabs>
          <w:tab w:val="num" w:pos="3600"/>
        </w:tabs>
        <w:ind w:left="3600" w:hanging="360"/>
      </w:pPr>
      <w:rPr>
        <w:rFonts w:ascii="Courier New" w:hAnsi="Courier New"/>
      </w:rPr>
    </w:lvl>
    <w:lvl w:ilvl="5" w:tplc="3FD421C0">
      <w:start w:val="1"/>
      <w:numFmt w:val="bullet"/>
      <w:lvlText w:val=""/>
      <w:lvlJc w:val="left"/>
      <w:pPr>
        <w:tabs>
          <w:tab w:val="num" w:pos="4320"/>
        </w:tabs>
        <w:ind w:left="4320" w:hanging="360"/>
      </w:pPr>
      <w:rPr>
        <w:rFonts w:ascii="Wingdings" w:hAnsi="Wingdings"/>
      </w:rPr>
    </w:lvl>
    <w:lvl w:ilvl="6" w:tplc="3D0AF2DC">
      <w:start w:val="1"/>
      <w:numFmt w:val="bullet"/>
      <w:lvlText w:val=""/>
      <w:lvlJc w:val="left"/>
      <w:pPr>
        <w:tabs>
          <w:tab w:val="num" w:pos="5040"/>
        </w:tabs>
        <w:ind w:left="5040" w:hanging="360"/>
      </w:pPr>
      <w:rPr>
        <w:rFonts w:ascii="Symbol" w:hAnsi="Symbol"/>
      </w:rPr>
    </w:lvl>
    <w:lvl w:ilvl="7" w:tplc="AB8A505E">
      <w:start w:val="1"/>
      <w:numFmt w:val="bullet"/>
      <w:lvlText w:val="o"/>
      <w:lvlJc w:val="left"/>
      <w:pPr>
        <w:tabs>
          <w:tab w:val="num" w:pos="5760"/>
        </w:tabs>
        <w:ind w:left="5760" w:hanging="360"/>
      </w:pPr>
      <w:rPr>
        <w:rFonts w:ascii="Courier New" w:hAnsi="Courier New"/>
      </w:rPr>
    </w:lvl>
    <w:lvl w:ilvl="8" w:tplc="8CEA844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8C0E75AE">
      <w:start w:val="1"/>
      <w:numFmt w:val="bullet"/>
      <w:lvlText w:val=""/>
      <w:lvlJc w:val="left"/>
      <w:pPr>
        <w:ind w:left="720" w:hanging="360"/>
      </w:pPr>
      <w:rPr>
        <w:rFonts w:ascii="Symbol" w:hAnsi="Symbol"/>
      </w:rPr>
    </w:lvl>
    <w:lvl w:ilvl="1" w:tplc="07C202C6">
      <w:start w:val="1"/>
      <w:numFmt w:val="bullet"/>
      <w:lvlText w:val="o"/>
      <w:lvlJc w:val="left"/>
      <w:pPr>
        <w:tabs>
          <w:tab w:val="num" w:pos="1440"/>
        </w:tabs>
        <w:ind w:left="1440" w:hanging="360"/>
      </w:pPr>
      <w:rPr>
        <w:rFonts w:ascii="Courier New" w:hAnsi="Courier New"/>
      </w:rPr>
    </w:lvl>
    <w:lvl w:ilvl="2" w:tplc="E6AABFFA">
      <w:start w:val="1"/>
      <w:numFmt w:val="bullet"/>
      <w:lvlText w:val=""/>
      <w:lvlJc w:val="left"/>
      <w:pPr>
        <w:tabs>
          <w:tab w:val="num" w:pos="2160"/>
        </w:tabs>
        <w:ind w:left="2160" w:hanging="360"/>
      </w:pPr>
      <w:rPr>
        <w:rFonts w:ascii="Wingdings" w:hAnsi="Wingdings"/>
      </w:rPr>
    </w:lvl>
    <w:lvl w:ilvl="3" w:tplc="7998451A">
      <w:start w:val="1"/>
      <w:numFmt w:val="bullet"/>
      <w:lvlText w:val=""/>
      <w:lvlJc w:val="left"/>
      <w:pPr>
        <w:tabs>
          <w:tab w:val="num" w:pos="2880"/>
        </w:tabs>
        <w:ind w:left="2880" w:hanging="360"/>
      </w:pPr>
      <w:rPr>
        <w:rFonts w:ascii="Symbol" w:hAnsi="Symbol"/>
      </w:rPr>
    </w:lvl>
    <w:lvl w:ilvl="4" w:tplc="4E2657A6">
      <w:start w:val="1"/>
      <w:numFmt w:val="bullet"/>
      <w:lvlText w:val="o"/>
      <w:lvlJc w:val="left"/>
      <w:pPr>
        <w:tabs>
          <w:tab w:val="num" w:pos="3600"/>
        </w:tabs>
        <w:ind w:left="3600" w:hanging="360"/>
      </w:pPr>
      <w:rPr>
        <w:rFonts w:ascii="Courier New" w:hAnsi="Courier New"/>
      </w:rPr>
    </w:lvl>
    <w:lvl w:ilvl="5" w:tplc="ED149A62">
      <w:start w:val="1"/>
      <w:numFmt w:val="bullet"/>
      <w:lvlText w:val=""/>
      <w:lvlJc w:val="left"/>
      <w:pPr>
        <w:tabs>
          <w:tab w:val="num" w:pos="4320"/>
        </w:tabs>
        <w:ind w:left="4320" w:hanging="360"/>
      </w:pPr>
      <w:rPr>
        <w:rFonts w:ascii="Wingdings" w:hAnsi="Wingdings"/>
      </w:rPr>
    </w:lvl>
    <w:lvl w:ilvl="6" w:tplc="11487AA4">
      <w:start w:val="1"/>
      <w:numFmt w:val="bullet"/>
      <w:lvlText w:val=""/>
      <w:lvlJc w:val="left"/>
      <w:pPr>
        <w:tabs>
          <w:tab w:val="num" w:pos="5040"/>
        </w:tabs>
        <w:ind w:left="5040" w:hanging="360"/>
      </w:pPr>
      <w:rPr>
        <w:rFonts w:ascii="Symbol" w:hAnsi="Symbol"/>
      </w:rPr>
    </w:lvl>
    <w:lvl w:ilvl="7" w:tplc="580632B8">
      <w:start w:val="1"/>
      <w:numFmt w:val="bullet"/>
      <w:lvlText w:val="o"/>
      <w:lvlJc w:val="left"/>
      <w:pPr>
        <w:tabs>
          <w:tab w:val="num" w:pos="5760"/>
        </w:tabs>
        <w:ind w:left="5760" w:hanging="360"/>
      </w:pPr>
      <w:rPr>
        <w:rFonts w:ascii="Courier New" w:hAnsi="Courier New"/>
      </w:rPr>
    </w:lvl>
    <w:lvl w:ilvl="8" w:tplc="203AD33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374CE820">
      <w:start w:val="1"/>
      <w:numFmt w:val="bullet"/>
      <w:lvlText w:val=""/>
      <w:lvlJc w:val="left"/>
      <w:pPr>
        <w:ind w:left="720" w:hanging="360"/>
      </w:pPr>
      <w:rPr>
        <w:rFonts w:ascii="Symbol" w:hAnsi="Symbol"/>
      </w:rPr>
    </w:lvl>
    <w:lvl w:ilvl="1" w:tplc="D4E040E6">
      <w:start w:val="1"/>
      <w:numFmt w:val="bullet"/>
      <w:lvlText w:val="o"/>
      <w:lvlJc w:val="left"/>
      <w:pPr>
        <w:tabs>
          <w:tab w:val="num" w:pos="1440"/>
        </w:tabs>
        <w:ind w:left="1440" w:hanging="360"/>
      </w:pPr>
      <w:rPr>
        <w:rFonts w:ascii="Courier New" w:hAnsi="Courier New"/>
      </w:rPr>
    </w:lvl>
    <w:lvl w:ilvl="2" w:tplc="0BEA572E">
      <w:start w:val="1"/>
      <w:numFmt w:val="bullet"/>
      <w:lvlText w:val=""/>
      <w:lvlJc w:val="left"/>
      <w:pPr>
        <w:tabs>
          <w:tab w:val="num" w:pos="2160"/>
        </w:tabs>
        <w:ind w:left="2160" w:hanging="360"/>
      </w:pPr>
      <w:rPr>
        <w:rFonts w:ascii="Wingdings" w:hAnsi="Wingdings"/>
      </w:rPr>
    </w:lvl>
    <w:lvl w:ilvl="3" w:tplc="0834F912">
      <w:start w:val="1"/>
      <w:numFmt w:val="bullet"/>
      <w:lvlText w:val=""/>
      <w:lvlJc w:val="left"/>
      <w:pPr>
        <w:tabs>
          <w:tab w:val="num" w:pos="2880"/>
        </w:tabs>
        <w:ind w:left="2880" w:hanging="360"/>
      </w:pPr>
      <w:rPr>
        <w:rFonts w:ascii="Symbol" w:hAnsi="Symbol"/>
      </w:rPr>
    </w:lvl>
    <w:lvl w:ilvl="4" w:tplc="BFCC6912">
      <w:start w:val="1"/>
      <w:numFmt w:val="bullet"/>
      <w:lvlText w:val="o"/>
      <w:lvlJc w:val="left"/>
      <w:pPr>
        <w:tabs>
          <w:tab w:val="num" w:pos="3600"/>
        </w:tabs>
        <w:ind w:left="3600" w:hanging="360"/>
      </w:pPr>
      <w:rPr>
        <w:rFonts w:ascii="Courier New" w:hAnsi="Courier New"/>
      </w:rPr>
    </w:lvl>
    <w:lvl w:ilvl="5" w:tplc="55E21FEA">
      <w:start w:val="1"/>
      <w:numFmt w:val="bullet"/>
      <w:lvlText w:val=""/>
      <w:lvlJc w:val="left"/>
      <w:pPr>
        <w:tabs>
          <w:tab w:val="num" w:pos="4320"/>
        </w:tabs>
        <w:ind w:left="4320" w:hanging="360"/>
      </w:pPr>
      <w:rPr>
        <w:rFonts w:ascii="Wingdings" w:hAnsi="Wingdings"/>
      </w:rPr>
    </w:lvl>
    <w:lvl w:ilvl="6" w:tplc="D6B0D09A">
      <w:start w:val="1"/>
      <w:numFmt w:val="bullet"/>
      <w:lvlText w:val=""/>
      <w:lvlJc w:val="left"/>
      <w:pPr>
        <w:tabs>
          <w:tab w:val="num" w:pos="5040"/>
        </w:tabs>
        <w:ind w:left="5040" w:hanging="360"/>
      </w:pPr>
      <w:rPr>
        <w:rFonts w:ascii="Symbol" w:hAnsi="Symbol"/>
      </w:rPr>
    </w:lvl>
    <w:lvl w:ilvl="7" w:tplc="25347DBC">
      <w:start w:val="1"/>
      <w:numFmt w:val="bullet"/>
      <w:lvlText w:val="o"/>
      <w:lvlJc w:val="left"/>
      <w:pPr>
        <w:tabs>
          <w:tab w:val="num" w:pos="5760"/>
        </w:tabs>
        <w:ind w:left="5760" w:hanging="360"/>
      </w:pPr>
      <w:rPr>
        <w:rFonts w:ascii="Courier New" w:hAnsi="Courier New"/>
      </w:rPr>
    </w:lvl>
    <w:lvl w:ilvl="8" w:tplc="2D1C03EC">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A0EE9EA">
      <w:start w:val="1"/>
      <w:numFmt w:val="bullet"/>
      <w:lvlText w:val=""/>
      <w:lvlJc w:val="left"/>
      <w:pPr>
        <w:ind w:left="720" w:hanging="360"/>
      </w:pPr>
      <w:rPr>
        <w:rFonts w:ascii="Symbol" w:hAnsi="Symbol"/>
      </w:rPr>
    </w:lvl>
    <w:lvl w:ilvl="1" w:tplc="76702282">
      <w:start w:val="1"/>
      <w:numFmt w:val="bullet"/>
      <w:lvlText w:val="o"/>
      <w:lvlJc w:val="left"/>
      <w:pPr>
        <w:tabs>
          <w:tab w:val="num" w:pos="1440"/>
        </w:tabs>
        <w:ind w:left="1440" w:hanging="360"/>
      </w:pPr>
      <w:rPr>
        <w:rFonts w:ascii="Courier New" w:hAnsi="Courier New"/>
      </w:rPr>
    </w:lvl>
    <w:lvl w:ilvl="2" w:tplc="5D8AF880">
      <w:start w:val="1"/>
      <w:numFmt w:val="bullet"/>
      <w:lvlText w:val=""/>
      <w:lvlJc w:val="left"/>
      <w:pPr>
        <w:tabs>
          <w:tab w:val="num" w:pos="2160"/>
        </w:tabs>
        <w:ind w:left="2160" w:hanging="360"/>
      </w:pPr>
      <w:rPr>
        <w:rFonts w:ascii="Wingdings" w:hAnsi="Wingdings"/>
      </w:rPr>
    </w:lvl>
    <w:lvl w:ilvl="3" w:tplc="0E0C59D4">
      <w:start w:val="1"/>
      <w:numFmt w:val="bullet"/>
      <w:lvlText w:val=""/>
      <w:lvlJc w:val="left"/>
      <w:pPr>
        <w:tabs>
          <w:tab w:val="num" w:pos="2880"/>
        </w:tabs>
        <w:ind w:left="2880" w:hanging="360"/>
      </w:pPr>
      <w:rPr>
        <w:rFonts w:ascii="Symbol" w:hAnsi="Symbol"/>
      </w:rPr>
    </w:lvl>
    <w:lvl w:ilvl="4" w:tplc="82F2DF7A">
      <w:start w:val="1"/>
      <w:numFmt w:val="bullet"/>
      <w:lvlText w:val="o"/>
      <w:lvlJc w:val="left"/>
      <w:pPr>
        <w:tabs>
          <w:tab w:val="num" w:pos="3600"/>
        </w:tabs>
        <w:ind w:left="3600" w:hanging="360"/>
      </w:pPr>
      <w:rPr>
        <w:rFonts w:ascii="Courier New" w:hAnsi="Courier New"/>
      </w:rPr>
    </w:lvl>
    <w:lvl w:ilvl="5" w:tplc="EF788536">
      <w:start w:val="1"/>
      <w:numFmt w:val="bullet"/>
      <w:lvlText w:val=""/>
      <w:lvlJc w:val="left"/>
      <w:pPr>
        <w:tabs>
          <w:tab w:val="num" w:pos="4320"/>
        </w:tabs>
        <w:ind w:left="4320" w:hanging="360"/>
      </w:pPr>
      <w:rPr>
        <w:rFonts w:ascii="Wingdings" w:hAnsi="Wingdings"/>
      </w:rPr>
    </w:lvl>
    <w:lvl w:ilvl="6" w:tplc="FCD2CA18">
      <w:start w:val="1"/>
      <w:numFmt w:val="bullet"/>
      <w:lvlText w:val=""/>
      <w:lvlJc w:val="left"/>
      <w:pPr>
        <w:tabs>
          <w:tab w:val="num" w:pos="5040"/>
        </w:tabs>
        <w:ind w:left="5040" w:hanging="360"/>
      </w:pPr>
      <w:rPr>
        <w:rFonts w:ascii="Symbol" w:hAnsi="Symbol"/>
      </w:rPr>
    </w:lvl>
    <w:lvl w:ilvl="7" w:tplc="91FCD446">
      <w:start w:val="1"/>
      <w:numFmt w:val="bullet"/>
      <w:lvlText w:val="o"/>
      <w:lvlJc w:val="left"/>
      <w:pPr>
        <w:tabs>
          <w:tab w:val="num" w:pos="5760"/>
        </w:tabs>
        <w:ind w:left="5760" w:hanging="360"/>
      </w:pPr>
      <w:rPr>
        <w:rFonts w:ascii="Courier New" w:hAnsi="Courier New"/>
      </w:rPr>
    </w:lvl>
    <w:lvl w:ilvl="8" w:tplc="219A96C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8D489142">
      <w:start w:val="1"/>
      <w:numFmt w:val="bullet"/>
      <w:lvlText w:val=""/>
      <w:lvlJc w:val="left"/>
      <w:pPr>
        <w:ind w:left="720" w:hanging="360"/>
      </w:pPr>
      <w:rPr>
        <w:rFonts w:ascii="Symbol" w:hAnsi="Symbol"/>
      </w:rPr>
    </w:lvl>
    <w:lvl w:ilvl="1" w:tplc="FE4C49EA">
      <w:start w:val="1"/>
      <w:numFmt w:val="bullet"/>
      <w:lvlText w:val="o"/>
      <w:lvlJc w:val="left"/>
      <w:pPr>
        <w:tabs>
          <w:tab w:val="num" w:pos="1440"/>
        </w:tabs>
        <w:ind w:left="1440" w:hanging="360"/>
      </w:pPr>
      <w:rPr>
        <w:rFonts w:ascii="Courier New" w:hAnsi="Courier New"/>
      </w:rPr>
    </w:lvl>
    <w:lvl w:ilvl="2" w:tplc="FD1CD414">
      <w:start w:val="1"/>
      <w:numFmt w:val="bullet"/>
      <w:lvlText w:val=""/>
      <w:lvlJc w:val="left"/>
      <w:pPr>
        <w:tabs>
          <w:tab w:val="num" w:pos="2160"/>
        </w:tabs>
        <w:ind w:left="2160" w:hanging="360"/>
      </w:pPr>
      <w:rPr>
        <w:rFonts w:ascii="Wingdings" w:hAnsi="Wingdings"/>
      </w:rPr>
    </w:lvl>
    <w:lvl w:ilvl="3" w:tplc="BDE6C364">
      <w:start w:val="1"/>
      <w:numFmt w:val="bullet"/>
      <w:lvlText w:val=""/>
      <w:lvlJc w:val="left"/>
      <w:pPr>
        <w:tabs>
          <w:tab w:val="num" w:pos="2880"/>
        </w:tabs>
        <w:ind w:left="2880" w:hanging="360"/>
      </w:pPr>
      <w:rPr>
        <w:rFonts w:ascii="Symbol" w:hAnsi="Symbol"/>
      </w:rPr>
    </w:lvl>
    <w:lvl w:ilvl="4" w:tplc="73761B30">
      <w:start w:val="1"/>
      <w:numFmt w:val="bullet"/>
      <w:lvlText w:val="o"/>
      <w:lvlJc w:val="left"/>
      <w:pPr>
        <w:tabs>
          <w:tab w:val="num" w:pos="3600"/>
        </w:tabs>
        <w:ind w:left="3600" w:hanging="360"/>
      </w:pPr>
      <w:rPr>
        <w:rFonts w:ascii="Courier New" w:hAnsi="Courier New"/>
      </w:rPr>
    </w:lvl>
    <w:lvl w:ilvl="5" w:tplc="6898F2C4">
      <w:start w:val="1"/>
      <w:numFmt w:val="bullet"/>
      <w:lvlText w:val=""/>
      <w:lvlJc w:val="left"/>
      <w:pPr>
        <w:tabs>
          <w:tab w:val="num" w:pos="4320"/>
        </w:tabs>
        <w:ind w:left="4320" w:hanging="360"/>
      </w:pPr>
      <w:rPr>
        <w:rFonts w:ascii="Wingdings" w:hAnsi="Wingdings"/>
      </w:rPr>
    </w:lvl>
    <w:lvl w:ilvl="6" w:tplc="FCFE5C20">
      <w:start w:val="1"/>
      <w:numFmt w:val="bullet"/>
      <w:lvlText w:val=""/>
      <w:lvlJc w:val="left"/>
      <w:pPr>
        <w:tabs>
          <w:tab w:val="num" w:pos="5040"/>
        </w:tabs>
        <w:ind w:left="5040" w:hanging="360"/>
      </w:pPr>
      <w:rPr>
        <w:rFonts w:ascii="Symbol" w:hAnsi="Symbol"/>
      </w:rPr>
    </w:lvl>
    <w:lvl w:ilvl="7" w:tplc="B6BCCAE8">
      <w:start w:val="1"/>
      <w:numFmt w:val="bullet"/>
      <w:lvlText w:val="o"/>
      <w:lvlJc w:val="left"/>
      <w:pPr>
        <w:tabs>
          <w:tab w:val="num" w:pos="5760"/>
        </w:tabs>
        <w:ind w:left="5760" w:hanging="360"/>
      </w:pPr>
      <w:rPr>
        <w:rFonts w:ascii="Courier New" w:hAnsi="Courier New"/>
      </w:rPr>
    </w:lvl>
    <w:lvl w:ilvl="8" w:tplc="E36EA64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B88F236">
      <w:start w:val="1"/>
      <w:numFmt w:val="bullet"/>
      <w:lvlText w:val=""/>
      <w:lvlJc w:val="left"/>
      <w:pPr>
        <w:ind w:left="720" w:hanging="360"/>
      </w:pPr>
      <w:rPr>
        <w:rFonts w:ascii="Symbol" w:hAnsi="Symbol"/>
      </w:rPr>
    </w:lvl>
    <w:lvl w:ilvl="1" w:tplc="C70E1BFC">
      <w:start w:val="1"/>
      <w:numFmt w:val="bullet"/>
      <w:lvlText w:val="o"/>
      <w:lvlJc w:val="left"/>
      <w:pPr>
        <w:tabs>
          <w:tab w:val="num" w:pos="1440"/>
        </w:tabs>
        <w:ind w:left="1440" w:hanging="360"/>
      </w:pPr>
      <w:rPr>
        <w:rFonts w:ascii="Courier New" w:hAnsi="Courier New"/>
      </w:rPr>
    </w:lvl>
    <w:lvl w:ilvl="2" w:tplc="0A68B68E">
      <w:start w:val="1"/>
      <w:numFmt w:val="bullet"/>
      <w:lvlText w:val=""/>
      <w:lvlJc w:val="left"/>
      <w:pPr>
        <w:tabs>
          <w:tab w:val="num" w:pos="2160"/>
        </w:tabs>
        <w:ind w:left="2160" w:hanging="360"/>
      </w:pPr>
      <w:rPr>
        <w:rFonts w:ascii="Wingdings" w:hAnsi="Wingdings"/>
      </w:rPr>
    </w:lvl>
    <w:lvl w:ilvl="3" w:tplc="07209EF2">
      <w:start w:val="1"/>
      <w:numFmt w:val="bullet"/>
      <w:lvlText w:val=""/>
      <w:lvlJc w:val="left"/>
      <w:pPr>
        <w:tabs>
          <w:tab w:val="num" w:pos="2880"/>
        </w:tabs>
        <w:ind w:left="2880" w:hanging="360"/>
      </w:pPr>
      <w:rPr>
        <w:rFonts w:ascii="Symbol" w:hAnsi="Symbol"/>
      </w:rPr>
    </w:lvl>
    <w:lvl w:ilvl="4" w:tplc="3B56B192">
      <w:start w:val="1"/>
      <w:numFmt w:val="bullet"/>
      <w:lvlText w:val="o"/>
      <w:lvlJc w:val="left"/>
      <w:pPr>
        <w:tabs>
          <w:tab w:val="num" w:pos="3600"/>
        </w:tabs>
        <w:ind w:left="3600" w:hanging="360"/>
      </w:pPr>
      <w:rPr>
        <w:rFonts w:ascii="Courier New" w:hAnsi="Courier New"/>
      </w:rPr>
    </w:lvl>
    <w:lvl w:ilvl="5" w:tplc="BC72FB2A">
      <w:start w:val="1"/>
      <w:numFmt w:val="bullet"/>
      <w:lvlText w:val=""/>
      <w:lvlJc w:val="left"/>
      <w:pPr>
        <w:tabs>
          <w:tab w:val="num" w:pos="4320"/>
        </w:tabs>
        <w:ind w:left="4320" w:hanging="360"/>
      </w:pPr>
      <w:rPr>
        <w:rFonts w:ascii="Wingdings" w:hAnsi="Wingdings"/>
      </w:rPr>
    </w:lvl>
    <w:lvl w:ilvl="6" w:tplc="3C10ACF2">
      <w:start w:val="1"/>
      <w:numFmt w:val="bullet"/>
      <w:lvlText w:val=""/>
      <w:lvlJc w:val="left"/>
      <w:pPr>
        <w:tabs>
          <w:tab w:val="num" w:pos="5040"/>
        </w:tabs>
        <w:ind w:left="5040" w:hanging="360"/>
      </w:pPr>
      <w:rPr>
        <w:rFonts w:ascii="Symbol" w:hAnsi="Symbol"/>
      </w:rPr>
    </w:lvl>
    <w:lvl w:ilvl="7" w:tplc="3DEAC48E">
      <w:start w:val="1"/>
      <w:numFmt w:val="bullet"/>
      <w:lvlText w:val="o"/>
      <w:lvlJc w:val="left"/>
      <w:pPr>
        <w:tabs>
          <w:tab w:val="num" w:pos="5760"/>
        </w:tabs>
        <w:ind w:left="5760" w:hanging="360"/>
      </w:pPr>
      <w:rPr>
        <w:rFonts w:ascii="Courier New" w:hAnsi="Courier New"/>
      </w:rPr>
    </w:lvl>
    <w:lvl w:ilvl="8" w:tplc="FEA6C3D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9145D38">
      <w:start w:val="1"/>
      <w:numFmt w:val="bullet"/>
      <w:lvlText w:val=""/>
      <w:lvlJc w:val="left"/>
      <w:pPr>
        <w:ind w:left="720" w:hanging="360"/>
      </w:pPr>
      <w:rPr>
        <w:rFonts w:ascii="Symbol" w:hAnsi="Symbol"/>
      </w:rPr>
    </w:lvl>
    <w:lvl w:ilvl="1" w:tplc="A4306F94">
      <w:start w:val="1"/>
      <w:numFmt w:val="bullet"/>
      <w:lvlText w:val="o"/>
      <w:lvlJc w:val="left"/>
      <w:pPr>
        <w:tabs>
          <w:tab w:val="num" w:pos="1440"/>
        </w:tabs>
        <w:ind w:left="1440" w:hanging="360"/>
      </w:pPr>
      <w:rPr>
        <w:rFonts w:ascii="Courier New" w:hAnsi="Courier New"/>
      </w:rPr>
    </w:lvl>
    <w:lvl w:ilvl="2" w:tplc="11566C42">
      <w:start w:val="1"/>
      <w:numFmt w:val="bullet"/>
      <w:lvlText w:val=""/>
      <w:lvlJc w:val="left"/>
      <w:pPr>
        <w:tabs>
          <w:tab w:val="num" w:pos="2160"/>
        </w:tabs>
        <w:ind w:left="2160" w:hanging="360"/>
      </w:pPr>
      <w:rPr>
        <w:rFonts w:ascii="Wingdings" w:hAnsi="Wingdings"/>
      </w:rPr>
    </w:lvl>
    <w:lvl w:ilvl="3" w:tplc="A19209D8">
      <w:start w:val="1"/>
      <w:numFmt w:val="bullet"/>
      <w:lvlText w:val=""/>
      <w:lvlJc w:val="left"/>
      <w:pPr>
        <w:tabs>
          <w:tab w:val="num" w:pos="2880"/>
        </w:tabs>
        <w:ind w:left="2880" w:hanging="360"/>
      </w:pPr>
      <w:rPr>
        <w:rFonts w:ascii="Symbol" w:hAnsi="Symbol"/>
      </w:rPr>
    </w:lvl>
    <w:lvl w:ilvl="4" w:tplc="0D26B2B6">
      <w:start w:val="1"/>
      <w:numFmt w:val="bullet"/>
      <w:lvlText w:val="o"/>
      <w:lvlJc w:val="left"/>
      <w:pPr>
        <w:tabs>
          <w:tab w:val="num" w:pos="3600"/>
        </w:tabs>
        <w:ind w:left="3600" w:hanging="360"/>
      </w:pPr>
      <w:rPr>
        <w:rFonts w:ascii="Courier New" w:hAnsi="Courier New"/>
      </w:rPr>
    </w:lvl>
    <w:lvl w:ilvl="5" w:tplc="6E6C9A42">
      <w:start w:val="1"/>
      <w:numFmt w:val="bullet"/>
      <w:lvlText w:val=""/>
      <w:lvlJc w:val="left"/>
      <w:pPr>
        <w:tabs>
          <w:tab w:val="num" w:pos="4320"/>
        </w:tabs>
        <w:ind w:left="4320" w:hanging="360"/>
      </w:pPr>
      <w:rPr>
        <w:rFonts w:ascii="Wingdings" w:hAnsi="Wingdings"/>
      </w:rPr>
    </w:lvl>
    <w:lvl w:ilvl="6" w:tplc="5C86F13A">
      <w:start w:val="1"/>
      <w:numFmt w:val="bullet"/>
      <w:lvlText w:val=""/>
      <w:lvlJc w:val="left"/>
      <w:pPr>
        <w:tabs>
          <w:tab w:val="num" w:pos="5040"/>
        </w:tabs>
        <w:ind w:left="5040" w:hanging="360"/>
      </w:pPr>
      <w:rPr>
        <w:rFonts w:ascii="Symbol" w:hAnsi="Symbol"/>
      </w:rPr>
    </w:lvl>
    <w:lvl w:ilvl="7" w:tplc="BEE87DDC">
      <w:start w:val="1"/>
      <w:numFmt w:val="bullet"/>
      <w:lvlText w:val="o"/>
      <w:lvlJc w:val="left"/>
      <w:pPr>
        <w:tabs>
          <w:tab w:val="num" w:pos="5760"/>
        </w:tabs>
        <w:ind w:left="5760" w:hanging="360"/>
      </w:pPr>
      <w:rPr>
        <w:rFonts w:ascii="Courier New" w:hAnsi="Courier New"/>
      </w:rPr>
    </w:lvl>
    <w:lvl w:ilvl="8" w:tplc="DD8A922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C4129E4E">
      <w:start w:val="1"/>
      <w:numFmt w:val="bullet"/>
      <w:lvlText w:val=""/>
      <w:lvlJc w:val="left"/>
      <w:pPr>
        <w:ind w:left="720" w:hanging="360"/>
      </w:pPr>
      <w:rPr>
        <w:rFonts w:ascii="Symbol" w:hAnsi="Symbol"/>
      </w:rPr>
    </w:lvl>
    <w:lvl w:ilvl="1" w:tplc="7D6C316C">
      <w:start w:val="1"/>
      <w:numFmt w:val="bullet"/>
      <w:lvlText w:val="o"/>
      <w:lvlJc w:val="left"/>
      <w:pPr>
        <w:tabs>
          <w:tab w:val="num" w:pos="1440"/>
        </w:tabs>
        <w:ind w:left="1440" w:hanging="360"/>
      </w:pPr>
      <w:rPr>
        <w:rFonts w:ascii="Courier New" w:hAnsi="Courier New"/>
      </w:rPr>
    </w:lvl>
    <w:lvl w:ilvl="2" w:tplc="63AE6CBE">
      <w:start w:val="1"/>
      <w:numFmt w:val="bullet"/>
      <w:lvlText w:val=""/>
      <w:lvlJc w:val="left"/>
      <w:pPr>
        <w:tabs>
          <w:tab w:val="num" w:pos="2160"/>
        </w:tabs>
        <w:ind w:left="2160" w:hanging="360"/>
      </w:pPr>
      <w:rPr>
        <w:rFonts w:ascii="Wingdings" w:hAnsi="Wingdings"/>
      </w:rPr>
    </w:lvl>
    <w:lvl w:ilvl="3" w:tplc="49406FE4">
      <w:start w:val="1"/>
      <w:numFmt w:val="bullet"/>
      <w:lvlText w:val=""/>
      <w:lvlJc w:val="left"/>
      <w:pPr>
        <w:tabs>
          <w:tab w:val="num" w:pos="2880"/>
        </w:tabs>
        <w:ind w:left="2880" w:hanging="360"/>
      </w:pPr>
      <w:rPr>
        <w:rFonts w:ascii="Symbol" w:hAnsi="Symbol"/>
      </w:rPr>
    </w:lvl>
    <w:lvl w:ilvl="4" w:tplc="F97CAE38">
      <w:start w:val="1"/>
      <w:numFmt w:val="bullet"/>
      <w:lvlText w:val="o"/>
      <w:lvlJc w:val="left"/>
      <w:pPr>
        <w:tabs>
          <w:tab w:val="num" w:pos="3600"/>
        </w:tabs>
        <w:ind w:left="3600" w:hanging="360"/>
      </w:pPr>
      <w:rPr>
        <w:rFonts w:ascii="Courier New" w:hAnsi="Courier New"/>
      </w:rPr>
    </w:lvl>
    <w:lvl w:ilvl="5" w:tplc="24DEA518">
      <w:start w:val="1"/>
      <w:numFmt w:val="bullet"/>
      <w:lvlText w:val=""/>
      <w:lvlJc w:val="left"/>
      <w:pPr>
        <w:tabs>
          <w:tab w:val="num" w:pos="4320"/>
        </w:tabs>
        <w:ind w:left="4320" w:hanging="360"/>
      </w:pPr>
      <w:rPr>
        <w:rFonts w:ascii="Wingdings" w:hAnsi="Wingdings"/>
      </w:rPr>
    </w:lvl>
    <w:lvl w:ilvl="6" w:tplc="0CE86270">
      <w:start w:val="1"/>
      <w:numFmt w:val="bullet"/>
      <w:lvlText w:val=""/>
      <w:lvlJc w:val="left"/>
      <w:pPr>
        <w:tabs>
          <w:tab w:val="num" w:pos="5040"/>
        </w:tabs>
        <w:ind w:left="5040" w:hanging="360"/>
      </w:pPr>
      <w:rPr>
        <w:rFonts w:ascii="Symbol" w:hAnsi="Symbol"/>
      </w:rPr>
    </w:lvl>
    <w:lvl w:ilvl="7" w:tplc="CE2AD048">
      <w:start w:val="1"/>
      <w:numFmt w:val="bullet"/>
      <w:lvlText w:val="o"/>
      <w:lvlJc w:val="left"/>
      <w:pPr>
        <w:tabs>
          <w:tab w:val="num" w:pos="5760"/>
        </w:tabs>
        <w:ind w:left="5760" w:hanging="360"/>
      </w:pPr>
      <w:rPr>
        <w:rFonts w:ascii="Courier New" w:hAnsi="Courier New"/>
      </w:rPr>
    </w:lvl>
    <w:lvl w:ilvl="8" w:tplc="FB161AE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0FFA6EC6">
      <w:start w:val="1"/>
      <w:numFmt w:val="bullet"/>
      <w:lvlText w:val=""/>
      <w:lvlJc w:val="left"/>
      <w:pPr>
        <w:ind w:left="720" w:hanging="360"/>
      </w:pPr>
      <w:rPr>
        <w:rFonts w:ascii="Symbol" w:hAnsi="Symbol"/>
      </w:rPr>
    </w:lvl>
    <w:lvl w:ilvl="1" w:tplc="11FAEA4E">
      <w:start w:val="1"/>
      <w:numFmt w:val="bullet"/>
      <w:lvlText w:val="o"/>
      <w:lvlJc w:val="left"/>
      <w:pPr>
        <w:tabs>
          <w:tab w:val="num" w:pos="1440"/>
        </w:tabs>
        <w:ind w:left="1440" w:hanging="360"/>
      </w:pPr>
      <w:rPr>
        <w:rFonts w:ascii="Courier New" w:hAnsi="Courier New"/>
      </w:rPr>
    </w:lvl>
    <w:lvl w:ilvl="2" w:tplc="37FE6A7E">
      <w:start w:val="1"/>
      <w:numFmt w:val="bullet"/>
      <w:lvlText w:val=""/>
      <w:lvlJc w:val="left"/>
      <w:pPr>
        <w:tabs>
          <w:tab w:val="num" w:pos="2160"/>
        </w:tabs>
        <w:ind w:left="2160" w:hanging="360"/>
      </w:pPr>
      <w:rPr>
        <w:rFonts w:ascii="Wingdings" w:hAnsi="Wingdings"/>
      </w:rPr>
    </w:lvl>
    <w:lvl w:ilvl="3" w:tplc="F064D5BE">
      <w:start w:val="1"/>
      <w:numFmt w:val="bullet"/>
      <w:lvlText w:val=""/>
      <w:lvlJc w:val="left"/>
      <w:pPr>
        <w:tabs>
          <w:tab w:val="num" w:pos="2880"/>
        </w:tabs>
        <w:ind w:left="2880" w:hanging="360"/>
      </w:pPr>
      <w:rPr>
        <w:rFonts w:ascii="Symbol" w:hAnsi="Symbol"/>
      </w:rPr>
    </w:lvl>
    <w:lvl w:ilvl="4" w:tplc="9432E798">
      <w:start w:val="1"/>
      <w:numFmt w:val="bullet"/>
      <w:lvlText w:val="o"/>
      <w:lvlJc w:val="left"/>
      <w:pPr>
        <w:tabs>
          <w:tab w:val="num" w:pos="3600"/>
        </w:tabs>
        <w:ind w:left="3600" w:hanging="360"/>
      </w:pPr>
      <w:rPr>
        <w:rFonts w:ascii="Courier New" w:hAnsi="Courier New"/>
      </w:rPr>
    </w:lvl>
    <w:lvl w:ilvl="5" w:tplc="4126B92C">
      <w:start w:val="1"/>
      <w:numFmt w:val="bullet"/>
      <w:lvlText w:val=""/>
      <w:lvlJc w:val="left"/>
      <w:pPr>
        <w:tabs>
          <w:tab w:val="num" w:pos="4320"/>
        </w:tabs>
        <w:ind w:left="4320" w:hanging="360"/>
      </w:pPr>
      <w:rPr>
        <w:rFonts w:ascii="Wingdings" w:hAnsi="Wingdings"/>
      </w:rPr>
    </w:lvl>
    <w:lvl w:ilvl="6" w:tplc="4F7CC9C0">
      <w:start w:val="1"/>
      <w:numFmt w:val="bullet"/>
      <w:lvlText w:val=""/>
      <w:lvlJc w:val="left"/>
      <w:pPr>
        <w:tabs>
          <w:tab w:val="num" w:pos="5040"/>
        </w:tabs>
        <w:ind w:left="5040" w:hanging="360"/>
      </w:pPr>
      <w:rPr>
        <w:rFonts w:ascii="Symbol" w:hAnsi="Symbol"/>
      </w:rPr>
    </w:lvl>
    <w:lvl w:ilvl="7" w:tplc="4FC8387E">
      <w:start w:val="1"/>
      <w:numFmt w:val="bullet"/>
      <w:lvlText w:val="o"/>
      <w:lvlJc w:val="left"/>
      <w:pPr>
        <w:tabs>
          <w:tab w:val="num" w:pos="5760"/>
        </w:tabs>
        <w:ind w:left="5760" w:hanging="360"/>
      </w:pPr>
      <w:rPr>
        <w:rFonts w:ascii="Courier New" w:hAnsi="Courier New"/>
      </w:rPr>
    </w:lvl>
    <w:lvl w:ilvl="8" w:tplc="875AEAA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1310B840">
      <w:start w:val="1"/>
      <w:numFmt w:val="bullet"/>
      <w:lvlText w:val=""/>
      <w:lvlJc w:val="left"/>
      <w:pPr>
        <w:ind w:left="720" w:hanging="360"/>
      </w:pPr>
      <w:rPr>
        <w:rFonts w:ascii="Symbol" w:hAnsi="Symbol"/>
      </w:rPr>
    </w:lvl>
    <w:lvl w:ilvl="1" w:tplc="1ED88E80">
      <w:start w:val="1"/>
      <w:numFmt w:val="bullet"/>
      <w:lvlText w:val="o"/>
      <w:lvlJc w:val="left"/>
      <w:pPr>
        <w:tabs>
          <w:tab w:val="num" w:pos="1440"/>
        </w:tabs>
        <w:ind w:left="1440" w:hanging="360"/>
      </w:pPr>
      <w:rPr>
        <w:rFonts w:ascii="Courier New" w:hAnsi="Courier New"/>
      </w:rPr>
    </w:lvl>
    <w:lvl w:ilvl="2" w:tplc="2794E240">
      <w:start w:val="1"/>
      <w:numFmt w:val="bullet"/>
      <w:lvlText w:val=""/>
      <w:lvlJc w:val="left"/>
      <w:pPr>
        <w:tabs>
          <w:tab w:val="num" w:pos="2160"/>
        </w:tabs>
        <w:ind w:left="2160" w:hanging="360"/>
      </w:pPr>
      <w:rPr>
        <w:rFonts w:ascii="Wingdings" w:hAnsi="Wingdings"/>
      </w:rPr>
    </w:lvl>
    <w:lvl w:ilvl="3" w:tplc="4B9E73C2">
      <w:start w:val="1"/>
      <w:numFmt w:val="bullet"/>
      <w:lvlText w:val=""/>
      <w:lvlJc w:val="left"/>
      <w:pPr>
        <w:tabs>
          <w:tab w:val="num" w:pos="2880"/>
        </w:tabs>
        <w:ind w:left="2880" w:hanging="360"/>
      </w:pPr>
      <w:rPr>
        <w:rFonts w:ascii="Symbol" w:hAnsi="Symbol"/>
      </w:rPr>
    </w:lvl>
    <w:lvl w:ilvl="4" w:tplc="6E649408">
      <w:start w:val="1"/>
      <w:numFmt w:val="bullet"/>
      <w:lvlText w:val="o"/>
      <w:lvlJc w:val="left"/>
      <w:pPr>
        <w:tabs>
          <w:tab w:val="num" w:pos="3600"/>
        </w:tabs>
        <w:ind w:left="3600" w:hanging="360"/>
      </w:pPr>
      <w:rPr>
        <w:rFonts w:ascii="Courier New" w:hAnsi="Courier New"/>
      </w:rPr>
    </w:lvl>
    <w:lvl w:ilvl="5" w:tplc="8450883C">
      <w:start w:val="1"/>
      <w:numFmt w:val="bullet"/>
      <w:lvlText w:val=""/>
      <w:lvlJc w:val="left"/>
      <w:pPr>
        <w:tabs>
          <w:tab w:val="num" w:pos="4320"/>
        </w:tabs>
        <w:ind w:left="4320" w:hanging="360"/>
      </w:pPr>
      <w:rPr>
        <w:rFonts w:ascii="Wingdings" w:hAnsi="Wingdings"/>
      </w:rPr>
    </w:lvl>
    <w:lvl w:ilvl="6" w:tplc="D9C4C89A">
      <w:start w:val="1"/>
      <w:numFmt w:val="bullet"/>
      <w:lvlText w:val=""/>
      <w:lvlJc w:val="left"/>
      <w:pPr>
        <w:tabs>
          <w:tab w:val="num" w:pos="5040"/>
        </w:tabs>
        <w:ind w:left="5040" w:hanging="360"/>
      </w:pPr>
      <w:rPr>
        <w:rFonts w:ascii="Symbol" w:hAnsi="Symbol"/>
      </w:rPr>
    </w:lvl>
    <w:lvl w:ilvl="7" w:tplc="6206E2D2">
      <w:start w:val="1"/>
      <w:numFmt w:val="bullet"/>
      <w:lvlText w:val="o"/>
      <w:lvlJc w:val="left"/>
      <w:pPr>
        <w:tabs>
          <w:tab w:val="num" w:pos="5760"/>
        </w:tabs>
        <w:ind w:left="5760" w:hanging="360"/>
      </w:pPr>
      <w:rPr>
        <w:rFonts w:ascii="Courier New" w:hAnsi="Courier New"/>
      </w:rPr>
    </w:lvl>
    <w:lvl w:ilvl="8" w:tplc="4880E92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1721C50">
      <w:start w:val="1"/>
      <w:numFmt w:val="bullet"/>
      <w:lvlText w:val=""/>
      <w:lvlJc w:val="left"/>
      <w:pPr>
        <w:ind w:left="720" w:hanging="360"/>
      </w:pPr>
      <w:rPr>
        <w:rFonts w:ascii="Symbol" w:hAnsi="Symbol"/>
      </w:rPr>
    </w:lvl>
    <w:lvl w:ilvl="1" w:tplc="6E52D57A">
      <w:start w:val="1"/>
      <w:numFmt w:val="bullet"/>
      <w:lvlText w:val="o"/>
      <w:lvlJc w:val="left"/>
      <w:pPr>
        <w:tabs>
          <w:tab w:val="num" w:pos="1440"/>
        </w:tabs>
        <w:ind w:left="1440" w:hanging="360"/>
      </w:pPr>
      <w:rPr>
        <w:rFonts w:ascii="Courier New" w:hAnsi="Courier New"/>
      </w:rPr>
    </w:lvl>
    <w:lvl w:ilvl="2" w:tplc="5E82204E">
      <w:start w:val="1"/>
      <w:numFmt w:val="bullet"/>
      <w:lvlText w:val=""/>
      <w:lvlJc w:val="left"/>
      <w:pPr>
        <w:tabs>
          <w:tab w:val="num" w:pos="2160"/>
        </w:tabs>
        <w:ind w:left="2160" w:hanging="360"/>
      </w:pPr>
      <w:rPr>
        <w:rFonts w:ascii="Wingdings" w:hAnsi="Wingdings"/>
      </w:rPr>
    </w:lvl>
    <w:lvl w:ilvl="3" w:tplc="B2F4EAA6">
      <w:start w:val="1"/>
      <w:numFmt w:val="bullet"/>
      <w:lvlText w:val=""/>
      <w:lvlJc w:val="left"/>
      <w:pPr>
        <w:tabs>
          <w:tab w:val="num" w:pos="2880"/>
        </w:tabs>
        <w:ind w:left="2880" w:hanging="360"/>
      </w:pPr>
      <w:rPr>
        <w:rFonts w:ascii="Symbol" w:hAnsi="Symbol"/>
      </w:rPr>
    </w:lvl>
    <w:lvl w:ilvl="4" w:tplc="7A269880">
      <w:start w:val="1"/>
      <w:numFmt w:val="bullet"/>
      <w:lvlText w:val="o"/>
      <w:lvlJc w:val="left"/>
      <w:pPr>
        <w:tabs>
          <w:tab w:val="num" w:pos="3600"/>
        </w:tabs>
        <w:ind w:left="3600" w:hanging="360"/>
      </w:pPr>
      <w:rPr>
        <w:rFonts w:ascii="Courier New" w:hAnsi="Courier New"/>
      </w:rPr>
    </w:lvl>
    <w:lvl w:ilvl="5" w:tplc="0A7EF670">
      <w:start w:val="1"/>
      <w:numFmt w:val="bullet"/>
      <w:lvlText w:val=""/>
      <w:lvlJc w:val="left"/>
      <w:pPr>
        <w:tabs>
          <w:tab w:val="num" w:pos="4320"/>
        </w:tabs>
        <w:ind w:left="4320" w:hanging="360"/>
      </w:pPr>
      <w:rPr>
        <w:rFonts w:ascii="Wingdings" w:hAnsi="Wingdings"/>
      </w:rPr>
    </w:lvl>
    <w:lvl w:ilvl="6" w:tplc="AB729E80">
      <w:start w:val="1"/>
      <w:numFmt w:val="bullet"/>
      <w:lvlText w:val=""/>
      <w:lvlJc w:val="left"/>
      <w:pPr>
        <w:tabs>
          <w:tab w:val="num" w:pos="5040"/>
        </w:tabs>
        <w:ind w:left="5040" w:hanging="360"/>
      </w:pPr>
      <w:rPr>
        <w:rFonts w:ascii="Symbol" w:hAnsi="Symbol"/>
      </w:rPr>
    </w:lvl>
    <w:lvl w:ilvl="7" w:tplc="3D7C2E1E">
      <w:start w:val="1"/>
      <w:numFmt w:val="bullet"/>
      <w:lvlText w:val="o"/>
      <w:lvlJc w:val="left"/>
      <w:pPr>
        <w:tabs>
          <w:tab w:val="num" w:pos="5760"/>
        </w:tabs>
        <w:ind w:left="5760" w:hanging="360"/>
      </w:pPr>
      <w:rPr>
        <w:rFonts w:ascii="Courier New" w:hAnsi="Courier New"/>
      </w:rPr>
    </w:lvl>
    <w:lvl w:ilvl="8" w:tplc="9E9AEEB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A9E3D86">
      <w:start w:val="1"/>
      <w:numFmt w:val="bullet"/>
      <w:lvlText w:val=""/>
      <w:lvlJc w:val="left"/>
      <w:pPr>
        <w:ind w:left="720" w:hanging="360"/>
      </w:pPr>
      <w:rPr>
        <w:rFonts w:ascii="Symbol" w:hAnsi="Symbol"/>
      </w:rPr>
    </w:lvl>
    <w:lvl w:ilvl="1" w:tplc="97D4315E">
      <w:start w:val="1"/>
      <w:numFmt w:val="bullet"/>
      <w:lvlText w:val="o"/>
      <w:lvlJc w:val="left"/>
      <w:pPr>
        <w:tabs>
          <w:tab w:val="num" w:pos="1440"/>
        </w:tabs>
        <w:ind w:left="1440" w:hanging="360"/>
      </w:pPr>
      <w:rPr>
        <w:rFonts w:ascii="Courier New" w:hAnsi="Courier New"/>
      </w:rPr>
    </w:lvl>
    <w:lvl w:ilvl="2" w:tplc="619282FC">
      <w:start w:val="1"/>
      <w:numFmt w:val="bullet"/>
      <w:lvlText w:val=""/>
      <w:lvlJc w:val="left"/>
      <w:pPr>
        <w:tabs>
          <w:tab w:val="num" w:pos="2160"/>
        </w:tabs>
        <w:ind w:left="2160" w:hanging="360"/>
      </w:pPr>
      <w:rPr>
        <w:rFonts w:ascii="Wingdings" w:hAnsi="Wingdings"/>
      </w:rPr>
    </w:lvl>
    <w:lvl w:ilvl="3" w:tplc="7856FE08">
      <w:start w:val="1"/>
      <w:numFmt w:val="bullet"/>
      <w:lvlText w:val=""/>
      <w:lvlJc w:val="left"/>
      <w:pPr>
        <w:tabs>
          <w:tab w:val="num" w:pos="2880"/>
        </w:tabs>
        <w:ind w:left="2880" w:hanging="360"/>
      </w:pPr>
      <w:rPr>
        <w:rFonts w:ascii="Symbol" w:hAnsi="Symbol"/>
      </w:rPr>
    </w:lvl>
    <w:lvl w:ilvl="4" w:tplc="26D4DFEE">
      <w:start w:val="1"/>
      <w:numFmt w:val="bullet"/>
      <w:lvlText w:val="o"/>
      <w:lvlJc w:val="left"/>
      <w:pPr>
        <w:tabs>
          <w:tab w:val="num" w:pos="3600"/>
        </w:tabs>
        <w:ind w:left="3600" w:hanging="360"/>
      </w:pPr>
      <w:rPr>
        <w:rFonts w:ascii="Courier New" w:hAnsi="Courier New"/>
      </w:rPr>
    </w:lvl>
    <w:lvl w:ilvl="5" w:tplc="276A77C8">
      <w:start w:val="1"/>
      <w:numFmt w:val="bullet"/>
      <w:lvlText w:val=""/>
      <w:lvlJc w:val="left"/>
      <w:pPr>
        <w:tabs>
          <w:tab w:val="num" w:pos="4320"/>
        </w:tabs>
        <w:ind w:left="4320" w:hanging="360"/>
      </w:pPr>
      <w:rPr>
        <w:rFonts w:ascii="Wingdings" w:hAnsi="Wingdings"/>
      </w:rPr>
    </w:lvl>
    <w:lvl w:ilvl="6" w:tplc="CD222206">
      <w:start w:val="1"/>
      <w:numFmt w:val="bullet"/>
      <w:lvlText w:val=""/>
      <w:lvlJc w:val="left"/>
      <w:pPr>
        <w:tabs>
          <w:tab w:val="num" w:pos="5040"/>
        </w:tabs>
        <w:ind w:left="5040" w:hanging="360"/>
      </w:pPr>
      <w:rPr>
        <w:rFonts w:ascii="Symbol" w:hAnsi="Symbol"/>
      </w:rPr>
    </w:lvl>
    <w:lvl w:ilvl="7" w:tplc="9FB43CB2">
      <w:start w:val="1"/>
      <w:numFmt w:val="bullet"/>
      <w:lvlText w:val="o"/>
      <w:lvlJc w:val="left"/>
      <w:pPr>
        <w:tabs>
          <w:tab w:val="num" w:pos="5760"/>
        </w:tabs>
        <w:ind w:left="5760" w:hanging="360"/>
      </w:pPr>
      <w:rPr>
        <w:rFonts w:ascii="Courier New" w:hAnsi="Courier New"/>
      </w:rPr>
    </w:lvl>
    <w:lvl w:ilvl="8" w:tplc="027E098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E802838">
      <w:start w:val="1"/>
      <w:numFmt w:val="bullet"/>
      <w:lvlText w:val=""/>
      <w:lvlJc w:val="left"/>
      <w:pPr>
        <w:ind w:left="720" w:hanging="360"/>
      </w:pPr>
      <w:rPr>
        <w:rFonts w:ascii="Symbol" w:hAnsi="Symbol"/>
      </w:rPr>
    </w:lvl>
    <w:lvl w:ilvl="1" w:tplc="6E66B128">
      <w:start w:val="1"/>
      <w:numFmt w:val="bullet"/>
      <w:lvlText w:val="o"/>
      <w:lvlJc w:val="left"/>
      <w:pPr>
        <w:tabs>
          <w:tab w:val="num" w:pos="1440"/>
        </w:tabs>
        <w:ind w:left="1440" w:hanging="360"/>
      </w:pPr>
      <w:rPr>
        <w:rFonts w:ascii="Courier New" w:hAnsi="Courier New"/>
      </w:rPr>
    </w:lvl>
    <w:lvl w:ilvl="2" w:tplc="C5A6E5D4">
      <w:start w:val="1"/>
      <w:numFmt w:val="bullet"/>
      <w:lvlText w:val=""/>
      <w:lvlJc w:val="left"/>
      <w:pPr>
        <w:tabs>
          <w:tab w:val="num" w:pos="2160"/>
        </w:tabs>
        <w:ind w:left="2160" w:hanging="360"/>
      </w:pPr>
      <w:rPr>
        <w:rFonts w:ascii="Wingdings" w:hAnsi="Wingdings"/>
      </w:rPr>
    </w:lvl>
    <w:lvl w:ilvl="3" w:tplc="87AA05B8">
      <w:start w:val="1"/>
      <w:numFmt w:val="bullet"/>
      <w:lvlText w:val=""/>
      <w:lvlJc w:val="left"/>
      <w:pPr>
        <w:tabs>
          <w:tab w:val="num" w:pos="2880"/>
        </w:tabs>
        <w:ind w:left="2880" w:hanging="360"/>
      </w:pPr>
      <w:rPr>
        <w:rFonts w:ascii="Symbol" w:hAnsi="Symbol"/>
      </w:rPr>
    </w:lvl>
    <w:lvl w:ilvl="4" w:tplc="E40C3330">
      <w:start w:val="1"/>
      <w:numFmt w:val="bullet"/>
      <w:lvlText w:val="o"/>
      <w:lvlJc w:val="left"/>
      <w:pPr>
        <w:tabs>
          <w:tab w:val="num" w:pos="3600"/>
        </w:tabs>
        <w:ind w:left="3600" w:hanging="360"/>
      </w:pPr>
      <w:rPr>
        <w:rFonts w:ascii="Courier New" w:hAnsi="Courier New"/>
      </w:rPr>
    </w:lvl>
    <w:lvl w:ilvl="5" w:tplc="2EB2DF6C">
      <w:start w:val="1"/>
      <w:numFmt w:val="bullet"/>
      <w:lvlText w:val=""/>
      <w:lvlJc w:val="left"/>
      <w:pPr>
        <w:tabs>
          <w:tab w:val="num" w:pos="4320"/>
        </w:tabs>
        <w:ind w:left="4320" w:hanging="360"/>
      </w:pPr>
      <w:rPr>
        <w:rFonts w:ascii="Wingdings" w:hAnsi="Wingdings"/>
      </w:rPr>
    </w:lvl>
    <w:lvl w:ilvl="6" w:tplc="AD5C4E28">
      <w:start w:val="1"/>
      <w:numFmt w:val="bullet"/>
      <w:lvlText w:val=""/>
      <w:lvlJc w:val="left"/>
      <w:pPr>
        <w:tabs>
          <w:tab w:val="num" w:pos="5040"/>
        </w:tabs>
        <w:ind w:left="5040" w:hanging="360"/>
      </w:pPr>
      <w:rPr>
        <w:rFonts w:ascii="Symbol" w:hAnsi="Symbol"/>
      </w:rPr>
    </w:lvl>
    <w:lvl w:ilvl="7" w:tplc="EE3AAE8E">
      <w:start w:val="1"/>
      <w:numFmt w:val="bullet"/>
      <w:lvlText w:val="o"/>
      <w:lvlJc w:val="left"/>
      <w:pPr>
        <w:tabs>
          <w:tab w:val="num" w:pos="5760"/>
        </w:tabs>
        <w:ind w:left="5760" w:hanging="360"/>
      </w:pPr>
      <w:rPr>
        <w:rFonts w:ascii="Courier New" w:hAnsi="Courier New"/>
      </w:rPr>
    </w:lvl>
    <w:lvl w:ilvl="8" w:tplc="2088487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B45E137E">
      <w:start w:val="1"/>
      <w:numFmt w:val="bullet"/>
      <w:lvlText w:val=""/>
      <w:lvlJc w:val="left"/>
      <w:pPr>
        <w:ind w:left="720" w:hanging="360"/>
      </w:pPr>
      <w:rPr>
        <w:rFonts w:ascii="Symbol" w:hAnsi="Symbol"/>
      </w:rPr>
    </w:lvl>
    <w:lvl w:ilvl="1" w:tplc="2B5E1E88">
      <w:start w:val="1"/>
      <w:numFmt w:val="bullet"/>
      <w:lvlText w:val="o"/>
      <w:lvlJc w:val="left"/>
      <w:pPr>
        <w:tabs>
          <w:tab w:val="num" w:pos="1440"/>
        </w:tabs>
        <w:ind w:left="1440" w:hanging="360"/>
      </w:pPr>
      <w:rPr>
        <w:rFonts w:ascii="Courier New" w:hAnsi="Courier New"/>
      </w:rPr>
    </w:lvl>
    <w:lvl w:ilvl="2" w:tplc="9D684EA0">
      <w:start w:val="1"/>
      <w:numFmt w:val="bullet"/>
      <w:lvlText w:val=""/>
      <w:lvlJc w:val="left"/>
      <w:pPr>
        <w:tabs>
          <w:tab w:val="num" w:pos="2160"/>
        </w:tabs>
        <w:ind w:left="2160" w:hanging="360"/>
      </w:pPr>
      <w:rPr>
        <w:rFonts w:ascii="Wingdings" w:hAnsi="Wingdings"/>
      </w:rPr>
    </w:lvl>
    <w:lvl w:ilvl="3" w:tplc="CA2238A2">
      <w:start w:val="1"/>
      <w:numFmt w:val="bullet"/>
      <w:lvlText w:val=""/>
      <w:lvlJc w:val="left"/>
      <w:pPr>
        <w:tabs>
          <w:tab w:val="num" w:pos="2880"/>
        </w:tabs>
        <w:ind w:left="2880" w:hanging="360"/>
      </w:pPr>
      <w:rPr>
        <w:rFonts w:ascii="Symbol" w:hAnsi="Symbol"/>
      </w:rPr>
    </w:lvl>
    <w:lvl w:ilvl="4" w:tplc="30DE0548">
      <w:start w:val="1"/>
      <w:numFmt w:val="bullet"/>
      <w:lvlText w:val="o"/>
      <w:lvlJc w:val="left"/>
      <w:pPr>
        <w:tabs>
          <w:tab w:val="num" w:pos="3600"/>
        </w:tabs>
        <w:ind w:left="3600" w:hanging="360"/>
      </w:pPr>
      <w:rPr>
        <w:rFonts w:ascii="Courier New" w:hAnsi="Courier New"/>
      </w:rPr>
    </w:lvl>
    <w:lvl w:ilvl="5" w:tplc="F252F134">
      <w:start w:val="1"/>
      <w:numFmt w:val="bullet"/>
      <w:lvlText w:val=""/>
      <w:lvlJc w:val="left"/>
      <w:pPr>
        <w:tabs>
          <w:tab w:val="num" w:pos="4320"/>
        </w:tabs>
        <w:ind w:left="4320" w:hanging="360"/>
      </w:pPr>
      <w:rPr>
        <w:rFonts w:ascii="Wingdings" w:hAnsi="Wingdings"/>
      </w:rPr>
    </w:lvl>
    <w:lvl w:ilvl="6" w:tplc="0D16731A">
      <w:start w:val="1"/>
      <w:numFmt w:val="bullet"/>
      <w:lvlText w:val=""/>
      <w:lvlJc w:val="left"/>
      <w:pPr>
        <w:tabs>
          <w:tab w:val="num" w:pos="5040"/>
        </w:tabs>
        <w:ind w:left="5040" w:hanging="360"/>
      </w:pPr>
      <w:rPr>
        <w:rFonts w:ascii="Symbol" w:hAnsi="Symbol"/>
      </w:rPr>
    </w:lvl>
    <w:lvl w:ilvl="7" w:tplc="1174D088">
      <w:start w:val="1"/>
      <w:numFmt w:val="bullet"/>
      <w:lvlText w:val="o"/>
      <w:lvlJc w:val="left"/>
      <w:pPr>
        <w:tabs>
          <w:tab w:val="num" w:pos="5760"/>
        </w:tabs>
        <w:ind w:left="5760" w:hanging="360"/>
      </w:pPr>
      <w:rPr>
        <w:rFonts w:ascii="Courier New" w:hAnsi="Courier New"/>
      </w:rPr>
    </w:lvl>
    <w:lvl w:ilvl="8" w:tplc="8FAE98D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B6A433EE">
      <w:start w:val="1"/>
      <w:numFmt w:val="bullet"/>
      <w:lvlText w:val=""/>
      <w:lvlJc w:val="left"/>
      <w:pPr>
        <w:ind w:left="720" w:hanging="360"/>
      </w:pPr>
      <w:rPr>
        <w:rFonts w:ascii="Symbol" w:hAnsi="Symbol"/>
      </w:rPr>
    </w:lvl>
    <w:lvl w:ilvl="1" w:tplc="AD7280B0">
      <w:start w:val="1"/>
      <w:numFmt w:val="bullet"/>
      <w:lvlText w:val="o"/>
      <w:lvlJc w:val="left"/>
      <w:pPr>
        <w:tabs>
          <w:tab w:val="num" w:pos="1440"/>
        </w:tabs>
        <w:ind w:left="1440" w:hanging="360"/>
      </w:pPr>
      <w:rPr>
        <w:rFonts w:ascii="Courier New" w:hAnsi="Courier New"/>
      </w:rPr>
    </w:lvl>
    <w:lvl w:ilvl="2" w:tplc="3D42949C">
      <w:start w:val="1"/>
      <w:numFmt w:val="bullet"/>
      <w:lvlText w:val=""/>
      <w:lvlJc w:val="left"/>
      <w:pPr>
        <w:tabs>
          <w:tab w:val="num" w:pos="2160"/>
        </w:tabs>
        <w:ind w:left="2160" w:hanging="360"/>
      </w:pPr>
      <w:rPr>
        <w:rFonts w:ascii="Wingdings" w:hAnsi="Wingdings"/>
      </w:rPr>
    </w:lvl>
    <w:lvl w:ilvl="3" w:tplc="A9F6AFA6">
      <w:start w:val="1"/>
      <w:numFmt w:val="bullet"/>
      <w:lvlText w:val=""/>
      <w:lvlJc w:val="left"/>
      <w:pPr>
        <w:tabs>
          <w:tab w:val="num" w:pos="2880"/>
        </w:tabs>
        <w:ind w:left="2880" w:hanging="360"/>
      </w:pPr>
      <w:rPr>
        <w:rFonts w:ascii="Symbol" w:hAnsi="Symbol"/>
      </w:rPr>
    </w:lvl>
    <w:lvl w:ilvl="4" w:tplc="0428F4B0">
      <w:start w:val="1"/>
      <w:numFmt w:val="bullet"/>
      <w:lvlText w:val="o"/>
      <w:lvlJc w:val="left"/>
      <w:pPr>
        <w:tabs>
          <w:tab w:val="num" w:pos="3600"/>
        </w:tabs>
        <w:ind w:left="3600" w:hanging="360"/>
      </w:pPr>
      <w:rPr>
        <w:rFonts w:ascii="Courier New" w:hAnsi="Courier New"/>
      </w:rPr>
    </w:lvl>
    <w:lvl w:ilvl="5" w:tplc="86028DFE">
      <w:start w:val="1"/>
      <w:numFmt w:val="bullet"/>
      <w:lvlText w:val=""/>
      <w:lvlJc w:val="left"/>
      <w:pPr>
        <w:tabs>
          <w:tab w:val="num" w:pos="4320"/>
        </w:tabs>
        <w:ind w:left="4320" w:hanging="360"/>
      </w:pPr>
      <w:rPr>
        <w:rFonts w:ascii="Wingdings" w:hAnsi="Wingdings"/>
      </w:rPr>
    </w:lvl>
    <w:lvl w:ilvl="6" w:tplc="CE44B714">
      <w:start w:val="1"/>
      <w:numFmt w:val="bullet"/>
      <w:lvlText w:val=""/>
      <w:lvlJc w:val="left"/>
      <w:pPr>
        <w:tabs>
          <w:tab w:val="num" w:pos="5040"/>
        </w:tabs>
        <w:ind w:left="5040" w:hanging="360"/>
      </w:pPr>
      <w:rPr>
        <w:rFonts w:ascii="Symbol" w:hAnsi="Symbol"/>
      </w:rPr>
    </w:lvl>
    <w:lvl w:ilvl="7" w:tplc="2DEAB234">
      <w:start w:val="1"/>
      <w:numFmt w:val="bullet"/>
      <w:lvlText w:val="o"/>
      <w:lvlJc w:val="left"/>
      <w:pPr>
        <w:tabs>
          <w:tab w:val="num" w:pos="5760"/>
        </w:tabs>
        <w:ind w:left="5760" w:hanging="360"/>
      </w:pPr>
      <w:rPr>
        <w:rFonts w:ascii="Courier New" w:hAnsi="Courier New"/>
      </w:rPr>
    </w:lvl>
    <w:lvl w:ilvl="8" w:tplc="FE4E7F8E">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6C56AC50">
      <w:start w:val="1"/>
      <w:numFmt w:val="bullet"/>
      <w:lvlText w:val=""/>
      <w:lvlJc w:val="left"/>
      <w:pPr>
        <w:ind w:left="720" w:hanging="360"/>
      </w:pPr>
      <w:rPr>
        <w:rFonts w:ascii="Symbol" w:hAnsi="Symbol"/>
      </w:rPr>
    </w:lvl>
    <w:lvl w:ilvl="1" w:tplc="1304F096">
      <w:start w:val="1"/>
      <w:numFmt w:val="bullet"/>
      <w:lvlText w:val="o"/>
      <w:lvlJc w:val="left"/>
      <w:pPr>
        <w:tabs>
          <w:tab w:val="num" w:pos="1440"/>
        </w:tabs>
        <w:ind w:left="1440" w:hanging="360"/>
      </w:pPr>
      <w:rPr>
        <w:rFonts w:ascii="Courier New" w:hAnsi="Courier New"/>
      </w:rPr>
    </w:lvl>
    <w:lvl w:ilvl="2" w:tplc="529C8F2A">
      <w:start w:val="1"/>
      <w:numFmt w:val="bullet"/>
      <w:lvlText w:val=""/>
      <w:lvlJc w:val="left"/>
      <w:pPr>
        <w:tabs>
          <w:tab w:val="num" w:pos="2160"/>
        </w:tabs>
        <w:ind w:left="2160" w:hanging="360"/>
      </w:pPr>
      <w:rPr>
        <w:rFonts w:ascii="Wingdings" w:hAnsi="Wingdings"/>
      </w:rPr>
    </w:lvl>
    <w:lvl w:ilvl="3" w:tplc="D5ACCDDA">
      <w:start w:val="1"/>
      <w:numFmt w:val="bullet"/>
      <w:lvlText w:val=""/>
      <w:lvlJc w:val="left"/>
      <w:pPr>
        <w:tabs>
          <w:tab w:val="num" w:pos="2880"/>
        </w:tabs>
        <w:ind w:left="2880" w:hanging="360"/>
      </w:pPr>
      <w:rPr>
        <w:rFonts w:ascii="Symbol" w:hAnsi="Symbol"/>
      </w:rPr>
    </w:lvl>
    <w:lvl w:ilvl="4" w:tplc="DDD4D226">
      <w:start w:val="1"/>
      <w:numFmt w:val="bullet"/>
      <w:lvlText w:val="o"/>
      <w:lvlJc w:val="left"/>
      <w:pPr>
        <w:tabs>
          <w:tab w:val="num" w:pos="3600"/>
        </w:tabs>
        <w:ind w:left="3600" w:hanging="360"/>
      </w:pPr>
      <w:rPr>
        <w:rFonts w:ascii="Courier New" w:hAnsi="Courier New"/>
      </w:rPr>
    </w:lvl>
    <w:lvl w:ilvl="5" w:tplc="BCCE9BE2">
      <w:start w:val="1"/>
      <w:numFmt w:val="bullet"/>
      <w:lvlText w:val=""/>
      <w:lvlJc w:val="left"/>
      <w:pPr>
        <w:tabs>
          <w:tab w:val="num" w:pos="4320"/>
        </w:tabs>
        <w:ind w:left="4320" w:hanging="360"/>
      </w:pPr>
      <w:rPr>
        <w:rFonts w:ascii="Wingdings" w:hAnsi="Wingdings"/>
      </w:rPr>
    </w:lvl>
    <w:lvl w:ilvl="6" w:tplc="A1CEED98">
      <w:start w:val="1"/>
      <w:numFmt w:val="bullet"/>
      <w:lvlText w:val=""/>
      <w:lvlJc w:val="left"/>
      <w:pPr>
        <w:tabs>
          <w:tab w:val="num" w:pos="5040"/>
        </w:tabs>
        <w:ind w:left="5040" w:hanging="360"/>
      </w:pPr>
      <w:rPr>
        <w:rFonts w:ascii="Symbol" w:hAnsi="Symbol"/>
      </w:rPr>
    </w:lvl>
    <w:lvl w:ilvl="7" w:tplc="A81CD664">
      <w:start w:val="1"/>
      <w:numFmt w:val="bullet"/>
      <w:lvlText w:val="o"/>
      <w:lvlJc w:val="left"/>
      <w:pPr>
        <w:tabs>
          <w:tab w:val="num" w:pos="5760"/>
        </w:tabs>
        <w:ind w:left="5760" w:hanging="360"/>
      </w:pPr>
      <w:rPr>
        <w:rFonts w:ascii="Courier New" w:hAnsi="Courier New"/>
      </w:rPr>
    </w:lvl>
    <w:lvl w:ilvl="8" w:tplc="3E7A20F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23C81B76">
      <w:start w:val="1"/>
      <w:numFmt w:val="bullet"/>
      <w:lvlText w:val=""/>
      <w:lvlJc w:val="left"/>
      <w:pPr>
        <w:ind w:left="720" w:hanging="360"/>
      </w:pPr>
      <w:rPr>
        <w:rFonts w:ascii="Symbol" w:hAnsi="Symbol"/>
      </w:rPr>
    </w:lvl>
    <w:lvl w:ilvl="1" w:tplc="DA6C1474">
      <w:start w:val="1"/>
      <w:numFmt w:val="bullet"/>
      <w:lvlText w:val="o"/>
      <w:lvlJc w:val="left"/>
      <w:pPr>
        <w:tabs>
          <w:tab w:val="num" w:pos="1440"/>
        </w:tabs>
        <w:ind w:left="1440" w:hanging="360"/>
      </w:pPr>
      <w:rPr>
        <w:rFonts w:ascii="Courier New" w:hAnsi="Courier New"/>
      </w:rPr>
    </w:lvl>
    <w:lvl w:ilvl="2" w:tplc="25126F82">
      <w:start w:val="1"/>
      <w:numFmt w:val="bullet"/>
      <w:lvlText w:val=""/>
      <w:lvlJc w:val="left"/>
      <w:pPr>
        <w:tabs>
          <w:tab w:val="num" w:pos="2160"/>
        </w:tabs>
        <w:ind w:left="2160" w:hanging="360"/>
      </w:pPr>
      <w:rPr>
        <w:rFonts w:ascii="Wingdings" w:hAnsi="Wingdings"/>
      </w:rPr>
    </w:lvl>
    <w:lvl w:ilvl="3" w:tplc="6F28C2FE">
      <w:start w:val="1"/>
      <w:numFmt w:val="bullet"/>
      <w:lvlText w:val=""/>
      <w:lvlJc w:val="left"/>
      <w:pPr>
        <w:tabs>
          <w:tab w:val="num" w:pos="2880"/>
        </w:tabs>
        <w:ind w:left="2880" w:hanging="360"/>
      </w:pPr>
      <w:rPr>
        <w:rFonts w:ascii="Symbol" w:hAnsi="Symbol"/>
      </w:rPr>
    </w:lvl>
    <w:lvl w:ilvl="4" w:tplc="FB407354">
      <w:start w:val="1"/>
      <w:numFmt w:val="bullet"/>
      <w:lvlText w:val="o"/>
      <w:lvlJc w:val="left"/>
      <w:pPr>
        <w:tabs>
          <w:tab w:val="num" w:pos="3600"/>
        </w:tabs>
        <w:ind w:left="3600" w:hanging="360"/>
      </w:pPr>
      <w:rPr>
        <w:rFonts w:ascii="Courier New" w:hAnsi="Courier New"/>
      </w:rPr>
    </w:lvl>
    <w:lvl w:ilvl="5" w:tplc="FA146752">
      <w:start w:val="1"/>
      <w:numFmt w:val="bullet"/>
      <w:lvlText w:val=""/>
      <w:lvlJc w:val="left"/>
      <w:pPr>
        <w:tabs>
          <w:tab w:val="num" w:pos="4320"/>
        </w:tabs>
        <w:ind w:left="4320" w:hanging="360"/>
      </w:pPr>
      <w:rPr>
        <w:rFonts w:ascii="Wingdings" w:hAnsi="Wingdings"/>
      </w:rPr>
    </w:lvl>
    <w:lvl w:ilvl="6" w:tplc="399455C4">
      <w:start w:val="1"/>
      <w:numFmt w:val="bullet"/>
      <w:lvlText w:val=""/>
      <w:lvlJc w:val="left"/>
      <w:pPr>
        <w:tabs>
          <w:tab w:val="num" w:pos="5040"/>
        </w:tabs>
        <w:ind w:left="5040" w:hanging="360"/>
      </w:pPr>
      <w:rPr>
        <w:rFonts w:ascii="Symbol" w:hAnsi="Symbol"/>
      </w:rPr>
    </w:lvl>
    <w:lvl w:ilvl="7" w:tplc="9E0C9EF2">
      <w:start w:val="1"/>
      <w:numFmt w:val="bullet"/>
      <w:lvlText w:val="o"/>
      <w:lvlJc w:val="left"/>
      <w:pPr>
        <w:tabs>
          <w:tab w:val="num" w:pos="5760"/>
        </w:tabs>
        <w:ind w:left="5760" w:hanging="360"/>
      </w:pPr>
      <w:rPr>
        <w:rFonts w:ascii="Courier New" w:hAnsi="Courier New"/>
      </w:rPr>
    </w:lvl>
    <w:lvl w:ilvl="8" w:tplc="5302E7F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3B01"/>
    <w:rsid w:val="00012DC2"/>
    <w:rsid w:val="00112607"/>
    <w:rsid w:val="00197C6B"/>
    <w:rsid w:val="001A1D29"/>
    <w:rsid w:val="001D3014"/>
    <w:rsid w:val="00250E1C"/>
    <w:rsid w:val="002E2C23"/>
    <w:rsid w:val="00307CF7"/>
    <w:rsid w:val="00312668"/>
    <w:rsid w:val="00320620"/>
    <w:rsid w:val="00343B7F"/>
    <w:rsid w:val="0035271F"/>
    <w:rsid w:val="003A2574"/>
    <w:rsid w:val="003D4E00"/>
    <w:rsid w:val="0045066C"/>
    <w:rsid w:val="00462B18"/>
    <w:rsid w:val="00487B87"/>
    <w:rsid w:val="004B2721"/>
    <w:rsid w:val="00500AA9"/>
    <w:rsid w:val="00510CDF"/>
    <w:rsid w:val="00514D30"/>
    <w:rsid w:val="00541152"/>
    <w:rsid w:val="00564D4F"/>
    <w:rsid w:val="00607BDE"/>
    <w:rsid w:val="006C5BC5"/>
    <w:rsid w:val="00835D17"/>
    <w:rsid w:val="008402E9"/>
    <w:rsid w:val="008C7C03"/>
    <w:rsid w:val="0091638C"/>
    <w:rsid w:val="009A5510"/>
    <w:rsid w:val="00A26EB2"/>
    <w:rsid w:val="00A77B3E"/>
    <w:rsid w:val="00AA206C"/>
    <w:rsid w:val="00AB3A0E"/>
    <w:rsid w:val="00AC7127"/>
    <w:rsid w:val="00BC0B75"/>
    <w:rsid w:val="00BC50B2"/>
    <w:rsid w:val="00C401B9"/>
    <w:rsid w:val="00CA2A55"/>
    <w:rsid w:val="00CB4E2C"/>
    <w:rsid w:val="00D43F8C"/>
    <w:rsid w:val="00D87FDC"/>
    <w:rsid w:val="00E6452A"/>
    <w:rsid w:val="00E67CD7"/>
    <w:rsid w:val="00F06B4A"/>
    <w:rsid w:val="00F77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74BEF"/>
  <w15:docId w15:val="{7562FF7A-D75B-44FC-9FA2-F3A79565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7127"/>
    <w:rPr>
      <w:sz w:val="24"/>
      <w:szCs w:val="24"/>
    </w:rPr>
  </w:style>
  <w:style w:type="paragraph" w:styleId="Nagwek1">
    <w:name w:val="heading 1"/>
    <w:basedOn w:val="Normalny"/>
    <w:next w:val="Normalny"/>
    <w:qFormat/>
    <w:rsid w:val="00EF7B9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F7B96"/>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F7B96"/>
    <w:pPr>
      <w:keepNext/>
      <w:spacing w:before="240" w:after="60"/>
      <w:outlineLvl w:val="2"/>
    </w:pPr>
    <w:rPr>
      <w:rFonts w:ascii="Arial" w:hAnsi="Arial" w:cs="Arial"/>
      <w:b/>
      <w:bCs/>
      <w:sz w:val="26"/>
      <w:szCs w:val="26"/>
    </w:rPr>
  </w:style>
  <w:style w:type="paragraph" w:styleId="Nagwek4">
    <w:name w:val="heading 4"/>
    <w:basedOn w:val="Normalny"/>
    <w:next w:val="Normalny"/>
    <w:qFormat/>
    <w:rsid w:val="00EF7B96"/>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805BCE"/>
  </w:style>
  <w:style w:type="character" w:styleId="Hipercze">
    <w:name w:val="Hyperlink"/>
    <w:basedOn w:val="Domylnaczcionkaakapitu"/>
    <w:uiPriority w:val="99"/>
    <w:rsid w:val="00EF7B96"/>
    <w:rPr>
      <w:color w:val="0000FF"/>
      <w:u w:val="single"/>
    </w:rPr>
  </w:style>
  <w:style w:type="paragraph" w:styleId="Spistreci2">
    <w:name w:val="toc 2"/>
    <w:basedOn w:val="Normalny"/>
    <w:next w:val="Normalny"/>
    <w:autoRedefine/>
    <w:uiPriority w:val="39"/>
    <w:rsid w:val="00805BCE"/>
    <w:pPr>
      <w:ind w:left="240"/>
    </w:pPr>
  </w:style>
  <w:style w:type="paragraph" w:styleId="Spistreci3">
    <w:name w:val="toc 3"/>
    <w:basedOn w:val="Normalny"/>
    <w:next w:val="Normalny"/>
    <w:autoRedefine/>
    <w:uiPriority w:val="39"/>
    <w:rsid w:val="00805BCE"/>
    <w:pPr>
      <w:ind w:left="480"/>
    </w:pPr>
  </w:style>
  <w:style w:type="paragraph" w:styleId="Spistreci4">
    <w:name w:val="toc 4"/>
    <w:basedOn w:val="Normalny"/>
    <w:next w:val="Normalny"/>
    <w:autoRedefine/>
    <w:uiPriority w:val="39"/>
    <w:rsid w:val="00805BCE"/>
    <w:pPr>
      <w:ind w:left="720"/>
    </w:pPr>
  </w:style>
  <w:style w:type="character" w:styleId="Odwoaniedokomentarza">
    <w:name w:val="annotation reference"/>
    <w:basedOn w:val="Domylnaczcionkaakapitu"/>
    <w:semiHidden/>
    <w:unhideWhenUsed/>
    <w:rsid w:val="00541152"/>
    <w:rPr>
      <w:sz w:val="16"/>
      <w:szCs w:val="16"/>
    </w:rPr>
  </w:style>
  <w:style w:type="paragraph" w:styleId="Tekstkomentarza">
    <w:name w:val="annotation text"/>
    <w:basedOn w:val="Normalny"/>
    <w:link w:val="TekstkomentarzaZnak"/>
    <w:semiHidden/>
    <w:unhideWhenUsed/>
    <w:rsid w:val="00541152"/>
    <w:rPr>
      <w:sz w:val="20"/>
      <w:szCs w:val="20"/>
    </w:rPr>
  </w:style>
  <w:style w:type="character" w:customStyle="1" w:styleId="TekstkomentarzaZnak">
    <w:name w:val="Tekst komentarza Znak"/>
    <w:basedOn w:val="Domylnaczcionkaakapitu"/>
    <w:link w:val="Tekstkomentarza"/>
    <w:semiHidden/>
    <w:rsid w:val="00541152"/>
  </w:style>
  <w:style w:type="paragraph" w:styleId="Tematkomentarza">
    <w:name w:val="annotation subject"/>
    <w:basedOn w:val="Tekstkomentarza"/>
    <w:next w:val="Tekstkomentarza"/>
    <w:link w:val="TematkomentarzaZnak"/>
    <w:semiHidden/>
    <w:unhideWhenUsed/>
    <w:rsid w:val="00541152"/>
    <w:rPr>
      <w:b/>
      <w:bCs/>
    </w:rPr>
  </w:style>
  <w:style w:type="character" w:customStyle="1" w:styleId="TematkomentarzaZnak">
    <w:name w:val="Temat komentarza Znak"/>
    <w:basedOn w:val="TekstkomentarzaZnak"/>
    <w:link w:val="Tematkomentarza"/>
    <w:semiHidden/>
    <w:rsid w:val="00541152"/>
    <w:rPr>
      <w:b/>
      <w:bCs/>
    </w:rPr>
  </w:style>
  <w:style w:type="paragraph" w:styleId="Tekstdymka">
    <w:name w:val="Balloon Text"/>
    <w:basedOn w:val="Normalny"/>
    <w:link w:val="TekstdymkaZnak"/>
    <w:semiHidden/>
    <w:unhideWhenUsed/>
    <w:rsid w:val="00541152"/>
    <w:rPr>
      <w:rFonts w:ascii="Segoe UI" w:hAnsi="Segoe UI" w:cs="Segoe UI"/>
      <w:sz w:val="18"/>
      <w:szCs w:val="18"/>
    </w:rPr>
  </w:style>
  <w:style w:type="character" w:customStyle="1" w:styleId="TekstdymkaZnak">
    <w:name w:val="Tekst dymka Znak"/>
    <w:basedOn w:val="Domylnaczcionkaakapitu"/>
    <w:link w:val="Tekstdymka"/>
    <w:semiHidden/>
    <w:rsid w:val="00541152"/>
    <w:rPr>
      <w:rFonts w:ascii="Segoe UI" w:hAnsi="Segoe UI" w:cs="Segoe UI"/>
      <w:sz w:val="18"/>
      <w:szCs w:val="18"/>
    </w:rPr>
  </w:style>
  <w:style w:type="character" w:styleId="UyteHipercze">
    <w:name w:val="FollowedHyperlink"/>
    <w:basedOn w:val="Domylnaczcionkaakapitu"/>
    <w:semiHidden/>
    <w:unhideWhenUsed/>
    <w:rsid w:val="00307CF7"/>
    <w:rPr>
      <w:color w:val="800080" w:themeColor="followedHyperlink"/>
      <w:u w:val="single"/>
    </w:rPr>
  </w:style>
  <w:style w:type="paragraph" w:styleId="Poprawka">
    <w:name w:val="Revision"/>
    <w:hidden/>
    <w:uiPriority w:val="99"/>
    <w:semiHidden/>
    <w:rsid w:val="004B27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8.xml"/><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1.xml"/><Relationship Id="rId76" Type="http://schemas.openxmlformats.org/officeDocument/2006/relationships/header" Target="header35.xml"/><Relationship Id="rId84" Type="http://schemas.openxmlformats.org/officeDocument/2006/relationships/footer" Target="footer39.xml"/><Relationship Id="rId89" Type="http://schemas.openxmlformats.org/officeDocument/2006/relationships/footer" Target="footer41.xml"/><Relationship Id="rId97" Type="http://schemas.openxmlformats.org/officeDocument/2006/relationships/header" Target="header45.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3.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footer" Target="footer30.xml"/><Relationship Id="rId74" Type="http://schemas.openxmlformats.org/officeDocument/2006/relationships/footer" Target="footer34.xml"/><Relationship Id="rId79" Type="http://schemas.openxmlformats.org/officeDocument/2006/relationships/header" Target="header36.xml"/><Relationship Id="rId87" Type="http://schemas.openxmlformats.org/officeDocument/2006/relationships/header" Target="header40.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header" Target="header38.xml"/><Relationship Id="rId90" Type="http://schemas.openxmlformats.org/officeDocument/2006/relationships/footer" Target="footer42.xml"/><Relationship Id="rId95" Type="http://schemas.openxmlformats.org/officeDocument/2006/relationships/footer" Target="footer44.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5.xm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header" Target="header30.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eader" Target="header23.xml"/><Relationship Id="rId60" Type="http://schemas.openxmlformats.org/officeDocument/2006/relationships/footer" Target="footer27.xml"/><Relationship Id="rId65" Type="http://schemas.openxmlformats.org/officeDocument/2006/relationships/footer" Target="footer29.xml"/><Relationship Id="rId73" Type="http://schemas.openxmlformats.org/officeDocument/2006/relationships/header" Target="header33.xml"/><Relationship Id="rId78" Type="http://schemas.openxmlformats.org/officeDocument/2006/relationships/footer" Target="footer36.xml"/><Relationship Id="rId81" Type="http://schemas.openxmlformats.org/officeDocument/2006/relationships/header" Target="header37.xml"/><Relationship Id="rId86" Type="http://schemas.openxmlformats.org/officeDocument/2006/relationships/footer" Target="footer40.xml"/><Relationship Id="rId94" Type="http://schemas.openxmlformats.org/officeDocument/2006/relationships/header" Target="header44.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0B56-8A27-46BF-BFD8-56BDED3F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15907</Words>
  <Characters>95447</Characters>
  <Application>Microsoft Office Word</Application>
  <DocSecurity>0</DocSecurity>
  <Lines>795</Lines>
  <Paragraphs>222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Martiszek Agata</dc:creator>
  <cp:lastModifiedBy>Winiarska Natalia</cp:lastModifiedBy>
  <cp:revision>2</cp:revision>
  <dcterms:created xsi:type="dcterms:W3CDTF">2023-03-29T13:18:00Z</dcterms:created>
  <dcterms:modified xsi:type="dcterms:W3CDTF">2023-03-29T13:18:00Z</dcterms:modified>
</cp:coreProperties>
</file>