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6061" w14:textId="77777777" w:rsidR="00A77B3E" w:rsidRDefault="00FF641A">
      <w:pPr>
        <w:jc w:val="center"/>
        <w:rPr>
          <w:b/>
          <w:caps/>
        </w:rPr>
      </w:pPr>
      <w:r>
        <w:rPr>
          <w:b/>
          <w:caps/>
        </w:rPr>
        <w:t>Zarządzenie</w:t>
      </w:r>
      <w:r>
        <w:br/>
      </w:r>
      <w:r>
        <w:rPr>
          <w:b/>
          <w:caps/>
        </w:rPr>
        <w:t>Regionalnego Dyrektora Ochrony Środowiska w Warszawie</w:t>
      </w:r>
    </w:p>
    <w:p w14:paraId="233B32BF" w14:textId="6CFFBAAC" w:rsidR="00A77B3E" w:rsidRDefault="00FF641A">
      <w:pPr>
        <w:spacing w:before="280" w:after="280"/>
        <w:jc w:val="center"/>
        <w:rPr>
          <w:b/>
          <w:caps/>
        </w:rPr>
      </w:pPr>
      <w:r>
        <w:t>z dnia .................... </w:t>
      </w:r>
      <w:r w:rsidR="001D11BE">
        <w:t>2025</w:t>
      </w:r>
      <w:r>
        <w:t> r.</w:t>
      </w:r>
    </w:p>
    <w:p w14:paraId="31168422" w14:textId="77777777" w:rsidR="00A77B3E" w:rsidRDefault="00FF641A">
      <w:pPr>
        <w:keepNext/>
        <w:spacing w:after="480"/>
        <w:jc w:val="center"/>
      </w:pPr>
      <w:r>
        <w:rPr>
          <w:b/>
        </w:rPr>
        <w:t>w sprawie ustanowienia planu zadań ochronnych dla obszaru Natura 2000 Torfowisko Serafin PLH140057</w:t>
      </w:r>
    </w:p>
    <w:p w14:paraId="47D7CF6A" w14:textId="27D12608" w:rsidR="00A77B3E" w:rsidRDefault="00FF641A">
      <w:pPr>
        <w:keepLines/>
        <w:spacing w:before="120" w:after="120" w:line="360" w:lineRule="auto"/>
        <w:ind w:firstLine="227"/>
      </w:pPr>
      <w:r>
        <w:t xml:space="preserve">Na podstawie art. 28 ust. 5 ustawy z dnia 16 kwietnia 2004 r. o ochronie przyrody </w:t>
      </w:r>
      <w:r w:rsidRPr="00FF641A">
        <w:t>(</w:t>
      </w:r>
      <w:r w:rsidR="00B17E26" w:rsidRPr="00B17E26">
        <w:t>Dz. U. z 2024 r. poz. 1478 i  1940 oraz z 2025 r. poz. 884</w:t>
      </w:r>
      <w:r w:rsidRPr="00FF641A">
        <w:t>)</w:t>
      </w:r>
      <w:r>
        <w:t> zarządza się, co następuje:</w:t>
      </w:r>
    </w:p>
    <w:p w14:paraId="3D3CDECA" w14:textId="77777777" w:rsidR="00A77B3E" w:rsidRDefault="00FF641A">
      <w:pPr>
        <w:keepLines/>
        <w:spacing w:before="120" w:after="120" w:line="360" w:lineRule="auto"/>
        <w:ind w:firstLine="340"/>
      </w:pPr>
      <w:r>
        <w:rPr>
          <w:b/>
        </w:rPr>
        <w:t>§ 1. </w:t>
      </w:r>
      <w:r>
        <w:t>Ustanawia się  plan zadań ochronnych dla obszaru Natura 2000 Torfowisko Serafin PLH140057, zwanego dalej „obszarem Natura 2000”.</w:t>
      </w:r>
    </w:p>
    <w:p w14:paraId="633BB795" w14:textId="77777777" w:rsidR="00A77B3E" w:rsidRDefault="00FF641A">
      <w:pPr>
        <w:keepLines/>
        <w:spacing w:before="120" w:after="120" w:line="360" w:lineRule="auto"/>
        <w:ind w:firstLine="340"/>
      </w:pPr>
      <w:r>
        <w:rPr>
          <w:b/>
        </w:rPr>
        <w:t>§ 2. </w:t>
      </w:r>
      <w:r>
        <w:t>Opis granic obszaru Natura 2000 określa załącznik nr 1 do zarządzenia.</w:t>
      </w:r>
    </w:p>
    <w:p w14:paraId="04FEC4EC" w14:textId="77777777" w:rsidR="00A77B3E" w:rsidRDefault="00FF641A">
      <w:pPr>
        <w:keepLines/>
        <w:spacing w:before="120" w:after="120" w:line="360" w:lineRule="auto"/>
        <w:ind w:firstLine="340"/>
      </w:pPr>
      <w:r>
        <w:rPr>
          <w:b/>
        </w:rPr>
        <w:t>§ 3. </w:t>
      </w:r>
      <w:r>
        <w:t>Mapę obszaru Natura 2000 określa załącznik nr 2 do zarządzenia.</w:t>
      </w:r>
    </w:p>
    <w:p w14:paraId="3CD53387" w14:textId="77777777" w:rsidR="00A77B3E" w:rsidRDefault="00FF641A">
      <w:pPr>
        <w:keepLines/>
        <w:spacing w:before="120" w:after="120" w:line="360" w:lineRule="auto"/>
        <w:ind w:firstLine="340"/>
      </w:pPr>
      <w:r>
        <w:rPr>
          <w:b/>
        </w:rPr>
        <w:t>§ 4. </w:t>
      </w:r>
      <w:r>
        <w:t>Identyfikację istniejących i potencjalnych zagrożeń dla zachowania właściwego stanu ochrony siedlisk przyrodniczych oraz gatunków roślin i ich siedlisk będących przedmiotami ochrony w obszarze Natura 2000 określa załącznik nr 3 do zarządzenia.</w:t>
      </w:r>
    </w:p>
    <w:p w14:paraId="5A2698CF" w14:textId="77777777" w:rsidR="00A77B3E" w:rsidRDefault="00FF641A">
      <w:pPr>
        <w:keepLines/>
        <w:spacing w:before="120" w:after="120" w:line="360" w:lineRule="auto"/>
        <w:ind w:firstLine="340"/>
      </w:pPr>
      <w:r>
        <w:rPr>
          <w:b/>
        </w:rPr>
        <w:t>§ 7. </w:t>
      </w:r>
      <w:r>
        <w:t>Cele działań ochronnych w obszarze Natura 2000 określa załącznik nr 4 do zarządzenia.</w:t>
      </w:r>
    </w:p>
    <w:p w14:paraId="15C12414" w14:textId="77777777" w:rsidR="00A77B3E" w:rsidRDefault="00FF641A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Działania ochronne dla obszaru Natura 2000 ze wskazaniem podmiotów odpowiedzialnych za ich wykonanie i obszarów ich wdrażania określa załącznik nr 5 do zarządzenia.</w:t>
      </w:r>
    </w:p>
    <w:p w14:paraId="2D91D5CE" w14:textId="77777777" w:rsidR="00A77B3E" w:rsidRDefault="00FF641A">
      <w:pPr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Obszar wdrażania działań, o których mowa w ust. 1, określa załącznik nr 6 do zarządzenia.</w:t>
      </w:r>
    </w:p>
    <w:p w14:paraId="4EC3FEB3" w14:textId="77777777" w:rsidR="00A77B3E" w:rsidRDefault="00FF641A">
      <w:pPr>
        <w:keepNext/>
        <w:keepLines/>
        <w:spacing w:before="120" w:after="120" w:line="360" w:lineRule="auto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rPr>
          <w:color w:val="000000"/>
          <w:u w:color="000000"/>
        </w:rPr>
        <w:t>Zarządzenie wchodzi w życie po upływie 14 dni od dnia ogłoszenia.</w:t>
      </w:r>
    </w:p>
    <w:p w14:paraId="500F0213" w14:textId="77777777" w:rsidR="00A77B3E" w:rsidRDefault="00A77B3E">
      <w:pPr>
        <w:keepNext/>
        <w:keepLines/>
        <w:spacing w:before="120" w:after="120" w:line="360" w:lineRule="auto"/>
        <w:ind w:firstLine="340"/>
        <w:rPr>
          <w:color w:val="000000"/>
          <w:u w:color="000000"/>
        </w:rPr>
      </w:pPr>
    </w:p>
    <w:p w14:paraId="6ACF8611" w14:textId="77777777" w:rsidR="00A77B3E" w:rsidRDefault="00FF641A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CF1ED3" w14:paraId="5C8AAFD8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571AFC" w14:textId="77777777" w:rsidR="00CF1ED3" w:rsidRDefault="00CF1ED3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B30319" w14:textId="77777777" w:rsidR="00CF1ED3" w:rsidRDefault="00FF641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</w:rPr>
            </w:pPr>
            <w:r>
              <w:rPr>
                <w:color w:val="000000"/>
              </w:rPr>
              <w:t>Regionalny Dyrektor Ochrony Środowiska w Warszawie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Jacek Lolo</w:t>
            </w:r>
          </w:p>
        </w:tc>
      </w:tr>
    </w:tbl>
    <w:p w14:paraId="4F88E289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14:paraId="51677F48" w14:textId="4A1AADEE" w:rsidR="00A77B3E" w:rsidRDefault="00FF641A" w:rsidP="00B17E26">
      <w:pPr>
        <w:keepNext/>
        <w:spacing w:before="120" w:after="120" w:line="360" w:lineRule="auto"/>
        <w:ind w:left="4820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</w:t>
      </w:r>
      <w:r w:rsidR="00B17E26">
        <w:rPr>
          <w:color w:val="000000"/>
          <w:u w:color="000000"/>
        </w:rPr>
        <w:t>i</w:t>
      </w:r>
      <w:r>
        <w:rPr>
          <w:color w:val="000000"/>
          <w:u w:color="000000"/>
        </w:rPr>
        <w:t xml:space="preserve"> do zarządzenia</w:t>
      </w:r>
      <w:r>
        <w:rPr>
          <w:color w:val="000000"/>
          <w:u w:color="000000"/>
        </w:rPr>
        <w:br/>
        <w:t>Regionalnego Dyrektora Ochrony Środowiska w Warszawie</w:t>
      </w:r>
      <w:r>
        <w:rPr>
          <w:color w:val="000000"/>
          <w:u w:color="000000"/>
        </w:rPr>
        <w:br/>
        <w:t>z dnia....................2024 r.</w:t>
      </w:r>
    </w:p>
    <w:p w14:paraId="4ECD3BB5" w14:textId="59A68BC9" w:rsidR="00B17E26" w:rsidRDefault="00B17E26" w:rsidP="00B17E26">
      <w:pPr>
        <w:keepNext/>
        <w:spacing w:after="120"/>
        <w:jc w:val="center"/>
        <w:rPr>
          <w:b/>
          <w:color w:val="000000"/>
          <w:u w:color="000000"/>
        </w:rPr>
      </w:pPr>
      <w:r w:rsidRPr="00B17E26">
        <w:rPr>
          <w:b/>
          <w:color w:val="000000"/>
          <w:u w:color="000000"/>
        </w:rPr>
        <w:t>Załącznik nr 1</w:t>
      </w:r>
    </w:p>
    <w:p w14:paraId="0A8ABB03" w14:textId="43A93E71" w:rsidR="00A77B3E" w:rsidRDefault="00FF641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Opis granic obszaru Natura 2000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4179"/>
        <w:gridCol w:w="5376"/>
      </w:tblGrid>
      <w:tr w:rsidR="0088213B" w:rsidRPr="0088213B" w14:paraId="5ED53623" w14:textId="77777777" w:rsidTr="00CC5E13"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50B01" w14:textId="77777777" w:rsidR="0088213B" w:rsidRPr="0088213B" w:rsidRDefault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sz w:val="20"/>
              </w:rPr>
              <w:t>Lp</w:t>
            </w:r>
          </w:p>
        </w:tc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3DF96" w14:textId="77777777" w:rsidR="0088213B" w:rsidRPr="0088213B" w:rsidRDefault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sz w:val="20"/>
                <w:u w:color="000000"/>
              </w:rPr>
              <w:t>Współrzędne punktów załamania granicy (PL-1992)</w:t>
            </w:r>
            <w:r w:rsidRPr="0088213B">
              <w:rPr>
                <w:rStyle w:val="Odwoanieprzypisudolnego"/>
                <w:color w:val="000000"/>
                <w:sz w:val="20"/>
                <w:u w:color="000000"/>
              </w:rPr>
              <w:footnoteReference w:customMarkFollows="1" w:id="1"/>
              <w:t>1)</w:t>
            </w:r>
          </w:p>
        </w:tc>
      </w:tr>
      <w:tr w:rsidR="0088213B" w:rsidRPr="0088213B" w14:paraId="7CD07324" w14:textId="77777777" w:rsidTr="00CC5E13"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AC2D8" w14:textId="77777777" w:rsidR="0088213B" w:rsidRPr="0088213B" w:rsidRDefault="0088213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1A20C" w14:textId="77777777" w:rsidR="0088213B" w:rsidRPr="0088213B" w:rsidRDefault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sz w:val="20"/>
              </w:rPr>
              <w:t>Punkt Y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F1DA0" w14:textId="2E5E8E77" w:rsidR="0088213B" w:rsidRPr="0088213B" w:rsidRDefault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sz w:val="20"/>
              </w:rPr>
              <w:t>Punkt X</w:t>
            </w:r>
          </w:p>
        </w:tc>
      </w:tr>
      <w:tr w:rsidR="0088213B" w:rsidRPr="0088213B" w14:paraId="4C934D9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A500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C58F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673422,78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D8EF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615748,73</w:t>
            </w:r>
          </w:p>
        </w:tc>
      </w:tr>
      <w:tr w:rsidR="0088213B" w:rsidRPr="0088213B" w14:paraId="5740DAD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5417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CA23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673527,67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7A56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615755,47</w:t>
            </w:r>
          </w:p>
        </w:tc>
      </w:tr>
      <w:tr w:rsidR="0088213B" w:rsidRPr="0088213B" w14:paraId="3E7677D9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98C47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775E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673584,37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21CC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615759,08</w:t>
            </w:r>
          </w:p>
        </w:tc>
      </w:tr>
      <w:tr w:rsidR="0088213B" w:rsidRPr="0088213B" w14:paraId="7037634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0A835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1D41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673723,01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16FB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615767,92</w:t>
            </w:r>
          </w:p>
        </w:tc>
      </w:tr>
      <w:tr w:rsidR="0088213B" w:rsidRPr="0088213B" w14:paraId="692E15F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944B6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DB56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673741,93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4647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615769,12</w:t>
            </w:r>
          </w:p>
        </w:tc>
      </w:tr>
      <w:tr w:rsidR="0088213B" w:rsidRPr="0088213B" w14:paraId="194C3AE5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EB466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B81F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673760,56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5196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615770,30</w:t>
            </w:r>
          </w:p>
        </w:tc>
      </w:tr>
      <w:tr w:rsidR="0088213B" w:rsidRPr="0088213B" w14:paraId="624CBA6A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C18B1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C0C4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673800,75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0C32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615772,87</w:t>
            </w:r>
          </w:p>
        </w:tc>
      </w:tr>
      <w:tr w:rsidR="0088213B" w:rsidRPr="0088213B" w14:paraId="1E440B5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85444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593C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673831,85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3731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615774,85</w:t>
            </w:r>
          </w:p>
        </w:tc>
      </w:tr>
      <w:tr w:rsidR="0088213B" w:rsidRPr="0088213B" w14:paraId="41F26EA2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48A8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27F0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673982,62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F4B2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615804,51</w:t>
            </w:r>
          </w:p>
        </w:tc>
      </w:tr>
      <w:tr w:rsidR="0088213B" w:rsidRPr="0088213B" w14:paraId="7AAB0946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B0C6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887B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674640,73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A5FD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615827,14</w:t>
            </w:r>
          </w:p>
        </w:tc>
      </w:tr>
      <w:tr w:rsidR="0088213B" w:rsidRPr="0088213B" w14:paraId="3002F23E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FCAA7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E24D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674698,54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7FA1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615810,29</w:t>
            </w:r>
          </w:p>
        </w:tc>
      </w:tr>
      <w:tr w:rsidR="0088213B" w:rsidRPr="0088213B" w14:paraId="0184C9A7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407D7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DC2B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674732,58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3807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615952,37</w:t>
            </w:r>
          </w:p>
        </w:tc>
      </w:tr>
      <w:tr w:rsidR="0088213B" w:rsidRPr="0088213B" w14:paraId="134E58D9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8AC69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B207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674783,47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894B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615941,51</w:t>
            </w:r>
          </w:p>
        </w:tc>
      </w:tr>
      <w:tr w:rsidR="0088213B" w:rsidRPr="0088213B" w14:paraId="0EE3645B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335E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8AEA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674839,19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1D3B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615930,20</w:t>
            </w:r>
          </w:p>
        </w:tc>
      </w:tr>
      <w:tr w:rsidR="0088213B" w:rsidRPr="0088213B" w14:paraId="2BA32E1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DA0D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14C2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674883,04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23B8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615921,37</w:t>
            </w:r>
          </w:p>
        </w:tc>
      </w:tr>
      <w:tr w:rsidR="0088213B" w:rsidRPr="0088213B" w14:paraId="13C94E91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D20F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5BAE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674918,98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02BB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615914,45</w:t>
            </w:r>
          </w:p>
        </w:tc>
      </w:tr>
      <w:tr w:rsidR="0088213B" w:rsidRPr="0088213B" w14:paraId="6E8FDA39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7D0AB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CE83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674995,61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66E3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615898,59</w:t>
            </w:r>
          </w:p>
        </w:tc>
      </w:tr>
      <w:tr w:rsidR="0088213B" w:rsidRPr="0088213B" w14:paraId="4371EF8B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3A22A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0D6A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675070,21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6F99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615883,52</w:t>
            </w:r>
          </w:p>
        </w:tc>
      </w:tr>
      <w:tr w:rsidR="0088213B" w:rsidRPr="0088213B" w14:paraId="79C7EE47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F9199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155D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675201,72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759A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615856,58</w:t>
            </w:r>
          </w:p>
        </w:tc>
      </w:tr>
      <w:tr w:rsidR="0088213B" w:rsidRPr="0088213B" w14:paraId="2D18E7C7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D0EFC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4905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675266,26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16B2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615843,21</w:t>
            </w:r>
          </w:p>
        </w:tc>
      </w:tr>
      <w:tr w:rsidR="0088213B" w:rsidRPr="0088213B" w14:paraId="2088B4C8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75A4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DDED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675318,62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A6B7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615832,62</w:t>
            </w:r>
          </w:p>
        </w:tc>
      </w:tr>
      <w:tr w:rsidR="0088213B" w:rsidRPr="0088213B" w14:paraId="714F1F81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C1155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1B7F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675321,30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AEFD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615832,08</w:t>
            </w:r>
          </w:p>
        </w:tc>
      </w:tr>
      <w:tr w:rsidR="0088213B" w:rsidRPr="0088213B" w14:paraId="43A936DB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89E5D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00B0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675426,78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51DE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615684,47</w:t>
            </w:r>
          </w:p>
        </w:tc>
      </w:tr>
      <w:tr w:rsidR="0088213B" w:rsidRPr="0088213B" w14:paraId="377B637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A46C6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A044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675489,14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201C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615597,12</w:t>
            </w:r>
          </w:p>
        </w:tc>
      </w:tr>
      <w:tr w:rsidR="0088213B" w:rsidRPr="0088213B" w14:paraId="0B6A0878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4D30F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1AAB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675605,21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ECDC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615434,74</w:t>
            </w:r>
          </w:p>
        </w:tc>
      </w:tr>
      <w:tr w:rsidR="0088213B" w:rsidRPr="0088213B" w14:paraId="3297A2D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392A5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DC6D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675584,01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20C8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615329,44</w:t>
            </w:r>
          </w:p>
        </w:tc>
      </w:tr>
      <w:tr w:rsidR="0088213B" w:rsidRPr="0088213B" w14:paraId="6551E878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FA9A9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CAD2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675540,44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ACB3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615278,90</w:t>
            </w:r>
          </w:p>
        </w:tc>
      </w:tr>
      <w:tr w:rsidR="0088213B" w:rsidRPr="0088213B" w14:paraId="44100D5E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04359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47B8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675511,92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4E8B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615227,57</w:t>
            </w:r>
          </w:p>
        </w:tc>
      </w:tr>
      <w:tr w:rsidR="0088213B" w:rsidRPr="0088213B" w14:paraId="75AC4414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DB02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29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CB72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675507,89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BBA0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615220,24</w:t>
            </w:r>
          </w:p>
        </w:tc>
      </w:tr>
      <w:tr w:rsidR="0088213B" w:rsidRPr="0088213B" w14:paraId="62DC671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CB39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30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3941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675506,97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4C1D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615218,56</w:t>
            </w:r>
          </w:p>
        </w:tc>
      </w:tr>
      <w:tr w:rsidR="0088213B" w:rsidRPr="0088213B" w14:paraId="4E674B28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C8480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31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3E87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675504,40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AA98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615207,91</w:t>
            </w:r>
          </w:p>
        </w:tc>
      </w:tr>
      <w:tr w:rsidR="0088213B" w:rsidRPr="0088213B" w14:paraId="0B1B338E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B1B90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32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D61F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675504,26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3337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615207,24</w:t>
            </w:r>
          </w:p>
        </w:tc>
      </w:tr>
      <w:tr w:rsidR="0088213B" w:rsidRPr="0088213B" w14:paraId="55D2631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58CDA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33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95ED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675497,19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90BB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615172,82</w:t>
            </w:r>
          </w:p>
        </w:tc>
      </w:tr>
      <w:tr w:rsidR="0088213B" w:rsidRPr="0088213B" w14:paraId="0B2824A4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112E6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34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EC05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675451,41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5D20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615135,49</w:t>
            </w:r>
          </w:p>
        </w:tc>
      </w:tr>
      <w:tr w:rsidR="0088213B" w:rsidRPr="0088213B" w14:paraId="44D642C6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26FB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35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3E62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675445,37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055B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615135,59</w:t>
            </w:r>
          </w:p>
        </w:tc>
      </w:tr>
      <w:tr w:rsidR="0088213B" w:rsidRPr="0088213B" w14:paraId="4B39FB8E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C7D38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36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CBEA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675448,82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A3F4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615081,79</w:t>
            </w:r>
          </w:p>
        </w:tc>
      </w:tr>
      <w:tr w:rsidR="0088213B" w:rsidRPr="0088213B" w14:paraId="2F8F7C2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446FD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37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4079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675457,78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30D3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614965,22</w:t>
            </w:r>
          </w:p>
        </w:tc>
      </w:tr>
      <w:tr w:rsidR="0088213B" w:rsidRPr="0088213B" w14:paraId="54154D09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BD23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38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B87B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675461,42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1DF6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614914,91</w:t>
            </w:r>
          </w:p>
        </w:tc>
      </w:tr>
      <w:tr w:rsidR="0088213B" w:rsidRPr="0088213B" w14:paraId="03F83422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9367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lastRenderedPageBreak/>
              <w:t>39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AADF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675462,05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1EFC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614899,51</w:t>
            </w:r>
          </w:p>
        </w:tc>
      </w:tr>
      <w:tr w:rsidR="0088213B" w:rsidRPr="0088213B" w14:paraId="1A49478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4AEA0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C2BC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675463,02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7801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614885,83</w:t>
            </w:r>
          </w:p>
        </w:tc>
      </w:tr>
      <w:tr w:rsidR="0088213B" w:rsidRPr="0088213B" w14:paraId="3C4A3707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8B0E0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63DC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675467,47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C717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614828,78</w:t>
            </w:r>
          </w:p>
        </w:tc>
      </w:tr>
      <w:tr w:rsidR="0088213B" w:rsidRPr="0088213B" w14:paraId="3B76A3EA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DDBF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D479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675471,93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014B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614767,34</w:t>
            </w:r>
          </w:p>
        </w:tc>
      </w:tr>
      <w:tr w:rsidR="0088213B" w:rsidRPr="0088213B" w14:paraId="4AD8460E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B2B2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2C37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675476,80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19FB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614699,77</w:t>
            </w:r>
          </w:p>
        </w:tc>
      </w:tr>
      <w:tr w:rsidR="0088213B" w:rsidRPr="0088213B" w14:paraId="1834850B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4717B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2793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675287,60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09C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614657,03</w:t>
            </w:r>
          </w:p>
        </w:tc>
      </w:tr>
      <w:tr w:rsidR="0088213B" w:rsidRPr="0088213B" w14:paraId="4A3D8BDA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0B7BC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57EB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675271,01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BF18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614650,15</w:t>
            </w:r>
          </w:p>
        </w:tc>
      </w:tr>
      <w:tr w:rsidR="0088213B" w:rsidRPr="0088213B" w14:paraId="49500FB8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B12CC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CE57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675173,50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BD96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614609,76</w:t>
            </w:r>
          </w:p>
        </w:tc>
      </w:tr>
      <w:tr w:rsidR="0088213B" w:rsidRPr="0088213B" w14:paraId="4A465AF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7F4BD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4C9E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675064,15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29B8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614563,79</w:t>
            </w:r>
          </w:p>
        </w:tc>
      </w:tr>
      <w:tr w:rsidR="0088213B" w:rsidRPr="0088213B" w14:paraId="2F81574E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DBC4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BFEB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675014,38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7FBB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614540,79</w:t>
            </w:r>
          </w:p>
        </w:tc>
      </w:tr>
      <w:tr w:rsidR="0088213B" w:rsidRPr="0088213B" w14:paraId="31916589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F166B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49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BBA7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674964,22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E79C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614520,55</w:t>
            </w:r>
          </w:p>
        </w:tc>
      </w:tr>
      <w:tr w:rsidR="0088213B" w:rsidRPr="0088213B" w14:paraId="6EC70B3E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107BF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2EF1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674872,64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B5B3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614482,02</w:t>
            </w:r>
          </w:p>
        </w:tc>
      </w:tr>
      <w:tr w:rsidR="0088213B" w:rsidRPr="0088213B" w14:paraId="0F26A073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747A0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3B9F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674861,50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10CD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614477,27</w:t>
            </w:r>
          </w:p>
        </w:tc>
      </w:tr>
      <w:tr w:rsidR="0088213B" w:rsidRPr="0088213B" w14:paraId="4FA775F8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6176B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D543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674847,21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399F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614471,17</w:t>
            </w:r>
          </w:p>
        </w:tc>
      </w:tr>
      <w:tr w:rsidR="0088213B" w:rsidRPr="0088213B" w14:paraId="0DB11D5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59CFC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44CF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674789,64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A266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614442,65</w:t>
            </w:r>
          </w:p>
        </w:tc>
      </w:tr>
      <w:tr w:rsidR="0088213B" w:rsidRPr="0088213B" w14:paraId="7171AA53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0C44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36F3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674769,87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F252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614432,87</w:t>
            </w:r>
          </w:p>
        </w:tc>
      </w:tr>
      <w:tr w:rsidR="0088213B" w:rsidRPr="0088213B" w14:paraId="6D12C0E6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02BD7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E958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674726,38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AF4E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614411,32</w:t>
            </w:r>
          </w:p>
        </w:tc>
      </w:tr>
      <w:tr w:rsidR="0088213B" w:rsidRPr="0088213B" w14:paraId="6BD30B2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F161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0395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674702,52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5950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614399,51</w:t>
            </w:r>
          </w:p>
        </w:tc>
      </w:tr>
      <w:tr w:rsidR="0088213B" w:rsidRPr="0088213B" w14:paraId="19D28E4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EC5E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A414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674675,85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7E46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614386,30</w:t>
            </w:r>
          </w:p>
        </w:tc>
      </w:tr>
      <w:tr w:rsidR="0088213B" w:rsidRPr="0088213B" w14:paraId="43586807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7FBA0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D02D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674649,28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1CFA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614373,14</w:t>
            </w:r>
          </w:p>
        </w:tc>
      </w:tr>
      <w:tr w:rsidR="0088213B" w:rsidRPr="0088213B" w14:paraId="210A820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BA205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59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36C9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674603,35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A91D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614350,39</w:t>
            </w:r>
          </w:p>
        </w:tc>
      </w:tr>
      <w:tr w:rsidR="0088213B" w:rsidRPr="0088213B" w14:paraId="786B4521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C4AD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F3E2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674601,61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0D65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614349,25</w:t>
            </w:r>
          </w:p>
        </w:tc>
      </w:tr>
      <w:tr w:rsidR="0088213B" w:rsidRPr="0088213B" w14:paraId="4BE857F2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8036A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7E03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674550,43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238C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614323,72</w:t>
            </w:r>
          </w:p>
        </w:tc>
      </w:tr>
      <w:tr w:rsidR="0088213B" w:rsidRPr="0088213B" w14:paraId="1FAD1682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2C737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15CD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674490,19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2EE4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614293,64</w:t>
            </w:r>
          </w:p>
        </w:tc>
      </w:tr>
      <w:tr w:rsidR="0088213B" w:rsidRPr="0088213B" w14:paraId="22FE4266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5297B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52C9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674461,07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DC0E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614279,12</w:t>
            </w:r>
          </w:p>
        </w:tc>
      </w:tr>
      <w:tr w:rsidR="0088213B" w:rsidRPr="0088213B" w14:paraId="30C6587B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60CCA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54AA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674394,05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E5F3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614245,66</w:t>
            </w:r>
          </w:p>
        </w:tc>
      </w:tr>
      <w:tr w:rsidR="0088213B" w:rsidRPr="0088213B" w14:paraId="1161F93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D285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0C72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674360,70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401B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614229,02</w:t>
            </w:r>
          </w:p>
        </w:tc>
      </w:tr>
      <w:tr w:rsidR="0088213B" w:rsidRPr="0088213B" w14:paraId="7E9ECAF7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33807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95E7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674347,68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94FF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614222,51</w:t>
            </w:r>
          </w:p>
        </w:tc>
      </w:tr>
      <w:tr w:rsidR="0088213B" w:rsidRPr="0088213B" w14:paraId="053ED64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D642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756A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674334,42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4FB0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614215,90</w:t>
            </w:r>
          </w:p>
        </w:tc>
      </w:tr>
      <w:tr w:rsidR="0088213B" w:rsidRPr="0088213B" w14:paraId="0AAAD504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FCF2A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B68E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674324,36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36BC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614210,88</w:t>
            </w:r>
          </w:p>
        </w:tc>
      </w:tr>
      <w:tr w:rsidR="0088213B" w:rsidRPr="0088213B" w14:paraId="2048154A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AA98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69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5BCC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674229,14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76B3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614163,35</w:t>
            </w:r>
          </w:p>
        </w:tc>
      </w:tr>
      <w:tr w:rsidR="0088213B" w:rsidRPr="0088213B" w14:paraId="5B500977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56D3C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C56D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674140,18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D1B5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614115,71</w:t>
            </w:r>
          </w:p>
        </w:tc>
      </w:tr>
      <w:tr w:rsidR="0088213B" w:rsidRPr="0088213B" w14:paraId="1837933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8011C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F51B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674022,94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E71F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614056,75</w:t>
            </w:r>
          </w:p>
        </w:tc>
      </w:tr>
      <w:tr w:rsidR="0088213B" w:rsidRPr="0088213B" w14:paraId="17A8E9E9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831C0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95B2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673936,83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9ECA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614013,46</w:t>
            </w:r>
          </w:p>
        </w:tc>
      </w:tr>
      <w:tr w:rsidR="0088213B" w:rsidRPr="0088213B" w14:paraId="08396F02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2534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2B20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673907,35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37B9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613999,57</w:t>
            </w:r>
          </w:p>
        </w:tc>
      </w:tr>
      <w:tr w:rsidR="0088213B" w:rsidRPr="0088213B" w14:paraId="09302758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44BB6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9508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673886,06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1E7A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613988,55</w:t>
            </w:r>
          </w:p>
        </w:tc>
      </w:tr>
      <w:tr w:rsidR="0088213B" w:rsidRPr="0088213B" w14:paraId="69B8805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20741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D098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673835,70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258E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613963,82</w:t>
            </w:r>
          </w:p>
        </w:tc>
      </w:tr>
      <w:tr w:rsidR="0088213B" w:rsidRPr="0088213B" w14:paraId="5C8FB223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13458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1F58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673791,22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5028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613941,29</w:t>
            </w:r>
          </w:p>
        </w:tc>
      </w:tr>
      <w:tr w:rsidR="0088213B" w:rsidRPr="0088213B" w14:paraId="2AFFC15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1DD88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C64B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673754,61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00D0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613922,73</w:t>
            </w:r>
          </w:p>
        </w:tc>
      </w:tr>
      <w:tr w:rsidR="0088213B" w:rsidRPr="0088213B" w14:paraId="119A216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A2378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F70C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673714,17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69FB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613902,24</w:t>
            </w:r>
          </w:p>
        </w:tc>
      </w:tr>
      <w:tr w:rsidR="0088213B" w:rsidRPr="0088213B" w14:paraId="4BC3F617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F16F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79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02F2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673701,30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E0B4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613895,73</w:t>
            </w:r>
          </w:p>
        </w:tc>
      </w:tr>
      <w:tr w:rsidR="0088213B" w:rsidRPr="0088213B" w14:paraId="2FC5F619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4B2E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F82D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673688,69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B137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613889,35</w:t>
            </w:r>
          </w:p>
        </w:tc>
      </w:tr>
      <w:tr w:rsidR="0088213B" w:rsidRPr="0088213B" w14:paraId="3BB1EC97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EF65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C8E7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673681,63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1590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613885,77</w:t>
            </w:r>
          </w:p>
        </w:tc>
      </w:tr>
      <w:tr w:rsidR="0088213B" w:rsidRPr="0088213B" w14:paraId="340FDB62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E1E6B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1C63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673673,68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EE40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613881,73</w:t>
            </w:r>
          </w:p>
        </w:tc>
      </w:tr>
      <w:tr w:rsidR="0088213B" w:rsidRPr="0088213B" w14:paraId="17E4BCED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00076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EA21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673577,55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DCD9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613833,03</w:t>
            </w:r>
          </w:p>
        </w:tc>
      </w:tr>
      <w:tr w:rsidR="0088213B" w:rsidRPr="0088213B" w14:paraId="4AE0D54E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08F56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7BBC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673569,13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B532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613828,78</w:t>
            </w:r>
          </w:p>
        </w:tc>
      </w:tr>
      <w:tr w:rsidR="0088213B" w:rsidRPr="0088213B" w14:paraId="34A26265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3F3A5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6C06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673526,34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029D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613807,32</w:t>
            </w:r>
          </w:p>
        </w:tc>
      </w:tr>
      <w:tr w:rsidR="0088213B" w:rsidRPr="0088213B" w14:paraId="6B20AF8E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57A2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B421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673459,27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3611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613773,68</w:t>
            </w:r>
          </w:p>
        </w:tc>
      </w:tr>
      <w:tr w:rsidR="0088213B" w:rsidRPr="0088213B" w14:paraId="3A92FF3A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BD29F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BF74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673399,25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B212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613743,59</w:t>
            </w:r>
          </w:p>
        </w:tc>
      </w:tr>
      <w:tr w:rsidR="0088213B" w:rsidRPr="0088213B" w14:paraId="319A55AB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620CC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50BF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673367,27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83AF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613727,55</w:t>
            </w:r>
          </w:p>
        </w:tc>
      </w:tr>
      <w:tr w:rsidR="0088213B" w:rsidRPr="0088213B" w14:paraId="3641F341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54F6D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89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4B4F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673337,96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EE2D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613712,85</w:t>
            </w:r>
          </w:p>
        </w:tc>
      </w:tr>
      <w:tr w:rsidR="0088213B" w:rsidRPr="0088213B" w14:paraId="2AB55ECC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DDC95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90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3FD0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673285,12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F82B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613686,36</w:t>
            </w:r>
          </w:p>
        </w:tc>
      </w:tr>
      <w:tr w:rsidR="0088213B" w:rsidRPr="0088213B" w14:paraId="448155D8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28F2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lastRenderedPageBreak/>
              <w:t>91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B8DB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673196,50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93DB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613641,91</w:t>
            </w:r>
          </w:p>
        </w:tc>
      </w:tr>
      <w:tr w:rsidR="0088213B" w:rsidRPr="0088213B" w14:paraId="176C253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71A6F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92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DDB6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673184,00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7F34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613637,48</w:t>
            </w:r>
          </w:p>
        </w:tc>
      </w:tr>
      <w:tr w:rsidR="0088213B" w:rsidRPr="0088213B" w14:paraId="3DF0C02B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B5FBC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93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469B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672851,94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96B9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613614,97</w:t>
            </w:r>
          </w:p>
        </w:tc>
      </w:tr>
      <w:tr w:rsidR="0088213B" w:rsidRPr="0088213B" w14:paraId="7F595C04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8FC5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94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4D9A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672859,09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F1C9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613639,66</w:t>
            </w:r>
          </w:p>
        </w:tc>
      </w:tr>
      <w:tr w:rsidR="0088213B" w:rsidRPr="0088213B" w14:paraId="3C0CA715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C137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95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2B7FC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672884,39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9018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613716,37</w:t>
            </w:r>
          </w:p>
        </w:tc>
      </w:tr>
      <w:tr w:rsidR="0088213B" w:rsidRPr="0088213B" w14:paraId="6AF0D665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2A107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96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85F8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672915,96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6DED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613815,26</w:t>
            </w:r>
          </w:p>
        </w:tc>
      </w:tr>
      <w:tr w:rsidR="0088213B" w:rsidRPr="0088213B" w14:paraId="72827ED4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DC22D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97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EF7F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672943,13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B7A5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613899,77</w:t>
            </w:r>
          </w:p>
        </w:tc>
      </w:tr>
      <w:tr w:rsidR="0088213B" w:rsidRPr="0088213B" w14:paraId="5E10ECA7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86F9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98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D04E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672985,93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151E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614032,86</w:t>
            </w:r>
          </w:p>
        </w:tc>
      </w:tr>
      <w:tr w:rsidR="0088213B" w:rsidRPr="0088213B" w14:paraId="2A6B20A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3B0AA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99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D361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672986,70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1AD8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614035,26</w:t>
            </w:r>
          </w:p>
        </w:tc>
      </w:tr>
      <w:tr w:rsidR="0088213B" w:rsidRPr="0088213B" w14:paraId="3293B642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1B117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39F3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672986,83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EDA9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614035,65</w:t>
            </w:r>
          </w:p>
        </w:tc>
      </w:tr>
      <w:tr w:rsidR="0088213B" w:rsidRPr="0088213B" w14:paraId="3401ED64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3C3B0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71C3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672995,86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3402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614063,71</w:t>
            </w:r>
          </w:p>
        </w:tc>
      </w:tr>
      <w:tr w:rsidR="0088213B" w:rsidRPr="0088213B" w14:paraId="459F335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CF683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9C99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673014,50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89DE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614121,74</w:t>
            </w:r>
          </w:p>
        </w:tc>
      </w:tr>
      <w:tr w:rsidR="0088213B" w:rsidRPr="0088213B" w14:paraId="18FE4366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04FF8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890A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673058,20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1E29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614257,64</w:t>
            </w:r>
          </w:p>
        </w:tc>
      </w:tr>
      <w:tr w:rsidR="0088213B" w:rsidRPr="0088213B" w14:paraId="042CE6E2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C6ECD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3AB0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673075,45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41B0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614311,29</w:t>
            </w:r>
          </w:p>
        </w:tc>
      </w:tr>
      <w:tr w:rsidR="0088213B" w:rsidRPr="0088213B" w14:paraId="3F74B5ED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226B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3648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673109,11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444E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614414,09</w:t>
            </w:r>
          </w:p>
        </w:tc>
      </w:tr>
      <w:tr w:rsidR="0088213B" w:rsidRPr="0088213B" w14:paraId="73994A6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414AB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9E09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673109,74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95C5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614415,98</w:t>
            </w:r>
          </w:p>
        </w:tc>
      </w:tr>
      <w:tr w:rsidR="0088213B" w:rsidRPr="0088213B" w14:paraId="434BE96D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748F9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75B4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673131,39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5EFC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614480,38</w:t>
            </w:r>
          </w:p>
        </w:tc>
      </w:tr>
      <w:tr w:rsidR="0088213B" w:rsidRPr="0088213B" w14:paraId="42DDE434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6CF6A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0070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673136,08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A522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614494,30</w:t>
            </w:r>
          </w:p>
        </w:tc>
      </w:tr>
      <w:tr w:rsidR="0088213B" w:rsidRPr="0088213B" w14:paraId="7B52CAF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87BEA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109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69A1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673149,08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18B1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614532,98</w:t>
            </w:r>
          </w:p>
        </w:tc>
      </w:tr>
      <w:tr w:rsidR="0088213B" w:rsidRPr="0088213B" w14:paraId="4B147645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2955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727D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673161,85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0D7D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614570,95</w:t>
            </w:r>
          </w:p>
        </w:tc>
      </w:tr>
      <w:tr w:rsidR="0088213B" w:rsidRPr="0088213B" w14:paraId="1C7CA0F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A0CF4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FEF5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673174,74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CC7E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614609,25</w:t>
            </w:r>
          </w:p>
        </w:tc>
      </w:tr>
      <w:tr w:rsidR="0088213B" w:rsidRPr="0088213B" w14:paraId="3F6925C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6D261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1C01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673183,93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3C92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614636,49</w:t>
            </w:r>
          </w:p>
        </w:tc>
      </w:tr>
      <w:tr w:rsidR="0088213B" w:rsidRPr="0088213B" w14:paraId="5F9B40E8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A1A54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0F1B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673187,81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5D43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614648,00</w:t>
            </w:r>
          </w:p>
        </w:tc>
      </w:tr>
      <w:tr w:rsidR="0088213B" w:rsidRPr="0088213B" w14:paraId="7A67F2DE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5F8F1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C2EA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673200,16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5EB1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614684,59</w:t>
            </w:r>
          </w:p>
        </w:tc>
      </w:tr>
      <w:tr w:rsidR="0088213B" w:rsidRPr="0088213B" w14:paraId="06E0800A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D2CFB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3564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673210,95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0B08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614716,60</w:t>
            </w:r>
          </w:p>
        </w:tc>
      </w:tr>
      <w:tr w:rsidR="0088213B" w:rsidRPr="0088213B" w14:paraId="1C4C9FFB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CA911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EDC2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673227,28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16C8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614764,99</w:t>
            </w:r>
          </w:p>
        </w:tc>
      </w:tr>
      <w:tr w:rsidR="0088213B" w:rsidRPr="0088213B" w14:paraId="72DBFF01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2111D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7507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673235,60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6B14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614789,64</w:t>
            </w:r>
          </w:p>
        </w:tc>
      </w:tr>
      <w:tr w:rsidR="0088213B" w:rsidRPr="0088213B" w14:paraId="310143A5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2C01F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161B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673249,54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E9E7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614830,71</w:t>
            </w:r>
          </w:p>
        </w:tc>
      </w:tr>
      <w:tr w:rsidR="0088213B" w:rsidRPr="0088213B" w14:paraId="76B25C1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CEEA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119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D459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673263,98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40E39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614873,27</w:t>
            </w:r>
          </w:p>
        </w:tc>
      </w:tr>
      <w:tr w:rsidR="0088213B" w:rsidRPr="0088213B" w14:paraId="0BC31F3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5130A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8313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673288,73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3CE02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614946,17</w:t>
            </w:r>
          </w:p>
        </w:tc>
      </w:tr>
      <w:tr w:rsidR="0088213B" w:rsidRPr="0088213B" w14:paraId="1A53D4C2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01CAC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8E11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673291,91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F9A0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614955,54</w:t>
            </w:r>
          </w:p>
        </w:tc>
      </w:tr>
      <w:tr w:rsidR="0088213B" w:rsidRPr="0088213B" w14:paraId="78E55722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5D964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18CAB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673305,51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E76ED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614995,60</w:t>
            </w:r>
          </w:p>
        </w:tc>
      </w:tr>
      <w:tr w:rsidR="0088213B" w:rsidRPr="0088213B" w14:paraId="5F883AE0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CA911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EB270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673308,03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0548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615003,02</w:t>
            </w:r>
          </w:p>
        </w:tc>
      </w:tr>
      <w:tr w:rsidR="0088213B" w:rsidRPr="0088213B" w14:paraId="6772392D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79040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597C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673333,73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D884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615078,89</w:t>
            </w:r>
          </w:p>
        </w:tc>
      </w:tr>
      <w:tr w:rsidR="0088213B" w:rsidRPr="0088213B" w14:paraId="7B7EFE75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85954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7A728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673369,52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499DA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615184,52</w:t>
            </w:r>
          </w:p>
        </w:tc>
      </w:tr>
      <w:tr w:rsidR="0088213B" w:rsidRPr="0088213B" w14:paraId="09896B0A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4CC88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76B5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673370,39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D3AE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615187,11</w:t>
            </w:r>
          </w:p>
        </w:tc>
      </w:tr>
      <w:tr w:rsidR="0088213B" w:rsidRPr="0088213B" w14:paraId="6BB4C6A9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C1E2B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E5905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673387,71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A095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615238,57</w:t>
            </w:r>
          </w:p>
        </w:tc>
      </w:tr>
      <w:tr w:rsidR="0088213B" w:rsidRPr="0088213B" w14:paraId="0E1CBB1F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637DC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9AD2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673413,84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41D16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615316,17</w:t>
            </w:r>
          </w:p>
        </w:tc>
      </w:tr>
      <w:tr w:rsidR="0088213B" w:rsidRPr="0088213B" w14:paraId="2C4395FB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35DD6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129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3E92E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673431,54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56F1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615368,78</w:t>
            </w:r>
          </w:p>
        </w:tc>
      </w:tr>
      <w:tr w:rsidR="0088213B" w:rsidRPr="0088213B" w14:paraId="788EEA21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D82B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130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D949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673431,24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9DEA4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615374,89</w:t>
            </w:r>
          </w:p>
        </w:tc>
      </w:tr>
      <w:tr w:rsidR="0088213B" w:rsidRPr="0088213B" w14:paraId="27B97EA3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8E8CE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131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7EF97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673445,87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F5C0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615378,49</w:t>
            </w:r>
          </w:p>
        </w:tc>
      </w:tr>
      <w:tr w:rsidR="0088213B" w:rsidRPr="0088213B" w14:paraId="084D85ED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BF8C0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132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2A6C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673436,69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60A7F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615525,62</w:t>
            </w:r>
          </w:p>
        </w:tc>
      </w:tr>
      <w:tr w:rsidR="0088213B" w:rsidRPr="0088213B" w14:paraId="304C8365" w14:textId="77777777" w:rsidTr="0088213B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79C22" w14:textId="77777777" w:rsidR="0088213B" w:rsidRPr="0088213B" w:rsidRDefault="0088213B" w:rsidP="0088213B">
            <w:pPr>
              <w:jc w:val="center"/>
              <w:rPr>
                <w:color w:val="000000"/>
                <w:u w:color="000000"/>
              </w:rPr>
            </w:pPr>
            <w:r w:rsidRPr="0088213B">
              <w:rPr>
                <w:color w:val="000000"/>
                <w:u w:color="000000"/>
              </w:rPr>
              <w:t>133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D7F53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673422,78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A44C1" w14:textId="77777777" w:rsidR="0088213B" w:rsidRPr="0088213B" w:rsidRDefault="0088213B" w:rsidP="0088213B">
            <w:pPr>
              <w:jc w:val="center"/>
              <w:rPr>
                <w:sz w:val="20"/>
              </w:rPr>
            </w:pPr>
            <w:r w:rsidRPr="0088213B">
              <w:rPr>
                <w:sz w:val="20"/>
              </w:rPr>
              <w:t>615748,73</w:t>
            </w:r>
          </w:p>
        </w:tc>
      </w:tr>
    </w:tbl>
    <w:p w14:paraId="3EA28999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567" w:right="567" w:bottom="567" w:left="567" w:header="708" w:footer="708" w:gutter="0"/>
          <w:pgNumType w:start="1"/>
          <w:cols w:space="708"/>
          <w:docGrid w:linePitch="360"/>
        </w:sectPr>
      </w:pPr>
    </w:p>
    <w:p w14:paraId="78012E02" w14:textId="5CD84BC9" w:rsidR="00B17E26" w:rsidRDefault="00B17E26" w:rsidP="00B17E26">
      <w:pPr>
        <w:keepNext/>
        <w:spacing w:after="120"/>
        <w:jc w:val="center"/>
        <w:rPr>
          <w:b/>
          <w:color w:val="000000"/>
          <w:u w:color="000000"/>
        </w:rPr>
      </w:pPr>
      <w:r w:rsidRPr="00B17E26">
        <w:rPr>
          <w:b/>
          <w:color w:val="000000"/>
          <w:u w:color="000000"/>
        </w:rPr>
        <w:lastRenderedPageBreak/>
        <w:t>Załącznik nr 2</w:t>
      </w:r>
    </w:p>
    <w:p w14:paraId="2ADBD7BC" w14:textId="0BD4A66C" w:rsidR="00A77B3E" w:rsidRDefault="00FF641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Mapa obszaru Natura 2000</w:t>
      </w:r>
    </w:p>
    <w:p w14:paraId="6B73A18F" w14:textId="1180E0FC" w:rsidR="00A77B3E" w:rsidRDefault="00E455F7" w:rsidP="00B17E26">
      <w:pPr>
        <w:spacing w:before="120" w:after="120"/>
        <w:ind w:firstLine="227"/>
        <w:jc w:val="center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567" w:right="567" w:bottom="567" w:left="567" w:header="708" w:footer="708" w:gutter="0"/>
          <w:pgNumType w:start="1"/>
          <w:cols w:space="708"/>
          <w:docGrid w:linePitch="360"/>
        </w:sectPr>
      </w:pPr>
      <w:r>
        <w:rPr>
          <w:noProof/>
          <w:color w:val="000000"/>
          <w:u w:color="000000"/>
          <w:lang w:bidi="ar-SA"/>
        </w:rPr>
        <w:drawing>
          <wp:anchor distT="0" distB="0" distL="114300" distR="114300" simplePos="0" relativeHeight="251658240" behindDoc="0" locked="0" layoutInCell="1" allowOverlap="1" wp14:anchorId="28A28729" wp14:editId="0602E724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101080" cy="86296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afin map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080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A4C7B" w14:textId="394D2D92" w:rsidR="00B17E26" w:rsidRDefault="00B17E26" w:rsidP="00B17E26">
      <w:pPr>
        <w:keepNext/>
        <w:spacing w:after="120"/>
        <w:jc w:val="center"/>
        <w:rPr>
          <w:b/>
          <w:color w:val="000000"/>
          <w:u w:color="000000"/>
        </w:rPr>
      </w:pPr>
      <w:r w:rsidRPr="00B17E26">
        <w:rPr>
          <w:b/>
          <w:color w:val="000000"/>
          <w:u w:color="000000"/>
        </w:rPr>
        <w:lastRenderedPageBreak/>
        <w:t>Załącznik nr 3</w:t>
      </w:r>
    </w:p>
    <w:p w14:paraId="6C1959BA" w14:textId="386A1311" w:rsidR="00A77B3E" w:rsidRDefault="00FF641A">
      <w:pPr>
        <w:keepNext/>
        <w:spacing w:after="4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Identyfikacja istniejących i potencjalnych zagrożeń dla zachowania właściwego stanu ochrony siedlisk przyrodniczych oraz gatunków roślin i ich siedlisk będących przedmiotami ochrony w obszarze Natura 2000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5184"/>
        <w:gridCol w:w="1656"/>
        <w:gridCol w:w="4712"/>
      </w:tblGrid>
      <w:tr w:rsidR="007A09B0" w14:paraId="2EF06065" w14:textId="77777777" w:rsidTr="007A09B0">
        <w:trPr>
          <w:trHeight w:val="465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15FD6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Przedmiot ochrony w obszarze Natura 2000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67CF9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Identyfikacja zagrożenia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5030C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Rodzaj zagrożenia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2ABBE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Opis zagrożenia</w:t>
            </w:r>
          </w:p>
        </w:tc>
      </w:tr>
      <w:tr w:rsidR="007A09B0" w14:paraId="5B4D6F22" w14:textId="77777777" w:rsidTr="007A09B0">
        <w:trPr>
          <w:trHeight w:val="1099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CB537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7140 Torfowiska przejściowe i trzęsawiska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0D1FF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Niekorzystne zmiany stosunków wodnych.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82FC9" w14:textId="47285812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DE51F" w14:textId="282156C9" w:rsidR="007A09B0" w:rsidRDefault="007A09B0" w:rsidP="00C972FD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J02 - spowodowane przez człowieka zmiany stosunków wodnych, </w:t>
            </w:r>
            <w:r w:rsidR="009E3E98">
              <w:rPr>
                <w:sz w:val="16"/>
              </w:rPr>
              <w:br/>
            </w:r>
            <w:r>
              <w:rPr>
                <w:sz w:val="16"/>
              </w:rPr>
              <w:t>w szczególności związane z meliorowaniem i odwanianiem terenu oraz budowaniem stawów.</w:t>
            </w:r>
          </w:p>
        </w:tc>
      </w:tr>
      <w:tr w:rsidR="007A09B0" w14:paraId="4654CD4F" w14:textId="77777777" w:rsidTr="007A09B0">
        <w:trPr>
          <w:trHeight w:val="1835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D5E11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7140 Torfowiska przejściowe i trzęsawiska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E8F89" w14:textId="3EDC5B53" w:rsidR="007A09B0" w:rsidRDefault="007A09B0" w:rsidP="00C972FD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Postępująca presja zabudowy i związana z tym budowa i rozbudowa obiektów budowlanych, w szczególności infrastruktury technicznej powiązanej z wprowadzanym sposobem zagospodarowania terenu. Utrata integralności i powiązania </w:t>
            </w:r>
            <w:r w:rsidR="00C972FD">
              <w:rPr>
                <w:sz w:val="16"/>
              </w:rPr>
              <w:t>obszaru Natura 2000</w:t>
            </w:r>
            <w:r>
              <w:rPr>
                <w:sz w:val="16"/>
              </w:rPr>
              <w:t xml:space="preserve"> z innymi formami ochrony przyrody.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8E0E1" w14:textId="10DD5001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7D135" w14:textId="3A931A61" w:rsidR="007A09B0" w:rsidRDefault="007A09B0" w:rsidP="00C972FD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J03.01 – zmniejszenie lub utrata cech charakterystycznych siedlisk </w:t>
            </w:r>
            <w:r w:rsidR="00C972FD">
              <w:rPr>
                <w:sz w:val="16"/>
              </w:rPr>
              <w:t>obszaru Natura 2000</w:t>
            </w:r>
            <w:r>
              <w:rPr>
                <w:sz w:val="16"/>
              </w:rPr>
              <w:t xml:space="preserve">. Antropogeniczne przekształcenie terenu, w szczególności otwartych terenów rolniczych, tworzące bariery </w:t>
            </w:r>
            <w:r w:rsidR="00C972FD">
              <w:rPr>
                <w:sz w:val="16"/>
              </w:rPr>
              <w:t>migracyjne</w:t>
            </w:r>
            <w:r>
              <w:rPr>
                <w:sz w:val="16"/>
              </w:rPr>
              <w:t>.</w:t>
            </w:r>
          </w:p>
        </w:tc>
      </w:tr>
      <w:tr w:rsidR="007A09B0" w14:paraId="73BEA9E2" w14:textId="77777777" w:rsidTr="007A09B0">
        <w:trPr>
          <w:trHeight w:val="925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53BE5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7140 Torfowiska przejściowe i trzęsawiska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7A51E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Utrata charakterystycznych cech siedliska w efekcie ekspansji drzew i krzewów, w szczególności brzóz i wierzb.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FDBC5" w14:textId="2AB359D4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Istniejące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EC9D8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K02.01 – zmiana składu gatunkowego (sukcesja)</w:t>
            </w:r>
          </w:p>
        </w:tc>
      </w:tr>
      <w:tr w:rsidR="007A09B0" w14:paraId="16218CD4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840AE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7140 Torfowiska przejściowe i trzęsawiska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63D89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Zaburzenie procesów zasilania siedliska w wodę w następstwie spadku poziomu wód spowodowanego suszą atmosferyczną wywołaną długotrwałym brakiem opadów deszczu.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964E6" w14:textId="6DFB85A5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09B5A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M01.02 - susze i zmniejszenie opadów.</w:t>
            </w:r>
          </w:p>
        </w:tc>
      </w:tr>
      <w:tr w:rsidR="007A09B0" w14:paraId="49B4A750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4637B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7140 Torfowiska przejściowe i trzęsawiska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91D95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Wypieranie rodzimych gatunków roślin przez gatunki obce geograficznie.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DFA9C" w14:textId="56B0ABF7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43D5D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I01 - obce gatunki inwazyjne</w:t>
            </w:r>
          </w:p>
        </w:tc>
      </w:tr>
      <w:tr w:rsidR="007A09B0" w14:paraId="74BD349B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38041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1903 Lipiennik </w:t>
            </w:r>
            <w:r>
              <w:rPr>
                <w:i/>
                <w:sz w:val="16"/>
              </w:rPr>
              <w:t>Loesela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C0F6F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Niekorzystne zmiany stosunków wodnych.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158BA" w14:textId="78988C79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5AB0B" w14:textId="220B2F5E" w:rsidR="007A09B0" w:rsidRDefault="007A09B0" w:rsidP="00C972FD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J02 - spowodowane przez człowieka zmiany stosunków wodnych, </w:t>
            </w:r>
            <w:r w:rsidR="009E3E98">
              <w:rPr>
                <w:sz w:val="16"/>
              </w:rPr>
              <w:br/>
            </w:r>
            <w:r>
              <w:rPr>
                <w:sz w:val="16"/>
              </w:rPr>
              <w:t>w szczególności związane z meliorowaniem i odwanianiem terenu oraz budowaniem stawów.</w:t>
            </w:r>
          </w:p>
        </w:tc>
      </w:tr>
      <w:tr w:rsidR="007A09B0" w14:paraId="20034BDA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8196B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1903 Lipiennik </w:t>
            </w:r>
            <w:r>
              <w:rPr>
                <w:i/>
                <w:sz w:val="16"/>
              </w:rPr>
              <w:t>Loesela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3E221" w14:textId="68CE4AFE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Postępująca presja zabudowy i związana z tym budowa i rozbudowa obiektów budowlanych, w szczególności infrastruktury technicznej powiązanej z wprowadzanym sposobem zagospodarowania terenu. Utrata integralności i powiązania </w:t>
            </w:r>
            <w:r w:rsidR="00C972FD">
              <w:rPr>
                <w:sz w:val="16"/>
              </w:rPr>
              <w:t>obszaru Natura 2000</w:t>
            </w:r>
            <w:r>
              <w:rPr>
                <w:sz w:val="16"/>
              </w:rPr>
              <w:t xml:space="preserve"> z innymi formami ochrony przyrody.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6486A" w14:textId="56A76731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4C780" w14:textId="642F84E9" w:rsidR="007A09B0" w:rsidRDefault="007A09B0" w:rsidP="00C972FD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J03.01 – zmniejszenie lub utrata cech charakterystycznych siedlisk </w:t>
            </w:r>
            <w:r w:rsidR="00C972FD">
              <w:rPr>
                <w:sz w:val="16"/>
              </w:rPr>
              <w:t>obszaru Natura 2000</w:t>
            </w:r>
            <w:r>
              <w:rPr>
                <w:sz w:val="16"/>
              </w:rPr>
              <w:t xml:space="preserve">. Antropogeniczne przekształcenie terenu, w szczególności otwartych terenów rolniczych, tworzące bariery </w:t>
            </w:r>
            <w:r w:rsidR="00C972FD">
              <w:rPr>
                <w:sz w:val="16"/>
              </w:rPr>
              <w:t>migracyjne</w:t>
            </w:r>
            <w:r>
              <w:rPr>
                <w:sz w:val="16"/>
              </w:rPr>
              <w:t>.</w:t>
            </w:r>
          </w:p>
        </w:tc>
      </w:tr>
      <w:tr w:rsidR="007A09B0" w14:paraId="114492FB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19B46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1903 Lipiennik </w:t>
            </w:r>
            <w:r>
              <w:rPr>
                <w:i/>
                <w:sz w:val="16"/>
              </w:rPr>
              <w:t>Loesela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EA54C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Utrata charakterystycznych cech siedliska w efekcie ekspansji drzew i krzewów, w szczególności brzóz i wierzb.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B5051" w14:textId="6A89ADC2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Istniejące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4E03C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K02.01 – zmiana składu gatunkowego (sukcesja)</w:t>
            </w:r>
          </w:p>
        </w:tc>
      </w:tr>
      <w:tr w:rsidR="007A09B0" w14:paraId="0D9F2529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75412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1903 Lipiennik </w:t>
            </w:r>
            <w:r>
              <w:rPr>
                <w:i/>
                <w:sz w:val="16"/>
              </w:rPr>
              <w:t>Loesela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0E273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Zaburzenie procesów zasilania siedliska w wodę w następstwie spadku poziomu wód spowodowanego suszą atmosferyczną wywołaną długotrwałym brakiem opadów deszczu.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5770E" w14:textId="10B1C027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54933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M01.02 - susze i zmniejszenie opadów.</w:t>
            </w:r>
          </w:p>
        </w:tc>
      </w:tr>
      <w:tr w:rsidR="007A09B0" w14:paraId="6C06A056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1530A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6216 Haczykowiec błyszczący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B6281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Niekorzystne zmiany stosunków wodnych.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74C9D" w14:textId="4818C782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2F4EE" w14:textId="2224F487" w:rsidR="007A09B0" w:rsidRDefault="007A09B0" w:rsidP="00C972FD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J02 - spowodowane przez człowieka zmiany stosunków wodnych, </w:t>
            </w:r>
            <w:r w:rsidR="009E3E98">
              <w:rPr>
                <w:sz w:val="16"/>
              </w:rPr>
              <w:br/>
            </w:r>
            <w:r>
              <w:rPr>
                <w:sz w:val="16"/>
              </w:rPr>
              <w:t>w szczególności związane z meliorowaniem i odwanianiem terenu oraz budowaniem stawów.</w:t>
            </w:r>
          </w:p>
        </w:tc>
      </w:tr>
      <w:tr w:rsidR="007A09B0" w14:paraId="2812A979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1F67B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6216 Haczykowiec błyszczący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9B49C" w14:textId="567A7DCE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Postępująca presja zabudowy i związana z tym budowa i rozbudowa obiektów budowlanych, w szczególności infrastruktury technicznej </w:t>
            </w:r>
            <w:r>
              <w:rPr>
                <w:sz w:val="16"/>
              </w:rPr>
              <w:lastRenderedPageBreak/>
              <w:t xml:space="preserve">powiązanej z wprowadzanym sposobem zagospodarowania terenu. Utrata integralności i powiązania </w:t>
            </w:r>
            <w:r w:rsidR="00C972FD">
              <w:rPr>
                <w:sz w:val="16"/>
              </w:rPr>
              <w:t>obszaru Natura 2000</w:t>
            </w:r>
            <w:r>
              <w:rPr>
                <w:sz w:val="16"/>
              </w:rPr>
              <w:t xml:space="preserve"> z innymi formami ochrony przyrody.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8FD87" w14:textId="242722B1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31257" w14:textId="7EC5AE8A" w:rsidR="007A09B0" w:rsidRDefault="007A09B0" w:rsidP="00C972FD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J03.01 – zmniejszenie lub utrata cech charakterystycznych siedlisk </w:t>
            </w:r>
            <w:r w:rsidR="00C972FD">
              <w:rPr>
                <w:sz w:val="16"/>
              </w:rPr>
              <w:t>obszaru Natura 2000</w:t>
            </w:r>
            <w:r>
              <w:rPr>
                <w:sz w:val="16"/>
              </w:rPr>
              <w:t xml:space="preserve">. Antropogeniczne przekształcenie terenu, </w:t>
            </w:r>
            <w:r w:rsidR="009E3E98">
              <w:rPr>
                <w:sz w:val="16"/>
              </w:rPr>
              <w:br/>
            </w:r>
            <w:r>
              <w:rPr>
                <w:sz w:val="16"/>
              </w:rPr>
              <w:lastRenderedPageBreak/>
              <w:t xml:space="preserve">w szczególności otwartych terenów rolniczych, tworzące bariery </w:t>
            </w:r>
            <w:r w:rsidR="00C972FD">
              <w:rPr>
                <w:sz w:val="16"/>
              </w:rPr>
              <w:t>migracyjne</w:t>
            </w:r>
            <w:r>
              <w:rPr>
                <w:sz w:val="16"/>
              </w:rPr>
              <w:t>.</w:t>
            </w:r>
          </w:p>
        </w:tc>
      </w:tr>
      <w:tr w:rsidR="007A09B0" w14:paraId="528CDD35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C485E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6216 Haczykowiec błyszczący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12DF1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Utrata charakterystycznych cech siedliska w efekcie ekspansji drzew i krzewów, w szczególności brzóz i wierzb.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F26F3" w14:textId="722C6E83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Istniejące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62E5D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K02.01 – zmiana składu gatunkowego (sukcesja)</w:t>
            </w:r>
          </w:p>
        </w:tc>
      </w:tr>
      <w:tr w:rsidR="007A09B0" w14:paraId="556D0B94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F22A2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6216 Haczykowiec błyszczący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0554D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Zaburzenie procesów zasilania siedliska w wodę w następstwie spadku poziomu wód spowodowanego suszą atmosferyczną wywołaną długotrwałym brakiem opadów deszczu.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832DE" w14:textId="4E4F832B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6017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M01.02 - susze i zmniejszenie opadów.</w:t>
            </w:r>
          </w:p>
        </w:tc>
      </w:tr>
      <w:tr w:rsidR="007A09B0" w14:paraId="262FDBAC" w14:textId="77777777" w:rsidTr="007A09B0">
        <w:trPr>
          <w:trHeight w:val="368"/>
        </w:trPr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1FDE9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6216 Haczykowiec błyszczący</w:t>
            </w:r>
          </w:p>
        </w:tc>
        <w:tc>
          <w:tcPr>
            <w:tcW w:w="162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6C8FB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Wypieranie rodzimych gatunków roślin przez gatunki obce geograficznie.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D1D2E" w14:textId="3EF6D18B" w:rsidR="007A09B0" w:rsidRPr="00A95391" w:rsidRDefault="007A09B0" w:rsidP="00A95391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Potencjalne</w:t>
            </w:r>
          </w:p>
        </w:tc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5594F" w14:textId="77777777" w:rsidR="007A09B0" w:rsidRDefault="007A09B0" w:rsidP="0065142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I01 - obce gatunki inwazyjne</w:t>
            </w:r>
          </w:p>
        </w:tc>
      </w:tr>
    </w:tbl>
    <w:p w14:paraId="7439D32C" w14:textId="77777777" w:rsidR="007A09B0" w:rsidRDefault="007A09B0">
      <w:pPr>
        <w:keepNext/>
        <w:spacing w:after="480"/>
        <w:jc w:val="center"/>
        <w:rPr>
          <w:color w:val="000000"/>
          <w:u w:color="000000"/>
        </w:rPr>
      </w:pPr>
    </w:p>
    <w:p w14:paraId="4FEF590C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6838" w:h="11906" w:orient="landscape"/>
          <w:pgMar w:top="567" w:right="567" w:bottom="567" w:left="567" w:header="708" w:footer="708" w:gutter="0"/>
          <w:pgNumType w:start="1"/>
          <w:cols w:space="708"/>
          <w:docGrid w:linePitch="360"/>
        </w:sectPr>
      </w:pPr>
    </w:p>
    <w:p w14:paraId="6736F8EF" w14:textId="0AC9D0B3" w:rsidR="00B17E26" w:rsidRDefault="00B17E26" w:rsidP="00B17E26">
      <w:pPr>
        <w:keepNext/>
        <w:spacing w:after="120"/>
        <w:jc w:val="center"/>
        <w:rPr>
          <w:b/>
          <w:color w:val="000000"/>
          <w:u w:color="000000"/>
        </w:rPr>
      </w:pPr>
      <w:r w:rsidRPr="00B17E26">
        <w:rPr>
          <w:b/>
          <w:color w:val="000000"/>
          <w:u w:color="000000"/>
        </w:rPr>
        <w:lastRenderedPageBreak/>
        <w:t>Załącznik nr 4</w:t>
      </w:r>
    </w:p>
    <w:p w14:paraId="7B75DC25" w14:textId="5B9E6935" w:rsidR="00A77B3E" w:rsidRDefault="00FF641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Cele działań ochronnych w obszarze Natura 2000</w:t>
      </w:r>
    </w:p>
    <w:p w14:paraId="1486969B" w14:textId="77777777" w:rsidR="00A77B3E" w:rsidRDefault="00A77B3E">
      <w:pPr>
        <w:rPr>
          <w:color w:val="000000"/>
          <w:u w:color="00000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12"/>
        <w:gridCol w:w="3450"/>
        <w:gridCol w:w="5026"/>
      </w:tblGrid>
      <w:tr w:rsidR="00DC3BC1" w:rsidRPr="00B40A0A" w14:paraId="6EBC221B" w14:textId="77777777" w:rsidTr="0012483B">
        <w:tc>
          <w:tcPr>
            <w:tcW w:w="1143" w:type="pct"/>
            <w:vAlign w:val="center"/>
          </w:tcPr>
          <w:p w14:paraId="789D7AFD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b/>
                <w:sz w:val="16"/>
                <w:szCs w:val="16"/>
              </w:rPr>
              <w:t>Przedmiot ochrony</w:t>
            </w:r>
          </w:p>
        </w:tc>
        <w:tc>
          <w:tcPr>
            <w:tcW w:w="1570" w:type="pct"/>
            <w:vAlign w:val="center"/>
          </w:tcPr>
          <w:p w14:paraId="4C843DC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b/>
                <w:sz w:val="16"/>
                <w:szCs w:val="16"/>
              </w:rPr>
              <w:t>Parametr</w:t>
            </w:r>
          </w:p>
        </w:tc>
        <w:tc>
          <w:tcPr>
            <w:tcW w:w="2287" w:type="pct"/>
            <w:vAlign w:val="center"/>
          </w:tcPr>
          <w:p w14:paraId="0842337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b/>
                <w:sz w:val="16"/>
                <w:szCs w:val="16"/>
              </w:rPr>
              <w:t>Cele działań ochronnych</w:t>
            </w:r>
          </w:p>
        </w:tc>
      </w:tr>
      <w:tr w:rsidR="00DC3BC1" w:rsidRPr="00B40A0A" w14:paraId="371AA746" w14:textId="77777777" w:rsidTr="0012483B">
        <w:tc>
          <w:tcPr>
            <w:tcW w:w="1143" w:type="pct"/>
            <w:vMerge w:val="restart"/>
            <w:vAlign w:val="center"/>
          </w:tcPr>
          <w:p w14:paraId="42755E85" w14:textId="57AF1FBF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7140 Torfowiska przejściowe </w:t>
            </w:r>
            <w:r w:rsidR="009E3E9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i trzęsawiska (przeważnie </w:t>
            </w:r>
            <w:r w:rsidR="009E3E9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z roślinnością z </w:t>
            </w:r>
            <w:r w:rsidRPr="00B40A0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Scheuchzerio-Caricetea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70" w:type="pct"/>
            <w:vAlign w:val="center"/>
          </w:tcPr>
          <w:p w14:paraId="2BB7DFC5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Powierzchnia siedliska</w:t>
            </w:r>
          </w:p>
        </w:tc>
        <w:tc>
          <w:tcPr>
            <w:tcW w:w="2287" w:type="pct"/>
            <w:vAlign w:val="center"/>
          </w:tcPr>
          <w:p w14:paraId="48105F09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występowania siedliska na powierzchni 96 ha oraz weryfikacja danych dotyczących powierzchni siedliska w obszarze (stan właściwy – FV).</w:t>
            </w:r>
          </w:p>
        </w:tc>
      </w:tr>
      <w:tr w:rsidR="00DC3BC1" w:rsidRPr="00B40A0A" w14:paraId="2D81ACA6" w14:textId="77777777" w:rsidTr="0012483B">
        <w:tc>
          <w:tcPr>
            <w:tcW w:w="1143" w:type="pct"/>
            <w:vMerge/>
            <w:vAlign w:val="center"/>
          </w:tcPr>
          <w:p w14:paraId="148FFB74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72AE4E8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Procent powierzchni zajęty przez siedlisko powierzchni badawczej</w:t>
            </w:r>
          </w:p>
        </w:tc>
        <w:tc>
          <w:tcPr>
            <w:tcW w:w="2287" w:type="pct"/>
            <w:vAlign w:val="center"/>
          </w:tcPr>
          <w:p w14:paraId="2406A200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udziału powierzchni siedliska w powierzchni badawczej na poziomie &gt; 80% (stan właściwy - FV).</w:t>
            </w:r>
          </w:p>
        </w:tc>
      </w:tr>
      <w:tr w:rsidR="00DC3BC1" w:rsidRPr="00B40A0A" w14:paraId="08A2DECE" w14:textId="77777777" w:rsidTr="0012483B">
        <w:tc>
          <w:tcPr>
            <w:tcW w:w="1143" w:type="pct"/>
            <w:vMerge/>
            <w:vAlign w:val="center"/>
          </w:tcPr>
          <w:p w14:paraId="62C91D3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5871C62D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Gatunki charakterystyczne</w:t>
            </w:r>
          </w:p>
        </w:tc>
        <w:tc>
          <w:tcPr>
            <w:tcW w:w="2287" w:type="pct"/>
            <w:vAlign w:val="center"/>
          </w:tcPr>
          <w:p w14:paraId="1FCCA356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występowania &gt; 6 gatunków charakterystycznych lub mniej, lecz pokrycie w powierzchni badawczej na poziomie &gt; 50% (stan właściwy – FV).</w:t>
            </w:r>
          </w:p>
        </w:tc>
      </w:tr>
      <w:tr w:rsidR="00DC3BC1" w:rsidRPr="00B40A0A" w14:paraId="6845F9EB" w14:textId="77777777" w:rsidTr="0012483B">
        <w:tc>
          <w:tcPr>
            <w:tcW w:w="1143" w:type="pct"/>
            <w:vMerge/>
            <w:vAlign w:val="center"/>
          </w:tcPr>
          <w:p w14:paraId="6B4A4007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1A87396B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Gatunki dominujące</w:t>
            </w:r>
          </w:p>
        </w:tc>
        <w:tc>
          <w:tcPr>
            <w:tcW w:w="2287" w:type="pct"/>
            <w:vAlign w:val="center"/>
          </w:tcPr>
          <w:p w14:paraId="50B26E80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dominacji gatunków charakterystycznych (stan właściwy – FV).</w:t>
            </w:r>
          </w:p>
        </w:tc>
      </w:tr>
      <w:tr w:rsidR="00DC3BC1" w:rsidRPr="00B40A0A" w14:paraId="021C5209" w14:textId="77777777" w:rsidTr="0012483B">
        <w:tc>
          <w:tcPr>
            <w:tcW w:w="1143" w:type="pct"/>
            <w:vMerge/>
            <w:vAlign w:val="center"/>
          </w:tcPr>
          <w:p w14:paraId="5F9188E8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6D3E12A2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Pokrycie i struktura gatunków mchów</w:t>
            </w:r>
          </w:p>
        </w:tc>
        <w:tc>
          <w:tcPr>
            <w:tcW w:w="2287" w:type="pct"/>
            <w:vAlign w:val="center"/>
          </w:tcPr>
          <w:p w14:paraId="015DAF57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całkowitego pokrycia mchów ponad 50% i mchy torfowce zajmują łącznie ponad 50% całkowitej powierzchni porośniętej przez wszystkie gatunki mchów (stan właściwy – FV).</w:t>
            </w:r>
          </w:p>
        </w:tc>
      </w:tr>
      <w:tr w:rsidR="00DC3BC1" w:rsidRPr="00B40A0A" w14:paraId="0AE60866" w14:textId="77777777" w:rsidTr="0012483B">
        <w:tc>
          <w:tcPr>
            <w:tcW w:w="1143" w:type="pct"/>
            <w:vMerge/>
            <w:vAlign w:val="center"/>
          </w:tcPr>
          <w:p w14:paraId="1383C3F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4100BB05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Obce gatunki inwazyjne</w:t>
            </w:r>
          </w:p>
        </w:tc>
        <w:tc>
          <w:tcPr>
            <w:tcW w:w="2287" w:type="pct"/>
            <w:vAlign w:val="center"/>
          </w:tcPr>
          <w:p w14:paraId="54137E6D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braku występowania obcych gatunków inwazyjnych (stan właściwy – FV).</w:t>
            </w:r>
          </w:p>
        </w:tc>
      </w:tr>
      <w:tr w:rsidR="00DC3BC1" w:rsidRPr="00B40A0A" w14:paraId="7EC69790" w14:textId="77777777" w:rsidTr="0012483B">
        <w:tc>
          <w:tcPr>
            <w:tcW w:w="1143" w:type="pct"/>
            <w:vMerge/>
            <w:vAlign w:val="center"/>
          </w:tcPr>
          <w:p w14:paraId="35DCDAA4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74BC9825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Gatunki ekspansywne roślin zielnych</w:t>
            </w:r>
          </w:p>
        </w:tc>
        <w:tc>
          <w:tcPr>
            <w:tcW w:w="2287" w:type="pct"/>
            <w:vAlign w:val="center"/>
          </w:tcPr>
          <w:p w14:paraId="0225CA17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braku występowania lub pojedynczych gatunków ekspansywnych roślin zielnych (stan właściwy – FV).</w:t>
            </w:r>
          </w:p>
        </w:tc>
      </w:tr>
      <w:tr w:rsidR="00DC3BC1" w:rsidRPr="00B40A0A" w14:paraId="7AD7F867" w14:textId="77777777" w:rsidTr="0012483B">
        <w:tc>
          <w:tcPr>
            <w:tcW w:w="1143" w:type="pct"/>
            <w:vMerge/>
            <w:vAlign w:val="center"/>
          </w:tcPr>
          <w:p w14:paraId="23B16CE6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68AB683A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Obecność krzewów i podrostu drzew</w:t>
            </w:r>
          </w:p>
        </w:tc>
        <w:tc>
          <w:tcPr>
            <w:tcW w:w="2287" w:type="pct"/>
            <w:vAlign w:val="center"/>
          </w:tcPr>
          <w:p w14:paraId="12CA6D8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Stopniowa poprawa oceny stanu zachowania zmierzająca do występowania krzewów lub podrostu drzew na poziomie &lt; 15 % (stopniowa poprawa złego stanu zachowania – U2 do stanu niezadowalającego – U1).</w:t>
            </w:r>
          </w:p>
        </w:tc>
      </w:tr>
      <w:tr w:rsidR="00DC3BC1" w:rsidRPr="00B40A0A" w14:paraId="40BA9A80" w14:textId="77777777" w:rsidTr="0012483B">
        <w:tc>
          <w:tcPr>
            <w:tcW w:w="1143" w:type="pct"/>
            <w:vMerge/>
            <w:vAlign w:val="center"/>
          </w:tcPr>
          <w:p w14:paraId="4A618200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19C51A2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Stopień uwodnienia</w:t>
            </w:r>
          </w:p>
        </w:tc>
        <w:tc>
          <w:tcPr>
            <w:tcW w:w="2287" w:type="pct"/>
            <w:vAlign w:val="center"/>
          </w:tcPr>
          <w:p w14:paraId="398865EA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poziomu wody mierzonego w piezometrze powyżej, równo lub do 10 cm poniżej powierzchni torfowiska ( w praktyce, w trakcie chodzenia po torfowisku woda zawsze widoczna przynajmniej do wysokości podeszwy), dopuszcza się </w:t>
            </w: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niewielkie oznaki przesuszenia (stan właściwy – FV).</w:t>
            </w:r>
          </w:p>
        </w:tc>
      </w:tr>
      <w:tr w:rsidR="00DC3BC1" w:rsidRPr="00B40A0A" w14:paraId="55B2B537" w14:textId="77777777" w:rsidTr="0012483B">
        <w:tc>
          <w:tcPr>
            <w:tcW w:w="1143" w:type="pct"/>
            <w:vMerge/>
            <w:vAlign w:val="center"/>
          </w:tcPr>
          <w:p w14:paraId="51C5E7D5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305BAD39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Pozyskanie torfu</w:t>
            </w:r>
          </w:p>
        </w:tc>
        <w:tc>
          <w:tcPr>
            <w:tcW w:w="2287" w:type="pct"/>
            <w:vAlign w:val="center"/>
          </w:tcPr>
          <w:p w14:paraId="48112B30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braku pozyskania torfu (stan właściwy – FV).</w:t>
            </w:r>
          </w:p>
        </w:tc>
      </w:tr>
      <w:tr w:rsidR="00DC3BC1" w:rsidRPr="00B40A0A" w14:paraId="55CEB789" w14:textId="77777777" w:rsidTr="0012483B">
        <w:tc>
          <w:tcPr>
            <w:tcW w:w="1143" w:type="pct"/>
            <w:vMerge/>
            <w:vAlign w:val="center"/>
          </w:tcPr>
          <w:p w14:paraId="43DEE495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58F40DA8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Melioracje odwadniające</w:t>
            </w:r>
          </w:p>
        </w:tc>
        <w:tc>
          <w:tcPr>
            <w:tcW w:w="2287" w:type="pct"/>
            <w:vAlign w:val="center"/>
          </w:tcPr>
          <w:p w14:paraId="25BCC498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braku sieci rowów i kanałów melioracyjnych oraz inne infrastruktury melioracyjnej odwadniających torfowisko (stan właściwy - FV).</w:t>
            </w:r>
          </w:p>
        </w:tc>
      </w:tr>
      <w:tr w:rsidR="00DC3BC1" w:rsidRPr="00B40A0A" w14:paraId="52668884" w14:textId="77777777" w:rsidTr="0012483B">
        <w:tc>
          <w:tcPr>
            <w:tcW w:w="1143" w:type="pct"/>
            <w:vMerge w:val="restart"/>
            <w:vAlign w:val="center"/>
          </w:tcPr>
          <w:p w14:paraId="7663E51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1903</w:t>
            </w:r>
          </w:p>
          <w:p w14:paraId="7157EFBA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lipiennik Loesela </w:t>
            </w:r>
            <w:r w:rsidRPr="00B40A0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Liparis loeselii</w:t>
            </w:r>
          </w:p>
        </w:tc>
        <w:tc>
          <w:tcPr>
            <w:tcW w:w="1570" w:type="pct"/>
            <w:vAlign w:val="center"/>
          </w:tcPr>
          <w:p w14:paraId="5594AD14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Liczebność osobników</w:t>
            </w:r>
          </w:p>
        </w:tc>
        <w:tc>
          <w:tcPr>
            <w:tcW w:w="2287" w:type="pct"/>
            <w:vAlign w:val="center"/>
          </w:tcPr>
          <w:p w14:paraId="43C0B18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występowania minimum 30 osobników gatunku (stan niezadowalający – U1).</w:t>
            </w:r>
          </w:p>
        </w:tc>
      </w:tr>
      <w:tr w:rsidR="00DC3BC1" w:rsidRPr="00B40A0A" w14:paraId="3FB494C0" w14:textId="77777777" w:rsidTr="0012483B">
        <w:tc>
          <w:tcPr>
            <w:tcW w:w="1143" w:type="pct"/>
            <w:vMerge/>
            <w:vAlign w:val="center"/>
          </w:tcPr>
          <w:p w14:paraId="429003F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29F44C82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Struktura populacji</w:t>
            </w:r>
          </w:p>
        </w:tc>
        <w:tc>
          <w:tcPr>
            <w:tcW w:w="2287" w:type="pct"/>
            <w:vAlign w:val="center"/>
          </w:tcPr>
          <w:p w14:paraId="1C27D8CB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Stopniowa poprawa stanu zachowania zmierzająca do występowania minimum pojedynczych osobników juwenilnych (stopniowa poprawa złego stanu zachowania – U2 do stanu niezadowalającego – U1).</w:t>
            </w:r>
          </w:p>
        </w:tc>
      </w:tr>
      <w:tr w:rsidR="00DC3BC1" w:rsidRPr="00B40A0A" w14:paraId="4C7FF00E" w14:textId="77777777" w:rsidTr="0012483B">
        <w:tc>
          <w:tcPr>
            <w:tcW w:w="1143" w:type="pct"/>
            <w:vMerge/>
            <w:vAlign w:val="center"/>
          </w:tcPr>
          <w:p w14:paraId="0DBB5BA6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67B7B73C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Stan zdrowotny</w:t>
            </w:r>
          </w:p>
        </w:tc>
        <w:tc>
          <w:tcPr>
            <w:tcW w:w="2287" w:type="pct"/>
            <w:vAlign w:val="center"/>
          </w:tcPr>
          <w:p w14:paraId="0DFD6107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braku występowania </w:t>
            </w: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chorób, pasożytów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 (stan właściwy – FV).</w:t>
            </w:r>
          </w:p>
        </w:tc>
      </w:tr>
      <w:tr w:rsidR="00DC3BC1" w:rsidRPr="00B40A0A" w14:paraId="340D57F2" w14:textId="77777777" w:rsidTr="0012483B">
        <w:tc>
          <w:tcPr>
            <w:tcW w:w="1143" w:type="pct"/>
            <w:vMerge/>
            <w:vAlign w:val="center"/>
          </w:tcPr>
          <w:p w14:paraId="632930DC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3E4457B7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Powierzchnia potencjalnego siedliska</w:t>
            </w:r>
          </w:p>
        </w:tc>
        <w:tc>
          <w:tcPr>
            <w:tcW w:w="2287" w:type="pct"/>
            <w:vAlign w:val="center"/>
          </w:tcPr>
          <w:p w14:paraId="5EE5E19E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</w:t>
            </w:r>
            <w:r w:rsidRPr="00B40A0A">
              <w:rPr>
                <w:rStyle w:val="Bodytext28pt"/>
                <w:rFonts w:ascii="Times New Roman" w:hAnsi="Times New Roman" w:cs="Times New Roman"/>
              </w:rPr>
              <w:t>takiej samej (23 ha) lub większej w porównaniu do poprzedniego okresu monitoringowego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 powierzchni potencjalnego siedliska (stan właściwy – FV).</w:t>
            </w:r>
          </w:p>
        </w:tc>
      </w:tr>
      <w:tr w:rsidR="00DC3BC1" w:rsidRPr="00B40A0A" w14:paraId="22FAD18C" w14:textId="77777777" w:rsidTr="0012483B">
        <w:tc>
          <w:tcPr>
            <w:tcW w:w="1143" w:type="pct"/>
            <w:vMerge/>
            <w:vAlign w:val="center"/>
          </w:tcPr>
          <w:p w14:paraId="7EF3A7D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6479F30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Powierzchnia zajętego siedliska</w:t>
            </w:r>
          </w:p>
        </w:tc>
        <w:tc>
          <w:tcPr>
            <w:tcW w:w="2287" w:type="pct"/>
            <w:vAlign w:val="center"/>
          </w:tcPr>
          <w:p w14:paraId="356C9E1F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</w:t>
            </w:r>
            <w:r w:rsidRPr="00B40A0A">
              <w:rPr>
                <w:rStyle w:val="Bodytext28pt"/>
                <w:rFonts w:ascii="Times New Roman" w:hAnsi="Times New Roman" w:cs="Times New Roman"/>
              </w:rPr>
              <w:t>takiej samej (23 ha) lub większej w porównaniu do poprzedniego okresu monitoringowego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 powierzchni zajętego siedliska (stan właściwy – FV).</w:t>
            </w:r>
          </w:p>
        </w:tc>
      </w:tr>
      <w:tr w:rsidR="00DC3BC1" w:rsidRPr="00B40A0A" w14:paraId="32D29F8C" w14:textId="77777777" w:rsidTr="0012483B">
        <w:tc>
          <w:tcPr>
            <w:tcW w:w="1143" w:type="pct"/>
            <w:vMerge/>
            <w:vAlign w:val="center"/>
          </w:tcPr>
          <w:p w14:paraId="0B45A9E0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0A92AAD4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Fragmentacja siedliska</w:t>
            </w:r>
          </w:p>
        </w:tc>
        <w:tc>
          <w:tcPr>
            <w:tcW w:w="2287" w:type="pct"/>
            <w:vAlign w:val="center"/>
          </w:tcPr>
          <w:p w14:paraId="37B04030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małej fragmentacji siedliska na stanowisku 2 – współrzędne: </w:t>
            </w: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53,3696221009;</w:t>
            </w:r>
          </w:p>
          <w:p w14:paraId="7F9B3B9D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21,6178405438 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(stan właściwy – FV) oraz stopniowa poprawa stanu zachowania zmierzająca do występowania maksymalnie średniego stopnia fragmentacji na stanowisku 1 – współrzędne: </w:t>
            </w: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53,3696221009;</w:t>
            </w:r>
          </w:p>
          <w:p w14:paraId="014AEF80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21,6178405438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 (stopniowa poprawa złego stanu zachowania – U2 do stanu niezadowalającego – U1).</w:t>
            </w:r>
          </w:p>
        </w:tc>
      </w:tr>
      <w:tr w:rsidR="00DC3BC1" w:rsidRPr="00B40A0A" w14:paraId="28F3F76C" w14:textId="77777777" w:rsidTr="0012483B">
        <w:tc>
          <w:tcPr>
            <w:tcW w:w="1143" w:type="pct"/>
            <w:vMerge/>
            <w:vAlign w:val="center"/>
          </w:tcPr>
          <w:p w14:paraId="553F917B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02BCF5F0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Stopień zarośnięcia siedliska przez roślinność drzewiastą i krzewiastą</w:t>
            </w:r>
          </w:p>
        </w:tc>
        <w:tc>
          <w:tcPr>
            <w:tcW w:w="2287" w:type="pct"/>
            <w:vAlign w:val="center"/>
          </w:tcPr>
          <w:p w14:paraId="2633B6AE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stopnia zarośnięcia siedliska na poziomie &lt; 25% na stanowisku 2 (stan właściwy – FV) oraz stopniowa poprawa stanu zachowania zmierzająca do stopnia zarośnięcia siedliska na poziomie &lt; 25% na stanowisku 1 (stopniowa poprawa złego stanu zachowania – U2 do stanu niezadowalającego – U1).</w:t>
            </w:r>
          </w:p>
        </w:tc>
      </w:tr>
      <w:tr w:rsidR="00DC3BC1" w:rsidRPr="00B40A0A" w14:paraId="297788D6" w14:textId="77777777" w:rsidTr="0012483B">
        <w:tc>
          <w:tcPr>
            <w:tcW w:w="1143" w:type="pct"/>
            <w:vMerge/>
            <w:vAlign w:val="center"/>
          </w:tcPr>
          <w:p w14:paraId="3267BC48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50AEEC06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Wysokie byliny/ gatunki ekspansywne - konkurencyjne</w:t>
            </w:r>
          </w:p>
        </w:tc>
        <w:tc>
          <w:tcPr>
            <w:tcW w:w="2287" w:type="pct"/>
            <w:vAlign w:val="center"/>
          </w:tcPr>
          <w:p w14:paraId="61A18229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braku lub pojedynczych osobników wysokich bylin/ gatunków konkurencyjnych </w:t>
            </w:r>
            <w:r w:rsidRPr="00B40A0A">
              <w:rPr>
                <w:rStyle w:val="Bodytext28pt"/>
                <w:rFonts w:ascii="Times New Roman" w:hAnsi="Times New Roman" w:cs="Times New Roman"/>
              </w:rPr>
              <w:t>(stan właściwy – FV).</w:t>
            </w:r>
          </w:p>
          <w:p w14:paraId="0C0B52E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C3BC1" w:rsidRPr="00B40A0A" w14:paraId="409AC166" w14:textId="77777777" w:rsidTr="0012483B">
        <w:tc>
          <w:tcPr>
            <w:tcW w:w="1143" w:type="pct"/>
            <w:vMerge/>
            <w:vAlign w:val="center"/>
          </w:tcPr>
          <w:p w14:paraId="69C9405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68B58E09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Wysokość runi</w:t>
            </w:r>
          </w:p>
        </w:tc>
        <w:tc>
          <w:tcPr>
            <w:tcW w:w="2287" w:type="pct"/>
            <w:vAlign w:val="center"/>
          </w:tcPr>
          <w:p w14:paraId="1816DFF7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</w:t>
            </w:r>
            <w:r w:rsidRPr="00B40A0A">
              <w:rPr>
                <w:rStyle w:val="Bodytext28pt"/>
                <w:rFonts w:ascii="Times New Roman" w:hAnsi="Times New Roman" w:cs="Times New Roman"/>
              </w:rPr>
              <w:t>występowania runi na poziomie nieprzekraczającym 40 cm wysokości (utrzymanie minimum niezadowalającego stanu zachowania – U1).</w:t>
            </w:r>
          </w:p>
        </w:tc>
      </w:tr>
      <w:tr w:rsidR="00DC3BC1" w:rsidRPr="00B40A0A" w14:paraId="75026A63" w14:textId="77777777" w:rsidTr="0012483B">
        <w:tc>
          <w:tcPr>
            <w:tcW w:w="1143" w:type="pct"/>
            <w:vMerge/>
            <w:vAlign w:val="center"/>
          </w:tcPr>
          <w:p w14:paraId="0BFA4884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1BBC96FE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Grubość wojłoku</w:t>
            </w:r>
          </w:p>
        </w:tc>
        <w:tc>
          <w:tcPr>
            <w:tcW w:w="2287" w:type="pct"/>
            <w:vAlign w:val="center"/>
          </w:tcPr>
          <w:p w14:paraId="2CF95A1A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grubości wojłoku na poziomie </w:t>
            </w:r>
            <w:r w:rsidRPr="00B40A0A">
              <w:rPr>
                <w:rStyle w:val="Bodytext28pt"/>
                <w:rFonts w:ascii="Times New Roman" w:hAnsi="Times New Roman" w:cs="Times New Roman"/>
              </w:rPr>
              <w:t>&lt; 5 cm (stan właściwy – FV).</w:t>
            </w:r>
          </w:p>
        </w:tc>
      </w:tr>
      <w:tr w:rsidR="00DC3BC1" w:rsidRPr="00B40A0A" w14:paraId="43497800" w14:textId="77777777" w:rsidTr="0012483B">
        <w:tc>
          <w:tcPr>
            <w:tcW w:w="1143" w:type="pct"/>
            <w:vMerge/>
            <w:vAlign w:val="center"/>
          </w:tcPr>
          <w:p w14:paraId="78B85B16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538B5666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Miejsca do kiełkowania</w:t>
            </w:r>
          </w:p>
        </w:tc>
        <w:tc>
          <w:tcPr>
            <w:tcW w:w="2287" w:type="pct"/>
            <w:vAlign w:val="center"/>
          </w:tcPr>
          <w:p w14:paraId="237E673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miejsca do kiełkowania na poziomie &gt; 10 % </w:t>
            </w:r>
            <w:r w:rsidRPr="00B40A0A">
              <w:rPr>
                <w:rStyle w:val="Bodytext28pt"/>
                <w:rFonts w:ascii="Times New Roman" w:hAnsi="Times New Roman" w:cs="Times New Roman"/>
              </w:rPr>
              <w:t>(stan właściwy – FV).</w:t>
            </w:r>
          </w:p>
        </w:tc>
      </w:tr>
      <w:tr w:rsidR="00DC3BC1" w:rsidRPr="00B40A0A" w14:paraId="4AB7C939" w14:textId="77777777" w:rsidTr="0012483B">
        <w:tc>
          <w:tcPr>
            <w:tcW w:w="1143" w:type="pct"/>
            <w:vMerge/>
            <w:vAlign w:val="center"/>
          </w:tcPr>
          <w:p w14:paraId="748D707D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7121591A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Stopień uwodnienia</w:t>
            </w:r>
          </w:p>
        </w:tc>
        <w:tc>
          <w:tcPr>
            <w:tcW w:w="2287" w:type="pct"/>
            <w:vAlign w:val="center"/>
          </w:tcPr>
          <w:p w14:paraId="276437A7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minimum średniego stopnia uwodnienia (stan niezadowalający – U1).</w:t>
            </w:r>
          </w:p>
        </w:tc>
      </w:tr>
      <w:tr w:rsidR="00DC3BC1" w:rsidRPr="00B40A0A" w14:paraId="29B28BCC" w14:textId="77777777" w:rsidTr="0012483B">
        <w:tc>
          <w:tcPr>
            <w:tcW w:w="1143" w:type="pct"/>
            <w:vMerge w:val="restart"/>
            <w:vAlign w:val="center"/>
          </w:tcPr>
          <w:p w14:paraId="07AF7B75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6216 haczykowiec błyszczący </w:t>
            </w:r>
            <w:r w:rsidRPr="00B40A0A">
              <w:rPr>
                <w:rFonts w:ascii="Times New Roman" w:hAnsi="Times New Roman" w:cs="Times New Roman"/>
                <w:i/>
                <w:sz w:val="16"/>
                <w:szCs w:val="16"/>
              </w:rPr>
              <w:t>Hamatocaulis vernicosus</w:t>
            </w:r>
          </w:p>
        </w:tc>
        <w:tc>
          <w:tcPr>
            <w:tcW w:w="1570" w:type="pct"/>
            <w:vAlign w:val="center"/>
          </w:tcPr>
          <w:p w14:paraId="721FF29F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Powierzchnie darni</w:t>
            </w:r>
          </w:p>
        </w:tc>
        <w:tc>
          <w:tcPr>
            <w:tcW w:w="2287" w:type="pct"/>
            <w:vAlign w:val="center"/>
          </w:tcPr>
          <w:p w14:paraId="4EABA3AA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powierzchni darni minimum na poziomie 2,5 m</w:t>
            </w:r>
            <w:r w:rsidRPr="00B40A0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 (stan niezadowalający – U1).</w:t>
            </w:r>
          </w:p>
        </w:tc>
      </w:tr>
      <w:tr w:rsidR="00DC3BC1" w:rsidRPr="00B40A0A" w14:paraId="28D0CF27" w14:textId="77777777" w:rsidTr="0012483B">
        <w:tc>
          <w:tcPr>
            <w:tcW w:w="1143" w:type="pct"/>
            <w:vMerge/>
            <w:vAlign w:val="center"/>
          </w:tcPr>
          <w:p w14:paraId="41A9DF2F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2CE3F24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Typ rozmieszczenia</w:t>
            </w:r>
          </w:p>
        </w:tc>
        <w:tc>
          <w:tcPr>
            <w:tcW w:w="2287" w:type="pct"/>
            <w:vAlign w:val="center"/>
          </w:tcPr>
          <w:p w14:paraId="3FD17BD5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występowania dużych skupisk na stanowisku 1 – współrzędne: </w:t>
            </w: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53,369786203;</w:t>
            </w:r>
          </w:p>
          <w:p w14:paraId="62887A8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21,610404429 (stan właściwy – FV) oraz minimum małych skupisk na </w:t>
            </w: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stanowisku 2 – współrzędne: 53,365315;   21,613321 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(stan niezadowalający – U1).</w:t>
            </w:r>
          </w:p>
        </w:tc>
      </w:tr>
      <w:tr w:rsidR="00DC3BC1" w:rsidRPr="00B40A0A" w14:paraId="42A6A0FD" w14:textId="77777777" w:rsidTr="0012483B">
        <w:tc>
          <w:tcPr>
            <w:tcW w:w="1143" w:type="pct"/>
            <w:vMerge/>
            <w:vAlign w:val="center"/>
          </w:tcPr>
          <w:p w14:paraId="6DA7E3A8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5CD591BA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Liczba darni</w:t>
            </w:r>
          </w:p>
        </w:tc>
        <w:tc>
          <w:tcPr>
            <w:tcW w:w="2287" w:type="pct"/>
            <w:vAlign w:val="center"/>
          </w:tcPr>
          <w:p w14:paraId="0844636A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występowania liczby darni &gt; 10 na stanowisku 1 </w:t>
            </w: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(stan właściwy – FV) oraz minimum 10 na stanowisku 2 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(stan niezadowalający – U1).</w:t>
            </w:r>
          </w:p>
        </w:tc>
      </w:tr>
      <w:tr w:rsidR="00DC3BC1" w:rsidRPr="00B40A0A" w14:paraId="34476BF4" w14:textId="77777777" w:rsidTr="0012483B">
        <w:tc>
          <w:tcPr>
            <w:tcW w:w="1143" w:type="pct"/>
            <w:vMerge/>
            <w:vAlign w:val="center"/>
          </w:tcPr>
          <w:p w14:paraId="0D7AEEB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4023BB8A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Liczba osobników generatywnych</w:t>
            </w:r>
          </w:p>
        </w:tc>
        <w:tc>
          <w:tcPr>
            <w:tcW w:w="2287" w:type="pct"/>
            <w:vAlign w:val="center"/>
          </w:tcPr>
          <w:p w14:paraId="35DE82A9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Stopniowa poprawa stanu zachowania zmierzająca do występowania osobników generatywnych (stopniowa poprawa złego stanu zachowania – U2 do stanu niezadowalającego – U1).</w:t>
            </w:r>
          </w:p>
        </w:tc>
      </w:tr>
      <w:tr w:rsidR="00DC3BC1" w:rsidRPr="00B40A0A" w14:paraId="503DBB01" w14:textId="77777777" w:rsidTr="0012483B">
        <w:tc>
          <w:tcPr>
            <w:tcW w:w="1143" w:type="pct"/>
            <w:vMerge/>
            <w:vAlign w:val="center"/>
          </w:tcPr>
          <w:p w14:paraId="3305525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6E33F618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Stan zdrowotny</w:t>
            </w:r>
          </w:p>
        </w:tc>
        <w:tc>
          <w:tcPr>
            <w:tcW w:w="2287" w:type="pct"/>
            <w:vAlign w:val="center"/>
          </w:tcPr>
          <w:p w14:paraId="5A74DC8C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braku występowania oznak chorobowych (stan właściwy – FV).</w:t>
            </w:r>
          </w:p>
        </w:tc>
      </w:tr>
      <w:tr w:rsidR="00DC3BC1" w:rsidRPr="00B40A0A" w14:paraId="3B6995BD" w14:textId="77777777" w:rsidTr="0012483B">
        <w:tc>
          <w:tcPr>
            <w:tcW w:w="1143" w:type="pct"/>
            <w:vMerge/>
            <w:vAlign w:val="center"/>
          </w:tcPr>
          <w:p w14:paraId="6B3BEE87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753A90B9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Powierzchnia potencjalnego siedliska</w:t>
            </w:r>
          </w:p>
        </w:tc>
        <w:tc>
          <w:tcPr>
            <w:tcW w:w="2287" w:type="pct"/>
            <w:vAlign w:val="center"/>
          </w:tcPr>
          <w:p w14:paraId="62CF07C2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dużej (16 ha), powierzchni potencjalnego siedliska kilkunastokrotnie przewyższającej obecnie zajęte siedlisko (stan właściwy – FV).</w:t>
            </w:r>
          </w:p>
        </w:tc>
      </w:tr>
      <w:tr w:rsidR="00DC3BC1" w:rsidRPr="00B40A0A" w14:paraId="3E25DEA4" w14:textId="77777777" w:rsidTr="0012483B">
        <w:tc>
          <w:tcPr>
            <w:tcW w:w="1143" w:type="pct"/>
            <w:vMerge/>
            <w:vAlign w:val="center"/>
          </w:tcPr>
          <w:p w14:paraId="5CA23B97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56D4F814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Powierzchnia zajętego siedliska</w:t>
            </w:r>
          </w:p>
        </w:tc>
        <w:tc>
          <w:tcPr>
            <w:tcW w:w="2287" w:type="pct"/>
            <w:vAlign w:val="center"/>
          </w:tcPr>
          <w:p w14:paraId="433E0A8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dużej (16 ha) powierzchni zajętego siedliska (stan właściwy – FV).</w:t>
            </w:r>
          </w:p>
        </w:tc>
      </w:tr>
      <w:tr w:rsidR="00DC3BC1" w:rsidRPr="00B40A0A" w14:paraId="35889849" w14:textId="77777777" w:rsidTr="0012483B">
        <w:tc>
          <w:tcPr>
            <w:tcW w:w="1143" w:type="pct"/>
            <w:vMerge/>
            <w:vAlign w:val="center"/>
          </w:tcPr>
          <w:p w14:paraId="4DDB0302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660F3DDD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Fragmentacja siedliska</w:t>
            </w:r>
          </w:p>
        </w:tc>
        <w:tc>
          <w:tcPr>
            <w:tcW w:w="2287" w:type="pct"/>
            <w:vAlign w:val="center"/>
          </w:tcPr>
          <w:p w14:paraId="71C534D4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braku fragmentacji siedliska (stan właściwy – FV).</w:t>
            </w:r>
          </w:p>
        </w:tc>
      </w:tr>
      <w:tr w:rsidR="00DC3BC1" w:rsidRPr="00B40A0A" w14:paraId="7D4A2C39" w14:textId="77777777" w:rsidTr="0012483B">
        <w:tc>
          <w:tcPr>
            <w:tcW w:w="1143" w:type="pct"/>
            <w:vMerge/>
            <w:vAlign w:val="center"/>
          </w:tcPr>
          <w:p w14:paraId="5446F85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41B1266C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Gatunki ekspansywne</w:t>
            </w:r>
          </w:p>
        </w:tc>
        <w:tc>
          <w:tcPr>
            <w:tcW w:w="2287" w:type="pct"/>
            <w:vAlign w:val="center"/>
          </w:tcPr>
          <w:p w14:paraId="441BE5C2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 xml:space="preserve">Utrzymanie braku występowania gatunków ekspansywnych na stanowisku 1 </w:t>
            </w: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(stan właściwy – FV) oraz stopniowa poprawa stanu zachowania zmierzająca do występowania gatunków słabo ekspansywnych na poziomie do 20 % powierzchni siedliska na stanowisku 2 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(stopniowa poprawa złego stanu zachowania – U2 do stanu niezadowalającego – U1).</w:t>
            </w:r>
          </w:p>
        </w:tc>
      </w:tr>
      <w:tr w:rsidR="00DC3BC1" w:rsidRPr="00B40A0A" w14:paraId="3B8FA926" w14:textId="77777777" w:rsidTr="0012483B">
        <w:tc>
          <w:tcPr>
            <w:tcW w:w="1143" w:type="pct"/>
            <w:vMerge/>
            <w:vAlign w:val="center"/>
          </w:tcPr>
          <w:p w14:paraId="218F845D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19D5AECB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Gatunki obce, inwazyjne</w:t>
            </w:r>
          </w:p>
        </w:tc>
        <w:tc>
          <w:tcPr>
            <w:tcW w:w="2287" w:type="pct"/>
            <w:vAlign w:val="center"/>
          </w:tcPr>
          <w:p w14:paraId="359F4E68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braku występowania obcych gatunków inwazyjnych (stan właściwy – FV).</w:t>
            </w:r>
          </w:p>
        </w:tc>
      </w:tr>
      <w:tr w:rsidR="00DC3BC1" w:rsidRPr="00B40A0A" w14:paraId="2DD7EE4A" w14:textId="77777777" w:rsidTr="0012483B">
        <w:tc>
          <w:tcPr>
            <w:tcW w:w="1143" w:type="pct"/>
            <w:vMerge/>
            <w:vAlign w:val="center"/>
          </w:tcPr>
          <w:p w14:paraId="1158E795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1AB8EB44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Ocienienie przez drzewa i krzewy</w:t>
            </w:r>
          </w:p>
        </w:tc>
        <w:tc>
          <w:tcPr>
            <w:tcW w:w="2287" w:type="pct"/>
            <w:vAlign w:val="center"/>
          </w:tcPr>
          <w:p w14:paraId="432642A8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Stopniowa poprawa stanu zachowania zmierzająca do występowania ocenienia przez drzewa i krzewy na poziomie &lt; 20 % 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(stopniowa poprawa złego stanu zachowania – U2 do stanu niezadowalającego – U1).</w:t>
            </w:r>
          </w:p>
        </w:tc>
      </w:tr>
      <w:tr w:rsidR="00DC3BC1" w:rsidRPr="00B40A0A" w14:paraId="7D961A3E" w14:textId="77777777" w:rsidTr="0012483B">
        <w:tc>
          <w:tcPr>
            <w:tcW w:w="1143" w:type="pct"/>
            <w:vMerge/>
            <w:vAlign w:val="center"/>
          </w:tcPr>
          <w:p w14:paraId="4FDD5CC1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7A3C4A13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Wysokość runi</w:t>
            </w:r>
          </w:p>
        </w:tc>
        <w:tc>
          <w:tcPr>
            <w:tcW w:w="2287" w:type="pct"/>
            <w:vAlign w:val="center"/>
          </w:tcPr>
          <w:p w14:paraId="75F2C5AB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Stopniowa poprawa stanu zachowania zmierzająca do występowania wysokości runi na poziomie nie wyższym niż 30 cm 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(stopniowa poprawa złego stanu zachowania – U2 do stanu niezadowalającego – U1).</w:t>
            </w:r>
          </w:p>
        </w:tc>
      </w:tr>
      <w:tr w:rsidR="00DC3BC1" w:rsidRPr="00B40A0A" w14:paraId="29BAABE8" w14:textId="77777777" w:rsidTr="0012483B">
        <w:tc>
          <w:tcPr>
            <w:tcW w:w="1143" w:type="pct"/>
            <w:vMerge/>
            <w:vAlign w:val="center"/>
          </w:tcPr>
          <w:p w14:paraId="0279B6BC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126407AB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Zwarcie runi lub runa</w:t>
            </w:r>
          </w:p>
        </w:tc>
        <w:tc>
          <w:tcPr>
            <w:tcW w:w="2287" w:type="pct"/>
            <w:vAlign w:val="center"/>
          </w:tcPr>
          <w:p w14:paraId="2286D589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Stopniowa poprawa stanu zachowania zmierzająca do występowania zwarcia runi na poziomie nie wyższym niż 70 % </w:t>
            </w: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(stopniowa poprawa złego stanu zachowania – U2 do stanu niezadowalającego – U1).</w:t>
            </w:r>
          </w:p>
        </w:tc>
      </w:tr>
      <w:tr w:rsidR="00DC3BC1" w:rsidRPr="00B40A0A" w14:paraId="3F40CAFE" w14:textId="77777777" w:rsidTr="0012483B">
        <w:tc>
          <w:tcPr>
            <w:tcW w:w="1143" w:type="pct"/>
            <w:vMerge/>
            <w:vAlign w:val="center"/>
          </w:tcPr>
          <w:p w14:paraId="7961B387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pct"/>
            <w:vAlign w:val="center"/>
          </w:tcPr>
          <w:p w14:paraId="3431307D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Uwodnienie terenu (wilgotność podłoża)</w:t>
            </w:r>
          </w:p>
        </w:tc>
        <w:tc>
          <w:tcPr>
            <w:tcW w:w="2287" w:type="pct"/>
            <w:vAlign w:val="center"/>
          </w:tcPr>
          <w:p w14:paraId="5E1DFB5B" w14:textId="77777777" w:rsidR="00DC3BC1" w:rsidRPr="00B40A0A" w:rsidRDefault="00DC3BC1" w:rsidP="001248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0A0A">
              <w:rPr>
                <w:rFonts w:ascii="Times New Roman" w:hAnsi="Times New Roman" w:cs="Times New Roman"/>
                <w:sz w:val="16"/>
                <w:szCs w:val="16"/>
              </w:rPr>
              <w:t>Utrzymanie optymalnego, dużego stopnia uwodnienia terenu (stan właściwy – FV).</w:t>
            </w:r>
          </w:p>
        </w:tc>
      </w:tr>
    </w:tbl>
    <w:p w14:paraId="0A5D02EF" w14:textId="77777777" w:rsidR="00DC3BC1" w:rsidRDefault="00DC3BC1">
      <w:pPr>
        <w:rPr>
          <w:color w:val="000000"/>
          <w:u w:color="000000"/>
        </w:rPr>
        <w:sectPr w:rsidR="00DC3BC1">
          <w:footerReference w:type="default" r:id="rId12"/>
          <w:endnotePr>
            <w:numFmt w:val="decimal"/>
          </w:endnotePr>
          <w:pgSz w:w="11906" w:h="16838"/>
          <w:pgMar w:top="567" w:right="567" w:bottom="567" w:left="567" w:header="708" w:footer="708" w:gutter="0"/>
          <w:pgNumType w:start="1"/>
          <w:cols w:space="708"/>
          <w:docGrid w:linePitch="360"/>
        </w:sectPr>
      </w:pPr>
    </w:p>
    <w:p w14:paraId="0F0925B1" w14:textId="66187516" w:rsidR="00B17E26" w:rsidRDefault="00B17E26" w:rsidP="00B17E26">
      <w:pPr>
        <w:keepNext/>
        <w:spacing w:after="120"/>
        <w:jc w:val="center"/>
        <w:rPr>
          <w:b/>
          <w:color w:val="000000"/>
          <w:u w:color="000000"/>
        </w:rPr>
      </w:pPr>
      <w:r w:rsidRPr="00B17E26">
        <w:rPr>
          <w:b/>
          <w:color w:val="000000"/>
          <w:u w:color="000000"/>
        </w:rPr>
        <w:lastRenderedPageBreak/>
        <w:t>Załącznik Nr 5</w:t>
      </w:r>
    </w:p>
    <w:p w14:paraId="30FB04C1" w14:textId="307B8E26" w:rsidR="00A77B3E" w:rsidRDefault="00FF641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Działania ochronne dla obszaru Natura 2000 ze wskazaniem podmiotów odpowiedzialnych za ich wykonanie i obszarów ich wdrażania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1530"/>
        <w:gridCol w:w="5357"/>
        <w:gridCol w:w="1621"/>
        <w:gridCol w:w="2536"/>
        <w:gridCol w:w="2671"/>
      </w:tblGrid>
      <w:tr w:rsidR="00CF1ED3" w:rsidRPr="00A472B7" w14:paraId="4B0C070D" w14:textId="77777777" w:rsidTr="007A1B0E">
        <w:trPr>
          <w:trHeight w:val="572"/>
        </w:trPr>
        <w:tc>
          <w:tcPr>
            <w:tcW w:w="220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23F59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Przedmiot ochrony obszaru Natura 2000</w:t>
            </w:r>
          </w:p>
        </w:tc>
        <w:tc>
          <w:tcPr>
            <w:tcW w:w="153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50E00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Rodzaj działania ochronnego</w:t>
            </w:r>
          </w:p>
        </w:tc>
        <w:tc>
          <w:tcPr>
            <w:tcW w:w="535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6F994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Zakres działań ochronnych</w:t>
            </w:r>
          </w:p>
        </w:tc>
        <w:tc>
          <w:tcPr>
            <w:tcW w:w="415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18C0B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Obszar wdrażania działań ochronnych</w:t>
            </w:r>
          </w:p>
        </w:tc>
        <w:tc>
          <w:tcPr>
            <w:tcW w:w="267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63D56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Podmiot odpowiedzialny za wykonanie działań ochronnych</w:t>
            </w:r>
          </w:p>
        </w:tc>
      </w:tr>
      <w:tr w:rsidR="00CF1ED3" w:rsidRPr="00A472B7" w14:paraId="323E2DB7" w14:textId="77777777" w:rsidTr="007A1B0E">
        <w:trPr>
          <w:trHeight w:val="240"/>
        </w:trPr>
        <w:tc>
          <w:tcPr>
            <w:tcW w:w="220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76367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D2C8D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2F7AA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3F173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Obręb ewidencyjny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2A790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Działka ewidencyjna</w:t>
            </w:r>
          </w:p>
        </w:tc>
        <w:tc>
          <w:tcPr>
            <w:tcW w:w="267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31089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A472B7" w:rsidRPr="00A472B7" w14:paraId="7D8D3998" w14:textId="77777777" w:rsidTr="00D36197">
        <w:trPr>
          <w:trHeight w:val="437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C8612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7140 Torfowiska przejściowe i trzęsawiska</w:t>
            </w:r>
          </w:p>
        </w:tc>
        <w:tc>
          <w:tcPr>
            <w:tcW w:w="1530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02A0B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Monitoring</w:t>
            </w:r>
          </w:p>
        </w:tc>
        <w:tc>
          <w:tcPr>
            <w:tcW w:w="5357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9C91A" w14:textId="3BBD44F2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 xml:space="preserve">Uzupełnienie stanu wiedzy o przedmiotach ochrony obszaru Natura 2000 i uwarunkowaniach ich ochrony. Wykonanie, zgodnie z metodyką monitoringu Głównego Inspektoratu Ochrony Środowiska, monitoringu oceniającego stan zachowania przedmiotów ochrony obszaru Natura 2000. </w:t>
            </w:r>
            <w:r w:rsidR="009E3E98">
              <w:rPr>
                <w:sz w:val="20"/>
                <w:szCs w:val="20"/>
              </w:rPr>
              <w:br/>
            </w:r>
            <w:r w:rsidRPr="00A472B7">
              <w:rPr>
                <w:sz w:val="20"/>
                <w:szCs w:val="20"/>
              </w:rPr>
              <w:t>W przypadku stwierdzenia możliwości wystąpienia zagrożenia utraty cech charakterystycznych siedlisk przyrodniczych, trwałości przedmiotów ochrony, należy podjąć działania ochrony czynnej w rozmiarze i sposobie wykonania określonym w ramach monitoringu.</w:t>
            </w:r>
          </w:p>
        </w:tc>
        <w:tc>
          <w:tcPr>
            <w:tcW w:w="162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0C5A" w14:textId="5567E803" w:rsidR="00A472B7" w:rsidRPr="00A472B7" w:rsidRDefault="00A472B7" w:rsidP="007A1B0E">
            <w:pPr>
              <w:jc w:val="center"/>
              <w:rPr>
                <w:sz w:val="20"/>
                <w:szCs w:val="20"/>
              </w:rPr>
            </w:pPr>
            <w:r w:rsidRPr="00A472B7">
              <w:rPr>
                <w:sz w:val="20"/>
                <w:szCs w:val="20"/>
              </w:rPr>
              <w:t>Łyse</w:t>
            </w:r>
          </w:p>
        </w:tc>
        <w:tc>
          <w:tcPr>
            <w:tcW w:w="2536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323E" w14:textId="55F9B93D" w:rsidR="00A472B7" w:rsidRPr="00A472B7" w:rsidRDefault="00A472B7" w:rsidP="007A1B0E">
            <w:pPr>
              <w:jc w:val="center"/>
              <w:rPr>
                <w:sz w:val="20"/>
                <w:szCs w:val="20"/>
              </w:rPr>
            </w:pPr>
            <w:r w:rsidRPr="00A472B7">
              <w:rPr>
                <w:sz w:val="20"/>
                <w:szCs w:val="20"/>
              </w:rPr>
              <w:t>641, 642, 643, 644, 645, 646, 647, 648, 649, 650, 651, 652, 653, 855</w:t>
            </w:r>
          </w:p>
        </w:tc>
        <w:tc>
          <w:tcPr>
            <w:tcW w:w="2671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D3A96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Regionalny Dyrektor Ochrony Środowiska w Warszawie.</w:t>
            </w:r>
          </w:p>
        </w:tc>
      </w:tr>
      <w:tr w:rsidR="00A472B7" w:rsidRPr="00A472B7" w14:paraId="4D7B8CEF" w14:textId="77777777" w:rsidTr="00D36197">
        <w:trPr>
          <w:trHeight w:val="276"/>
        </w:trPr>
        <w:tc>
          <w:tcPr>
            <w:tcW w:w="2205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789C2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 xml:space="preserve">1903 Lipiennik </w:t>
            </w:r>
            <w:r w:rsidRPr="00A472B7">
              <w:rPr>
                <w:i/>
                <w:sz w:val="20"/>
                <w:szCs w:val="20"/>
              </w:rPr>
              <w:t>Loesela</w:t>
            </w:r>
          </w:p>
        </w:tc>
        <w:tc>
          <w:tcPr>
            <w:tcW w:w="153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CB5F7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D7A14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137B1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536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66C1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67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CD1DB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A472B7" w:rsidRPr="00A472B7" w14:paraId="24E5064D" w14:textId="77777777" w:rsidTr="00D36197">
        <w:trPr>
          <w:trHeight w:val="301"/>
        </w:trPr>
        <w:tc>
          <w:tcPr>
            <w:tcW w:w="2205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25CA" w14:textId="77777777" w:rsidR="00A472B7" w:rsidRPr="00A472B7" w:rsidRDefault="00A472B7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98727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2DC07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D1EE" w14:textId="1E1EC559" w:rsidR="00A472B7" w:rsidRPr="00A472B7" w:rsidRDefault="00A472B7" w:rsidP="00A472B7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color w:val="000000"/>
                <w:sz w:val="20"/>
                <w:szCs w:val="20"/>
                <w:u w:color="000000"/>
              </w:rPr>
              <w:t>Pupkowizna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8C0D" w14:textId="070B016E" w:rsidR="00A472B7" w:rsidRPr="00A472B7" w:rsidRDefault="00A472B7" w:rsidP="00A472B7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color w:val="000000"/>
                <w:sz w:val="20"/>
                <w:szCs w:val="20"/>
                <w:u w:color="000000"/>
              </w:rPr>
              <w:t>11, 12, 127, 64, 65, 66, 67, 68, 69, 70/1, 70/2, 71, 72, 73, 74, 75, 76, 77, 78, 79, 81, 82, 83, 84, 85, 86, 88, 89, 90</w:t>
            </w:r>
          </w:p>
        </w:tc>
        <w:tc>
          <w:tcPr>
            <w:tcW w:w="267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9A79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A472B7" w:rsidRPr="00A472B7" w14:paraId="05BFAE6A" w14:textId="77777777" w:rsidTr="00D36197">
        <w:trPr>
          <w:trHeight w:val="793"/>
        </w:trPr>
        <w:tc>
          <w:tcPr>
            <w:tcW w:w="2205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A8684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6216 Haczykowiec błyszczący</w:t>
            </w:r>
          </w:p>
        </w:tc>
        <w:tc>
          <w:tcPr>
            <w:tcW w:w="153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739B0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CF691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C0C83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536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F6C1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67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EF2A7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A472B7" w:rsidRPr="00A472B7" w14:paraId="35505018" w14:textId="77777777" w:rsidTr="00D36197">
        <w:trPr>
          <w:trHeight w:val="255"/>
        </w:trPr>
        <w:tc>
          <w:tcPr>
            <w:tcW w:w="2205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FA53D" w14:textId="77777777" w:rsidR="00A472B7" w:rsidRPr="00A472B7" w:rsidRDefault="00A472B7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C784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CC8D3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377F" w14:textId="4B9B4C98" w:rsidR="00A472B7" w:rsidRPr="00A472B7" w:rsidRDefault="00A472B7" w:rsidP="00A472B7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color w:val="000000"/>
                <w:sz w:val="20"/>
                <w:szCs w:val="20"/>
                <w:u w:color="000000"/>
              </w:rPr>
              <w:t>Serafin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ACBE5" w14:textId="423BE8F5" w:rsidR="00A472B7" w:rsidRPr="00A472B7" w:rsidRDefault="00A472B7" w:rsidP="00A472B7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color w:val="000000"/>
                <w:sz w:val="20"/>
                <w:szCs w:val="20"/>
                <w:u w:color="000000"/>
              </w:rPr>
              <w:t xml:space="preserve">154, 155, 156, 157, 158/1, 158/2, 159/1, 159/2, 160, 161, 162, 163, 164, 165, 166, 167, 168, 169, 170, 171, 172, 173, 174, 175, 176, 177, 178, 179, 180, 181, 182, 199, 200, 21271/1, 21271/2, 215, 216, 217, 218, 219, 220, 221, 222, 223/1, 223/2, 224, 225, 226, 227, 228, 229, 230, 231, 232, 233, 233/2, 234, 235, 236, 237, 238, 239, 240, 241, 242, 243, 244, 245, 246, 247, 347/2, 348, 349, 350, 351, 352, 353, 354, 355, 356, 357, 358, 359, 360, 361, 372, 373, 376, 378, 380, 381, 382, 383, 384, 385, 386, 387, 388, 389, 390, 391, 392, 393, 394, 395, 396, 397, 398, 399, 400, 401/1, 401/2, 402, 403, 404, 405, 406, 407, 414, </w:t>
            </w:r>
            <w:r w:rsidRPr="00A472B7">
              <w:rPr>
                <w:color w:val="000000"/>
                <w:sz w:val="20"/>
                <w:szCs w:val="20"/>
                <w:u w:color="000000"/>
              </w:rPr>
              <w:lastRenderedPageBreak/>
              <w:t>415, 416, 417, 424, 425, 426, 427, 428, 429, 430, 431, 441, 492, 493, 494, 495, 496, 497, 500, 515, 516, 183, 184, 185, 186, 197, 198, 303, 304, 305, 306, 307, 308, 309, 310, 311, 312, 313, 314, 315, 316, 317, 318, 319, 320, 321, 322, 323, 324, 325, 326, 327, 328, 329, 330, 331, 332, 333, 334, 335, 336, 337, 338, 339, 346, 347/1, 362, 363, 364, 365, 366, 367, 368, 369, 370, 371, 514, 187, 188, 189, 190, 191, 192, 193, 194, 195, 196/1, 196/2, 201, 340, 341, 342, 343, 344, 345, 377, 379</w:t>
            </w:r>
          </w:p>
        </w:tc>
        <w:tc>
          <w:tcPr>
            <w:tcW w:w="2671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CD1FB" w14:textId="77777777" w:rsidR="00A472B7" w:rsidRPr="00A472B7" w:rsidRDefault="00A472B7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941211" w:rsidRPr="00A472B7" w14:paraId="72BA990A" w14:textId="77777777" w:rsidTr="001A2331">
        <w:trPr>
          <w:trHeight w:val="469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2BF66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7140 Torfowiska przejściowe i trzęsawiska</w:t>
            </w:r>
          </w:p>
        </w:tc>
        <w:tc>
          <w:tcPr>
            <w:tcW w:w="1530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569F3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Usuwanie gatunków obcych</w:t>
            </w:r>
          </w:p>
        </w:tc>
        <w:tc>
          <w:tcPr>
            <w:tcW w:w="5357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E4419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Monitorowanie stopnia zasiedlenia obszaru przez gatunki obce. W przypadku, gdy monitoring wykaże zmiany w składzie gatunkowym roślin, powstałe w efekcie ekspansji gatunków obcych, zagrażając gatunkom rodzimym, w szczególności, jeżeli oszacowana identyfikacja występujących gatunków obcych wykaże stopień pokrycia badanego płatu (wyznaczonego zgodnie z metodyką GIOŚ) dla każdego gatunku z osobna oraz łącznie 10% lub więcej, należy przystąpić do usuwania gatunków obcych. Rozmiar, sposób wykonania oraz termin usuwania gatunków obcych należy dostosować do gatunku i stopnia jego rozprzestrzenienia, określonego w ramach monitoringu.</w:t>
            </w:r>
          </w:p>
        </w:tc>
        <w:tc>
          <w:tcPr>
            <w:tcW w:w="16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E36F" w14:textId="337BB176" w:rsidR="00941211" w:rsidRPr="00A472B7" w:rsidRDefault="00941211" w:rsidP="00941211">
            <w:pPr>
              <w:jc w:val="center"/>
              <w:rPr>
                <w:sz w:val="20"/>
                <w:szCs w:val="20"/>
              </w:rPr>
            </w:pPr>
            <w:r w:rsidRPr="00941211">
              <w:rPr>
                <w:sz w:val="20"/>
                <w:szCs w:val="20"/>
              </w:rPr>
              <w:t>Łyse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6EBD8" w14:textId="2E219CDE" w:rsidR="00941211" w:rsidRPr="00A472B7" w:rsidRDefault="00941211" w:rsidP="00941211">
            <w:pPr>
              <w:jc w:val="center"/>
              <w:rPr>
                <w:sz w:val="20"/>
                <w:szCs w:val="20"/>
              </w:rPr>
            </w:pPr>
            <w:r w:rsidRPr="00941211">
              <w:rPr>
                <w:sz w:val="20"/>
                <w:szCs w:val="20"/>
              </w:rPr>
              <w:t>855</w:t>
            </w:r>
          </w:p>
        </w:tc>
        <w:tc>
          <w:tcPr>
            <w:tcW w:w="2671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27836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Regionalny Dyrektor Ochrony Środowiska w Warszawie lub posiadający tytuł prawny do nieruchomości na podstawie porozumienia zawartego z tym organem.</w:t>
            </w:r>
          </w:p>
        </w:tc>
      </w:tr>
      <w:tr w:rsidR="00941211" w:rsidRPr="00A472B7" w14:paraId="1200E971" w14:textId="77777777" w:rsidTr="001A2331">
        <w:trPr>
          <w:trHeight w:val="468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E0459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 xml:space="preserve">1903 Lipiennik </w:t>
            </w:r>
            <w:r w:rsidRPr="00A472B7">
              <w:rPr>
                <w:i/>
                <w:sz w:val="20"/>
                <w:szCs w:val="20"/>
              </w:rPr>
              <w:t>Loesela</w:t>
            </w:r>
          </w:p>
        </w:tc>
        <w:tc>
          <w:tcPr>
            <w:tcW w:w="153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9C3F2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EC6E6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130F0" w14:textId="01155D72" w:rsidR="00941211" w:rsidRPr="00A472B7" w:rsidRDefault="00941211" w:rsidP="00941211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941211">
              <w:rPr>
                <w:color w:val="000000"/>
                <w:sz w:val="20"/>
                <w:szCs w:val="20"/>
                <w:u w:color="000000"/>
              </w:rPr>
              <w:t>Pupkowizna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F1052" w14:textId="5BF0C5EC" w:rsidR="00941211" w:rsidRPr="00A472B7" w:rsidRDefault="00941211" w:rsidP="00941211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941211">
              <w:rPr>
                <w:color w:val="000000"/>
                <w:sz w:val="20"/>
                <w:szCs w:val="20"/>
                <w:u w:color="000000"/>
              </w:rPr>
              <w:t>12, 127, 65, 66, 67, 68, 69, 70/2, 71, 72, 73, 74, 75, 76, 77, 78, 79, 81, 82, 83</w:t>
            </w:r>
          </w:p>
        </w:tc>
        <w:tc>
          <w:tcPr>
            <w:tcW w:w="267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20F46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941211" w:rsidRPr="00A472B7" w14:paraId="79D60C82" w14:textId="77777777" w:rsidTr="001A2331">
        <w:trPr>
          <w:trHeight w:val="383"/>
        </w:trPr>
        <w:tc>
          <w:tcPr>
            <w:tcW w:w="2205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854F0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6216 Haczykowiec błyszczący</w:t>
            </w:r>
          </w:p>
        </w:tc>
        <w:tc>
          <w:tcPr>
            <w:tcW w:w="153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F6092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86B4D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2D89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536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4B2F7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67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29189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941211" w:rsidRPr="00A472B7" w14:paraId="0A789645" w14:textId="77777777" w:rsidTr="001A2331">
        <w:trPr>
          <w:trHeight w:val="1194"/>
        </w:trPr>
        <w:tc>
          <w:tcPr>
            <w:tcW w:w="2205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B14A6" w14:textId="77777777" w:rsidR="00941211" w:rsidRPr="00A472B7" w:rsidRDefault="00941211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1932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7546C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EBB74" w14:textId="2B3623FB" w:rsidR="00941211" w:rsidRPr="00A472B7" w:rsidRDefault="00941211" w:rsidP="00941211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941211">
              <w:rPr>
                <w:color w:val="000000"/>
                <w:sz w:val="20"/>
                <w:szCs w:val="20"/>
                <w:u w:color="000000"/>
              </w:rPr>
              <w:t>Serafin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A33AC" w14:textId="441AD010" w:rsidR="00941211" w:rsidRPr="00A472B7" w:rsidRDefault="00941211" w:rsidP="00941211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941211">
              <w:rPr>
                <w:color w:val="000000"/>
                <w:sz w:val="20"/>
                <w:szCs w:val="20"/>
                <w:u w:color="000000"/>
              </w:rPr>
              <w:t xml:space="preserve">183, 184, 185, 186, 197, 198, 199, 200, 21271/1, 21271/2, 303, 304, 305, 306, 307, 308, 309, 310, 311, 312, 313, 314, 315, 316, 317, 318, 319, 320, 321, 322, 323, 324, 325, 326, 327, 328, 329, 330, 331, 332, 333, 334, 335, 336, 337, 338, 339, 346, 347/1, 347/2, 348, 349, 350, 351, 352, 353, 354, 355, 356, 357, 358, 359, 360, 361, 362, 363, 364, 365, 366, 367, 368, 369, 370, 371, 372, 373, 383, 385, 399, 400, 405, 406, 414, 415, </w:t>
            </w:r>
            <w:r w:rsidRPr="00941211">
              <w:rPr>
                <w:color w:val="000000"/>
                <w:sz w:val="20"/>
                <w:szCs w:val="20"/>
                <w:u w:color="000000"/>
              </w:rPr>
              <w:lastRenderedPageBreak/>
              <w:t>430, 431, 493, 494, 495, 496, 514, 515, 187, 188, 189, 190, 191, 192, 193, 194, 195, 196/1, 196/2, 201, 340, 341, 342, 343, 344, 345, 377, 168, 169, 170, 171, 172, 173, 174, 175, 176, 177, 178, 179, 180, 181, 233, 233/2, 378, 379, 380, 381, 382</w:t>
            </w:r>
          </w:p>
        </w:tc>
        <w:tc>
          <w:tcPr>
            <w:tcW w:w="2671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21DB" w14:textId="77777777" w:rsidR="00941211" w:rsidRPr="00A472B7" w:rsidRDefault="00941211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CF1ED3" w:rsidRPr="00A472B7" w14:paraId="7A5D8A0F" w14:textId="77777777" w:rsidTr="00A472B7">
        <w:trPr>
          <w:trHeight w:val="274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ACBF8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6216 Haczykowiec błyszczący</w:t>
            </w:r>
          </w:p>
        </w:tc>
        <w:tc>
          <w:tcPr>
            <w:tcW w:w="153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F9C91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Przerzedzanie</w:t>
            </w:r>
          </w:p>
        </w:tc>
        <w:tc>
          <w:tcPr>
            <w:tcW w:w="535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65EB5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Równomierne usuwanie na całym obszarze drzew i krzewów, w celu osiągnięcia udziału zajętej przez nie powierzchni nie większej niż 20 %.</w:t>
            </w:r>
          </w:p>
        </w:tc>
        <w:tc>
          <w:tcPr>
            <w:tcW w:w="162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4582" w14:textId="2835D2BC" w:rsidR="00A77B3E" w:rsidRPr="00A472B7" w:rsidRDefault="00127759" w:rsidP="00127759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127759">
              <w:rPr>
                <w:color w:val="000000"/>
                <w:sz w:val="20"/>
                <w:szCs w:val="20"/>
                <w:u w:color="000000"/>
              </w:rPr>
              <w:t>Serafin</w:t>
            </w:r>
          </w:p>
        </w:tc>
        <w:tc>
          <w:tcPr>
            <w:tcW w:w="2536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35A88" w14:textId="6F27A925" w:rsidR="00A77B3E" w:rsidRPr="00A472B7" w:rsidRDefault="00127759" w:rsidP="00127759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127759">
              <w:rPr>
                <w:color w:val="000000"/>
                <w:sz w:val="20"/>
                <w:szCs w:val="20"/>
                <w:u w:color="000000"/>
              </w:rPr>
              <w:t>168, 169, 170, 171, 172, 173, 174, 175, 176, 177, 178, 179, 180, 181, 188, 189, 194, 195, 196/1, 196/2, 200, 201, 233, 233/2, 341, 342, 343, 344, 345, 346, 347/1, 347/2, 377, 378, 379, 380, 381, 382, 495, 496</w:t>
            </w:r>
          </w:p>
        </w:tc>
        <w:tc>
          <w:tcPr>
            <w:tcW w:w="267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4BFC3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Regionalny Dyrektor Ochrony Środowiska w Warszawie lub posiadający tytuł prawny do nieruchomości na podstawie porozumienia zawartego z tym organem.</w:t>
            </w:r>
          </w:p>
        </w:tc>
      </w:tr>
      <w:tr w:rsidR="00CF1ED3" w:rsidRPr="00A472B7" w14:paraId="052D93DB" w14:textId="77777777" w:rsidTr="00A472B7">
        <w:trPr>
          <w:trHeight w:val="468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64E51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7140 Torfowiska przejściowe i trzęsawiska</w:t>
            </w:r>
          </w:p>
        </w:tc>
        <w:tc>
          <w:tcPr>
            <w:tcW w:w="15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776C8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4AC27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D114E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536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DE5EE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67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ABA64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CF1ED3" w:rsidRPr="00A472B7" w14:paraId="292B4C6A" w14:textId="77777777" w:rsidTr="00A472B7">
        <w:trPr>
          <w:trHeight w:val="468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DE00C" w14:textId="77777777" w:rsidR="00A77B3E" w:rsidRPr="00A472B7" w:rsidRDefault="00FF641A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 xml:space="preserve">1903 Lipiennik </w:t>
            </w:r>
            <w:r w:rsidRPr="00A472B7">
              <w:rPr>
                <w:i/>
                <w:sz w:val="20"/>
                <w:szCs w:val="20"/>
              </w:rPr>
              <w:t>Loesela</w:t>
            </w:r>
          </w:p>
        </w:tc>
        <w:tc>
          <w:tcPr>
            <w:tcW w:w="15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8FBA3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A5670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2BF55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5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30602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67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A444E" w14:textId="77777777" w:rsidR="00A77B3E" w:rsidRPr="00A472B7" w:rsidRDefault="00A77B3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7A1B0E" w:rsidRPr="00A472B7" w14:paraId="137F9B4A" w14:textId="77777777" w:rsidTr="007A1B0E">
        <w:trPr>
          <w:trHeight w:val="468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FD89C" w14:textId="1949C4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  <w:r w:rsidRPr="00A472B7">
              <w:rPr>
                <w:sz w:val="20"/>
                <w:szCs w:val="20"/>
              </w:rPr>
              <w:t>6216 Haczykowiec błyszczący</w:t>
            </w:r>
          </w:p>
        </w:tc>
        <w:tc>
          <w:tcPr>
            <w:tcW w:w="1530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59E48" w14:textId="195DEFA6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Poszerzanie luk</w:t>
            </w:r>
          </w:p>
        </w:tc>
        <w:tc>
          <w:tcPr>
            <w:tcW w:w="5357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6002E" w14:textId="0CEB58E0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 xml:space="preserve">Usuwanie drzew i krzewów w celu poszerzenia luk i polanek </w:t>
            </w:r>
            <w:r w:rsidR="009E3E98">
              <w:rPr>
                <w:sz w:val="20"/>
                <w:szCs w:val="20"/>
              </w:rPr>
              <w:br/>
            </w:r>
            <w:r w:rsidRPr="00A472B7">
              <w:rPr>
                <w:sz w:val="20"/>
                <w:szCs w:val="20"/>
              </w:rPr>
              <w:t>o 20-30 % ich powierzchni.</w:t>
            </w:r>
          </w:p>
        </w:tc>
        <w:tc>
          <w:tcPr>
            <w:tcW w:w="1621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1BE3F" w14:textId="27D460FD" w:rsidR="007A1B0E" w:rsidRPr="00A472B7" w:rsidRDefault="00E22E9D" w:rsidP="00E22E9D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E22E9D">
              <w:rPr>
                <w:color w:val="000000"/>
                <w:sz w:val="20"/>
                <w:szCs w:val="20"/>
                <w:u w:color="000000"/>
              </w:rPr>
              <w:t>Serafin</w:t>
            </w:r>
          </w:p>
        </w:tc>
        <w:tc>
          <w:tcPr>
            <w:tcW w:w="2536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C796A" w14:textId="66C4054A" w:rsidR="007A1B0E" w:rsidRPr="00A472B7" w:rsidRDefault="00E22E9D" w:rsidP="00E22E9D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E22E9D">
              <w:rPr>
                <w:color w:val="000000"/>
                <w:sz w:val="20"/>
                <w:szCs w:val="20"/>
                <w:u w:color="000000"/>
              </w:rPr>
              <w:t>183, 184, 185, 186, 187, 188, 189, 190, 191, 192, 193, 194, 195, 196/1, 196/2, 197, 198, 200, 201, 303, 304, 305, 306, 307, 308, 309, 310, 311, 312, 313, 314, 315, 316, 317, 318, 319, 320, 321, 322, 323, 324, 325, 326, 327, 328, 329, 330, 331, 332, 333, 334, 340, 341, 342, 343, 344, 345, 346, 347/1, 347/2, 348, 349, 350, 351, 355, 356, 357, 358, 359, 360, 361, 362, 363, 364, 365, 366, 367, 368, 377, 495, 496, 514, 515</w:t>
            </w:r>
          </w:p>
        </w:tc>
        <w:tc>
          <w:tcPr>
            <w:tcW w:w="2671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A9B2B" w14:textId="632446AB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Regionalny Dyrektor Ochrony Środowiska w Warszawie lub posiadający tytuł prawny do nieruchomości na podstawie porozumienia zawartego z tym organem.</w:t>
            </w:r>
          </w:p>
        </w:tc>
      </w:tr>
      <w:tr w:rsidR="007A1B0E" w:rsidRPr="00A472B7" w14:paraId="50302C42" w14:textId="77777777" w:rsidTr="007A1B0E">
        <w:trPr>
          <w:trHeight w:val="468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B13E" w14:textId="3E02BAD5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  <w:r w:rsidRPr="00A472B7">
              <w:rPr>
                <w:sz w:val="20"/>
                <w:szCs w:val="20"/>
              </w:rPr>
              <w:t>7140 Torfowiska przejściowe i trzęsawiska</w:t>
            </w:r>
          </w:p>
        </w:tc>
        <w:tc>
          <w:tcPr>
            <w:tcW w:w="153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25869" w14:textId="77777777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69986" w14:textId="77777777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C7A4E" w14:textId="77777777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536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CC6E5" w14:textId="77777777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67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720C0" w14:textId="77777777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7A1B0E" w:rsidRPr="00A472B7" w14:paraId="4E89315B" w14:textId="77777777" w:rsidTr="007A1B0E">
        <w:trPr>
          <w:trHeight w:val="468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8B7A2" w14:textId="09C660AA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  <w:r w:rsidRPr="00A472B7">
              <w:rPr>
                <w:sz w:val="20"/>
                <w:szCs w:val="20"/>
              </w:rPr>
              <w:t>1903 Lipiennik Loesela</w:t>
            </w:r>
          </w:p>
        </w:tc>
        <w:tc>
          <w:tcPr>
            <w:tcW w:w="153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9928C" w14:textId="77777777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F6C0" w14:textId="77777777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62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20130" w14:textId="77777777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536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45551" w14:textId="77777777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67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9FE30" w14:textId="77777777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7A1B0E" w:rsidRPr="00A472B7" w14:paraId="05E4560F" w14:textId="77777777" w:rsidTr="007A1B0E">
        <w:trPr>
          <w:trHeight w:val="468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9DB4B" w14:textId="48EED0B1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  <w:r w:rsidRPr="00A472B7">
              <w:rPr>
                <w:sz w:val="20"/>
                <w:szCs w:val="20"/>
              </w:rPr>
              <w:t>6216 Haczykowiec błyszczący</w:t>
            </w:r>
          </w:p>
        </w:tc>
        <w:tc>
          <w:tcPr>
            <w:tcW w:w="1530" w:type="dxa"/>
            <w:vMerge w:val="restart"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E856B" w14:textId="09407E1E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Usuwanie odnowień</w:t>
            </w:r>
          </w:p>
        </w:tc>
        <w:tc>
          <w:tcPr>
            <w:tcW w:w="5357" w:type="dxa"/>
            <w:vMerge w:val="restart"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1240C" w14:textId="0A330544" w:rsidR="007A1B0E" w:rsidRPr="00A472B7" w:rsidRDefault="007A1B0E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A472B7">
              <w:rPr>
                <w:sz w:val="20"/>
                <w:szCs w:val="20"/>
              </w:rPr>
              <w:t>Niedopuszczenie do zarośnięcia odsłoniętej powierzchni poprzez usuwanie 100 % drzew i krzewów.</w:t>
            </w:r>
          </w:p>
        </w:tc>
        <w:tc>
          <w:tcPr>
            <w:tcW w:w="1621" w:type="dxa"/>
            <w:vMerge w:val="restart"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0D9D2" w14:textId="67DAC00A" w:rsidR="007A1B0E" w:rsidRPr="00A472B7" w:rsidRDefault="00F243D6" w:rsidP="00F243D6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243D6">
              <w:rPr>
                <w:color w:val="000000"/>
                <w:sz w:val="20"/>
                <w:szCs w:val="20"/>
                <w:u w:color="000000"/>
              </w:rPr>
              <w:t>Serafin</w:t>
            </w:r>
          </w:p>
        </w:tc>
        <w:tc>
          <w:tcPr>
            <w:tcW w:w="2536" w:type="dxa"/>
            <w:vMerge w:val="restart"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111B4" w14:textId="56305E44" w:rsidR="007A1B0E" w:rsidRPr="00A472B7" w:rsidRDefault="00F243D6" w:rsidP="00F243D6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243D6">
              <w:rPr>
                <w:color w:val="000000"/>
                <w:sz w:val="20"/>
                <w:szCs w:val="20"/>
                <w:u w:color="000000"/>
              </w:rPr>
              <w:t>21271/1, 309, 310, 311, 312, 313, 314, 315, 316, 317, 318, 320, 321, 322, 325, 326, 345, 346, 347/1, 347/2, 348, 349, 350, 351, 352, 353, 354, 355, 356, 357, 358, 359, 360, 361, 362, 363, 364, 514</w:t>
            </w:r>
          </w:p>
        </w:tc>
        <w:tc>
          <w:tcPr>
            <w:tcW w:w="2671" w:type="dxa"/>
            <w:vMerge w:val="restart"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D3A7" w14:textId="66CCF7AE" w:rsidR="007A1B0E" w:rsidRPr="00A472B7" w:rsidRDefault="00F243D6" w:rsidP="007A1B0E">
            <w:pPr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243D6">
              <w:rPr>
                <w:sz w:val="20"/>
                <w:szCs w:val="20"/>
              </w:rPr>
              <w:t>Regionalny Dyrektor Ochrony Środowiska w Warszawie lub posiadający tytuł prawny do nieruchomości na podstawie porozumienia zawartego z tym organem.</w:t>
            </w:r>
          </w:p>
        </w:tc>
      </w:tr>
      <w:tr w:rsidR="007A1B0E" w:rsidRPr="00A472B7" w14:paraId="74B144E5" w14:textId="77777777" w:rsidTr="007A1B0E">
        <w:trPr>
          <w:trHeight w:val="468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C66B3" w14:textId="4FACFCC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  <w:r w:rsidRPr="00A472B7">
              <w:rPr>
                <w:sz w:val="20"/>
                <w:szCs w:val="20"/>
              </w:rPr>
              <w:t>7140 Torfowiska przejściowe i trzęsawiska</w:t>
            </w:r>
          </w:p>
        </w:tc>
        <w:tc>
          <w:tcPr>
            <w:tcW w:w="153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CC4FB" w14:textId="777777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DB6DC" w14:textId="777777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D026C" w14:textId="777777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29D4F" w14:textId="777777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1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9C2C1" w14:textId="777777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</w:p>
        </w:tc>
      </w:tr>
      <w:tr w:rsidR="007A1B0E" w:rsidRPr="00A472B7" w14:paraId="712A607A" w14:textId="77777777" w:rsidTr="007A1B0E">
        <w:trPr>
          <w:trHeight w:val="468"/>
        </w:trPr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11BAE" w14:textId="01C411C0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  <w:r w:rsidRPr="00A472B7">
              <w:rPr>
                <w:sz w:val="20"/>
                <w:szCs w:val="20"/>
              </w:rPr>
              <w:t>1903 Lipiennik Loesela</w:t>
            </w:r>
          </w:p>
        </w:tc>
        <w:tc>
          <w:tcPr>
            <w:tcW w:w="1530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FE5F0" w14:textId="777777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7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4E840" w14:textId="777777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EC4B5" w14:textId="777777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D04FC" w14:textId="777777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1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4F7FB" w14:textId="77777777" w:rsidR="007A1B0E" w:rsidRPr="00A472B7" w:rsidRDefault="007A1B0E" w:rsidP="007A1B0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D1F3D72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13"/>
          <w:endnotePr>
            <w:numFmt w:val="decimal"/>
          </w:endnotePr>
          <w:pgSz w:w="16838" w:h="11906" w:orient="landscape"/>
          <w:pgMar w:top="567" w:right="567" w:bottom="567" w:left="567" w:header="708" w:footer="708" w:gutter="0"/>
          <w:pgNumType w:start="1"/>
          <w:cols w:space="708"/>
          <w:docGrid w:linePitch="360"/>
        </w:sectPr>
      </w:pPr>
    </w:p>
    <w:p w14:paraId="5B1B5F68" w14:textId="19DDFAEA" w:rsidR="00B17E26" w:rsidRDefault="00B17E26" w:rsidP="00B17E26">
      <w:pPr>
        <w:keepNext/>
        <w:spacing w:after="120"/>
        <w:jc w:val="center"/>
        <w:rPr>
          <w:b/>
          <w:color w:val="000000"/>
          <w:u w:color="000000"/>
        </w:rPr>
      </w:pPr>
      <w:r w:rsidRPr="00B17E26">
        <w:rPr>
          <w:b/>
          <w:color w:val="000000"/>
          <w:u w:color="000000"/>
        </w:rPr>
        <w:lastRenderedPageBreak/>
        <w:t>Załącznik Nr 6</w:t>
      </w:r>
    </w:p>
    <w:p w14:paraId="3A532115" w14:textId="195A1F63" w:rsidR="00A77B3E" w:rsidRDefault="00FF641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Obszar wdrażania działań</w:t>
      </w:r>
    </w:p>
    <w:p w14:paraId="2228E46B" w14:textId="07311244" w:rsidR="00A77B3E" w:rsidRDefault="000E56DA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noProof/>
          <w:color w:val="000000"/>
          <w:u w:color="000000"/>
          <w:lang w:bidi="ar-SA"/>
        </w:rPr>
        <w:drawing>
          <wp:anchor distT="0" distB="0" distL="114300" distR="114300" simplePos="0" relativeHeight="251659264" behindDoc="0" locked="0" layoutInCell="1" allowOverlap="1" wp14:anchorId="7C88E49C" wp14:editId="15157C9F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152400" cy="870480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afin natura dzialani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400" cy="87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1D023" w14:textId="60BB296D" w:rsidR="00040A55" w:rsidRDefault="00040A55">
      <w:pPr>
        <w:spacing w:before="120" w:after="120"/>
        <w:ind w:firstLine="227"/>
        <w:jc w:val="center"/>
        <w:rPr>
          <w:color w:val="000000"/>
          <w:u w:color="000000"/>
        </w:rPr>
      </w:pPr>
    </w:p>
    <w:p w14:paraId="77117E96" w14:textId="4D628BC5" w:rsidR="00040A55" w:rsidRPr="00930A3B" w:rsidRDefault="00040A55" w:rsidP="00930A3B">
      <w:pPr>
        <w:keepNext/>
        <w:spacing w:after="360"/>
        <w:jc w:val="center"/>
        <w:rPr>
          <w:b/>
          <w:color w:val="000000"/>
          <w:u w:color="000000"/>
        </w:rPr>
      </w:pPr>
      <w:r w:rsidRPr="00930A3B">
        <w:rPr>
          <w:b/>
          <w:color w:val="000000"/>
          <w:u w:color="000000"/>
        </w:rPr>
        <w:lastRenderedPageBreak/>
        <w:t>UZASADNIENIE</w:t>
      </w:r>
    </w:p>
    <w:p w14:paraId="753246B0" w14:textId="738428E6" w:rsidR="00040A55" w:rsidRPr="001B4923" w:rsidRDefault="00040A55" w:rsidP="008B3C65">
      <w:r w:rsidRPr="008B3C65">
        <w:t xml:space="preserve">Zarządzenie Regionalnego Dyrektora Ochrony Środowiska w Warszawie </w:t>
      </w:r>
      <w:r w:rsidRPr="005F5E4A">
        <w:t>w sprawie ustanowienia planu zadań ochronnych dla obszaru Natura 2000 Torfowisko Serafin PLH140057</w:t>
      </w:r>
      <w:r w:rsidRPr="008B3C65">
        <w:t xml:space="preserve">, zwanego dalej „projektem zarządzenia”, zostało opracowane na podstawie art. </w:t>
      </w:r>
      <w:r>
        <w:t>28</w:t>
      </w:r>
      <w:r w:rsidRPr="008B3C65">
        <w:t xml:space="preserve"> ust. </w:t>
      </w:r>
      <w:r>
        <w:t>5</w:t>
      </w:r>
      <w:r w:rsidRPr="008B3C65">
        <w:t xml:space="preserve"> ustawy z dnia 16 kwietnia 2004 r. o ochronie przyrody (t.j. Dz. U. z </w:t>
      </w:r>
      <w:r w:rsidR="009E3E98">
        <w:t>2024</w:t>
      </w:r>
      <w:r w:rsidRPr="008B3C65">
        <w:t xml:space="preserve"> r. poz. </w:t>
      </w:r>
      <w:r w:rsidR="009E3E98">
        <w:t>1478</w:t>
      </w:r>
      <w:r w:rsidRPr="008B3C65">
        <w:t xml:space="preserve">, z późn. zm), zwanej dalej „ustawą o ochronie przyrody”. Projekt zarządzenia jest aktem prawnym określającym sposoby ochrony zasobów, tworów i składników przyrody występujących </w:t>
      </w:r>
      <w:r>
        <w:t xml:space="preserve">w obrębie </w:t>
      </w:r>
      <w:r w:rsidRPr="005F5E4A">
        <w:t>obszaru Natura 2000 Torfowisko Serafin PLH140057</w:t>
      </w:r>
      <w:r w:rsidRPr="008B3C65">
        <w:t>, zwanego dalej „</w:t>
      </w:r>
      <w:r>
        <w:t>obszarem Natura 2000</w:t>
      </w:r>
      <w:r w:rsidRPr="008B3C65">
        <w:t xml:space="preserve">”. Plan  </w:t>
      </w:r>
      <w:r>
        <w:t>zadań ochronnych</w:t>
      </w:r>
      <w:r w:rsidRPr="008B3C65">
        <w:t xml:space="preserve"> tworzy się dla zapewnienia właściwego funkcjonowania i ochrony </w:t>
      </w:r>
      <w:r>
        <w:t>obszaru Natura 2000</w:t>
      </w:r>
      <w:r w:rsidRPr="008B3C65">
        <w:t xml:space="preserve">. Zakres prac zrealizowanych na potrzeby projektu zarządzenia został dostosowany do zasobów, tworów i składników przyrody </w:t>
      </w:r>
      <w:r>
        <w:t>obszaru Natura 2000</w:t>
      </w:r>
      <w:r w:rsidRPr="008B3C65">
        <w:t>. Przy jego sporządzaniu uwzględniono również treść rozporządzenia Ministra Środowiska z dnia 1</w:t>
      </w:r>
      <w:r>
        <w:t>7</w:t>
      </w:r>
      <w:r w:rsidRPr="008B3C65">
        <w:t xml:space="preserve"> </w:t>
      </w:r>
      <w:r>
        <w:t>lutego</w:t>
      </w:r>
      <w:r w:rsidRPr="008B3C65">
        <w:t xml:space="preserve"> 20</w:t>
      </w:r>
      <w:r>
        <w:t>10</w:t>
      </w:r>
      <w:r w:rsidRPr="008B3C65">
        <w:t xml:space="preserve"> r. </w:t>
      </w:r>
      <w:r w:rsidRPr="009F5F89">
        <w:t>w sprawie sporządzania projektu planu zadań ochronnych dla obszaru Natura 2000</w:t>
      </w:r>
      <w:r w:rsidRPr="008B3C65">
        <w:t xml:space="preserve"> (Dz. U. </w:t>
      </w:r>
      <w:r>
        <w:t xml:space="preserve">z 2024 r. </w:t>
      </w:r>
      <w:r w:rsidRPr="008B3C65">
        <w:t xml:space="preserve">poz. </w:t>
      </w:r>
      <w:r>
        <w:t>99</w:t>
      </w:r>
      <w:r w:rsidRPr="008B3C65">
        <w:t>).</w:t>
      </w:r>
    </w:p>
    <w:p w14:paraId="24CEB411" w14:textId="70371116" w:rsidR="00040A55" w:rsidRDefault="00040A55" w:rsidP="008B3C65">
      <w:pPr>
        <w:spacing w:before="120"/>
      </w:pPr>
      <w:r>
        <w:t xml:space="preserve">W materii </w:t>
      </w:r>
      <w:r w:rsidRPr="00F94A97">
        <w:t>ustaleni</w:t>
      </w:r>
      <w:r>
        <w:t>a</w:t>
      </w:r>
      <w:r w:rsidRPr="00F94A97">
        <w:t xml:space="preserve"> terenu objętego projektem </w:t>
      </w:r>
      <w:r>
        <w:t>zarządzenia</w:t>
      </w:r>
      <w:r w:rsidRPr="00F94A97">
        <w:t xml:space="preserve"> oraz przedmiotów ochrony obszaru</w:t>
      </w:r>
      <w:r>
        <w:t xml:space="preserve"> wskazać należy co następuje.</w:t>
      </w:r>
      <w:r w:rsidRPr="00F94A97">
        <w:t xml:space="preserve"> </w:t>
      </w:r>
      <w:r>
        <w:t>Obszar Natura 2000</w:t>
      </w:r>
      <w:r w:rsidRPr="001B4923">
        <w:t xml:space="preserve"> pokrywa się powierzchniowo z </w:t>
      </w:r>
      <w:r>
        <w:t>rezerwatem przyrody</w:t>
      </w:r>
      <w:r w:rsidRPr="001B4923">
        <w:t xml:space="preserve"> </w:t>
      </w:r>
      <w:r w:rsidRPr="008B3C65">
        <w:t>Torfowisko Serafin</w:t>
      </w:r>
      <w:r w:rsidRPr="001B4923">
        <w:t xml:space="preserve">. </w:t>
      </w:r>
      <w:r w:rsidR="009E3E98">
        <w:br/>
      </w:r>
      <w:r w:rsidRPr="001B4923">
        <w:t xml:space="preserve">W projekcie </w:t>
      </w:r>
      <w:r w:rsidR="009F7F11">
        <w:t xml:space="preserve">zarządzenia </w:t>
      </w:r>
      <w:r w:rsidRPr="001B4923">
        <w:t xml:space="preserve">uwzględniono </w:t>
      </w:r>
      <w:r>
        <w:t>części obszaru Natura 2000 leżącej w granicach rezerwatu przyrody.</w:t>
      </w:r>
      <w:r w:rsidRPr="001B4923">
        <w:t xml:space="preserve"> </w:t>
      </w:r>
      <w:r>
        <w:t xml:space="preserve">Dla tego fragmentu </w:t>
      </w:r>
      <w:r w:rsidR="009F7F11">
        <w:t xml:space="preserve">nie </w:t>
      </w:r>
      <w:r w:rsidRPr="001B4923">
        <w:t xml:space="preserve">został ustanowiony </w:t>
      </w:r>
      <w:r>
        <w:t>plan ochron</w:t>
      </w:r>
      <w:r w:rsidR="009E3E98">
        <w:t>y</w:t>
      </w:r>
      <w:r>
        <w:t xml:space="preserve"> rezerwatu przyrody uwzględniający zakres planu zadań ochronnych</w:t>
      </w:r>
      <w:r w:rsidRPr="001B4923">
        <w:t>. Zg</w:t>
      </w:r>
      <w:r>
        <w:t xml:space="preserve">odnie z przepisem art. 28 ust. 11 </w:t>
      </w:r>
      <w:r w:rsidRPr="001B4923">
        <w:t>ustawy o ochronie przyrody</w:t>
      </w:r>
      <w:r>
        <w:t xml:space="preserve"> p</w:t>
      </w:r>
      <w:r w:rsidRPr="009F5F89">
        <w:t>lanu zadań ochronnych nie sporządza się dla obszaru Natura 2000 lub jego części</w:t>
      </w:r>
      <w:r>
        <w:t xml:space="preserve"> </w:t>
      </w:r>
      <w:r w:rsidRPr="009F5F89">
        <w:t>pokrywającego się w całości lub w części z obszarem rezerwatu przyrody, dla któr</w:t>
      </w:r>
      <w:r>
        <w:t>ego</w:t>
      </w:r>
      <w:r w:rsidRPr="009F5F89">
        <w:t xml:space="preserve"> ustanowiono plan ochrony uwzględniający zakres, o którym mowa w ust. 10</w:t>
      </w:r>
      <w:r>
        <w:t>.</w:t>
      </w:r>
    </w:p>
    <w:p w14:paraId="28DEB9D5" w14:textId="0B97638B" w:rsidR="00040A55" w:rsidRPr="001B4923" w:rsidRDefault="00040A55" w:rsidP="008B3C65">
      <w:pPr>
        <w:spacing w:before="120"/>
      </w:pPr>
      <w:r>
        <w:t xml:space="preserve">Kształt struktury własności nieruchomości wchodzących w skład obszaru Natura 2000 jest złożony. </w:t>
      </w:r>
      <w:r w:rsidR="009E3E98">
        <w:br/>
      </w:r>
      <w:r>
        <w:t>W większości jest to własność prywatna, za wyjątkiem leżących w południowej jego części kilku działek ewidencyjnych Lasów Państwowych. Osobami i podmiotami z</w:t>
      </w:r>
      <w:r w:rsidRPr="00A1551A">
        <w:t>ainteresowany</w:t>
      </w:r>
      <w:r>
        <w:t>mi</w:t>
      </w:r>
      <w:r w:rsidRPr="00A1551A">
        <w:t xml:space="preserve"> </w:t>
      </w:r>
      <w:r>
        <w:t xml:space="preserve">projektem zarządzenia będą zarówno prywatni właściciele jak i Lasy Państwowe </w:t>
      </w:r>
      <w:r w:rsidRPr="00A1551A">
        <w:t>prowadzący działalność w obrębie siedlisk przyrodniczych i siedlisk gatunków, dla których ochrony wyznaczono obszar</w:t>
      </w:r>
      <w:r>
        <w:t>.</w:t>
      </w:r>
    </w:p>
    <w:p w14:paraId="038BE910" w14:textId="77B924B9" w:rsidR="00040A55" w:rsidRDefault="00040A55" w:rsidP="001E4BBB">
      <w:pPr>
        <w:spacing w:before="120"/>
      </w:pPr>
      <w:r>
        <w:t>Projektem zarządzenia</w:t>
      </w:r>
      <w:r w:rsidRPr="001B4923">
        <w:t xml:space="preserve"> nie</w:t>
      </w:r>
      <w:r>
        <w:t xml:space="preserve"> wprowadzono </w:t>
      </w:r>
      <w:r w:rsidRPr="00F652E1">
        <w:t>wskazan</w:t>
      </w:r>
      <w:r>
        <w:t>ia</w:t>
      </w:r>
      <w:r w:rsidRPr="00F652E1">
        <w:t xml:space="preserve"> do zmian w istniejących planach ogólnych gmin, miejscowych planach zagospodarowania przestrzennego, planach zagospodarowania przestrzennego województw</w:t>
      </w:r>
      <w:r>
        <w:t>.</w:t>
      </w:r>
      <w:r w:rsidRPr="00F652E1">
        <w:t xml:space="preserve"> </w:t>
      </w:r>
      <w:r>
        <w:t xml:space="preserve">W obrębie obszaru Natura 2000 obowiązują następujące dokumenty z zakresu planowania przestrzennego: </w:t>
      </w:r>
      <w:r w:rsidRPr="00636209">
        <w:t>Studium uwarunkowań i kierunków zagospodarowania przestrzennego miasta i</w:t>
      </w:r>
      <w:r>
        <w:t> </w:t>
      </w:r>
      <w:r w:rsidRPr="00636209">
        <w:t xml:space="preserve">gminy Łyse </w:t>
      </w:r>
      <w:r w:rsidR="006F603A">
        <w:br/>
      </w:r>
      <w:r w:rsidRPr="00636209">
        <w:t>z dnia 27 maja 2004 r (Uchwała Rady Gminy Łyse nr Nr XI/99/2004)</w:t>
      </w:r>
      <w:r>
        <w:t xml:space="preserve"> oraz miejscowy plan zagospodarowania przestrzennego wprowadzony w życie u</w:t>
      </w:r>
      <w:r w:rsidRPr="00F652E1">
        <w:t>chwał</w:t>
      </w:r>
      <w:r>
        <w:t>ą</w:t>
      </w:r>
      <w:r w:rsidRPr="00F652E1">
        <w:t xml:space="preserve"> Nr VI/28/2007 Rady Gminy Łyse z dnia 11 kwietnia 2007 r. </w:t>
      </w:r>
      <w:r w:rsidR="006F603A">
        <w:br/>
      </w:r>
      <w:r w:rsidRPr="00F652E1">
        <w:t>w sprawie miejscowego planu zagospodarowania przestrzennego Gminy Łyse.</w:t>
      </w:r>
      <w:r>
        <w:t xml:space="preserve"> W chwili uchwalenia tych dokumentów obszar Natura 2000 nie funkcjonował w obrocie prawnym. Tym niemniej istniał już pokrywający się z jego powierzchnią rezerwat przyrody Torfowisko Serafin, który</w:t>
      </w:r>
      <w:r w:rsidRPr="00237CA7">
        <w:t xml:space="preserve"> zaliczony został w miejscowym planie zagospodarowania przestrzennego do „obszarów chronionych”.</w:t>
      </w:r>
      <w:r>
        <w:t xml:space="preserve"> Ustalony kierunek zagospodarowania przestrzennego na zachowanie równowagi przyrodniczej i naturalnych walorów tego terenu wyklucza </w:t>
      </w:r>
      <w:r w:rsidRPr="00AA7A3A">
        <w:t>potrzeb</w:t>
      </w:r>
      <w:r>
        <w:t>ę</w:t>
      </w:r>
      <w:r w:rsidRPr="00AA7A3A">
        <w:t xml:space="preserve"> wprowadzania</w:t>
      </w:r>
      <w:r>
        <w:t xml:space="preserve"> do niego</w:t>
      </w:r>
      <w:r w:rsidRPr="00AA7A3A">
        <w:t xml:space="preserve"> zmian.</w:t>
      </w:r>
      <w:r>
        <w:t xml:space="preserve"> Ponadto stosowne ustalenia</w:t>
      </w:r>
      <w:r w:rsidRPr="00AA7A3A">
        <w:t xml:space="preserve"> w tym zakresie</w:t>
      </w:r>
      <w:r>
        <w:t>, obejmujące cały obszar Natura 2000, wprowadzono planem ochrony rezerwatu przyrody Torfowisko Serafin. Zdefiniowano je w formie wskazań wymagań ochrony przyrody odnoszących się do rezerwatu przyrody i jego otuliny. Wykluczono tym możliwość wprowadzenia zmian w zagospodarowaniu przestrzennym niekorzystnie wpływających na przedmiot ochrony obszaru Natura 2000.</w:t>
      </w:r>
    </w:p>
    <w:p w14:paraId="2978C5A2" w14:textId="0EB6D942" w:rsidR="00040A55" w:rsidRDefault="00040A55" w:rsidP="001E4BBB">
      <w:pPr>
        <w:spacing w:before="120"/>
      </w:pPr>
      <w:r>
        <w:t xml:space="preserve">Regionalny Dyrektor Ochrony Środowiska w Warszawie wykonał na potrzeby projektu zarządzenia badania </w:t>
      </w:r>
      <w:r w:rsidR="006F603A">
        <w:br/>
      </w:r>
      <w:r>
        <w:t>w zakresie inwentaryzacji przyrodniczej obszaru Natura 2000. Ocenie poddano zasięg w</w:t>
      </w:r>
      <w:r w:rsidRPr="002D34EE">
        <w:t>ystępowania przedmiotów ochrony</w:t>
      </w:r>
      <w:r>
        <w:t>,</w:t>
      </w:r>
      <w:r w:rsidRPr="002D34EE">
        <w:t xml:space="preserve"> stan</w:t>
      </w:r>
      <w:r>
        <w:t xml:space="preserve"> ich zachowania</w:t>
      </w:r>
      <w:r w:rsidRPr="002D34EE">
        <w:t xml:space="preserve">, </w:t>
      </w:r>
      <w:r>
        <w:t xml:space="preserve">występujące </w:t>
      </w:r>
      <w:r w:rsidRPr="002D34EE">
        <w:t>zagroże</w:t>
      </w:r>
      <w:r>
        <w:t>nia oraz</w:t>
      </w:r>
      <w:r w:rsidRPr="002D34EE">
        <w:t xml:space="preserve"> wymog</w:t>
      </w:r>
      <w:r>
        <w:t>i</w:t>
      </w:r>
      <w:r w:rsidRPr="002D34EE">
        <w:t xml:space="preserve"> i możliwości </w:t>
      </w:r>
      <w:r>
        <w:t xml:space="preserve">dalszej ich </w:t>
      </w:r>
      <w:r w:rsidRPr="002D34EE">
        <w:t>ochrony</w:t>
      </w:r>
      <w:r>
        <w:t>. O</w:t>
      </w:r>
      <w:r w:rsidRPr="00784A51">
        <w:t>cenę stanu ochrony przedmiotów ochrony dokon</w:t>
      </w:r>
      <w:r>
        <w:t>ano</w:t>
      </w:r>
      <w:r w:rsidRPr="00784A51">
        <w:t xml:space="preserve"> na podstawie dostępnych informacji </w:t>
      </w:r>
      <w:r>
        <w:t>obejmujących</w:t>
      </w:r>
      <w:r w:rsidRPr="00784A51">
        <w:t xml:space="preserve"> przede wszystkim literatur</w:t>
      </w:r>
      <w:r>
        <w:t>ę</w:t>
      </w:r>
      <w:r w:rsidRPr="00784A51">
        <w:t xml:space="preserve"> oraz materiał</w:t>
      </w:r>
      <w:r>
        <w:t>y</w:t>
      </w:r>
      <w:r w:rsidRPr="00784A51">
        <w:t xml:space="preserve"> teledetekcyjn</w:t>
      </w:r>
      <w:r>
        <w:t>e</w:t>
      </w:r>
      <w:r w:rsidRPr="00784A51">
        <w:t xml:space="preserve"> pozwalając</w:t>
      </w:r>
      <w:r>
        <w:t>e</w:t>
      </w:r>
      <w:r w:rsidRPr="00784A51">
        <w:t xml:space="preserve"> </w:t>
      </w:r>
      <w:r>
        <w:t>szczegółowo</w:t>
      </w:r>
      <w:r w:rsidRPr="00784A51">
        <w:t xml:space="preserve"> rozplanowa</w:t>
      </w:r>
      <w:r>
        <w:t>ć</w:t>
      </w:r>
      <w:r w:rsidRPr="00784A51">
        <w:t xml:space="preserve"> prac</w:t>
      </w:r>
      <w:r>
        <w:t>e</w:t>
      </w:r>
      <w:r w:rsidRPr="00784A51">
        <w:t xml:space="preserve"> w terenie. Następnie materiały te poddano analizie i na podstawie tego wyznaczono potencjalny zasięg siedlisk przyrodnicz</w:t>
      </w:r>
      <w:r>
        <w:t>ych</w:t>
      </w:r>
      <w:r w:rsidRPr="00784A51">
        <w:t xml:space="preserve">. </w:t>
      </w:r>
      <w:r>
        <w:t>Uzyskane w ten sposób dane zweryfikowano poprzez przeprowadzenie</w:t>
      </w:r>
      <w:r w:rsidRPr="00784A51">
        <w:t xml:space="preserve"> niezbędnych prac terenowych</w:t>
      </w:r>
      <w:r>
        <w:t xml:space="preserve">. </w:t>
      </w:r>
      <w:r w:rsidRPr="00784A51">
        <w:t xml:space="preserve">Wszystkie prace terenowe przeprowadzono zgodnie </w:t>
      </w:r>
      <w:r w:rsidR="006F603A">
        <w:br/>
      </w:r>
      <w:r w:rsidRPr="00784A51">
        <w:t xml:space="preserve">z metodykami monitoringu siedlisk przyrodniczych opracowanymi przez Główny Inspektorat Ochrony Środowiska i stosowanymi w Państwowym Monitoringu Środowiska. W przypadku </w:t>
      </w:r>
      <w:r>
        <w:t>torfowisk</w:t>
      </w:r>
      <w:r w:rsidRPr="00784A51">
        <w:t xml:space="preserve">  przyjęto założenia metodyczne polegające na wykonaniu oceny stanu siedliska przyrodniczego na poszczególnych </w:t>
      </w:r>
      <w:r w:rsidRPr="00784A51">
        <w:lastRenderedPageBreak/>
        <w:t>stanowiskach poprzez założenie transektów monitoringowych i wykonanie zdjęć fitosocjologicznych na początku, środku i końcu transektu. Ocenie podlegał, zestaw wskaźników struktury i funkcji siedliska, oraz uniwersalne parametry oceny stanu ochrony siedliska przyrodniczego: powierzchnia, struktura i funkcje, perspektywy ochrony, na podstawie których wyprowadzana jest ocena ogólna siedliska przyrodniczego na stanowisku.</w:t>
      </w:r>
      <w:r>
        <w:t xml:space="preserve"> </w:t>
      </w:r>
      <w:r w:rsidRPr="007F4ABC">
        <w:t xml:space="preserve">W przypadku oceny stanu haczykowca błyszczącego, ze względu na </w:t>
      </w:r>
      <w:r>
        <w:t>dość dużą</w:t>
      </w:r>
      <w:r w:rsidRPr="007F4ABC">
        <w:t xml:space="preserve"> powierzchni</w:t>
      </w:r>
      <w:r>
        <w:t>ę</w:t>
      </w:r>
      <w:r w:rsidRPr="007F4ABC">
        <w:t xml:space="preserve"> siedliska tego gatunku, </w:t>
      </w:r>
      <w:r>
        <w:t xml:space="preserve">przyjęto </w:t>
      </w:r>
      <w:r w:rsidRPr="007F4ABC">
        <w:t>zgodnie z metodyką jako stanowisko monitoringowe dwa płaty o powierzchni 10 m2 każdy.</w:t>
      </w:r>
      <w:r>
        <w:t xml:space="preserve"> </w:t>
      </w:r>
      <w:r w:rsidRPr="007F4ABC">
        <w:t>W przypadku lipiennika Loesela monitoring przeprowadzono w jednorodnym płacie torfowiska, w którym stwierdzono gatunek, a ponadto wykonano ocenę w miejscu, w którym gatunek był stwierdzany w latach wcześniejszych. W tym obszarze nie</w:t>
      </w:r>
      <w:r>
        <w:t xml:space="preserve"> </w:t>
      </w:r>
      <w:r w:rsidRPr="007F4ABC">
        <w:t>odnotowa</w:t>
      </w:r>
      <w:r>
        <w:t>n</w:t>
      </w:r>
      <w:r w:rsidRPr="007F4ABC">
        <w:t xml:space="preserve">o w roku badań występowania lipiennika, choć jego obecność jest bardzo prawdopodobna (dobrze zachowane warunki siedliskowe), a znaczne fluktuacje liczebności w kolejnych latach są typowe dla </w:t>
      </w:r>
      <w:r>
        <w:t>tego</w:t>
      </w:r>
      <w:r w:rsidRPr="007F4ABC">
        <w:t xml:space="preserve"> gatunku.</w:t>
      </w:r>
    </w:p>
    <w:p w14:paraId="1942A1E2" w14:textId="77777777" w:rsidR="00040A55" w:rsidRPr="001B4923" w:rsidRDefault="00040A55" w:rsidP="0053298A">
      <w:pPr>
        <w:spacing w:before="120"/>
      </w:pPr>
      <w:r w:rsidRPr="001B4923">
        <w:t xml:space="preserve">Status prawny </w:t>
      </w:r>
      <w:r>
        <w:t>obszaru Natura 2000</w:t>
      </w:r>
      <w:r w:rsidRPr="001B4923">
        <w:t xml:space="preserve"> został określony </w:t>
      </w:r>
      <w:r>
        <w:t>rozporządzeniem</w:t>
      </w:r>
      <w:r w:rsidRPr="001B4923">
        <w:t xml:space="preserve"> </w:t>
      </w:r>
      <w:r>
        <w:t>Ministra Klimatu i Środowiska z dnia 7 września 2023</w:t>
      </w:r>
      <w:r w:rsidRPr="001B4923">
        <w:t xml:space="preserve"> r. </w:t>
      </w:r>
      <w:r w:rsidRPr="00F94A97">
        <w:t>w sprawie specjalnego obszaru ochrony siedlisk Torfowisko Serafin (PLH140057)</w:t>
      </w:r>
      <w:r>
        <w:t xml:space="preserve"> (Dz. U. poz. 2162)</w:t>
      </w:r>
      <w:r w:rsidRPr="001B4923">
        <w:t>.</w:t>
      </w:r>
    </w:p>
    <w:p w14:paraId="2C492043" w14:textId="72E7733B" w:rsidR="00040A55" w:rsidRDefault="00040A55" w:rsidP="009F29E6">
      <w:pPr>
        <w:spacing w:before="120"/>
      </w:pPr>
      <w:r w:rsidRPr="0053298A">
        <w:t xml:space="preserve">W granicach </w:t>
      </w:r>
      <w:r>
        <w:t>obszaru Natura 2000</w:t>
      </w:r>
      <w:r w:rsidRPr="0053298A">
        <w:t xml:space="preserve"> torfowiska przejściowe zajmują wię</w:t>
      </w:r>
      <w:r>
        <w:t>kszość powierzchni niecki dawne</w:t>
      </w:r>
      <w:r w:rsidRPr="0053298A">
        <w:t>go jeziora, wyraźnie wyodrębniającego się w terenie. Najs</w:t>
      </w:r>
      <w:r>
        <w:t>ilniej uwilgotniony okrajek zaj</w:t>
      </w:r>
      <w:r w:rsidRPr="0053298A">
        <w:t xml:space="preserve">mują szuwary trzcinowe </w:t>
      </w:r>
      <w:r w:rsidR="003141E7">
        <w:br/>
      </w:r>
      <w:r w:rsidRPr="0053298A">
        <w:t>i pałkowe bądź zbiorowiska wilgotnych łąk turzycowych. Miejsca nieco suchsze porastają zbiorowiska leśne, olsy torfowcowe oraz młode zadrzewienia brzozowe. Jednak zdecydowaną większość niecki danego jeziora zajmują zbiorowiska zalicz</w:t>
      </w:r>
      <w:r>
        <w:t>a</w:t>
      </w:r>
      <w:r w:rsidRPr="0053298A">
        <w:t xml:space="preserve">ne do klasy </w:t>
      </w:r>
      <w:r w:rsidRPr="0053298A">
        <w:rPr>
          <w:i/>
        </w:rPr>
        <w:t>Scheuchzerio-Caricetea nigrae</w:t>
      </w:r>
      <w:r w:rsidRPr="0053298A">
        <w:t>, z k</w:t>
      </w:r>
      <w:r>
        <w:t>tórych dominu</w:t>
      </w:r>
      <w:r w:rsidRPr="0053298A">
        <w:t xml:space="preserve">jącym jest zbiorowisk </w:t>
      </w:r>
      <w:r w:rsidRPr="0053298A">
        <w:rPr>
          <w:i/>
        </w:rPr>
        <w:t>Caricetum rostratae</w:t>
      </w:r>
      <w:r w:rsidRPr="0053298A">
        <w:t xml:space="preserve"> w mozaice z </w:t>
      </w:r>
      <w:r>
        <w:t xml:space="preserve">innymi typami zbiorowisk np. </w:t>
      </w:r>
      <w:r w:rsidRPr="0053298A">
        <w:rPr>
          <w:i/>
        </w:rPr>
        <w:t>Calamagrostietum neglectae, Caricetum limosae, Caricetum lasiocarpae, Menyantho-Sphagnetum teretis</w:t>
      </w:r>
      <w:r w:rsidRPr="0053298A">
        <w:t>.</w:t>
      </w:r>
      <w:r>
        <w:t xml:space="preserve"> </w:t>
      </w:r>
      <w:r w:rsidRPr="009F29E6">
        <w:t>Siedlisko na terenie obszaru generalnie jest bardzo jednoro</w:t>
      </w:r>
      <w:r>
        <w:t>dne. Miejscami zaznacza się po</w:t>
      </w:r>
      <w:r w:rsidRPr="009F29E6">
        <w:t>stępująca sukcesja roślinności drzewiastej, głównie brzozy i olszy jednak w większości przypadków zwarcie młodych drzew jest na tyle niewielkie, że nie zagraża funkcjonowaniu gatunków torfowiskowych. W największym stopniu zarasta wschodnia i północno-wschodnia część torfowiska. W części południowej i południowo-zachodniej wykonane były działania ochrony czynnej polegające na usuwaniu drzew i krzewów, zatem ta część ma najbardziej „otwarty” charakter, choć zauważalne jest powstawanie odrośli, miejscami dość gęstych. Jednocześnie ta część dawnej niecki jeziora jest na</w:t>
      </w:r>
      <w:r>
        <w:t>j</w:t>
      </w:r>
      <w:r w:rsidRPr="009F29E6">
        <w:t>silniej uwilgotniona i tu, na skraju torfowiska i okrajka porastającego już drzewami, n</w:t>
      </w:r>
      <w:r>
        <w:t>ajczęściej występują gatunki ty</w:t>
      </w:r>
      <w:r w:rsidRPr="009F29E6">
        <w:t>powe dla torfowisk zasadowych.</w:t>
      </w:r>
    </w:p>
    <w:p w14:paraId="0C6776EC" w14:textId="44433CAD" w:rsidR="00040A55" w:rsidRDefault="00040A55" w:rsidP="00905A13">
      <w:pPr>
        <w:spacing w:before="120"/>
      </w:pPr>
      <w:r>
        <w:t>Stan</w:t>
      </w:r>
      <w:r w:rsidRPr="009F29E6">
        <w:t xml:space="preserve"> torfowiska przejściowego w obszarze jest właściwa (FV). Złożyły się na to właściwe oceny wszystkich parametrów oraz większości wskaźnik</w:t>
      </w:r>
      <w:r>
        <w:t>ów parametru „specyficzna struk</w:t>
      </w:r>
      <w:r w:rsidRPr="009F29E6">
        <w:t>tura i funkcje”. Pomimo niższej oceny wskaźnika „obecność krzewów i podrostu drzew” nie spowodowało to obniżenia oceny ogólnej. Wynika to, po pierwsze, z faktu, że również we fragmentach torfowiska porośniętych w stosunkow</w:t>
      </w:r>
      <w:r>
        <w:t>o dużym stopniu drzewami i krze</w:t>
      </w:r>
      <w:r w:rsidRPr="009F29E6">
        <w:t>wami, układ zachowuje swój specyficzny charakter, a przede wszystkim bardzo dobrą kombinację florystyczną. Po drugie, efekt tego procesu może być skutecznie mitygowany przy zastosowaniu relatywnie prostych metod ochrony czynnej, co miało już miejsce na opisywanym torfowisku.</w:t>
      </w:r>
      <w:r>
        <w:t xml:space="preserve"> </w:t>
      </w:r>
      <w:r w:rsidRPr="009F29E6">
        <w:t xml:space="preserve">Powierzchnia płatów siedliska jest duża i stabilna, mimo stopniowego zarastania </w:t>
      </w:r>
      <w:r>
        <w:t>przez drzewa. Aktualnie łączny</w:t>
      </w:r>
      <w:r w:rsidRPr="009F29E6">
        <w:t xml:space="preserve"> </w:t>
      </w:r>
      <w:r>
        <w:t>obszar zajęty przez oba płaty</w:t>
      </w:r>
      <w:r w:rsidRPr="009F29E6">
        <w:t xml:space="preserve"> siedliska </w:t>
      </w:r>
      <w:r>
        <w:t>przekracza 100</w:t>
      </w:r>
      <w:r w:rsidRPr="009F29E6">
        <w:t xml:space="preserve"> ha.</w:t>
      </w:r>
      <w:r>
        <w:t xml:space="preserve"> </w:t>
      </w:r>
      <w:r w:rsidRPr="009F29E6">
        <w:t xml:space="preserve">Skład gatunkowy fitocenoz jest typowy dla </w:t>
      </w:r>
      <w:r>
        <w:t xml:space="preserve">tego </w:t>
      </w:r>
      <w:r w:rsidRPr="009F29E6">
        <w:t xml:space="preserve">siedliska. </w:t>
      </w:r>
      <w:r>
        <w:t>Mchy, zwłaszcza torfowce, pokry</w:t>
      </w:r>
      <w:r w:rsidRPr="009F29E6">
        <w:t>wają znaczącą powierzchnię, a ponadto regularnie i miej</w:t>
      </w:r>
      <w:r>
        <w:t>scami z dużym pokryciem (zwłasz</w:t>
      </w:r>
      <w:r w:rsidRPr="009F29E6">
        <w:t>cza w części południowej niecki torfowis</w:t>
      </w:r>
      <w:r>
        <w:t>kowej) występują mchy brunatne,</w:t>
      </w:r>
      <w:r w:rsidRPr="009F29E6">
        <w:t xml:space="preserve"> typowe dla zasadowych mechowisk. Nie odnotowano gatunków ob</w:t>
      </w:r>
      <w:r>
        <w:t>cych, inwazyjnych ani ekspansyw</w:t>
      </w:r>
      <w:r w:rsidRPr="009F29E6">
        <w:t>nych. Uwodnienie siedl</w:t>
      </w:r>
      <w:r>
        <w:t xml:space="preserve">iska jest </w:t>
      </w:r>
      <w:r w:rsidR="003141E7">
        <w:br/>
      </w:r>
      <w:r>
        <w:t>w zasadzie prawidłowe.</w:t>
      </w:r>
      <w:r w:rsidRPr="009F29E6">
        <w:t xml:space="preserve"> </w:t>
      </w:r>
      <w:r>
        <w:t>Należy</w:t>
      </w:r>
      <w:r w:rsidRPr="009F29E6">
        <w:t xml:space="preserve"> jednak mieć na uwadze, że </w:t>
      </w:r>
      <w:r>
        <w:t>ostatnie lata</w:t>
      </w:r>
      <w:r w:rsidRPr="009F29E6">
        <w:t xml:space="preserve"> był</w:t>
      </w:r>
      <w:r>
        <w:t>y</w:t>
      </w:r>
      <w:r w:rsidRPr="009F29E6">
        <w:t xml:space="preserve"> pod względem opadów bardzo ubogi</w:t>
      </w:r>
      <w:r>
        <w:t>e</w:t>
      </w:r>
      <w:r w:rsidRPr="009F29E6">
        <w:t>, co ma również wpływ na siedlisko. Jedynym wskaź</w:t>
      </w:r>
      <w:r>
        <w:t>nikiem ocenionym gorzej niż FV, tj.</w:t>
      </w:r>
      <w:r w:rsidRPr="009F29E6">
        <w:t xml:space="preserve"> na U2 jest obecność krzewów i podrostu drzew. Co ciekawe, na obu stanowiskac</w:t>
      </w:r>
      <w:r>
        <w:t>h, zarówno na tym gdzie wykonywano</w:t>
      </w:r>
      <w:r w:rsidRPr="009F29E6">
        <w:t xml:space="preserve"> działania ochrony czynnej jak i na tym gdzie ich nie wykonywano, ocena wskaźnika jest taka sama. Przyczyną tego jest dość bujny rozwój odrośli brzozy i olszy oraz wierzb w miejscach gdzie wykonywany był zabieg. Po kilku latach od zabiegu odrośla zajmują już stosunkowo dużą powierzchnię, a ich ocieniający wpływ jest być może nawet większy niż w płacie, gdzie zabiegu nie wykonano. Drzewostan je</w:t>
      </w:r>
      <w:r>
        <w:t>st tam bowiem wyższy, ale luźny,</w:t>
      </w:r>
      <w:r w:rsidRPr="009F29E6">
        <w:t xml:space="preserve"> ażurowe brzozy nie działają tak ocieniająco jak pęki wysokich na metr odrośli,</w:t>
      </w:r>
      <w:r>
        <w:t xml:space="preserve"> choć ich wpływ na stopień tran</w:t>
      </w:r>
      <w:r w:rsidRPr="009F29E6">
        <w:t>spiracji wody z torfowiska jest być może większy.</w:t>
      </w:r>
      <w:r>
        <w:t xml:space="preserve"> </w:t>
      </w:r>
      <w:r w:rsidRPr="00905A13">
        <w:t>W przyszłości jednak, bez podjęcia działań ochrony cz</w:t>
      </w:r>
      <w:r>
        <w:t>ynnej, sukcesja zbiorowisk zaro</w:t>
      </w:r>
      <w:r w:rsidRPr="00905A13">
        <w:t xml:space="preserve">ślowych oraz inicjalnych zbiorowisk leśnych może doprowadzić do pogorszenia funkcji torfowiska i stopniowej utraty jego charakteru aż do całkowitego zaniku. Obecnie nie ma jednak podstaw by zakładać </w:t>
      </w:r>
      <w:r>
        <w:t xml:space="preserve">taki scenariusz w perspektywie </w:t>
      </w:r>
      <w:r w:rsidR="003141E7">
        <w:t xml:space="preserve">co najmniej </w:t>
      </w:r>
      <w:r>
        <w:t>2</w:t>
      </w:r>
      <w:r w:rsidRPr="00905A13">
        <w:t>0 lat.</w:t>
      </w:r>
      <w:r>
        <w:t xml:space="preserve"> Siedlisko za</w:t>
      </w:r>
      <w:r w:rsidRPr="00905A13">
        <w:t xml:space="preserve">chowuje swoje </w:t>
      </w:r>
      <w:r w:rsidRPr="00905A13">
        <w:lastRenderedPageBreak/>
        <w:t>funkcje i stanowi stabilny układ przyrodniczy, mimo zarysowują</w:t>
      </w:r>
      <w:r>
        <w:t>cych się tendencji sukcesyjnych, p</w:t>
      </w:r>
      <w:r w:rsidRPr="00905A13">
        <w:t>rocesy t</w:t>
      </w:r>
      <w:r>
        <w:t>e muszą być jednak monitorowane</w:t>
      </w:r>
      <w:r w:rsidRPr="00905A13">
        <w:t>.</w:t>
      </w:r>
      <w:r>
        <w:t xml:space="preserve"> Można przyjąć, że na chwilę obecną powierzchnia siedliska nie ulega znaczącym zmianom, zatem stan ochrony siedliska w tej materii może być oceniony jako właściwy. </w:t>
      </w:r>
      <w:r w:rsidRPr="00D31778">
        <w:t>Skład gatunkowy fitocenoz jest typowy dla siedliska</w:t>
      </w:r>
      <w:r>
        <w:t xml:space="preserve"> oraz jego uwodnienie jest prawidłowe, co pozwala przyjąć, że stan ochrony oceniany tym parametrem jest właściwy. </w:t>
      </w:r>
      <w:r w:rsidRPr="008C3DE2">
        <w:t xml:space="preserve">Ocena ogólna stanu torfowiska przejściowego </w:t>
      </w:r>
      <w:r w:rsidR="003141E7">
        <w:br/>
      </w:r>
      <w:r w:rsidRPr="008C3DE2">
        <w:t>w obszarze jest właściwa (FV).</w:t>
      </w:r>
    </w:p>
    <w:p w14:paraId="7849E145" w14:textId="052FE077" w:rsidR="00040A55" w:rsidRDefault="00040A55" w:rsidP="00905A13">
      <w:pPr>
        <w:spacing w:before="120"/>
      </w:pPr>
      <w:r w:rsidRPr="00905A13">
        <w:t xml:space="preserve">Wielkość populacji </w:t>
      </w:r>
      <w:r>
        <w:t>lipiennika</w:t>
      </w:r>
      <w:r w:rsidRPr="00905A13">
        <w:t xml:space="preserve"> na terenie </w:t>
      </w:r>
      <w:r>
        <w:t>obszaru Natura 2000</w:t>
      </w:r>
      <w:r w:rsidRPr="00905A13">
        <w:t xml:space="preserve"> była oceniana nawet na kilkaset osobników (Wołejko i in. 2019). Również z informacji ustnych uzyskanych od ekspertów zajmujących się badanami na torfowisku Serafin oraz służb Nadleśnictwa wynika, że gatunek powinien być na terenie obszaru dość liczny.</w:t>
      </w:r>
      <w:r>
        <w:t xml:space="preserve"> </w:t>
      </w:r>
      <w:r w:rsidRPr="00905A13">
        <w:t xml:space="preserve">Jednakże szczegółowe badania przeprowadzone </w:t>
      </w:r>
      <w:r>
        <w:t xml:space="preserve">przez Regionalnego Dyrektora Ochrony Środowiska </w:t>
      </w:r>
      <w:r w:rsidR="003141E7">
        <w:br/>
      </w:r>
      <w:r>
        <w:t>w Warszawie</w:t>
      </w:r>
      <w:r w:rsidRPr="00905A13">
        <w:t xml:space="preserve"> nie przyniosły o</w:t>
      </w:r>
      <w:r>
        <w:t>cze</w:t>
      </w:r>
      <w:r w:rsidRPr="00905A13">
        <w:t>kiwanych efektów. Mimo dokładnego przeszukania miejsc, gdzie lipiennik był najczęściej obserwowany, nie odnaleziono tam ani jednego osobnik</w:t>
      </w:r>
      <w:r>
        <w:t>a. Jedyny osobnik został odnale</w:t>
      </w:r>
      <w:r w:rsidRPr="00905A13">
        <w:t xml:space="preserve">ziony </w:t>
      </w:r>
      <w:r w:rsidR="003141E7">
        <w:br/>
      </w:r>
      <w:r w:rsidRPr="00905A13">
        <w:t>w południowo-zachodniej części obszaru, w niewielkiej luce („polance”) otoczonej</w:t>
      </w:r>
      <w:r>
        <w:t xml:space="preserve"> zadrzewieniami</w:t>
      </w:r>
      <w:r w:rsidRPr="00905A13">
        <w:t>.</w:t>
      </w:r>
      <w:r>
        <w:t xml:space="preserve"> </w:t>
      </w:r>
      <w:r w:rsidRPr="007176FF">
        <w:t xml:space="preserve">Nie oznacza to oczywiście zaniku gatunku na terenie </w:t>
      </w:r>
      <w:r>
        <w:t>obszaru Natura 2000</w:t>
      </w:r>
      <w:r w:rsidRPr="007176FF">
        <w:t>. Lipiennik, jak wszystkie storczyki, jest gatunkiem, którego rozwój jest mocno uzależniony od aktualnych warunków wodno-termicznych. Bywają lata, potocznie przez botan</w:t>
      </w:r>
      <w:r>
        <w:t>ików określane jako „</w:t>
      </w:r>
      <w:r w:rsidRPr="007176FF">
        <w:rPr>
          <w:i/>
        </w:rPr>
        <w:t>niestorczykowe</w:t>
      </w:r>
      <w:r w:rsidRPr="007176FF">
        <w:t xml:space="preserve">”, w których gatunek pojawia się bardzo nielicznie lub nawet wcale. Powszechnie także wiadomo, że storczyki mogą zmieniać swoją liczebność z roku na rok, </w:t>
      </w:r>
      <w:r w:rsidR="003141E7">
        <w:br/>
      </w:r>
      <w:r w:rsidRPr="007176FF">
        <w:t>w zależności od określonego cyklu życia (Bednorz 2003, Jones 1998). Efemeryczność pojawów różnych gatunków storczyków jest dużym utrudnieniem prowadzenia b</w:t>
      </w:r>
      <w:r>
        <w:t>adań monitoringowych. Jak podaje</w:t>
      </w:r>
      <w:r w:rsidRPr="007176FF">
        <w:t xml:space="preserve"> </w:t>
      </w:r>
      <w:r>
        <w:t>literatura</w:t>
      </w:r>
      <w:r w:rsidRPr="007176FF">
        <w:t xml:space="preserve">, rozmieszczenie osobników lipiennika jest zwykle skupiskowe, a jego liczebność podlega znacznym fluktuacjom w kolejnych latach, co wynika z warunków środowiskowych panujących w danym roku (przede wszystkim z deficytu opadów, co ma wpływ na kiełkowanie i owocowanie). Taka właśnie sytuacja zaistniała </w:t>
      </w:r>
      <w:r w:rsidR="00B930CA">
        <w:br/>
      </w:r>
      <w:r w:rsidRPr="007176FF">
        <w:t xml:space="preserve">w </w:t>
      </w:r>
      <w:r>
        <w:t>ostatnich latach</w:t>
      </w:r>
      <w:r w:rsidRPr="007176FF">
        <w:t xml:space="preserve">. </w:t>
      </w:r>
      <w:r>
        <w:t>Według danych IMGW, opady w</w:t>
      </w:r>
      <w:r w:rsidRPr="007176FF">
        <w:t xml:space="preserve"> 2022 r. stanowiły 60-70% średniej z opadów wiosennych z lat 1991-2020. Tak sucha wiosna mogła zadecydowa</w:t>
      </w:r>
      <w:r>
        <w:t>ć o tym, że lipienniki nie mają</w:t>
      </w:r>
      <w:r w:rsidRPr="007176FF">
        <w:t xml:space="preserve"> możliwości właściwego rozwoju (kiełkowania).</w:t>
      </w:r>
      <w:r>
        <w:t xml:space="preserve"> </w:t>
      </w:r>
      <w:r w:rsidRPr="007176FF">
        <w:t xml:space="preserve">Parametr liczebność populacji </w:t>
      </w:r>
      <w:r>
        <w:t>oceniono na U2</w:t>
      </w:r>
      <w:r w:rsidRPr="007176FF">
        <w:t>. Prawdopodobne</w:t>
      </w:r>
      <w:r>
        <w:t>j</w:t>
      </w:r>
      <w:r w:rsidRPr="007176FF">
        <w:t xml:space="preserve"> przyczyny tak niskiej liczebności</w:t>
      </w:r>
      <w:r>
        <w:t>,</w:t>
      </w:r>
      <w:r w:rsidRPr="007176FF">
        <w:t xml:space="preserve"> </w:t>
      </w:r>
      <w:r>
        <w:t>poza wymienionymi</w:t>
      </w:r>
      <w:r w:rsidRPr="007176FF">
        <w:t xml:space="preserve"> </w:t>
      </w:r>
      <w:r>
        <w:t>powyżej,</w:t>
      </w:r>
      <w:r w:rsidRPr="007176FF">
        <w:t xml:space="preserve"> </w:t>
      </w:r>
      <w:r>
        <w:t>należy</w:t>
      </w:r>
      <w:r w:rsidRPr="007176FF">
        <w:t xml:space="preserve"> </w:t>
      </w:r>
      <w:r>
        <w:t>dopatrywać się w stopniu</w:t>
      </w:r>
      <w:r w:rsidRPr="007176FF">
        <w:t xml:space="preserve"> uwodnienia siedliska. Wskaźnik ten oceniono na U1. Mimo dość dobrych warunków wilgotno</w:t>
      </w:r>
      <w:r>
        <w:t>ściowych zauważalne jest przesu</w:t>
      </w:r>
      <w:r w:rsidRPr="007176FF">
        <w:t xml:space="preserve">szenie siedliska </w:t>
      </w:r>
      <w:r>
        <w:t>co mogło</w:t>
      </w:r>
      <w:r w:rsidRPr="007176FF">
        <w:t xml:space="preserve"> wpłynąć na liczebność lipiennika.</w:t>
      </w:r>
      <w:r>
        <w:t xml:space="preserve"> </w:t>
      </w:r>
      <w:r w:rsidRPr="007176FF">
        <w:t xml:space="preserve">Siedlisko gatunku otrzymało ocenę U1. </w:t>
      </w:r>
      <w:r>
        <w:t>N</w:t>
      </w:r>
      <w:r w:rsidRPr="007176FF">
        <w:t xml:space="preserve">ajgorzej </w:t>
      </w:r>
      <w:r>
        <w:t>bo na U2</w:t>
      </w:r>
      <w:r w:rsidRPr="007176FF">
        <w:t xml:space="preserve"> oceniony został wskaźnik opisujący fragmentację siedliska, a to ze względu na duży st</w:t>
      </w:r>
      <w:r>
        <w:t>opień zarośnięcia przez drzewa potencjalnych stanowisk</w:t>
      </w:r>
      <w:r w:rsidRPr="007176FF">
        <w:t xml:space="preserve">. </w:t>
      </w:r>
      <w:r>
        <w:t>Z tych też względów</w:t>
      </w:r>
      <w:r w:rsidRPr="007176FF">
        <w:t xml:space="preserve"> również wskaźni</w:t>
      </w:r>
      <w:r>
        <w:t>kowi kardynalnemu „stopień zaro</w:t>
      </w:r>
      <w:r w:rsidRPr="007176FF">
        <w:t>śnięcia siedliska przez roślinność drzewiastą i krzewiastą” nadano obniżoną ocenę U1</w:t>
      </w:r>
      <w:r>
        <w:t xml:space="preserve">. </w:t>
      </w:r>
      <w:r w:rsidRPr="006303A2">
        <w:t>Jako właściwe (FV) oceniono wskaźniki dotyczące obec</w:t>
      </w:r>
      <w:r>
        <w:t>ności roślin ekspansywnych, gru</w:t>
      </w:r>
      <w:r w:rsidRPr="006303A2">
        <w:t>bości wojłoku oraz dostępności miejsc do kiełkowania</w:t>
      </w:r>
      <w:r>
        <w:t>. Pokazuje to, że mimo odnotowa</w:t>
      </w:r>
      <w:r w:rsidRPr="006303A2">
        <w:t>nych procesów i zjawisk, gatunek wciąż ma możliwości występowania i rozprzestrzeniania się.</w:t>
      </w:r>
      <w:r>
        <w:t xml:space="preserve"> </w:t>
      </w:r>
      <w:r w:rsidRPr="0067217D">
        <w:t>Mimo bardzo niskiej liczebności gatunku, perspektywy jego ochrony oceniono dość korzystnie. Brak jest o</w:t>
      </w:r>
      <w:r>
        <w:t>bec</w:t>
      </w:r>
      <w:r w:rsidRPr="0067217D">
        <w:t>nie p</w:t>
      </w:r>
      <w:r>
        <w:t>odstaw do nadania niższej oceny gdyż</w:t>
      </w:r>
      <w:r w:rsidRPr="0067217D">
        <w:t xml:space="preserve"> obszar objęty jes</w:t>
      </w:r>
      <w:r>
        <w:t>t ochroną oraz wykonywane są działa</w:t>
      </w:r>
      <w:r w:rsidRPr="0067217D">
        <w:t xml:space="preserve">nia ochronne pod kątem kształtowania odpowiedniego dla gatunku siedliska. </w:t>
      </w:r>
      <w:r w:rsidR="00B930CA">
        <w:br/>
      </w:r>
      <w:r w:rsidRPr="0067217D">
        <w:t>W składzie gatunkowym runa nie ma oznak postępującego przesuszenia czy degradacji wskutek z</w:t>
      </w:r>
      <w:r>
        <w:t>ara</w:t>
      </w:r>
      <w:r w:rsidRPr="0067217D">
        <w:t xml:space="preserve">stania. Oczywiście proces wymaga częstego monitoringu. Prognozuje się, że </w:t>
      </w:r>
      <w:r>
        <w:t>występujące w obszarze Natura 2000 polany</w:t>
      </w:r>
      <w:r w:rsidRPr="0067217D">
        <w:t xml:space="preserve">, stanowiące dla </w:t>
      </w:r>
      <w:r>
        <w:t>lipiennika</w:t>
      </w:r>
      <w:r w:rsidRPr="0067217D">
        <w:t xml:space="preserve"> dogodne siedlisko, będą stopniowo się kurczyć. Proces ten może być jednak relatywnie łatwo zahamowany poprzez wdrożenia działań ochrony </w:t>
      </w:r>
      <w:r>
        <w:t>czynnej polegających na stopnio</w:t>
      </w:r>
      <w:r w:rsidRPr="0067217D">
        <w:t>wym usuwaniu drzew i krzewów na obrzeżach płatów potencjalnego siedliska lipiennika.</w:t>
      </w:r>
      <w:r>
        <w:t xml:space="preserve"> W związku z powyższym, o</w:t>
      </w:r>
      <w:r w:rsidRPr="00FD4B7C">
        <w:t xml:space="preserve">cena ogólna stanu populacji lipiennika </w:t>
      </w:r>
      <w:r>
        <w:t>w obszarze Natura 2000 jest zła (U2). Wy</w:t>
      </w:r>
      <w:r w:rsidRPr="00FD4B7C">
        <w:t>nika to</w:t>
      </w:r>
      <w:r>
        <w:t xml:space="preserve"> głównie</w:t>
      </w:r>
      <w:r w:rsidRPr="00FD4B7C">
        <w:t xml:space="preserve"> ze specyfiki stosowanej metodyki GIOŚ, która ni</w:t>
      </w:r>
      <w:r>
        <w:t>e uwzględnia możliwości fluktua</w:t>
      </w:r>
      <w:r w:rsidRPr="00FD4B7C">
        <w:t>cji liczebności gatunku w kolejnych cyklach monitoringu i nie odróżnia ich od faktycznego zaniku storczyka (co samo w sobie może być trudne, ale należałoby tu posiłkować się oceną zachowania siedliska gatunku oraz zarysowującymi się t</w:t>
      </w:r>
      <w:r>
        <w:t xml:space="preserve">endencjami </w:t>
      </w:r>
      <w:r w:rsidR="00B930CA">
        <w:br/>
      </w:r>
      <w:r>
        <w:t>i zachodzącymi proce</w:t>
      </w:r>
      <w:r w:rsidRPr="00FD4B7C">
        <w:t xml:space="preserve">sami ekologicznymi). W efekcie stwierdzenie tylko 1 osobnika skutkuje oceną parametru „populacja” na poziomie U2, co rzutuje na całą ocenę obszaru, mimo relatywnie dobrze zachowanego siedliska i dość korzystnych perspektyw zachowania. Mimo takiej oceny, </w:t>
      </w:r>
      <w:r>
        <w:t>brak jest podstaw do uznania</w:t>
      </w:r>
      <w:r w:rsidRPr="00FD4B7C">
        <w:t xml:space="preserve">, </w:t>
      </w:r>
      <w:r>
        <w:t>że</w:t>
      </w:r>
      <w:r w:rsidRPr="00FD4B7C">
        <w:t xml:space="preserve"> stan ochrony lipiennika </w:t>
      </w:r>
      <w:r>
        <w:t>jest zły.</w:t>
      </w:r>
    </w:p>
    <w:p w14:paraId="45541458" w14:textId="528B3CF2" w:rsidR="00040A55" w:rsidRDefault="00040A55" w:rsidP="00EB0163">
      <w:pPr>
        <w:spacing w:before="120"/>
      </w:pPr>
      <w:r w:rsidRPr="00552D94">
        <w:t xml:space="preserve">Do tej pory brak </w:t>
      </w:r>
      <w:r>
        <w:t xml:space="preserve">jest </w:t>
      </w:r>
      <w:r w:rsidRPr="00552D94">
        <w:t xml:space="preserve">precyzyjnych informacji o liczebności </w:t>
      </w:r>
      <w:r>
        <w:t>haczykowca błyszczącego w obszarze Natura 2000</w:t>
      </w:r>
      <w:r w:rsidRPr="00552D94">
        <w:t xml:space="preserve">. Według Wołejko i in. (2019) haczykowiec rośnie na terenie obszaru miejscami bardzo licznie. Potwierdziły to badania prowadzone </w:t>
      </w:r>
      <w:r>
        <w:t>przez Regionalnego Dyrektora Ochrony Środowiska w Warszawie</w:t>
      </w:r>
      <w:r w:rsidRPr="00552D94">
        <w:t>. Odnaleziono wiele stanowisk haczykowca, a miejscami występował on bardzo licznie wypełniają</w:t>
      </w:r>
      <w:r>
        <w:t xml:space="preserve">c dostępne dla niego siedliska, </w:t>
      </w:r>
      <w:r>
        <w:lastRenderedPageBreak/>
        <w:t>za</w:t>
      </w:r>
      <w:r w:rsidRPr="00552D94">
        <w:t>zwyczaj silniej uwilgotnione zagłębienia i dolinki pośród o</w:t>
      </w:r>
      <w:r>
        <w:t>gólnie płaskiego terenu torfowi</w:t>
      </w:r>
      <w:r w:rsidRPr="00552D94">
        <w:t>ska. Stanowiska haczykowca grupują się</w:t>
      </w:r>
      <w:r>
        <w:t xml:space="preserve"> w południowej i zachodniej czę</w:t>
      </w:r>
      <w:r w:rsidRPr="00552D94">
        <w:t>ści obszaru i są w zasadzie tożsame z siedliskami lipiennika. Wchodząc na tereny zajęte przez haczykowca wyraźnie wyczuwa się zwiększoną wilgotność podłoża, w stosunku np. do północnych czy wschodnich partii torfowiska.</w:t>
      </w:r>
      <w:r>
        <w:t xml:space="preserve"> </w:t>
      </w:r>
      <w:r w:rsidRPr="000E1790">
        <w:t xml:space="preserve">Parametr „populacja” </w:t>
      </w:r>
      <w:r>
        <w:t xml:space="preserve">dla tego gatunku </w:t>
      </w:r>
      <w:r w:rsidRPr="000E1790">
        <w:t>w skali ca</w:t>
      </w:r>
      <w:r>
        <w:t>łego obszaru wygląda korzystnie</w:t>
      </w:r>
      <w:r w:rsidRPr="000E1790">
        <w:t>. Gatunek występuje w dużyc</w:t>
      </w:r>
      <w:r>
        <w:t>h skupiskach, bez oznak choro</w:t>
      </w:r>
      <w:r w:rsidRPr="000E1790">
        <w:t xml:space="preserve">bowych. </w:t>
      </w:r>
      <w:r>
        <w:t>Tym niemniej, w</w:t>
      </w:r>
      <w:r w:rsidRPr="000E1790">
        <w:t xml:space="preserve"> miejscach o bardziej zadrzewionym charakterze obserwuje się zjawisko ustępowania mchów brunatnych (w tym omawianego gatunku)</w:t>
      </w:r>
      <w:r>
        <w:t xml:space="preserve"> na rzecz torfowców</w:t>
      </w:r>
      <w:r w:rsidRPr="000E1790">
        <w:t xml:space="preserve">. W konsekwencji gatunek </w:t>
      </w:r>
      <w:r w:rsidR="007D2ECC">
        <w:t xml:space="preserve">ten </w:t>
      </w:r>
      <w:r w:rsidRPr="000E1790">
        <w:t>nie wypełnia całej dostępnej dla niego przestrzeni (siedliska potencjalnego)</w:t>
      </w:r>
      <w:r>
        <w:t>, a kondycja darni jest gorsza,</w:t>
      </w:r>
      <w:r w:rsidRPr="000E1790">
        <w:t xml:space="preserve"> mech tworzy niewielkie skupiska, które z czasem mogą się kurczyć i zanikać, przegrywając konkurencję </w:t>
      </w:r>
      <w:r w:rsidR="007D2ECC">
        <w:br/>
      </w:r>
      <w:r w:rsidRPr="000E1790">
        <w:t>z torfowcami.</w:t>
      </w:r>
      <w:r>
        <w:t xml:space="preserve"> </w:t>
      </w:r>
      <w:r w:rsidRPr="00673E44">
        <w:t xml:space="preserve">Parametr „siedlisko” został oceniony </w:t>
      </w:r>
      <w:r>
        <w:t>na poziomie</w:t>
      </w:r>
      <w:r w:rsidRPr="00673E44">
        <w:t xml:space="preserve"> U2. Tak niska ocena wynikała z kompleksu czynników i u</w:t>
      </w:r>
      <w:r>
        <w:t>warunkowań, ale również z manka</w:t>
      </w:r>
      <w:r w:rsidRPr="00673E44">
        <w:t>mentów stosowanej metodyki. Przede wszystkim wą</w:t>
      </w:r>
      <w:r>
        <w:t>tpliwości budzi sposób oceny po</w:t>
      </w:r>
      <w:r w:rsidRPr="00673E44">
        <w:t>wierzchni siedliska zajętego przez gatunek w rela</w:t>
      </w:r>
      <w:r>
        <w:t>cji do siedliska potencjalnego, możliwe</w:t>
      </w:r>
      <w:r w:rsidRPr="00673E44">
        <w:t>go do zasiedlenia. W sytuacji, gdy powierzchnia siedliska potencjalnego nie przekracza znacząco powierzchni siedliska zajętego, nadaje się ocenę U2. Miałoby to wskazywać, że gatunek nie ma już dalszych możliwości ekspansji i zajmowania nowych siedlisk, co obniża ocenę parametru. Jednakże w przypadku, gdy gatunek wypełnia całą dostępną dla niego siedliskowo przestrzeń, a dalej ekspandować nie może, bo powierzchnia samego torfowiska jest ograniczona, to jest to oznaką dobrze zachowanych warunków siedliskowych oraz  doskonałej kondycji populacji. Brak dodatkowego siedl</w:t>
      </w:r>
      <w:r>
        <w:t xml:space="preserve">iska do zajęcia wynika </w:t>
      </w:r>
      <w:r w:rsidR="007D2ECC">
        <w:br/>
      </w:r>
      <w:r>
        <w:t>z uwarun</w:t>
      </w:r>
      <w:r w:rsidRPr="00673E44">
        <w:t xml:space="preserve">kowań terenowych, a nie z faktu, że siedlisko </w:t>
      </w:r>
      <w:r>
        <w:t>znajduje</w:t>
      </w:r>
      <w:r w:rsidRPr="00673E44">
        <w:t xml:space="preserve"> się w złym stanie zachowania. Ponadto niskie oceny (U2) uzyskały wskaźniki opisujące struk</w:t>
      </w:r>
      <w:r>
        <w:t>turę roślinności w zbiorowisku, tj.</w:t>
      </w:r>
      <w:r w:rsidRPr="00673E44">
        <w:t xml:space="preserve"> „ocienienie”, „wysokość runi” oraz „zwarcie runi lub runa”. Jednakże, również w tym przypadku pojawiają się wątpliwości co do założeń metodycznych takiej oceny. Stosowana metodyka jes</w:t>
      </w:r>
      <w:r>
        <w:t>t tu restrykcyjna i zawężająca, zdaje się nawiązywać prze</w:t>
      </w:r>
      <w:r w:rsidRPr="00673E44">
        <w:t xml:space="preserve">de wszystkim do klasycznych „otwartych” mechowisk, w których występuje haczykowiec. Ocena na </w:t>
      </w:r>
      <w:r w:rsidR="007D2ECC">
        <w:t>T</w:t>
      </w:r>
      <w:r w:rsidRPr="00673E44">
        <w:t xml:space="preserve">orfowisku Serafin pokazuje jednak, że również siedliska o innym charakterze mogą stanowić właściwe miejsce występowania gatunku. W takim przypadku metodyka nie do końca przystaje do uwarunkowań i nie pozwala na dokonanie sensownej oceny. W warunkach </w:t>
      </w:r>
      <w:r>
        <w:t>obszaru Natura 2000</w:t>
      </w:r>
      <w:r w:rsidRPr="00673E44">
        <w:t xml:space="preserve"> roślinność zielna, mimo że bujna i wysoka, nie wydaje się wpływać negatywnie na kondycję gatunku, kt</w:t>
      </w:r>
      <w:r>
        <w:t>óry doskonale radzi sobie zajmu</w:t>
      </w:r>
      <w:r w:rsidRPr="00673E44">
        <w:t>jąc mikroobniżenia terenu i zagłębienia mię</w:t>
      </w:r>
      <w:r>
        <w:t xml:space="preserve">dzy kępami roślinności zielnej. </w:t>
      </w:r>
      <w:r w:rsidRPr="00EB0163">
        <w:t xml:space="preserve">Ocena ogólna stanu populacji haczykowca błyszczącego </w:t>
      </w:r>
      <w:r>
        <w:t>w obszarze Natura 2000</w:t>
      </w:r>
      <w:r w:rsidRPr="00EB0163">
        <w:t xml:space="preserve"> jest zła (U2). Zadecydowała o tym </w:t>
      </w:r>
      <w:r>
        <w:t>zła ocena parametru „siedlisko”</w:t>
      </w:r>
      <w:r w:rsidRPr="00EB0163">
        <w:t xml:space="preserve">. </w:t>
      </w:r>
      <w:r>
        <w:t>N</w:t>
      </w:r>
      <w:r w:rsidRPr="00EB0163">
        <w:t>iebezpieczeństwo</w:t>
      </w:r>
      <w:r>
        <w:t xml:space="preserve"> utraty właściwych cech w tym zakresie</w:t>
      </w:r>
      <w:r w:rsidRPr="00EB0163">
        <w:t xml:space="preserve"> stanowią</w:t>
      </w:r>
      <w:r>
        <w:t xml:space="preserve"> wkraczające na siedlisko wierz</w:t>
      </w:r>
      <w:r w:rsidRPr="00EB0163">
        <w:t xml:space="preserve">by i brzozy, które w tym momencie ograniczają już rozwój gatunku. </w:t>
      </w:r>
      <w:r>
        <w:t>Tym niemniej struk</w:t>
      </w:r>
      <w:r w:rsidRPr="00EB0163">
        <w:t xml:space="preserve">tura roślinności warstwy zielnej i mszystej zachowana jest dość dobrze, co wskazuje na relatywnie łatwe możliwości poprawy stanu po wykonaniu działań ochronnych. Mimo złych ocen wskaźników stan zachowania populacji i siedliska jest tu sprzyjający. Gatunek jest trwałym elementem typowego dla niego siedliska </w:t>
      </w:r>
      <w:r>
        <w:t>i nie wykazuje objawów regresu.</w:t>
      </w:r>
    </w:p>
    <w:p w14:paraId="459D4C9C" w14:textId="14390EA8" w:rsidR="00040A55" w:rsidRDefault="00040A55" w:rsidP="00D57F1A">
      <w:pPr>
        <w:spacing w:before="120"/>
      </w:pPr>
      <w:r>
        <w:t xml:space="preserve">Głównymi zagrożeniami dla obszaru Natura 2000 są </w:t>
      </w:r>
      <w:r w:rsidRPr="000B5A5C">
        <w:t>powodowane przez człowieka zmiany stosunków wodnych</w:t>
      </w:r>
      <w:r>
        <w:t xml:space="preserve"> oraz ekspansja drzew i krzewów. Założonym celem działań ochronnych jest zachowanie torfowisk </w:t>
      </w:r>
      <w:r w:rsidR="007D2ECC">
        <w:br/>
      </w:r>
      <w:r>
        <w:t>w ob</w:t>
      </w:r>
      <w:r w:rsidRPr="000B5A5C">
        <w:t xml:space="preserve">szarze </w:t>
      </w:r>
      <w:r w:rsidR="007D2ECC">
        <w:t>blisko</w:t>
      </w:r>
      <w:r>
        <w:t xml:space="preserve"> </w:t>
      </w:r>
      <w:r w:rsidRPr="000B5A5C">
        <w:t>1</w:t>
      </w:r>
      <w:r>
        <w:t>00</w:t>
      </w:r>
      <w:r w:rsidRPr="000B5A5C">
        <w:t xml:space="preserve"> ha oraz poprawa jego stanu ochrony.</w:t>
      </w:r>
      <w:r>
        <w:t xml:space="preserve"> </w:t>
      </w:r>
      <w:r w:rsidRPr="000B5A5C">
        <w:t>Powierzchnia siedliska jest względnie stabil</w:t>
      </w:r>
      <w:r>
        <w:t>na, jednak w dłuższej perspekty</w:t>
      </w:r>
      <w:r w:rsidRPr="000B5A5C">
        <w:t xml:space="preserve">wie </w:t>
      </w:r>
      <w:r>
        <w:t>czasu znaczenie mogą mieć proce</w:t>
      </w:r>
      <w:r w:rsidRPr="000B5A5C">
        <w:t>sy</w:t>
      </w:r>
      <w:r>
        <w:t xml:space="preserve"> sukcesyjne, którym należy prze</w:t>
      </w:r>
      <w:r w:rsidRPr="000B5A5C">
        <w:t>ciwdziałać poprzez wykonywania działań ochrony czynnej.</w:t>
      </w:r>
      <w:r>
        <w:t xml:space="preserve"> Ponadto przewiduje się dalsze utrzymywanie zwartego charakte</w:t>
      </w:r>
      <w:r w:rsidRPr="000B5A5C">
        <w:t xml:space="preserve">ru płatu siedliska </w:t>
      </w:r>
      <w:r>
        <w:t>dzięki przeciwdziałanie jego fragmentacji, za którą mogą odpowia</w:t>
      </w:r>
      <w:r w:rsidRPr="000B5A5C">
        <w:t>dać procesy sukcesyjne.</w:t>
      </w:r>
      <w:r>
        <w:t xml:space="preserve"> Dzięki ochronie czynnej stworzy się odpowiednie warunki</w:t>
      </w:r>
      <w:r w:rsidRPr="000F319D">
        <w:t xml:space="preserve"> do występowania gatunków torfowiskowych </w:t>
      </w:r>
      <w:r>
        <w:t>i możliwy będzie do utrzymania obecny s</w:t>
      </w:r>
      <w:r w:rsidRPr="000F319D">
        <w:t>kład gatunkowy zbiorowiska</w:t>
      </w:r>
      <w:r>
        <w:t>, który</w:t>
      </w:r>
      <w:r w:rsidRPr="000F319D">
        <w:t xml:space="preserve"> </w:t>
      </w:r>
      <w:r>
        <w:t>uwzględniając zmienność i charakter</w:t>
      </w:r>
      <w:r w:rsidRPr="000F319D">
        <w:t xml:space="preserve"> torfowiska Serafin</w:t>
      </w:r>
      <w:r>
        <w:t xml:space="preserve"> jest właściwy. Ponadto utrzymany będzie właściwy po</w:t>
      </w:r>
      <w:r w:rsidRPr="00A25114">
        <w:t xml:space="preserve">ziomu uwodnienia torfowiska </w:t>
      </w:r>
      <w:r>
        <w:t>dzięki zachowaniu natural</w:t>
      </w:r>
      <w:r w:rsidRPr="00A25114">
        <w:t>nego reżimu hydrologicznego i</w:t>
      </w:r>
      <w:r>
        <w:t xml:space="preserve"> niepodejmowaniu</w:t>
      </w:r>
      <w:r w:rsidRPr="00A25114">
        <w:t xml:space="preserve"> </w:t>
      </w:r>
      <w:r>
        <w:t xml:space="preserve">prac </w:t>
      </w:r>
      <w:r w:rsidR="007D2ECC">
        <w:br/>
      </w:r>
      <w:r>
        <w:t>o charakterze melio</w:t>
      </w:r>
      <w:r w:rsidRPr="00A25114">
        <w:t>racji wodnych</w:t>
      </w:r>
      <w:r>
        <w:t>. W stosunku do lipiennika i haczykowca stworzone zostaną warunki</w:t>
      </w:r>
      <w:r w:rsidRPr="00876F97">
        <w:t xml:space="preserve"> do występowania populacji </w:t>
      </w:r>
      <w:r>
        <w:t xml:space="preserve">tych </w:t>
      </w:r>
      <w:r w:rsidRPr="00876F97">
        <w:t xml:space="preserve">gatunku, z uwzględnieniem naturalnych fluktuacji </w:t>
      </w:r>
      <w:r>
        <w:t xml:space="preserve">ich </w:t>
      </w:r>
      <w:r w:rsidRPr="00876F97">
        <w:t>liczebności.</w:t>
      </w:r>
      <w:r>
        <w:t xml:space="preserve"> Zmniejszy się fragmentacja ich siedlisk poprzez wykonanie działań ochrony czynnej polegających na poszerzeniu terenu niezajętego przez drzewa i krzewy. Ograniczając udział ekspansywnych gatunków drzewiastych będzie się zmniejszać stopień ocieniania siedlisk przyrodniczych</w:t>
      </w:r>
      <w:r w:rsidRPr="00D57F1A">
        <w:t>.</w:t>
      </w:r>
    </w:p>
    <w:p w14:paraId="6448452A" w14:textId="2F4D32CE" w:rsidR="008542BE" w:rsidRDefault="008542BE" w:rsidP="00D57F1A">
      <w:pPr>
        <w:spacing w:before="120"/>
      </w:pPr>
      <w:r w:rsidRPr="008542BE">
        <w:t>W celu realizacji założonego kierunku ochrony zaprojektowano, w ramach działań ochronnych, zabiegi zmierzające do eliminacji zdiagnozowanych zagrożeń. Jako działanie do wykonania w ramach ochrony czynnej wskazuje się eliminację gatunków obcych geograficznie</w:t>
      </w:r>
      <w:r w:rsidR="001D11BE">
        <w:t>, r</w:t>
      </w:r>
      <w:r w:rsidR="001D11BE" w:rsidRPr="001D11BE">
        <w:t xml:space="preserve">ównomierne usuwanie na całym obszarze drzew </w:t>
      </w:r>
      <w:r w:rsidR="001D11BE">
        <w:br/>
      </w:r>
      <w:r w:rsidR="001D11BE" w:rsidRPr="001D11BE">
        <w:lastRenderedPageBreak/>
        <w:t>i krzewów</w:t>
      </w:r>
      <w:r w:rsidR="001D11BE">
        <w:t>, a także wszystkich pojawiających się odrośli tych gatunków</w:t>
      </w:r>
      <w:r w:rsidRPr="008542BE">
        <w:t xml:space="preserve">. </w:t>
      </w:r>
      <w:r w:rsidR="001D11BE">
        <w:t>Dzięki monitorowaniu gatunków obcych</w:t>
      </w:r>
      <w:r w:rsidRPr="008542BE">
        <w:t xml:space="preserve"> </w:t>
      </w:r>
      <w:r w:rsidR="001D11BE">
        <w:t>przewiduje się</w:t>
      </w:r>
      <w:r w:rsidRPr="008542BE">
        <w:t xml:space="preserve"> niedopuszczenie do zmian jakie mogą być wywołane w siedliskach obiektu chronionego przez </w:t>
      </w:r>
      <w:r w:rsidR="001D11BE">
        <w:t>te gatunki</w:t>
      </w:r>
      <w:r w:rsidRPr="008542BE">
        <w:t xml:space="preserve">. Im wcześniej zostaną podjęte działania ukierunkowane na ich zwalczanie, tym większą skuteczność one przyniosą. W przypadku gatunków obcych należy prowadzić </w:t>
      </w:r>
      <w:r w:rsidR="001D11BE">
        <w:t xml:space="preserve">bowiem </w:t>
      </w:r>
      <w:r w:rsidRPr="008542BE">
        <w:t>ich monitoring i na podstawie uzyskanych wyników dobierać do gatunku i dynamiki jego rozprzestrzeniania się metody ich zwalczania. Do tej pory nie opracowano bowiem jednej szybkiej i skutecznej metody ich eliminacji. Działania są zazwyczaj kosztowne i długotrwałe i często nie dają pożądanego skutku. Walka z nimi jest jednak konieczna, ponieważ jest to główny czynnik prowadzący do znaczącej i często nieodwracalnej, negatywnej przemiany roślinności rezerwatu. Najlepsze efekty daje systematyczne monitorowanie i zwalczanie, aż do całkowitego wyeliminowania danego gatunku. Monitoring powinien w szczególności obejmować pomiar zajęcia przez gatunki obce poszczególnych płatów siedlisk przyrodniczych. Na podstawie przeprowadzonych pomiarów należy ocenić tendencje dynamiczne zachodzące w tej materii.</w:t>
      </w:r>
    </w:p>
    <w:p w14:paraId="3E90D1F1" w14:textId="3EA5FB03" w:rsidR="00040A55" w:rsidRPr="001B4923" w:rsidRDefault="00040A55" w:rsidP="00751560">
      <w:pPr>
        <w:spacing w:before="120" w:after="120"/>
      </w:pPr>
      <w:r w:rsidRPr="001B4923">
        <w:t xml:space="preserve">W ramach przeprowadzonych konsultacji społecznych, celem zapewnienia możliwości udziału społeczeństwa na zasadach i w trybie określonym w ustawie z dnia 3 października 2008 r. o udostępnianiu informacji o środowisku i jego ochronie, udziale społeczeństwa w ochronie środowiska oraz ocenach oddziaływania na środowisko (t.j. Dz. U. z </w:t>
      </w:r>
      <w:r w:rsidR="001D11BE">
        <w:t>2024</w:t>
      </w:r>
      <w:r w:rsidRPr="001B4923">
        <w:t xml:space="preserve"> r. poz. </w:t>
      </w:r>
      <w:r w:rsidR="001D11BE">
        <w:t>1112</w:t>
      </w:r>
      <w:r w:rsidRPr="001B4923">
        <w:t>, z późn. zm.</w:t>
      </w:r>
      <w:r>
        <w:t>, zwanej dalej „ustawą ooś”</w:t>
      </w:r>
      <w:r w:rsidRPr="001B4923">
        <w:t xml:space="preserve">), Regionalny Dyrektor Ochrony Środowiska w Warszawie podał w dniu </w:t>
      </w:r>
      <w:r>
        <w:t xml:space="preserve">****** </w:t>
      </w:r>
      <w:r w:rsidR="001D11BE">
        <w:t>2025</w:t>
      </w:r>
      <w:r w:rsidRPr="001B4923">
        <w:t xml:space="preserve"> r. do publicznej wiadomości informację o przystąpieniu do sporządzania projektu planu ochrony i o wyłożeniu w siedzibie Regionalnego Dyrektora Ochrony Środowiska w Warszawie założeń do sporządzanej dokumentacji poprzez:</w:t>
      </w:r>
    </w:p>
    <w:p w14:paraId="54D2D926" w14:textId="2F2AC01A" w:rsidR="00040A55" w:rsidRPr="001B4923" w:rsidRDefault="00040A55" w:rsidP="006A4A55">
      <w:pPr>
        <w:numPr>
          <w:ilvl w:val="0"/>
          <w:numId w:val="1"/>
        </w:numPr>
      </w:pPr>
      <w:r w:rsidRPr="001B4923">
        <w:t xml:space="preserve">wywieszenie obwieszczenia w siedzibie Regionalnego Dyrektora Ochrony Środowiska </w:t>
      </w:r>
      <w:r>
        <w:br/>
        <w:t xml:space="preserve">w Warszawie </w:t>
      </w:r>
      <w:r w:rsidRPr="001B4923">
        <w:t>i na stronach internetowych Regionalnej Dyrekcji Ochrony Środowiska w Warszawie;</w:t>
      </w:r>
    </w:p>
    <w:p w14:paraId="37E17566" w14:textId="77777777" w:rsidR="00040A55" w:rsidRPr="001B4923" w:rsidRDefault="00040A55" w:rsidP="006A4A55">
      <w:pPr>
        <w:numPr>
          <w:ilvl w:val="0"/>
          <w:numId w:val="1"/>
        </w:numPr>
      </w:pPr>
      <w:r w:rsidRPr="001B4923">
        <w:t xml:space="preserve">wywieszenie obwieszczenia w siedzibie Urzędu Gminy </w:t>
      </w:r>
      <w:r>
        <w:t>Łyse</w:t>
      </w:r>
      <w:r w:rsidRPr="001B4923">
        <w:t>;</w:t>
      </w:r>
    </w:p>
    <w:p w14:paraId="5F61A7CA" w14:textId="77777777" w:rsidR="00040A55" w:rsidRPr="001B4923" w:rsidRDefault="00040A55" w:rsidP="006A4A55">
      <w:pPr>
        <w:numPr>
          <w:ilvl w:val="0"/>
          <w:numId w:val="1"/>
        </w:numPr>
      </w:pPr>
      <w:r w:rsidRPr="001B4923">
        <w:t xml:space="preserve">umieszczenie obwieszczenia na łamach lokalnej gazety. </w:t>
      </w:r>
    </w:p>
    <w:p w14:paraId="406ED323" w14:textId="37C213F3" w:rsidR="00040A55" w:rsidRPr="001B4923" w:rsidRDefault="00040A55" w:rsidP="00F42147">
      <w:pPr>
        <w:spacing w:before="120"/>
      </w:pPr>
      <w:r w:rsidRPr="001B4923">
        <w:t xml:space="preserve">W ramach przeprowadzonego postępowania z udziałem społeczeństwa, w wyznaczonym 21 dniowym terminie na zapoznanie się z dokumentacją i wniesienie do niej uwag i wniosków, do Regionalnego Dyrektora Ochrony Środowiska w Warszawie </w:t>
      </w:r>
      <w:r w:rsidR="00F42147">
        <w:t>*******</w:t>
      </w:r>
      <w:r w:rsidRPr="001B4923">
        <w:t>.</w:t>
      </w:r>
    </w:p>
    <w:p w14:paraId="76A6CEFC" w14:textId="77777777" w:rsidR="00040A55" w:rsidRDefault="00040A55" w:rsidP="00751560">
      <w:pPr>
        <w:spacing w:before="120"/>
      </w:pPr>
      <w:r w:rsidRPr="001B4923">
        <w:t xml:space="preserve">Projekt planu ochrony został, zgodnie z art. 19 ust. 2 ustawy o ochronie przyrody, przesłany Radzie Gminy </w:t>
      </w:r>
      <w:r>
        <w:t>Łyse</w:t>
      </w:r>
      <w:r w:rsidRPr="001B4923">
        <w:t xml:space="preserve">, celem zaopiniowania. Rada Gminy </w:t>
      </w:r>
      <w:r>
        <w:t>Łyse</w:t>
      </w:r>
      <w:r w:rsidRPr="001B4923">
        <w:t xml:space="preserve"> </w:t>
      </w:r>
      <w:r>
        <w:t>******</w:t>
      </w:r>
      <w:r w:rsidRPr="001B4923">
        <w:t>.</w:t>
      </w:r>
    </w:p>
    <w:p w14:paraId="785FA19D" w14:textId="02C37212" w:rsidR="00040A55" w:rsidRDefault="00040A55" w:rsidP="00751560">
      <w:pPr>
        <w:spacing w:before="120"/>
      </w:pPr>
      <w:r>
        <w:t>Projekt zarządzenia został ***** przez Generalnego Dyrektora Ochrony Środowiska.</w:t>
      </w:r>
    </w:p>
    <w:p w14:paraId="07C7FED9" w14:textId="77777777" w:rsidR="00040A55" w:rsidRPr="001B4923" w:rsidRDefault="00040A55" w:rsidP="00751560">
      <w:pPr>
        <w:spacing w:before="120"/>
      </w:pPr>
      <w:r w:rsidRPr="001B4923">
        <w:t xml:space="preserve">Projekt zarządzenia został </w:t>
      </w:r>
      <w:r>
        <w:t>******</w:t>
      </w:r>
      <w:r w:rsidRPr="001B4923">
        <w:t xml:space="preserve"> przez Wojewodę Mazowieckiego.</w:t>
      </w:r>
    </w:p>
    <w:p w14:paraId="1E887339" w14:textId="77777777" w:rsidR="00040A55" w:rsidRPr="001B4923" w:rsidRDefault="00040A55" w:rsidP="001B4923">
      <w:pPr>
        <w:rPr>
          <w:rFonts w:eastAsia="Calibri"/>
        </w:rPr>
      </w:pPr>
    </w:p>
    <w:p w14:paraId="73B90182" w14:textId="77777777" w:rsidR="00040A55" w:rsidRPr="001B4923" w:rsidRDefault="00040A55" w:rsidP="001B4923">
      <w:pPr>
        <w:rPr>
          <w:rFonts w:eastAsia="Calibri"/>
        </w:rPr>
      </w:pPr>
    </w:p>
    <w:p w14:paraId="1B7BD416" w14:textId="77777777" w:rsidR="00040A55" w:rsidRDefault="00040A55" w:rsidP="001B4923">
      <w:pPr>
        <w:rPr>
          <w:rFonts w:eastAsia="Calibri"/>
        </w:rPr>
      </w:pPr>
    </w:p>
    <w:p w14:paraId="78840D35" w14:textId="77777777" w:rsidR="00040A55" w:rsidRDefault="00040A55" w:rsidP="001B4923">
      <w:pPr>
        <w:rPr>
          <w:rFonts w:eastAsia="Calibri"/>
        </w:rPr>
      </w:pPr>
    </w:p>
    <w:p w14:paraId="7CFB9373" w14:textId="77777777" w:rsidR="00040A55" w:rsidRDefault="00040A55" w:rsidP="001B4923">
      <w:pPr>
        <w:rPr>
          <w:rFonts w:eastAsia="Calibri"/>
        </w:rPr>
      </w:pPr>
    </w:p>
    <w:p w14:paraId="5A54A3E1" w14:textId="77777777" w:rsidR="00040A55" w:rsidRDefault="00040A55" w:rsidP="001B4923">
      <w:pPr>
        <w:rPr>
          <w:rFonts w:eastAsia="Calibri"/>
        </w:rPr>
      </w:pPr>
    </w:p>
    <w:p w14:paraId="7C1FC760" w14:textId="77777777" w:rsidR="00040A55" w:rsidRDefault="00040A55" w:rsidP="001B4923">
      <w:pPr>
        <w:rPr>
          <w:rFonts w:eastAsia="Calibri"/>
        </w:rPr>
      </w:pPr>
    </w:p>
    <w:p w14:paraId="6A30A981" w14:textId="77777777" w:rsidR="00040A55" w:rsidRDefault="00040A55" w:rsidP="001B4923">
      <w:pPr>
        <w:jc w:val="center"/>
        <w:rPr>
          <w:rFonts w:eastAsia="Calibri"/>
          <w:b/>
        </w:rPr>
      </w:pPr>
    </w:p>
    <w:p w14:paraId="67E3AEF9" w14:textId="77777777" w:rsidR="00040A55" w:rsidRDefault="00040A55" w:rsidP="001B4923">
      <w:pPr>
        <w:jc w:val="center"/>
        <w:rPr>
          <w:rFonts w:eastAsia="Calibri"/>
          <w:b/>
        </w:rPr>
      </w:pPr>
    </w:p>
    <w:p w14:paraId="24BC82FD" w14:textId="77777777" w:rsidR="00040A55" w:rsidRDefault="00040A55" w:rsidP="001B4923">
      <w:pPr>
        <w:jc w:val="center"/>
        <w:rPr>
          <w:rFonts w:eastAsia="Calibri"/>
          <w:b/>
        </w:rPr>
      </w:pPr>
    </w:p>
    <w:p w14:paraId="6EF9F967" w14:textId="77777777" w:rsidR="00040A55" w:rsidRDefault="00040A55" w:rsidP="001B4923">
      <w:pPr>
        <w:jc w:val="center"/>
        <w:rPr>
          <w:rFonts w:eastAsia="Calibri"/>
          <w:b/>
        </w:rPr>
      </w:pPr>
    </w:p>
    <w:p w14:paraId="06E1C7ED" w14:textId="77777777" w:rsidR="00040A55" w:rsidRDefault="00040A55" w:rsidP="001B4923">
      <w:pPr>
        <w:jc w:val="center"/>
        <w:rPr>
          <w:rFonts w:eastAsia="Calibri"/>
          <w:b/>
        </w:rPr>
      </w:pPr>
    </w:p>
    <w:p w14:paraId="1EBF8AF8" w14:textId="77777777" w:rsidR="00040A55" w:rsidRDefault="00040A55" w:rsidP="001B4923">
      <w:pPr>
        <w:jc w:val="center"/>
        <w:rPr>
          <w:rFonts w:eastAsia="Calibri"/>
          <w:b/>
        </w:rPr>
      </w:pPr>
    </w:p>
    <w:p w14:paraId="35430497" w14:textId="77777777" w:rsidR="00040A55" w:rsidRDefault="00040A55" w:rsidP="001B4923">
      <w:pPr>
        <w:jc w:val="center"/>
        <w:rPr>
          <w:rFonts w:eastAsia="Calibri"/>
          <w:b/>
        </w:rPr>
      </w:pPr>
    </w:p>
    <w:p w14:paraId="6713ED0B" w14:textId="77777777" w:rsidR="00040A55" w:rsidRDefault="00040A55" w:rsidP="001B4923">
      <w:pPr>
        <w:jc w:val="center"/>
        <w:rPr>
          <w:rFonts w:eastAsia="Calibri"/>
          <w:b/>
        </w:rPr>
      </w:pPr>
    </w:p>
    <w:p w14:paraId="0279B72F" w14:textId="77777777" w:rsidR="00040A55" w:rsidRDefault="00040A55" w:rsidP="001B4923">
      <w:pPr>
        <w:jc w:val="center"/>
        <w:rPr>
          <w:rFonts w:eastAsia="Calibri"/>
          <w:b/>
        </w:rPr>
      </w:pPr>
    </w:p>
    <w:p w14:paraId="1275470A" w14:textId="77777777" w:rsidR="00040A55" w:rsidRDefault="00040A55" w:rsidP="001B4923">
      <w:pPr>
        <w:jc w:val="center"/>
        <w:rPr>
          <w:rFonts w:eastAsia="Calibri"/>
          <w:b/>
        </w:rPr>
      </w:pPr>
    </w:p>
    <w:p w14:paraId="3833109E" w14:textId="77777777" w:rsidR="00040A55" w:rsidRDefault="00040A55" w:rsidP="001B4923">
      <w:pPr>
        <w:jc w:val="center"/>
        <w:rPr>
          <w:rFonts w:eastAsia="Calibri"/>
          <w:b/>
        </w:rPr>
      </w:pPr>
    </w:p>
    <w:p w14:paraId="1A1160E8" w14:textId="77777777" w:rsidR="00040A55" w:rsidRDefault="00040A55" w:rsidP="001B4923">
      <w:pPr>
        <w:jc w:val="center"/>
        <w:rPr>
          <w:rFonts w:eastAsia="Calibri"/>
          <w:b/>
        </w:rPr>
      </w:pPr>
    </w:p>
    <w:p w14:paraId="27BF6027" w14:textId="77777777" w:rsidR="00040A55" w:rsidRDefault="00040A55" w:rsidP="001B4923">
      <w:pPr>
        <w:jc w:val="center"/>
        <w:rPr>
          <w:rFonts w:eastAsia="Calibri"/>
          <w:b/>
        </w:rPr>
      </w:pPr>
    </w:p>
    <w:p w14:paraId="73D870A9" w14:textId="77777777" w:rsidR="00040A55" w:rsidRDefault="00040A55" w:rsidP="001B4923">
      <w:pPr>
        <w:jc w:val="center"/>
        <w:rPr>
          <w:rFonts w:eastAsia="Calibri"/>
          <w:b/>
        </w:rPr>
      </w:pPr>
    </w:p>
    <w:p w14:paraId="7F7B1B46" w14:textId="77777777" w:rsidR="00040A55" w:rsidRPr="002B0D40" w:rsidRDefault="00040A55" w:rsidP="001B4923">
      <w:pPr>
        <w:jc w:val="center"/>
        <w:rPr>
          <w:rFonts w:eastAsia="Calibri"/>
          <w:b/>
        </w:rPr>
      </w:pPr>
      <w:r w:rsidRPr="002B0D40">
        <w:rPr>
          <w:rFonts w:eastAsia="Calibri"/>
          <w:b/>
        </w:rPr>
        <w:lastRenderedPageBreak/>
        <w:t>Ocena Skutków Regulacji (OSR)</w:t>
      </w:r>
    </w:p>
    <w:p w14:paraId="30D25B05" w14:textId="77777777" w:rsidR="00040A55" w:rsidRPr="001B4923" w:rsidRDefault="00040A55" w:rsidP="001B4923">
      <w:pPr>
        <w:rPr>
          <w:rFonts w:eastAsia="Calibri"/>
        </w:rPr>
      </w:pPr>
    </w:p>
    <w:p w14:paraId="10FA9BC5" w14:textId="77777777" w:rsidR="00040A55" w:rsidRPr="001B4923" w:rsidRDefault="00040A55" w:rsidP="00040A55">
      <w:pPr>
        <w:numPr>
          <w:ilvl w:val="0"/>
          <w:numId w:val="2"/>
        </w:numPr>
        <w:ind w:left="714" w:hanging="357"/>
        <w:rPr>
          <w:rFonts w:eastAsia="Calibri"/>
        </w:rPr>
      </w:pPr>
      <w:r w:rsidRPr="001B4923">
        <w:rPr>
          <w:rFonts w:eastAsia="Calibri"/>
        </w:rPr>
        <w:t>Cel wprowadzenia zarządzenia.</w:t>
      </w:r>
    </w:p>
    <w:p w14:paraId="79369CF2" w14:textId="365AC30A" w:rsidR="00040A55" w:rsidRPr="001B4923" w:rsidRDefault="00040A55" w:rsidP="00926EA0">
      <w:pPr>
        <w:ind w:left="709"/>
        <w:rPr>
          <w:rFonts w:eastAsia="Calibri"/>
        </w:rPr>
      </w:pPr>
      <w:r w:rsidRPr="001B4923">
        <w:t xml:space="preserve">Celem wprowadzenia zarządzenia jest wypełnienie delegacji ustawowej zawartej w art. </w:t>
      </w:r>
      <w:r w:rsidR="003A4C6B">
        <w:t>28</w:t>
      </w:r>
      <w:r w:rsidRPr="001B4923">
        <w:t xml:space="preserve"> ust. </w:t>
      </w:r>
      <w:r w:rsidR="003A4C6B">
        <w:t>5</w:t>
      </w:r>
      <w:r w:rsidRPr="001B4923">
        <w:t xml:space="preserve"> ustawy </w:t>
      </w:r>
      <w:bookmarkStart w:id="0" w:name="_Hlk103768034"/>
      <w:r w:rsidRPr="001B4923">
        <w:t>o</w:t>
      </w:r>
      <w:r>
        <w:t> </w:t>
      </w:r>
      <w:r w:rsidRPr="001B4923">
        <w:t>ochronie przyrody.</w:t>
      </w:r>
      <w:bookmarkEnd w:id="0"/>
    </w:p>
    <w:p w14:paraId="3F2FDB96" w14:textId="77777777" w:rsidR="00040A55" w:rsidRPr="001B4923" w:rsidRDefault="00040A55" w:rsidP="00040A55">
      <w:pPr>
        <w:numPr>
          <w:ilvl w:val="0"/>
          <w:numId w:val="2"/>
        </w:numPr>
        <w:spacing w:before="120"/>
        <w:ind w:left="714" w:hanging="357"/>
        <w:rPr>
          <w:rFonts w:eastAsia="Calibri"/>
        </w:rPr>
      </w:pPr>
      <w:r w:rsidRPr="001B4923">
        <w:t>Podmioty, na które oddziałuje akt normatywny.</w:t>
      </w:r>
    </w:p>
    <w:p w14:paraId="2A07E415" w14:textId="77777777" w:rsidR="00040A55" w:rsidRPr="001B4923" w:rsidRDefault="00040A55" w:rsidP="002B0D40">
      <w:pPr>
        <w:ind w:firstLine="851"/>
      </w:pPr>
      <w:r w:rsidRPr="001B4923">
        <w:t>Projekt zarządzenia będzie oddziaływał:</w:t>
      </w:r>
    </w:p>
    <w:p w14:paraId="0BC5C443" w14:textId="77777777" w:rsidR="00040A55" w:rsidRPr="001B4923" w:rsidRDefault="00040A55" w:rsidP="00040A55">
      <w:pPr>
        <w:numPr>
          <w:ilvl w:val="0"/>
          <w:numId w:val="3"/>
        </w:numPr>
        <w:rPr>
          <w:rFonts w:eastAsia="Calibri"/>
        </w:rPr>
      </w:pPr>
      <w:r w:rsidRPr="001B4923">
        <w:rPr>
          <w:rFonts w:eastAsia="Calibri"/>
        </w:rPr>
        <w:t>jako powszechnie obowiązujący akt prawa miejscowego na wszystkie podmioty, które znajdują się lub znajdą w zasięgu terytorialnym objętym jego regulacją;</w:t>
      </w:r>
    </w:p>
    <w:p w14:paraId="3D06EE85" w14:textId="77777777" w:rsidR="00040A55" w:rsidRPr="001B4923" w:rsidRDefault="00040A55" w:rsidP="00040A55">
      <w:pPr>
        <w:numPr>
          <w:ilvl w:val="0"/>
          <w:numId w:val="3"/>
        </w:numPr>
        <w:rPr>
          <w:rFonts w:eastAsia="Calibri"/>
        </w:rPr>
      </w:pPr>
      <w:r w:rsidRPr="001B4923">
        <w:rPr>
          <w:rFonts w:eastAsia="Calibri"/>
        </w:rPr>
        <w:t xml:space="preserve">na Regionalnego Dyrektora Ochrony Środowiska w Warszawie. </w:t>
      </w:r>
    </w:p>
    <w:p w14:paraId="4DF9364A" w14:textId="77777777" w:rsidR="00040A55" w:rsidRPr="001B4923" w:rsidRDefault="00040A55" w:rsidP="00040A55">
      <w:pPr>
        <w:numPr>
          <w:ilvl w:val="0"/>
          <w:numId w:val="2"/>
        </w:numPr>
        <w:spacing w:before="120"/>
        <w:ind w:left="714" w:hanging="357"/>
        <w:rPr>
          <w:rFonts w:eastAsia="Calibri"/>
        </w:rPr>
      </w:pPr>
      <w:r w:rsidRPr="001B4923">
        <w:rPr>
          <w:rFonts w:eastAsia="Calibri"/>
        </w:rPr>
        <w:t>Konsultacje.</w:t>
      </w:r>
    </w:p>
    <w:p w14:paraId="6CA483C8" w14:textId="77777777" w:rsidR="00040A55" w:rsidRPr="001B4923" w:rsidRDefault="00040A55" w:rsidP="002B0D40">
      <w:pPr>
        <w:ind w:firstLine="709"/>
      </w:pPr>
      <w:r w:rsidRPr="001B4923">
        <w:t xml:space="preserve">Projekt zarządzenia, jako akt prawa miejscowego podlega: </w:t>
      </w:r>
    </w:p>
    <w:p w14:paraId="7E6073C2" w14:textId="2520ED85" w:rsidR="00040A55" w:rsidRPr="001B4923" w:rsidRDefault="00040A55" w:rsidP="00040A55">
      <w:pPr>
        <w:numPr>
          <w:ilvl w:val="0"/>
          <w:numId w:val="4"/>
        </w:numPr>
      </w:pPr>
      <w:r w:rsidRPr="001B4923">
        <w:t>na podstawie art. 59 ust. 2 ustawy z dnia 23 stycznia 2009 r. o wojewodzie i administracji rządowej w</w:t>
      </w:r>
      <w:r>
        <w:t> </w:t>
      </w:r>
      <w:r w:rsidRPr="001B4923">
        <w:t xml:space="preserve">województwie </w:t>
      </w:r>
      <w:bookmarkStart w:id="1" w:name="_Hlk103766016"/>
      <w:r w:rsidRPr="001B4923">
        <w:t>(</w:t>
      </w:r>
      <w:r>
        <w:t xml:space="preserve">t. j. </w:t>
      </w:r>
      <w:r w:rsidRPr="001B4923">
        <w:t xml:space="preserve">Dz. U. z </w:t>
      </w:r>
      <w:r w:rsidR="00F84633">
        <w:t>2025</w:t>
      </w:r>
      <w:r w:rsidRPr="001B4923">
        <w:t xml:space="preserve"> r. poz. </w:t>
      </w:r>
      <w:r w:rsidR="00F84633">
        <w:t>428</w:t>
      </w:r>
      <w:r w:rsidRPr="001B4923">
        <w:t xml:space="preserve">) </w:t>
      </w:r>
      <w:bookmarkEnd w:id="1"/>
      <w:r w:rsidRPr="001B4923">
        <w:t>uzgodnieniu z Wojewodą Mazowieckim;</w:t>
      </w:r>
    </w:p>
    <w:p w14:paraId="5545CD17" w14:textId="77777777" w:rsidR="00040A55" w:rsidRPr="001B4923" w:rsidRDefault="00040A55" w:rsidP="00040A55">
      <w:pPr>
        <w:numPr>
          <w:ilvl w:val="0"/>
          <w:numId w:val="4"/>
        </w:numPr>
      </w:pPr>
      <w:r w:rsidRPr="001B4923">
        <w:t>na podstawie art. 19 ust. 2 ustawy o ochronie przyrody zaopiniowaniu przez właściwą miejscowo radę gminy;</w:t>
      </w:r>
    </w:p>
    <w:p w14:paraId="71D9CFAF" w14:textId="4070630E" w:rsidR="00040A55" w:rsidRPr="001B4923" w:rsidRDefault="00040A55" w:rsidP="00040A55">
      <w:pPr>
        <w:numPr>
          <w:ilvl w:val="0"/>
          <w:numId w:val="4"/>
        </w:numPr>
      </w:pPr>
      <w:r w:rsidRPr="001B4923">
        <w:t>na podstawie art. 19 ust. 1 a ustawy o ochronie przyrody procedurze udziału społeczeństwa przewidzianej przez przepisy ustawy z dnia 3 października 2008</w:t>
      </w:r>
      <w:r>
        <w:t xml:space="preserve"> r. o udostępnianiu informacji </w:t>
      </w:r>
      <w:r>
        <w:br/>
      </w:r>
      <w:r w:rsidRPr="001B4923">
        <w:t xml:space="preserve">o środowisku i jego ochronie, udziale społeczeństwa w ochronie środowiska oraz o ocenach oddziaływania na środowisko </w:t>
      </w:r>
      <w:bookmarkStart w:id="2" w:name="_Hlk103766072"/>
      <w:r w:rsidRPr="001B4923">
        <w:t xml:space="preserve">(Dz.U. z </w:t>
      </w:r>
      <w:r w:rsidR="001D11BE">
        <w:t>2024</w:t>
      </w:r>
      <w:r w:rsidRPr="001B4923">
        <w:t xml:space="preserve"> r. poz. </w:t>
      </w:r>
      <w:r w:rsidR="001D11BE">
        <w:t>1112</w:t>
      </w:r>
      <w:r>
        <w:t>, z późn. zm.</w:t>
      </w:r>
      <w:r w:rsidRPr="001B4923">
        <w:t>).</w:t>
      </w:r>
      <w:bookmarkEnd w:id="2"/>
    </w:p>
    <w:p w14:paraId="4C014EBB" w14:textId="77777777" w:rsidR="00040A55" w:rsidRPr="001B4923" w:rsidRDefault="00040A55" w:rsidP="00040A55">
      <w:pPr>
        <w:numPr>
          <w:ilvl w:val="0"/>
          <w:numId w:val="2"/>
        </w:numPr>
        <w:spacing w:before="120"/>
        <w:ind w:left="714" w:hanging="357"/>
        <w:rPr>
          <w:rFonts w:eastAsia="Calibri"/>
        </w:rPr>
      </w:pPr>
      <w:r w:rsidRPr="001B4923">
        <w:rPr>
          <w:rFonts w:eastAsia="Calibri"/>
        </w:rPr>
        <w:t>Wpływ regulacji na sektor finansów publicznych, w tym budżet państwa i budżet jednostek samorządu terytorialnego.</w:t>
      </w:r>
    </w:p>
    <w:p w14:paraId="693633F9" w14:textId="77777777" w:rsidR="00040A55" w:rsidRPr="001B4923" w:rsidRDefault="00040A55" w:rsidP="00926EA0">
      <w:pPr>
        <w:ind w:left="709"/>
      </w:pPr>
      <w:r w:rsidRPr="001B4923">
        <w:t>Wejście w życie przedmiotowego zarządzenia pociągnie za sobą skutki finansowe w postaci wydatków  budżetu państwa w wysokości około 80 000 zł brutto.</w:t>
      </w:r>
      <w:r w:rsidRPr="001B4923">
        <w:rPr>
          <w:rFonts w:eastAsia="Calibri"/>
        </w:rPr>
        <w:t xml:space="preserve"> </w:t>
      </w:r>
    </w:p>
    <w:p w14:paraId="5F74C1B4" w14:textId="77777777" w:rsidR="00040A55" w:rsidRPr="001B4923" w:rsidRDefault="00040A55" w:rsidP="00040A55">
      <w:pPr>
        <w:numPr>
          <w:ilvl w:val="0"/>
          <w:numId w:val="2"/>
        </w:numPr>
        <w:spacing w:before="120"/>
        <w:ind w:left="714" w:hanging="357"/>
        <w:rPr>
          <w:rFonts w:eastAsia="Calibri"/>
        </w:rPr>
      </w:pPr>
      <w:r w:rsidRPr="001B4923">
        <w:rPr>
          <w:rFonts w:eastAsia="Calibri"/>
        </w:rPr>
        <w:t xml:space="preserve">Wpływ regulacji na rynek pracy.  </w:t>
      </w:r>
    </w:p>
    <w:p w14:paraId="1D3805F6" w14:textId="77777777" w:rsidR="00040A55" w:rsidRPr="001B4923" w:rsidRDefault="00040A55" w:rsidP="002B0D40">
      <w:pPr>
        <w:ind w:firstLine="851"/>
        <w:rPr>
          <w:rFonts w:eastAsia="Calibri"/>
        </w:rPr>
      </w:pPr>
      <w:r w:rsidRPr="001B4923">
        <w:rPr>
          <w:rFonts w:eastAsia="Calibri"/>
        </w:rPr>
        <w:t xml:space="preserve">Zapisy w projekcie zarządzenia nie będą miały wpływu na rynek pracy.   </w:t>
      </w:r>
    </w:p>
    <w:p w14:paraId="0949739B" w14:textId="77777777" w:rsidR="00040A55" w:rsidRPr="001B4923" w:rsidRDefault="00040A55" w:rsidP="00040A55">
      <w:pPr>
        <w:numPr>
          <w:ilvl w:val="0"/>
          <w:numId w:val="2"/>
        </w:numPr>
        <w:spacing w:before="120"/>
        <w:ind w:left="714" w:hanging="357"/>
        <w:rPr>
          <w:rFonts w:eastAsia="Calibri"/>
        </w:rPr>
      </w:pPr>
      <w:r w:rsidRPr="001B4923">
        <w:rPr>
          <w:rFonts w:eastAsia="Calibri"/>
        </w:rPr>
        <w:t>Wpływ regulacji na konkurencyjność gospodarki i przedsiębiorczości, w tym na funkcjonowanie przedsiębiorstw.</w:t>
      </w:r>
    </w:p>
    <w:p w14:paraId="61E4AE7D" w14:textId="5BB35655" w:rsidR="00040A55" w:rsidRPr="001B4923" w:rsidRDefault="00040A55" w:rsidP="00926EA0">
      <w:pPr>
        <w:ind w:left="709"/>
        <w:rPr>
          <w:rFonts w:eastAsia="Calibri"/>
        </w:rPr>
      </w:pPr>
      <w:r w:rsidRPr="00930ED9">
        <w:t xml:space="preserve">Wydanie niniejszego aktu prawnego stanowi sposób realizacji celów ochrony przyrody. Wprowadzenie jego regulacji wyeliminuje wątpliwości i niejasności w odniesieniu do prowadzonej w obiekcie ochrony przyrody, co z kolei usprawni opracowywanie dokumentacji i wydawanie decyzji w prowadzonych </w:t>
      </w:r>
      <w:r w:rsidR="003A4C6B">
        <w:br/>
      </w:r>
      <w:r w:rsidRPr="00930ED9">
        <w:t xml:space="preserve">w jego materii procedurach uzgodnieniowych. Spodziewać się również można, że przedmiotowy projekt przyczyni się do polepszenia warunków realizacji działań ochrony czynnej w związku z łatwiejszym dostępem do informacji dotyczących przedmiotów i celów podlegających ochronie. Proponowana regulacja nie będzie wywoływać skutków istotnych ze względu na konkurencyjność gospodarki </w:t>
      </w:r>
      <w:r w:rsidR="003A4C6B">
        <w:br/>
      </w:r>
      <w:r w:rsidRPr="00930ED9">
        <w:t>i przedsiębiorczość, funkcjonowanie przedsiębiorców oraz na rodzinę, obywateli i gospodarstwa domowe, a także na osoby starsze i osoby niepełnosprawne. Projektowana regulacja nie wpłynie na proces inwestycyjny z uwagi na fakt, iż nie wprowadza żadnych zmian w odniesieniu do granic obszaru.</w:t>
      </w:r>
    </w:p>
    <w:p w14:paraId="1D06DF8F" w14:textId="77777777" w:rsidR="00040A55" w:rsidRPr="001B4923" w:rsidRDefault="00040A55" w:rsidP="00040A55">
      <w:pPr>
        <w:numPr>
          <w:ilvl w:val="0"/>
          <w:numId w:val="2"/>
        </w:numPr>
        <w:spacing w:before="120"/>
        <w:ind w:left="714" w:hanging="357"/>
        <w:rPr>
          <w:rFonts w:eastAsia="Calibri"/>
        </w:rPr>
      </w:pPr>
      <w:r w:rsidRPr="001B4923">
        <w:rPr>
          <w:rFonts w:eastAsia="Calibri"/>
        </w:rPr>
        <w:t>Wpływ regulacji na sytuację i rozwój regionalny.</w:t>
      </w:r>
    </w:p>
    <w:p w14:paraId="2BBB24E0" w14:textId="77777777" w:rsidR="00040A55" w:rsidRPr="001B4923" w:rsidRDefault="00040A55" w:rsidP="002B0D40">
      <w:pPr>
        <w:ind w:firstLine="851"/>
        <w:rPr>
          <w:rFonts w:eastAsia="Calibri"/>
        </w:rPr>
      </w:pPr>
      <w:r w:rsidRPr="001B4923">
        <w:rPr>
          <w:rFonts w:eastAsia="Calibri"/>
        </w:rPr>
        <w:t>Projektowana regulacja nie ma wpływu na sytuację i rozwój regionalny.</w:t>
      </w:r>
    </w:p>
    <w:p w14:paraId="45827A7E" w14:textId="77777777" w:rsidR="00040A55" w:rsidRPr="001B4923" w:rsidRDefault="00040A55" w:rsidP="00040A55">
      <w:pPr>
        <w:numPr>
          <w:ilvl w:val="0"/>
          <w:numId w:val="2"/>
        </w:numPr>
        <w:spacing w:before="120"/>
        <w:ind w:left="714" w:hanging="357"/>
        <w:rPr>
          <w:rFonts w:eastAsia="Calibri"/>
        </w:rPr>
      </w:pPr>
      <w:r w:rsidRPr="001B4923">
        <w:rPr>
          <w:rFonts w:eastAsia="Calibri"/>
        </w:rPr>
        <w:t>Ocena pod względem zgodności z prawem Unii Europejskiej.</w:t>
      </w:r>
    </w:p>
    <w:p w14:paraId="39A21ACD" w14:textId="1F2D68C6" w:rsidR="00040A55" w:rsidRPr="001B4923" w:rsidRDefault="00040A55" w:rsidP="00926EA0">
      <w:pPr>
        <w:ind w:left="709"/>
      </w:pPr>
      <w:bookmarkStart w:id="3" w:name="_Hlk189194507"/>
      <w:r w:rsidRPr="001B4923">
        <w:t xml:space="preserve">Regulacja przedmiotowego zarządzenia jest objęta prawem UE. </w:t>
      </w:r>
      <w:r w:rsidRPr="00930ED9">
        <w:t>Zarządzenie swym zakresem obejmuje: Obszar Natura 2000 Torfowisko Serafin PLH140057</w:t>
      </w:r>
      <w:r w:rsidR="003A4C6B">
        <w:t xml:space="preserve"> ustanowiony</w:t>
      </w:r>
      <w:r w:rsidR="003A4C6B" w:rsidRPr="001B4923">
        <w:t xml:space="preserve"> </w:t>
      </w:r>
      <w:r w:rsidR="003A4C6B">
        <w:t>rozporządzeniem</w:t>
      </w:r>
      <w:r w:rsidR="003A4C6B" w:rsidRPr="001B4923">
        <w:t xml:space="preserve"> </w:t>
      </w:r>
      <w:r w:rsidR="003A4C6B">
        <w:t xml:space="preserve">Ministra Klimatu </w:t>
      </w:r>
      <w:r w:rsidR="003A4C6B">
        <w:br/>
        <w:t>i Środowiska z dnia 7 września 2023</w:t>
      </w:r>
      <w:r w:rsidR="003A4C6B" w:rsidRPr="001B4923">
        <w:t xml:space="preserve"> r. </w:t>
      </w:r>
      <w:r w:rsidR="003A4C6B" w:rsidRPr="00F94A97">
        <w:t>w sprawie specjalnego obszaru ochrony siedlisk Torfowisko Serafin (PLH140057)</w:t>
      </w:r>
      <w:r w:rsidR="003A4C6B">
        <w:t xml:space="preserve"> (Dz. U. poz. 2162)</w:t>
      </w:r>
      <w:r w:rsidRPr="00930ED9">
        <w:t>. Projekt zarządzenia jest zgodny z prawem Unii Europejskiej.</w:t>
      </w:r>
    </w:p>
    <w:bookmarkEnd w:id="3"/>
    <w:p w14:paraId="1AEAFAF3" w14:textId="77777777" w:rsidR="00040A55" w:rsidRDefault="00040A55">
      <w:pPr>
        <w:spacing w:before="120" w:after="120"/>
        <w:ind w:left="283" w:firstLine="227"/>
        <w:jc w:val="center"/>
        <w:rPr>
          <w:color w:val="000000"/>
          <w:sz w:val="22"/>
          <w:u w:color="000000"/>
        </w:rPr>
      </w:pPr>
    </w:p>
    <w:p w14:paraId="0D29A5EB" w14:textId="77777777" w:rsidR="00040A55" w:rsidRDefault="00040A55">
      <w:pPr>
        <w:spacing w:before="120" w:after="120"/>
        <w:ind w:firstLine="227"/>
        <w:jc w:val="center"/>
        <w:rPr>
          <w:color w:val="000000"/>
          <w:u w:color="000000"/>
        </w:rPr>
      </w:pPr>
    </w:p>
    <w:p w14:paraId="15CFA2C8" w14:textId="77777777" w:rsidR="00A77B3E" w:rsidRDefault="00A77B3E">
      <w:pPr>
        <w:spacing w:before="120" w:after="120"/>
        <w:ind w:firstLine="227"/>
        <w:jc w:val="center"/>
        <w:rPr>
          <w:color w:val="000000"/>
          <w:u w:color="000000"/>
        </w:rPr>
      </w:pPr>
    </w:p>
    <w:sectPr w:rsidR="00A77B3E">
      <w:footerReference w:type="default" r:id="rId15"/>
      <w:endnotePr>
        <w:numFmt w:val="decimal"/>
      </w:endnotePr>
      <w:pgSz w:w="11906" w:h="16838"/>
      <w:pgMar w:top="567" w:right="567" w:bottom="567" w:left="56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0E9E" w14:textId="77777777" w:rsidR="00DA3F66" w:rsidRDefault="00DA3F66">
      <w:r>
        <w:separator/>
      </w:r>
    </w:p>
  </w:endnote>
  <w:endnote w:type="continuationSeparator" w:id="0">
    <w:p w14:paraId="4F54C5DF" w14:textId="77777777" w:rsidR="00DA3F66" w:rsidRDefault="00DA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325"/>
      <w:gridCol w:w="3663"/>
    </w:tblGrid>
    <w:tr w:rsidR="00CF1ED3" w:rsidRPr="008542BE" w14:paraId="23B6A7CD" w14:textId="77777777">
      <w:tc>
        <w:tcPr>
          <w:tcW w:w="718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7FC9647" w14:textId="77777777" w:rsidR="00CF1ED3" w:rsidRPr="0088213B" w:rsidRDefault="00FF641A">
          <w:pPr>
            <w:jc w:val="left"/>
            <w:rPr>
              <w:sz w:val="18"/>
              <w:lang w:val="en-GB"/>
            </w:rPr>
          </w:pPr>
          <w:r w:rsidRPr="0088213B">
            <w:rPr>
              <w:sz w:val="18"/>
              <w:lang w:val="en-GB"/>
            </w:rPr>
            <w:t>Id: C3ABE5B0-7647-45BA-A59F-4F0A93D312C5</w:t>
          </w:r>
        </w:p>
      </w:tc>
      <w:tc>
        <w:tcPr>
          <w:tcW w:w="359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01DD664" w14:textId="77777777" w:rsidR="00CF1ED3" w:rsidRPr="0088213B" w:rsidRDefault="00CF1ED3">
          <w:pPr>
            <w:jc w:val="right"/>
            <w:rPr>
              <w:sz w:val="18"/>
              <w:lang w:val="en-GB"/>
            </w:rPr>
          </w:pPr>
        </w:p>
      </w:tc>
    </w:tr>
  </w:tbl>
  <w:p w14:paraId="31502569" w14:textId="77777777" w:rsidR="00CF1ED3" w:rsidRPr="0088213B" w:rsidRDefault="00CF1ED3">
    <w:pPr>
      <w:rPr>
        <w:sz w:val="18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325"/>
      <w:gridCol w:w="3663"/>
    </w:tblGrid>
    <w:tr w:rsidR="00CF1ED3" w:rsidRPr="008542BE" w14:paraId="3B152E4D" w14:textId="77777777">
      <w:tc>
        <w:tcPr>
          <w:tcW w:w="718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00ACD91" w14:textId="77777777" w:rsidR="00CF1ED3" w:rsidRPr="0088213B" w:rsidRDefault="00FF641A">
          <w:pPr>
            <w:jc w:val="left"/>
            <w:rPr>
              <w:sz w:val="18"/>
              <w:lang w:val="en-GB"/>
            </w:rPr>
          </w:pPr>
          <w:r w:rsidRPr="0088213B">
            <w:rPr>
              <w:sz w:val="18"/>
              <w:lang w:val="en-GB"/>
            </w:rPr>
            <w:t>Id: C3ABE5B0-7647-45BA-A59F-4F0A93D312C5</w:t>
          </w:r>
        </w:p>
      </w:tc>
      <w:tc>
        <w:tcPr>
          <w:tcW w:w="359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97CFD7B" w14:textId="77777777" w:rsidR="00CF1ED3" w:rsidRPr="0088213B" w:rsidRDefault="00CF1ED3">
          <w:pPr>
            <w:jc w:val="right"/>
            <w:rPr>
              <w:sz w:val="18"/>
              <w:lang w:val="en-GB"/>
            </w:rPr>
          </w:pPr>
        </w:p>
      </w:tc>
    </w:tr>
  </w:tbl>
  <w:p w14:paraId="369E18EA" w14:textId="77777777" w:rsidR="00CF1ED3" w:rsidRPr="0088213B" w:rsidRDefault="00CF1ED3">
    <w:pPr>
      <w:rPr>
        <w:sz w:val="18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325"/>
      <w:gridCol w:w="3663"/>
    </w:tblGrid>
    <w:tr w:rsidR="00CF1ED3" w:rsidRPr="008542BE" w14:paraId="263FF916" w14:textId="77777777">
      <w:tc>
        <w:tcPr>
          <w:tcW w:w="718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7E86A80" w14:textId="77777777" w:rsidR="00CF1ED3" w:rsidRPr="0088213B" w:rsidRDefault="00FF641A">
          <w:pPr>
            <w:jc w:val="left"/>
            <w:rPr>
              <w:sz w:val="18"/>
              <w:lang w:val="en-GB"/>
            </w:rPr>
          </w:pPr>
          <w:r w:rsidRPr="0088213B">
            <w:rPr>
              <w:sz w:val="18"/>
              <w:lang w:val="en-GB"/>
            </w:rPr>
            <w:t>Id: C3ABE5B0-7647-45BA-A59F-4F0A93D312C5</w:t>
          </w:r>
        </w:p>
      </w:tc>
      <w:tc>
        <w:tcPr>
          <w:tcW w:w="359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A4A7A3B" w14:textId="77777777" w:rsidR="00CF1ED3" w:rsidRPr="0088213B" w:rsidRDefault="00CF1ED3">
          <w:pPr>
            <w:jc w:val="right"/>
            <w:rPr>
              <w:sz w:val="18"/>
              <w:lang w:val="en-GB"/>
            </w:rPr>
          </w:pPr>
        </w:p>
      </w:tc>
    </w:tr>
  </w:tbl>
  <w:p w14:paraId="7F4377B0" w14:textId="77777777" w:rsidR="00CF1ED3" w:rsidRPr="0088213B" w:rsidRDefault="00CF1ED3">
    <w:pPr>
      <w:rPr>
        <w:sz w:val="18"/>
        <w:lang w:val="en-GB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434"/>
      <w:gridCol w:w="3554"/>
    </w:tblGrid>
    <w:tr w:rsidR="00CF1ED3" w:rsidRPr="008542BE" w14:paraId="408D436D" w14:textId="77777777">
      <w:tc>
        <w:tcPr>
          <w:tcW w:w="1046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2236077" w14:textId="77777777" w:rsidR="00CF1ED3" w:rsidRPr="0088213B" w:rsidRDefault="00FF641A">
          <w:pPr>
            <w:jc w:val="left"/>
            <w:rPr>
              <w:sz w:val="18"/>
              <w:lang w:val="en-GB"/>
            </w:rPr>
          </w:pPr>
          <w:r w:rsidRPr="0088213B">
            <w:rPr>
              <w:sz w:val="18"/>
              <w:lang w:val="en-GB"/>
            </w:rPr>
            <w:t>Id: C3ABE5B0-7647-45BA-A59F-4F0A93D312C5</w:t>
          </w:r>
        </w:p>
      </w:tc>
      <w:tc>
        <w:tcPr>
          <w:tcW w:w="5235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2389A89" w14:textId="77777777" w:rsidR="00CF1ED3" w:rsidRPr="0088213B" w:rsidRDefault="00CF1ED3">
          <w:pPr>
            <w:jc w:val="right"/>
            <w:rPr>
              <w:sz w:val="18"/>
              <w:lang w:val="en-GB"/>
            </w:rPr>
          </w:pPr>
        </w:p>
      </w:tc>
    </w:tr>
  </w:tbl>
  <w:p w14:paraId="06607548" w14:textId="77777777" w:rsidR="00CF1ED3" w:rsidRPr="0088213B" w:rsidRDefault="00CF1ED3">
    <w:pPr>
      <w:rPr>
        <w:sz w:val="18"/>
        <w:lang w:val="en-GB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325"/>
      <w:gridCol w:w="3663"/>
    </w:tblGrid>
    <w:tr w:rsidR="00CF1ED3" w:rsidRPr="008542BE" w14:paraId="435878B6" w14:textId="77777777">
      <w:tc>
        <w:tcPr>
          <w:tcW w:w="718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37211D9" w14:textId="77777777" w:rsidR="00CF1ED3" w:rsidRPr="0088213B" w:rsidRDefault="00FF641A">
          <w:pPr>
            <w:jc w:val="left"/>
            <w:rPr>
              <w:sz w:val="18"/>
              <w:lang w:val="en-GB"/>
            </w:rPr>
          </w:pPr>
          <w:r w:rsidRPr="0088213B">
            <w:rPr>
              <w:sz w:val="18"/>
              <w:lang w:val="en-GB"/>
            </w:rPr>
            <w:t>Id: C3ABE5B0-7647-45BA-A59F-4F0A93D312C5</w:t>
          </w:r>
        </w:p>
      </w:tc>
      <w:tc>
        <w:tcPr>
          <w:tcW w:w="359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A239D5A" w14:textId="77777777" w:rsidR="00CF1ED3" w:rsidRPr="0088213B" w:rsidRDefault="00CF1ED3">
          <w:pPr>
            <w:jc w:val="right"/>
            <w:rPr>
              <w:sz w:val="18"/>
              <w:lang w:val="en-GB"/>
            </w:rPr>
          </w:pPr>
        </w:p>
      </w:tc>
    </w:tr>
  </w:tbl>
  <w:p w14:paraId="341BB110" w14:textId="77777777" w:rsidR="00CF1ED3" w:rsidRPr="0088213B" w:rsidRDefault="00CF1ED3">
    <w:pPr>
      <w:rPr>
        <w:sz w:val="18"/>
        <w:lang w:val="en-GB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434"/>
      <w:gridCol w:w="3554"/>
    </w:tblGrid>
    <w:tr w:rsidR="00CF1ED3" w:rsidRPr="008542BE" w14:paraId="614BAAC5" w14:textId="77777777">
      <w:tc>
        <w:tcPr>
          <w:tcW w:w="1046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DE4CF4C" w14:textId="77777777" w:rsidR="00CF1ED3" w:rsidRPr="0088213B" w:rsidRDefault="00FF641A">
          <w:pPr>
            <w:jc w:val="left"/>
            <w:rPr>
              <w:sz w:val="18"/>
              <w:lang w:val="en-GB"/>
            </w:rPr>
          </w:pPr>
          <w:r w:rsidRPr="0088213B">
            <w:rPr>
              <w:sz w:val="18"/>
              <w:lang w:val="en-GB"/>
            </w:rPr>
            <w:t>Id: C3ABE5B0-7647-45BA-A59F-4F0A93D312C5</w:t>
          </w:r>
        </w:p>
      </w:tc>
      <w:tc>
        <w:tcPr>
          <w:tcW w:w="5235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DF168BA" w14:textId="77777777" w:rsidR="00CF1ED3" w:rsidRPr="0088213B" w:rsidRDefault="00CF1ED3">
          <w:pPr>
            <w:jc w:val="right"/>
            <w:rPr>
              <w:sz w:val="18"/>
              <w:lang w:val="en-GB"/>
            </w:rPr>
          </w:pPr>
        </w:p>
      </w:tc>
    </w:tr>
  </w:tbl>
  <w:p w14:paraId="2EE32381" w14:textId="77777777" w:rsidR="00CF1ED3" w:rsidRPr="0088213B" w:rsidRDefault="00CF1ED3">
    <w:pPr>
      <w:rPr>
        <w:sz w:val="18"/>
        <w:lang w:val="en-GB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325"/>
      <w:gridCol w:w="3663"/>
    </w:tblGrid>
    <w:tr w:rsidR="00CF1ED3" w:rsidRPr="008542BE" w14:paraId="24CAFAF0" w14:textId="77777777">
      <w:tc>
        <w:tcPr>
          <w:tcW w:w="718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A1F2478" w14:textId="77777777" w:rsidR="00CF1ED3" w:rsidRPr="0088213B" w:rsidRDefault="00FF641A">
          <w:pPr>
            <w:jc w:val="left"/>
            <w:rPr>
              <w:sz w:val="18"/>
              <w:lang w:val="en-GB"/>
            </w:rPr>
          </w:pPr>
          <w:r w:rsidRPr="0088213B">
            <w:rPr>
              <w:sz w:val="18"/>
              <w:lang w:val="en-GB"/>
            </w:rPr>
            <w:t>Id: C3ABE5B0-7647-45BA-A59F-4F0A93D312C5</w:t>
          </w:r>
        </w:p>
      </w:tc>
      <w:tc>
        <w:tcPr>
          <w:tcW w:w="359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7C6E84E" w14:textId="77777777" w:rsidR="00CF1ED3" w:rsidRPr="0088213B" w:rsidRDefault="00CF1ED3">
          <w:pPr>
            <w:jc w:val="right"/>
            <w:rPr>
              <w:sz w:val="18"/>
              <w:lang w:val="en-GB"/>
            </w:rPr>
          </w:pPr>
        </w:p>
      </w:tc>
    </w:tr>
  </w:tbl>
  <w:p w14:paraId="1A0993BE" w14:textId="77777777" w:rsidR="00CF1ED3" w:rsidRPr="0088213B" w:rsidRDefault="00CF1ED3">
    <w:pPr>
      <w:rPr>
        <w:sz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9A80D" w14:textId="77777777" w:rsidR="00DA3F66" w:rsidRDefault="00DA3F66">
      <w:r>
        <w:separator/>
      </w:r>
    </w:p>
  </w:footnote>
  <w:footnote w:type="continuationSeparator" w:id="0">
    <w:p w14:paraId="24EFC789" w14:textId="77777777" w:rsidR="00DA3F66" w:rsidRDefault="00DA3F66">
      <w:r>
        <w:continuationSeparator/>
      </w:r>
    </w:p>
  </w:footnote>
  <w:footnote w:id="1">
    <w:p w14:paraId="71AFF972" w14:textId="61444291" w:rsidR="0088213B" w:rsidRDefault="0088213B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>Układ współrzędnych płaskich prostokątnych PL-1992 jest jednym z układów tworzących państwowy system odniesień przestrzennych, o którym mowa w przepisach wydanych na podstawie art. 3 ust. 5 ustawy z dnia 17 maja 1989 r. - Prawo geodezyjne i kartograficzne (Dz. U. z </w:t>
      </w:r>
      <w:r w:rsidR="009E3E98">
        <w:t>2024</w:t>
      </w:r>
      <w:r>
        <w:t> r. poz. </w:t>
      </w:r>
      <w:r w:rsidR="009E3E98">
        <w:t>1151 i 1824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C5EE9"/>
    <w:multiLevelType w:val="hybridMultilevel"/>
    <w:tmpl w:val="F7C01C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CB"/>
    <w:multiLevelType w:val="hybridMultilevel"/>
    <w:tmpl w:val="4D60C542"/>
    <w:lvl w:ilvl="0" w:tplc="C596A2EA">
      <w:start w:val="1"/>
      <w:numFmt w:val="ordin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97016"/>
    <w:multiLevelType w:val="hybridMultilevel"/>
    <w:tmpl w:val="11DA3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D4719"/>
    <w:multiLevelType w:val="hybridMultilevel"/>
    <w:tmpl w:val="B7ACC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56775">
    <w:abstractNumId w:val="2"/>
  </w:num>
  <w:num w:numId="2" w16cid:durableId="1573079066">
    <w:abstractNumId w:val="1"/>
  </w:num>
  <w:num w:numId="3" w16cid:durableId="802845565">
    <w:abstractNumId w:val="3"/>
  </w:num>
  <w:num w:numId="4" w16cid:durableId="81114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3C86"/>
    <w:rsid w:val="00040A55"/>
    <w:rsid w:val="000E56DA"/>
    <w:rsid w:val="00127759"/>
    <w:rsid w:val="00137C4C"/>
    <w:rsid w:val="00143405"/>
    <w:rsid w:val="001B5A5C"/>
    <w:rsid w:val="001D11BE"/>
    <w:rsid w:val="00217022"/>
    <w:rsid w:val="00303923"/>
    <w:rsid w:val="003141E7"/>
    <w:rsid w:val="00347B0A"/>
    <w:rsid w:val="003A4C6B"/>
    <w:rsid w:val="003B3740"/>
    <w:rsid w:val="00575B98"/>
    <w:rsid w:val="00591F84"/>
    <w:rsid w:val="005B1986"/>
    <w:rsid w:val="006F603A"/>
    <w:rsid w:val="00760D76"/>
    <w:rsid w:val="007A09B0"/>
    <w:rsid w:val="007A1B0E"/>
    <w:rsid w:val="007D2ECC"/>
    <w:rsid w:val="008466D8"/>
    <w:rsid w:val="008542BE"/>
    <w:rsid w:val="0088213B"/>
    <w:rsid w:val="008B7817"/>
    <w:rsid w:val="009201F0"/>
    <w:rsid w:val="00941211"/>
    <w:rsid w:val="00943D11"/>
    <w:rsid w:val="009E3E98"/>
    <w:rsid w:val="009F7F11"/>
    <w:rsid w:val="00A2276B"/>
    <w:rsid w:val="00A472B7"/>
    <w:rsid w:val="00A77B3E"/>
    <w:rsid w:val="00A95391"/>
    <w:rsid w:val="00B17E26"/>
    <w:rsid w:val="00B930CA"/>
    <w:rsid w:val="00C82A67"/>
    <w:rsid w:val="00C972FD"/>
    <w:rsid w:val="00CA2A55"/>
    <w:rsid w:val="00CA52C3"/>
    <w:rsid w:val="00CF1ED3"/>
    <w:rsid w:val="00DA3F66"/>
    <w:rsid w:val="00DC3BC1"/>
    <w:rsid w:val="00E22E9D"/>
    <w:rsid w:val="00E301DC"/>
    <w:rsid w:val="00E455F7"/>
    <w:rsid w:val="00F243D6"/>
    <w:rsid w:val="00F42147"/>
    <w:rsid w:val="00F84633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FD49F"/>
  <w15:docId w15:val="{ABAC14D3-8EEA-463E-B94C-C639C86B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Tekstdymka">
    <w:name w:val="Balloon Text"/>
    <w:basedOn w:val="Normalny"/>
    <w:link w:val="TekstdymkaZnak"/>
    <w:rsid w:val="008821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8213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C3BC1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8pt">
    <w:name w:val="Body text (2) + 8 pt"/>
    <w:basedOn w:val="Domylnaczcionkaakapitu"/>
    <w:rsid w:val="00DC3BC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72526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19</Pages>
  <Words>6941</Words>
  <Characters>41647</Characters>
  <Application>Microsoft Office Word</Application>
  <DocSecurity>0</DocSecurity>
  <Lines>347</Lines>
  <Paragraphs>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Regionalny Dyrektor Ochrony Środowiska w Warszawie</Company>
  <LinksUpToDate>false</LinksUpToDate>
  <CharactersWithSpaces>48492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w sprawie ustanowienia planu zadań ochronnych dla obszaru Natura 2000^Torfowisko Serafin PLH140057</dc:subject>
  <dc:creator>arkadiusz.zakrzewski</dc:creator>
  <cp:lastModifiedBy>Arkadiusz Zakrzewski</cp:lastModifiedBy>
  <cp:revision>24</cp:revision>
  <dcterms:created xsi:type="dcterms:W3CDTF">2024-05-28T10:34:00Z</dcterms:created>
  <dcterms:modified xsi:type="dcterms:W3CDTF">2025-10-06T11:40:00Z</dcterms:modified>
  <cp:category>Akt prawny</cp:category>
</cp:coreProperties>
</file>