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0BBD" w14:textId="1BB201F5" w:rsidR="005D1F5C" w:rsidRPr="005D1F5C" w:rsidRDefault="0033428A" w:rsidP="00E44459">
      <w:pPr>
        <w:pStyle w:val="Nagwek1"/>
        <w:spacing w:line="360" w:lineRule="auto"/>
        <w:ind w:left="1417" w:hanging="1417"/>
        <w:jc w:val="both"/>
        <w:rPr>
          <w:rFonts w:asciiTheme="minorHAnsi" w:hAnsiTheme="minorHAnsi" w:cstheme="minorHAnsi"/>
          <w:sz w:val="24"/>
        </w:rPr>
      </w:pPr>
      <w:r w:rsidRPr="005D1F5C">
        <w:rPr>
          <w:rFonts w:asciiTheme="minorHAnsi" w:hAnsiTheme="minorHAnsi" w:cstheme="minorHAnsi"/>
          <w:sz w:val="24"/>
        </w:rPr>
        <w:t xml:space="preserve">Kielce, </w:t>
      </w:r>
      <w:r w:rsidR="005D1F5C" w:rsidRPr="005D1F5C">
        <w:rPr>
          <w:rFonts w:asciiTheme="minorHAnsi" w:hAnsiTheme="minorHAnsi" w:cstheme="minorHAnsi"/>
          <w:sz w:val="24"/>
        </w:rPr>
        <w:t xml:space="preserve">dnia </w:t>
      </w:r>
      <w:r w:rsidR="00BA4C19">
        <w:rPr>
          <w:rFonts w:asciiTheme="minorHAnsi" w:hAnsiTheme="minorHAnsi" w:cstheme="minorHAnsi"/>
          <w:sz w:val="24"/>
        </w:rPr>
        <w:t>06 lutego</w:t>
      </w:r>
      <w:r w:rsidR="004F36AB" w:rsidRPr="004F36AB">
        <w:rPr>
          <w:rFonts w:asciiTheme="minorHAnsi" w:hAnsiTheme="minorHAnsi" w:cstheme="minorHAnsi"/>
          <w:sz w:val="24"/>
        </w:rPr>
        <w:t xml:space="preserve"> 202</w:t>
      </w:r>
      <w:r w:rsidR="00941E8B">
        <w:rPr>
          <w:rFonts w:asciiTheme="minorHAnsi" w:hAnsiTheme="minorHAnsi" w:cstheme="minorHAnsi"/>
          <w:sz w:val="24"/>
        </w:rPr>
        <w:t>5</w:t>
      </w:r>
      <w:r w:rsidR="004F36AB" w:rsidRPr="004F36AB">
        <w:rPr>
          <w:rFonts w:asciiTheme="minorHAnsi" w:hAnsiTheme="minorHAnsi" w:cstheme="minorHAnsi"/>
          <w:sz w:val="24"/>
        </w:rPr>
        <w:t xml:space="preserve"> r.</w:t>
      </w:r>
    </w:p>
    <w:p w14:paraId="4F6E1A7D" w14:textId="59D242F0" w:rsidR="005D1F5C" w:rsidRPr="005D1F5C" w:rsidRDefault="00264618" w:rsidP="00E44459">
      <w:pPr>
        <w:spacing w:after="0" w:line="360" w:lineRule="auto"/>
        <w:jc w:val="both"/>
        <w:rPr>
          <w:rFonts w:cstheme="minorHAnsi"/>
          <w:sz w:val="24"/>
          <w:szCs w:val="24"/>
        </w:rPr>
      </w:pPr>
      <w:r>
        <w:rPr>
          <w:rFonts w:cstheme="minorHAnsi"/>
          <w:sz w:val="24"/>
          <w:szCs w:val="24"/>
        </w:rPr>
        <w:t>WOO-I.420.</w:t>
      </w:r>
      <w:r w:rsidR="008673C4">
        <w:rPr>
          <w:rFonts w:cstheme="minorHAnsi"/>
          <w:sz w:val="24"/>
          <w:szCs w:val="24"/>
        </w:rPr>
        <w:t>11.</w:t>
      </w:r>
      <w:r>
        <w:rPr>
          <w:rFonts w:cstheme="minorHAnsi"/>
          <w:sz w:val="24"/>
          <w:szCs w:val="24"/>
        </w:rPr>
        <w:t>202</w:t>
      </w:r>
      <w:r w:rsidR="008673C4">
        <w:rPr>
          <w:rFonts w:cstheme="minorHAnsi"/>
          <w:sz w:val="24"/>
          <w:szCs w:val="24"/>
        </w:rPr>
        <w:t>4</w:t>
      </w:r>
      <w:r>
        <w:rPr>
          <w:rFonts w:cstheme="minorHAnsi"/>
          <w:sz w:val="24"/>
          <w:szCs w:val="24"/>
        </w:rPr>
        <w:t>.SK.</w:t>
      </w:r>
      <w:r w:rsidR="00BA4C19">
        <w:rPr>
          <w:rFonts w:cstheme="minorHAnsi"/>
          <w:sz w:val="24"/>
          <w:szCs w:val="24"/>
        </w:rPr>
        <w:t>23</w:t>
      </w:r>
      <w:r w:rsidR="005D1F5C" w:rsidRPr="005D1F5C">
        <w:rPr>
          <w:rFonts w:cstheme="minorHAnsi"/>
          <w:sz w:val="24"/>
          <w:szCs w:val="24"/>
        </w:rPr>
        <w:t xml:space="preserve">               </w:t>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t xml:space="preserve"> </w:t>
      </w:r>
    </w:p>
    <w:p w14:paraId="4DFB1C87" w14:textId="77777777" w:rsidR="005D1F5C" w:rsidRPr="005D1F5C" w:rsidRDefault="005D1F5C" w:rsidP="00E44459">
      <w:pPr>
        <w:spacing w:after="0" w:line="360" w:lineRule="auto"/>
        <w:jc w:val="both"/>
        <w:rPr>
          <w:rFonts w:cstheme="minorHAnsi"/>
          <w:b/>
          <w:sz w:val="24"/>
          <w:szCs w:val="24"/>
        </w:rPr>
      </w:pPr>
      <w:r w:rsidRPr="005D1F5C">
        <w:rPr>
          <w:rFonts w:cstheme="minorHAnsi"/>
          <w:b/>
          <w:sz w:val="24"/>
          <w:szCs w:val="24"/>
        </w:rPr>
        <w:t>OBWIESZCZENIE</w:t>
      </w:r>
    </w:p>
    <w:p w14:paraId="1374F193"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Zgodnie z art. 36 i art. 49 oraz art. 106 § 2 ustawy z dnia 14 czerwca 1960 r. - Kodeks postępowania administracyjnego (tekst jedn. Dz. U. z 2024 r., poz. 572 – cyt. dalej jako „k.p.a.”), w związku z art. 74 ust. 3 oraz art. 75 ust. 1 pkt 1 lit. j, art. 77 ust. 1 pkt 4 ustawy z dnia 3 października 2008 r. o udostępnianiu informacji o środowisku i jego ochronie, udziale społeczeństwa w ochronie środowiska oraz o ocenach oddziaływania na środowisko (tekst jedn. Dz. U. z 2024 r. poz. 1112 ze zm.– cyt. dalej jako „UUOŚ”)</w:t>
      </w:r>
    </w:p>
    <w:p w14:paraId="0C42BC1A"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Regionalny Dyrektor Ochrony Środowiska w Kielcach</w:t>
      </w:r>
    </w:p>
    <w:p w14:paraId="0EC8511E"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zawiadamia strony postępowania, że w związku z  prowadzonym postępowaniem na wniosek Saint-Gobain Construction Products Polska sp. z o.o., ul. Okrężna 16, 44-100 Gliwice, adres do korespondencji: Szarbków 73, 28-400 Pińczów działającej za pośrednictwem Pełnomocnika Pani Anety Jarosz, w sprawie wydania decyzji o środowiskowych uwarunkowaniach dla przedsięwzięcia polegającego na </w:t>
      </w:r>
    </w:p>
    <w:p w14:paraId="6E02DEB7"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kontynuacji eksploatacji złoża gipsów mioceńskich „Borków-Chwałowice” (przy zwiększonej wielkości wydobycia do 900 000 Mg rocznie oraz zmianie granic obszaru i terenu górniczego), zlokalizowanego na terenie gminy Pińczów i gminy Chmielnik, woj. świętokrzyskie,</w:t>
      </w:r>
    </w:p>
    <w:p w14:paraId="155B7F7C"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w dniu 06.02.2025 r. pismem znak: WOO-I.420.11.2024.SK.25 wystąpił do Dyrektora Regionalnego Zarządu Gospodarki Wodnej w Krakowie Państwowego Gospodarstwa Wodnego Wody Polskie o uzgodnienie warunków realizacji przedsięwzięcia. Jednocześnie informuję, że w dniu 20.01.2025 r. Pełnomocnik Inwestora złożył uzupełnienie raportu o oddziaływaniu na środowisko ww. przedsięwzięcia. Mając na względzie powyższe, jak również konieczność przeprowadzenia procedury udziału społeczeństwa, zapewnienia stronom udziału na każdym etapie postępowania oraz informowania stron w drodze obwieszczeń przedłużam termin załatwienia sprawy do dnia 04.06.2025 r. Jednocześnie informuję o prawie do wniesienia ponaglenia zgodnie z art. 37 k.p.a.</w:t>
      </w:r>
    </w:p>
    <w:p w14:paraId="723672DD"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Informuję, że w myśl art. 49 k.p.a., zawiadomienie stron postępowania o czynnościach następuje w formie publicznego obwieszczenia. Zawiadomienie uważa się za dokonane po </w:t>
      </w:r>
      <w:r w:rsidRPr="00BA4C19">
        <w:rPr>
          <w:rFonts w:cstheme="minorHAnsi"/>
          <w:sz w:val="24"/>
          <w:szCs w:val="24"/>
        </w:rPr>
        <w:lastRenderedPageBreak/>
        <w:t>upływie 14 dni od dnia, w którym nastąpiło publiczne obwieszczenie. Wskazuje się dzień 10.02.2025 r. jako dzień, w którym nastąpiło publiczne obwieszczenie.</w:t>
      </w:r>
    </w:p>
    <w:p w14:paraId="2DE178AE"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Informuję,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(41)3435361 lub (41)3435363).</w:t>
      </w:r>
    </w:p>
    <w:p w14:paraId="3DDF705F"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Iwona Kędzierska - Gębska </w:t>
      </w:r>
    </w:p>
    <w:p w14:paraId="3FE6B917"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Regionalny Dyrektor Ochrony Środowiska </w:t>
      </w:r>
    </w:p>
    <w:p w14:paraId="11577343"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w Kielcach </w:t>
      </w:r>
    </w:p>
    <w:p w14:paraId="62ED84E4"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/-podpisany cyfrowo/</w:t>
      </w:r>
    </w:p>
    <w:p w14:paraId="4D0FF778"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Obwieszczenie nastąpiło w dniach: od………………….do…………………</w:t>
      </w:r>
    </w:p>
    <w:p w14:paraId="78958BDC"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Sprawę prowadzi: Klaudia Siadul</w:t>
      </w:r>
    </w:p>
    <w:p w14:paraId="1C236BE3"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Telefon kontaktowy: (41)3435361 lub (41)3435363</w:t>
      </w:r>
    </w:p>
    <w:p w14:paraId="15EEABC6"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Otrzymują: </w:t>
      </w:r>
    </w:p>
    <w:p w14:paraId="00408946"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1. Saint-Gobain Construction Products Polska sp. z o.o. za pośrednictwem Pełnomocnika Pani Anety Jarosz - doręczenie zgodnie z Art. 393 § 1 k.p.a.</w:t>
      </w:r>
    </w:p>
    <w:p w14:paraId="46DEFAB3"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2. Pozostałe strony poprzez obwieszczenie: </w:t>
      </w:r>
    </w:p>
    <w:p w14:paraId="73448EAD" w14:textId="5F49B6BD" w:rsidR="00BA4C19" w:rsidRPr="00BA4C19" w:rsidRDefault="00BA4C19" w:rsidP="00BA4C19">
      <w:pPr>
        <w:pStyle w:val="Akapitzlist"/>
        <w:numPr>
          <w:ilvl w:val="0"/>
          <w:numId w:val="29"/>
        </w:numPr>
        <w:spacing w:after="0" w:line="360" w:lineRule="auto"/>
        <w:jc w:val="both"/>
        <w:rPr>
          <w:rFonts w:cstheme="minorHAnsi"/>
          <w:sz w:val="24"/>
          <w:szCs w:val="24"/>
        </w:rPr>
      </w:pPr>
      <w:r w:rsidRPr="00BA4C19">
        <w:rPr>
          <w:rFonts w:cstheme="minorHAnsi"/>
          <w:sz w:val="24"/>
          <w:szCs w:val="24"/>
        </w:rPr>
        <w:t xml:space="preserve">wywieszone na tablicy ogłoszeń w siedzibie Regionalnej Dyrekcji Ochrony Środowiska w Kielcach, </w:t>
      </w:r>
    </w:p>
    <w:p w14:paraId="28226F6C" w14:textId="210246D0" w:rsidR="00BA4C19" w:rsidRPr="00BA4C19" w:rsidRDefault="00BA4C19" w:rsidP="00BA4C19">
      <w:pPr>
        <w:pStyle w:val="Akapitzlist"/>
        <w:numPr>
          <w:ilvl w:val="0"/>
          <w:numId w:val="29"/>
        </w:numPr>
        <w:spacing w:after="0" w:line="360" w:lineRule="auto"/>
        <w:jc w:val="both"/>
        <w:rPr>
          <w:rFonts w:cstheme="minorHAnsi"/>
          <w:sz w:val="24"/>
          <w:szCs w:val="24"/>
        </w:rPr>
      </w:pPr>
      <w:r w:rsidRPr="00BA4C19">
        <w:rPr>
          <w:rFonts w:cstheme="minorHAnsi"/>
          <w:sz w:val="24"/>
          <w:szCs w:val="24"/>
        </w:rPr>
        <w:t xml:space="preserve">udostępnione w Biuletynie Informacji Publicznej Regionalnej Dyrekcji Ochrony Środowiska w Kielcach, </w:t>
      </w:r>
    </w:p>
    <w:p w14:paraId="4C193D5A" w14:textId="537A7D2B" w:rsidR="00BA4C19" w:rsidRPr="00BA4C19" w:rsidRDefault="00BA4C19" w:rsidP="00BA4C19">
      <w:pPr>
        <w:pStyle w:val="Akapitzlist"/>
        <w:numPr>
          <w:ilvl w:val="0"/>
          <w:numId w:val="29"/>
        </w:numPr>
        <w:spacing w:after="0" w:line="360" w:lineRule="auto"/>
        <w:jc w:val="both"/>
        <w:rPr>
          <w:rFonts w:cstheme="minorHAnsi"/>
          <w:sz w:val="24"/>
          <w:szCs w:val="24"/>
        </w:rPr>
      </w:pPr>
      <w:r w:rsidRPr="00BA4C19">
        <w:rPr>
          <w:rFonts w:cstheme="minorHAnsi"/>
          <w:sz w:val="24"/>
          <w:szCs w:val="24"/>
        </w:rPr>
        <w:t xml:space="preserve">udostępnione za pośrednictwem Burmistrza Miasta i Gminy Pińczów w Biuletynie Informacji Publicznej lub publiczne ogłoszenie dokonane w sposób zwyczajowo przyjęty w danej miejscowości – zgodnie z art. 74 ust. 3aa UUOŚ, </w:t>
      </w:r>
    </w:p>
    <w:p w14:paraId="7F538B98" w14:textId="0D97C36F" w:rsidR="00BA4C19" w:rsidRPr="00BA4C19" w:rsidRDefault="00BA4C19" w:rsidP="00BA4C19">
      <w:pPr>
        <w:pStyle w:val="Akapitzlist"/>
        <w:numPr>
          <w:ilvl w:val="0"/>
          <w:numId w:val="29"/>
        </w:numPr>
        <w:spacing w:after="0" w:line="360" w:lineRule="auto"/>
        <w:jc w:val="both"/>
        <w:rPr>
          <w:rFonts w:cstheme="minorHAnsi"/>
          <w:sz w:val="24"/>
          <w:szCs w:val="24"/>
        </w:rPr>
      </w:pPr>
      <w:r w:rsidRPr="00BA4C19">
        <w:rPr>
          <w:rFonts w:cstheme="minorHAnsi"/>
          <w:sz w:val="24"/>
          <w:szCs w:val="24"/>
        </w:rPr>
        <w:t xml:space="preserve">udostępnione za pośrednictwem Burmistrza Miasta i Gminy Chmielnik w Biuletynie Informacji Publicznej lub publiczne ogłoszenie dokonane w sposób zwyczajowo przyjęty w danej miejscowości – zgodnie z art. 74 ust. 3aa UUOŚ, </w:t>
      </w:r>
    </w:p>
    <w:p w14:paraId="431F479F" w14:textId="065F25D1" w:rsidR="00BA4C19" w:rsidRPr="00BA4C19" w:rsidRDefault="00BA4C19" w:rsidP="00BA4C19">
      <w:pPr>
        <w:pStyle w:val="Akapitzlist"/>
        <w:numPr>
          <w:ilvl w:val="0"/>
          <w:numId w:val="29"/>
        </w:numPr>
        <w:spacing w:after="0" w:line="360" w:lineRule="auto"/>
        <w:jc w:val="both"/>
        <w:rPr>
          <w:rFonts w:cstheme="minorHAnsi"/>
          <w:sz w:val="24"/>
          <w:szCs w:val="24"/>
        </w:rPr>
      </w:pPr>
      <w:r w:rsidRPr="00BA4C19">
        <w:rPr>
          <w:rFonts w:cstheme="minorHAnsi"/>
          <w:sz w:val="24"/>
          <w:szCs w:val="24"/>
        </w:rPr>
        <w:lastRenderedPageBreak/>
        <w:t xml:space="preserve">udostępnione za pośrednictwem Burmistrza Miasta i Gminy Busko-Zdrój w Biuletynie Informacji Publicznej lub publiczne ogłoszenie dokonane w sposób zwyczajowo przyjęty w danej miejscowości – zgodnie z art. 74 ust. 3aa UUOŚ, </w:t>
      </w:r>
    </w:p>
    <w:p w14:paraId="220B6CEA" w14:textId="5DA0964B" w:rsidR="00BA4C19" w:rsidRPr="00BA4C19" w:rsidRDefault="00BA4C19" w:rsidP="00BA4C19">
      <w:pPr>
        <w:pStyle w:val="Akapitzlist"/>
        <w:numPr>
          <w:ilvl w:val="0"/>
          <w:numId w:val="29"/>
        </w:numPr>
        <w:spacing w:after="0" w:line="360" w:lineRule="auto"/>
        <w:jc w:val="both"/>
        <w:rPr>
          <w:rFonts w:cstheme="minorHAnsi"/>
          <w:sz w:val="24"/>
          <w:szCs w:val="24"/>
        </w:rPr>
      </w:pPr>
      <w:r w:rsidRPr="00BA4C19">
        <w:rPr>
          <w:rFonts w:cstheme="minorHAnsi"/>
          <w:sz w:val="24"/>
          <w:szCs w:val="24"/>
        </w:rPr>
        <w:t xml:space="preserve">udostępnione za pośrednictwem Wójta Gminy Kije w Biuletynie Informacji Publicznej lub publiczne ogłoszenie dokonane w sposób zwyczajowo przyjęty w danej miejscowości – zgodnie z art. 74 ust. 3aa UUOŚ. </w:t>
      </w:r>
    </w:p>
    <w:p w14:paraId="2B5E11CB"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3. aa </w:t>
      </w:r>
    </w:p>
    <w:p w14:paraId="130C06FB" w14:textId="77777777" w:rsidR="00BA4C19" w:rsidRPr="00BA4C19" w:rsidRDefault="00BA4C19" w:rsidP="00BA4C19">
      <w:pPr>
        <w:spacing w:after="0" w:line="360" w:lineRule="auto"/>
        <w:jc w:val="both"/>
        <w:rPr>
          <w:rFonts w:cstheme="minorHAnsi"/>
          <w:sz w:val="24"/>
          <w:szCs w:val="24"/>
        </w:rPr>
      </w:pPr>
    </w:p>
    <w:p w14:paraId="4F747CDC"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42E6EE2C"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Art. 36 § 1 k.p.a. „O każdym przypadku niezałatwienia sprawy w terminie organ administracji publicznej jest obowiązany zawiadomić strony, podając przyczyny zwłoki, wskazując nowy termin załatwienia sprawy</w:t>
      </w:r>
    </w:p>
    <w:p w14:paraId="304BD731"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oraz pouczając o prawie do wniesienia ponaglenia”.</w:t>
      </w:r>
    </w:p>
    <w:p w14:paraId="688B3808"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Art. 36 § 2 k.p.a. „Ten sam obowiązek ciąży na organie administracji publicznej również w przypadku zwłoki</w:t>
      </w:r>
    </w:p>
    <w:p w14:paraId="3FF184D1"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w załatwieniu sprawy z przyczyn niezależnych od organu”.</w:t>
      </w:r>
    </w:p>
    <w:p w14:paraId="2F810DB5"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Art. 37 § 1 k.p.a. „Stronie służy prawo do wniesienia ponaglenia, jeżeli:</w:t>
      </w:r>
    </w:p>
    <w:p w14:paraId="04F7B30C"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1) nie załatwiono sprawy w terminie określonym w art. 35 lub przepisach szczególnych ani w terminie</w:t>
      </w:r>
    </w:p>
    <w:p w14:paraId="2D9C821E"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wskazanym zgodnie z art. 36 § 1 (bezczynność).</w:t>
      </w:r>
    </w:p>
    <w:p w14:paraId="6838798F"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Art. 393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599C59C9"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w:t>
      </w:r>
      <w:r w:rsidRPr="00BA4C19">
        <w:rPr>
          <w:rFonts w:cstheme="minorHAnsi"/>
          <w:sz w:val="24"/>
          <w:szCs w:val="24"/>
        </w:rPr>
        <w:lastRenderedPageBreak/>
        <w:t xml:space="preserve">miejscowości lub przez udostępnienie pisma w Biuletynie Informacji Publicznej na stronie podmiotowej właściwego organu administracji publicznej”. </w:t>
      </w:r>
    </w:p>
    <w:p w14:paraId="5E2D5101" w14:textId="77777777" w:rsidR="00BA4C19" w:rsidRPr="00BA4C19" w:rsidRDefault="00BA4C19" w:rsidP="00BA4C19">
      <w:pPr>
        <w:spacing w:after="0" w:line="360" w:lineRule="auto"/>
        <w:jc w:val="both"/>
        <w:rPr>
          <w:rFonts w:cstheme="minorHAnsi"/>
          <w:sz w:val="24"/>
          <w:szCs w:val="24"/>
        </w:rPr>
      </w:pPr>
      <w:r w:rsidRPr="00BA4C19">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721EEFBD" w14:textId="0B897D2A" w:rsidR="00BA4C19" w:rsidRDefault="00BA4C19" w:rsidP="00BA4C19">
      <w:pPr>
        <w:spacing w:after="0" w:line="360" w:lineRule="auto"/>
        <w:jc w:val="both"/>
        <w:rPr>
          <w:rFonts w:cstheme="minorHAnsi"/>
          <w:sz w:val="24"/>
          <w:szCs w:val="24"/>
        </w:rPr>
      </w:pPr>
      <w:r w:rsidRPr="00BA4C19">
        <w:rPr>
          <w:rFonts w:cstheme="minorHAnsi"/>
          <w:sz w:val="24"/>
          <w:szCs w:val="24"/>
        </w:rPr>
        <w:t>Art. 106 § 2 k.p.a. „Organ załatwiający sprawę, zwracając się do innego organu o zajęcie stanowiska, zawiadamia o tym stronę.”</w:t>
      </w:r>
    </w:p>
    <w:sectPr w:rsidR="00BA4C19"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B94F" w14:textId="77777777" w:rsidR="00AF3E52" w:rsidRDefault="00AF3E52" w:rsidP="00263043">
      <w:pPr>
        <w:spacing w:after="0" w:line="240" w:lineRule="auto"/>
      </w:pPr>
      <w:r>
        <w:separator/>
      </w:r>
    </w:p>
  </w:endnote>
  <w:endnote w:type="continuationSeparator" w:id="0">
    <w:p w14:paraId="215F28E1" w14:textId="77777777" w:rsidR="00AF3E52" w:rsidRDefault="00AF3E52"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4B70" w14:textId="77777777" w:rsidR="00AF3E52" w:rsidRDefault="00AF3E52" w:rsidP="00263043">
      <w:pPr>
        <w:spacing w:after="0" w:line="240" w:lineRule="auto"/>
      </w:pPr>
      <w:r>
        <w:separator/>
      </w:r>
    </w:p>
  </w:footnote>
  <w:footnote w:type="continuationSeparator" w:id="0">
    <w:p w14:paraId="70D1C9A8" w14:textId="77777777" w:rsidR="00AF3E52" w:rsidRDefault="00AF3E52"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8" name="Obraz 8"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0B1734"/>
    <w:multiLevelType w:val="hybridMultilevel"/>
    <w:tmpl w:val="A76444EA"/>
    <w:lvl w:ilvl="0" w:tplc="2570C222">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790DED"/>
    <w:multiLevelType w:val="hybridMultilevel"/>
    <w:tmpl w:val="02E2DC08"/>
    <w:lvl w:ilvl="0" w:tplc="2570C222">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0858531">
    <w:abstractNumId w:val="1"/>
  </w:num>
  <w:num w:numId="2" w16cid:durableId="362940796">
    <w:abstractNumId w:val="26"/>
  </w:num>
  <w:num w:numId="3" w16cid:durableId="552087064">
    <w:abstractNumId w:val="7"/>
  </w:num>
  <w:num w:numId="4" w16cid:durableId="1445686538">
    <w:abstractNumId w:val="9"/>
  </w:num>
  <w:num w:numId="5" w16cid:durableId="811672862">
    <w:abstractNumId w:val="12"/>
  </w:num>
  <w:num w:numId="6" w16cid:durableId="1493907644">
    <w:abstractNumId w:val="14"/>
  </w:num>
  <w:num w:numId="7" w16cid:durableId="49038634">
    <w:abstractNumId w:val="19"/>
  </w:num>
  <w:num w:numId="8" w16cid:durableId="1432967803">
    <w:abstractNumId w:val="10"/>
  </w:num>
  <w:num w:numId="9" w16cid:durableId="1166239526">
    <w:abstractNumId w:val="6"/>
  </w:num>
  <w:num w:numId="10" w16cid:durableId="275018998">
    <w:abstractNumId w:val="17"/>
  </w:num>
  <w:num w:numId="11" w16cid:durableId="1989239173">
    <w:abstractNumId w:val="0"/>
  </w:num>
  <w:num w:numId="12" w16cid:durableId="1131174663">
    <w:abstractNumId w:val="18"/>
  </w:num>
  <w:num w:numId="13" w16cid:durableId="786000414">
    <w:abstractNumId w:val="3"/>
  </w:num>
  <w:num w:numId="14" w16cid:durableId="1611204665">
    <w:abstractNumId w:val="4"/>
  </w:num>
  <w:num w:numId="15" w16cid:durableId="2110881017">
    <w:abstractNumId w:val="13"/>
  </w:num>
  <w:num w:numId="16" w16cid:durableId="773593892">
    <w:abstractNumId w:val="23"/>
  </w:num>
  <w:num w:numId="17" w16cid:durableId="368845863">
    <w:abstractNumId w:val="21"/>
  </w:num>
  <w:num w:numId="18" w16cid:durableId="370149602">
    <w:abstractNumId w:val="11"/>
  </w:num>
  <w:num w:numId="19" w16cid:durableId="1191408383">
    <w:abstractNumId w:val="15"/>
  </w:num>
  <w:num w:numId="20" w16cid:durableId="389578570">
    <w:abstractNumId w:val="22"/>
  </w:num>
  <w:num w:numId="21" w16cid:durableId="1419717017">
    <w:abstractNumId w:val="8"/>
  </w:num>
  <w:num w:numId="22" w16cid:durableId="546187262">
    <w:abstractNumId w:val="20"/>
  </w:num>
  <w:num w:numId="23" w16cid:durableId="2095399351">
    <w:abstractNumId w:val="16"/>
  </w:num>
  <w:num w:numId="24" w16cid:durableId="1683700552">
    <w:abstractNumId w:val="2"/>
  </w:num>
  <w:num w:numId="25" w16cid:durableId="11416486">
    <w:abstractNumId w:val="27"/>
  </w:num>
  <w:num w:numId="26" w16cid:durableId="821889903">
    <w:abstractNumId w:val="5"/>
  </w:num>
  <w:num w:numId="27" w16cid:durableId="17756346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307910">
    <w:abstractNumId w:val="28"/>
  </w:num>
  <w:num w:numId="29" w16cid:durableId="3375370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25B67"/>
    <w:rsid w:val="000301A4"/>
    <w:rsid w:val="000307AE"/>
    <w:rsid w:val="000337A0"/>
    <w:rsid w:val="00035D00"/>
    <w:rsid w:val="000371F7"/>
    <w:rsid w:val="000403F8"/>
    <w:rsid w:val="0004178A"/>
    <w:rsid w:val="00041C9B"/>
    <w:rsid w:val="00046A05"/>
    <w:rsid w:val="00046B29"/>
    <w:rsid w:val="000556E7"/>
    <w:rsid w:val="00055D84"/>
    <w:rsid w:val="000601CF"/>
    <w:rsid w:val="000618FD"/>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59ED"/>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54A0E"/>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1F31B6"/>
    <w:rsid w:val="00202794"/>
    <w:rsid w:val="00215C5A"/>
    <w:rsid w:val="0023477A"/>
    <w:rsid w:val="0024518F"/>
    <w:rsid w:val="00247287"/>
    <w:rsid w:val="00247937"/>
    <w:rsid w:val="00260622"/>
    <w:rsid w:val="00261A4B"/>
    <w:rsid w:val="00261E4B"/>
    <w:rsid w:val="00263043"/>
    <w:rsid w:val="002644DC"/>
    <w:rsid w:val="00264618"/>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0F2A"/>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34D45"/>
    <w:rsid w:val="00435FB1"/>
    <w:rsid w:val="00445E2A"/>
    <w:rsid w:val="004460D7"/>
    <w:rsid w:val="00450363"/>
    <w:rsid w:val="00452259"/>
    <w:rsid w:val="0045317C"/>
    <w:rsid w:val="00454936"/>
    <w:rsid w:val="00465A3B"/>
    <w:rsid w:val="004668BC"/>
    <w:rsid w:val="00472CAA"/>
    <w:rsid w:val="00474948"/>
    <w:rsid w:val="00490BCD"/>
    <w:rsid w:val="00491406"/>
    <w:rsid w:val="00491F94"/>
    <w:rsid w:val="00492A0E"/>
    <w:rsid w:val="0049585C"/>
    <w:rsid w:val="004A4D60"/>
    <w:rsid w:val="004A79B2"/>
    <w:rsid w:val="004C0EF7"/>
    <w:rsid w:val="004C4BEC"/>
    <w:rsid w:val="004C60D2"/>
    <w:rsid w:val="004C7C92"/>
    <w:rsid w:val="004D2C9B"/>
    <w:rsid w:val="004F2411"/>
    <w:rsid w:val="004F36AB"/>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D1F5C"/>
    <w:rsid w:val="005F231C"/>
    <w:rsid w:val="005F275C"/>
    <w:rsid w:val="005F45F3"/>
    <w:rsid w:val="005F4DB4"/>
    <w:rsid w:val="005F7138"/>
    <w:rsid w:val="00605756"/>
    <w:rsid w:val="0062797F"/>
    <w:rsid w:val="0063371E"/>
    <w:rsid w:val="00633C6F"/>
    <w:rsid w:val="0063551A"/>
    <w:rsid w:val="00636326"/>
    <w:rsid w:val="006432BA"/>
    <w:rsid w:val="0064396E"/>
    <w:rsid w:val="00644F5A"/>
    <w:rsid w:val="0064534E"/>
    <w:rsid w:val="006564F1"/>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24BC"/>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673C4"/>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1E8B"/>
    <w:rsid w:val="009465B1"/>
    <w:rsid w:val="0095138A"/>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3E52"/>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4C19"/>
    <w:rsid w:val="00BA6106"/>
    <w:rsid w:val="00BC0F96"/>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56D8"/>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44459"/>
    <w:rsid w:val="00E514D2"/>
    <w:rsid w:val="00E5360F"/>
    <w:rsid w:val="00E56774"/>
    <w:rsid w:val="00E579DA"/>
    <w:rsid w:val="00E67C56"/>
    <w:rsid w:val="00E67C92"/>
    <w:rsid w:val="00E70EBC"/>
    <w:rsid w:val="00E839CE"/>
    <w:rsid w:val="00E85099"/>
    <w:rsid w:val="00E8602B"/>
    <w:rsid w:val="00E96269"/>
    <w:rsid w:val="00E9725A"/>
    <w:rsid w:val="00EA4546"/>
    <w:rsid w:val="00EA4ACE"/>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51B5B"/>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C7955"/>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4390-FA24-4752-BEDE-7D394C5B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960</Words>
  <Characters>5763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14</cp:revision>
  <cp:lastPrinted>2023-10-17T11:15:00Z</cp:lastPrinted>
  <dcterms:created xsi:type="dcterms:W3CDTF">2023-10-17T12:58:00Z</dcterms:created>
  <dcterms:modified xsi:type="dcterms:W3CDTF">2025-02-06T14:24:00Z</dcterms:modified>
</cp:coreProperties>
</file>