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694D681C"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160005">
        <w:rPr>
          <w:rFonts w:ascii="Arial" w:hAnsi="Arial" w:cs="Arial"/>
          <w:bCs/>
          <w:i/>
          <w:iCs/>
          <w:sz w:val="20"/>
          <w:szCs w:val="20"/>
        </w:rPr>
        <w:t>7</w:t>
      </w:r>
      <w:r w:rsidRPr="005D65B3">
        <w:rPr>
          <w:rFonts w:ascii="Arial" w:hAnsi="Arial" w:cs="Arial"/>
          <w:bCs/>
          <w:i/>
          <w:iCs/>
          <w:sz w:val="20"/>
          <w:szCs w:val="20"/>
        </w:rPr>
        <w:t>/2</w:t>
      </w:r>
      <w:r w:rsidR="00160005">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7917BCB3"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160005">
        <w:rPr>
          <w:rFonts w:ascii="Arial" w:hAnsi="Arial" w:cs="Arial"/>
          <w:sz w:val="20"/>
          <w:szCs w:val="20"/>
        </w:rPr>
        <w:t xml:space="preserve"> </w:t>
      </w:r>
      <w:r w:rsidR="00160005" w:rsidRPr="00DF6796">
        <w:rPr>
          <w:rFonts w:ascii="Arial" w:hAnsi="Arial" w:cs="Arial"/>
          <w:sz w:val="20"/>
          <w:szCs w:val="20"/>
        </w:rPr>
        <w:t>działający w imieniu własnym oraz na rzecz i w imieniu …….,będącym/ch</w:t>
      </w:r>
      <w:r w:rsidR="00160005" w:rsidRPr="00C044AA">
        <w:rPr>
          <w:rFonts w:ascii="Arial" w:hAnsi="Arial" w:cs="Arial"/>
          <w:sz w:val="20"/>
          <w:szCs w:val="20"/>
        </w:rPr>
        <w:t xml:space="preserve"> </w:t>
      </w:r>
      <w:r w:rsidR="00160005">
        <w:rPr>
          <w:rFonts w:ascii="Arial" w:hAnsi="Arial" w:cs="Arial"/>
          <w:sz w:val="20"/>
          <w:szCs w:val="20"/>
        </w:rPr>
        <w:t>K</w:t>
      </w:r>
      <w:r w:rsidR="00160005" w:rsidRPr="000E56A5">
        <w:rPr>
          <w:rFonts w:ascii="Arial" w:hAnsi="Arial" w:cs="Arial"/>
          <w:sz w:val="20"/>
          <w:szCs w:val="20"/>
        </w:rPr>
        <w:t>onso</w:t>
      </w:r>
      <w:r w:rsidR="00160005" w:rsidRPr="006311A7">
        <w:rPr>
          <w:rFonts w:ascii="Arial" w:hAnsi="Arial" w:cs="Arial"/>
          <w:sz w:val="20"/>
          <w:szCs w:val="20"/>
        </w:rPr>
        <w:t xml:space="preserve">rcjantem/ </w:t>
      </w:r>
      <w:r w:rsidR="00160005">
        <w:rPr>
          <w:rFonts w:ascii="Arial" w:hAnsi="Arial" w:cs="Arial"/>
          <w:sz w:val="20"/>
          <w:szCs w:val="20"/>
        </w:rPr>
        <w:t>K</w:t>
      </w:r>
      <w:r w:rsidR="00160005" w:rsidRPr="006311A7">
        <w:rPr>
          <w:rFonts w:ascii="Arial" w:hAnsi="Arial" w:cs="Arial"/>
          <w:sz w:val="20"/>
          <w:szCs w:val="20"/>
        </w:rPr>
        <w:t>onsorcjantami</w:t>
      </w:r>
      <w:r w:rsidR="00160005">
        <w:rPr>
          <w:rFonts w:ascii="Arial" w:hAnsi="Arial" w:cs="Arial"/>
          <w:sz w:val="20"/>
          <w:szCs w:val="20"/>
        </w:rPr>
        <w:t>,</w:t>
      </w:r>
      <w:r w:rsidR="00160005" w:rsidRPr="005D65B3">
        <w:rPr>
          <w:rFonts w:ascii="Arial" w:hAnsi="Arial" w:cs="Arial"/>
          <w:sz w:val="20"/>
          <w:szCs w:val="20"/>
        </w:rPr>
        <w:t xml:space="preserve"> </w:t>
      </w:r>
      <w:r w:rsidR="00EC26A6" w:rsidRPr="005D65B3">
        <w:rPr>
          <w:rFonts w:ascii="Arial" w:hAnsi="Arial" w:cs="Arial"/>
          <w:sz w:val="20"/>
          <w:szCs w:val="20"/>
        </w:rPr>
        <w:t xml:space="preserve"> </w:t>
      </w:r>
    </w:p>
    <w:p w14:paraId="5FA709EB" w14:textId="784CD82C"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02656FF2"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38354B">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160005">
        <w:rPr>
          <w:rFonts w:ascii="Arial" w:hAnsi="Arial" w:cs="Arial"/>
          <w:sz w:val="20"/>
          <w:szCs w:val="20"/>
          <w:lang w:eastAsia="pl-PL"/>
        </w:rPr>
        <w:t xml:space="preserve"> zatwierdzone</w:t>
      </w:r>
      <w:r w:rsidRPr="006C1E18">
        <w:rPr>
          <w:rFonts w:ascii="Arial" w:hAnsi="Arial" w:cs="Arial"/>
          <w:sz w:val="20"/>
          <w:szCs w:val="20"/>
          <w:lang w:eastAsia="pl-PL"/>
        </w:rPr>
        <w:t xml:space="preserve"> sprawozdani</w:t>
      </w:r>
      <w:r w:rsidR="0038354B">
        <w:rPr>
          <w:rFonts w:ascii="Arial" w:hAnsi="Arial" w:cs="Arial"/>
          <w:sz w:val="20"/>
          <w:szCs w:val="20"/>
          <w:lang w:eastAsia="pl-PL"/>
        </w:rPr>
        <w:t>e</w:t>
      </w:r>
      <w:r w:rsidRPr="006C1E18">
        <w:rPr>
          <w:rFonts w:ascii="Arial" w:hAnsi="Arial" w:cs="Arial"/>
          <w:sz w:val="20"/>
          <w:szCs w:val="20"/>
          <w:lang w:eastAsia="pl-PL"/>
        </w:rPr>
        <w:t xml:space="preserve"> finansowe</w:t>
      </w:r>
      <w:r w:rsidR="0038354B">
        <w:rPr>
          <w:rFonts w:ascii="Arial" w:hAnsi="Arial" w:cs="Arial"/>
          <w:sz w:val="20"/>
          <w:szCs w:val="20"/>
          <w:lang w:eastAsia="pl-PL"/>
        </w:rPr>
        <w:t xml:space="preserve"> </w:t>
      </w:r>
      <w:r w:rsidR="0038354B" w:rsidRPr="0030387F">
        <w:rPr>
          <w:rFonts w:ascii="Arial" w:hAnsi="Arial" w:cs="Arial"/>
          <w:sz w:val="20"/>
          <w:szCs w:val="20"/>
          <w:lang w:eastAsia="pl-PL"/>
        </w:rPr>
        <w:t xml:space="preserve">za ostatni rok </w:t>
      </w:r>
      <w:r w:rsidR="00160005">
        <w:rPr>
          <w:rFonts w:ascii="Arial" w:hAnsi="Arial" w:cs="Arial"/>
          <w:sz w:val="20"/>
          <w:szCs w:val="20"/>
          <w:lang w:eastAsia="pl-PL"/>
        </w:rPr>
        <w:t>obrotowy</w:t>
      </w:r>
      <w:r w:rsidR="00160005"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38354B">
        <w:rPr>
          <w:rFonts w:ascii="Arial" w:hAnsi="Arial" w:cs="Arial"/>
          <w:sz w:val="20"/>
          <w:szCs w:val="20"/>
          <w:lang w:eastAsia="pl-PL"/>
        </w:rPr>
        <w:t>e</w:t>
      </w:r>
      <w:r w:rsidR="001764B5" w:rsidRPr="005D65B3">
        <w:rPr>
          <w:rFonts w:ascii="Arial" w:hAnsi="Arial" w:cs="Arial"/>
          <w:sz w:val="20"/>
          <w:szCs w:val="20"/>
          <w:lang w:eastAsia="pl-PL"/>
        </w:rPr>
        <w:t xml:space="preserve"> się on</w:t>
      </w:r>
      <w:r w:rsidR="0038354B">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 xml:space="preserve">w rozumieniu unijnych przepisów </w:t>
      </w:r>
      <w:r w:rsidRPr="006C1E18">
        <w:rPr>
          <w:rFonts w:ascii="Arial" w:hAnsi="Arial" w:cs="Arial"/>
          <w:sz w:val="20"/>
          <w:szCs w:val="20"/>
          <w:lang w:eastAsia="pl-PL"/>
        </w:rPr>
        <w:lastRenderedPageBreak/>
        <w:t>dotyczących pomocy państwa. Wypłata dofinansowania jest wstrzymana do czasu dostarczenia przez Beneficjenta</w:t>
      </w:r>
      <w:r w:rsidR="0038354B">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1587B817" w:rsidR="0023737E" w:rsidRPr="000043C0" w:rsidRDefault="0023737E" w:rsidP="000043C0">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160005">
        <w:rPr>
          <w:rFonts w:ascii="Arial" w:hAnsi="Arial" w:cs="Arial"/>
          <w:sz w:val="20"/>
          <w:szCs w:val="20"/>
          <w:lang w:eastAsia="pl-PL"/>
        </w:rPr>
        <w:t xml:space="preserve"> </w:t>
      </w:r>
      <w:r w:rsidR="00B06BBD" w:rsidRPr="000043C0">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0043C0">
        <w:rPr>
          <w:rFonts w:ascii="Arial" w:hAnsi="Arial" w:cs="Arial"/>
          <w:sz w:val="20"/>
          <w:szCs w:val="20"/>
          <w:lang w:eastAsia="pl-PL"/>
        </w:rPr>
        <w:t>P</w:t>
      </w:r>
      <w:r w:rsidR="00200DF7" w:rsidRPr="000043C0">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160005" w:rsidRPr="000043C0">
        <w:rPr>
          <w:rFonts w:ascii="Arial" w:hAnsi="Arial" w:cs="Arial"/>
          <w:sz w:val="20"/>
          <w:szCs w:val="20"/>
          <w:lang w:eastAsia="pl-PL"/>
        </w:rPr>
        <w:t>.</w:t>
      </w:r>
    </w:p>
    <w:p w14:paraId="2BD6B564" w14:textId="1F05F158" w:rsidR="00B06BBD" w:rsidRPr="006C1E18" w:rsidRDefault="00B06BBD" w:rsidP="0011763E">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756966D4" w14:textId="75666B37" w:rsidR="00DC2947" w:rsidRPr="006C1E18"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3154F3F1"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9F64C5"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3"/>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4681113C" w14:textId="77777777" w:rsidR="009F64C5" w:rsidRPr="00E900E3" w:rsidRDefault="009F64C5" w:rsidP="009F64C5">
      <w:pPr>
        <w:pStyle w:val="Akapitzlist"/>
        <w:spacing w:before="120" w:after="120"/>
        <w:ind w:left="357"/>
        <w:contextualSpacing w:val="0"/>
        <w:jc w:val="both"/>
        <w:rPr>
          <w:rFonts w:eastAsiaTheme="minorEastAsia"/>
          <w:b/>
          <w:bCs/>
        </w:rPr>
      </w:pPr>
    </w:p>
    <w:p w14:paraId="22804D12" w14:textId="05993C2C" w:rsidR="00250C7F" w:rsidRPr="0077757D" w:rsidRDefault="00250C7F" w:rsidP="0077757D">
      <w:pPr>
        <w:pStyle w:val="Nagwek1"/>
        <w:spacing w:before="120" w:after="120"/>
        <w:rPr>
          <w:rFonts w:cs="Arial"/>
        </w:rPr>
      </w:pPr>
      <w:r w:rsidRPr="006C1E18">
        <w:rPr>
          <w:rFonts w:cs="Arial"/>
        </w:rPr>
        <w:lastRenderedPageBreak/>
        <w:t>§ 2</w:t>
      </w:r>
      <w:r w:rsidR="00C55DAA" w:rsidRPr="006C1E18">
        <w:rPr>
          <w:rFonts w:cs="Arial"/>
        </w:rPr>
        <w:t>a</w:t>
      </w:r>
      <w:r w:rsidR="0077757D">
        <w:rPr>
          <w:rFonts w:cs="Arial"/>
        </w:rPr>
        <w:t xml:space="preserve">. </w:t>
      </w:r>
      <w:r w:rsidRPr="0077757D">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50F90FE5"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3FD2C0E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AE0D29">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29038A">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31DEF8E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160005">
        <w:rPr>
          <w:rFonts w:ascii="Arial" w:hAnsi="Arial" w:cs="Arial"/>
          <w:sz w:val="20"/>
          <w:szCs w:val="20"/>
          <w:lang w:eastAsia="pl-PL"/>
        </w:rPr>
        <w:t>Umowa konsorcjum musi określać</w:t>
      </w:r>
      <w:r w:rsidRPr="006C1E18">
        <w:rPr>
          <w:rFonts w:ascii="Arial" w:hAnsi="Arial" w:cs="Arial"/>
          <w:sz w:val="20"/>
          <w:szCs w:val="20"/>
          <w:lang w:eastAsia="pl-PL"/>
        </w:rPr>
        <w:t xml:space="preserve"> praw</w:t>
      </w:r>
      <w:r w:rsidR="00160005">
        <w:rPr>
          <w:rFonts w:ascii="Arial" w:hAnsi="Arial" w:cs="Arial"/>
          <w:sz w:val="20"/>
          <w:szCs w:val="20"/>
          <w:lang w:eastAsia="pl-PL"/>
        </w:rPr>
        <w:t>a</w:t>
      </w:r>
      <w:r w:rsidRPr="006C1E18">
        <w:rPr>
          <w:rFonts w:ascii="Arial" w:hAnsi="Arial" w:cs="Arial"/>
          <w:sz w:val="20"/>
          <w:szCs w:val="20"/>
          <w:lang w:eastAsia="pl-PL"/>
        </w:rPr>
        <w:t xml:space="preserve"> i obowiązk</w:t>
      </w:r>
      <w:r w:rsidR="00160005">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160005">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523B2968" w:rsidR="00DE7DC1" w:rsidRPr="0077757D" w:rsidRDefault="00DE7DC1" w:rsidP="0077757D">
      <w:pPr>
        <w:pStyle w:val="Nagwek1"/>
        <w:spacing w:before="120" w:after="120"/>
        <w:rPr>
          <w:rFonts w:cs="Arial"/>
        </w:rPr>
      </w:pPr>
      <w:r w:rsidRPr="005D65B3">
        <w:rPr>
          <w:rFonts w:cs="Arial"/>
        </w:rPr>
        <w:t xml:space="preserve">§ </w:t>
      </w:r>
      <w:r w:rsidR="00295AD1" w:rsidRPr="0077757D">
        <w:rPr>
          <w:rFonts w:cs="Arial"/>
        </w:rPr>
        <w:t>3.</w:t>
      </w:r>
      <w:r w:rsidR="0077757D">
        <w:rPr>
          <w:rFonts w:cs="Arial"/>
        </w:rPr>
        <w:t xml:space="preserve"> </w:t>
      </w:r>
      <w:r w:rsidR="00303658" w:rsidRPr="0077757D">
        <w:rPr>
          <w:rFonts w:cs="Arial"/>
        </w:rPr>
        <w:t>Warunki wdrożenia</w:t>
      </w:r>
      <w:r w:rsidR="009038B9" w:rsidRPr="0077757D">
        <w:rPr>
          <w:rFonts w:cs="Arial"/>
        </w:rPr>
        <w:t xml:space="preserve"> wyników prac B+R</w:t>
      </w:r>
    </w:p>
    <w:p w14:paraId="232B2EE3" w14:textId="13BAB280"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28677C65" w14:textId="102B1CAE" w:rsidR="00160005" w:rsidRPr="000043C0" w:rsidRDefault="00160005" w:rsidP="000043C0">
      <w:pPr>
        <w:pStyle w:val="Akapitzlist"/>
        <w:spacing w:before="120" w:after="120"/>
        <w:ind w:left="357" w:hanging="357"/>
        <w:jc w:val="both"/>
        <w:rPr>
          <w:rFonts w:ascii="Arial" w:eastAsiaTheme="minorEastAsia" w:hAnsi="Arial" w:cs="Arial"/>
          <w:sz w:val="20"/>
          <w:szCs w:val="20"/>
        </w:rPr>
      </w:pPr>
      <w:r w:rsidRPr="00C044AA">
        <w:rPr>
          <w:rFonts w:ascii="Arial" w:eastAsiaTheme="minorEastAsia" w:hAnsi="Arial" w:cs="Arial"/>
          <w:sz w:val="20"/>
          <w:szCs w:val="20"/>
        </w:rPr>
        <w:t>1a. Beneficjent zobowiązuje się do wdrożenia wyników prac B+R na terenie Rzeczpospolitej Polskiej  (jeśli dotyczy)</w:t>
      </w:r>
      <w:r>
        <w:rPr>
          <w:rStyle w:val="Odwoanieprzypisudolnego"/>
          <w:rFonts w:ascii="Arial" w:eastAsiaTheme="minorEastAsia" w:hAnsi="Arial"/>
          <w:sz w:val="20"/>
          <w:szCs w:val="20"/>
        </w:rPr>
        <w:footnoteReference w:id="26"/>
      </w:r>
      <w:r w:rsidRPr="00C044AA">
        <w:rPr>
          <w:rFonts w:ascii="Arial" w:eastAsiaTheme="minorEastAsia" w:hAnsi="Arial" w:cs="Arial"/>
          <w:sz w:val="20"/>
          <w:szCs w:val="20"/>
        </w:rPr>
        <w:t>.</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4D619470"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B27723" w:rsidRPr="00B27723">
        <w:rPr>
          <w:rFonts w:ascii="Arial" w:eastAsiaTheme="minorEastAsia" w:hAnsi="Arial" w:cs="Arial"/>
          <w:sz w:val="20"/>
          <w:szCs w:val="20"/>
        </w:rPr>
        <w:t xml:space="preserve"> </w:t>
      </w:r>
      <w:r w:rsidR="00B27723">
        <w:rPr>
          <w:rFonts w:ascii="Arial" w:eastAsiaTheme="minorEastAsia" w:hAnsi="Arial" w:cs="Arial"/>
          <w:sz w:val="20"/>
          <w:szCs w:val="20"/>
        </w:rPr>
        <w:t>co najmniej</w:t>
      </w:r>
      <w:r w:rsidRPr="00305BA1">
        <w:rPr>
          <w:rFonts w:ascii="Arial" w:eastAsiaTheme="minorEastAsia" w:hAnsi="Arial" w:cs="Arial"/>
          <w:sz w:val="20"/>
          <w:szCs w:val="20"/>
        </w:rPr>
        <w:t xml:space="preserve"> w jednej z następujących form</w:t>
      </w:r>
      <w:r w:rsidR="00160005">
        <w:rPr>
          <w:rFonts w:ascii="Arial" w:eastAsiaTheme="minorEastAsia" w:hAnsi="Arial" w:cs="Arial"/>
          <w:sz w:val="20"/>
          <w:szCs w:val="20"/>
        </w:rPr>
        <w:t xml:space="preserve"> </w:t>
      </w:r>
      <w:r w:rsidR="00160005" w:rsidRPr="00683816">
        <w:rPr>
          <w:rFonts w:ascii="Arial" w:eastAsiaTheme="minorEastAsia" w:hAnsi="Arial" w:cs="Arial"/>
          <w:sz w:val="20"/>
          <w:szCs w:val="20"/>
        </w:rPr>
        <w:t>– zadeklarowanych we wniosku o dofinansowanie</w:t>
      </w:r>
      <w:r w:rsidRPr="00305BA1">
        <w:rPr>
          <w:rFonts w:ascii="Arial" w:eastAsiaTheme="minorEastAsia" w:hAnsi="Arial" w:cs="Arial"/>
          <w:sz w:val="20"/>
          <w:szCs w:val="20"/>
        </w:rPr>
        <w:t>:</w:t>
      </w:r>
    </w:p>
    <w:p w14:paraId="2BB58F51" w14:textId="66646D25" w:rsidR="00305BA1" w:rsidRDefault="00160005" w:rsidP="00273B93">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Pr>
          <w:rFonts w:ascii="Arial" w:hAnsi="Arial" w:cs="Arial"/>
          <w:sz w:val="20"/>
          <w:szCs w:val="20"/>
        </w:rPr>
        <w:t xml:space="preserve">- </w:t>
      </w:r>
      <w:r w:rsidR="006E58AB"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sidR="006E58AB">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743AA5D9" w:rsidR="009271DA" w:rsidRPr="00C1214F" w:rsidRDefault="00160005" w:rsidP="00C1214F">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955DA0"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00955DA0"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0B347084"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75CD2DE6" w:rsidR="00305BA1" w:rsidRDefault="00853E1E"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członek konsorcjum (przynajmniej Lider konsorcjum) zapewni, że licencjobiorca wdroży wyniki</w:t>
      </w:r>
      <w:r w:rsidR="006025CE">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we własnej działalności gospodarczej, tj. nie później niż 5 lat od zakończenia </w:t>
      </w:r>
      <w:r w:rsidR="00E17AF9" w:rsidRPr="00305BA1">
        <w:rPr>
          <w:rFonts w:ascii="Arial" w:eastAsiaTheme="minorEastAsia" w:hAnsi="Arial" w:cs="Arial"/>
          <w:sz w:val="20"/>
          <w:szCs w:val="20"/>
        </w:rPr>
        <w:t>P</w:t>
      </w:r>
      <w:r w:rsidRPr="00305BA1">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00305BA1">
        <w:rPr>
          <w:rFonts w:ascii="Arial" w:eastAsiaTheme="minorEastAsia" w:hAnsi="Arial" w:cs="Arial"/>
          <w:sz w:val="20"/>
          <w:szCs w:val="20"/>
        </w:rPr>
        <w:t>, które będą wprowadzone głównie na terytorium UE</w:t>
      </w:r>
      <w:r w:rsidR="00564095">
        <w:rPr>
          <w:rFonts w:ascii="Arial" w:eastAsiaTheme="minorEastAsia" w:hAnsi="Arial" w:cs="Arial"/>
          <w:sz w:val="20"/>
          <w:szCs w:val="20"/>
        </w:rPr>
        <w:t xml:space="preserve">; </w:t>
      </w:r>
      <w:r w:rsidR="00564095" w:rsidRPr="002F4A04">
        <w:rPr>
          <w:rFonts w:ascii="Arial" w:eastAsiaTheme="minorEastAsia" w:hAnsi="Arial" w:cs="Arial"/>
          <w:sz w:val="20"/>
          <w:szCs w:val="20"/>
        </w:rPr>
        <w:t>Beneficjent przedłoży</w:t>
      </w:r>
      <w:r w:rsidR="00564095">
        <w:rPr>
          <w:rFonts w:ascii="Arial" w:eastAsiaTheme="minorEastAsia" w:hAnsi="Arial" w:cs="Arial"/>
          <w:sz w:val="20"/>
          <w:szCs w:val="20"/>
        </w:rPr>
        <w:t xml:space="preserve"> Instytucji</w:t>
      </w:r>
      <w:r w:rsidR="00564095" w:rsidRPr="002F4A04">
        <w:rPr>
          <w:rFonts w:ascii="Arial" w:eastAsiaTheme="minorEastAsia" w:hAnsi="Arial" w:cs="Arial"/>
          <w:sz w:val="20"/>
          <w:szCs w:val="20"/>
        </w:rPr>
        <w:t xml:space="preserve"> sprawozdanie, o którym mowa </w:t>
      </w:r>
      <w:bookmarkStart w:id="4" w:name="_Hlk201829142"/>
      <w:r w:rsidR="00564095" w:rsidRPr="002F4A04">
        <w:rPr>
          <w:rFonts w:ascii="Arial" w:eastAsiaTheme="minorEastAsia" w:hAnsi="Arial" w:cs="Arial"/>
          <w:sz w:val="20"/>
          <w:szCs w:val="20"/>
        </w:rPr>
        <w:t xml:space="preserve">w </w:t>
      </w:r>
      <w:r w:rsidR="00564095">
        <w:rPr>
          <w:rFonts w:ascii="Arial" w:eastAsiaTheme="minorEastAsia" w:hAnsi="Arial" w:cs="Arial"/>
          <w:sz w:val="20"/>
          <w:szCs w:val="20"/>
        </w:rPr>
        <w:t>§</w:t>
      </w:r>
      <w:r w:rsidR="00564095" w:rsidRPr="002F4A04">
        <w:rPr>
          <w:rFonts w:ascii="Arial" w:eastAsiaTheme="minorEastAsia" w:hAnsi="Arial" w:cs="Arial"/>
          <w:sz w:val="20"/>
          <w:szCs w:val="20"/>
        </w:rPr>
        <w:t>. 6 ust.10</w:t>
      </w:r>
      <w:r w:rsidR="00564095">
        <w:rPr>
          <w:rFonts w:ascii="Arial" w:eastAsiaTheme="minorEastAsia" w:hAnsi="Arial" w:cs="Arial"/>
          <w:sz w:val="20"/>
          <w:szCs w:val="20"/>
        </w:rPr>
        <w:t xml:space="preserve"> Umowy</w:t>
      </w:r>
      <w:r w:rsidR="00564095" w:rsidRPr="002F4A04">
        <w:rPr>
          <w:rFonts w:ascii="Arial" w:eastAsiaTheme="minorEastAsia" w:hAnsi="Arial" w:cs="Arial"/>
          <w:sz w:val="20"/>
          <w:szCs w:val="20"/>
        </w:rPr>
        <w:t> w zakresie wdrożenia</w:t>
      </w:r>
      <w:r w:rsidR="00564095">
        <w:rPr>
          <w:rFonts w:ascii="Arial" w:eastAsiaTheme="minorEastAsia" w:hAnsi="Arial" w:cs="Arial"/>
          <w:sz w:val="20"/>
          <w:szCs w:val="20"/>
        </w:rPr>
        <w:t xml:space="preserve"> wyników prac B+R przez licencjobiorcę, w terminie 30 dni od dnia złożenia oświadczenia, o którym </w:t>
      </w:r>
      <w:bookmarkEnd w:id="4"/>
      <w:r w:rsidR="00564095">
        <w:rPr>
          <w:rFonts w:ascii="Arial" w:eastAsiaTheme="minorEastAsia" w:hAnsi="Arial" w:cs="Arial"/>
          <w:sz w:val="20"/>
          <w:szCs w:val="20"/>
        </w:rPr>
        <w:t>mowa w ust. 6</w:t>
      </w:r>
      <w:r w:rsidR="00564095" w:rsidRPr="00164C42">
        <w:rPr>
          <w:rFonts w:ascii="Arial" w:eastAsiaTheme="minorEastAsia" w:hAnsi="Arial" w:cs="Arial"/>
          <w:sz w:val="20"/>
          <w:szCs w:val="20"/>
        </w:rPr>
        <w:t xml:space="preserve"> lit. e</w:t>
      </w:r>
      <w:r w:rsidR="00305BA1">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lastRenderedPageBreak/>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w:t>
      </w:r>
      <w:r w:rsidRPr="00381539">
        <w:rPr>
          <w:rFonts w:ascii="Arial" w:eastAsiaTheme="minorEastAsia" w:hAnsi="Arial" w:cs="Arial"/>
          <w:sz w:val="20"/>
          <w:szCs w:val="20"/>
        </w:rPr>
        <w:lastRenderedPageBreak/>
        <w:t xml:space="preserve">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ufp.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r w:rsidR="00A04124">
        <w:rPr>
          <w:rFonts w:ascii="Arial" w:hAnsi="Arial" w:cs="Arial"/>
          <w:sz w:val="20"/>
          <w:szCs w:val="20"/>
        </w:rPr>
        <w:t xml:space="preserve">Pzp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r w:rsidR="004F58ED">
        <w:rPr>
          <w:rFonts w:ascii="Arial" w:hAnsi="Arial" w:cs="Arial"/>
          <w:sz w:val="20"/>
          <w:szCs w:val="20"/>
          <w:lang w:eastAsia="pl-PL"/>
        </w:rPr>
        <w:t>Pzp</w:t>
      </w:r>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lastRenderedPageBreak/>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4377E2EB" w:rsidR="00B23E8E" w:rsidRPr="00381539" w:rsidRDefault="006E694C"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160005">
        <w:rPr>
          <w:rFonts w:ascii="Arial" w:hAnsi="Arial" w:cs="Arial"/>
          <w:sz w:val="20"/>
          <w:szCs w:val="20"/>
        </w:rPr>
        <w:t xml:space="preserve"> FENG</w:t>
      </w:r>
      <w:r w:rsidR="00B23E8E" w:rsidRPr="00381539">
        <w:rPr>
          <w:rFonts w:ascii="Arial" w:hAnsi="Arial" w:cs="Arial"/>
          <w:sz w:val="20"/>
          <w:szCs w:val="20"/>
        </w:rPr>
        <w:t xml:space="preserve"> -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31DDA388"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160005">
        <w:rPr>
          <w:rFonts w:ascii="Arial" w:hAnsi="Arial" w:cs="Arial"/>
          <w:sz w:val="20"/>
          <w:szCs w:val="20"/>
        </w:rPr>
        <w:t xml:space="preserve">, </w:t>
      </w:r>
      <w:r w:rsidR="00160005" w:rsidRPr="00381539">
        <w:rPr>
          <w:rFonts w:ascii="Arial" w:hAnsi="Arial" w:cs="Arial"/>
          <w:sz w:val="20"/>
          <w:szCs w:val="20"/>
        </w:rPr>
        <w:t>§</w:t>
      </w:r>
      <w:r w:rsidR="00160005">
        <w:rPr>
          <w:rFonts w:ascii="Arial" w:hAnsi="Arial" w:cs="Arial"/>
          <w:sz w:val="20"/>
          <w:szCs w:val="20"/>
        </w:rPr>
        <w:t xml:space="preserve"> 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786F2656"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160005">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160005">
        <w:rPr>
          <w:rFonts w:ascii="Arial" w:hAnsi="Arial" w:cs="Arial"/>
          <w:sz w:val="20"/>
          <w:szCs w:val="20"/>
          <w:lang w:eastAsia="pl-PL"/>
        </w:rPr>
        <w:t>współ</w:t>
      </w:r>
      <w:r w:rsidRPr="00381539">
        <w:rPr>
          <w:rFonts w:ascii="Arial" w:hAnsi="Arial" w:cs="Arial"/>
          <w:sz w:val="20"/>
          <w:szCs w:val="20"/>
          <w:lang w:eastAsia="pl-PL"/>
        </w:rPr>
        <w:t>finansowania realizacji Projektu</w:t>
      </w:r>
      <w:r w:rsidR="00160005">
        <w:rPr>
          <w:rFonts w:ascii="Arial" w:hAnsi="Arial" w:cs="Arial"/>
          <w:sz w:val="20"/>
          <w:szCs w:val="20"/>
          <w:lang w:eastAsia="pl-PL"/>
        </w:rPr>
        <w:t xml:space="preserve"> </w:t>
      </w:r>
      <w:r w:rsidR="00160005" w:rsidRPr="00992F69">
        <w:rPr>
          <w:rFonts w:ascii="Arial" w:hAnsi="Arial" w:cs="Arial"/>
          <w:sz w:val="20"/>
          <w:szCs w:val="20"/>
          <w:lang w:eastAsia="pl-PL"/>
        </w:rPr>
        <w:t xml:space="preserve">ze środków prywatnych (w tym zapewnienia wkładu własnego do </w:t>
      </w:r>
      <w:r w:rsidR="00160005">
        <w:rPr>
          <w:rFonts w:ascii="Arial" w:hAnsi="Arial" w:cs="Arial"/>
          <w:sz w:val="20"/>
          <w:szCs w:val="20"/>
          <w:lang w:eastAsia="pl-PL"/>
        </w:rPr>
        <w:t>P</w:t>
      </w:r>
      <w:r w:rsidR="00160005" w:rsidRPr="00992F69">
        <w:rPr>
          <w:rFonts w:ascii="Arial" w:hAnsi="Arial" w:cs="Arial"/>
          <w:sz w:val="20"/>
          <w:szCs w:val="20"/>
          <w:lang w:eastAsia="pl-PL"/>
        </w:rPr>
        <w:t>rojektu) pochodzących od członków konsorcjum</w:t>
      </w:r>
      <w:r w:rsidR="00160005">
        <w:rPr>
          <w:rFonts w:ascii="Arial" w:hAnsi="Arial" w:cs="Arial"/>
          <w:sz w:val="20"/>
          <w:szCs w:val="20"/>
          <w:lang w:eastAsia="pl-PL"/>
        </w:rPr>
        <w:t xml:space="preserve">. </w:t>
      </w:r>
    </w:p>
    <w:p w14:paraId="078152A8" w14:textId="4378F4F0"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W przypadku zmiany kwoty wydatków kwalifikowalnych </w:t>
      </w:r>
      <w:r w:rsidR="00160005">
        <w:rPr>
          <w:rFonts w:ascii="Arial" w:hAnsi="Arial" w:cs="Arial"/>
          <w:sz w:val="20"/>
          <w:szCs w:val="20"/>
          <w:lang w:eastAsia="pl-PL"/>
        </w:rPr>
        <w:t>na skutek sytuacji, o których mowa w ust. 21</w:t>
      </w:r>
      <w:r w:rsidRPr="00381539">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lastRenderedPageBreak/>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63DE7A54" w14:textId="7FED9C5F" w:rsidR="00B23E8E" w:rsidRPr="00381539" w:rsidRDefault="00B23E8E" w:rsidP="000043C0">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w:t>
      </w:r>
      <w:r w:rsidR="00160005">
        <w:rPr>
          <w:rFonts w:ascii="Arial" w:hAnsi="Arial" w:cs="Arial"/>
          <w:sz w:val="20"/>
          <w:szCs w:val="20"/>
          <w:lang w:eastAsia="pl-PL"/>
        </w:rPr>
        <w:t xml:space="preserve"> </w:t>
      </w:r>
      <w:r w:rsidR="00160005" w:rsidRPr="00C431B8">
        <w:rPr>
          <w:rFonts w:ascii="Arial" w:hAnsi="Arial" w:cs="Arial"/>
          <w:sz w:val="20"/>
          <w:szCs w:val="20"/>
          <w:lang w:eastAsia="pl-PL"/>
        </w:rPr>
        <w:t>dzierżawy gruntów lub kwalifikowania opłat za użytkowanie wieczyste gruntu – oświadczenia właściciela gruntu, że nabycie gruntu nie było współfinansowane ze środków unijnych lub z dotacji krajowych</w:t>
      </w:r>
      <w:r w:rsidR="00160005">
        <w:rPr>
          <w:rFonts w:ascii="Arial" w:hAnsi="Arial" w:cs="Arial"/>
          <w:sz w:val="20"/>
          <w:szCs w:val="20"/>
          <w:lang w:eastAsia="pl-PL"/>
        </w:rPr>
        <w:t>,</w:t>
      </w:r>
      <w:r w:rsidR="00160005" w:rsidRPr="00C431B8">
        <w:rPr>
          <w:rFonts w:ascii="Arial" w:hAnsi="Arial" w:cs="Arial"/>
          <w:sz w:val="20"/>
          <w:szCs w:val="20"/>
          <w:lang w:eastAsia="pl-PL"/>
        </w:rPr>
        <w:t xml:space="preserve"> </w:t>
      </w:r>
      <w:r w:rsidRPr="00381539">
        <w:rPr>
          <w:rFonts w:ascii="Arial" w:hAnsi="Arial" w:cs="Arial"/>
          <w:sz w:val="20"/>
          <w:szCs w:val="20"/>
          <w:lang w:eastAsia="pl-PL"/>
        </w:rPr>
        <w:t xml:space="preserve"> </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2DE77220" w14:textId="5994D754" w:rsidR="00160005" w:rsidRDefault="00B23E8E" w:rsidP="0016000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160005">
        <w:rPr>
          <w:rFonts w:ascii="Arial" w:hAnsi="Arial" w:cs="Arial"/>
          <w:sz w:val="20"/>
          <w:szCs w:val="20"/>
          <w:lang w:eastAsia="pl-PL"/>
        </w:rPr>
        <w:t xml:space="preserve"> oraz </w:t>
      </w:r>
      <w:r w:rsidR="00160005" w:rsidRPr="00381539">
        <w:rPr>
          <w:rFonts w:ascii="Arial" w:hAnsi="Arial" w:cs="Arial"/>
          <w:sz w:val="20"/>
          <w:szCs w:val="20"/>
          <w:lang w:eastAsia="pl-PL"/>
        </w:rPr>
        <w:t>dokument</w:t>
      </w:r>
      <w:r w:rsidR="00160005">
        <w:rPr>
          <w:rFonts w:ascii="Arial" w:hAnsi="Arial" w:cs="Arial"/>
          <w:sz w:val="20"/>
          <w:szCs w:val="20"/>
          <w:lang w:eastAsia="pl-PL"/>
        </w:rPr>
        <w:t>ów</w:t>
      </w:r>
      <w:r w:rsidR="00160005" w:rsidRPr="00381539">
        <w:rPr>
          <w:rFonts w:ascii="Arial" w:hAnsi="Arial" w:cs="Arial"/>
          <w:sz w:val="20"/>
          <w:szCs w:val="20"/>
          <w:lang w:eastAsia="pl-PL"/>
        </w:rPr>
        <w:t xml:space="preserve"> potwierdzających przyjęcie środków trwałych</w:t>
      </w:r>
      <w:r w:rsidR="00160005" w:rsidRPr="00E53510">
        <w:rPr>
          <w:rFonts w:ascii="Arial" w:hAnsi="Arial" w:cs="Arial"/>
          <w:sz w:val="20"/>
          <w:szCs w:val="20"/>
          <w:lang w:eastAsia="pl-PL"/>
        </w:rPr>
        <w:t xml:space="preserve"> </w:t>
      </w:r>
      <w:r w:rsidR="00160005" w:rsidRPr="00381539">
        <w:rPr>
          <w:rFonts w:ascii="Arial" w:hAnsi="Arial" w:cs="Arial"/>
          <w:sz w:val="20"/>
          <w:szCs w:val="20"/>
          <w:lang w:eastAsia="pl-PL"/>
        </w:rPr>
        <w:t>do użytkowania,</w:t>
      </w:r>
    </w:p>
    <w:p w14:paraId="2311FDB5" w14:textId="77777777" w:rsidR="00160005" w:rsidRDefault="00160005" w:rsidP="0016000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6D69A42E" w14:textId="620B9F62" w:rsidR="00B23E8E" w:rsidRPr="000043C0" w:rsidRDefault="00160005" w:rsidP="0016000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A32CF52" w:rsidR="00B23E8E" w:rsidRPr="00160005" w:rsidRDefault="00B23E8E" w:rsidP="00160005">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160005">
        <w:rPr>
          <w:rFonts w:ascii="Arial" w:hAnsi="Arial" w:cs="Arial"/>
          <w:sz w:val="20"/>
          <w:szCs w:val="20"/>
          <w:lang w:eastAsia="pl-PL"/>
        </w:rPr>
        <w:t xml:space="preserve"> </w:t>
      </w:r>
      <w:r w:rsidR="00160005"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5F4A48C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160005">
        <w:rPr>
          <w:rFonts w:ascii="Arial" w:hAnsi="Arial" w:cs="Arial"/>
          <w:sz w:val="20"/>
          <w:szCs w:val="20"/>
          <w:lang w:eastAsia="pl-PL"/>
        </w:rPr>
        <w:t xml:space="preserve">, </w:t>
      </w:r>
      <w:r w:rsidR="00F417C9" w:rsidRPr="00381539">
        <w:rPr>
          <w:rFonts w:ascii="Arial" w:hAnsi="Arial" w:cs="Arial"/>
          <w:sz w:val="20"/>
          <w:szCs w:val="20"/>
          <w:lang w:eastAsia="pl-PL"/>
        </w:rPr>
        <w:t>10</w:t>
      </w:r>
      <w:r w:rsidR="00160005">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7A5CB56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lastRenderedPageBreak/>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160005">
        <w:rPr>
          <w:rFonts w:ascii="Arial" w:hAnsi="Arial" w:cs="Arial"/>
          <w:sz w:val="20"/>
          <w:szCs w:val="20"/>
        </w:rPr>
        <w:t xml:space="preserve"> </w:t>
      </w:r>
      <w:r w:rsidR="00160005" w:rsidRPr="00703AB6">
        <w:rPr>
          <w:rFonts w:ascii="Arial" w:hAnsi="Arial" w:cs="Arial"/>
          <w:sz w:val="20"/>
          <w:szCs w:val="20"/>
        </w:rPr>
        <w:t xml:space="preserve">w całym okresie realizacji </w:t>
      </w:r>
      <w:r w:rsidR="00160005">
        <w:rPr>
          <w:rFonts w:ascii="Arial" w:hAnsi="Arial" w:cs="Arial"/>
          <w:sz w:val="20"/>
          <w:szCs w:val="20"/>
        </w:rPr>
        <w:t>P</w:t>
      </w:r>
      <w:r w:rsidR="00160005" w:rsidRPr="00703AB6">
        <w:rPr>
          <w:rFonts w:ascii="Arial" w:hAnsi="Arial" w:cs="Arial"/>
          <w:sz w:val="20"/>
          <w:szCs w:val="20"/>
        </w:rPr>
        <w:t>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9"/>
    <w:p w14:paraId="60E19C82" w14:textId="4AA0694E" w:rsidR="00B23E8E" w:rsidRPr="00494304" w:rsidRDefault="00B23E8E" w:rsidP="00494304">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1A4566E6" w:rsidR="00103B48" w:rsidRDefault="00160005" w:rsidP="00273B93">
      <w:pPr>
        <w:pStyle w:val="Akapitzlist"/>
        <w:numPr>
          <w:ilvl w:val="0"/>
          <w:numId w:val="65"/>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3"/>
      </w:r>
      <w:r>
        <w:rPr>
          <w:rStyle w:val="Odwoanieprzypisudolnego"/>
          <w:rFonts w:ascii="Arial" w:eastAsiaTheme="minorEastAsia" w:hAnsi="Arial"/>
          <w:sz w:val="20"/>
          <w:szCs w:val="20"/>
        </w:rPr>
        <w:footnoteReference w:id="34"/>
      </w:r>
      <w:r w:rsidR="00C61C3A" w:rsidRPr="00C61C3A">
        <w:rPr>
          <w:rFonts w:ascii="Arial" w:eastAsiaTheme="minorEastAsia" w:hAnsi="Arial" w:cs="Arial"/>
          <w:sz w:val="20"/>
          <w:szCs w:val="20"/>
        </w:rPr>
        <w:t>,</w:t>
      </w:r>
      <w:r>
        <w:rPr>
          <w:rFonts w:ascii="Arial" w:eastAsiaTheme="minorEastAsia" w:hAnsi="Arial" w:cs="Arial"/>
          <w:sz w:val="20"/>
          <w:szCs w:val="20"/>
        </w:rPr>
        <w:t xml:space="preserve"> albo</w:t>
      </w:r>
    </w:p>
    <w:p w14:paraId="5251897B" w14:textId="656B58EF"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00160005">
        <w:rPr>
          <w:rStyle w:val="Odwoanieprzypisudolnego"/>
          <w:rFonts w:ascii="Arial" w:eastAsiaTheme="minorEastAsia" w:hAnsi="Arial"/>
          <w:sz w:val="20"/>
          <w:szCs w:val="20"/>
        </w:rPr>
        <w:footnoteReference w:id="35"/>
      </w:r>
      <w:r w:rsidRPr="00103B48">
        <w:rPr>
          <w:rFonts w:ascii="Arial" w:eastAsiaTheme="minorEastAsia" w:hAnsi="Arial" w:cs="Arial"/>
          <w:sz w:val="20"/>
          <w:szCs w:val="20"/>
        </w:rPr>
        <w:t>,</w:t>
      </w:r>
      <w:r w:rsidR="00160005">
        <w:rPr>
          <w:rFonts w:ascii="Arial" w:eastAsiaTheme="minorEastAsia" w:hAnsi="Arial" w:cs="Arial"/>
          <w:sz w:val="20"/>
          <w:szCs w:val="20"/>
        </w:rPr>
        <w:t xml:space="preserve"> albo</w:t>
      </w:r>
      <w:r w:rsidRPr="00103B48">
        <w:rPr>
          <w:rFonts w:ascii="Arial" w:eastAsiaTheme="minorEastAsia" w:hAnsi="Arial" w:cs="Arial"/>
          <w:sz w:val="20"/>
          <w:szCs w:val="20"/>
        </w:rPr>
        <w:t xml:space="preserve"> </w:t>
      </w:r>
    </w:p>
    <w:p w14:paraId="45476502" w14:textId="62B50B4F"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160005">
        <w:rPr>
          <w:rStyle w:val="Odwoanieprzypisudolnego"/>
          <w:rFonts w:ascii="Arial" w:eastAsiaTheme="minorEastAsia" w:hAnsi="Arial"/>
          <w:sz w:val="20"/>
          <w:szCs w:val="20"/>
        </w:rPr>
        <w:footnoteReference w:id="36"/>
      </w:r>
      <w:r w:rsidR="002B7FD3" w:rsidRPr="00103B48">
        <w:rPr>
          <w:rFonts w:ascii="Arial" w:eastAsiaTheme="minorEastAsia" w:hAnsi="Arial" w:cs="Arial"/>
          <w:sz w:val="20"/>
          <w:szCs w:val="20"/>
        </w:rPr>
        <w:t>,</w:t>
      </w:r>
      <w:r w:rsidR="00160005">
        <w:rPr>
          <w:rFonts w:ascii="Arial" w:eastAsiaTheme="minorEastAsia" w:hAnsi="Arial" w:cs="Arial"/>
          <w:sz w:val="20"/>
          <w:szCs w:val="20"/>
        </w:rPr>
        <w:t xml:space="preserve"> albo</w:t>
      </w:r>
      <w:r w:rsidR="003705D5" w:rsidRPr="00103B48">
        <w:rPr>
          <w:rFonts w:ascii="Arial" w:eastAsiaTheme="minorEastAsia" w:hAnsi="Arial" w:cs="Arial"/>
          <w:sz w:val="20"/>
          <w:szCs w:val="20"/>
        </w:rPr>
        <w:t xml:space="preserve"> </w:t>
      </w:r>
    </w:p>
    <w:p w14:paraId="09080019" w14:textId="77777777" w:rsidR="00914B68"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914B68">
        <w:rPr>
          <w:rStyle w:val="Odwoanieprzypisudolnego"/>
          <w:rFonts w:ascii="Arial" w:eastAsiaTheme="minorEastAsia" w:hAnsi="Arial"/>
          <w:sz w:val="20"/>
          <w:szCs w:val="20"/>
        </w:rPr>
        <w:footnoteReference w:id="37"/>
      </w:r>
      <w:r w:rsidR="00C61C3A" w:rsidRPr="00103B48">
        <w:rPr>
          <w:rFonts w:ascii="Arial" w:eastAsiaTheme="minorEastAsia" w:hAnsi="Arial" w:cs="Arial"/>
          <w:sz w:val="20"/>
          <w:szCs w:val="20"/>
        </w:rPr>
        <w:t xml:space="preserve">. </w:t>
      </w:r>
    </w:p>
    <w:p w14:paraId="63DAE374" w14:textId="7E980EBC" w:rsidR="00BD6F21" w:rsidRPr="000043C0" w:rsidRDefault="00914B68" w:rsidP="000043C0">
      <w:pPr>
        <w:spacing w:after="0"/>
        <w:ind w:left="426"/>
        <w:jc w:val="both"/>
        <w:rPr>
          <w:rFonts w:ascii="Arial" w:eastAsiaTheme="minorEastAsia" w:hAnsi="Arial" w:cs="Arial"/>
          <w:sz w:val="20"/>
          <w:szCs w:val="20"/>
        </w:rPr>
      </w:pPr>
      <w:r w:rsidRPr="000043C0">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r w:rsidR="00BD6F21" w:rsidRPr="000043C0">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44079E98"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6BF0F202"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w:t>
      </w:r>
      <w:r w:rsidR="00914B68">
        <w:rPr>
          <w:rFonts w:ascii="Arial" w:eastAsiaTheme="minorEastAsia" w:hAnsi="Arial" w:cs="Arial"/>
          <w:sz w:val="20"/>
          <w:szCs w:val="20"/>
        </w:rPr>
        <w:t xml:space="preserve"> </w:t>
      </w:r>
      <w:r w:rsidR="00914B68"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914B68">
        <w:rPr>
          <w:rFonts w:ascii="Arial" w:eastAsiaTheme="minorEastAsia" w:hAnsi="Arial" w:cs="Arial"/>
          <w:sz w:val="20"/>
          <w:szCs w:val="20"/>
        </w:rPr>
        <w:t>.</w:t>
      </w:r>
      <w:r w:rsidRPr="00381539">
        <w:rPr>
          <w:rFonts w:ascii="Arial" w:eastAsiaTheme="minorEastAsia" w:hAnsi="Arial" w:cs="Arial"/>
          <w:sz w:val="20"/>
          <w:szCs w:val="20"/>
        </w:rPr>
        <w:t xml:space="preserve">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554C9853" w14:textId="20270A2C" w:rsidR="00492892" w:rsidRPr="009F64C5" w:rsidRDefault="00BD6F21" w:rsidP="00492892">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8"/>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48710FB2"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2B850C25"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ufp</w:t>
      </w:r>
      <w:r w:rsidR="00914B68">
        <w:rPr>
          <w:rStyle w:val="Odwoanieprzypisudolnego"/>
          <w:rFonts w:ascii="Arial" w:hAnsi="Arial"/>
          <w:sz w:val="20"/>
          <w:szCs w:val="20"/>
          <w:lang w:eastAsia="pl-PL"/>
        </w:rPr>
        <w:footnoteReference w:id="39"/>
      </w:r>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lastRenderedPageBreak/>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2"/>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68604233"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rozporządzeni</w:t>
      </w:r>
      <w:r w:rsidR="00914B68">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3F605661"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914B68">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3"/>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ufp.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4"/>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18F6532C" w:rsidR="00ED0279" w:rsidRPr="0038153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5"/>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6"/>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rojektu, przedłożyć Instytucji kopie tego 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64DFCCB7"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w:t>
      </w:r>
      <w:r w:rsidR="00914B68">
        <w:rPr>
          <w:rFonts w:ascii="Arial" w:hAnsi="Arial" w:cs="Arial"/>
          <w:sz w:val="20"/>
          <w:szCs w:val="20"/>
        </w:rPr>
        <w:t xml:space="preserve"> 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7"/>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DDEA6B2"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914B68">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8"/>
      </w:r>
      <w:r w:rsidR="00984A4B">
        <w:rPr>
          <w:rFonts w:ascii="Arial" w:hAnsi="Arial" w:cs="Arial"/>
          <w:sz w:val="20"/>
          <w:szCs w:val="20"/>
        </w:rPr>
        <w:t>;</w:t>
      </w:r>
    </w:p>
    <w:p w14:paraId="02E6D4AD" w14:textId="2C2C35BB"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9"/>
      </w:r>
      <w:r w:rsidRPr="00381539">
        <w:rPr>
          <w:rFonts w:ascii="Arial" w:hAnsi="Arial" w:cs="Arial"/>
          <w:sz w:val="20"/>
          <w:szCs w:val="20"/>
        </w:rPr>
        <w:t xml:space="preserve"> lub jego </w:t>
      </w:r>
      <w:r w:rsidR="00914B68">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0"/>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w:t>
      </w:r>
      <w:r w:rsidRPr="00381539">
        <w:rPr>
          <w:rFonts w:ascii="Arial" w:hAnsi="Arial" w:cs="Arial"/>
          <w:sz w:val="20"/>
          <w:szCs w:val="20"/>
        </w:rPr>
        <w:lastRenderedPageBreak/>
        <w:t xml:space="preserve">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1"/>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2"/>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3"/>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lastRenderedPageBreak/>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6E6A70B" w14:textId="77777777" w:rsidR="009F64C5" w:rsidRPr="009F64C5" w:rsidRDefault="009F64C5" w:rsidP="009F64C5">
      <w:pPr>
        <w:spacing w:before="120" w:after="120"/>
        <w:ind w:left="-76"/>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4"/>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lastRenderedPageBreak/>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5"/>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5719CF73"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8"/>
      </w:r>
    </w:p>
    <w:p w14:paraId="43297753" w14:textId="5AABFB7B" w:rsidR="006025CE" w:rsidRPr="009F64C5" w:rsidRDefault="007C6F27" w:rsidP="009F64C5">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2D344A2B"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37D65">
        <w:rPr>
          <w:rFonts w:ascii="Arial" w:hAnsi="Arial" w:cs="Arial"/>
          <w:sz w:val="20"/>
          <w:szCs w:val="20"/>
        </w:rPr>
        <w:t xml:space="preserve">, </w:t>
      </w:r>
      <w:r w:rsidR="00537D65"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14386012"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537D65">
        <w:rPr>
          <w:rFonts w:ascii="Arial" w:hAnsi="Arial" w:cs="Arial"/>
          <w:sz w:val="20"/>
          <w:szCs w:val="20"/>
        </w:rPr>
        <w:t>lub</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537D65">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9"/>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z naruszeniem procedur, o których mowa w art. 184 ufp, w tym udzielił zamówienia w sposób sprzeczny z zasadami określonymi w Umowie;</w:t>
      </w:r>
    </w:p>
    <w:p w14:paraId="09694DE2" w14:textId="0EB6BE30"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37D65">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27D5FD7F"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60"/>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494304">
      <w:pPr>
        <w:pStyle w:val="Akapitzlist"/>
        <w:numPr>
          <w:ilvl w:val="1"/>
          <w:numId w:val="42"/>
        </w:numPr>
        <w:tabs>
          <w:tab w:val="left" w:pos="851"/>
        </w:tabs>
        <w:spacing w:before="120" w:after="120"/>
        <w:ind w:left="851"/>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494304">
      <w:pPr>
        <w:pStyle w:val="Akapitzlist"/>
        <w:numPr>
          <w:ilvl w:val="1"/>
          <w:numId w:val="42"/>
        </w:numPr>
        <w:tabs>
          <w:tab w:val="left" w:pos="851"/>
        </w:tabs>
        <w:spacing w:before="120" w:after="120"/>
        <w:ind w:left="851"/>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494304">
      <w:pPr>
        <w:pStyle w:val="Akapitzlist"/>
        <w:numPr>
          <w:ilvl w:val="1"/>
          <w:numId w:val="42"/>
        </w:numPr>
        <w:tabs>
          <w:tab w:val="left" w:pos="851"/>
        </w:tabs>
        <w:spacing w:before="120" w:after="120"/>
        <w:ind w:left="851"/>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494304">
      <w:pPr>
        <w:pStyle w:val="Akapitzlist"/>
        <w:numPr>
          <w:ilvl w:val="1"/>
          <w:numId w:val="42"/>
        </w:numPr>
        <w:tabs>
          <w:tab w:val="left" w:pos="851"/>
        </w:tabs>
        <w:spacing w:before="120" w:after="120"/>
        <w:ind w:left="851"/>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494304">
      <w:pPr>
        <w:pStyle w:val="Akapitzlist"/>
        <w:tabs>
          <w:tab w:val="left" w:pos="851"/>
        </w:tabs>
        <w:spacing w:before="120" w:after="120"/>
        <w:ind w:left="851"/>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494304">
      <w:pPr>
        <w:pStyle w:val="Akapitzlist"/>
        <w:tabs>
          <w:tab w:val="left" w:pos="851"/>
        </w:tabs>
        <w:spacing w:before="120" w:after="120"/>
        <w:ind w:left="851"/>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494304">
      <w:pPr>
        <w:pStyle w:val="Akapitzlist"/>
        <w:numPr>
          <w:ilvl w:val="1"/>
          <w:numId w:val="42"/>
        </w:numPr>
        <w:tabs>
          <w:tab w:val="left" w:pos="851"/>
        </w:tabs>
        <w:spacing w:before="120" w:after="120"/>
        <w:ind w:left="851"/>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426"/>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426"/>
        <w:jc w:val="both"/>
        <w:rPr>
          <w:rFonts w:ascii="Arial" w:eastAsiaTheme="minorEastAsia" w:hAnsi="Arial" w:cs="Arial"/>
          <w:sz w:val="20"/>
          <w:szCs w:val="20"/>
        </w:rPr>
      </w:pPr>
      <w:r w:rsidRPr="00273B93">
        <w:rPr>
          <w:rFonts w:ascii="Arial" w:hAnsi="Arial" w:cs="Arial"/>
          <w:sz w:val="20"/>
          <w:szCs w:val="20"/>
        </w:rPr>
        <w:lastRenderedPageBreak/>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426"/>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61"/>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lastRenderedPageBreak/>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23FAFEF1" w14:textId="7B76CE67" w:rsidR="006025CE" w:rsidRPr="009F64C5" w:rsidRDefault="00357616" w:rsidP="009F64C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2"/>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51CA5E97"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537D65">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3"/>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4"/>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14E67C30"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rozporządzeni</w:t>
      </w:r>
      <w:r w:rsidR="00537D65">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4D38B696"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13C17A80"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5"/>
      </w:r>
      <w:r w:rsidR="00832532" w:rsidRPr="005D65B3">
        <w:rPr>
          <w:rFonts w:ascii="Arial" w:hAnsi="Arial" w:cs="Arial"/>
          <w:sz w:val="20"/>
          <w:szCs w:val="20"/>
        </w:rPr>
        <w:t>, z </w:t>
      </w:r>
      <w:r w:rsidR="006530FC" w:rsidRPr="005D65B3">
        <w:rPr>
          <w:rFonts w:ascii="Arial" w:hAnsi="Arial" w:cs="Arial"/>
          <w:sz w:val="20"/>
          <w:szCs w:val="20"/>
        </w:rPr>
        <w:t>zastrzeżeniem ust. 2-</w:t>
      </w:r>
      <w:r w:rsidR="00537D65">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7537E104"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6"/>
      </w:r>
      <w:r w:rsidR="00537D65">
        <w:rPr>
          <w:rFonts w:ascii="Arial" w:hAnsi="Arial" w:cs="Arial"/>
          <w:sz w:val="20"/>
          <w:szCs w:val="20"/>
        </w:rPr>
        <w:t xml:space="preserve">, </w:t>
      </w:r>
      <w:r w:rsidR="00537D65" w:rsidRPr="00B476D6">
        <w:rPr>
          <w:rFonts w:ascii="Arial" w:hAnsi="Arial" w:cs="Arial"/>
          <w:sz w:val="20"/>
          <w:szCs w:val="20"/>
        </w:rPr>
        <w:t xml:space="preserve">z zastrzeżeniem ust. </w:t>
      </w:r>
      <w:r w:rsidR="00537D65">
        <w:rPr>
          <w:rFonts w:ascii="Arial" w:hAnsi="Arial" w:cs="Arial"/>
          <w:sz w:val="20"/>
          <w:szCs w:val="20"/>
        </w:rPr>
        <w:t>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004D8E42"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7"/>
      </w:r>
      <w:r w:rsidR="00537D65">
        <w:rPr>
          <w:rFonts w:ascii="Arial" w:hAnsi="Arial" w:cs="Arial"/>
          <w:sz w:val="20"/>
          <w:szCs w:val="20"/>
        </w:rPr>
        <w:t xml:space="preserve">, </w:t>
      </w:r>
      <w:r w:rsidR="00537D65" w:rsidRPr="00B476D6">
        <w:rPr>
          <w:rFonts w:ascii="Arial" w:hAnsi="Arial" w:cs="Arial"/>
          <w:sz w:val="20"/>
          <w:szCs w:val="20"/>
        </w:rPr>
        <w:t xml:space="preserve">z zastrzeżeniem ust. </w:t>
      </w:r>
      <w:r w:rsidR="00537D65">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79D4055C"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FD6EA5F" w:rsidR="00772B3A" w:rsidRPr="005D65B3" w:rsidRDefault="00537D65"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5AAA6389" w:rsidR="00772B3A" w:rsidRPr="005D65B3" w:rsidRDefault="00537D65"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lastRenderedPageBreak/>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59A8B611" w:rsidR="00012D75" w:rsidRDefault="00537D65"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76590EAE" w14:textId="2CD2628E" w:rsidR="00AE6E04" w:rsidRPr="00334D62" w:rsidRDefault="00537D65" w:rsidP="00273B93">
      <w:pPr>
        <w:pStyle w:val="Akapitzlist"/>
        <w:numPr>
          <w:ilvl w:val="0"/>
          <w:numId w:val="31"/>
        </w:numPr>
        <w:spacing w:after="0"/>
        <w:ind w:left="709" w:hanging="283"/>
        <w:contextualSpacing w:val="0"/>
        <w:jc w:val="both"/>
        <w:rPr>
          <w:rFonts w:ascii="Arial" w:hAnsi="Arial" w:cs="Arial"/>
          <w:sz w:val="20"/>
          <w:szCs w:val="20"/>
        </w:rPr>
      </w:pPr>
      <w:r w:rsidRPr="000C45BB">
        <w:rPr>
          <w:rFonts w:ascii="Arial" w:hAnsi="Arial" w:cs="Arial"/>
          <w:sz w:val="20"/>
          <w:szCs w:val="20"/>
        </w:rPr>
        <w:t xml:space="preserve">rozszerzenie zakresu rzeczowego </w:t>
      </w:r>
      <w:r>
        <w:rPr>
          <w:rFonts w:ascii="Arial" w:hAnsi="Arial" w:cs="Arial"/>
          <w:sz w:val="20"/>
          <w:szCs w:val="20"/>
        </w:rPr>
        <w:t>P</w:t>
      </w:r>
      <w:r w:rsidRPr="000C45BB">
        <w:rPr>
          <w:rFonts w:ascii="Arial" w:hAnsi="Arial" w:cs="Arial"/>
          <w:sz w:val="20"/>
          <w:szCs w:val="20"/>
        </w:rPr>
        <w:t>rojektu, które skutkowałoby naruszeniem efektu zachęty</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lastRenderedPageBreak/>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8"/>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9"/>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51E56082"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0"/>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3F338075" w:rsidR="00533AD1" w:rsidRPr="005D65B3" w:rsidRDefault="12585183"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E1BB549"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537D65">
        <w:rPr>
          <w:rFonts w:ascii="Arial" w:hAnsi="Arial" w:cs="Arial"/>
          <w:sz w:val="20"/>
          <w:szCs w:val="20"/>
        </w:rPr>
        <w:t>Projektu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lastRenderedPageBreak/>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80660E0"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537D65">
        <w:rPr>
          <w:rFonts w:ascii="Arial" w:hAnsi="Arial" w:cs="Arial"/>
          <w:sz w:val="20"/>
          <w:szCs w:val="20"/>
        </w:rPr>
        <w:t>;</w:t>
      </w:r>
      <w:r w:rsidR="00BC12A5" w:rsidRPr="005D65B3">
        <w:rPr>
          <w:rFonts w:ascii="Arial" w:hAnsi="Arial" w:cs="Arial"/>
          <w:sz w:val="20"/>
          <w:szCs w:val="20"/>
        </w:rPr>
        <w:t xml:space="preserve">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lastRenderedPageBreak/>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17BF436D"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537D65">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49C3D5AC" w14:textId="77777777" w:rsidR="00537D65" w:rsidRPr="00C044AA" w:rsidRDefault="00537D65" w:rsidP="00537D65">
      <w:pPr>
        <w:pStyle w:val="Akapitzlist"/>
        <w:numPr>
          <w:ilvl w:val="0"/>
          <w:numId w:val="49"/>
        </w:numPr>
        <w:ind w:left="709"/>
        <w:rPr>
          <w:rFonts w:ascii="Arial" w:hAnsi="Arial" w:cs="Arial"/>
          <w:sz w:val="20"/>
          <w:szCs w:val="20"/>
        </w:rPr>
      </w:pPr>
      <w:r w:rsidRPr="006E6FDD">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Pr>
          <w:rFonts w:ascii="Arial" w:hAnsi="Arial" w:cs="Arial"/>
          <w:sz w:val="20"/>
          <w:szCs w:val="20"/>
        </w:rPr>
        <w:t>/ Konsorcjantów</w:t>
      </w:r>
      <w:r w:rsidRPr="00C83739">
        <w:rPr>
          <w:rFonts w:ascii="Arial" w:hAnsi="Arial" w:cs="Arial"/>
          <w:sz w:val="20"/>
          <w:szCs w:val="20"/>
        </w:rPr>
        <w:t xml:space="preserve"> na pokrycie wydatków niekwalifikowalnych (różnica między kwotą wydatków ogółem Projektu a kwotą dofinansowania przekazaną Beneficjentowi)</w:t>
      </w:r>
      <w:r>
        <w:rPr>
          <w:rFonts w:ascii="Arial" w:hAnsi="Arial" w:cs="Arial"/>
          <w:sz w:val="20"/>
          <w:szCs w:val="20"/>
        </w:rPr>
        <w:t>;</w:t>
      </w:r>
    </w:p>
    <w:p w14:paraId="00997218" w14:textId="2F425BAE" w:rsidR="000D6975" w:rsidRPr="00537D65" w:rsidRDefault="000D6975" w:rsidP="00537D65">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537D65">
        <w:rPr>
          <w:rFonts w:ascii="Arial" w:hAnsi="Arial" w:cs="Arial"/>
          <w:sz w:val="20"/>
          <w:szCs w:val="20"/>
        </w:rPr>
        <w:t>,</w:t>
      </w:r>
      <w:r w:rsidRPr="005D65B3">
        <w:rPr>
          <w:rFonts w:ascii="Arial" w:hAnsi="Arial" w:cs="Arial"/>
          <w:sz w:val="20"/>
          <w:szCs w:val="20"/>
        </w:rPr>
        <w:t xml:space="preserve"> </w:t>
      </w:r>
      <w:r w:rsidR="00537D65"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537D65">
        <w:rPr>
          <w:rFonts w:ascii="Arial" w:hAnsi="Arial" w:cs="Arial"/>
          <w:sz w:val="20"/>
          <w:szCs w:val="20"/>
        </w:rPr>
        <w:t xml:space="preserve"> </w:t>
      </w:r>
      <w:r w:rsidR="00537D65" w:rsidRPr="00475E92">
        <w:rPr>
          <w:rFonts w:ascii="Arial" w:hAnsi="Arial" w:cs="Arial"/>
          <w:sz w:val="20"/>
          <w:szCs w:val="20"/>
        </w:rPr>
        <w:t>wkład własny należy wnieść w formie pieniężnej</w:t>
      </w:r>
      <w:r w:rsidR="00537D65">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32EB8829"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537D65">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1"/>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t>
      </w:r>
      <w:r w:rsidRPr="005D65B3">
        <w:rPr>
          <w:rFonts w:ascii="Arial" w:hAnsi="Arial" w:cs="Arial"/>
          <w:sz w:val="20"/>
          <w:szCs w:val="20"/>
        </w:rPr>
        <w:lastRenderedPageBreak/>
        <w:t>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392598E0" w:rsidR="007F70D6" w:rsidRPr="005D65B3" w:rsidRDefault="00537D65" w:rsidP="00273B93">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rozporządzenia</w:t>
      </w:r>
      <w:r>
        <w:rPr>
          <w:rFonts w:ascii="Arial" w:hAnsi="Arial"/>
          <w:b/>
          <w:bCs/>
          <w:sz w:val="20"/>
          <w:szCs w:val="20"/>
        </w:rPr>
        <w:t xml:space="preserve"> FENG” - </w:t>
      </w:r>
      <w:r w:rsidRPr="000043C0">
        <w:rPr>
          <w:rFonts w:ascii="Arial" w:hAnsi="Arial"/>
          <w:sz w:val="20"/>
          <w:szCs w:val="20"/>
        </w:rPr>
        <w:t>rozporządzenia</w:t>
      </w:r>
      <w:r w:rsidR="007F70D6" w:rsidRPr="000043C0">
        <w:rPr>
          <w:rFonts w:ascii="Arial" w:hAnsi="Arial"/>
          <w:sz w:val="20"/>
          <w:szCs w:val="20"/>
        </w:rPr>
        <w:t xml:space="preserve"> 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7266944D"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w:t>
      </w:r>
      <w:r w:rsidR="00537D65">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34ECD05D" w:rsidR="007F70D6" w:rsidRPr="005D65B3" w:rsidRDefault="00872D98" w:rsidP="00273B93">
      <w:pPr>
        <w:pStyle w:val="Akapitzlist"/>
        <w:numPr>
          <w:ilvl w:val="0"/>
          <w:numId w:val="2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273B93">
      <w:pPr>
        <w:numPr>
          <w:ilvl w:val="0"/>
          <w:numId w:val="20"/>
        </w:numPr>
        <w:spacing w:after="0"/>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273B93">
      <w:pPr>
        <w:numPr>
          <w:ilvl w:val="0"/>
          <w:numId w:val="20"/>
        </w:numPr>
        <w:spacing w:after="0"/>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273B93">
      <w:pPr>
        <w:numPr>
          <w:ilvl w:val="0"/>
          <w:numId w:val="20"/>
        </w:numPr>
        <w:spacing w:after="0"/>
        <w:jc w:val="both"/>
        <w:rPr>
          <w:rFonts w:ascii="Arial" w:hAnsi="Arial" w:cs="Arial"/>
          <w:bCs/>
          <w:sz w:val="20"/>
          <w:szCs w:val="20"/>
        </w:rPr>
      </w:pPr>
      <w:r>
        <w:rPr>
          <w:rFonts w:ascii="Arial" w:hAnsi="Arial" w:cs="Arial"/>
          <w:b/>
          <w:sz w:val="20"/>
          <w:szCs w:val="20"/>
        </w:rPr>
        <w:lastRenderedPageBreak/>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273B93">
      <w:pPr>
        <w:numPr>
          <w:ilvl w:val="0"/>
          <w:numId w:val="20"/>
        </w:numPr>
        <w:spacing w:after="0"/>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64544063" w:rsidR="00E251C1" w:rsidRDefault="007B7E6B"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00537D65">
        <w:rPr>
          <w:rFonts w:ascii="Arial" w:hAnsi="Arial" w:cs="Arial"/>
          <w:b/>
          <w:bCs/>
          <w:sz w:val="20"/>
          <w:szCs w:val="20"/>
        </w:rPr>
        <w:t xml:space="preserve"> </w:t>
      </w:r>
      <w:r w:rsidR="00537D65" w:rsidRPr="00B566F0">
        <w:rPr>
          <w:rFonts w:ascii="Arial" w:hAnsi="Arial" w:cs="Arial"/>
          <w:b/>
          <w:bCs/>
          <w:sz w:val="20"/>
          <w:szCs w:val="20"/>
        </w:rPr>
        <w:t>(</w:t>
      </w:r>
      <w:r w:rsidR="00537D65" w:rsidRPr="00F55645">
        <w:rPr>
          <w:rFonts w:ascii="Arial" w:hAnsi="Arial" w:cs="Arial"/>
          <w:b/>
          <w:bCs/>
          <w:sz w:val="20"/>
          <w:szCs w:val="20"/>
          <w:lang w:val="pl"/>
        </w:rPr>
        <w:t>C/2024/3209)</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537D65">
        <w:rPr>
          <w:rFonts w:ascii="Arial" w:hAnsi="Arial" w:cs="Arial"/>
          <w:sz w:val="20"/>
          <w:szCs w:val="20"/>
        </w:rPr>
        <w:t xml:space="preserve"> </w:t>
      </w:r>
      <w:r w:rsidR="00537D65" w:rsidRPr="00E610C1">
        <w:rPr>
          <w:rFonts w:ascii="Arial" w:hAnsi="Arial" w:cs="Arial"/>
          <w:sz w:val="20"/>
          <w:szCs w:val="20"/>
        </w:rPr>
        <w:t>z dnia 13 maja 2024 r.</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537D65">
        <w:rPr>
          <w:rFonts w:ascii="Arial" w:hAnsi="Arial" w:cs="Arial"/>
          <w:sz w:val="20"/>
          <w:szCs w:val="20"/>
        </w:rPr>
        <w:t>;</w:t>
      </w:r>
    </w:p>
    <w:p w14:paraId="4C780614" w14:textId="467EA4B2" w:rsidR="00537D65" w:rsidRPr="000043C0" w:rsidRDefault="00537D65" w:rsidP="00537D65">
      <w:pPr>
        <w:numPr>
          <w:ilvl w:val="0"/>
          <w:numId w:val="20"/>
        </w:numPr>
        <w:spacing w:before="120" w:after="120"/>
        <w:jc w:val="both"/>
        <w:rPr>
          <w:rFonts w:ascii="Arial" w:hAnsi="Arial" w:cs="Arial"/>
          <w:sz w:val="20"/>
          <w:szCs w:val="20"/>
          <w:lang w:val="pl"/>
        </w:rPr>
      </w:pPr>
      <w:r w:rsidRPr="00E5606F">
        <w:rPr>
          <w:rFonts w:ascii="Arial" w:hAnsi="Arial" w:cs="Arial"/>
          <w:b/>
          <w:bCs/>
          <w:sz w:val="20"/>
          <w:szCs w:val="20"/>
        </w:rPr>
        <w:t>„</w:t>
      </w:r>
      <w:r>
        <w:rPr>
          <w:rFonts w:ascii="Arial" w:hAnsi="Arial" w:cs="Arial"/>
          <w:b/>
          <w:bCs/>
          <w:sz w:val="20"/>
          <w:szCs w:val="20"/>
        </w:rPr>
        <w:t>w</w:t>
      </w:r>
      <w:r w:rsidRPr="00E5606F">
        <w:rPr>
          <w:rFonts w:ascii="Arial" w:hAnsi="Arial" w:cs="Arial"/>
          <w:b/>
          <w:bCs/>
          <w:sz w:val="20"/>
          <w:szCs w:val="20"/>
        </w:rPr>
        <w:t xml:space="preserve">ytycznych Komisji </w:t>
      </w:r>
      <w:r w:rsidRPr="00E5606F">
        <w:rPr>
          <w:rFonts w:ascii="Arial" w:hAnsi="Arial" w:cs="Arial"/>
          <w:b/>
          <w:bCs/>
          <w:sz w:val="20"/>
          <w:szCs w:val="20"/>
          <w:lang w:val="pl"/>
        </w:rPr>
        <w:t>(C/2025/6798)”</w:t>
      </w:r>
      <w:r>
        <w:rPr>
          <w:rFonts w:ascii="Arial" w:hAnsi="Arial" w:cs="Arial"/>
          <w:b/>
          <w:bCs/>
          <w:sz w:val="20"/>
          <w:szCs w:val="20"/>
          <w:lang w:val="pl"/>
        </w:rPr>
        <w:t xml:space="preserve"> -</w:t>
      </w:r>
      <w:r w:rsidRPr="00E5606F">
        <w:rPr>
          <w:rFonts w:eastAsia="Arial" w:cstheme="minorHAnsi"/>
          <w:sz w:val="24"/>
          <w:szCs w:val="24"/>
          <w:lang w:val="pl"/>
        </w:rPr>
        <w:t xml:space="preserve"> </w:t>
      </w:r>
      <w:r>
        <w:rPr>
          <w:rFonts w:eastAsia="Arial" w:cstheme="minorHAnsi"/>
          <w:sz w:val="24"/>
          <w:szCs w:val="24"/>
          <w:lang w:val="pl"/>
        </w:rPr>
        <w:t>k</w:t>
      </w:r>
      <w:r w:rsidRPr="00E5606F">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r>
        <w:rPr>
          <w:rFonts w:ascii="Arial" w:hAnsi="Arial" w:cs="Arial"/>
          <w:sz w:val="20"/>
          <w:szCs w:val="20"/>
          <w:lang w:val="pl"/>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29A41304"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537D65">
        <w:rPr>
          <w:rFonts w:ascii="Arial" w:hAnsi="Arial" w:cs="Arial"/>
          <w:sz w:val="20"/>
          <w:szCs w:val="20"/>
        </w:rPr>
        <w:t xml:space="preserve"> wraz z załącznikami</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lastRenderedPageBreak/>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2"/>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0F36FDE5"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73"/>
      </w:r>
      <w:r w:rsidR="008A2D58">
        <w:rPr>
          <w:rFonts w:ascii="Arial" w:hAnsi="Arial" w:cs="Arial"/>
          <w:sz w:val="20"/>
          <w:szCs w:val="20"/>
        </w:rPr>
        <w:t>;</w:t>
      </w:r>
    </w:p>
    <w:p w14:paraId="573370E7" w14:textId="33121B1C"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4"/>
      </w:r>
      <w:r w:rsidR="00537D6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07BA" w14:textId="77777777" w:rsidR="009F1379" w:rsidRDefault="009F1379" w:rsidP="001F6437">
      <w:pPr>
        <w:spacing w:after="0" w:line="240" w:lineRule="auto"/>
      </w:pPr>
      <w:r>
        <w:separator/>
      </w:r>
    </w:p>
  </w:endnote>
  <w:endnote w:type="continuationSeparator" w:id="0">
    <w:p w14:paraId="0FD9FA52" w14:textId="77777777" w:rsidR="009F1379" w:rsidRDefault="009F1379" w:rsidP="001F6437">
      <w:pPr>
        <w:spacing w:after="0" w:line="240" w:lineRule="auto"/>
      </w:pPr>
      <w:r>
        <w:continuationSeparator/>
      </w:r>
    </w:p>
  </w:endnote>
  <w:endnote w:type="continuationNotice" w:id="1">
    <w:p w14:paraId="0D0BC56A" w14:textId="77777777" w:rsidR="009F1379" w:rsidRDefault="009F1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0403" w14:textId="77777777" w:rsidR="009F1379" w:rsidRDefault="009F1379" w:rsidP="001F6437">
      <w:pPr>
        <w:spacing w:after="0" w:line="240" w:lineRule="auto"/>
      </w:pPr>
      <w:r>
        <w:separator/>
      </w:r>
    </w:p>
  </w:footnote>
  <w:footnote w:type="continuationSeparator" w:id="0">
    <w:p w14:paraId="57E6B45F" w14:textId="77777777" w:rsidR="009F1379" w:rsidRDefault="009F1379" w:rsidP="001F6437">
      <w:pPr>
        <w:spacing w:after="0" w:line="240" w:lineRule="auto"/>
      </w:pPr>
      <w:r>
        <w:continuationSeparator/>
      </w:r>
    </w:p>
  </w:footnote>
  <w:footnote w:type="continuationNotice" w:id="1">
    <w:p w14:paraId="1F5BBC6B" w14:textId="77777777" w:rsidR="009F1379" w:rsidRDefault="009F1379">
      <w:pPr>
        <w:spacing w:after="0" w:line="240" w:lineRule="auto"/>
      </w:pPr>
    </w:p>
  </w:footnote>
  <w:footnote w:id="2">
    <w:p w14:paraId="07EEF5F9" w14:textId="73D01DE5" w:rsidR="00F7340C" w:rsidRPr="00464D69" w:rsidRDefault="00F501E7" w:rsidP="0041233C">
      <w:pPr>
        <w:spacing w:after="0"/>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lang w:eastAsia="x-none"/>
        </w:rPr>
        <w:t xml:space="preserve"> </w:t>
      </w:r>
      <w:r w:rsidR="00DB708B" w:rsidRPr="00464D69">
        <w:rPr>
          <w:rFonts w:ascii="Arial" w:hAnsi="Arial" w:cs="Arial"/>
          <w:sz w:val="16"/>
          <w:szCs w:val="16"/>
          <w:lang w:eastAsia="x-none"/>
        </w:rPr>
        <w:t>Stronę należy określić zgodnie z Instrukcją oznaczania stron Umowy.</w:t>
      </w:r>
      <w:r w:rsidR="005E6A35" w:rsidRPr="00464D69">
        <w:rPr>
          <w:rFonts w:ascii="Arial" w:hAnsi="Arial" w:cs="Arial"/>
          <w:sz w:val="16"/>
          <w:szCs w:val="16"/>
        </w:rPr>
        <w:t xml:space="preserve"> </w:t>
      </w:r>
    </w:p>
  </w:footnote>
  <w:footnote w:id="3">
    <w:p w14:paraId="19A62FB0" w14:textId="69BBB29D" w:rsidR="000A0E4B" w:rsidRPr="00464D69" w:rsidRDefault="000A0E4B" w:rsidP="00F7340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Kwotę kosztów kwalifikowanych należy wykazać oddzielnie dla każdego z Konsorcj</w:t>
      </w:r>
      <w:r w:rsidR="00250A54" w:rsidRPr="00464D69">
        <w:rPr>
          <w:rFonts w:ascii="Arial" w:hAnsi="Arial" w:cs="Arial"/>
          <w:sz w:val="16"/>
          <w:szCs w:val="16"/>
          <w:lang w:eastAsia="x-none"/>
        </w:rPr>
        <w:t>antów</w:t>
      </w:r>
      <w:r w:rsidRPr="00464D69">
        <w:rPr>
          <w:rFonts w:ascii="Arial" w:hAnsi="Arial" w:cs="Arial"/>
          <w:sz w:val="16"/>
          <w:szCs w:val="16"/>
          <w:lang w:eastAsia="x-none"/>
        </w:rPr>
        <w:t>.</w:t>
      </w:r>
    </w:p>
  </w:footnote>
  <w:footnote w:id="4">
    <w:p w14:paraId="06B680EA" w14:textId="40384C44" w:rsidR="006E7960" w:rsidRPr="00464D69" w:rsidRDefault="006E7960" w:rsidP="00D21D10">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Kwota może ulec zmianie zgodnie z zasadami określonymi  w § 5 ust. 21</w:t>
      </w:r>
      <w:r w:rsidR="00F5291E" w:rsidRPr="00464D69">
        <w:rPr>
          <w:rFonts w:ascii="Arial" w:hAnsi="Arial" w:cs="Arial"/>
          <w:sz w:val="16"/>
          <w:szCs w:val="16"/>
        </w:rPr>
        <w:t xml:space="preserve"> </w:t>
      </w:r>
      <w:r w:rsidRPr="00464D69">
        <w:rPr>
          <w:rFonts w:ascii="Arial" w:hAnsi="Arial" w:cs="Arial"/>
          <w:sz w:val="16"/>
          <w:szCs w:val="16"/>
        </w:rPr>
        <w:t>Umowy</w:t>
      </w:r>
      <w:r w:rsidR="00F5291E" w:rsidRPr="00464D69">
        <w:rPr>
          <w:rFonts w:ascii="Arial" w:hAnsi="Arial" w:cs="Arial"/>
          <w:sz w:val="16"/>
          <w:szCs w:val="16"/>
        </w:rPr>
        <w:t>.</w:t>
      </w:r>
    </w:p>
  </w:footnote>
  <w:footnote w:id="5">
    <w:p w14:paraId="57B033B2" w14:textId="2EE1D90D" w:rsidR="00B324DA" w:rsidRPr="00464D69" w:rsidRDefault="00B324DA">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eastAsiaTheme="minorHAnsi" w:hAnsi="Arial" w:cs="Arial"/>
          <w:sz w:val="16"/>
          <w:szCs w:val="16"/>
          <w:lang w:eastAsia="en-US"/>
        </w:rPr>
        <w:t>W przypadku braku dan</w:t>
      </w:r>
      <w:r w:rsidR="007C1C1B" w:rsidRPr="00464D69">
        <w:rPr>
          <w:rFonts w:ascii="Arial" w:eastAsiaTheme="minorHAnsi" w:hAnsi="Arial" w:cs="Arial"/>
          <w:sz w:val="16"/>
          <w:szCs w:val="16"/>
          <w:lang w:eastAsia="en-US"/>
        </w:rPr>
        <w:t xml:space="preserve">ego </w:t>
      </w:r>
      <w:r w:rsidR="009D0143" w:rsidRPr="00464D69">
        <w:rPr>
          <w:rFonts w:ascii="Arial" w:eastAsiaTheme="minorHAnsi" w:hAnsi="Arial" w:cs="Arial"/>
          <w:sz w:val="16"/>
          <w:szCs w:val="16"/>
          <w:lang w:eastAsia="en-US"/>
        </w:rPr>
        <w:t>rodzaju pomocy należy wpisać „0”.</w:t>
      </w:r>
    </w:p>
  </w:footnote>
  <w:footnote w:id="6">
    <w:p w14:paraId="661C605A" w14:textId="5CD18F09" w:rsidR="00503FF2" w:rsidRPr="00464D69" w:rsidRDefault="00503FF2">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Kwotę dofinansowania należy wykazać oddzielnie dla każdego z </w:t>
      </w:r>
      <w:r w:rsidR="001B4F2A" w:rsidRPr="00464D69">
        <w:rPr>
          <w:rFonts w:ascii="Arial" w:hAnsi="Arial" w:cs="Arial"/>
          <w:sz w:val="16"/>
          <w:szCs w:val="16"/>
          <w:lang w:eastAsia="x-none"/>
        </w:rPr>
        <w:t>K</w:t>
      </w:r>
      <w:r w:rsidR="005C43F6" w:rsidRPr="00464D69">
        <w:rPr>
          <w:rFonts w:ascii="Arial" w:hAnsi="Arial" w:cs="Arial"/>
          <w:sz w:val="16"/>
          <w:szCs w:val="16"/>
          <w:lang w:eastAsia="x-none"/>
        </w:rPr>
        <w:t>onsorcj</w:t>
      </w:r>
      <w:r w:rsidR="00570150" w:rsidRPr="00464D69">
        <w:rPr>
          <w:rFonts w:ascii="Arial" w:hAnsi="Arial" w:cs="Arial"/>
          <w:sz w:val="16"/>
          <w:szCs w:val="16"/>
          <w:lang w:eastAsia="x-none"/>
        </w:rPr>
        <w:t>antów</w:t>
      </w:r>
      <w:r w:rsidRPr="00464D69">
        <w:rPr>
          <w:rFonts w:ascii="Arial" w:hAnsi="Arial" w:cs="Arial"/>
          <w:sz w:val="16"/>
          <w:szCs w:val="16"/>
          <w:lang w:eastAsia="x-none"/>
        </w:rPr>
        <w:t>.</w:t>
      </w:r>
    </w:p>
  </w:footnote>
  <w:footnote w:id="7">
    <w:p w14:paraId="425076BA" w14:textId="77777777" w:rsidR="00F01311" w:rsidRPr="00464D69" w:rsidRDefault="00F01311" w:rsidP="00F01311">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Kwotę dofinansowania należy wykazać oddzielnie dla każdego z Konsorcjantów.</w:t>
      </w:r>
    </w:p>
  </w:footnote>
  <w:footnote w:id="8">
    <w:p w14:paraId="3E5FF82D" w14:textId="17D0397D" w:rsidR="00DB708B" w:rsidRPr="00464D69" w:rsidRDefault="00DB708B" w:rsidP="00B0212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  przypadku regulaminów pracy konieczne jest uwzględnienie przesłanek </w:t>
      </w:r>
      <w:r w:rsidR="000F620F" w:rsidRPr="00464D69">
        <w:rPr>
          <w:rFonts w:ascii="Arial" w:hAnsi="Arial" w:cs="Arial"/>
          <w:sz w:val="16"/>
          <w:szCs w:val="16"/>
        </w:rPr>
        <w:t>w</w:t>
      </w:r>
      <w:r w:rsidRPr="00464D69">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464D69" w:rsidRDefault="008F27FA" w:rsidP="00B0212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Style w:val="Odwoanieprzypisudolnego"/>
          <w:rFonts w:ascii="Arial" w:hAnsi="Arial" w:cs="Arial"/>
          <w:sz w:val="16"/>
          <w:szCs w:val="16"/>
        </w:rPr>
        <w:t xml:space="preserve"> </w:t>
      </w:r>
      <w:r w:rsidR="008F4DCE" w:rsidRPr="00464D69">
        <w:rPr>
          <w:rFonts w:ascii="Arial" w:hAnsi="Arial" w:cs="Arial"/>
          <w:sz w:val="16"/>
          <w:szCs w:val="16"/>
        </w:rPr>
        <w:t xml:space="preserve">W przypadku kiedy </w:t>
      </w:r>
      <w:r w:rsidR="006727F0" w:rsidRPr="00464D69">
        <w:rPr>
          <w:rFonts w:ascii="Arial" w:hAnsi="Arial" w:cs="Arial"/>
          <w:sz w:val="16"/>
          <w:szCs w:val="16"/>
        </w:rPr>
        <w:t>postanowienia Umowy</w:t>
      </w:r>
      <w:r w:rsidR="008F4DCE" w:rsidRPr="00464D69">
        <w:rPr>
          <w:rFonts w:ascii="Arial" w:hAnsi="Arial" w:cs="Arial"/>
          <w:sz w:val="16"/>
          <w:szCs w:val="16"/>
        </w:rPr>
        <w:t xml:space="preserve"> i umowy </w:t>
      </w:r>
      <w:r w:rsidR="003023C3" w:rsidRPr="00464D69">
        <w:rPr>
          <w:rFonts w:ascii="Arial" w:hAnsi="Arial" w:cs="Arial"/>
          <w:sz w:val="16"/>
          <w:szCs w:val="16"/>
        </w:rPr>
        <w:t>konsorcjum</w:t>
      </w:r>
      <w:r w:rsidR="008F4DCE" w:rsidRPr="00464D69">
        <w:rPr>
          <w:rFonts w:ascii="Arial" w:hAnsi="Arial" w:cs="Arial"/>
          <w:sz w:val="16"/>
          <w:szCs w:val="16"/>
        </w:rPr>
        <w:t xml:space="preserve"> są sprzeczne lub wzajemnie </w:t>
      </w:r>
      <w:r w:rsidR="003602D1" w:rsidRPr="00464D69">
        <w:rPr>
          <w:rFonts w:ascii="Arial" w:hAnsi="Arial" w:cs="Arial"/>
          <w:sz w:val="16"/>
          <w:szCs w:val="16"/>
        </w:rPr>
        <w:t xml:space="preserve">się </w:t>
      </w:r>
      <w:r w:rsidR="008F4DCE" w:rsidRPr="00464D69">
        <w:rPr>
          <w:rFonts w:ascii="Arial" w:hAnsi="Arial" w:cs="Arial"/>
          <w:sz w:val="16"/>
          <w:szCs w:val="16"/>
        </w:rPr>
        <w:t>wykluczają nadrzędn</w:t>
      </w:r>
      <w:r w:rsidR="00FA138E" w:rsidRPr="00464D69">
        <w:rPr>
          <w:rFonts w:ascii="Arial" w:hAnsi="Arial" w:cs="Arial"/>
          <w:sz w:val="16"/>
          <w:szCs w:val="16"/>
        </w:rPr>
        <w:t>e są postanowienia</w:t>
      </w:r>
      <w:r w:rsidR="008F4DCE" w:rsidRPr="00464D69">
        <w:rPr>
          <w:rFonts w:ascii="Arial" w:hAnsi="Arial" w:cs="Arial"/>
          <w:sz w:val="16"/>
          <w:szCs w:val="16"/>
        </w:rPr>
        <w:t xml:space="preserve"> </w:t>
      </w:r>
      <w:r w:rsidR="00FA138E" w:rsidRPr="00464D69">
        <w:rPr>
          <w:rFonts w:ascii="Arial" w:hAnsi="Arial" w:cs="Arial"/>
          <w:sz w:val="16"/>
          <w:szCs w:val="16"/>
        </w:rPr>
        <w:t>Umowy</w:t>
      </w:r>
      <w:r w:rsidR="00CA34FA" w:rsidRPr="00464D69">
        <w:rPr>
          <w:rFonts w:ascii="Arial" w:hAnsi="Arial" w:cs="Arial"/>
          <w:sz w:val="16"/>
          <w:szCs w:val="16"/>
        </w:rPr>
        <w:t>.</w:t>
      </w:r>
    </w:p>
  </w:footnote>
  <w:footnote w:id="10">
    <w:p w14:paraId="4E1E3A97" w14:textId="46F4997A" w:rsidR="004023C9" w:rsidRPr="00464D69" w:rsidRDefault="004023C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r w:rsidR="006727F0" w:rsidRPr="00464D69">
        <w:rPr>
          <w:rFonts w:ascii="Arial" w:hAnsi="Arial" w:cs="Arial"/>
          <w:sz w:val="16"/>
          <w:szCs w:val="16"/>
        </w:rPr>
        <w:t>.</w:t>
      </w:r>
    </w:p>
  </w:footnote>
  <w:footnote w:id="11">
    <w:p w14:paraId="2F885327" w14:textId="34D6937B" w:rsidR="0038354B" w:rsidRPr="00464D69" w:rsidRDefault="0038354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464D69" w:rsidRDefault="004023C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464D69" w:rsidRDefault="00B06BBD" w:rsidP="00E67198">
      <w:pPr>
        <w:pStyle w:val="Tekstprzypisudolnego"/>
        <w:jc w:val="both"/>
        <w:rPr>
          <w:rFonts w:ascii="Arial" w:hAnsi="Arial" w:cs="Arial"/>
          <w:sz w:val="16"/>
          <w:szCs w:val="16"/>
        </w:rPr>
      </w:pPr>
      <w:r w:rsidRPr="00464D69">
        <w:rPr>
          <w:rFonts w:ascii="Arial" w:hAnsi="Arial" w:cs="Arial"/>
          <w:sz w:val="16"/>
          <w:szCs w:val="16"/>
          <w:vertAlign w:val="superscript"/>
        </w:rPr>
        <w:footnoteRef/>
      </w:r>
      <w:r w:rsidRPr="00464D69">
        <w:rPr>
          <w:rFonts w:ascii="Arial" w:hAnsi="Arial" w:cs="Arial"/>
          <w:sz w:val="16"/>
          <w:szCs w:val="16"/>
        </w:rPr>
        <w:t xml:space="preserve"> Wybrać właściwe</w:t>
      </w:r>
    </w:p>
  </w:footnote>
  <w:footnote w:id="14">
    <w:p w14:paraId="41E4E309" w14:textId="0C3940A3" w:rsidR="00B06BBD" w:rsidRPr="00464D69" w:rsidRDefault="00B06BB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Jeżeli zezwolenie na inwestycję jest wymagane lub </w:t>
      </w:r>
      <w:r w:rsidR="00D8741D" w:rsidRPr="00464D69">
        <w:rPr>
          <w:rFonts w:ascii="Arial" w:hAnsi="Arial" w:cs="Arial"/>
          <w:sz w:val="16"/>
          <w:szCs w:val="16"/>
          <w:lang w:eastAsia="x-none"/>
        </w:rPr>
        <w:t xml:space="preserve">uzyskano </w:t>
      </w:r>
      <w:r w:rsidRPr="00464D69">
        <w:rPr>
          <w:rFonts w:ascii="Arial" w:hAnsi="Arial" w:cs="Arial"/>
          <w:sz w:val="16"/>
          <w:szCs w:val="16"/>
          <w:lang w:eastAsia="x-none"/>
        </w:rPr>
        <w:t>zgody i pozwolenia na realizację przedsięwzięcia,</w:t>
      </w:r>
      <w:r w:rsidR="001E3A63" w:rsidRPr="00464D69">
        <w:rPr>
          <w:rFonts w:ascii="Arial" w:hAnsi="Arial" w:cs="Arial"/>
          <w:sz w:val="16"/>
          <w:szCs w:val="16"/>
          <w:lang w:eastAsia="x-none"/>
        </w:rPr>
        <w:t xml:space="preserve"> </w:t>
      </w:r>
      <w:r w:rsidR="009D64D2" w:rsidRPr="00464D69">
        <w:rPr>
          <w:rFonts w:ascii="Arial" w:hAnsi="Arial" w:cs="Arial"/>
          <w:sz w:val="16"/>
          <w:szCs w:val="16"/>
          <w:lang w:eastAsia="x-none"/>
        </w:rPr>
        <w:t xml:space="preserve">Beneficjent </w:t>
      </w:r>
      <w:r w:rsidRPr="00464D69">
        <w:rPr>
          <w:rFonts w:ascii="Arial" w:hAnsi="Arial" w:cs="Arial"/>
          <w:sz w:val="16"/>
          <w:szCs w:val="16"/>
          <w:lang w:eastAsia="x-none"/>
        </w:rPr>
        <w:t>przedstawia aktualizację</w:t>
      </w:r>
      <w:r w:rsidR="001E3A63" w:rsidRPr="00464D69">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464D69" w:rsidRDefault="00B06BBD" w:rsidP="00B06BBD">
      <w:pPr>
        <w:pStyle w:val="Tekstprzypisudolnego"/>
        <w:rPr>
          <w:rFonts w:ascii="Arial" w:hAnsi="Arial" w:cs="Arial"/>
          <w:sz w:val="16"/>
          <w:szCs w:val="16"/>
          <w:lang w:eastAsia="en-US"/>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Wybrać właściwe</w:t>
      </w:r>
      <w:r w:rsidR="00FA138E" w:rsidRPr="00464D69">
        <w:rPr>
          <w:rFonts w:ascii="Arial" w:hAnsi="Arial" w:cs="Arial"/>
          <w:sz w:val="16"/>
          <w:szCs w:val="16"/>
          <w:lang w:eastAsia="en-US"/>
        </w:rPr>
        <w:t>.</w:t>
      </w:r>
    </w:p>
  </w:footnote>
  <w:footnote w:id="16">
    <w:p w14:paraId="16759BA0" w14:textId="66854391"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p>
  </w:footnote>
  <w:footnote w:id="17">
    <w:p w14:paraId="7BE5CDBA" w14:textId="0D2F93AF"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Chodzi tu zarówno o sprzęt komputerowy i system komputerowy, ale również inną aparaturę, maszyny i urządzenia, które</w:t>
      </w:r>
      <w:r w:rsidR="00B11402" w:rsidRPr="00464D69">
        <w:rPr>
          <w:rFonts w:ascii="Arial" w:hAnsi="Arial" w:cs="Arial"/>
          <w:sz w:val="16"/>
          <w:szCs w:val="16"/>
        </w:rPr>
        <w:t xml:space="preserve"> Beneficjent</w:t>
      </w:r>
      <w:r w:rsidRPr="00464D69">
        <w:rPr>
          <w:rFonts w:ascii="Arial" w:hAnsi="Arial" w:cs="Arial"/>
          <w:sz w:val="16"/>
          <w:szCs w:val="16"/>
        </w:rPr>
        <w:t xml:space="preserve"> będzie wykorzystywał w trakcie realizacji </w:t>
      </w:r>
      <w:r w:rsidR="00B11402" w:rsidRPr="00464D69">
        <w:rPr>
          <w:rFonts w:ascii="Arial" w:hAnsi="Arial" w:cs="Arial"/>
          <w:sz w:val="16"/>
          <w:szCs w:val="16"/>
        </w:rPr>
        <w:t>P</w:t>
      </w:r>
      <w:r w:rsidRPr="00464D69">
        <w:rPr>
          <w:rFonts w:ascii="Arial" w:hAnsi="Arial" w:cs="Arial"/>
          <w:sz w:val="16"/>
          <w:szCs w:val="16"/>
        </w:rPr>
        <w:t>rojektu.</w:t>
      </w:r>
    </w:p>
  </w:footnote>
  <w:footnote w:id="22">
    <w:p w14:paraId="16C78CAA" w14:textId="77777777" w:rsidR="00DB708B" w:rsidRPr="00464D69" w:rsidRDefault="00DB708B" w:rsidP="0056140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p>
  </w:footnote>
  <w:footnote w:id="23">
    <w:p w14:paraId="1AA914B5" w14:textId="4E349C1D" w:rsidR="00BC453C" w:rsidRPr="00464D69" w:rsidRDefault="00BC453C" w:rsidP="00BC453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Beneficjent oraz pozostali </w:t>
      </w:r>
      <w:r w:rsidR="006A3222" w:rsidRPr="00464D69">
        <w:rPr>
          <w:rFonts w:ascii="Arial" w:hAnsi="Arial" w:cs="Arial"/>
          <w:sz w:val="16"/>
          <w:szCs w:val="16"/>
        </w:rPr>
        <w:t>c</w:t>
      </w:r>
      <w:r w:rsidRPr="00464D69">
        <w:rPr>
          <w:rFonts w:ascii="Arial" w:hAnsi="Arial" w:cs="Arial"/>
          <w:sz w:val="16"/>
          <w:szCs w:val="16"/>
        </w:rPr>
        <w:t>złonkowie konsorcjum</w:t>
      </w:r>
      <w:r w:rsidR="00810615" w:rsidRPr="00464D69">
        <w:rPr>
          <w:rFonts w:ascii="Arial" w:hAnsi="Arial" w:cs="Arial"/>
          <w:sz w:val="16"/>
          <w:szCs w:val="16"/>
        </w:rPr>
        <w:t xml:space="preserve"> mu</w:t>
      </w:r>
      <w:r w:rsidR="00263092" w:rsidRPr="00464D69">
        <w:rPr>
          <w:rFonts w:ascii="Arial" w:hAnsi="Arial" w:cs="Arial"/>
          <w:sz w:val="16"/>
          <w:szCs w:val="16"/>
        </w:rPr>
        <w:t>szą być</w:t>
      </w:r>
      <w:r w:rsidR="00810615" w:rsidRPr="00464D69">
        <w:rPr>
          <w:rFonts w:ascii="Arial" w:hAnsi="Arial" w:cs="Arial"/>
          <w:sz w:val="16"/>
          <w:szCs w:val="16"/>
        </w:rPr>
        <w:t xml:space="preserve"> kontrolowan</w:t>
      </w:r>
      <w:r w:rsidR="00263092" w:rsidRPr="00464D69">
        <w:rPr>
          <w:rFonts w:ascii="Arial" w:hAnsi="Arial" w:cs="Arial"/>
          <w:sz w:val="16"/>
          <w:szCs w:val="16"/>
        </w:rPr>
        <w:t>i</w:t>
      </w:r>
      <w:r w:rsidR="006025CE" w:rsidRPr="00464D69">
        <w:rPr>
          <w:rFonts w:ascii="Arial" w:hAnsi="Arial" w:cs="Arial"/>
          <w:sz w:val="16"/>
          <w:szCs w:val="16"/>
        </w:rPr>
        <w:t xml:space="preserve"> (musi być sprawowana kontrola)</w:t>
      </w:r>
      <w:r w:rsidR="00507CA8" w:rsidRPr="00464D69">
        <w:rPr>
          <w:rFonts w:ascii="Arial" w:hAnsi="Arial" w:cs="Arial"/>
          <w:sz w:val="16"/>
          <w:szCs w:val="16"/>
        </w:rPr>
        <w:t xml:space="preserve"> przez państwo lub podmiot </w:t>
      </w:r>
      <w:r w:rsidR="00C1214F" w:rsidRPr="00464D69">
        <w:rPr>
          <w:rFonts w:ascii="Arial" w:hAnsi="Arial" w:cs="Arial"/>
          <w:sz w:val="16"/>
          <w:szCs w:val="16"/>
        </w:rPr>
        <w:t>należący do UE</w:t>
      </w:r>
      <w:r w:rsidR="005D218B" w:rsidRPr="00464D69">
        <w:rPr>
          <w:rFonts w:ascii="Arial" w:hAnsi="Arial" w:cs="Arial"/>
          <w:sz w:val="16"/>
          <w:szCs w:val="16"/>
        </w:rPr>
        <w:t>.</w:t>
      </w:r>
    </w:p>
    <w:p w14:paraId="2C67DFDD" w14:textId="0693FCE0" w:rsidR="00BC453C" w:rsidRPr="00464D69" w:rsidRDefault="00BC453C" w:rsidP="00103B48">
      <w:pPr>
        <w:pStyle w:val="Tekstprzypisudolnego"/>
        <w:rPr>
          <w:rFonts w:ascii="Arial" w:hAnsi="Arial" w:cs="Arial"/>
          <w:sz w:val="16"/>
          <w:szCs w:val="16"/>
        </w:rPr>
      </w:pPr>
    </w:p>
  </w:footnote>
  <w:footnote w:id="24">
    <w:p w14:paraId="31593C0A" w14:textId="77777777" w:rsidR="0052481E" w:rsidRPr="00464D69" w:rsidRDefault="0052481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w:t>
      </w:r>
    </w:p>
    <w:p w14:paraId="3555FECF"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c)</w:t>
      </w:r>
      <w:r w:rsidRPr="00464D69">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d)</w:t>
      </w:r>
      <w:r w:rsidRPr="00464D69">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464D69" w:rsidRDefault="0052481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Cena może zostać uznana za rynkową, jeśli: </w:t>
      </w:r>
    </w:p>
    <w:p w14:paraId="6E41553E" w14:textId="691897E4"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a)</w:t>
      </w:r>
      <w:r w:rsidRPr="00464D69">
        <w:rPr>
          <w:rFonts w:ascii="Arial" w:hAnsi="Arial" w:cs="Arial"/>
          <w:sz w:val="16"/>
          <w:szCs w:val="16"/>
        </w:rPr>
        <w:tab/>
        <w:t>jej wysokość określono w drodze otwartej, przejrzystej i niedyskryminacyjnej konkurencyjnej procedury udzielenia licencji; lub</w:t>
      </w:r>
    </w:p>
    <w:p w14:paraId="5B702E0C"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b)</w:t>
      </w:r>
      <w:r w:rsidRPr="00464D69">
        <w:rPr>
          <w:rFonts w:ascii="Arial" w:hAnsi="Arial" w:cs="Arial"/>
          <w:sz w:val="16"/>
          <w:szCs w:val="16"/>
        </w:rPr>
        <w:tab/>
        <w:t>wycena niezależnego eksperta potwierdza, że cena jest co najmniej równa wartości rynkowej; lub</w:t>
      </w:r>
    </w:p>
    <w:p w14:paraId="79A36C61" w14:textId="7E2F55A5"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c)</w:t>
      </w:r>
      <w:r w:rsidRPr="00464D69">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d)</w:t>
      </w:r>
      <w:r w:rsidRPr="00464D69">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26AF0E30" w14:textId="77777777" w:rsidR="00160005" w:rsidRPr="00160005" w:rsidRDefault="00160005" w:rsidP="00160005">
      <w:pPr>
        <w:pStyle w:val="Tekstprzypisudolnego"/>
        <w:rPr>
          <w:rFonts w:ascii="Arial" w:hAnsi="Arial" w:cs="Arial"/>
          <w:sz w:val="16"/>
          <w:szCs w:val="16"/>
        </w:rPr>
      </w:pPr>
      <w:r w:rsidRPr="00D96A13">
        <w:rPr>
          <w:rStyle w:val="Odwoanieprzypisudolnego"/>
          <w:rFonts w:ascii="Arial" w:hAnsi="Arial" w:cs="Arial"/>
          <w:sz w:val="16"/>
          <w:szCs w:val="16"/>
        </w:rPr>
        <w:footnoteRef/>
      </w:r>
      <w:r w:rsidRPr="00D96A13">
        <w:rPr>
          <w:rStyle w:val="Odwoanieprzypisudolnego"/>
          <w:rFonts w:ascii="Arial" w:hAnsi="Arial" w:cs="Arial"/>
          <w:sz w:val="16"/>
          <w:szCs w:val="16"/>
        </w:rPr>
        <w:t xml:space="preserve"> </w:t>
      </w:r>
      <w:r w:rsidRPr="000043C0">
        <w:rPr>
          <w:rFonts w:ascii="Arial" w:hAnsi="Arial" w:cs="Arial"/>
          <w:sz w:val="16"/>
          <w:szCs w:val="16"/>
        </w:rPr>
        <w:t>Warunek jest obligatoryjny, jeśli wnioskodawca zadeklarował we wniosku o dofinansowanie miejsce wdrożenia wyników na terytorium RP i otrzymał za to dodatkowe punkty w ocenie.</w:t>
      </w:r>
    </w:p>
  </w:footnote>
  <w:footnote w:id="27">
    <w:p w14:paraId="421EF7F3" w14:textId="77777777" w:rsidR="00731010" w:rsidRPr="00464D69" w:rsidRDefault="00731010"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Cena może zostać uznana za rynkową, jeśli: </w:t>
      </w:r>
    </w:p>
    <w:p w14:paraId="391AF693" w14:textId="4369AF10" w:rsidR="00731010" w:rsidRPr="00464D69" w:rsidRDefault="00731010" w:rsidP="000043C0">
      <w:pPr>
        <w:pStyle w:val="Tekstprzypisudolnego"/>
        <w:numPr>
          <w:ilvl w:val="0"/>
          <w:numId w:val="67"/>
        </w:numPr>
        <w:jc w:val="both"/>
        <w:rPr>
          <w:rFonts w:ascii="Arial" w:hAnsi="Arial" w:cs="Arial"/>
          <w:sz w:val="16"/>
          <w:szCs w:val="16"/>
        </w:rPr>
      </w:pPr>
      <w:r w:rsidRPr="00464D69">
        <w:rPr>
          <w:rFonts w:ascii="Arial" w:hAnsi="Arial" w:cs="Arial"/>
          <w:sz w:val="16"/>
          <w:szCs w:val="16"/>
        </w:rPr>
        <w:t>jej wysokość określono w drodze otwartej, przejrzystej i niedyskryminacyjnej konkurencyjnej procedury udzielenia licencji lub</w:t>
      </w:r>
    </w:p>
    <w:p w14:paraId="5A724250" w14:textId="35882140" w:rsidR="00731010" w:rsidRPr="00464D69" w:rsidRDefault="00731010" w:rsidP="000043C0">
      <w:pPr>
        <w:pStyle w:val="Tekstprzypisudolnego"/>
        <w:numPr>
          <w:ilvl w:val="0"/>
          <w:numId w:val="67"/>
        </w:numPr>
        <w:jc w:val="both"/>
        <w:rPr>
          <w:rFonts w:ascii="Arial" w:hAnsi="Arial" w:cs="Arial"/>
          <w:sz w:val="16"/>
          <w:szCs w:val="16"/>
        </w:rPr>
      </w:pPr>
      <w:r w:rsidRPr="00464D69">
        <w:rPr>
          <w:rFonts w:ascii="Arial" w:hAnsi="Arial" w:cs="Arial"/>
          <w:sz w:val="16"/>
          <w:szCs w:val="16"/>
        </w:rPr>
        <w:t>wycena niezależnego eksperta potwierdza, że cena jest co najmniej równa wartości rynkowej lub</w:t>
      </w:r>
    </w:p>
    <w:p w14:paraId="38D84EA2" w14:textId="42706120" w:rsidR="00731010" w:rsidRPr="00464D69" w:rsidRDefault="00731010" w:rsidP="000043C0">
      <w:pPr>
        <w:pStyle w:val="Tekstprzypisudolnego"/>
        <w:numPr>
          <w:ilvl w:val="0"/>
          <w:numId w:val="67"/>
        </w:numPr>
        <w:jc w:val="both"/>
        <w:rPr>
          <w:rFonts w:ascii="Arial" w:hAnsi="Arial" w:cs="Arial"/>
          <w:sz w:val="16"/>
          <w:szCs w:val="16"/>
        </w:rPr>
      </w:pPr>
      <w:r w:rsidRPr="00464D69">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464D69" w:rsidRDefault="00B32451" w:rsidP="003E7E2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3E7E27" w:rsidRPr="00464D69">
        <w:rPr>
          <w:rFonts w:ascii="Arial" w:hAnsi="Arial" w:cs="Arial"/>
          <w:sz w:val="16"/>
          <w:szCs w:val="16"/>
        </w:rPr>
        <w:t>Załącznik nr 10</w:t>
      </w:r>
      <w:r w:rsidR="006025CE" w:rsidRPr="00464D69">
        <w:rPr>
          <w:rFonts w:ascii="Arial" w:hAnsi="Arial" w:cs="Arial"/>
          <w:sz w:val="16"/>
          <w:szCs w:val="16"/>
        </w:rPr>
        <w:t xml:space="preserve"> do Umowy</w:t>
      </w:r>
      <w:r w:rsidR="003E7E27" w:rsidRPr="00464D69">
        <w:rPr>
          <w:rFonts w:ascii="Arial" w:hAnsi="Arial" w:cs="Arial"/>
          <w:sz w:val="16"/>
          <w:szCs w:val="16"/>
        </w:rPr>
        <w:t xml:space="preserve"> dotyczy wyłącznie sytuacji, w której Beneficjent lub </w:t>
      </w:r>
      <w:r w:rsidR="006025CE" w:rsidRPr="00464D69">
        <w:rPr>
          <w:rFonts w:ascii="Arial" w:hAnsi="Arial" w:cs="Arial"/>
          <w:sz w:val="16"/>
          <w:szCs w:val="16"/>
        </w:rPr>
        <w:t>K</w:t>
      </w:r>
      <w:r w:rsidR="003E7E27" w:rsidRPr="00464D69">
        <w:rPr>
          <w:rFonts w:ascii="Arial" w:hAnsi="Arial" w:cs="Arial"/>
          <w:sz w:val="16"/>
          <w:szCs w:val="16"/>
        </w:rPr>
        <w:t>onsorcjant będzie kwalifikował koszt podatku od towarów i usług.</w:t>
      </w:r>
    </w:p>
  </w:footnote>
  <w:footnote w:id="29">
    <w:p w14:paraId="34E7090C" w14:textId="77777777" w:rsidR="00C64303" w:rsidRPr="00464D69" w:rsidRDefault="00C64303" w:rsidP="00C64303">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Jeśli dotyczy.</w:t>
      </w:r>
    </w:p>
  </w:footnote>
  <w:footnote w:id="30">
    <w:p w14:paraId="37510329" w14:textId="3D1B3C92" w:rsidR="00B23E8E" w:rsidRPr="00464D69" w:rsidRDefault="00B23E8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Pomoc wywołuje efekt zachęty, jeżeli realizacja Projektu nie rozpoczęła się przed dniem lub w dniu złożenia wniosku o dofinansowanie, tj. </w:t>
      </w:r>
      <w:r w:rsidR="00DA7848" w:rsidRPr="00464D69">
        <w:rPr>
          <w:rFonts w:ascii="Arial" w:hAnsi="Arial" w:cs="Arial"/>
          <w:sz w:val="16"/>
          <w:szCs w:val="16"/>
        </w:rPr>
        <w:t>c</w:t>
      </w:r>
      <w:r w:rsidRPr="00464D69">
        <w:rPr>
          <w:rFonts w:ascii="Arial" w:hAnsi="Arial" w:cs="Arial"/>
          <w:sz w:val="16"/>
          <w:szCs w:val="16"/>
        </w:rPr>
        <w:t xml:space="preserve">złonkowie </w:t>
      </w:r>
      <w:r w:rsidR="00EA0058" w:rsidRPr="00464D69">
        <w:rPr>
          <w:rFonts w:ascii="Arial" w:hAnsi="Arial" w:cs="Arial"/>
          <w:sz w:val="16"/>
          <w:szCs w:val="16"/>
        </w:rPr>
        <w:t>k</w:t>
      </w:r>
      <w:r w:rsidRPr="00464D69">
        <w:rPr>
          <w:rFonts w:ascii="Arial" w:hAnsi="Arial" w:cs="Arial"/>
          <w:sz w:val="16"/>
          <w:szCs w:val="16"/>
        </w:rPr>
        <w:t xml:space="preserve">onsorcjum nie rozpoczęli działań w </w:t>
      </w:r>
      <w:r w:rsidR="00EA0058" w:rsidRPr="00464D69">
        <w:rPr>
          <w:rFonts w:ascii="Arial" w:hAnsi="Arial" w:cs="Arial"/>
          <w:sz w:val="16"/>
          <w:szCs w:val="16"/>
        </w:rPr>
        <w:t>P</w:t>
      </w:r>
      <w:r w:rsidRPr="00464D69">
        <w:rPr>
          <w:rFonts w:ascii="Arial" w:hAnsi="Arial" w:cs="Arial"/>
          <w:sz w:val="16"/>
          <w:szCs w:val="16"/>
        </w:rPr>
        <w:t xml:space="preserve">rojekcie przed lub w dniu złożenia wniosku. </w:t>
      </w:r>
    </w:p>
  </w:footnote>
  <w:footnote w:id="31">
    <w:p w14:paraId="39F30E2B" w14:textId="77777777" w:rsidR="00B23E8E" w:rsidRPr="00464D69" w:rsidRDefault="00B23E8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Zwiększenie dofinansowania uregulowane w ust. 21 nie narusza efektu zachęty.</w:t>
      </w:r>
    </w:p>
  </w:footnote>
  <w:footnote w:id="32">
    <w:p w14:paraId="3C734C08" w14:textId="77777777" w:rsidR="00B23E8E" w:rsidRPr="00464D69" w:rsidRDefault="00B23E8E" w:rsidP="00B23E8E">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stawką ryczałtową.</w:t>
      </w:r>
    </w:p>
  </w:footnote>
  <w:footnote w:id="33">
    <w:p w14:paraId="54287E21" w14:textId="77777777" w:rsidR="00C61C3A" w:rsidRPr="00464D69" w:rsidRDefault="00C61C3A" w:rsidP="00C61C3A">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Podwykonawstwo nie jest uznawane za skuteczną współpracę.</w:t>
      </w:r>
    </w:p>
  </w:footnote>
  <w:footnote w:id="34">
    <w:p w14:paraId="6001C02B" w14:textId="77777777" w:rsidR="00160005" w:rsidRDefault="00160005" w:rsidP="00160005">
      <w:pPr>
        <w:pStyle w:val="Tekstprzypisudolnego"/>
      </w:pPr>
      <w:r>
        <w:rPr>
          <w:rStyle w:val="Odwoanieprzypisudolnego"/>
        </w:rPr>
        <w:footnoteRef/>
      </w:r>
      <w:r>
        <w:t xml:space="preserve"> </w:t>
      </w:r>
      <w:r w:rsidRPr="000043C0">
        <w:rPr>
          <w:rFonts w:ascii="Arial" w:hAnsi="Arial" w:cs="Arial"/>
          <w:sz w:val="16"/>
          <w:szCs w:val="16"/>
        </w:rPr>
        <w:t>Premia określona w § 14 ust.1 pkt 3 lit. a) rozporządzenia FENG.</w:t>
      </w:r>
    </w:p>
  </w:footnote>
  <w:footnote w:id="35">
    <w:p w14:paraId="623FA2BD" w14:textId="77777777" w:rsidR="00160005" w:rsidRDefault="00160005" w:rsidP="00160005">
      <w:pPr>
        <w:pStyle w:val="Tekstprzypisudolnego"/>
      </w:pPr>
      <w:r>
        <w:rPr>
          <w:rStyle w:val="Odwoanieprzypisudolnego"/>
        </w:rPr>
        <w:footnoteRef/>
      </w:r>
      <w:r>
        <w:t xml:space="preserve"> </w:t>
      </w:r>
      <w:r w:rsidRPr="000043C0">
        <w:rPr>
          <w:rFonts w:ascii="Arial" w:hAnsi="Arial" w:cs="Arial"/>
          <w:sz w:val="16"/>
          <w:szCs w:val="16"/>
        </w:rPr>
        <w:t>Premia określona w § 14 ust.1 pkt 3 lit. b) rozporządzenia FENG.</w:t>
      </w:r>
    </w:p>
  </w:footnote>
  <w:footnote w:id="36">
    <w:p w14:paraId="567FBA40" w14:textId="77777777" w:rsidR="00160005" w:rsidRPr="000043C0" w:rsidRDefault="00160005" w:rsidP="00160005">
      <w:pPr>
        <w:pStyle w:val="Tekstprzypisudolnego"/>
        <w:rPr>
          <w:rFonts w:ascii="Arial" w:hAnsi="Arial" w:cs="Arial"/>
          <w:sz w:val="16"/>
          <w:szCs w:val="16"/>
        </w:rPr>
      </w:pPr>
      <w:r>
        <w:rPr>
          <w:rStyle w:val="Odwoanieprzypisudolnego"/>
        </w:rPr>
        <w:footnoteRef/>
      </w:r>
      <w:r>
        <w:t xml:space="preserve"> </w:t>
      </w:r>
      <w:r w:rsidRPr="000043C0">
        <w:rPr>
          <w:rFonts w:ascii="Arial" w:hAnsi="Arial" w:cs="Arial"/>
          <w:sz w:val="16"/>
          <w:szCs w:val="16"/>
        </w:rPr>
        <w:t>Premia określona w § 14 ust.1 pkt 3 lit. d) rozporządzenia FENG.</w:t>
      </w:r>
    </w:p>
  </w:footnote>
  <w:footnote w:id="37">
    <w:p w14:paraId="541EB8B8" w14:textId="77777777" w:rsidR="00914B68" w:rsidRPr="000043C0" w:rsidRDefault="00914B68" w:rsidP="00914B68">
      <w:pPr>
        <w:pStyle w:val="Tekstprzypisudolnego"/>
        <w:rPr>
          <w:rFonts w:ascii="Arial" w:hAnsi="Arial" w:cs="Arial"/>
          <w:sz w:val="16"/>
          <w:szCs w:val="16"/>
        </w:rPr>
      </w:pPr>
      <w:r>
        <w:rPr>
          <w:rStyle w:val="Odwoanieprzypisudolnego"/>
        </w:rPr>
        <w:footnoteRef/>
      </w:r>
      <w:r>
        <w:t xml:space="preserve"> </w:t>
      </w:r>
      <w:r w:rsidRPr="000043C0">
        <w:rPr>
          <w:rFonts w:ascii="Arial" w:hAnsi="Arial" w:cs="Arial"/>
          <w:sz w:val="16"/>
          <w:szCs w:val="16"/>
        </w:rPr>
        <w:t>Premia określona w § 14 ust.1 pkt 4 rozporządzenia FENG.</w:t>
      </w:r>
    </w:p>
  </w:footnote>
  <w:footnote w:id="38">
    <w:p w14:paraId="0FE33A9A" w14:textId="75CBD1CA" w:rsidR="00E93939" w:rsidRPr="00464D69" w:rsidRDefault="00E9393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 przypadku zmiany miejsca realizacji </w:t>
      </w:r>
      <w:r w:rsidR="00F42A36" w:rsidRPr="00464D69">
        <w:rPr>
          <w:rFonts w:ascii="Arial" w:hAnsi="Arial" w:cs="Arial"/>
          <w:sz w:val="16"/>
          <w:szCs w:val="16"/>
        </w:rPr>
        <w:t>prac</w:t>
      </w:r>
      <w:r w:rsidRPr="00464D69">
        <w:rPr>
          <w:rFonts w:ascii="Arial" w:hAnsi="Arial" w:cs="Arial"/>
          <w:sz w:val="16"/>
          <w:szCs w:val="16"/>
        </w:rPr>
        <w:t xml:space="preserve"> B+R z obszaru wskazanego w art. 25 ust. 6 lit. b pkt (iv) na obszar wskazany w </w:t>
      </w:r>
      <w:r w:rsidR="007D5B05" w:rsidRPr="00464D69">
        <w:rPr>
          <w:rFonts w:ascii="Arial" w:hAnsi="Arial" w:cs="Arial"/>
          <w:sz w:val="16"/>
          <w:szCs w:val="16"/>
        </w:rPr>
        <w:t xml:space="preserve">art. 25 ust. 6 </w:t>
      </w:r>
      <w:r w:rsidRPr="00464D69">
        <w:rPr>
          <w:rFonts w:ascii="Arial" w:hAnsi="Arial" w:cs="Arial"/>
          <w:sz w:val="16"/>
          <w:szCs w:val="16"/>
        </w:rPr>
        <w:t xml:space="preserve">lit. c </w:t>
      </w:r>
      <w:r w:rsidR="005719BC" w:rsidRPr="00464D69">
        <w:rPr>
          <w:rFonts w:ascii="Arial" w:hAnsi="Arial" w:cs="Arial"/>
          <w:sz w:val="16"/>
          <w:szCs w:val="16"/>
        </w:rPr>
        <w:t>r</w:t>
      </w:r>
      <w:r w:rsidRPr="00464D69">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9">
    <w:p w14:paraId="2A2FA8A1" w14:textId="77777777" w:rsidR="00914B68" w:rsidRPr="000043C0" w:rsidRDefault="00914B68" w:rsidP="00914B68">
      <w:pPr>
        <w:pStyle w:val="Tekstprzypisudolnego"/>
        <w:rPr>
          <w:sz w:val="16"/>
          <w:szCs w:val="16"/>
        </w:rPr>
      </w:pPr>
      <w:r>
        <w:rPr>
          <w:rStyle w:val="Odwoanieprzypisudolnego"/>
        </w:rPr>
        <w:footnoteRef/>
      </w:r>
      <w:r>
        <w:t xml:space="preserve"> </w:t>
      </w:r>
      <w:r w:rsidRPr="000043C0">
        <w:rPr>
          <w:rFonts w:ascii="Arial" w:hAnsi="Arial" w:cs="Arial"/>
          <w:sz w:val="16"/>
          <w:szCs w:val="16"/>
        </w:rPr>
        <w:t>Beneficjent/ Konsorcjant nie może przeznaczać otrzymanego dofinansowania na cele inne niż związane z Projektem, w szczególności na tymczasowe finansowanie swojej podstawowej, pozaprojektowej działalności.</w:t>
      </w:r>
    </w:p>
  </w:footnote>
  <w:footnote w:id="40">
    <w:p w14:paraId="737BA692" w14:textId="582DE522" w:rsidR="00873E49" w:rsidRPr="00464D69" w:rsidRDefault="00873E4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Poziom transzy zaliczki  zostanie zmniejszony w przypadku wskazania przez eksperta, na etapie oceny wniosku</w:t>
      </w:r>
      <w:r w:rsidR="005719BC" w:rsidRPr="00464D69">
        <w:rPr>
          <w:rFonts w:ascii="Arial" w:hAnsi="Arial" w:cs="Arial"/>
          <w:sz w:val="16"/>
          <w:szCs w:val="16"/>
        </w:rPr>
        <w:t xml:space="preserve"> o dofinansowanie</w:t>
      </w:r>
      <w:r w:rsidRPr="00464D69">
        <w:rPr>
          <w:rFonts w:ascii="Arial" w:hAnsi="Arial" w:cs="Arial"/>
          <w:sz w:val="16"/>
          <w:szCs w:val="16"/>
        </w:rPr>
        <w:t>, niższego poziomu transzy zaliczki.</w:t>
      </w:r>
    </w:p>
  </w:footnote>
  <w:footnote w:id="41">
    <w:p w14:paraId="3DC99C37" w14:textId="4ADDBCB4" w:rsidR="00CF2E47" w:rsidRPr="00464D69" w:rsidRDefault="00CF2E4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 zastrzeżeniem </w:t>
      </w:r>
      <w:r w:rsidR="008A6BAA" w:rsidRPr="00464D69">
        <w:rPr>
          <w:rFonts w:ascii="Arial" w:hAnsi="Arial" w:cs="Arial"/>
          <w:sz w:val="16"/>
          <w:szCs w:val="16"/>
        </w:rPr>
        <w:t>postanowień</w:t>
      </w:r>
      <w:r w:rsidRPr="00464D69">
        <w:rPr>
          <w:rFonts w:ascii="Arial" w:hAnsi="Arial" w:cs="Arial"/>
          <w:sz w:val="16"/>
          <w:szCs w:val="16"/>
        </w:rPr>
        <w:t xml:space="preserve"> </w:t>
      </w:r>
      <w:r w:rsidR="008A6BAA" w:rsidRPr="00464D69">
        <w:rPr>
          <w:rFonts w:ascii="Arial" w:hAnsi="Arial" w:cs="Arial"/>
          <w:sz w:val="16"/>
          <w:szCs w:val="16"/>
        </w:rPr>
        <w:t>§</w:t>
      </w:r>
      <w:r w:rsidRPr="00464D69">
        <w:rPr>
          <w:rFonts w:ascii="Arial" w:hAnsi="Arial" w:cs="Arial"/>
          <w:sz w:val="16"/>
          <w:szCs w:val="16"/>
        </w:rPr>
        <w:t xml:space="preserve"> 5b ust. 1</w:t>
      </w:r>
      <w:r w:rsidR="008A6BAA" w:rsidRPr="00464D69">
        <w:rPr>
          <w:rFonts w:ascii="Arial" w:hAnsi="Arial" w:cs="Arial"/>
          <w:sz w:val="16"/>
          <w:szCs w:val="16"/>
        </w:rPr>
        <w:t xml:space="preserve"> Umowy</w:t>
      </w:r>
      <w:r w:rsidRPr="00464D69">
        <w:rPr>
          <w:rFonts w:ascii="Arial" w:hAnsi="Arial" w:cs="Arial"/>
          <w:sz w:val="16"/>
          <w:szCs w:val="16"/>
        </w:rPr>
        <w:t>.</w:t>
      </w:r>
    </w:p>
  </w:footnote>
  <w:footnote w:id="42">
    <w:p w14:paraId="1ADCC777" w14:textId="4A82E9B9" w:rsidR="00FE56FB" w:rsidRPr="00464D69" w:rsidRDefault="00FE56F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C33906" w:rsidRPr="00464D69">
        <w:rPr>
          <w:rFonts w:ascii="Arial" w:hAnsi="Arial" w:cs="Arial"/>
          <w:sz w:val="16"/>
          <w:szCs w:val="16"/>
        </w:rPr>
        <w:t>Do łącznej kwoty nierozliczonych transz zaliczek należy również dodać zaliczkę zatwierdzoną.</w:t>
      </w:r>
    </w:p>
  </w:footnote>
  <w:footnote w:id="43">
    <w:p w14:paraId="32E731C3" w14:textId="60C36FAE" w:rsidR="002D67F7" w:rsidRPr="00464D69" w:rsidRDefault="002D67F7"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 uwzględnieniu </w:t>
      </w:r>
      <w:r w:rsidR="00E34CA4" w:rsidRPr="00464D69">
        <w:rPr>
          <w:rFonts w:ascii="Arial" w:hAnsi="Arial" w:cs="Arial"/>
          <w:sz w:val="16"/>
          <w:szCs w:val="16"/>
        </w:rPr>
        <w:t xml:space="preserve">poziomu </w:t>
      </w:r>
      <w:r w:rsidRPr="00464D69">
        <w:rPr>
          <w:rFonts w:ascii="Arial" w:hAnsi="Arial" w:cs="Arial"/>
          <w:sz w:val="16"/>
          <w:szCs w:val="16"/>
        </w:rPr>
        <w:t xml:space="preserve">dofinansowania przyznanego Beneficjentowi </w:t>
      </w:r>
      <w:r w:rsidR="002F74BE" w:rsidRPr="00464D69">
        <w:rPr>
          <w:rFonts w:ascii="Arial" w:hAnsi="Arial" w:cs="Arial"/>
          <w:sz w:val="16"/>
          <w:szCs w:val="16"/>
        </w:rPr>
        <w:t>i Konsorcjantom.</w:t>
      </w:r>
    </w:p>
  </w:footnote>
  <w:footnote w:id="44">
    <w:p w14:paraId="0360DC34" w14:textId="06A63C38" w:rsidR="00AB6B7E" w:rsidRPr="00464D69" w:rsidRDefault="00AB6B7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6D0845" w:rsidRPr="00464D69">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5">
    <w:p w14:paraId="5DE134A2" w14:textId="22DEDCC5"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 </w:t>
      </w:r>
    </w:p>
  </w:footnote>
  <w:footnote w:id="46">
    <w:p w14:paraId="23F76E37" w14:textId="5A03DF05" w:rsidR="00490400" w:rsidRPr="00464D69" w:rsidRDefault="00490400">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Wzór sprawozdania zostanie udostępniony na stronie internetowej Instytucji.</w:t>
      </w:r>
    </w:p>
  </w:footnote>
  <w:footnote w:id="47">
    <w:p w14:paraId="57577304" w14:textId="77777777" w:rsidR="00C44992" w:rsidRPr="00464D69" w:rsidRDefault="00C44992" w:rsidP="00C44992">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42C2034D" w14:textId="3A238ABB" w:rsidR="004B3FA8" w:rsidRPr="00464D69" w:rsidRDefault="004B3FA8">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Dotyczy publikacji w mediach społecznościowych</w:t>
      </w:r>
      <w:r w:rsidR="0077552F" w:rsidRPr="00464D69">
        <w:rPr>
          <w:rFonts w:ascii="Arial" w:hAnsi="Arial" w:cs="Arial"/>
          <w:sz w:val="16"/>
          <w:szCs w:val="16"/>
        </w:rPr>
        <w:t>.</w:t>
      </w:r>
    </w:p>
  </w:footnote>
  <w:footnote w:id="49">
    <w:p w14:paraId="73DFB15A" w14:textId="52B9D487"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Projekt, który wnosi znaczący wkład w osiąganie celów </w:t>
      </w:r>
      <w:r w:rsidR="007546A1" w:rsidRPr="00464D69">
        <w:rPr>
          <w:rFonts w:ascii="Arial" w:hAnsi="Arial" w:cs="Arial"/>
          <w:sz w:val="16"/>
          <w:szCs w:val="16"/>
        </w:rPr>
        <w:t>P</w:t>
      </w:r>
      <w:r w:rsidR="009D514C" w:rsidRPr="00464D69">
        <w:rPr>
          <w:rFonts w:ascii="Arial" w:hAnsi="Arial" w:cs="Arial"/>
          <w:sz w:val="16"/>
          <w:szCs w:val="16"/>
        </w:rPr>
        <w:t>rogramu</w:t>
      </w:r>
      <w:r w:rsidRPr="00464D69">
        <w:rPr>
          <w:rFonts w:ascii="Arial" w:hAnsi="Arial" w:cs="Arial"/>
          <w:sz w:val="16"/>
          <w:szCs w:val="16"/>
        </w:rPr>
        <w:t xml:space="preserve"> i który podlega szczególnym środkom dotyczącym monitorowania i komunikacji</w:t>
      </w:r>
      <w:r w:rsidR="005E0F85" w:rsidRPr="00464D69">
        <w:rPr>
          <w:rFonts w:ascii="Arial" w:hAnsi="Arial" w:cs="Arial"/>
          <w:sz w:val="16"/>
          <w:szCs w:val="16"/>
        </w:rPr>
        <w:t>.</w:t>
      </w:r>
    </w:p>
  </w:footnote>
  <w:footnote w:id="50">
    <w:p w14:paraId="598D0A97" w14:textId="266B11BC"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464D69" w:rsidRDefault="00DB708B" w:rsidP="000E0C8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Dotyczy Projektów o </w:t>
      </w:r>
      <w:r w:rsidR="00E9432E" w:rsidRPr="00464D69">
        <w:rPr>
          <w:rFonts w:ascii="Arial" w:hAnsi="Arial" w:cs="Arial"/>
          <w:sz w:val="16"/>
          <w:szCs w:val="16"/>
        </w:rPr>
        <w:t xml:space="preserve">całkowitym </w:t>
      </w:r>
      <w:r w:rsidRPr="00464D69">
        <w:rPr>
          <w:rFonts w:ascii="Arial" w:hAnsi="Arial" w:cs="Arial"/>
          <w:sz w:val="16"/>
          <w:szCs w:val="16"/>
        </w:rPr>
        <w:t>koszcie przekraczającym 5 000 000 EUR.</w:t>
      </w:r>
    </w:p>
  </w:footnote>
  <w:footnote w:id="52">
    <w:p w14:paraId="0FDD54C0" w14:textId="169194A2" w:rsidR="00DB708B" w:rsidRPr="00464D69" w:rsidRDefault="00DB708B" w:rsidP="0010107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bidi="pl-PL"/>
        </w:rPr>
        <w:t>Wydarzenia otwierające/kończące realizację Projektu lub związane z rozpoczęciem/realizacją/zakończeniem ważnego etapu Projektu.</w:t>
      </w:r>
    </w:p>
  </w:footnote>
  <w:footnote w:id="53">
    <w:p w14:paraId="3908F4AF" w14:textId="62A4F0C7" w:rsidR="00DB708B" w:rsidRPr="00464D69" w:rsidRDefault="00DB708B" w:rsidP="0010107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4">
    <w:p w14:paraId="34BF4DCF" w14:textId="6D3B97D8"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w:t>
      </w:r>
    </w:p>
  </w:footnote>
  <w:footnote w:id="55">
    <w:p w14:paraId="573D6F19" w14:textId="1DC3FC4F"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w:t>
      </w:r>
    </w:p>
  </w:footnote>
  <w:footnote w:id="56">
    <w:p w14:paraId="39138061" w14:textId="7DCDAA81" w:rsidR="00DB708B" w:rsidRPr="00464D69" w:rsidRDefault="00DB708B" w:rsidP="007423CA">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Tj. przez okres 5 lat od dnia 31 grudnia  roku, w którym Instytucja dokonała ostatniej płatności na rzecz Beneficjenta. </w:t>
      </w:r>
    </w:p>
  </w:footnote>
  <w:footnote w:id="57">
    <w:p w14:paraId="3C30CE19" w14:textId="42AFC63F" w:rsidR="00DB708B" w:rsidRPr="00464D69" w:rsidRDefault="00DB708B" w:rsidP="007423CA">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Instytucja informuje Beneficjenta o dniu przyznania ostatniej pomocy. </w:t>
      </w:r>
    </w:p>
  </w:footnote>
  <w:footnote w:id="58">
    <w:p w14:paraId="5ABCEE73" w14:textId="4B3D1723"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 </w:t>
      </w:r>
    </w:p>
  </w:footnote>
  <w:footnote w:id="59">
    <w:p w14:paraId="6FFDA485" w14:textId="24E02849" w:rsidR="00757C16" w:rsidRPr="00464D69" w:rsidRDefault="00DB708B"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C8280A" w:rsidRPr="00464D69">
        <w:rPr>
          <w:rFonts w:ascii="Arial" w:hAnsi="Arial" w:cs="Arial"/>
          <w:sz w:val="16"/>
          <w:szCs w:val="16"/>
        </w:rPr>
        <w:t xml:space="preserve">Postanowienie uwzględnia również przypadki, gdy </w:t>
      </w:r>
      <w:r w:rsidR="00626B68" w:rsidRPr="00464D69">
        <w:rPr>
          <w:rFonts w:ascii="Arial" w:hAnsi="Arial" w:cs="Arial"/>
          <w:sz w:val="16"/>
          <w:szCs w:val="16"/>
        </w:rPr>
        <w:t xml:space="preserve">Beneficjentem </w:t>
      </w:r>
      <w:r w:rsidR="00EC5F03" w:rsidRPr="00464D69">
        <w:rPr>
          <w:rFonts w:ascii="Arial" w:hAnsi="Arial" w:cs="Arial"/>
          <w:sz w:val="16"/>
          <w:szCs w:val="16"/>
        </w:rPr>
        <w:t xml:space="preserve">oraz </w:t>
      </w:r>
      <w:r w:rsidR="001E0789" w:rsidRPr="00464D69">
        <w:rPr>
          <w:rFonts w:ascii="Arial" w:hAnsi="Arial" w:cs="Arial"/>
          <w:sz w:val="16"/>
          <w:szCs w:val="16"/>
        </w:rPr>
        <w:t>K</w:t>
      </w:r>
      <w:r w:rsidR="00EC5F03" w:rsidRPr="00464D69">
        <w:rPr>
          <w:rFonts w:ascii="Arial" w:hAnsi="Arial" w:cs="Arial"/>
          <w:sz w:val="16"/>
          <w:szCs w:val="16"/>
        </w:rPr>
        <w:t>onsorcj</w:t>
      </w:r>
      <w:r w:rsidR="00E44DA1" w:rsidRPr="00464D69">
        <w:rPr>
          <w:rFonts w:ascii="Arial" w:hAnsi="Arial" w:cs="Arial"/>
          <w:sz w:val="16"/>
          <w:szCs w:val="16"/>
        </w:rPr>
        <w:t>ant</w:t>
      </w:r>
      <w:r w:rsidR="006179A9" w:rsidRPr="00464D69">
        <w:rPr>
          <w:rFonts w:ascii="Arial" w:hAnsi="Arial" w:cs="Arial"/>
          <w:sz w:val="16"/>
          <w:szCs w:val="16"/>
        </w:rPr>
        <w:t>em</w:t>
      </w:r>
      <w:r w:rsidR="00C8280A" w:rsidRPr="00464D69">
        <w:rPr>
          <w:rFonts w:ascii="Arial" w:hAnsi="Arial" w:cs="Arial"/>
          <w:sz w:val="16"/>
          <w:szCs w:val="16"/>
        </w:rPr>
        <w:t xml:space="preserve"> </w:t>
      </w:r>
      <w:r w:rsidR="00EC5F03" w:rsidRPr="00464D69">
        <w:rPr>
          <w:rFonts w:ascii="Arial" w:hAnsi="Arial" w:cs="Arial"/>
          <w:sz w:val="16"/>
          <w:szCs w:val="16"/>
        </w:rPr>
        <w:t xml:space="preserve">są </w:t>
      </w:r>
      <w:r w:rsidR="00C8280A" w:rsidRPr="00464D69">
        <w:rPr>
          <w:rFonts w:ascii="Arial" w:hAnsi="Arial" w:cs="Arial"/>
          <w:sz w:val="16"/>
          <w:szCs w:val="16"/>
        </w:rPr>
        <w:t>podmiot</w:t>
      </w:r>
      <w:r w:rsidR="00EC5F03" w:rsidRPr="00464D69">
        <w:rPr>
          <w:rFonts w:ascii="Arial" w:hAnsi="Arial" w:cs="Arial"/>
          <w:sz w:val="16"/>
          <w:szCs w:val="16"/>
        </w:rPr>
        <w:t>y</w:t>
      </w:r>
      <w:r w:rsidR="00C8280A" w:rsidRPr="00464D69">
        <w:rPr>
          <w:rFonts w:ascii="Arial" w:hAnsi="Arial" w:cs="Arial"/>
          <w:sz w:val="16"/>
          <w:szCs w:val="16"/>
        </w:rPr>
        <w:t xml:space="preserve"> zależn</w:t>
      </w:r>
      <w:r w:rsidR="00EC5F03" w:rsidRPr="00464D69">
        <w:rPr>
          <w:rFonts w:ascii="Arial" w:hAnsi="Arial" w:cs="Arial"/>
          <w:sz w:val="16"/>
          <w:szCs w:val="16"/>
        </w:rPr>
        <w:t>e</w:t>
      </w:r>
      <w:r w:rsidR="00C8280A" w:rsidRPr="00464D69">
        <w:rPr>
          <w:rFonts w:ascii="Arial" w:hAnsi="Arial" w:cs="Arial"/>
          <w:sz w:val="16"/>
          <w:szCs w:val="16"/>
        </w:rPr>
        <w:t xml:space="preserve"> lub kontrolowan</w:t>
      </w:r>
      <w:r w:rsidR="00EC5F03" w:rsidRPr="00464D69">
        <w:rPr>
          <w:rFonts w:ascii="Arial" w:hAnsi="Arial" w:cs="Arial"/>
          <w:sz w:val="16"/>
          <w:szCs w:val="16"/>
        </w:rPr>
        <w:t>e</w:t>
      </w:r>
      <w:r w:rsidR="00C8280A" w:rsidRPr="00464D69">
        <w:rPr>
          <w:rFonts w:ascii="Arial" w:hAnsi="Arial" w:cs="Arial"/>
          <w:sz w:val="16"/>
          <w:szCs w:val="16"/>
        </w:rPr>
        <w:t xml:space="preserve"> </w:t>
      </w:r>
      <w:r w:rsidR="00EC5F03" w:rsidRPr="00464D69">
        <w:rPr>
          <w:rFonts w:ascii="Arial" w:hAnsi="Arial" w:cs="Arial"/>
          <w:sz w:val="16"/>
          <w:szCs w:val="16"/>
        </w:rPr>
        <w:t>przez</w:t>
      </w:r>
      <w:r w:rsidR="00C8280A" w:rsidRPr="00464D69">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64D69" w:rsidRDefault="00DB708B">
      <w:pPr>
        <w:pStyle w:val="Tekstprzypisudolnego"/>
        <w:rPr>
          <w:rFonts w:ascii="Arial" w:hAnsi="Arial" w:cs="Arial"/>
          <w:sz w:val="16"/>
          <w:szCs w:val="16"/>
        </w:rPr>
      </w:pPr>
    </w:p>
  </w:footnote>
  <w:footnote w:id="60">
    <w:p w14:paraId="01D519BD" w14:textId="3FED554D" w:rsidR="00937E35" w:rsidRPr="00464D69" w:rsidRDefault="00937E35"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00E76BF9" w:rsidRPr="00464D69">
        <w:rPr>
          <w:rFonts w:ascii="Arial" w:hAnsi="Arial" w:cs="Arial"/>
          <w:sz w:val="16"/>
          <w:szCs w:val="16"/>
        </w:rPr>
        <w:t>Nie dotyczy</w:t>
      </w:r>
      <w:r w:rsidRPr="00464D69">
        <w:rPr>
          <w:rFonts w:ascii="Arial" w:hAnsi="Arial" w:cs="Arial"/>
          <w:sz w:val="16"/>
          <w:szCs w:val="16"/>
        </w:rPr>
        <w:t xml:space="preserve"> Konsorcjanta, któr</w:t>
      </w:r>
      <w:r w:rsidR="00E76BF9" w:rsidRPr="00464D69">
        <w:rPr>
          <w:rFonts w:ascii="Arial" w:hAnsi="Arial" w:cs="Arial"/>
          <w:sz w:val="16"/>
          <w:szCs w:val="16"/>
        </w:rPr>
        <w:t>y</w:t>
      </w:r>
      <w:r w:rsidRPr="00464D69">
        <w:rPr>
          <w:rFonts w:ascii="Arial" w:hAnsi="Arial" w:cs="Arial"/>
          <w:sz w:val="16"/>
          <w:szCs w:val="16"/>
        </w:rPr>
        <w:t xml:space="preserve"> sprzeda wszystkie swoje prawa do wyników prac B+R Beneficjentowi (</w:t>
      </w:r>
      <w:r w:rsidR="000365F5" w:rsidRPr="00464D69">
        <w:rPr>
          <w:rFonts w:ascii="Arial" w:hAnsi="Arial" w:cs="Arial"/>
          <w:sz w:val="16"/>
          <w:szCs w:val="16"/>
        </w:rPr>
        <w:t xml:space="preserve">obowiązek ten nie ma zastosowania </w:t>
      </w:r>
      <w:r w:rsidRPr="00464D69">
        <w:rPr>
          <w:rFonts w:ascii="Arial" w:hAnsi="Arial" w:cs="Arial"/>
          <w:sz w:val="16"/>
          <w:szCs w:val="16"/>
        </w:rPr>
        <w:t xml:space="preserve">od dnia zawarcia umowy sprzedaży wyników prac B+R). </w:t>
      </w:r>
    </w:p>
  </w:footnote>
  <w:footnote w:id="61">
    <w:p w14:paraId="1618828B" w14:textId="4B06502D" w:rsidR="00DB708B" w:rsidRPr="00464D69" w:rsidRDefault="00DB708B">
      <w:pPr>
        <w:pStyle w:val="Tekstprzypisudolnego"/>
        <w:rPr>
          <w:rFonts w:ascii="Arial" w:hAnsi="Arial" w:cs="Arial"/>
          <w:sz w:val="16"/>
          <w:szCs w:val="16"/>
          <w:lang w:eastAsia="en-US"/>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Naruszenie procedur, o których mowa w art. 184 ufp obejmuje również naruszenie Umowy.</w:t>
      </w:r>
    </w:p>
  </w:footnote>
  <w:footnote w:id="62">
    <w:p w14:paraId="328D9238" w14:textId="77777777" w:rsidR="00DB708B" w:rsidRPr="00464D69" w:rsidRDefault="00DB708B" w:rsidP="00E77A93">
      <w:pPr>
        <w:pStyle w:val="Tekstprzypisudolnego"/>
        <w:jc w:val="both"/>
        <w:rPr>
          <w:rFonts w:ascii="Arial" w:hAnsi="Arial" w:cs="Arial"/>
          <w:sz w:val="16"/>
          <w:szCs w:val="16"/>
          <w:lang w:eastAsia="en-US"/>
        </w:rPr>
      </w:pPr>
      <w:r w:rsidRPr="00464D69">
        <w:rPr>
          <w:rFonts w:ascii="Arial" w:hAnsi="Arial" w:cs="Arial"/>
          <w:sz w:val="16"/>
          <w:szCs w:val="16"/>
          <w:vertAlign w:val="superscript"/>
          <w:lang w:eastAsia="en-US"/>
        </w:rPr>
        <w:footnoteRef/>
      </w:r>
      <w:r w:rsidRPr="00464D69">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3">
    <w:p w14:paraId="7C2F2EB4" w14:textId="44E6100F" w:rsidR="00DB708B" w:rsidRPr="00464D69" w:rsidRDefault="00DB708B" w:rsidP="007F0DBE">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W przypadku</w:t>
      </w:r>
      <w:r w:rsidR="009D514C" w:rsidRPr="00464D69">
        <w:rPr>
          <w:rFonts w:ascii="Arial" w:hAnsi="Arial" w:cs="Arial"/>
          <w:sz w:val="16"/>
          <w:szCs w:val="16"/>
          <w:lang w:eastAsia="en-US"/>
        </w:rPr>
        <w:t>,</w:t>
      </w:r>
      <w:r w:rsidRPr="00464D69">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4">
    <w:p w14:paraId="391FB0B8" w14:textId="43B25EF9" w:rsidR="00DB708B" w:rsidRPr="00464D69" w:rsidRDefault="00DB708B" w:rsidP="007F0DBE">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Jeżeli weksel jest podpisywany przez pełnomocnika</w:t>
      </w:r>
      <w:r w:rsidR="009D514C" w:rsidRPr="00464D69">
        <w:rPr>
          <w:rFonts w:ascii="Arial" w:hAnsi="Arial" w:cs="Arial"/>
          <w:sz w:val="16"/>
          <w:szCs w:val="16"/>
          <w:lang w:eastAsia="en-US"/>
        </w:rPr>
        <w:t>,</w:t>
      </w:r>
      <w:r w:rsidRPr="00464D69">
        <w:rPr>
          <w:rFonts w:ascii="Arial" w:hAnsi="Arial" w:cs="Arial"/>
          <w:sz w:val="16"/>
          <w:szCs w:val="16"/>
          <w:lang w:eastAsia="en-US"/>
        </w:rPr>
        <w:t xml:space="preserve"> to wymagane jest pełnomocnictwo szczególne do zaciągania zobowiązań wekslowych z podpisem notarialnie poświadczonym.</w:t>
      </w:r>
    </w:p>
  </w:footnote>
  <w:footnote w:id="65">
    <w:p w14:paraId="009EF36A" w14:textId="6A06AFB5" w:rsidR="00DB708B" w:rsidRPr="00464D69" w:rsidRDefault="00DB708B">
      <w:pPr>
        <w:pStyle w:val="Tekstprzypisudolnego"/>
        <w:rPr>
          <w:rFonts w:ascii="Arial" w:hAnsi="Arial" w:cs="Arial"/>
          <w:sz w:val="16"/>
          <w:szCs w:val="16"/>
        </w:rPr>
      </w:pPr>
      <w:r w:rsidRPr="00464D69">
        <w:rPr>
          <w:rFonts w:ascii="Arial" w:hAnsi="Arial" w:cs="Arial"/>
          <w:sz w:val="16"/>
          <w:szCs w:val="16"/>
          <w:vertAlign w:val="superscript"/>
          <w:lang w:eastAsia="en-US"/>
        </w:rPr>
        <w:footnoteRef/>
      </w:r>
      <w:r w:rsidRPr="00464D69">
        <w:rPr>
          <w:rFonts w:ascii="Arial" w:hAnsi="Arial" w:cs="Arial"/>
          <w:sz w:val="16"/>
          <w:szCs w:val="16"/>
          <w:vertAlign w:val="superscript"/>
          <w:lang w:eastAsia="en-US"/>
        </w:rPr>
        <w:t xml:space="preserve"> </w:t>
      </w:r>
      <w:r w:rsidRPr="00464D69">
        <w:rPr>
          <w:rFonts w:ascii="Arial" w:hAnsi="Arial" w:cs="Arial"/>
          <w:sz w:val="16"/>
          <w:szCs w:val="16"/>
          <w:lang w:eastAsia="en-US"/>
        </w:rPr>
        <w:t>Zgodnie z art.</w:t>
      </w:r>
      <w:r w:rsidR="00542684">
        <w:rPr>
          <w:rFonts w:ascii="Arial" w:hAnsi="Arial" w:cs="Arial"/>
          <w:sz w:val="16"/>
          <w:szCs w:val="16"/>
          <w:lang w:eastAsia="en-US"/>
        </w:rPr>
        <w:t xml:space="preserve"> </w:t>
      </w:r>
      <w:r w:rsidRPr="00464D69">
        <w:rPr>
          <w:rFonts w:ascii="Arial" w:hAnsi="Arial" w:cs="Arial"/>
          <w:sz w:val="16"/>
          <w:szCs w:val="16"/>
          <w:lang w:eastAsia="en-US"/>
        </w:rPr>
        <w:t>78</w:t>
      </w:r>
      <w:r w:rsidR="00542684">
        <w:rPr>
          <w:rFonts w:ascii="Arial" w:hAnsi="Arial" w:cs="Arial"/>
          <w:sz w:val="16"/>
          <w:szCs w:val="16"/>
          <w:vertAlign w:val="superscript"/>
          <w:lang w:eastAsia="en-US"/>
        </w:rPr>
        <w:t>1</w:t>
      </w:r>
      <w:r w:rsidRPr="00464D69">
        <w:rPr>
          <w:rFonts w:ascii="Arial" w:hAnsi="Arial" w:cs="Arial"/>
          <w:sz w:val="16"/>
          <w:szCs w:val="16"/>
          <w:lang w:eastAsia="en-US"/>
        </w:rPr>
        <w:t xml:space="preserve"> §  1.</w:t>
      </w:r>
      <w:r w:rsidRPr="00464D69">
        <w:rPr>
          <w:rFonts w:ascii="Arial" w:hAnsi="Arial" w:cs="Arial"/>
          <w:b/>
          <w:bCs/>
          <w:color w:val="333333"/>
          <w:sz w:val="16"/>
          <w:szCs w:val="16"/>
        </w:rPr>
        <w:t> </w:t>
      </w:r>
      <w:r w:rsidRPr="00464D69">
        <w:rPr>
          <w:rFonts w:ascii="Arial" w:hAnsi="Arial" w:cs="Arial"/>
          <w:sz w:val="16"/>
          <w:szCs w:val="16"/>
          <w:lang w:eastAsia="en-US"/>
        </w:rPr>
        <w:t xml:space="preserve">Kodeksu Cywilnego. </w:t>
      </w:r>
    </w:p>
  </w:footnote>
  <w:footnote w:id="66">
    <w:p w14:paraId="5BD589CE" w14:textId="49682B1C" w:rsidR="00DB708B" w:rsidRPr="00464D69" w:rsidRDefault="00DB708B" w:rsidP="00DD12F5">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 xml:space="preserve">Granica 25% wartości kwoty danej kategorii kosztów </w:t>
      </w:r>
      <w:r w:rsidR="00E67835" w:rsidRPr="00464D69">
        <w:rPr>
          <w:rFonts w:ascii="Arial" w:hAnsi="Arial" w:cs="Arial"/>
          <w:sz w:val="16"/>
          <w:szCs w:val="16"/>
          <w:lang w:eastAsia="en-US"/>
        </w:rPr>
        <w:t xml:space="preserve">FENG </w:t>
      </w:r>
      <w:r w:rsidRPr="00464D69">
        <w:rPr>
          <w:rFonts w:ascii="Arial" w:hAnsi="Arial" w:cs="Arial"/>
          <w:sz w:val="16"/>
          <w:szCs w:val="16"/>
          <w:lang w:eastAsia="en-US"/>
        </w:rPr>
        <w:t>jest zawsze określana w stosunku do pierwotnego Harmonogramu rzeczowo-finansowego.</w:t>
      </w:r>
    </w:p>
  </w:footnote>
  <w:footnote w:id="67">
    <w:p w14:paraId="2288B795" w14:textId="77777777" w:rsidR="00251E0F" w:rsidRPr="00464D69" w:rsidRDefault="00251E0F" w:rsidP="00251E0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Granica 25% wartości kwoty danej kategorii kosztów FENG jest zawsze określana w stosunku do pierwotnego Harmonogramu rzeczowo-finansowego.</w:t>
      </w:r>
    </w:p>
  </w:footnote>
  <w:footnote w:id="68">
    <w:p w14:paraId="4BDFF050" w14:textId="526FE416"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postępowań administracyjnych oraz oświadczeń o rozwiązaniu Umowy</w:t>
      </w:r>
      <w:r w:rsidR="00406724" w:rsidRPr="00464D69">
        <w:rPr>
          <w:rFonts w:ascii="Arial" w:hAnsi="Arial" w:cs="Arial"/>
          <w:sz w:val="16"/>
          <w:szCs w:val="16"/>
        </w:rPr>
        <w:t>.</w:t>
      </w:r>
    </w:p>
  </w:footnote>
  <w:footnote w:id="69">
    <w:p w14:paraId="1D47F065" w14:textId="6C4AF066" w:rsidR="00DB708B" w:rsidRPr="00464D69" w:rsidRDefault="00DB708B" w:rsidP="00747DFE">
      <w:pPr>
        <w:spacing w:after="0" w:line="240" w:lineRule="aut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pl-PL"/>
        </w:rPr>
        <w:t xml:space="preserve">Przez osobę uprawnioną rozumie się osobę </w:t>
      </w:r>
      <w:r w:rsidR="0062797A" w:rsidRPr="00464D69">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464D69">
        <w:rPr>
          <w:rFonts w:ascii="Arial" w:hAnsi="Arial" w:cs="Arial"/>
          <w:i/>
          <w:sz w:val="16"/>
          <w:szCs w:val="16"/>
          <w:lang w:eastAsia="pl-PL"/>
        </w:rPr>
        <w:t>.</w:t>
      </w:r>
    </w:p>
  </w:footnote>
  <w:footnote w:id="70">
    <w:p w14:paraId="199EC20F" w14:textId="78149413" w:rsidR="006B7AE6" w:rsidRPr="00464D69" w:rsidRDefault="006B7AE6">
      <w:pPr>
        <w:pStyle w:val="Tekstprzypisudolnego"/>
        <w:rPr>
          <w:rFonts w:ascii="Arial" w:eastAsiaTheme="minorHAnsi"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865542" w:rsidRPr="00464D69">
        <w:rPr>
          <w:rFonts w:ascii="Arial" w:eastAsiaTheme="minorHAnsi" w:hAnsi="Arial" w:cs="Arial"/>
          <w:sz w:val="16"/>
          <w:szCs w:val="16"/>
        </w:rPr>
        <w:t>Okres odpowiadający okresowi trwałości wynosi 5 lat od zakończenia realizacji Projektu. Jeżeli w skład Konsorcjum nie wchodzi duż</w:t>
      </w:r>
      <w:r w:rsidR="003B7802" w:rsidRPr="00464D69">
        <w:rPr>
          <w:rFonts w:ascii="Arial" w:eastAsiaTheme="minorHAnsi" w:hAnsi="Arial" w:cs="Arial"/>
          <w:sz w:val="16"/>
          <w:szCs w:val="16"/>
        </w:rPr>
        <w:t>e</w:t>
      </w:r>
      <w:r w:rsidR="00865542" w:rsidRPr="00464D69">
        <w:rPr>
          <w:rFonts w:ascii="Arial" w:eastAsiaTheme="minorHAnsi" w:hAnsi="Arial" w:cs="Arial"/>
          <w:sz w:val="16"/>
          <w:szCs w:val="16"/>
        </w:rPr>
        <w:t xml:space="preserve"> przedsiębior</w:t>
      </w:r>
      <w:r w:rsidR="003B7802" w:rsidRPr="00464D69">
        <w:rPr>
          <w:rFonts w:ascii="Arial" w:eastAsiaTheme="minorHAnsi" w:hAnsi="Arial" w:cs="Arial"/>
          <w:sz w:val="16"/>
          <w:szCs w:val="16"/>
        </w:rPr>
        <w:t>stwo</w:t>
      </w:r>
      <w:r w:rsidR="00865542" w:rsidRPr="00464D69">
        <w:rPr>
          <w:rFonts w:ascii="Arial" w:eastAsiaTheme="minorHAnsi" w:hAnsi="Arial" w:cs="Arial"/>
          <w:sz w:val="16"/>
          <w:szCs w:val="16"/>
        </w:rPr>
        <w:t xml:space="preserve"> lub organizacja pozarządowa o statusie dużego przedsiębior</w:t>
      </w:r>
      <w:r w:rsidR="00F802D1" w:rsidRPr="00464D69">
        <w:rPr>
          <w:rFonts w:ascii="Arial" w:eastAsiaTheme="minorHAnsi" w:hAnsi="Arial" w:cs="Arial"/>
          <w:sz w:val="16"/>
          <w:szCs w:val="16"/>
        </w:rPr>
        <w:t>stwa</w:t>
      </w:r>
      <w:r w:rsidR="00865542" w:rsidRPr="00464D69">
        <w:rPr>
          <w:rFonts w:ascii="Arial" w:eastAsiaTheme="minorHAnsi" w:hAnsi="Arial" w:cs="Arial"/>
          <w:sz w:val="16"/>
          <w:szCs w:val="16"/>
        </w:rPr>
        <w:t>, okres</w:t>
      </w:r>
      <w:r w:rsidR="002510AA" w:rsidRPr="00464D69">
        <w:rPr>
          <w:rFonts w:ascii="Arial" w:eastAsiaTheme="minorHAnsi" w:hAnsi="Arial" w:cs="Arial"/>
          <w:sz w:val="16"/>
          <w:szCs w:val="16"/>
        </w:rPr>
        <w:t xml:space="preserve"> odpowiadający okresowi</w:t>
      </w:r>
      <w:r w:rsidR="00865542" w:rsidRPr="00464D69">
        <w:rPr>
          <w:rFonts w:ascii="Arial" w:eastAsiaTheme="minorHAnsi" w:hAnsi="Arial" w:cs="Arial"/>
          <w:sz w:val="16"/>
          <w:szCs w:val="16"/>
        </w:rPr>
        <w:t xml:space="preserve"> trwałości wynosi 3 lata od zakończenia realizacji Projektu.</w:t>
      </w:r>
    </w:p>
  </w:footnote>
  <w:footnote w:id="71">
    <w:p w14:paraId="6BDE10BB" w14:textId="40B09BC8" w:rsidR="00DB708B" w:rsidRPr="00464D69" w:rsidRDefault="00DB708B" w:rsidP="00B457E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Dzień uznania rachunku Beneficjenta.</w:t>
      </w:r>
    </w:p>
  </w:footnote>
  <w:footnote w:id="72">
    <w:p w14:paraId="5145D89B" w14:textId="4BF89B0E"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Kopia lub wydruk z odpowiedniego systemu.</w:t>
      </w:r>
    </w:p>
  </w:footnote>
  <w:footnote w:id="73">
    <w:p w14:paraId="487C8074" w14:textId="3667F38A" w:rsidR="00FC0073" w:rsidRPr="00464D69" w:rsidRDefault="00FC0073">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Instytucja zastrzega sobie możliwość powierzenia podmiotom zewnętrznym czynności w zakresie zweryfikowania informacji zawartych w oświadczeniu.</w:t>
      </w:r>
    </w:p>
  </w:footnote>
  <w:footnote w:id="74">
    <w:p w14:paraId="6E8C7C5D" w14:textId="6C46E263" w:rsidR="00FC4D37" w:rsidRPr="00464D69" w:rsidRDefault="00FC4D3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2FC378F0"/>
    <w:multiLevelType w:val="hybridMultilevel"/>
    <w:tmpl w:val="5F4099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873767194">
    <w:abstractNumId w:val="66"/>
  </w:num>
  <w:num w:numId="2" w16cid:durableId="1311132823">
    <w:abstractNumId w:val="51"/>
  </w:num>
  <w:num w:numId="3" w16cid:durableId="1629705189">
    <w:abstractNumId w:val="22"/>
  </w:num>
  <w:num w:numId="4" w16cid:durableId="1326740983">
    <w:abstractNumId w:val="49"/>
  </w:num>
  <w:num w:numId="5" w16cid:durableId="755632018">
    <w:abstractNumId w:val="37"/>
  </w:num>
  <w:num w:numId="6" w16cid:durableId="194736885">
    <w:abstractNumId w:val="35"/>
  </w:num>
  <w:num w:numId="7" w16cid:durableId="2130196539">
    <w:abstractNumId w:val="4"/>
  </w:num>
  <w:num w:numId="8" w16cid:durableId="1909336751">
    <w:abstractNumId w:val="30"/>
  </w:num>
  <w:num w:numId="9" w16cid:durableId="1051154644">
    <w:abstractNumId w:val="39"/>
  </w:num>
  <w:num w:numId="10" w16cid:durableId="1189484779">
    <w:abstractNumId w:val="12"/>
  </w:num>
  <w:num w:numId="11" w16cid:durableId="48118316">
    <w:abstractNumId w:val="16"/>
  </w:num>
  <w:num w:numId="12" w16cid:durableId="324095379">
    <w:abstractNumId w:val="62"/>
  </w:num>
  <w:num w:numId="13" w16cid:durableId="153452238">
    <w:abstractNumId w:val="60"/>
  </w:num>
  <w:num w:numId="14" w16cid:durableId="1305744302">
    <w:abstractNumId w:val="63"/>
  </w:num>
  <w:num w:numId="15" w16cid:durableId="2146849147">
    <w:abstractNumId w:val="27"/>
  </w:num>
  <w:num w:numId="16" w16cid:durableId="18200716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749516">
    <w:abstractNumId w:val="43"/>
  </w:num>
  <w:num w:numId="18" w16cid:durableId="1248270049">
    <w:abstractNumId w:val="8"/>
  </w:num>
  <w:num w:numId="19" w16cid:durableId="1743214221">
    <w:abstractNumId w:val="46"/>
  </w:num>
  <w:num w:numId="20" w16cid:durableId="1625303481">
    <w:abstractNumId w:val="29"/>
  </w:num>
  <w:num w:numId="21" w16cid:durableId="1151947837">
    <w:abstractNumId w:val="10"/>
  </w:num>
  <w:num w:numId="22" w16cid:durableId="364212045">
    <w:abstractNumId w:val="1"/>
  </w:num>
  <w:num w:numId="23" w16cid:durableId="752162798">
    <w:abstractNumId w:val="9"/>
  </w:num>
  <w:num w:numId="24" w16cid:durableId="121272684">
    <w:abstractNumId w:val="6"/>
  </w:num>
  <w:num w:numId="25" w16cid:durableId="1944800127">
    <w:abstractNumId w:val="36"/>
  </w:num>
  <w:num w:numId="26" w16cid:durableId="310794693">
    <w:abstractNumId w:val="55"/>
  </w:num>
  <w:num w:numId="27" w16cid:durableId="386758602">
    <w:abstractNumId w:val="44"/>
  </w:num>
  <w:num w:numId="28" w16cid:durableId="1460300105">
    <w:abstractNumId w:val="17"/>
  </w:num>
  <w:num w:numId="29" w16cid:durableId="1286615619">
    <w:abstractNumId w:val="18"/>
  </w:num>
  <w:num w:numId="30" w16cid:durableId="1726753642">
    <w:abstractNumId w:val="7"/>
  </w:num>
  <w:num w:numId="31" w16cid:durableId="1005939972">
    <w:abstractNumId w:val="0"/>
  </w:num>
  <w:num w:numId="32" w16cid:durableId="487290781">
    <w:abstractNumId w:val="25"/>
  </w:num>
  <w:num w:numId="33" w16cid:durableId="185027165">
    <w:abstractNumId w:val="15"/>
  </w:num>
  <w:num w:numId="34" w16cid:durableId="487281612">
    <w:abstractNumId w:val="59"/>
  </w:num>
  <w:num w:numId="35" w16cid:durableId="1086338880">
    <w:abstractNumId w:val="48"/>
  </w:num>
  <w:num w:numId="36" w16cid:durableId="825829131">
    <w:abstractNumId w:val="58"/>
  </w:num>
  <w:num w:numId="37" w16cid:durableId="280845087">
    <w:abstractNumId w:val="65"/>
  </w:num>
  <w:num w:numId="38" w16cid:durableId="902906097">
    <w:abstractNumId w:val="57"/>
  </w:num>
  <w:num w:numId="39" w16cid:durableId="1354305416">
    <w:abstractNumId w:val="42"/>
  </w:num>
  <w:num w:numId="40" w16cid:durableId="325207797">
    <w:abstractNumId w:val="33"/>
  </w:num>
  <w:num w:numId="41" w16cid:durableId="839660629">
    <w:abstractNumId w:val="56"/>
  </w:num>
  <w:num w:numId="42" w16cid:durableId="919601791">
    <w:abstractNumId w:val="40"/>
  </w:num>
  <w:num w:numId="43" w16cid:durableId="1058823460">
    <w:abstractNumId w:val="5"/>
  </w:num>
  <w:num w:numId="44" w16cid:durableId="165023859">
    <w:abstractNumId w:val="54"/>
  </w:num>
  <w:num w:numId="45" w16cid:durableId="2108842351">
    <w:abstractNumId w:val="19"/>
  </w:num>
  <w:num w:numId="46" w16cid:durableId="251201599">
    <w:abstractNumId w:val="13"/>
  </w:num>
  <w:num w:numId="47" w16cid:durableId="464198610">
    <w:abstractNumId w:val="41"/>
  </w:num>
  <w:num w:numId="48" w16cid:durableId="950404716">
    <w:abstractNumId w:val="32"/>
  </w:num>
  <w:num w:numId="49" w16cid:durableId="789131252">
    <w:abstractNumId w:val="53"/>
  </w:num>
  <w:num w:numId="50" w16cid:durableId="168107326">
    <w:abstractNumId w:val="14"/>
  </w:num>
  <w:num w:numId="51" w16cid:durableId="258102877">
    <w:abstractNumId w:val="3"/>
  </w:num>
  <w:num w:numId="52" w16cid:durableId="1766146030">
    <w:abstractNumId w:val="34"/>
  </w:num>
  <w:num w:numId="53" w16cid:durableId="229538862">
    <w:abstractNumId w:val="11"/>
  </w:num>
  <w:num w:numId="54" w16cid:durableId="1819413908">
    <w:abstractNumId w:val="38"/>
  </w:num>
  <w:num w:numId="55" w16cid:durableId="1828083072">
    <w:abstractNumId w:val="31"/>
  </w:num>
  <w:num w:numId="56" w16cid:durableId="226233526">
    <w:abstractNumId w:val="28"/>
  </w:num>
  <w:num w:numId="57" w16cid:durableId="217009432">
    <w:abstractNumId w:val="26"/>
  </w:num>
  <w:num w:numId="58" w16cid:durableId="1959095610">
    <w:abstractNumId w:val="50"/>
  </w:num>
  <w:num w:numId="59" w16cid:durableId="165755434">
    <w:abstractNumId w:val="47"/>
  </w:num>
  <w:num w:numId="60" w16cid:durableId="1490755709">
    <w:abstractNumId w:val="2"/>
  </w:num>
  <w:num w:numId="61" w16cid:durableId="1626963570">
    <w:abstractNumId w:val="20"/>
  </w:num>
  <w:num w:numId="62" w16cid:durableId="714230688">
    <w:abstractNumId w:val="64"/>
  </w:num>
  <w:num w:numId="63" w16cid:durableId="1873684670">
    <w:abstractNumId w:val="23"/>
  </w:num>
  <w:num w:numId="64" w16cid:durableId="1802184938">
    <w:abstractNumId w:val="45"/>
  </w:num>
  <w:num w:numId="65" w16cid:durableId="1216429886">
    <w:abstractNumId w:val="52"/>
  </w:num>
  <w:num w:numId="66" w16cid:durableId="1616250824">
    <w:abstractNumId w:val="21"/>
  </w:num>
  <w:num w:numId="67" w16cid:durableId="1879782737">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3C0"/>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005"/>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301"/>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D89"/>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38A"/>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387"/>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3D72"/>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54B"/>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807"/>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0AD"/>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4D69"/>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304"/>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D65"/>
    <w:rsid w:val="00537F52"/>
    <w:rsid w:val="0054071C"/>
    <w:rsid w:val="00541025"/>
    <w:rsid w:val="005411FE"/>
    <w:rsid w:val="005413E8"/>
    <w:rsid w:val="00541A6E"/>
    <w:rsid w:val="00541C14"/>
    <w:rsid w:val="00541EAF"/>
    <w:rsid w:val="00542684"/>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44A"/>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57"/>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40C"/>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1FFF"/>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973"/>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16"/>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94C"/>
    <w:rsid w:val="006E6B16"/>
    <w:rsid w:val="006E6E5F"/>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7D"/>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E3B"/>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26C"/>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2A8"/>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19D"/>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68"/>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8DE"/>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329"/>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379"/>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C5"/>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6E0"/>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A65"/>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29"/>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723"/>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612"/>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4D1"/>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922"/>
    <w:rsid w:val="00CD7C03"/>
    <w:rsid w:val="00CE0733"/>
    <w:rsid w:val="00CE149D"/>
    <w:rsid w:val="00CE14F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148"/>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15A"/>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37E"/>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27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942"/>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A77"/>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4BBF"/>
    <w:rsid w:val="00ED51CC"/>
    <w:rsid w:val="00ED5387"/>
    <w:rsid w:val="00ED5759"/>
    <w:rsid w:val="00ED5AA8"/>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C63"/>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DCB"/>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6E1"/>
    <w:rsid w:val="00F4370B"/>
    <w:rsid w:val="00F43B8C"/>
    <w:rsid w:val="00F44304"/>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47C65"/>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3E3"/>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8333A618-27AC-4B99-AC6C-F5EAADD5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5687B11E-9B49-46FF-8923-ED5EEFD2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13945</Words>
  <Characters>83670</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97421</CharactersWithSpaces>
  <SharedDoc>false</SharedDoc>
  <HLinks>
    <vt:vector size="30"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5636205</vt:i4>
      </vt:variant>
      <vt:variant>
        <vt:i4>9</vt:i4>
      </vt:variant>
      <vt:variant>
        <vt:i4>0</vt:i4>
      </vt:variant>
      <vt:variant>
        <vt:i4>5</vt:i4>
      </vt:variant>
      <vt:variant>
        <vt:lpwstr>mailto:jakub.fryzlewicz@ncbr.gov.pl</vt:lpwstr>
      </vt:variant>
      <vt:variant>
        <vt:lpwstr/>
      </vt:variant>
      <vt:variant>
        <vt:i4>4980849</vt:i4>
      </vt:variant>
      <vt:variant>
        <vt:i4>6</vt:i4>
      </vt:variant>
      <vt:variant>
        <vt:i4>0</vt:i4>
      </vt:variant>
      <vt:variant>
        <vt:i4>5</vt:i4>
      </vt:variant>
      <vt:variant>
        <vt:lpwstr>mailto:Milena.Piatkowska@ncbr.gov.pl</vt:lpwstr>
      </vt:variant>
      <vt:variant>
        <vt:lpwstr/>
      </vt:variant>
      <vt:variant>
        <vt:i4>2293769</vt:i4>
      </vt:variant>
      <vt:variant>
        <vt:i4>3</vt:i4>
      </vt:variant>
      <vt:variant>
        <vt:i4>0</vt:i4>
      </vt:variant>
      <vt:variant>
        <vt:i4>5</vt:i4>
      </vt:variant>
      <vt:variant>
        <vt:lpwstr>mailto:ewakatarzyna.wisniewska@ncbr.gov.pl</vt:lpwstr>
      </vt:variant>
      <vt:variant>
        <vt:lpwstr/>
      </vt:variant>
      <vt:variant>
        <vt:i4>3604494</vt:i4>
      </vt:variant>
      <vt:variant>
        <vt:i4>0</vt:i4>
      </vt:variant>
      <vt:variant>
        <vt:i4>0</vt:i4>
      </vt:variant>
      <vt:variant>
        <vt:i4>5</vt:i4>
      </vt:variant>
      <vt:variant>
        <vt:lpwstr>mailto:Justyna.Szlagowska@ncbr.gov.pl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NCBR</cp:lastModifiedBy>
  <cp:revision>13</cp:revision>
  <cp:lastPrinted>2023-11-15T12:27:00Z</cp:lastPrinted>
  <dcterms:created xsi:type="dcterms:W3CDTF">2026-04-30T09:03:00Z</dcterms:created>
  <dcterms:modified xsi:type="dcterms:W3CDTF">2026-05-08T06:01:00Z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