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2A138" w14:textId="77777777" w:rsidR="00092333" w:rsidRPr="00B119DD" w:rsidRDefault="00092333" w:rsidP="00092333">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jc w:val="center"/>
        <w:rPr>
          <w:rFonts w:ascii="Calibri" w:hAnsi="Calibri"/>
          <w:b/>
          <w:sz w:val="22"/>
          <w:szCs w:val="22"/>
          <w:lang w:val="ru-RU"/>
        </w:rPr>
      </w:pPr>
      <w:r w:rsidRPr="00092333">
        <w:rPr>
          <w:rFonts w:ascii="Calibri" w:eastAsia="Calibri" w:hAnsi="Calibri" w:cs="Calibri"/>
          <w:b/>
          <w:sz w:val="22"/>
          <w:szCs w:val="22"/>
          <w:lang w:val="uk-UA" w:bidi="uk-UA"/>
        </w:rPr>
        <w:t>ПАМ’ЯТКИ</w:t>
      </w:r>
    </w:p>
    <w:p w14:paraId="195FA36F" w14:textId="77777777" w:rsidR="007E1E5B" w:rsidRPr="00B119DD" w:rsidRDefault="007E1E5B"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Calibri" w:hAnsi="Calibri" w:cs="Calibri"/>
          <w:b/>
          <w:bCs/>
          <w:sz w:val="22"/>
          <w:szCs w:val="22"/>
          <w:lang w:val="ru-RU"/>
        </w:rPr>
      </w:pPr>
      <w:r w:rsidRPr="00092333">
        <w:rPr>
          <w:rFonts w:ascii="Calibri" w:eastAsia="Calibri" w:hAnsi="Calibri" w:cs="Calibri"/>
          <w:b/>
          <w:sz w:val="22"/>
          <w:szCs w:val="22"/>
          <w:lang w:val="uk-UA" w:bidi="uk-UA"/>
        </w:rPr>
        <w:t>ВРУЧЕННЯ КОПІЇ ЗАЯВИ УЧАСНИКУ ПРОВАДЖЕННЯ</w:t>
      </w:r>
    </w:p>
    <w:p w14:paraId="050D94BF" w14:textId="77777777" w:rsidR="004900B5" w:rsidRPr="00092333" w:rsidRDefault="004900B5" w:rsidP="0009233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Calibri" w:hAnsi="Calibri" w:cs="Calibri"/>
          <w:b/>
          <w:bCs/>
          <w:sz w:val="22"/>
          <w:szCs w:val="22"/>
        </w:rPr>
      </w:pPr>
      <w:r>
        <w:rPr>
          <w:rFonts w:ascii="Calibri" w:eastAsia="Calibri" w:hAnsi="Calibri" w:cs="Calibri"/>
          <w:b/>
          <w:sz w:val="22"/>
          <w:szCs w:val="22"/>
          <w:lang w:val="uk-UA" w:bidi="uk-UA"/>
        </w:rPr>
        <w:t>(цивільне судочинство)</w:t>
      </w:r>
    </w:p>
    <w:p w14:paraId="7510186F" w14:textId="77777777" w:rsidR="00726886" w:rsidRPr="00B119DD" w:rsidRDefault="00EF33AB" w:rsidP="0045435E">
      <w:pPr>
        <w:numPr>
          <w:ilvl w:val="0"/>
          <w:numId w:val="2"/>
        </w:numPr>
        <w:spacing w:before="120"/>
        <w:ind w:left="432" w:hanging="290"/>
        <w:jc w:val="both"/>
        <w:rPr>
          <w:rFonts w:ascii="Calibri" w:hAnsi="Calibri" w:cs="Arial"/>
          <w:b/>
          <w:bCs/>
          <w:sz w:val="20"/>
          <w:szCs w:val="20"/>
          <w:lang w:val="ru-RU"/>
        </w:rPr>
      </w:pPr>
      <w:r w:rsidRPr="00EF33AB">
        <w:rPr>
          <w:rFonts w:ascii="Calibri" w:eastAsia="Calibri" w:hAnsi="Calibri" w:cs="Arial"/>
          <w:sz w:val="20"/>
          <w:szCs w:val="20"/>
          <w:lang w:val="uk-UA" w:bidi="uk-UA"/>
        </w:rPr>
        <w:t xml:space="preserve">Ви щойно отримали копію заяви разом із додатками, що означає, що Ви є стороною у справі, яка розглядається в Суді. Цей лист містить сукупність важливих пам’яток щодо прав та обов’язків сторони у судовому процесі, а також вказує на порядок подальшого розгляду справи в Суді. </w:t>
      </w:r>
    </w:p>
    <w:p w14:paraId="05864B3F" w14:textId="77777777" w:rsidR="007611E2" w:rsidRPr="00B119DD" w:rsidRDefault="00726886" w:rsidP="00726886">
      <w:pPr>
        <w:spacing w:before="120"/>
        <w:ind w:left="432"/>
        <w:jc w:val="both"/>
        <w:rPr>
          <w:rFonts w:ascii="Calibri" w:hAnsi="Calibri" w:cs="Arial"/>
          <w:b/>
          <w:bCs/>
          <w:sz w:val="20"/>
          <w:szCs w:val="20"/>
          <w:lang w:val="ru-RU"/>
        </w:rPr>
      </w:pPr>
      <w:r w:rsidRPr="00726886">
        <w:rPr>
          <w:rFonts w:ascii="Calibri" w:eastAsia="Calibri" w:hAnsi="Calibri" w:cs="Arial"/>
          <w:b/>
          <w:sz w:val="20"/>
          <w:szCs w:val="20"/>
          <w:lang w:val="uk-UA" w:bidi="uk-UA"/>
        </w:rPr>
        <w:t>Учасник провадження, який не ознайомився з роз’ясненнями, несе ризик відповідних процесуальних наслідків, у тому числі наслідків, пов’язаних з незнанням зазначених там прав та обов’язків.</w:t>
      </w:r>
    </w:p>
    <w:p w14:paraId="0C01592D" w14:textId="77777777" w:rsidR="00D973E6" w:rsidRPr="00B119DD" w:rsidRDefault="00D973E6" w:rsidP="00D973E6">
      <w:pPr>
        <w:spacing w:before="120"/>
        <w:ind w:left="432"/>
        <w:jc w:val="both"/>
        <w:rPr>
          <w:rFonts w:ascii="Calibri" w:hAnsi="Calibri" w:cs="Arial"/>
          <w:sz w:val="20"/>
          <w:szCs w:val="20"/>
          <w:lang w:val="ru-RU"/>
        </w:rPr>
      </w:pPr>
      <w:r w:rsidRPr="00D973E6">
        <w:rPr>
          <w:rFonts w:ascii="Calibri" w:eastAsia="Calibri" w:hAnsi="Calibri" w:cs="Arial"/>
          <w:b/>
          <w:sz w:val="20"/>
          <w:szCs w:val="20"/>
          <w:lang w:val="uk-UA" w:bidi="uk-UA"/>
        </w:rPr>
        <w:t>Заявник</w:t>
      </w:r>
      <w:r w:rsidRPr="00D973E6">
        <w:rPr>
          <w:rFonts w:ascii="Calibri" w:eastAsia="Calibri" w:hAnsi="Calibri" w:cs="Arial"/>
          <w:sz w:val="20"/>
          <w:szCs w:val="20"/>
          <w:lang w:val="uk-UA" w:bidi="uk-UA"/>
        </w:rPr>
        <w:t xml:space="preserve"> - особа, яка подала до суду заяву про порушення провадження (наприклад, про визнання набуття спадщини, про розподіл спадщини, про скасування спільної власності, про поділ майна колишнього подружжя, про розподіл спадщини, про набуття права власності за давності);</w:t>
      </w:r>
    </w:p>
    <w:p w14:paraId="2AC6CA0C" w14:textId="77777777" w:rsidR="00D973E6" w:rsidRPr="00B119DD" w:rsidRDefault="00D973E6" w:rsidP="00D973E6">
      <w:pPr>
        <w:spacing w:before="120"/>
        <w:ind w:left="432"/>
        <w:jc w:val="both"/>
        <w:rPr>
          <w:rFonts w:ascii="Calibri" w:hAnsi="Calibri" w:cs="Arial"/>
          <w:sz w:val="20"/>
          <w:szCs w:val="20"/>
          <w:lang w:val="ru-RU"/>
        </w:rPr>
      </w:pPr>
      <w:r w:rsidRPr="00D973E6">
        <w:rPr>
          <w:rFonts w:ascii="Calibri" w:eastAsia="Calibri" w:hAnsi="Calibri" w:cs="Arial"/>
          <w:b/>
          <w:sz w:val="20"/>
          <w:szCs w:val="20"/>
          <w:lang w:val="uk-UA" w:bidi="uk-UA"/>
        </w:rPr>
        <w:t>Учасник</w:t>
      </w:r>
      <w:r w:rsidRPr="00D973E6">
        <w:rPr>
          <w:rFonts w:ascii="Calibri" w:eastAsia="Calibri" w:hAnsi="Calibri" w:cs="Arial"/>
          <w:sz w:val="20"/>
          <w:szCs w:val="20"/>
          <w:lang w:val="uk-UA" w:bidi="uk-UA"/>
        </w:rPr>
        <w:t xml:space="preserve"> - особа, яка бере участь у провадженні (</w:t>
      </w:r>
      <w:r w:rsidRPr="00D973E6">
        <w:rPr>
          <w:rFonts w:ascii="Calibri" w:eastAsia="Calibri" w:hAnsi="Calibri" w:cs="Arial"/>
          <w:b/>
          <w:sz w:val="20"/>
          <w:szCs w:val="20"/>
          <w:lang w:val="uk-UA" w:bidi="uk-UA"/>
        </w:rPr>
        <w:t>у тому числі заявник</w:t>
      </w:r>
      <w:r w:rsidRPr="00D973E6">
        <w:rPr>
          <w:rFonts w:ascii="Calibri" w:eastAsia="Calibri" w:hAnsi="Calibri" w:cs="Arial"/>
          <w:sz w:val="20"/>
          <w:szCs w:val="20"/>
          <w:lang w:val="uk-UA" w:bidi="uk-UA"/>
        </w:rPr>
        <w:t>);</w:t>
      </w:r>
    </w:p>
    <w:p w14:paraId="2741F8C4" w14:textId="77777777" w:rsidR="00D973E6" w:rsidRPr="00B119DD" w:rsidRDefault="00D973E6" w:rsidP="00D973E6">
      <w:pPr>
        <w:spacing w:before="120"/>
        <w:ind w:left="432"/>
        <w:jc w:val="both"/>
        <w:rPr>
          <w:rFonts w:ascii="Calibri" w:hAnsi="Calibri" w:cs="Arial"/>
          <w:sz w:val="20"/>
          <w:szCs w:val="20"/>
          <w:lang w:val="ru-RU"/>
        </w:rPr>
      </w:pPr>
      <w:r w:rsidRPr="00D973E6">
        <w:rPr>
          <w:rFonts w:ascii="Calibri" w:eastAsia="Calibri" w:hAnsi="Calibri" w:cs="Arial"/>
          <w:b/>
          <w:sz w:val="20"/>
          <w:szCs w:val="20"/>
          <w:lang w:val="uk-UA" w:bidi="uk-UA"/>
        </w:rPr>
        <w:t>Заява</w:t>
      </w:r>
      <w:r w:rsidRPr="00D973E6">
        <w:rPr>
          <w:rFonts w:ascii="Calibri" w:eastAsia="Calibri" w:hAnsi="Calibri" w:cs="Arial"/>
          <w:sz w:val="20"/>
          <w:szCs w:val="20"/>
          <w:lang w:val="uk-UA" w:bidi="uk-UA"/>
        </w:rPr>
        <w:t xml:space="preserve"> - письмовий документ, що порушує провадження, поданий заявником;</w:t>
      </w:r>
    </w:p>
    <w:p w14:paraId="28F138D8" w14:textId="77777777" w:rsidR="00D973E6" w:rsidRPr="00B119DD" w:rsidRDefault="00D973E6" w:rsidP="00D973E6">
      <w:pPr>
        <w:spacing w:before="120"/>
        <w:ind w:left="432"/>
        <w:jc w:val="both"/>
        <w:rPr>
          <w:rFonts w:ascii="Calibri" w:hAnsi="Calibri" w:cs="Arial"/>
          <w:sz w:val="20"/>
          <w:szCs w:val="20"/>
          <w:lang w:val="ru-RU"/>
        </w:rPr>
      </w:pPr>
      <w:r w:rsidRPr="00D973E6">
        <w:rPr>
          <w:rFonts w:ascii="Calibri" w:eastAsia="Calibri" w:hAnsi="Calibri" w:cs="Arial"/>
          <w:b/>
          <w:sz w:val="20"/>
          <w:szCs w:val="20"/>
          <w:lang w:val="uk-UA" w:bidi="uk-UA"/>
        </w:rPr>
        <w:t>Підготовчий документ</w:t>
      </w:r>
      <w:r w:rsidRPr="00D973E6">
        <w:rPr>
          <w:rFonts w:ascii="Calibri" w:eastAsia="Calibri" w:hAnsi="Calibri" w:cs="Arial"/>
          <w:sz w:val="20"/>
          <w:szCs w:val="20"/>
          <w:lang w:val="uk-UA" w:bidi="uk-UA"/>
        </w:rPr>
        <w:t xml:space="preserve"> - письмовий документ, поданий учасником, наприклад, відповідь на заяву або інші документи, подані в ході провадження.</w:t>
      </w:r>
    </w:p>
    <w:p w14:paraId="491E6E71" w14:textId="77777777" w:rsidR="007160F5" w:rsidRPr="00F91FE5" w:rsidRDefault="00F91FE5" w:rsidP="00F91FE5">
      <w:pPr>
        <w:numPr>
          <w:ilvl w:val="0"/>
          <w:numId w:val="2"/>
        </w:numPr>
        <w:spacing w:before="120"/>
        <w:ind w:left="426" w:hanging="284"/>
        <w:jc w:val="both"/>
        <w:rPr>
          <w:rFonts w:ascii="Calibri" w:hAnsi="Calibri"/>
          <w:sz w:val="20"/>
          <w:szCs w:val="20"/>
        </w:rPr>
      </w:pPr>
      <w:r w:rsidRPr="00F91FE5">
        <w:rPr>
          <w:rFonts w:ascii="Calibri" w:eastAsia="Calibri" w:hAnsi="Calibri" w:cs="Calibri"/>
          <w:b/>
          <w:sz w:val="20"/>
          <w:szCs w:val="20"/>
          <w:lang w:val="uk-UA" w:bidi="uk-UA"/>
        </w:rPr>
        <w:t>Голова суду може зобов’язати учасника подати відповідь на заяву</w:t>
      </w:r>
      <w:r w:rsidRPr="00F91FE5">
        <w:rPr>
          <w:rFonts w:ascii="Calibri" w:eastAsia="Calibri" w:hAnsi="Calibri" w:cs="Calibri"/>
          <w:sz w:val="20"/>
          <w:szCs w:val="20"/>
          <w:lang w:val="uk-UA" w:bidi="uk-UA"/>
        </w:rPr>
        <w:t xml:space="preserve"> у визначений строк, не коротший ніж два тижні. У такому випадку подання відповіді на заяву є обов’язком учасника (ст. 511</w:t>
      </w:r>
      <w:r w:rsidRPr="00F91FE5">
        <w:rPr>
          <w:rFonts w:ascii="Calibri" w:eastAsia="Calibri" w:hAnsi="Calibri" w:cs="Calibri"/>
          <w:sz w:val="20"/>
          <w:szCs w:val="20"/>
          <w:vertAlign w:val="superscript"/>
          <w:lang w:val="uk-UA" w:bidi="uk-UA"/>
        </w:rPr>
        <w:t>2</w:t>
      </w:r>
      <w:r w:rsidRPr="00F91FE5">
        <w:rPr>
          <w:rFonts w:ascii="Calibri" w:eastAsia="Calibri" w:hAnsi="Calibri" w:cs="Calibri"/>
          <w:sz w:val="20"/>
          <w:szCs w:val="20"/>
          <w:lang w:val="uk-UA" w:bidi="uk-UA"/>
        </w:rPr>
        <w:t xml:space="preserve"> § 1 ЦПК Закону від 17 листопада 1964 р. «Кодекс цивільного судочинства» («Закон. Вісник».2024.1568, єд. текст – далі ЦПК).</w:t>
      </w:r>
    </w:p>
    <w:p w14:paraId="2F7FB2D4" w14:textId="77777777" w:rsidR="00261061" w:rsidRPr="00B119DD" w:rsidRDefault="00D51E8F" w:rsidP="0045435E">
      <w:pPr>
        <w:spacing w:before="120"/>
        <w:ind w:left="432" w:hanging="6"/>
        <w:jc w:val="both"/>
        <w:rPr>
          <w:rFonts w:ascii="Calibri" w:hAnsi="Calibri"/>
          <w:sz w:val="20"/>
          <w:szCs w:val="20"/>
          <w:lang w:val="uk-UA"/>
        </w:rPr>
      </w:pPr>
      <w:r w:rsidRPr="000647CA">
        <w:rPr>
          <w:rFonts w:ascii="Calibri" w:eastAsia="Calibri" w:hAnsi="Calibri" w:cs="Calibri"/>
          <w:sz w:val="20"/>
          <w:szCs w:val="20"/>
          <w:lang w:val="uk-UA" w:bidi="uk-UA"/>
        </w:rPr>
        <w:t>Відповідь на заяву, подана після закінчення цього строку, підлягає поверненню (ст. 205</w:t>
      </w:r>
      <w:r w:rsidRPr="000647CA">
        <w:rPr>
          <w:rFonts w:ascii="Calibri" w:eastAsia="Calibri" w:hAnsi="Calibri" w:cs="Calibri"/>
          <w:sz w:val="20"/>
          <w:szCs w:val="20"/>
          <w:vertAlign w:val="superscript"/>
          <w:lang w:val="uk-UA" w:bidi="uk-UA"/>
        </w:rPr>
        <w:t>1</w:t>
      </w:r>
      <w:r w:rsidRPr="000647CA">
        <w:rPr>
          <w:rFonts w:ascii="Calibri" w:eastAsia="Calibri" w:hAnsi="Calibri" w:cs="Calibri"/>
          <w:sz w:val="20"/>
          <w:szCs w:val="20"/>
          <w:lang w:val="uk-UA" w:bidi="uk-UA"/>
        </w:rPr>
        <w:t xml:space="preserve"> § 2 ЦПК в поєдн. зі ст. 13 § 2 ЦПК).</w:t>
      </w:r>
    </w:p>
    <w:p w14:paraId="50FC3752" w14:textId="77777777" w:rsidR="007148F2" w:rsidRPr="00B119DD" w:rsidRDefault="007148F2" w:rsidP="00A7711F">
      <w:pPr>
        <w:spacing w:before="120"/>
        <w:ind w:left="431" w:hanging="6"/>
        <w:jc w:val="both"/>
        <w:rPr>
          <w:rFonts w:ascii="Calibri" w:hAnsi="Calibri"/>
          <w:sz w:val="20"/>
          <w:szCs w:val="20"/>
          <w:lang w:val="uk-UA"/>
        </w:rPr>
      </w:pPr>
      <w:r w:rsidRPr="00D64768">
        <w:rPr>
          <w:rFonts w:ascii="Calibri" w:eastAsia="Calibri" w:hAnsi="Calibri" w:cs="Calibri"/>
          <w:sz w:val="20"/>
          <w:szCs w:val="20"/>
          <w:lang w:val="uk-UA" w:bidi="uk-UA"/>
        </w:rPr>
        <w:t>Відповідь на заяву повинна містити (ст. 126 ЦПК в поєдн. зі ст. 13 § 2 ЦПК):</w:t>
      </w:r>
    </w:p>
    <w:p w14:paraId="76E3297D" w14:textId="77777777" w:rsidR="007148F2" w:rsidRPr="00B119DD"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назву суду, до якого вона направлена, та зазначення номера справи;</w:t>
      </w:r>
    </w:p>
    <w:p w14:paraId="03BBA569" w14:textId="77777777" w:rsidR="007148F2" w:rsidRPr="00B119DD"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імена та прізвища або назви учасників, їхніх законних представників та повноважних представників; </w:t>
      </w:r>
    </w:p>
    <w:p w14:paraId="50C57081" w14:textId="77777777" w:rsidR="007148F2" w:rsidRPr="00B119DD"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зазначення виду документа </w:t>
      </w:r>
      <w:r w:rsidRPr="00D64768">
        <w:rPr>
          <w:rFonts w:ascii="Calibri" w:eastAsia="Calibri" w:hAnsi="Calibri" w:cs="Calibri"/>
          <w:i/>
          <w:sz w:val="20"/>
          <w:szCs w:val="20"/>
          <w:lang w:val="uk-UA" w:bidi="uk-UA"/>
        </w:rPr>
        <w:t>(відповідь на заяву);</w:t>
      </w:r>
      <w:r w:rsidRPr="00D64768">
        <w:rPr>
          <w:rFonts w:ascii="Calibri" w:eastAsia="Calibri" w:hAnsi="Calibri" w:cs="Calibri"/>
          <w:sz w:val="20"/>
          <w:szCs w:val="20"/>
          <w:lang w:val="uk-UA" w:bidi="uk-UA"/>
        </w:rPr>
        <w:t xml:space="preserve"> </w:t>
      </w:r>
    </w:p>
    <w:p w14:paraId="4179EA04" w14:textId="77777777" w:rsidR="00377543" w:rsidRPr="00D64768" w:rsidRDefault="007148F2" w:rsidP="0045435E">
      <w:pPr>
        <w:numPr>
          <w:ilvl w:val="2"/>
          <w:numId w:val="10"/>
        </w:numPr>
        <w:ind w:left="709" w:hanging="290"/>
        <w:jc w:val="both"/>
        <w:rPr>
          <w:rFonts w:ascii="Calibri" w:hAnsi="Calibri" w:cs="Arial"/>
          <w:sz w:val="20"/>
          <w:szCs w:val="20"/>
        </w:rPr>
      </w:pPr>
      <w:r w:rsidRPr="00D64768">
        <w:rPr>
          <w:rFonts w:ascii="Calibri" w:eastAsia="Calibri" w:hAnsi="Calibri" w:cs="Calibri"/>
          <w:sz w:val="20"/>
          <w:szCs w:val="20"/>
          <w:lang w:val="uk-UA" w:bidi="uk-UA"/>
        </w:rPr>
        <w:t>основу клопотання або заяви;</w:t>
      </w:r>
    </w:p>
    <w:p w14:paraId="7D137D88" w14:textId="77777777" w:rsidR="00377543" w:rsidRPr="00B119DD"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у разі, якщо це необхідно для вирішення справи - зазначення фактів, на яких учасник ґрунтує своє клопотання або заяву, а також зазначення доказів для підтвердження кожного з цих фактів; </w:t>
      </w:r>
    </w:p>
    <w:p w14:paraId="6FC3C1B1" w14:textId="77777777" w:rsidR="00377543" w:rsidRPr="00B119DD" w:rsidRDefault="007148F2" w:rsidP="0045435E">
      <w:pPr>
        <w:numPr>
          <w:ilvl w:val="2"/>
          <w:numId w:val="10"/>
        </w:numPr>
        <w:ind w:left="709" w:hanging="290"/>
        <w:jc w:val="both"/>
        <w:rPr>
          <w:rFonts w:ascii="Calibri" w:hAnsi="Calibri" w:cs="Arial"/>
          <w:sz w:val="20"/>
          <w:szCs w:val="20"/>
          <w:lang w:val="ru-RU"/>
        </w:rPr>
      </w:pPr>
      <w:r w:rsidRPr="00D64768">
        <w:rPr>
          <w:rFonts w:ascii="Calibri" w:eastAsia="Calibri" w:hAnsi="Calibri" w:cs="Calibri"/>
          <w:sz w:val="20"/>
          <w:szCs w:val="20"/>
          <w:lang w:val="uk-UA" w:bidi="uk-UA"/>
        </w:rPr>
        <w:t xml:space="preserve">підпис учасника або його законного представника чи повноважного представника; </w:t>
      </w:r>
    </w:p>
    <w:p w14:paraId="43EA83BC" w14:textId="77777777" w:rsidR="00377543" w:rsidRPr="00D64768" w:rsidRDefault="00377543" w:rsidP="0045435E">
      <w:pPr>
        <w:numPr>
          <w:ilvl w:val="2"/>
          <w:numId w:val="10"/>
        </w:numPr>
        <w:ind w:left="709" w:hanging="290"/>
        <w:jc w:val="both"/>
        <w:rPr>
          <w:rFonts w:ascii="Calibri" w:hAnsi="Calibri" w:cs="Arial"/>
          <w:sz w:val="20"/>
          <w:szCs w:val="20"/>
        </w:rPr>
      </w:pPr>
      <w:r w:rsidRPr="00D64768">
        <w:rPr>
          <w:rFonts w:ascii="Calibri" w:eastAsia="Calibri" w:hAnsi="Calibri" w:cs="Calibri"/>
          <w:sz w:val="20"/>
          <w:szCs w:val="20"/>
          <w:lang w:val="uk-UA" w:bidi="uk-UA"/>
        </w:rPr>
        <w:t xml:space="preserve">перелік додатків. </w:t>
      </w:r>
    </w:p>
    <w:p w14:paraId="16CC9472" w14:textId="77777777" w:rsidR="008B7222" w:rsidRPr="00B119DD" w:rsidRDefault="007148F2" w:rsidP="0045435E">
      <w:pPr>
        <w:spacing w:before="120"/>
        <w:ind w:left="425" w:firstLine="1"/>
        <w:jc w:val="both"/>
        <w:rPr>
          <w:rFonts w:ascii="Calibri" w:hAnsi="Calibri"/>
          <w:sz w:val="20"/>
          <w:szCs w:val="20"/>
          <w:lang w:val="ru-RU"/>
        </w:rPr>
      </w:pPr>
      <w:r w:rsidRPr="00CF562F">
        <w:rPr>
          <w:rFonts w:ascii="Calibri" w:eastAsia="Calibri" w:hAnsi="Calibri" w:cs="Calibri"/>
          <w:sz w:val="20"/>
          <w:szCs w:val="20"/>
          <w:lang w:val="uk-UA" w:bidi="uk-UA"/>
        </w:rPr>
        <w:t xml:space="preserve">До відповіді на заяву учасник повинен додати: </w:t>
      </w:r>
    </w:p>
    <w:p w14:paraId="4167A864" w14:textId="77777777" w:rsidR="008B7222" w:rsidRPr="00B119DD" w:rsidRDefault="007148F2" w:rsidP="0045435E">
      <w:pPr>
        <w:numPr>
          <w:ilvl w:val="2"/>
          <w:numId w:val="12"/>
        </w:numPr>
        <w:ind w:left="709" w:hanging="290"/>
        <w:jc w:val="both"/>
        <w:rPr>
          <w:rFonts w:ascii="Calibri" w:hAnsi="Calibri"/>
          <w:sz w:val="20"/>
          <w:szCs w:val="20"/>
          <w:lang w:val="ru-RU"/>
        </w:rPr>
      </w:pPr>
      <w:r w:rsidRPr="00CF562F">
        <w:rPr>
          <w:rFonts w:ascii="Calibri" w:eastAsia="Calibri" w:hAnsi="Calibri" w:cs="Calibri"/>
          <w:sz w:val="20"/>
          <w:szCs w:val="20"/>
          <w:lang w:val="uk-UA" w:bidi="uk-UA"/>
        </w:rPr>
        <w:t>додатки, перелічені у відповіді на заяву (ст. 126 § 1</w:t>
      </w:r>
      <w:r w:rsidRPr="00CF562F">
        <w:rPr>
          <w:rFonts w:ascii="Calibri" w:eastAsia="Calibri" w:hAnsi="Calibri" w:cs="Calibri"/>
          <w:sz w:val="20"/>
          <w:szCs w:val="20"/>
          <w:vertAlign w:val="superscript"/>
          <w:lang w:val="uk-UA" w:bidi="uk-UA"/>
        </w:rPr>
        <w:t>1</w:t>
      </w:r>
      <w:r w:rsidRPr="00CF562F">
        <w:rPr>
          <w:rFonts w:ascii="Calibri" w:eastAsia="Calibri" w:hAnsi="Calibri" w:cs="Calibri"/>
          <w:sz w:val="20"/>
          <w:szCs w:val="20"/>
          <w:lang w:val="uk-UA" w:bidi="uk-UA"/>
        </w:rPr>
        <w:t xml:space="preserve"> ЦПК в поєдн. зі ст. 13 § 2 ЦПК); </w:t>
      </w:r>
    </w:p>
    <w:p w14:paraId="40B3C90A" w14:textId="77777777" w:rsidR="00B13433" w:rsidRPr="00B119DD" w:rsidRDefault="007148F2" w:rsidP="00B13433">
      <w:pPr>
        <w:numPr>
          <w:ilvl w:val="2"/>
          <w:numId w:val="12"/>
        </w:numPr>
        <w:ind w:left="709" w:hanging="290"/>
        <w:jc w:val="both"/>
        <w:rPr>
          <w:rFonts w:ascii="Calibri" w:hAnsi="Calibri"/>
          <w:sz w:val="20"/>
          <w:szCs w:val="20"/>
          <w:lang w:val="ru-RU"/>
        </w:rPr>
      </w:pPr>
      <w:r w:rsidRPr="00CF562F">
        <w:rPr>
          <w:rFonts w:ascii="Calibri" w:eastAsia="Calibri" w:hAnsi="Calibri" w:cs="Calibri"/>
          <w:sz w:val="20"/>
          <w:szCs w:val="20"/>
          <w:lang w:val="uk-UA" w:bidi="uk-UA"/>
        </w:rPr>
        <w:t>копію відповіді на заяву та копії додатків для вручення їх особам, які беруть участь у справі, а також, якщо оригінали додатків не були подані до суду, по одній копії кожного додатка до судової справи (ст. 128 § 1 ЦПК в поєдн. зі ст. 13 § 2 ЦПК).</w:t>
      </w:r>
    </w:p>
    <w:p w14:paraId="4C344DC3" w14:textId="77777777" w:rsidR="00A7711F" w:rsidRPr="00B119DD" w:rsidRDefault="00527250" w:rsidP="00AD1F73">
      <w:pPr>
        <w:spacing w:before="120"/>
        <w:ind w:left="420"/>
        <w:jc w:val="both"/>
        <w:rPr>
          <w:rFonts w:ascii="Calibri" w:hAnsi="Calibri"/>
          <w:sz w:val="20"/>
          <w:szCs w:val="20"/>
          <w:lang w:val="uk-UA"/>
        </w:rPr>
      </w:pPr>
      <w:r>
        <w:rPr>
          <w:rFonts w:ascii="Calibri" w:eastAsia="Calibri" w:hAnsi="Calibri" w:cs="Calibri"/>
          <w:sz w:val="20"/>
          <w:szCs w:val="20"/>
          <w:lang w:val="uk-UA" w:bidi="uk-UA"/>
        </w:rPr>
        <w:t xml:space="preserve">Учасник, який є фізичною особою, у першому процесуальному документі повинен вказати свій номер </w:t>
      </w:r>
      <w:r>
        <w:rPr>
          <w:rFonts w:ascii="Calibri" w:eastAsia="Calibri" w:hAnsi="Calibri" w:cs="Calibri"/>
          <w:b/>
          <w:sz w:val="20"/>
          <w:szCs w:val="20"/>
          <w:lang w:val="uk-UA" w:bidi="uk-UA"/>
        </w:rPr>
        <w:t>PESEL</w:t>
      </w:r>
      <w:r>
        <w:rPr>
          <w:rFonts w:ascii="Calibri" w:eastAsia="Calibri" w:hAnsi="Calibri" w:cs="Calibri"/>
          <w:sz w:val="20"/>
          <w:szCs w:val="20"/>
          <w:lang w:val="uk-UA" w:bidi="uk-UA"/>
        </w:rPr>
        <w:t xml:space="preserve">, якщо він зобов’язаний його мати або має його, незважаючи на відсутність такого обов’язку. Учасник провадження, який не є фізичною особою, повинен вказати номер у </w:t>
      </w:r>
      <w:r>
        <w:rPr>
          <w:rFonts w:ascii="Calibri" w:eastAsia="Calibri" w:hAnsi="Calibri" w:cs="Calibri"/>
          <w:b/>
          <w:sz w:val="20"/>
          <w:szCs w:val="20"/>
          <w:lang w:val="uk-UA" w:bidi="uk-UA"/>
        </w:rPr>
        <w:t>Національному судовому реєстрі</w:t>
      </w:r>
      <w:r>
        <w:rPr>
          <w:rFonts w:ascii="Calibri" w:eastAsia="Calibri" w:hAnsi="Calibri" w:cs="Calibri"/>
          <w:sz w:val="20"/>
          <w:szCs w:val="20"/>
          <w:lang w:val="uk-UA" w:bidi="uk-UA"/>
        </w:rPr>
        <w:t>, а в разі його відсутності – номер в іншому відповідному реєстрі, обліку або номер NIP, якщо він зобов’язаний його мати (ст. 208</w:t>
      </w:r>
      <w:r>
        <w:rPr>
          <w:rFonts w:ascii="Calibri" w:eastAsia="Calibri" w:hAnsi="Calibri" w:cs="Calibri"/>
          <w:sz w:val="20"/>
          <w:szCs w:val="20"/>
          <w:vertAlign w:val="superscript"/>
          <w:lang w:val="uk-UA" w:bidi="uk-UA"/>
        </w:rPr>
        <w:t>1</w:t>
      </w:r>
      <w:r>
        <w:rPr>
          <w:rFonts w:ascii="Calibri" w:eastAsia="Calibri" w:hAnsi="Calibri" w:cs="Calibri"/>
          <w:sz w:val="20"/>
          <w:szCs w:val="20"/>
          <w:lang w:val="uk-UA" w:bidi="uk-UA"/>
        </w:rPr>
        <w:t xml:space="preserve"> ЦПК в поєдн. зі ст. 13 § 2 ЦПК).</w:t>
      </w:r>
    </w:p>
    <w:p w14:paraId="0D981679" w14:textId="77777777" w:rsidR="002B753E" w:rsidRPr="00B119DD" w:rsidRDefault="002B753E"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sz w:val="20"/>
          <w:szCs w:val="20"/>
          <w:lang w:val="ru-RU"/>
        </w:rPr>
      </w:pPr>
      <w:r w:rsidRPr="00552AC0">
        <w:rPr>
          <w:rFonts w:ascii="Calibri" w:eastAsia="Calibri" w:hAnsi="Calibri" w:cs="Calibri"/>
          <w:b/>
          <w:sz w:val="20"/>
          <w:szCs w:val="20"/>
          <w:lang w:val="uk-UA" w:bidi="uk-UA"/>
        </w:rPr>
        <w:t>Подання процесуального документа</w:t>
      </w:r>
      <w:r w:rsidRPr="00552AC0">
        <w:rPr>
          <w:rFonts w:ascii="Calibri" w:eastAsia="Calibri" w:hAnsi="Calibri" w:cs="Calibri"/>
          <w:sz w:val="20"/>
          <w:szCs w:val="20"/>
          <w:lang w:val="uk-UA" w:bidi="uk-UA"/>
        </w:rPr>
        <w:t xml:space="preserve"> у польському відділенні оператора, що надає універсальні поштові послуги на території Польщі, або в закордонному поштовому відділенні оператора, що надає універсальні поштові послуги на території іншої держави-члена Європейського Союзу, </w:t>
      </w:r>
      <w:r w:rsidRPr="00552AC0">
        <w:rPr>
          <w:rFonts w:ascii="Calibri" w:eastAsia="Calibri" w:hAnsi="Calibri" w:cs="Calibri"/>
          <w:b/>
          <w:sz w:val="20"/>
          <w:szCs w:val="20"/>
          <w:lang w:val="uk-UA" w:bidi="uk-UA"/>
        </w:rPr>
        <w:t>є рівнозначним його поданню до суду.</w:t>
      </w:r>
      <w:r w:rsidRPr="00552AC0">
        <w:rPr>
          <w:rFonts w:ascii="Calibri" w:eastAsia="Calibri" w:hAnsi="Calibri" w:cs="Calibri"/>
          <w:sz w:val="20"/>
          <w:szCs w:val="20"/>
          <w:lang w:val="uk-UA" w:bidi="uk-UA"/>
        </w:rPr>
        <w:t xml:space="preserve">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2-3 ЦПК в поєдн. зі ст. 13 § 2 </w:t>
      </w:r>
      <w:r w:rsidRPr="00552AC0">
        <w:rPr>
          <w:rFonts w:ascii="Calibri" w:eastAsia="Calibri" w:hAnsi="Calibri" w:cs="Calibri"/>
          <w:sz w:val="20"/>
          <w:szCs w:val="20"/>
          <w:lang w:val="uk-UA" w:bidi="uk-UA"/>
        </w:rPr>
        <w:lastRenderedPageBreak/>
        <w:t>ЦПК).</w:t>
      </w:r>
    </w:p>
    <w:p w14:paraId="1EA2D143" w14:textId="77777777" w:rsidR="00C84D44" w:rsidRPr="00B119DD" w:rsidRDefault="00C84D44" w:rsidP="0010629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b/>
          <w:bCs/>
          <w:sz w:val="20"/>
          <w:szCs w:val="20"/>
          <w:lang w:val="ru-RU"/>
        </w:rPr>
      </w:pPr>
      <w:r w:rsidRPr="00C84D44">
        <w:rPr>
          <w:rFonts w:ascii="Calibri" w:eastAsia="Calibri" w:hAnsi="Calibri" w:cs="Calibri"/>
          <w:b/>
          <w:sz w:val="20"/>
          <w:szCs w:val="20"/>
          <w:lang w:val="uk-UA" w:bidi="uk-UA"/>
        </w:rPr>
        <w:t>Відлік строку, визначеного судом</w:t>
      </w:r>
      <w:r w:rsidRPr="00C84D44">
        <w:rPr>
          <w:rFonts w:ascii="Calibri" w:eastAsia="Calibri" w:hAnsi="Calibri" w:cs="Calibri"/>
          <w:sz w:val="20"/>
          <w:szCs w:val="20"/>
          <w:lang w:val="uk-UA" w:bidi="uk-UA"/>
        </w:rPr>
        <w:t xml:space="preserve"> або головою суду (судовий строк), починається з моменту оголошення у цій справі ухвали або розпорядження, </w:t>
      </w:r>
      <w:r w:rsidRPr="00C84D44">
        <w:rPr>
          <w:rFonts w:ascii="Calibri" w:eastAsia="Calibri" w:hAnsi="Calibri" w:cs="Calibri"/>
          <w:b/>
          <w:sz w:val="20"/>
          <w:szCs w:val="20"/>
          <w:lang w:val="uk-UA" w:bidi="uk-UA"/>
        </w:rPr>
        <w:t>а якщо кодекс передбачає вручення за службовим обов’язком – з моменту його вручення</w:t>
      </w:r>
      <w:r w:rsidRPr="00C84D44">
        <w:rPr>
          <w:rFonts w:ascii="Calibri" w:eastAsia="Calibri" w:hAnsi="Calibri" w:cs="Calibri"/>
          <w:sz w:val="20"/>
          <w:szCs w:val="20"/>
          <w:lang w:val="uk-UA" w:bidi="uk-UA"/>
        </w:rPr>
        <w:t xml:space="preserve"> (ст. 164 ЦПК в поєдн. зі ст. 13 § 2 ЦПК).</w:t>
      </w:r>
    </w:p>
    <w:p w14:paraId="6742BEBF" w14:textId="77777777" w:rsidR="00DC55A1" w:rsidRPr="00B119DD" w:rsidRDefault="00771690" w:rsidP="00DC55A1">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cs="Calibri"/>
          <w:sz w:val="20"/>
          <w:szCs w:val="20"/>
          <w:lang w:val="ru-RU"/>
        </w:rPr>
      </w:pPr>
      <w:r w:rsidRPr="00DC55A1">
        <w:rPr>
          <w:rFonts w:ascii="Calibri" w:eastAsia="Calibri" w:hAnsi="Calibri" w:cs="Calibri"/>
          <w:sz w:val="20"/>
          <w:szCs w:val="20"/>
          <w:lang w:val="uk-UA" w:bidi="uk-UA"/>
        </w:rPr>
        <w:t xml:space="preserve">На будь-якому етапі провадження </w:t>
      </w:r>
      <w:r w:rsidRPr="00DC55A1">
        <w:rPr>
          <w:rFonts w:ascii="Calibri" w:eastAsia="Calibri" w:hAnsi="Calibri" w:cs="Calibri"/>
          <w:b/>
          <w:sz w:val="20"/>
          <w:szCs w:val="20"/>
          <w:lang w:val="uk-UA" w:bidi="uk-UA"/>
        </w:rPr>
        <w:t xml:space="preserve">сторона може призначити процесуального повноважного представника. </w:t>
      </w:r>
      <w:r w:rsidRPr="00DC55A1">
        <w:rPr>
          <w:rFonts w:ascii="Calibri" w:eastAsia="Calibri" w:hAnsi="Calibri" w:cs="Calibri"/>
          <w:sz w:val="20"/>
          <w:szCs w:val="20"/>
          <w:lang w:val="uk-UA" w:bidi="uk-UA"/>
        </w:rPr>
        <w:t>Призначення процесуального повноважного представника в особі адвоката, юрисконсульта або патентного повіреного не є обов’язковим (ст. 205</w:t>
      </w:r>
      <w:r w:rsidRPr="00DC55A1">
        <w:rPr>
          <w:rFonts w:ascii="Calibri" w:eastAsia="Calibri" w:hAnsi="Calibri" w:cs="Calibri"/>
          <w:sz w:val="20"/>
          <w:szCs w:val="20"/>
          <w:vertAlign w:val="superscript"/>
          <w:lang w:val="uk-UA" w:bidi="uk-UA"/>
        </w:rPr>
        <w:t>2</w:t>
      </w:r>
      <w:r w:rsidRPr="00DC55A1">
        <w:rPr>
          <w:rFonts w:ascii="Calibri" w:eastAsia="Calibri" w:hAnsi="Calibri" w:cs="Calibri"/>
          <w:sz w:val="20"/>
          <w:szCs w:val="20"/>
          <w:lang w:val="uk-UA" w:bidi="uk-UA"/>
        </w:rPr>
        <w:t xml:space="preserve"> § 1 п. 2 ЦПК в поєдн. зі ст. 13 § 2 ЦПК). Процесуальна довіреність може бути загальною, для ведення окремих справ або для певних процесуальних дій.</w:t>
      </w:r>
    </w:p>
    <w:p w14:paraId="069C8333" w14:textId="77777777" w:rsidR="00DC55A1" w:rsidRPr="00B119DD" w:rsidRDefault="00DC55A1" w:rsidP="00DC55A1">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DC55A1">
        <w:rPr>
          <w:rFonts w:ascii="Calibri" w:eastAsia="Calibri" w:hAnsi="Calibri" w:cs="Calibri"/>
          <w:sz w:val="20"/>
          <w:szCs w:val="20"/>
          <w:lang w:val="uk-UA" w:bidi="uk-UA"/>
        </w:rPr>
        <w:t>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інтересами учасника, та особа, яка перебуває з учасником у постійних довірчих відносинах, якщо предмет справи входить до сфери цих довірчих відносин, а також батьки, чоловік або дружина, брати та сестри або нащадки учасника, а також особи, які перебувають з учасником у відносинах усиновлення (ст. 87 § 1 ЦПК в поєдн. зі ст. 13 § 2 ЦПК).</w:t>
      </w:r>
    </w:p>
    <w:p w14:paraId="3D61FEE3" w14:textId="77777777" w:rsidR="00DC55A1" w:rsidRPr="00B119DD" w:rsidRDefault="00DC55A1" w:rsidP="00DC55A1">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uk-UA"/>
        </w:rPr>
      </w:pPr>
      <w:r w:rsidRPr="00DC55A1">
        <w:rPr>
          <w:rFonts w:ascii="Calibri" w:eastAsia="Calibri" w:hAnsi="Calibri" w:cs="Calibri"/>
          <w:sz w:val="20"/>
          <w:szCs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 в поєдн. зі ст. 13 § 2 ЦПК).</w:t>
      </w:r>
    </w:p>
    <w:p w14:paraId="737C2F9D" w14:textId="77777777" w:rsidR="000872C8" w:rsidRPr="00B119DD" w:rsidRDefault="000872C8" w:rsidP="000872C8">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F02506">
        <w:rPr>
          <w:rFonts w:ascii="Calibri" w:eastAsia="Calibri" w:hAnsi="Calibri" w:cs="Calibri"/>
          <w:b/>
          <w:sz w:val="20"/>
          <w:szCs w:val="20"/>
          <w:lang w:val="uk-UA" w:bidi="uk-UA"/>
        </w:rPr>
        <w:t>Довіреність</w:t>
      </w:r>
      <w:r w:rsidRPr="00F02506">
        <w:rPr>
          <w:rFonts w:ascii="Calibri" w:eastAsia="Calibri" w:hAnsi="Calibri" w:cs="Calibri"/>
          <w:sz w:val="20"/>
          <w:szCs w:val="20"/>
          <w:lang w:val="uk-UA" w:bidi="uk-UA"/>
        </w:rPr>
        <w:t>, що передбачає виключно повноваження на отримання судових документів (</w:t>
      </w:r>
      <w:r w:rsidRPr="00F02506">
        <w:rPr>
          <w:rFonts w:ascii="Calibri" w:eastAsia="Calibri" w:hAnsi="Calibri" w:cs="Calibri"/>
          <w:b/>
          <w:sz w:val="20"/>
          <w:szCs w:val="20"/>
          <w:lang w:val="uk-UA" w:bidi="uk-UA"/>
        </w:rPr>
        <w:t>повноважний представник для отримання документів</w:t>
      </w:r>
      <w:r w:rsidRPr="00F02506">
        <w:rPr>
          <w:rFonts w:ascii="Calibri" w:eastAsia="Calibri" w:hAnsi="Calibri" w:cs="Calibri"/>
          <w:sz w:val="20"/>
          <w:szCs w:val="20"/>
          <w:lang w:val="uk-UA" w:bidi="uk-UA"/>
        </w:rPr>
        <w:t>), може бути надана будь-якій фізичній особі, яка має повну процесуальну дієздатність.</w:t>
      </w:r>
    </w:p>
    <w:p w14:paraId="7E3BA27A" w14:textId="77777777" w:rsidR="00A6183F" w:rsidRPr="00B119DD" w:rsidRDefault="00DC55A1" w:rsidP="00C84D4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sz w:val="20"/>
          <w:szCs w:val="20"/>
          <w:lang w:val="ru-RU"/>
        </w:rPr>
      </w:pPr>
      <w:r w:rsidRPr="00DC55A1">
        <w:rPr>
          <w:rFonts w:ascii="Calibri" w:eastAsia="Calibri" w:hAnsi="Calibri" w:cs="Calibri"/>
          <w:sz w:val="20"/>
          <w:szCs w:val="20"/>
          <w:lang w:val="uk-UA" w:bidi="uk-UA"/>
        </w:rPr>
        <w:t>Повноважний представник зобов’язаний під час своєї першої процесуальної дії подати письмову довіреність із підписом довірителя або завірену копію довіреності, а також інші документи, що підтверджують його повноваження - усі ці документи разом із копією для інших учасників (ст. 89 § 1 ЦПК в поєдн. зі ст. 13 § 2 ЦПК).</w:t>
      </w:r>
    </w:p>
    <w:p w14:paraId="50D519AE" w14:textId="33E031A0" w:rsidR="005763AB" w:rsidRPr="00B119DD" w:rsidRDefault="00A17812" w:rsidP="00DB0D31">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Calibri" w:hAnsi="Calibri" w:cs="Calibri"/>
          <w:sz w:val="20"/>
          <w:szCs w:val="20"/>
          <w:lang w:val="uk-UA"/>
        </w:rPr>
      </w:pPr>
      <w:r w:rsidRPr="00FF0782">
        <w:rPr>
          <w:rFonts w:ascii="Calibri" w:eastAsia="Calibri" w:hAnsi="Calibri" w:cs="Calibri"/>
          <w:b/>
          <w:sz w:val="20"/>
          <w:szCs w:val="20"/>
          <w:lang w:val="uk-UA" w:bidi="uk-UA"/>
        </w:rPr>
        <w:t>Звільнення від судових витрат</w:t>
      </w:r>
      <w:r w:rsidRPr="00FF0782">
        <w:rPr>
          <w:rFonts w:ascii="Calibri" w:eastAsia="Calibri" w:hAnsi="Calibri" w:cs="Calibri"/>
          <w:sz w:val="20"/>
          <w:szCs w:val="20"/>
          <w:lang w:val="uk-UA" w:bidi="uk-UA"/>
        </w:rPr>
        <w:t xml:space="preserve"> може вимагати </w:t>
      </w:r>
      <w:r w:rsidRPr="00FF0782">
        <w:rPr>
          <w:rFonts w:ascii="Calibri" w:eastAsia="Calibri" w:hAnsi="Calibri" w:cs="Calibri"/>
          <w:b/>
          <w:sz w:val="20"/>
          <w:szCs w:val="20"/>
          <w:lang w:val="uk-UA" w:bidi="uk-UA"/>
        </w:rPr>
        <w:t>фізична особа</w:t>
      </w:r>
      <w:r w:rsidRPr="00FF0782">
        <w:rPr>
          <w:rFonts w:ascii="Calibri" w:eastAsia="Calibri" w:hAnsi="Calibri" w:cs="Calibri"/>
          <w:sz w:val="20"/>
          <w:szCs w:val="20"/>
          <w:lang w:val="uk-UA" w:bidi="uk-UA"/>
        </w:rPr>
        <w:t xml:space="preserve">, якщо вона подасть заяву, з якої випливає, що вона не в змозі їх понести без шкоди для утримання, необхідного для себе та своєї сім’ї, або що їх </w:t>
      </w:r>
      <w:r w:rsidR="00B119DD">
        <w:rPr>
          <w:rFonts w:ascii="Calibri" w:eastAsia="Calibri" w:hAnsi="Calibri" w:cs="Calibri"/>
          <w:sz w:val="20"/>
          <w:szCs w:val="20"/>
          <w:lang w:val="uk-UA" w:bidi="uk-UA"/>
        </w:rPr>
        <w:t>сплата</w:t>
      </w:r>
      <w:r w:rsidRPr="00FF0782">
        <w:rPr>
          <w:rFonts w:ascii="Calibri" w:eastAsia="Calibri" w:hAnsi="Calibri" w:cs="Calibri"/>
          <w:sz w:val="20"/>
          <w:szCs w:val="20"/>
          <w:lang w:val="uk-UA" w:bidi="uk-UA"/>
        </w:rPr>
        <w:t xml:space="preserve"> наражає її на таку шкоду (ст. 102 ч. 1 Закону від 28 липня 2005 р. про судові витрати у цивільних справах, «Закон. Вісник».2025.1228, єд. текст – далі ЗСЦС). До заяви про звільнення від судових витрат слід додати заяву, що містить детальні дані про сімейний стан, майно, доходи та джерела утримання особи, яка звертається за звільненням від витрат (ст. 102 ч. 2 ЗСЦС). </w:t>
      </w:r>
      <w:r w:rsidRPr="00FF0782">
        <w:rPr>
          <w:rFonts w:ascii="Calibri" w:eastAsia="Calibri" w:hAnsi="Calibri" w:cs="Calibri"/>
          <w:b/>
          <w:sz w:val="20"/>
          <w:szCs w:val="20"/>
          <w:lang w:val="uk-UA" w:bidi="uk-UA"/>
        </w:rPr>
        <w:t>Заява складається за встановленим зразком.</w:t>
      </w:r>
      <w:r w:rsidRPr="00FF0782">
        <w:rPr>
          <w:rFonts w:ascii="Calibri" w:eastAsia="Calibri" w:hAnsi="Calibri" w:cs="Calibri"/>
          <w:sz w:val="20"/>
          <w:szCs w:val="20"/>
          <w:lang w:val="uk-UA" w:bidi="uk-UA"/>
        </w:rPr>
        <w:t xml:space="preserve"> Бланк доступний на вебсайті Міністерства юстиції або в приміщенні суду. Неподання зазначеного бланка разом із заявою про звільнення від судових витрат є формальним недоліком цієї заяви. Суд може надати звільнення від судових витрат </w:t>
      </w:r>
      <w:r w:rsidRPr="00FF0782">
        <w:rPr>
          <w:rFonts w:ascii="Calibri" w:eastAsia="Calibri" w:hAnsi="Calibri" w:cs="Calibri"/>
          <w:b/>
          <w:sz w:val="20"/>
          <w:szCs w:val="20"/>
          <w:lang w:val="uk-UA" w:bidi="uk-UA"/>
        </w:rPr>
        <w:t>юридичній особі або організаційній одиниці, яка не є юридичною особою</w:t>
      </w:r>
      <w:r w:rsidRPr="00FF0782">
        <w:rPr>
          <w:rFonts w:ascii="Calibri" w:eastAsia="Calibri" w:hAnsi="Calibri" w:cs="Calibri"/>
          <w:sz w:val="20"/>
          <w:szCs w:val="20"/>
          <w:lang w:val="uk-UA" w:bidi="uk-UA"/>
        </w:rPr>
        <w:t>, якій закон надає правоздатність, якщо вона довела, що не має достатніх коштів для їх сплати (ст. 103 ч. 1 ЗСЦС).</w:t>
      </w:r>
    </w:p>
    <w:p w14:paraId="1A470FB1" w14:textId="77777777" w:rsidR="00A17812" w:rsidRPr="00B119DD" w:rsidRDefault="0065621D" w:rsidP="005763A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Pr>
          <w:rFonts w:ascii="Calibri" w:eastAsia="Calibri" w:hAnsi="Calibri" w:cs="Calibri"/>
          <w:sz w:val="20"/>
          <w:szCs w:val="20"/>
          <w:lang w:val="uk-UA" w:bidi="uk-UA"/>
        </w:rPr>
        <w:t xml:space="preserve">Учасник, якого суд повністю або частково звільнив від судових витрат, може вимагати </w:t>
      </w:r>
      <w:r>
        <w:rPr>
          <w:rFonts w:ascii="Calibri" w:eastAsia="Calibri" w:hAnsi="Calibri" w:cs="Calibri"/>
          <w:b/>
          <w:sz w:val="20"/>
          <w:szCs w:val="20"/>
          <w:lang w:val="uk-UA" w:bidi="uk-UA"/>
        </w:rPr>
        <w:t>призначення адвоката або юрисконсульта.</w:t>
      </w:r>
      <w:r>
        <w:rPr>
          <w:rFonts w:ascii="Calibri" w:eastAsia="Calibri" w:hAnsi="Calibri" w:cs="Calibri"/>
          <w:sz w:val="20"/>
          <w:szCs w:val="20"/>
          <w:lang w:val="uk-UA" w:bidi="uk-UA"/>
        </w:rPr>
        <w:t xml:space="preserve"> Фізична особа, яка не була звільнена судом від судових витрат, може вимагати призначення адвоката або юрисконсульта, якщо подасть заяву, з якої випливає, що вона не в змозі покрити витрати на винагороду адвоката або юрисконсульта без шкоди для утримання, необхідного для себе та своєї сім’ї (бланк доступний на вебсайті Міністерства юстиції або в приміщенні суду). Юридична особа або інша організаційна одиниця, якій закон надає судову дієздатність, яка не була звільнена судом від судових витрат, може вимагати призначення адвоката або юрисконсульта, якщо доведе, що не має достатніх коштів для покриття витрат на винагороду адвоката або юрисконсульта. Клопотання про призначення адвоката або юрисконсульта учасник подає разом із заявою про звільнення від судових витрат або окремо, у письмовій формі чи усно до протоколу, в суді, в якому справа має бути </w:t>
      </w:r>
      <w:r>
        <w:rPr>
          <w:rFonts w:ascii="Calibri" w:eastAsia="Calibri" w:hAnsi="Calibri" w:cs="Calibri"/>
          <w:sz w:val="20"/>
          <w:szCs w:val="20"/>
          <w:lang w:val="uk-UA" w:bidi="uk-UA"/>
        </w:rPr>
        <w:lastRenderedPageBreak/>
        <w:t xml:space="preserve">порушена або вже розглядається. </w:t>
      </w:r>
      <w:r>
        <w:rPr>
          <w:rFonts w:ascii="Calibri" w:eastAsia="Calibri" w:hAnsi="Calibri" w:cs="Calibri"/>
          <w:b/>
          <w:sz w:val="20"/>
          <w:szCs w:val="20"/>
          <w:lang w:val="uk-UA" w:bidi="uk-UA"/>
        </w:rPr>
        <w:t>Суд задовольнить клопотання лише в тому випадку, якщо визнає за необхідне залучення адвоката або юрисконсульта до справи</w:t>
      </w:r>
      <w:r>
        <w:rPr>
          <w:rFonts w:ascii="Calibri" w:eastAsia="Calibri" w:hAnsi="Calibri" w:cs="Calibri"/>
          <w:sz w:val="20"/>
          <w:szCs w:val="20"/>
          <w:lang w:val="uk-UA" w:bidi="uk-UA"/>
        </w:rPr>
        <w:t xml:space="preserve"> (ст. 117 ЦПК в поєдн. зі ст. 13 § 2 ЦПК).</w:t>
      </w:r>
    </w:p>
    <w:p w14:paraId="3331A6DC" w14:textId="77777777" w:rsidR="00C343BC" w:rsidRPr="00D605D4" w:rsidRDefault="00C343BC">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Calibri" w:hAnsi="Calibri" w:cs="Calibri"/>
          <w:sz w:val="20"/>
          <w:szCs w:val="20"/>
        </w:rPr>
      </w:pPr>
      <w:r w:rsidRPr="00D605D4">
        <w:rPr>
          <w:rFonts w:ascii="Calibri" w:eastAsia="Calibri" w:hAnsi="Calibri" w:cs="Calibri"/>
          <w:sz w:val="20"/>
          <w:szCs w:val="20"/>
          <w:lang w:val="uk-UA" w:bidi="uk-UA"/>
        </w:rPr>
        <w:t>У ході розгляду справи підготовчий документ може бути поданий лише тоді, коли голова суду винесе відповідне розпорядження, і лише у визначений строк (ст. 205</w:t>
      </w:r>
      <w:r w:rsidRPr="00D605D4">
        <w:rPr>
          <w:rFonts w:ascii="Calibri" w:eastAsia="Calibri" w:hAnsi="Calibri" w:cs="Calibri"/>
          <w:sz w:val="20"/>
          <w:szCs w:val="20"/>
          <w:vertAlign w:val="superscript"/>
          <w:lang w:val="uk-UA" w:bidi="uk-UA"/>
        </w:rPr>
        <w:t>2</w:t>
      </w:r>
      <w:r w:rsidRPr="00D605D4">
        <w:rPr>
          <w:rFonts w:ascii="Calibri" w:eastAsia="Calibri" w:hAnsi="Calibri" w:cs="Calibri"/>
          <w:sz w:val="20"/>
          <w:szCs w:val="20"/>
          <w:lang w:val="uk-UA" w:bidi="uk-UA"/>
        </w:rPr>
        <w:t xml:space="preserve"> § 1 п. 3 ЦПК в поєдн. зі ст. 13 § 2 ЦПК). Під час розгляду справи, у виправданих випадках голова суду може постановити </w:t>
      </w:r>
      <w:r w:rsidRPr="00D605D4">
        <w:rPr>
          <w:rFonts w:ascii="Calibri" w:eastAsia="Calibri" w:hAnsi="Calibri" w:cs="Calibri"/>
          <w:b/>
          <w:color w:val="000000"/>
          <w:sz w:val="20"/>
          <w:szCs w:val="20"/>
          <w:lang w:val="uk-UA" w:bidi="uk-UA"/>
        </w:rPr>
        <w:t>обмін між учасниками підготовчими документами</w:t>
      </w:r>
      <w:r w:rsidRPr="00D605D4">
        <w:rPr>
          <w:rFonts w:ascii="Calibri" w:eastAsia="Calibri" w:hAnsi="Calibri" w:cs="Calibri"/>
          <w:color w:val="000000"/>
          <w:sz w:val="20"/>
          <w:szCs w:val="20"/>
          <w:lang w:val="uk-UA" w:bidi="uk-UA"/>
        </w:rPr>
        <w:t>, при цьому визначаючи порядок подання документів, строки, у які документи мають бути подані, та обставини, що підлягають з’ясуванню (ст. 205</w:t>
      </w:r>
      <w:r w:rsidRPr="00D605D4">
        <w:rPr>
          <w:rFonts w:ascii="Calibri" w:eastAsia="Calibri" w:hAnsi="Calibri" w:cs="Calibri"/>
          <w:sz w:val="20"/>
          <w:szCs w:val="20"/>
          <w:vertAlign w:val="superscript"/>
          <w:lang w:val="uk-UA" w:bidi="uk-UA"/>
        </w:rPr>
        <w:t>3</w:t>
      </w:r>
      <w:r w:rsidRPr="00D605D4">
        <w:rPr>
          <w:rFonts w:ascii="Calibri" w:eastAsia="Calibri" w:hAnsi="Calibri" w:cs="Calibri"/>
          <w:sz w:val="20"/>
          <w:szCs w:val="20"/>
          <w:lang w:val="uk-UA" w:bidi="uk-UA"/>
        </w:rPr>
        <w:t xml:space="preserve"> § 1 ЦПК в поєдн. зі ст. 13 § 2 ЦПК).</w:t>
      </w:r>
    </w:p>
    <w:p w14:paraId="12DB0A2F" w14:textId="77777777" w:rsidR="00C343BC" w:rsidRPr="00B119DD" w:rsidRDefault="00C343BC" w:rsidP="00C343B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Pr>
          <w:rFonts w:ascii="Calibri" w:eastAsia="Calibri" w:hAnsi="Calibri" w:cs="Calibri"/>
          <w:sz w:val="20"/>
          <w:szCs w:val="20"/>
          <w:lang w:val="uk-UA" w:bidi="uk-UA"/>
        </w:rPr>
        <w:t>У підготовчих документах слід стисло викласти стан справи, вказати, які факти учасник визнає, а які заперечує, а також висловити свою думку щодо тверджень та доказів, заявлених іншими учасниками. У цих документах учасники можуть також вказувати правові підстави своїх вимог або клопотань (ст. 127 § 1 та 2 ЦПК в поєдн. зі ст. 13 § 2 ЦПК).</w:t>
      </w:r>
    </w:p>
    <w:p w14:paraId="782272C1" w14:textId="77777777" w:rsidR="00C343BC" w:rsidRPr="00B119DD" w:rsidRDefault="00C343BC" w:rsidP="00C343BC">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color w:val="000000"/>
          <w:sz w:val="20"/>
          <w:szCs w:val="20"/>
          <w:lang w:val="uk-UA"/>
        </w:rPr>
      </w:pPr>
      <w:r>
        <w:rPr>
          <w:rFonts w:ascii="Calibri" w:eastAsia="Calibri" w:hAnsi="Calibri" w:cs="Calibri"/>
          <w:color w:val="000000"/>
          <w:sz w:val="20"/>
          <w:szCs w:val="20"/>
          <w:lang w:val="uk-UA" w:bidi="uk-UA"/>
        </w:rPr>
        <w:t xml:space="preserve">Голова суду може також зобов’язати сторону вказати у підготовчому документі </w:t>
      </w:r>
      <w:r>
        <w:rPr>
          <w:rFonts w:ascii="Calibri" w:eastAsia="Calibri" w:hAnsi="Calibri" w:cs="Calibri"/>
          <w:b/>
          <w:color w:val="000000"/>
          <w:sz w:val="20"/>
          <w:szCs w:val="20"/>
          <w:lang w:val="uk-UA" w:bidi="uk-UA"/>
        </w:rPr>
        <w:t>всі твердження та докази</w:t>
      </w:r>
      <w:r>
        <w:rPr>
          <w:rFonts w:ascii="Calibri" w:eastAsia="Calibri" w:hAnsi="Calibri" w:cs="Calibri"/>
          <w:color w:val="000000"/>
          <w:sz w:val="20"/>
          <w:szCs w:val="20"/>
          <w:lang w:val="uk-UA" w:bidi="uk-UA"/>
        </w:rPr>
        <w:t>, що мають істотне значення для вирішення справи, під загрозою втрати права на посилання на них в ході подальшого розгляду. У такому випадку твердження та докази, подані з порушенням вищезазначеного обов’язку, не враховуються, якщо тільки сторона не доведе, що їхнє зазначення у підготовчому документі було неможливим або що необхідність їхнього зазначення виникла пізніше (ст. 205</w:t>
      </w:r>
      <w:r>
        <w:rPr>
          <w:rFonts w:ascii="Calibri" w:eastAsia="Calibri" w:hAnsi="Calibri" w:cs="Calibri"/>
          <w:sz w:val="20"/>
          <w:szCs w:val="20"/>
          <w:vertAlign w:val="superscript"/>
          <w:lang w:val="uk-UA" w:bidi="uk-UA"/>
        </w:rPr>
        <w:t>3</w:t>
      </w:r>
      <w:r>
        <w:rPr>
          <w:rFonts w:ascii="Calibri" w:eastAsia="Calibri" w:hAnsi="Calibri" w:cs="Calibri"/>
          <w:sz w:val="20"/>
          <w:szCs w:val="20"/>
          <w:lang w:val="uk-UA" w:bidi="uk-UA"/>
        </w:rPr>
        <w:t xml:space="preserve"> § 2 ЦПК). </w:t>
      </w:r>
    </w:p>
    <w:p w14:paraId="5C995378" w14:textId="77777777" w:rsidR="00A6183F" w:rsidRPr="00B119DD" w:rsidRDefault="00C343BC" w:rsidP="00C84D4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jc w:val="both"/>
        <w:rPr>
          <w:rFonts w:ascii="Calibri" w:hAnsi="Calibri" w:cs="Calibri"/>
          <w:sz w:val="20"/>
          <w:szCs w:val="20"/>
          <w:lang w:val="ru-RU"/>
        </w:rPr>
      </w:pPr>
      <w:r>
        <w:rPr>
          <w:rFonts w:ascii="Calibri" w:eastAsia="Calibri" w:hAnsi="Calibri" w:cs="Calibri"/>
          <w:color w:val="000000"/>
          <w:sz w:val="20"/>
          <w:szCs w:val="20"/>
          <w:lang w:val="uk-UA" w:bidi="uk-UA"/>
        </w:rPr>
        <w:t>Голова суду постановляє повернути підготовчий документ, поданий з порушенням строку або без постанови (ст. 205</w:t>
      </w:r>
      <w:r>
        <w:rPr>
          <w:rFonts w:ascii="Calibri" w:eastAsia="Calibri" w:hAnsi="Calibri" w:cs="Calibri"/>
          <w:sz w:val="20"/>
          <w:szCs w:val="20"/>
          <w:vertAlign w:val="superscript"/>
          <w:lang w:val="uk-UA" w:bidi="uk-UA"/>
        </w:rPr>
        <w:t>3</w:t>
      </w:r>
      <w:r>
        <w:rPr>
          <w:rFonts w:ascii="Calibri" w:eastAsia="Calibri" w:hAnsi="Calibri" w:cs="Calibri"/>
          <w:sz w:val="20"/>
          <w:szCs w:val="20"/>
          <w:lang w:val="uk-UA" w:bidi="uk-UA"/>
        </w:rPr>
        <w:t xml:space="preserve"> § 5 ЦПК в поєдн. зі ст. 13 § 2 ЦПК).</w:t>
      </w:r>
    </w:p>
    <w:p w14:paraId="0123F817" w14:textId="77777777" w:rsidR="00515AD5" w:rsidRPr="002D239B" w:rsidRDefault="00515AD5" w:rsidP="00515AD5">
      <w:pPr>
        <w:pStyle w:val="zartzmartartykuempunktem"/>
        <w:numPr>
          <w:ilvl w:val="0"/>
          <w:numId w:val="2"/>
        </w:numPr>
        <w:spacing w:before="120" w:beforeAutospacing="0" w:after="0" w:afterAutospacing="0"/>
        <w:ind w:left="426" w:hanging="284"/>
        <w:jc w:val="both"/>
        <w:rPr>
          <w:rFonts w:ascii="Calibri" w:hAnsi="Calibri" w:cs="Calibri"/>
          <w:color w:val="000000"/>
          <w:sz w:val="20"/>
          <w:szCs w:val="20"/>
        </w:rPr>
      </w:pPr>
      <w:r w:rsidRPr="002D239B">
        <w:rPr>
          <w:rFonts w:ascii="Calibri" w:eastAsia="Calibri" w:hAnsi="Calibri" w:cs="Calibri"/>
          <w:b/>
          <w:color w:val="000000"/>
          <w:sz w:val="20"/>
          <w:szCs w:val="20"/>
          <w:lang w:val="uk-UA" w:bidi="uk-UA"/>
        </w:rPr>
        <w:t>Тягар доведення факту</w:t>
      </w:r>
      <w:r w:rsidRPr="002D239B">
        <w:rPr>
          <w:rFonts w:ascii="Calibri" w:eastAsia="Calibri" w:hAnsi="Calibri" w:cs="Calibri"/>
          <w:color w:val="000000"/>
          <w:sz w:val="20"/>
          <w:szCs w:val="20"/>
          <w:lang w:val="uk-UA" w:bidi="uk-UA"/>
        </w:rPr>
        <w:t xml:space="preserve"> покладається на особу, яка визначає з цього факту правові наслідки</w:t>
      </w:r>
      <w:r w:rsidRPr="002D239B">
        <w:rPr>
          <w:lang w:val="uk-UA" w:bidi="uk-UA"/>
        </w:rPr>
        <w:t xml:space="preserve"> </w:t>
      </w:r>
      <w:r w:rsidRPr="002D239B">
        <w:rPr>
          <w:rFonts w:ascii="Calibri" w:eastAsia="Calibri" w:hAnsi="Calibri" w:cs="Calibri"/>
          <w:color w:val="000000"/>
          <w:sz w:val="20"/>
          <w:szCs w:val="20"/>
          <w:lang w:val="uk-UA" w:bidi="uk-UA"/>
        </w:rPr>
        <w:t>(ст. 6 Закону від 23 квітня 1964 р. Цивільний кодекс («Закон. Вісник».2025.1071, єд. текст).</w:t>
      </w:r>
    </w:p>
    <w:p w14:paraId="5BF1477F" w14:textId="77777777" w:rsidR="00A6183F" w:rsidRPr="00B119DD" w:rsidRDefault="00515AD5" w:rsidP="00515AD5">
      <w:pPr>
        <w:pStyle w:val="zartzmartartykuempunktem"/>
        <w:spacing w:before="120" w:beforeAutospacing="0" w:after="0" w:afterAutospacing="0"/>
        <w:ind w:left="426"/>
        <w:jc w:val="both"/>
        <w:rPr>
          <w:rFonts w:ascii="Calibri" w:hAnsi="Calibri" w:cs="Calibri"/>
          <w:color w:val="000000"/>
          <w:sz w:val="20"/>
          <w:szCs w:val="20"/>
          <w:lang w:val="ru-RU"/>
        </w:rPr>
      </w:pPr>
      <w:r>
        <w:rPr>
          <w:rFonts w:ascii="Calibri" w:eastAsia="Calibri" w:hAnsi="Calibri" w:cs="Calibri"/>
          <w:b/>
          <w:color w:val="000000"/>
          <w:sz w:val="20"/>
          <w:szCs w:val="20"/>
          <w:lang w:val="uk-UA" w:bidi="uk-UA"/>
        </w:rPr>
        <w:t>Учасник, який посилається на певний факт</w:t>
      </w:r>
      <w:r>
        <w:rPr>
          <w:rFonts w:ascii="Calibri" w:eastAsia="Calibri" w:hAnsi="Calibri" w:cs="Calibri"/>
          <w:color w:val="000000"/>
          <w:sz w:val="20"/>
          <w:szCs w:val="20"/>
          <w:lang w:val="uk-UA" w:bidi="uk-UA"/>
        </w:rPr>
        <w:t xml:space="preserve"> і визначає з нього вигідні для себе правові наслідки, </w:t>
      </w:r>
      <w:r>
        <w:rPr>
          <w:rFonts w:ascii="Calibri" w:eastAsia="Calibri" w:hAnsi="Calibri" w:cs="Calibri"/>
          <w:b/>
          <w:color w:val="000000"/>
          <w:sz w:val="20"/>
          <w:szCs w:val="20"/>
          <w:lang w:val="uk-UA" w:bidi="uk-UA"/>
        </w:rPr>
        <w:t>зобов’язаний вказати докази для його встановлення</w:t>
      </w:r>
      <w:r>
        <w:rPr>
          <w:rFonts w:ascii="Calibri" w:eastAsia="Calibri" w:hAnsi="Calibri" w:cs="Calibri"/>
          <w:color w:val="000000"/>
          <w:sz w:val="20"/>
          <w:szCs w:val="20"/>
          <w:lang w:val="uk-UA" w:bidi="uk-UA"/>
        </w:rPr>
        <w:t xml:space="preserve"> (ст. 232 ЦПК в поєдн. зі ст. 13 § 2 ЦПК).</w:t>
      </w:r>
    </w:p>
    <w:p w14:paraId="5250B55E" w14:textId="77777777" w:rsidR="00AE7C70" w:rsidRPr="00B119DD" w:rsidRDefault="00AE7C70" w:rsidP="00A6183F">
      <w:pPr>
        <w:pStyle w:val="zartzmartartykuempunktem"/>
        <w:spacing w:before="120" w:beforeAutospacing="0" w:after="0" w:afterAutospacing="0"/>
        <w:ind w:left="426"/>
        <w:jc w:val="both"/>
        <w:rPr>
          <w:rFonts w:ascii="Calibri" w:hAnsi="Calibri" w:cs="Calibri"/>
          <w:color w:val="000000"/>
          <w:sz w:val="20"/>
          <w:szCs w:val="20"/>
          <w:lang w:val="ru-RU"/>
        </w:rPr>
      </w:pPr>
      <w:r w:rsidRPr="00A6183F">
        <w:rPr>
          <w:rFonts w:ascii="Calibri" w:eastAsia="Calibri" w:hAnsi="Calibri" w:cs="Calibri"/>
          <w:color w:val="000000"/>
          <w:sz w:val="20"/>
          <w:szCs w:val="20"/>
          <w:lang w:val="uk-UA" w:bidi="uk-UA"/>
        </w:rPr>
        <w:t xml:space="preserve">Не потребують доказування </w:t>
      </w:r>
      <w:r w:rsidRPr="00A6183F">
        <w:rPr>
          <w:rFonts w:ascii="Calibri" w:eastAsia="Calibri" w:hAnsi="Calibri" w:cs="Calibri"/>
          <w:b/>
          <w:color w:val="000000"/>
          <w:sz w:val="20"/>
          <w:szCs w:val="20"/>
          <w:lang w:val="uk-UA" w:bidi="uk-UA"/>
        </w:rPr>
        <w:t>загальновідомі факти</w:t>
      </w:r>
      <w:r w:rsidRPr="00A6183F">
        <w:rPr>
          <w:rFonts w:ascii="Calibri" w:eastAsia="Calibri" w:hAnsi="Calibri" w:cs="Calibri"/>
          <w:color w:val="000000"/>
          <w:sz w:val="20"/>
          <w:szCs w:val="20"/>
          <w:lang w:val="uk-UA" w:bidi="uk-UA"/>
        </w:rPr>
        <w:t xml:space="preserve">, і Суд бере їх до уваги навіть без посилання на них сторонами. Не потребують доказу також </w:t>
      </w:r>
      <w:r w:rsidRPr="00A6183F">
        <w:rPr>
          <w:rFonts w:ascii="Calibri" w:eastAsia="Calibri" w:hAnsi="Calibri" w:cs="Calibri"/>
          <w:b/>
          <w:color w:val="000000"/>
          <w:sz w:val="20"/>
          <w:szCs w:val="20"/>
          <w:lang w:val="uk-UA" w:bidi="uk-UA"/>
        </w:rPr>
        <w:t>факти, інформація про які є загальнодоступною</w:t>
      </w:r>
      <w:r w:rsidRPr="00A6183F">
        <w:rPr>
          <w:rFonts w:ascii="Calibri" w:eastAsia="Calibri" w:hAnsi="Calibri" w:cs="Calibri"/>
          <w:color w:val="000000"/>
          <w:sz w:val="20"/>
          <w:szCs w:val="20"/>
          <w:lang w:val="uk-UA" w:bidi="uk-UA"/>
        </w:rPr>
        <w:t>, та факти, відомі суду за службовим обов’язком (ст. 228 ЦПК в поєдн. зі ст. 13 § 2 ЦПК).</w:t>
      </w:r>
    </w:p>
    <w:p w14:paraId="7D4AC178" w14:textId="77777777" w:rsidR="00AE7C70" w:rsidRPr="00B119DD" w:rsidRDefault="00AE7C70" w:rsidP="0045435E">
      <w:pPr>
        <w:pStyle w:val="zartzmartartykuempunktem"/>
        <w:spacing w:before="120" w:beforeAutospacing="0" w:after="0" w:afterAutospacing="0"/>
        <w:ind w:left="426"/>
        <w:jc w:val="both"/>
        <w:rPr>
          <w:rFonts w:ascii="Calibri" w:hAnsi="Calibri" w:cs="Calibri"/>
          <w:color w:val="000000"/>
          <w:sz w:val="20"/>
          <w:szCs w:val="20"/>
          <w:lang w:val="ru-RU"/>
        </w:rPr>
      </w:pPr>
      <w:r>
        <w:rPr>
          <w:rFonts w:ascii="Calibri" w:eastAsia="Calibri" w:hAnsi="Calibri" w:cs="Calibri"/>
          <w:sz w:val="20"/>
          <w:szCs w:val="20"/>
          <w:lang w:val="uk-UA" w:bidi="uk-UA"/>
        </w:rPr>
        <w:t xml:space="preserve">Не потребують доказування </w:t>
      </w:r>
      <w:r>
        <w:rPr>
          <w:rFonts w:ascii="Calibri" w:eastAsia="Calibri" w:hAnsi="Calibri" w:cs="Calibri"/>
          <w:b/>
          <w:sz w:val="20"/>
          <w:szCs w:val="20"/>
          <w:lang w:val="uk-UA" w:bidi="uk-UA"/>
        </w:rPr>
        <w:t xml:space="preserve">факти, визнані в ході судового розгляду </w:t>
      </w:r>
      <w:r>
        <w:rPr>
          <w:rFonts w:ascii="Calibri" w:eastAsia="Calibri" w:hAnsi="Calibri" w:cs="Calibri"/>
          <w:sz w:val="20"/>
          <w:szCs w:val="20"/>
          <w:lang w:val="uk-UA" w:bidi="uk-UA"/>
        </w:rPr>
        <w:t>іншими учасниками, якщо таке визнання не викликає сумнівів (ст. 229 ЦПК в поєдн. зі ст. 13 § 2 ЦПК).</w:t>
      </w:r>
    </w:p>
    <w:p w14:paraId="37ED0F22" w14:textId="77777777" w:rsidR="00AE7C70" w:rsidRPr="00B119DD" w:rsidRDefault="00AE7C70" w:rsidP="0045435E">
      <w:pPr>
        <w:tabs>
          <w:tab w:val="left" w:pos="426"/>
        </w:tabs>
        <w:spacing w:before="120"/>
        <w:ind w:left="426"/>
        <w:jc w:val="both"/>
        <w:rPr>
          <w:rFonts w:ascii="Calibri" w:hAnsi="Calibri" w:cs="Calibri"/>
          <w:sz w:val="20"/>
          <w:szCs w:val="20"/>
          <w:lang w:val="ru-RU"/>
        </w:rPr>
      </w:pPr>
      <w:r>
        <w:rPr>
          <w:rFonts w:ascii="Calibri" w:eastAsia="Calibri" w:hAnsi="Calibri" w:cs="Calibri"/>
          <w:b/>
          <w:sz w:val="20"/>
          <w:szCs w:val="20"/>
          <w:lang w:val="uk-UA" w:bidi="uk-UA"/>
        </w:rPr>
        <w:t>Якщо учасник не висловиться щодо тверджень інших учасників про факти</w:t>
      </w:r>
      <w:r>
        <w:rPr>
          <w:rFonts w:ascii="Calibri" w:eastAsia="Calibri" w:hAnsi="Calibri" w:cs="Calibri"/>
          <w:sz w:val="20"/>
          <w:szCs w:val="20"/>
          <w:lang w:val="uk-UA" w:bidi="uk-UA"/>
        </w:rPr>
        <w:t>, суд, зважаючи на результати всього судового розгляду, може визнати ці факти визнаними (ст. 230 ЦПК в поєдн. зі ст. 13 § 2 ЦПК).</w:t>
      </w:r>
    </w:p>
    <w:p w14:paraId="1C6A4C9E" w14:textId="77777777" w:rsidR="007C2187" w:rsidRPr="00B119DD" w:rsidRDefault="008024FF" w:rsidP="007C2187">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290"/>
        <w:jc w:val="both"/>
        <w:rPr>
          <w:rFonts w:ascii="Calibri" w:hAnsi="Calibri" w:cs="Calibri"/>
          <w:sz w:val="20"/>
          <w:szCs w:val="20"/>
          <w:lang w:val="ru-RU"/>
        </w:rPr>
      </w:pPr>
      <w:r>
        <w:rPr>
          <w:rFonts w:ascii="Calibri" w:eastAsia="Calibri" w:hAnsi="Calibri" w:cs="Calibri"/>
          <w:sz w:val="20"/>
          <w:szCs w:val="20"/>
          <w:lang w:val="uk-UA" w:bidi="uk-UA"/>
        </w:rPr>
        <w:t xml:space="preserve">Провадження може бути завершене шляхом укладення </w:t>
      </w:r>
      <w:r>
        <w:rPr>
          <w:rFonts w:ascii="Calibri" w:eastAsia="Calibri" w:hAnsi="Calibri" w:cs="Calibri"/>
          <w:b/>
          <w:sz w:val="20"/>
          <w:szCs w:val="20"/>
          <w:lang w:val="uk-UA" w:bidi="uk-UA"/>
        </w:rPr>
        <w:t>мирової угоди між учасниками</w:t>
      </w:r>
      <w:r>
        <w:rPr>
          <w:rFonts w:ascii="Calibri" w:eastAsia="Calibri" w:hAnsi="Calibri" w:cs="Calibri"/>
          <w:sz w:val="20"/>
          <w:szCs w:val="20"/>
          <w:lang w:val="uk-UA" w:bidi="uk-UA"/>
        </w:rPr>
        <w:t xml:space="preserve"> у справах, в яких укладення мирової угоди є допустимим. Мирова угода може бути </w:t>
      </w:r>
      <w:r>
        <w:rPr>
          <w:rFonts w:ascii="Calibri" w:eastAsia="Calibri" w:hAnsi="Calibri" w:cs="Calibri"/>
          <w:b/>
          <w:sz w:val="20"/>
          <w:szCs w:val="20"/>
          <w:lang w:val="uk-UA" w:bidi="uk-UA"/>
        </w:rPr>
        <w:t>укладена перед медіатором або перед судом</w:t>
      </w:r>
      <w:r>
        <w:rPr>
          <w:rFonts w:ascii="Calibri" w:eastAsia="Calibri" w:hAnsi="Calibri" w:cs="Calibri"/>
          <w:sz w:val="20"/>
          <w:szCs w:val="20"/>
          <w:lang w:val="uk-UA" w:bidi="uk-UA"/>
        </w:rPr>
        <w:t xml:space="preserve"> (ст. 205</w:t>
      </w:r>
      <w:r>
        <w:rPr>
          <w:rFonts w:ascii="Calibri" w:eastAsia="Calibri" w:hAnsi="Calibri" w:cs="Calibri"/>
          <w:sz w:val="20"/>
          <w:szCs w:val="20"/>
          <w:vertAlign w:val="superscript"/>
          <w:lang w:val="uk-UA" w:bidi="uk-UA"/>
        </w:rPr>
        <w:t>2</w:t>
      </w:r>
      <w:r>
        <w:rPr>
          <w:rFonts w:ascii="Calibri" w:eastAsia="Calibri" w:hAnsi="Calibri" w:cs="Calibri"/>
          <w:sz w:val="20"/>
          <w:szCs w:val="20"/>
          <w:lang w:val="uk-UA" w:bidi="uk-UA"/>
        </w:rPr>
        <w:t xml:space="preserve"> § 1 п. 1 ЦПК в поєдн. зі ст. 13 § 2 ЦПК). Угода є одним зі способів швидкого завершення судового розгляду; суд на кожному етапі розгляду прагне до мирного врегулювання спору, зокрема шляхом заохочення учасників до медіації (ст. 10 ЦПК у поєднанні зі ст. 13 § 2 ЦПК). У ході розгляду суд може направити учасників на медіацію. Медіація є одним зі способів мирного врегулювання спору, при цьому вона проводиться за участю нейтрального медіатора, на нейтральній території, є конфіденційною та добровільною. Крім того, це значно дешевший спосіб вирішення спорів, ніж судове провадження.</w:t>
      </w:r>
    </w:p>
    <w:p w14:paraId="350A04E4" w14:textId="77777777" w:rsidR="008024A5" w:rsidRPr="00B119DD" w:rsidRDefault="007C2187" w:rsidP="008024A5">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Calibri" w:hAnsi="Calibri" w:cs="Calibri"/>
          <w:sz w:val="20"/>
          <w:szCs w:val="20"/>
          <w:lang w:val="ru-RU"/>
        </w:rPr>
      </w:pPr>
      <w:r w:rsidRPr="000275C8">
        <w:rPr>
          <w:rFonts w:ascii="Calibri" w:eastAsia="Calibri" w:hAnsi="Calibri" w:cs="Calibri"/>
          <w:sz w:val="20"/>
          <w:szCs w:val="20"/>
          <w:lang w:val="uk-UA" w:bidi="uk-UA"/>
        </w:rPr>
        <w:t xml:space="preserve">Медіацію проводить медіатор, використовуючи різні методи, спрямовані на мирне вирішення спору, зокрема шляхом надання сторонам підтримки у формулюванні ними пропозицій щодо угоди, або за спільним клопотанням учасників може вказати способи вирішення спору, які не є обов’язковими для учасників (ст. </w:t>
      </w:r>
      <w:r w:rsidRPr="00021C63">
        <w:rPr>
          <w:lang w:val="uk-UA" w:bidi="uk-UA"/>
        </w:rPr>
        <w:t xml:space="preserve"> </w:t>
      </w:r>
      <w:r w:rsidRPr="00021C63">
        <w:rPr>
          <w:rFonts w:ascii="Calibri" w:eastAsia="Calibri" w:hAnsi="Calibri" w:cs="Calibri"/>
          <w:sz w:val="20"/>
          <w:szCs w:val="20"/>
          <w:lang w:val="uk-UA" w:bidi="uk-UA"/>
        </w:rPr>
        <w:t>183</w:t>
      </w:r>
      <w:r w:rsidRPr="00021C63">
        <w:rPr>
          <w:rFonts w:ascii="Calibri" w:eastAsia="Calibri" w:hAnsi="Calibri" w:cs="Calibri"/>
          <w:sz w:val="20"/>
          <w:szCs w:val="20"/>
          <w:vertAlign w:val="superscript"/>
          <w:lang w:val="uk-UA" w:bidi="uk-UA"/>
        </w:rPr>
        <w:t>3a</w:t>
      </w:r>
      <w:r>
        <w:rPr>
          <w:rFonts w:ascii="Calibri" w:eastAsia="Calibri" w:hAnsi="Calibri" w:cs="Calibri"/>
          <w:sz w:val="20"/>
          <w:szCs w:val="20"/>
          <w:lang w:val="uk-UA" w:bidi="uk-UA"/>
        </w:rPr>
        <w:t xml:space="preserve"> ЦПК в поєдн. зі ст. 13 § 2 ЦПК). Медіатор, учасники та інші особи, які беруть участь у медіаційному провадженні, зобов’язані зберігати в таємниці факти, про які вони дізналися у зв’язку з проведенням медіації. Учасники можуть звільнити медіатора та інших осіб, які беруть участь у медіаційному провадженні, від цього обов’язку.</w:t>
      </w:r>
      <w:r w:rsidRPr="00021C63">
        <w:rPr>
          <w:lang w:val="uk-UA" w:bidi="uk-UA"/>
        </w:rPr>
        <w:t xml:space="preserve"> </w:t>
      </w:r>
      <w:r w:rsidRPr="00021C63">
        <w:rPr>
          <w:rFonts w:ascii="Calibri" w:eastAsia="Calibri" w:hAnsi="Calibri" w:cs="Calibri"/>
          <w:sz w:val="20"/>
          <w:szCs w:val="20"/>
          <w:lang w:val="uk-UA" w:bidi="uk-UA"/>
        </w:rPr>
        <w:t>(ст. 183</w:t>
      </w:r>
      <w:r w:rsidRPr="00021C63">
        <w:rPr>
          <w:rFonts w:ascii="Calibri" w:eastAsia="Calibri" w:hAnsi="Calibri" w:cs="Calibri"/>
          <w:sz w:val="20"/>
          <w:szCs w:val="20"/>
          <w:vertAlign w:val="superscript"/>
          <w:lang w:val="uk-UA" w:bidi="uk-UA"/>
        </w:rPr>
        <w:t>4</w:t>
      </w:r>
      <w:r w:rsidRPr="00021C63">
        <w:rPr>
          <w:rFonts w:ascii="Calibri" w:eastAsia="Calibri" w:hAnsi="Calibri" w:cs="Calibri"/>
          <w:sz w:val="20"/>
          <w:szCs w:val="20"/>
          <w:lang w:val="uk-UA" w:bidi="uk-UA"/>
        </w:rPr>
        <w:t xml:space="preserve"> ЦПК в поєдн. зі ст. 13 § 2 ЦПК). Мирова угода, </w:t>
      </w:r>
      <w:r w:rsidRPr="00021C63">
        <w:rPr>
          <w:rFonts w:ascii="Calibri" w:eastAsia="Calibri" w:hAnsi="Calibri" w:cs="Calibri"/>
          <w:sz w:val="20"/>
          <w:szCs w:val="20"/>
          <w:lang w:val="uk-UA" w:bidi="uk-UA"/>
        </w:rPr>
        <w:lastRenderedPageBreak/>
        <w:t xml:space="preserve">укладена перед медіатором, після її затвердження судом має юридичну силу угоди, укладеної в суді. </w:t>
      </w:r>
      <w:r w:rsidRPr="000275C8">
        <w:rPr>
          <w:rFonts w:ascii="Calibri" w:eastAsia="Calibri" w:hAnsi="Calibri" w:cs="Calibri"/>
          <w:b/>
          <w:sz w:val="20"/>
          <w:szCs w:val="20"/>
          <w:lang w:val="uk-UA" w:bidi="uk-UA"/>
        </w:rPr>
        <w:t>Мирова угода, укладена за участю медіатора та затверджена шляхом надання їй виконавчої сили, є виконавчим документом</w:t>
      </w:r>
      <w:r w:rsidRPr="00021C63">
        <w:rPr>
          <w:lang w:val="uk-UA" w:bidi="uk-UA"/>
        </w:rPr>
        <w:t xml:space="preserve"> </w:t>
      </w:r>
      <w:r w:rsidRPr="000275C8">
        <w:rPr>
          <w:rFonts w:ascii="Calibri" w:eastAsia="Calibri" w:hAnsi="Calibri" w:cs="Calibri"/>
          <w:sz w:val="20"/>
          <w:szCs w:val="20"/>
          <w:lang w:val="uk-UA" w:bidi="uk-UA"/>
        </w:rPr>
        <w:t xml:space="preserve">. У разі укладення судової угоди судові витрати, пов’язані з її укладенням, скасовуються взаємно, якщо сторони не домовилися про інше (ст. 104 ЦПК в поєдн. зі ст. 13 § 2 ЦПК). У разі укладення мирової угоди після початку судового розгляду суд повертає позивачеві половину судового збору (ст. 79 ч. 1 п.  3 літ. c ЗСЦС). У разі укладення мирової угоди, в тому числі перед медіатором, до початку судового розгляду в суді першої інстанції суд повертає позивачеві всю суму судового збору (ст. 79 ч. 1 п. 1 літ. h ЗСЦС), а у разі укладення угоди перед медіатором після початку розгляду справи суд повертає три чверті судового збору, сплаченого за позовну заяву або за заперечення проти платіжного наказу (ст. 79 ч. 1 п. 2 літ. а ЗСЦС). </w:t>
      </w:r>
    </w:p>
    <w:p w14:paraId="5C6A8135" w14:textId="77777777" w:rsidR="007C2187" w:rsidRPr="00B119DD" w:rsidRDefault="007C2187" w:rsidP="007C2187">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Calibri" w:hAnsi="Calibri" w:cs="Calibri"/>
          <w:sz w:val="20"/>
          <w:szCs w:val="20"/>
          <w:lang w:val="ru-RU"/>
        </w:rPr>
      </w:pPr>
      <w:r w:rsidRPr="000275C8">
        <w:rPr>
          <w:rFonts w:ascii="Calibri" w:eastAsia="Calibri" w:hAnsi="Calibri" w:cs="Calibri"/>
          <w:sz w:val="20"/>
          <w:szCs w:val="20"/>
          <w:lang w:val="uk-UA" w:bidi="uk-UA"/>
        </w:rPr>
        <w:t>Якщо сторони уклали мирову угоду в суді або була затверджена мирова угода, укладена за участю медіатора, суд припиняє провадження (ст. 355 ЦПК в поєдн. зі ст. 13 § 2 ЦПК).</w:t>
      </w:r>
    </w:p>
    <w:p w14:paraId="7CEBBB0C" w14:textId="77777777" w:rsidR="00D605D4" w:rsidRPr="00B119DD" w:rsidRDefault="00313EBE" w:rsidP="00D605D4">
      <w:pPr>
        <w:widowControl w:val="0"/>
        <w:numPr>
          <w:ilvl w:val="0"/>
          <w:numId w:val="2"/>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cs="Calibri"/>
          <w:sz w:val="20"/>
          <w:szCs w:val="20"/>
          <w:lang w:val="ru-RU"/>
        </w:rPr>
      </w:pPr>
      <w:r>
        <w:rPr>
          <w:rFonts w:ascii="Calibri" w:eastAsia="Calibri" w:hAnsi="Calibri" w:cs="Calibri"/>
          <w:sz w:val="20"/>
          <w:szCs w:val="20"/>
          <w:lang w:val="uk-UA" w:bidi="uk-UA"/>
        </w:rPr>
        <w:t xml:space="preserve">Учасники провадження зобов’язані здійснювати процесуальні дії </w:t>
      </w:r>
      <w:r>
        <w:rPr>
          <w:rFonts w:ascii="Calibri" w:eastAsia="Calibri" w:hAnsi="Calibri" w:cs="Calibri"/>
          <w:b/>
          <w:sz w:val="20"/>
          <w:szCs w:val="20"/>
          <w:lang w:val="uk-UA" w:bidi="uk-UA"/>
        </w:rPr>
        <w:t>відповідно до належної практики</w:t>
      </w:r>
      <w:r>
        <w:rPr>
          <w:rFonts w:ascii="Calibri" w:eastAsia="Calibri" w:hAnsi="Calibri" w:cs="Calibri"/>
          <w:sz w:val="20"/>
          <w:szCs w:val="20"/>
          <w:lang w:val="uk-UA" w:bidi="uk-UA"/>
        </w:rPr>
        <w:t>, надавати правдиво та без приховування пояснення щодо обставин справи, а також надавати докази (ст. 3 ЦПК).</w:t>
      </w:r>
    </w:p>
    <w:p w14:paraId="7A73B1AB" w14:textId="77777777" w:rsidR="00D605D4" w:rsidRPr="00B119DD" w:rsidRDefault="00D605D4" w:rsidP="00D605D4">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cs="Calibri"/>
          <w:color w:val="000000"/>
          <w:sz w:val="20"/>
          <w:szCs w:val="20"/>
          <w:lang w:val="ru-RU"/>
        </w:rPr>
      </w:pPr>
      <w:r>
        <w:rPr>
          <w:rFonts w:ascii="Calibri" w:eastAsia="Calibri" w:hAnsi="Calibri" w:cs="Calibri"/>
          <w:color w:val="000000"/>
          <w:sz w:val="20"/>
          <w:szCs w:val="20"/>
          <w:lang w:val="uk-UA" w:bidi="uk-UA"/>
        </w:rPr>
        <w:t>Учасники провадження не мають права використовувати передбачені процесуальними нормами повноваження не відповідно до мети, для якої вони були встановлені (</w:t>
      </w:r>
      <w:r>
        <w:rPr>
          <w:rFonts w:ascii="Calibri" w:eastAsia="Calibri" w:hAnsi="Calibri" w:cs="Calibri"/>
          <w:b/>
          <w:color w:val="000000"/>
          <w:sz w:val="20"/>
          <w:szCs w:val="20"/>
          <w:lang w:val="uk-UA" w:bidi="uk-UA"/>
        </w:rPr>
        <w:t>зловживання процесуальним правом</w:t>
      </w:r>
      <w:r>
        <w:rPr>
          <w:rFonts w:ascii="Calibri" w:eastAsia="Calibri" w:hAnsi="Calibri" w:cs="Calibri"/>
          <w:color w:val="000000"/>
          <w:sz w:val="20"/>
          <w:szCs w:val="20"/>
          <w:lang w:val="uk-UA" w:bidi="uk-UA"/>
        </w:rPr>
        <w:t>) (ст. 4</w:t>
      </w:r>
      <w:r>
        <w:rPr>
          <w:rStyle w:val="igindeksgrny"/>
          <w:rFonts w:ascii="Calibri" w:eastAsia="Calibri" w:hAnsi="Calibri" w:cs="Calibri"/>
          <w:color w:val="000000"/>
          <w:sz w:val="20"/>
          <w:szCs w:val="20"/>
          <w:vertAlign w:val="superscript"/>
          <w:lang w:val="uk-UA" w:bidi="uk-UA"/>
        </w:rPr>
        <w:t>1</w:t>
      </w:r>
      <w:r>
        <w:rPr>
          <w:rFonts w:ascii="Calibri" w:eastAsia="Calibri" w:hAnsi="Calibri" w:cs="Calibri"/>
          <w:color w:val="000000"/>
          <w:sz w:val="20"/>
          <w:szCs w:val="20"/>
          <w:lang w:val="uk-UA" w:bidi="uk-UA"/>
        </w:rPr>
        <w:t xml:space="preserve"> ЦПК).</w:t>
      </w:r>
    </w:p>
    <w:p w14:paraId="4373E621" w14:textId="7379016D" w:rsidR="001C5FF7" w:rsidRPr="00B119DD" w:rsidRDefault="001C5FF7" w:rsidP="001C5FF7">
      <w:pPr>
        <w:pStyle w:val="zartzmartartykuempunktem"/>
        <w:numPr>
          <w:ilvl w:val="0"/>
          <w:numId w:val="2"/>
        </w:numPr>
        <w:tabs>
          <w:tab w:val="left" w:pos="426"/>
        </w:tabs>
        <w:spacing w:before="120" w:beforeAutospacing="0" w:after="0" w:afterAutospacing="0"/>
        <w:ind w:left="426" w:hanging="356"/>
        <w:jc w:val="both"/>
        <w:rPr>
          <w:rFonts w:ascii="Calibri" w:hAnsi="Calibri" w:cs="Calibri"/>
          <w:color w:val="000000"/>
          <w:sz w:val="20"/>
          <w:szCs w:val="20"/>
          <w:lang w:val="uk-UA"/>
        </w:rPr>
      </w:pPr>
      <w:r w:rsidRPr="001C5FF7">
        <w:rPr>
          <w:rFonts w:ascii="Calibri" w:eastAsia="Calibri" w:hAnsi="Calibri" w:cs="Calibri"/>
          <w:color w:val="000000"/>
          <w:sz w:val="20"/>
          <w:szCs w:val="20"/>
          <w:lang w:val="uk-UA" w:bidi="uk-UA"/>
        </w:rPr>
        <w:t>Слухання у позасудовому провадженні відбувається у випадках, передбачених законом. В інших випадках призначення судового засідання здійснюється на розсуд суду. Навіть якщо судове засідання не призначено, суд перед вирішенням справи може заслухати учасників на судовому засіданні або вимагати від них письмових пояснень. Однак навіть у випадках, коли закон вимагає проведення судового засідання, суд може, не викликаючи за</w:t>
      </w:r>
      <w:r w:rsidR="00B119DD">
        <w:rPr>
          <w:rFonts w:ascii="Calibri" w:eastAsia="Calibri" w:hAnsi="Calibri" w:cs="Calibri"/>
          <w:color w:val="000000"/>
          <w:sz w:val="20"/>
          <w:szCs w:val="20"/>
          <w:lang w:val="uk-UA" w:bidi="uk-UA"/>
        </w:rPr>
        <w:t>цікавле</w:t>
      </w:r>
      <w:r w:rsidRPr="001C5FF7">
        <w:rPr>
          <w:rFonts w:ascii="Calibri" w:eastAsia="Calibri" w:hAnsi="Calibri" w:cs="Calibri"/>
          <w:color w:val="000000"/>
          <w:sz w:val="20"/>
          <w:szCs w:val="20"/>
          <w:lang w:val="uk-UA" w:bidi="uk-UA"/>
        </w:rPr>
        <w:t>них осіб для участі у справі, відхилити клопотання на закритому засіданні, якщо зі змісту клопотання випливає очевидна відсутність повноважень у заявника (ст. 514 ЦПК).</w:t>
      </w:r>
    </w:p>
    <w:p w14:paraId="50506750" w14:textId="77777777" w:rsidR="000C5A8A" w:rsidRPr="00B119DD" w:rsidRDefault="001C5FF7">
      <w:pPr>
        <w:pStyle w:val="zartzmartartykuempunktem"/>
        <w:numPr>
          <w:ilvl w:val="0"/>
          <w:numId w:val="2"/>
        </w:numPr>
        <w:tabs>
          <w:tab w:val="left" w:pos="426"/>
        </w:tabs>
        <w:spacing w:before="120" w:beforeAutospacing="0" w:after="0" w:afterAutospacing="0"/>
        <w:ind w:left="426" w:hanging="356"/>
        <w:jc w:val="both"/>
        <w:rPr>
          <w:rFonts w:ascii="Calibri" w:hAnsi="Calibri" w:cs="Calibri"/>
          <w:sz w:val="20"/>
          <w:szCs w:val="20"/>
          <w:lang w:val="ru-RU"/>
        </w:rPr>
      </w:pPr>
      <w:r w:rsidRPr="00726886">
        <w:rPr>
          <w:rFonts w:ascii="Calibri" w:eastAsia="Calibri" w:hAnsi="Calibri" w:cs="Calibri"/>
          <w:b/>
          <w:sz w:val="20"/>
          <w:szCs w:val="20"/>
          <w:lang w:val="uk-UA" w:bidi="uk-UA"/>
        </w:rPr>
        <w:t>Неявка учасників</w:t>
      </w:r>
      <w:r w:rsidRPr="00726886">
        <w:rPr>
          <w:rFonts w:ascii="Calibri" w:eastAsia="Calibri" w:hAnsi="Calibri" w:cs="Calibri"/>
          <w:sz w:val="20"/>
          <w:szCs w:val="20"/>
          <w:lang w:val="uk-UA" w:bidi="uk-UA"/>
        </w:rPr>
        <w:t xml:space="preserve"> не перешкоджає розгляду справи (ст. 513 ЦПК).</w:t>
      </w:r>
    </w:p>
    <w:p w14:paraId="37985469" w14:textId="77777777" w:rsidR="00AE7C70" w:rsidRPr="00B119DD" w:rsidRDefault="001C5FF7" w:rsidP="0045435E">
      <w:pPr>
        <w:pStyle w:val="zartzmartartykuempunktem"/>
        <w:numPr>
          <w:ilvl w:val="0"/>
          <w:numId w:val="2"/>
        </w:numPr>
        <w:tabs>
          <w:tab w:val="left" w:pos="426"/>
        </w:tabs>
        <w:spacing w:before="120" w:beforeAutospacing="0" w:after="0" w:afterAutospacing="0"/>
        <w:ind w:left="426" w:hanging="356"/>
        <w:jc w:val="both"/>
        <w:rPr>
          <w:rFonts w:ascii="Calibri" w:hAnsi="Calibri" w:cs="Calibri"/>
          <w:color w:val="000000"/>
          <w:sz w:val="20"/>
          <w:szCs w:val="20"/>
          <w:lang w:val="ru-RU"/>
        </w:rPr>
      </w:pPr>
      <w:r>
        <w:rPr>
          <w:rFonts w:ascii="Calibri" w:eastAsia="Calibri" w:hAnsi="Calibri" w:cs="Calibri"/>
          <w:color w:val="000000"/>
          <w:sz w:val="20"/>
          <w:szCs w:val="20"/>
          <w:lang w:val="uk-UA" w:bidi="uk-UA"/>
        </w:rPr>
        <w:t xml:space="preserve">Учасник повинен </w:t>
      </w:r>
      <w:r>
        <w:rPr>
          <w:rFonts w:ascii="Calibri" w:eastAsia="Calibri" w:hAnsi="Calibri" w:cs="Calibri"/>
          <w:b/>
          <w:color w:val="000000"/>
          <w:sz w:val="20"/>
          <w:szCs w:val="20"/>
          <w:lang w:val="uk-UA" w:bidi="uk-UA"/>
        </w:rPr>
        <w:t>звернути увагу суду на порушення процесуальних норм</w:t>
      </w:r>
      <w:r>
        <w:rPr>
          <w:rFonts w:ascii="Calibri" w:eastAsia="Calibri" w:hAnsi="Calibri" w:cs="Calibri"/>
          <w:color w:val="000000"/>
          <w:sz w:val="20"/>
          <w:szCs w:val="20"/>
          <w:lang w:val="uk-UA" w:bidi="uk-UA"/>
        </w:rPr>
        <w:t>, подавши клопотання про внесення заперечення до протоколу. Заперечення можна подати не пізніше наступного засідання (ст. 162 § 1 ЦПК в поєдн. зі ст. 13 § 2 ЦПК).</w:t>
      </w:r>
    </w:p>
    <w:p w14:paraId="69EB0CA5" w14:textId="77777777" w:rsidR="002F43BD" w:rsidRPr="00B119DD" w:rsidRDefault="00E32ED2" w:rsidP="0045435E">
      <w:pPr>
        <w:widowControl w:val="0"/>
        <w:numPr>
          <w:ilvl w:val="0"/>
          <w:numId w:val="2"/>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Calibri" w:hAnsi="Calibri"/>
          <w:sz w:val="20"/>
          <w:szCs w:val="20"/>
          <w:lang w:val="uk-UA"/>
        </w:rPr>
      </w:pPr>
      <w:r>
        <w:rPr>
          <w:rFonts w:ascii="Calibri" w:eastAsia="Calibri" w:hAnsi="Calibri" w:cs="Calibri"/>
          <w:sz w:val="20"/>
          <w:szCs w:val="20"/>
          <w:lang w:val="uk-UA" w:bidi="uk-UA"/>
        </w:rPr>
        <w:t xml:space="preserve">Учасники та їхні представники </w:t>
      </w:r>
      <w:r>
        <w:rPr>
          <w:rFonts w:ascii="Calibri" w:eastAsia="Calibri" w:hAnsi="Calibri" w:cs="Calibri"/>
          <w:b/>
          <w:sz w:val="20"/>
          <w:szCs w:val="20"/>
          <w:lang w:val="uk-UA" w:bidi="uk-UA"/>
        </w:rPr>
        <w:t>зобов'язані повідомляти суд про кожну зміну свого місця проживання</w:t>
      </w:r>
      <w:r>
        <w:rPr>
          <w:rFonts w:ascii="Calibri" w:eastAsia="Calibri" w:hAnsi="Calibri" w:cs="Calibri"/>
          <w:sz w:val="20"/>
          <w:szCs w:val="20"/>
          <w:lang w:val="uk-UA" w:bidi="uk-UA"/>
        </w:rPr>
        <w:t xml:space="preserve">, а у випадку учасників, які не є фізичними особами, - </w:t>
      </w:r>
      <w:r>
        <w:rPr>
          <w:rFonts w:ascii="Calibri" w:eastAsia="Calibri" w:hAnsi="Calibri" w:cs="Calibri"/>
          <w:b/>
          <w:sz w:val="20"/>
          <w:szCs w:val="20"/>
          <w:lang w:val="uk-UA" w:bidi="uk-UA"/>
        </w:rPr>
        <w:t>про зміну</w:t>
      </w:r>
      <w:r>
        <w:rPr>
          <w:rFonts w:ascii="Calibri" w:eastAsia="Calibri" w:hAnsi="Calibri" w:cs="Calibri"/>
          <w:sz w:val="20"/>
          <w:szCs w:val="20"/>
          <w:lang w:val="uk-UA" w:bidi="uk-UA"/>
        </w:rPr>
        <w:t xml:space="preserve"> </w:t>
      </w:r>
      <w:r>
        <w:rPr>
          <w:rFonts w:ascii="Calibri" w:eastAsia="Calibri" w:hAnsi="Calibri" w:cs="Calibri"/>
          <w:b/>
          <w:sz w:val="20"/>
          <w:szCs w:val="20"/>
          <w:lang w:val="uk-UA" w:bidi="uk-UA"/>
        </w:rPr>
        <w:t>головного офісу</w:t>
      </w:r>
      <w:r>
        <w:rPr>
          <w:rFonts w:ascii="Calibri" w:eastAsia="Calibri" w:hAnsi="Calibri" w:cs="Calibri"/>
          <w:sz w:val="20"/>
          <w:szCs w:val="20"/>
          <w:lang w:val="uk-UA" w:bidi="uk-UA"/>
        </w:rPr>
        <w:t xml:space="preserve">. Учасник, який є </w:t>
      </w:r>
      <w:r>
        <w:rPr>
          <w:rFonts w:ascii="Calibri" w:eastAsia="Calibri" w:hAnsi="Calibri" w:cs="Calibri"/>
          <w:b/>
          <w:sz w:val="20"/>
          <w:szCs w:val="20"/>
          <w:lang w:val="uk-UA" w:bidi="uk-UA"/>
        </w:rPr>
        <w:t>підприємцем, зареєстрованим у Центральному реєстрі та Інформаційній системі про господарську діяльність</w:t>
      </w:r>
      <w:r>
        <w:rPr>
          <w:rFonts w:ascii="Calibri" w:eastAsia="Calibri" w:hAnsi="Calibri" w:cs="Calibri"/>
          <w:sz w:val="20"/>
          <w:szCs w:val="20"/>
          <w:lang w:val="uk-UA" w:bidi="uk-UA"/>
        </w:rPr>
        <w:t>, зобов’язаний повідомляти суд про кожну зміну адреси для поштових відправлень, зазначеної в цьому реєстрі.</w:t>
      </w:r>
    </w:p>
    <w:p w14:paraId="7951013C" w14:textId="77777777" w:rsidR="002F43BD" w:rsidRPr="00B119DD" w:rsidRDefault="002F43BD" w:rsidP="0045435E">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Calibri" w:hAnsi="Calibri"/>
          <w:sz w:val="20"/>
          <w:szCs w:val="20"/>
          <w:lang w:val="ru-RU"/>
        </w:rPr>
      </w:pPr>
      <w:r w:rsidRPr="00AE7C70">
        <w:rPr>
          <w:rFonts w:ascii="Calibri" w:eastAsia="Calibri" w:hAnsi="Calibri" w:cs="Calibri"/>
          <w:sz w:val="20"/>
          <w:szCs w:val="20"/>
          <w:lang w:val="uk-UA" w:bidi="uk-UA"/>
        </w:rPr>
        <w:t>У разі невиконання вищезазначених зобов'язань судовий документ залишається в матеріалах справи та вважається врученим, якщо нова адреса суду не відома (ст. 136 § 2 ЦПК в поєдн. зі ст. 13 § 2 ЦПК).</w:t>
      </w:r>
    </w:p>
    <w:sectPr w:rsidR="002F43BD" w:rsidRPr="00B119DD" w:rsidSect="0056301A">
      <w:footerReference w:type="default" r:id="rId8"/>
      <w:pgSz w:w="12240" w:h="15840"/>
      <w:pgMar w:top="1440" w:right="1440"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59578" w14:textId="77777777" w:rsidR="00303C5E" w:rsidRDefault="00303C5E" w:rsidP="000922E4">
      <w:r>
        <w:separator/>
      </w:r>
    </w:p>
  </w:endnote>
  <w:endnote w:type="continuationSeparator" w:id="0">
    <w:p w14:paraId="7256C8BD" w14:textId="77777777" w:rsidR="00303C5E" w:rsidRDefault="00303C5E" w:rsidP="0009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A700" w14:textId="77777777" w:rsidR="00791D41" w:rsidRDefault="00791D41">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08A6A2D0" w14:textId="77777777" w:rsidR="00791D41" w:rsidRDefault="00791D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124A2" w14:textId="77777777" w:rsidR="00303C5E" w:rsidRDefault="00303C5E" w:rsidP="000922E4">
      <w:r>
        <w:separator/>
      </w:r>
    </w:p>
  </w:footnote>
  <w:footnote w:type="continuationSeparator" w:id="0">
    <w:p w14:paraId="414D1CC4" w14:textId="77777777" w:rsidR="00303C5E" w:rsidRDefault="00303C5E" w:rsidP="00092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B9D"/>
    <w:multiLevelType w:val="hybridMultilevel"/>
    <w:tmpl w:val="8D20804A"/>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9EF41A7"/>
    <w:multiLevelType w:val="hybridMultilevel"/>
    <w:tmpl w:val="AC2A60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6A157F"/>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B2D06F0"/>
    <w:multiLevelType w:val="hybridMultilevel"/>
    <w:tmpl w:val="A88447EA"/>
    <w:lvl w:ilvl="0" w:tplc="61F2F6B6">
      <w:start w:val="1"/>
      <w:numFmt w:val="upperRoman"/>
      <w:lvlText w:val="%1."/>
      <w:lvlJc w:val="righ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F91575B"/>
    <w:multiLevelType w:val="hybridMultilevel"/>
    <w:tmpl w:val="FA52E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1687A44"/>
    <w:multiLevelType w:val="hybridMultilevel"/>
    <w:tmpl w:val="C0C852EC"/>
    <w:lvl w:ilvl="0" w:tplc="524ED2C4">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7A6119"/>
    <w:multiLevelType w:val="hybridMultilevel"/>
    <w:tmpl w:val="7B1440C2"/>
    <w:lvl w:ilvl="0" w:tplc="DE8E880A">
      <w:start w:val="1"/>
      <w:numFmt w:val="upperRoman"/>
      <w:lvlText w:val="%1."/>
      <w:lvlJc w:val="right"/>
      <w:pPr>
        <w:ind w:left="360" w:hanging="360"/>
      </w:pPr>
      <w:rPr>
        <w:b w:val="0"/>
      </w:rPr>
    </w:lvl>
    <w:lvl w:ilvl="1" w:tplc="04150001">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D550E5E"/>
    <w:multiLevelType w:val="hybridMultilevel"/>
    <w:tmpl w:val="DD84940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540B5F17"/>
    <w:multiLevelType w:val="hybridMultilevel"/>
    <w:tmpl w:val="CD3636BC"/>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95D1BF7"/>
    <w:multiLevelType w:val="hybridMultilevel"/>
    <w:tmpl w:val="FD847284"/>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6B113864"/>
    <w:multiLevelType w:val="hybridMultilevel"/>
    <w:tmpl w:val="93083406"/>
    <w:lvl w:ilvl="0" w:tplc="0415000F">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03316F"/>
    <w:multiLevelType w:val="hybridMultilevel"/>
    <w:tmpl w:val="702CD50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60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74913CFB"/>
    <w:multiLevelType w:val="hybridMultilevel"/>
    <w:tmpl w:val="C78CF08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7">
      <w:start w:val="1"/>
      <w:numFmt w:val="lowerLetter"/>
      <w:lvlText w:val="%3)"/>
      <w:lvlJc w:val="left"/>
      <w:pPr>
        <w:ind w:left="606"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3" w15:restartNumberingAfterBreak="0">
    <w:nsid w:val="7EF1354D"/>
    <w:multiLevelType w:val="hybridMultilevel"/>
    <w:tmpl w:val="CAEEBB50"/>
    <w:lvl w:ilvl="0" w:tplc="6C742AD4">
      <w:start w:val="1"/>
      <w:numFmt w:val="upperRoman"/>
      <w:lvlText w:val="%1."/>
      <w:lvlJc w:val="right"/>
      <w:pPr>
        <w:ind w:left="36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687677811">
    <w:abstractNumId w:val="5"/>
  </w:num>
  <w:num w:numId="2" w16cid:durableId="1794396970">
    <w:abstractNumId w:val="8"/>
  </w:num>
  <w:num w:numId="3" w16cid:durableId="808666483">
    <w:abstractNumId w:val="2"/>
  </w:num>
  <w:num w:numId="4" w16cid:durableId="5845818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5664954">
    <w:abstractNumId w:val="6"/>
  </w:num>
  <w:num w:numId="6" w16cid:durableId="1296447271">
    <w:abstractNumId w:val="9"/>
  </w:num>
  <w:num w:numId="7" w16cid:durableId="322708540">
    <w:abstractNumId w:val="0"/>
  </w:num>
  <w:num w:numId="8" w16cid:durableId="1118646591">
    <w:abstractNumId w:val="4"/>
  </w:num>
  <w:num w:numId="9" w16cid:durableId="1811165139">
    <w:abstractNumId w:val="13"/>
  </w:num>
  <w:num w:numId="10" w16cid:durableId="1558396488">
    <w:abstractNumId w:val="12"/>
  </w:num>
  <w:num w:numId="11" w16cid:durableId="153297622">
    <w:abstractNumId w:val="7"/>
  </w:num>
  <w:num w:numId="12" w16cid:durableId="663246967">
    <w:abstractNumId w:val="11"/>
  </w:num>
  <w:num w:numId="13" w16cid:durableId="626011089">
    <w:abstractNumId w:val="3"/>
  </w:num>
  <w:num w:numId="14" w16cid:durableId="587468873">
    <w:abstractNumId w:val="10"/>
  </w:num>
  <w:num w:numId="15" w16cid:durableId="1721394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72B88"/>
    <w:rsid w:val="00001F79"/>
    <w:rsid w:val="000104DA"/>
    <w:rsid w:val="00015859"/>
    <w:rsid w:val="00021C63"/>
    <w:rsid w:val="000221A0"/>
    <w:rsid w:val="000275C8"/>
    <w:rsid w:val="00036C62"/>
    <w:rsid w:val="00042EBC"/>
    <w:rsid w:val="00053C3F"/>
    <w:rsid w:val="00060ABD"/>
    <w:rsid w:val="00060D6A"/>
    <w:rsid w:val="000647CA"/>
    <w:rsid w:val="0008578F"/>
    <w:rsid w:val="000872C8"/>
    <w:rsid w:val="000922E4"/>
    <w:rsid w:val="00092333"/>
    <w:rsid w:val="00097367"/>
    <w:rsid w:val="00097517"/>
    <w:rsid w:val="000A7E18"/>
    <w:rsid w:val="000B2B88"/>
    <w:rsid w:val="000B5259"/>
    <w:rsid w:val="000C5920"/>
    <w:rsid w:val="000C5A8A"/>
    <w:rsid w:val="000D4F8F"/>
    <w:rsid w:val="000D6AB1"/>
    <w:rsid w:val="000F529C"/>
    <w:rsid w:val="00106297"/>
    <w:rsid w:val="00124DF3"/>
    <w:rsid w:val="00137B0D"/>
    <w:rsid w:val="00140510"/>
    <w:rsid w:val="00143622"/>
    <w:rsid w:val="001518D4"/>
    <w:rsid w:val="00152B45"/>
    <w:rsid w:val="00161F41"/>
    <w:rsid w:val="00165B84"/>
    <w:rsid w:val="00171290"/>
    <w:rsid w:val="00190E27"/>
    <w:rsid w:val="00191A2D"/>
    <w:rsid w:val="001A22F0"/>
    <w:rsid w:val="001B0A11"/>
    <w:rsid w:val="001C570C"/>
    <w:rsid w:val="001C5FF7"/>
    <w:rsid w:val="001E10ED"/>
    <w:rsid w:val="001E528D"/>
    <w:rsid w:val="001F24C3"/>
    <w:rsid w:val="001F7EAD"/>
    <w:rsid w:val="00230C62"/>
    <w:rsid w:val="002459D0"/>
    <w:rsid w:val="00251F7C"/>
    <w:rsid w:val="00261061"/>
    <w:rsid w:val="00263D9F"/>
    <w:rsid w:val="002874D9"/>
    <w:rsid w:val="0029326E"/>
    <w:rsid w:val="00297041"/>
    <w:rsid w:val="002B753E"/>
    <w:rsid w:val="002D4B40"/>
    <w:rsid w:val="002E292D"/>
    <w:rsid w:val="002E6094"/>
    <w:rsid w:val="002F43BD"/>
    <w:rsid w:val="002F69C6"/>
    <w:rsid w:val="00303C5E"/>
    <w:rsid w:val="00313EBE"/>
    <w:rsid w:val="00326EDF"/>
    <w:rsid w:val="0033267A"/>
    <w:rsid w:val="00343704"/>
    <w:rsid w:val="00345A26"/>
    <w:rsid w:val="0035065E"/>
    <w:rsid w:val="00351608"/>
    <w:rsid w:val="00366614"/>
    <w:rsid w:val="003742A8"/>
    <w:rsid w:val="00377543"/>
    <w:rsid w:val="00396648"/>
    <w:rsid w:val="003A0F85"/>
    <w:rsid w:val="003A3E11"/>
    <w:rsid w:val="003A5BBF"/>
    <w:rsid w:val="003E5631"/>
    <w:rsid w:val="003E59EB"/>
    <w:rsid w:val="0040091A"/>
    <w:rsid w:val="00412E66"/>
    <w:rsid w:val="00413B66"/>
    <w:rsid w:val="00420F40"/>
    <w:rsid w:val="004229A8"/>
    <w:rsid w:val="00431391"/>
    <w:rsid w:val="00437F9D"/>
    <w:rsid w:val="00441A24"/>
    <w:rsid w:val="0044756F"/>
    <w:rsid w:val="00450982"/>
    <w:rsid w:val="0045435E"/>
    <w:rsid w:val="0045527A"/>
    <w:rsid w:val="00456E4F"/>
    <w:rsid w:val="004632F4"/>
    <w:rsid w:val="00472349"/>
    <w:rsid w:val="00483E54"/>
    <w:rsid w:val="004871E9"/>
    <w:rsid w:val="004900B5"/>
    <w:rsid w:val="004A08D0"/>
    <w:rsid w:val="004B5254"/>
    <w:rsid w:val="004D3480"/>
    <w:rsid w:val="004E621E"/>
    <w:rsid w:val="005005BA"/>
    <w:rsid w:val="00515AD5"/>
    <w:rsid w:val="00527250"/>
    <w:rsid w:val="00527FED"/>
    <w:rsid w:val="00552AC0"/>
    <w:rsid w:val="00554D27"/>
    <w:rsid w:val="00560157"/>
    <w:rsid w:val="005607EE"/>
    <w:rsid w:val="0056301A"/>
    <w:rsid w:val="005762D0"/>
    <w:rsid w:val="005763AB"/>
    <w:rsid w:val="005820C2"/>
    <w:rsid w:val="005B0C9C"/>
    <w:rsid w:val="005C19B0"/>
    <w:rsid w:val="005C2996"/>
    <w:rsid w:val="005C3422"/>
    <w:rsid w:val="005D750A"/>
    <w:rsid w:val="005E7BD2"/>
    <w:rsid w:val="005F0FB3"/>
    <w:rsid w:val="005F1848"/>
    <w:rsid w:val="0060329F"/>
    <w:rsid w:val="00611290"/>
    <w:rsid w:val="00617E10"/>
    <w:rsid w:val="0062057D"/>
    <w:rsid w:val="0063413F"/>
    <w:rsid w:val="006369EE"/>
    <w:rsid w:val="006423C2"/>
    <w:rsid w:val="0064626A"/>
    <w:rsid w:val="00646855"/>
    <w:rsid w:val="0065621D"/>
    <w:rsid w:val="006575E0"/>
    <w:rsid w:val="00672F1F"/>
    <w:rsid w:val="006735C8"/>
    <w:rsid w:val="00683EA6"/>
    <w:rsid w:val="00686A58"/>
    <w:rsid w:val="006B0F1E"/>
    <w:rsid w:val="006D2749"/>
    <w:rsid w:val="006D3463"/>
    <w:rsid w:val="006D3989"/>
    <w:rsid w:val="006E2C44"/>
    <w:rsid w:val="006E3498"/>
    <w:rsid w:val="006F0327"/>
    <w:rsid w:val="007038A7"/>
    <w:rsid w:val="007140DF"/>
    <w:rsid w:val="007148F2"/>
    <w:rsid w:val="007160F5"/>
    <w:rsid w:val="00725655"/>
    <w:rsid w:val="00726886"/>
    <w:rsid w:val="00726BE9"/>
    <w:rsid w:val="00736459"/>
    <w:rsid w:val="00756913"/>
    <w:rsid w:val="007611E2"/>
    <w:rsid w:val="007615A6"/>
    <w:rsid w:val="00766A9C"/>
    <w:rsid w:val="00767C5F"/>
    <w:rsid w:val="00771690"/>
    <w:rsid w:val="00774782"/>
    <w:rsid w:val="00775AC7"/>
    <w:rsid w:val="00791D41"/>
    <w:rsid w:val="007C2187"/>
    <w:rsid w:val="007E1CB5"/>
    <w:rsid w:val="007E1E5B"/>
    <w:rsid w:val="007E2331"/>
    <w:rsid w:val="007E617E"/>
    <w:rsid w:val="007F1115"/>
    <w:rsid w:val="008009FA"/>
    <w:rsid w:val="008024A5"/>
    <w:rsid w:val="008024FF"/>
    <w:rsid w:val="0080407C"/>
    <w:rsid w:val="00806B55"/>
    <w:rsid w:val="008168B5"/>
    <w:rsid w:val="00823683"/>
    <w:rsid w:val="00824458"/>
    <w:rsid w:val="00824F3A"/>
    <w:rsid w:val="00826AAD"/>
    <w:rsid w:val="00832743"/>
    <w:rsid w:val="0084531A"/>
    <w:rsid w:val="00852201"/>
    <w:rsid w:val="0085423F"/>
    <w:rsid w:val="00856B43"/>
    <w:rsid w:val="0086061C"/>
    <w:rsid w:val="008627CB"/>
    <w:rsid w:val="00863ACE"/>
    <w:rsid w:val="00864AAE"/>
    <w:rsid w:val="00894697"/>
    <w:rsid w:val="008A31F8"/>
    <w:rsid w:val="008B24FC"/>
    <w:rsid w:val="008B7222"/>
    <w:rsid w:val="008C0D17"/>
    <w:rsid w:val="008D1F13"/>
    <w:rsid w:val="008E6006"/>
    <w:rsid w:val="008E63E4"/>
    <w:rsid w:val="008E79A0"/>
    <w:rsid w:val="008E7AD7"/>
    <w:rsid w:val="008F1EAB"/>
    <w:rsid w:val="008F69D2"/>
    <w:rsid w:val="0090671C"/>
    <w:rsid w:val="0091129D"/>
    <w:rsid w:val="00923980"/>
    <w:rsid w:val="00924438"/>
    <w:rsid w:val="00926266"/>
    <w:rsid w:val="009279BA"/>
    <w:rsid w:val="009342EC"/>
    <w:rsid w:val="0094239A"/>
    <w:rsid w:val="009457E2"/>
    <w:rsid w:val="009561C4"/>
    <w:rsid w:val="009562A1"/>
    <w:rsid w:val="009575DF"/>
    <w:rsid w:val="009669FE"/>
    <w:rsid w:val="00970680"/>
    <w:rsid w:val="00973251"/>
    <w:rsid w:val="00977FDC"/>
    <w:rsid w:val="00993E13"/>
    <w:rsid w:val="009959B1"/>
    <w:rsid w:val="009A345D"/>
    <w:rsid w:val="009A5914"/>
    <w:rsid w:val="009B3C99"/>
    <w:rsid w:val="009B5667"/>
    <w:rsid w:val="009C22F8"/>
    <w:rsid w:val="009C64A3"/>
    <w:rsid w:val="009F388F"/>
    <w:rsid w:val="009F43A6"/>
    <w:rsid w:val="009F56AF"/>
    <w:rsid w:val="00A007BD"/>
    <w:rsid w:val="00A10954"/>
    <w:rsid w:val="00A1339F"/>
    <w:rsid w:val="00A16767"/>
    <w:rsid w:val="00A17812"/>
    <w:rsid w:val="00A27A95"/>
    <w:rsid w:val="00A3475B"/>
    <w:rsid w:val="00A35049"/>
    <w:rsid w:val="00A52906"/>
    <w:rsid w:val="00A60DC3"/>
    <w:rsid w:val="00A6183F"/>
    <w:rsid w:val="00A7711F"/>
    <w:rsid w:val="00A91163"/>
    <w:rsid w:val="00A9520A"/>
    <w:rsid w:val="00A95BD8"/>
    <w:rsid w:val="00AA18AB"/>
    <w:rsid w:val="00AB24EC"/>
    <w:rsid w:val="00AB6215"/>
    <w:rsid w:val="00AB7AA2"/>
    <w:rsid w:val="00AD1F73"/>
    <w:rsid w:val="00AE37EA"/>
    <w:rsid w:val="00AE3F8F"/>
    <w:rsid w:val="00AE7C70"/>
    <w:rsid w:val="00AF0131"/>
    <w:rsid w:val="00AF3BA2"/>
    <w:rsid w:val="00B00454"/>
    <w:rsid w:val="00B00786"/>
    <w:rsid w:val="00B04461"/>
    <w:rsid w:val="00B05FA5"/>
    <w:rsid w:val="00B0754D"/>
    <w:rsid w:val="00B07BD0"/>
    <w:rsid w:val="00B119DD"/>
    <w:rsid w:val="00B13433"/>
    <w:rsid w:val="00B17D5A"/>
    <w:rsid w:val="00B26627"/>
    <w:rsid w:val="00B43E25"/>
    <w:rsid w:val="00B47D98"/>
    <w:rsid w:val="00B630D3"/>
    <w:rsid w:val="00B64AA3"/>
    <w:rsid w:val="00B76BF1"/>
    <w:rsid w:val="00B778ED"/>
    <w:rsid w:val="00B81212"/>
    <w:rsid w:val="00B82C95"/>
    <w:rsid w:val="00BA6481"/>
    <w:rsid w:val="00BB3C90"/>
    <w:rsid w:val="00BC3F6F"/>
    <w:rsid w:val="00BC692B"/>
    <w:rsid w:val="00BD5258"/>
    <w:rsid w:val="00BE40FD"/>
    <w:rsid w:val="00BF2A40"/>
    <w:rsid w:val="00BF2C53"/>
    <w:rsid w:val="00C01C04"/>
    <w:rsid w:val="00C02EF5"/>
    <w:rsid w:val="00C104CB"/>
    <w:rsid w:val="00C11692"/>
    <w:rsid w:val="00C1481C"/>
    <w:rsid w:val="00C343BC"/>
    <w:rsid w:val="00C416E5"/>
    <w:rsid w:val="00C5571A"/>
    <w:rsid w:val="00C607AB"/>
    <w:rsid w:val="00C668DF"/>
    <w:rsid w:val="00C75F5A"/>
    <w:rsid w:val="00C81F8A"/>
    <w:rsid w:val="00C84D44"/>
    <w:rsid w:val="00C85791"/>
    <w:rsid w:val="00C95F45"/>
    <w:rsid w:val="00CB528D"/>
    <w:rsid w:val="00CB7E69"/>
    <w:rsid w:val="00CC154D"/>
    <w:rsid w:val="00CF3479"/>
    <w:rsid w:val="00CF562F"/>
    <w:rsid w:val="00D020E9"/>
    <w:rsid w:val="00D10916"/>
    <w:rsid w:val="00D12720"/>
    <w:rsid w:val="00D35BFD"/>
    <w:rsid w:val="00D40F88"/>
    <w:rsid w:val="00D51E8F"/>
    <w:rsid w:val="00D52761"/>
    <w:rsid w:val="00D605D4"/>
    <w:rsid w:val="00D622D1"/>
    <w:rsid w:val="00D64768"/>
    <w:rsid w:val="00D65089"/>
    <w:rsid w:val="00D72F08"/>
    <w:rsid w:val="00D74148"/>
    <w:rsid w:val="00D82456"/>
    <w:rsid w:val="00D82B6E"/>
    <w:rsid w:val="00D865F0"/>
    <w:rsid w:val="00D903D9"/>
    <w:rsid w:val="00D9224D"/>
    <w:rsid w:val="00D973E6"/>
    <w:rsid w:val="00DA718D"/>
    <w:rsid w:val="00DB0D31"/>
    <w:rsid w:val="00DB4BE3"/>
    <w:rsid w:val="00DB652A"/>
    <w:rsid w:val="00DC03D7"/>
    <w:rsid w:val="00DC55A1"/>
    <w:rsid w:val="00DE284D"/>
    <w:rsid w:val="00DE6EA1"/>
    <w:rsid w:val="00DF3F40"/>
    <w:rsid w:val="00DF4E60"/>
    <w:rsid w:val="00E12589"/>
    <w:rsid w:val="00E16298"/>
    <w:rsid w:val="00E168B1"/>
    <w:rsid w:val="00E2189C"/>
    <w:rsid w:val="00E2685F"/>
    <w:rsid w:val="00E32ED2"/>
    <w:rsid w:val="00E40416"/>
    <w:rsid w:val="00E40807"/>
    <w:rsid w:val="00E4181D"/>
    <w:rsid w:val="00E56394"/>
    <w:rsid w:val="00E5647D"/>
    <w:rsid w:val="00E633C3"/>
    <w:rsid w:val="00E6531D"/>
    <w:rsid w:val="00E66A44"/>
    <w:rsid w:val="00E72B88"/>
    <w:rsid w:val="00E772EA"/>
    <w:rsid w:val="00E869C9"/>
    <w:rsid w:val="00E90DE5"/>
    <w:rsid w:val="00E937BE"/>
    <w:rsid w:val="00EA3D33"/>
    <w:rsid w:val="00EC2BBF"/>
    <w:rsid w:val="00ED2E48"/>
    <w:rsid w:val="00ED34BB"/>
    <w:rsid w:val="00ED42ED"/>
    <w:rsid w:val="00ED582B"/>
    <w:rsid w:val="00EE4967"/>
    <w:rsid w:val="00EE7F7E"/>
    <w:rsid w:val="00EF1FC2"/>
    <w:rsid w:val="00EF33AB"/>
    <w:rsid w:val="00EF3A62"/>
    <w:rsid w:val="00F02506"/>
    <w:rsid w:val="00F35E91"/>
    <w:rsid w:val="00F52B5E"/>
    <w:rsid w:val="00F544A4"/>
    <w:rsid w:val="00F60042"/>
    <w:rsid w:val="00F70B3D"/>
    <w:rsid w:val="00F73F99"/>
    <w:rsid w:val="00F746B3"/>
    <w:rsid w:val="00F84407"/>
    <w:rsid w:val="00F91FE5"/>
    <w:rsid w:val="00FB0435"/>
    <w:rsid w:val="00FB3FA2"/>
    <w:rsid w:val="00FE6068"/>
    <w:rsid w:val="00FE72B4"/>
    <w:rsid w:val="00FF0782"/>
    <w:rsid w:val="00FF373C"/>
    <w:rsid w:val="00FF4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CA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B8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gindeksgrny">
    <w:name w:val="igindeksgrny"/>
    <w:rsid w:val="00E6531D"/>
  </w:style>
  <w:style w:type="paragraph" w:customStyle="1" w:styleId="zartzmartartykuempunktem">
    <w:name w:val="zartzmartartykuempunktem"/>
    <w:basedOn w:val="Normalny"/>
    <w:rsid w:val="001E528D"/>
    <w:pPr>
      <w:spacing w:before="100" w:beforeAutospacing="1" w:after="100" w:afterAutospacing="1"/>
    </w:pPr>
  </w:style>
  <w:style w:type="paragraph" w:customStyle="1" w:styleId="zustzmustartykuempunktem">
    <w:name w:val="zustzmustartykuempunktem"/>
    <w:basedOn w:val="Normalny"/>
    <w:rsid w:val="001E528D"/>
    <w:pPr>
      <w:spacing w:before="100" w:beforeAutospacing="1" w:after="100" w:afterAutospacing="1"/>
    </w:pPr>
  </w:style>
  <w:style w:type="paragraph" w:styleId="Tekstprzypisukocowego">
    <w:name w:val="endnote text"/>
    <w:basedOn w:val="Normalny"/>
    <w:link w:val="TekstprzypisukocowegoZnak"/>
    <w:uiPriority w:val="99"/>
    <w:semiHidden/>
    <w:unhideWhenUsed/>
    <w:rsid w:val="000922E4"/>
    <w:rPr>
      <w:sz w:val="20"/>
      <w:szCs w:val="20"/>
    </w:rPr>
  </w:style>
  <w:style w:type="character" w:customStyle="1" w:styleId="TekstprzypisukocowegoZnak">
    <w:name w:val="Tekst przypisu końcowego Znak"/>
    <w:link w:val="Tekstprzypisukocowego"/>
    <w:uiPriority w:val="99"/>
    <w:semiHidden/>
    <w:rsid w:val="000922E4"/>
    <w:rPr>
      <w:rFonts w:ascii="Times New Roman" w:eastAsia="Times New Roman" w:hAnsi="Times New Roman"/>
    </w:rPr>
  </w:style>
  <w:style w:type="character" w:styleId="Odwoanieprzypisukocowego">
    <w:name w:val="endnote reference"/>
    <w:uiPriority w:val="99"/>
    <w:semiHidden/>
    <w:unhideWhenUsed/>
    <w:rsid w:val="000922E4"/>
    <w:rPr>
      <w:vertAlign w:val="superscript"/>
    </w:rPr>
  </w:style>
  <w:style w:type="paragraph" w:styleId="Nagwek">
    <w:name w:val="header"/>
    <w:basedOn w:val="Normalny"/>
    <w:link w:val="NagwekZnak"/>
    <w:uiPriority w:val="99"/>
    <w:unhideWhenUsed/>
    <w:rsid w:val="00791D41"/>
    <w:pPr>
      <w:tabs>
        <w:tab w:val="center" w:pos="4536"/>
        <w:tab w:val="right" w:pos="9072"/>
      </w:tabs>
    </w:pPr>
  </w:style>
  <w:style w:type="character" w:customStyle="1" w:styleId="NagwekZnak">
    <w:name w:val="Nagłówek Znak"/>
    <w:link w:val="Nagwek"/>
    <w:uiPriority w:val="99"/>
    <w:rsid w:val="00791D41"/>
    <w:rPr>
      <w:rFonts w:ascii="Times New Roman" w:eastAsia="Times New Roman" w:hAnsi="Times New Roman"/>
      <w:sz w:val="24"/>
      <w:szCs w:val="24"/>
    </w:rPr>
  </w:style>
  <w:style w:type="paragraph" w:styleId="Stopka">
    <w:name w:val="footer"/>
    <w:basedOn w:val="Normalny"/>
    <w:link w:val="StopkaZnak"/>
    <w:uiPriority w:val="99"/>
    <w:unhideWhenUsed/>
    <w:rsid w:val="00791D41"/>
    <w:pPr>
      <w:tabs>
        <w:tab w:val="center" w:pos="4536"/>
        <w:tab w:val="right" w:pos="9072"/>
      </w:tabs>
    </w:pPr>
  </w:style>
  <w:style w:type="character" w:customStyle="1" w:styleId="StopkaZnak">
    <w:name w:val="Stopka Znak"/>
    <w:link w:val="Stopka"/>
    <w:uiPriority w:val="99"/>
    <w:rsid w:val="00791D41"/>
    <w:rPr>
      <w:rFonts w:ascii="Times New Roman" w:eastAsia="Times New Roman" w:hAnsi="Times New Roman"/>
      <w:sz w:val="24"/>
      <w:szCs w:val="24"/>
    </w:rPr>
  </w:style>
  <w:style w:type="paragraph" w:styleId="Akapitzlist">
    <w:name w:val="List Paragraph"/>
    <w:basedOn w:val="Normalny"/>
    <w:uiPriority w:val="34"/>
    <w:qFormat/>
    <w:rsid w:val="00F73F9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030234">
      <w:bodyDiv w:val="1"/>
      <w:marLeft w:val="0"/>
      <w:marRight w:val="0"/>
      <w:marTop w:val="0"/>
      <w:marBottom w:val="0"/>
      <w:divBdr>
        <w:top w:val="none" w:sz="0" w:space="0" w:color="auto"/>
        <w:left w:val="none" w:sz="0" w:space="0" w:color="auto"/>
        <w:bottom w:val="none" w:sz="0" w:space="0" w:color="auto"/>
        <w:right w:val="none" w:sz="0" w:space="0" w:color="auto"/>
      </w:divBdr>
    </w:div>
    <w:div w:id="460420120">
      <w:bodyDiv w:val="1"/>
      <w:marLeft w:val="0"/>
      <w:marRight w:val="0"/>
      <w:marTop w:val="0"/>
      <w:marBottom w:val="0"/>
      <w:divBdr>
        <w:top w:val="none" w:sz="0" w:space="0" w:color="auto"/>
        <w:left w:val="none" w:sz="0" w:space="0" w:color="auto"/>
        <w:bottom w:val="none" w:sz="0" w:space="0" w:color="auto"/>
        <w:right w:val="none" w:sz="0" w:space="0" w:color="auto"/>
      </w:divBdr>
    </w:div>
    <w:div w:id="495416250">
      <w:bodyDiv w:val="1"/>
      <w:marLeft w:val="0"/>
      <w:marRight w:val="0"/>
      <w:marTop w:val="0"/>
      <w:marBottom w:val="0"/>
      <w:divBdr>
        <w:top w:val="none" w:sz="0" w:space="0" w:color="auto"/>
        <w:left w:val="none" w:sz="0" w:space="0" w:color="auto"/>
        <w:bottom w:val="none" w:sz="0" w:space="0" w:color="auto"/>
        <w:right w:val="none" w:sz="0" w:space="0" w:color="auto"/>
      </w:divBdr>
    </w:div>
    <w:div w:id="804158680">
      <w:bodyDiv w:val="1"/>
      <w:marLeft w:val="0"/>
      <w:marRight w:val="0"/>
      <w:marTop w:val="0"/>
      <w:marBottom w:val="0"/>
      <w:divBdr>
        <w:top w:val="none" w:sz="0" w:space="0" w:color="auto"/>
        <w:left w:val="none" w:sz="0" w:space="0" w:color="auto"/>
        <w:bottom w:val="none" w:sz="0" w:space="0" w:color="auto"/>
        <w:right w:val="none" w:sz="0" w:space="0" w:color="auto"/>
      </w:divBdr>
    </w:div>
    <w:div w:id="1194030896">
      <w:bodyDiv w:val="1"/>
      <w:marLeft w:val="0"/>
      <w:marRight w:val="0"/>
      <w:marTop w:val="0"/>
      <w:marBottom w:val="0"/>
      <w:divBdr>
        <w:top w:val="none" w:sz="0" w:space="0" w:color="auto"/>
        <w:left w:val="none" w:sz="0" w:space="0" w:color="auto"/>
        <w:bottom w:val="none" w:sz="0" w:space="0" w:color="auto"/>
        <w:right w:val="none" w:sz="0" w:space="0" w:color="auto"/>
      </w:divBdr>
    </w:div>
    <w:div w:id="1501500990">
      <w:bodyDiv w:val="1"/>
      <w:marLeft w:val="0"/>
      <w:marRight w:val="0"/>
      <w:marTop w:val="0"/>
      <w:marBottom w:val="0"/>
      <w:divBdr>
        <w:top w:val="none" w:sz="0" w:space="0" w:color="auto"/>
        <w:left w:val="none" w:sz="0" w:space="0" w:color="auto"/>
        <w:bottom w:val="none" w:sz="0" w:space="0" w:color="auto"/>
        <w:right w:val="none" w:sz="0" w:space="0" w:color="auto"/>
      </w:divBdr>
    </w:div>
    <w:div w:id="1585995817">
      <w:bodyDiv w:val="1"/>
      <w:marLeft w:val="0"/>
      <w:marRight w:val="0"/>
      <w:marTop w:val="0"/>
      <w:marBottom w:val="0"/>
      <w:divBdr>
        <w:top w:val="none" w:sz="0" w:space="0" w:color="auto"/>
        <w:left w:val="none" w:sz="0" w:space="0" w:color="auto"/>
        <w:bottom w:val="none" w:sz="0" w:space="0" w:color="auto"/>
        <w:right w:val="none" w:sz="0" w:space="0" w:color="auto"/>
      </w:divBdr>
    </w:div>
    <w:div w:id="1910799612">
      <w:bodyDiv w:val="1"/>
      <w:marLeft w:val="0"/>
      <w:marRight w:val="0"/>
      <w:marTop w:val="0"/>
      <w:marBottom w:val="0"/>
      <w:divBdr>
        <w:top w:val="none" w:sz="0" w:space="0" w:color="auto"/>
        <w:left w:val="none" w:sz="0" w:space="0" w:color="auto"/>
        <w:bottom w:val="none" w:sz="0" w:space="0" w:color="auto"/>
        <w:right w:val="none" w:sz="0" w:space="0" w:color="auto"/>
      </w:divBdr>
    </w:div>
    <w:div w:id="20349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566B-F084-4CF4-9551-AEF7ADD1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2301</Words>
  <Characters>12800</Characters>
  <Application>Microsoft Office Word</Application>
  <DocSecurity>0</DocSecurity>
  <Lines>178</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2026-04-10T10:50:00Z</dcterms:created>
  <dcterms:modified xsi:type="dcterms:W3CDTF">2026-04-10T10:51:00Z</dcterms:modified>
</cp:coreProperties>
</file>