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B96" w:rsidRPr="00E6482A" w:rsidRDefault="002B1B96" w:rsidP="002B1B96">
      <w:pPr>
        <w:spacing w:line="288" w:lineRule="auto"/>
        <w:jc w:val="center"/>
        <w:rPr>
          <w:rFonts w:ascii="Times New Roman" w:hAnsi="Times New Roman" w:cs="Times New Roman"/>
        </w:rPr>
      </w:pPr>
      <w:r w:rsidRPr="00E6482A">
        <w:rPr>
          <w:rFonts w:ascii="Times New Roman" w:hAnsi="Times New Roman" w:cs="Times New Roman"/>
          <w:b/>
          <w:bCs/>
        </w:rPr>
        <w:t>Proces zatwierdzania substancji czynnych – podejmowanie decyzji</w:t>
      </w:r>
    </w:p>
    <w:p w:rsidR="002B1B96" w:rsidRPr="00E6482A" w:rsidRDefault="002B1B96" w:rsidP="002B1B96">
      <w:pPr>
        <w:spacing w:line="288" w:lineRule="auto"/>
        <w:jc w:val="center"/>
        <w:rPr>
          <w:rFonts w:ascii="Times New Roman" w:hAnsi="Times New Roman" w:cs="Times New Roman"/>
        </w:rPr>
      </w:pPr>
      <w:r w:rsidRPr="00E6482A">
        <w:rPr>
          <w:rFonts w:ascii="Times New Roman" w:hAnsi="Times New Roman" w:cs="Times New Roman"/>
        </w:rPr>
        <w:t>Zasady współpracy Ministerstwa Rolnictwa i Rozwoju Wsi z wnioskodawcami</w:t>
      </w:r>
    </w:p>
    <w:p w:rsidR="002B1B96" w:rsidRPr="00E6482A" w:rsidRDefault="002B1B96" w:rsidP="002B1B96">
      <w:pPr>
        <w:spacing w:line="288" w:lineRule="auto"/>
        <w:jc w:val="center"/>
        <w:rPr>
          <w:rFonts w:ascii="Times New Roman" w:hAnsi="Times New Roman" w:cs="Times New Roman"/>
        </w:rPr>
      </w:pPr>
      <w:r w:rsidRPr="00E6482A">
        <w:rPr>
          <w:rFonts w:ascii="Times New Roman" w:hAnsi="Times New Roman" w:cs="Times New Roman"/>
        </w:rPr>
        <w:t>wersja zmieniona (wrzesień 2020 r.)</w:t>
      </w:r>
    </w:p>
    <w:p w:rsidR="002B1B96" w:rsidRPr="00E6482A" w:rsidRDefault="002B1B96" w:rsidP="002B1B96">
      <w:pPr>
        <w:spacing w:line="288" w:lineRule="auto"/>
        <w:jc w:val="both"/>
        <w:rPr>
          <w:rFonts w:ascii="Times New Roman" w:hAnsi="Times New Roman" w:cs="Times New Roman"/>
        </w:rPr>
      </w:pPr>
      <w:r w:rsidRPr="00E6482A">
        <w:rPr>
          <w:rFonts w:ascii="Times New Roman" w:hAnsi="Times New Roman" w:cs="Times New Roman"/>
        </w:rPr>
        <w:t xml:space="preserve">Zasady współpracy Ministerstwa Rolnictwa i Rozwoju Wsi (Departament Klimatu i Środowiska) </w:t>
      </w:r>
      <w:r w:rsidRPr="00E6482A">
        <w:rPr>
          <w:rFonts w:ascii="Times New Roman" w:hAnsi="Times New Roman" w:cs="Times New Roman"/>
        </w:rPr>
        <w:br/>
        <w:t>z wnioskodawcami omawiane były na spotkaniach z Polskim Stowarzyszeniem Ochrony Roślin (PSOR) w dniu 19 listopada 2018 r. oraz podlegały rewizji na spotkaniu w dniu 19 kwietnia 2020 r. biorąc pod uwagę zebrane w tym zakresie doświadczenia.</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 xml:space="preserve">Procedurę oceny substancji czynnych możemy podzielić na 2 główne etapy: </w:t>
      </w:r>
    </w:p>
    <w:p w:rsidR="002B1B96" w:rsidRPr="00E6482A" w:rsidRDefault="002B1B96" w:rsidP="002B1B96">
      <w:pPr>
        <w:pStyle w:val="Akapitzlist"/>
        <w:numPr>
          <w:ilvl w:val="0"/>
          <w:numId w:val="1"/>
        </w:numPr>
        <w:spacing w:line="288" w:lineRule="auto"/>
        <w:jc w:val="both"/>
        <w:rPr>
          <w:rFonts w:ascii="Times New Roman" w:hAnsi="Times New Roman" w:cs="Times New Roman"/>
        </w:rPr>
      </w:pPr>
      <w:r w:rsidRPr="00E6482A">
        <w:rPr>
          <w:rFonts w:ascii="Times New Roman" w:hAnsi="Times New Roman" w:cs="Times New Roman"/>
        </w:rPr>
        <w:t>proces opracowania projektu sprawozdania z oceny (DAR</w:t>
      </w:r>
      <w:r w:rsidRPr="00E6482A">
        <w:rPr>
          <w:rStyle w:val="Odwoanieprzypisudolnego"/>
          <w:rFonts w:ascii="Times New Roman" w:hAnsi="Times New Roman" w:cs="Times New Roman"/>
        </w:rPr>
        <w:footnoteReference w:id="1"/>
      </w:r>
      <w:r w:rsidRPr="00E6482A">
        <w:rPr>
          <w:rFonts w:ascii="Times New Roman" w:hAnsi="Times New Roman" w:cs="Times New Roman"/>
        </w:rPr>
        <w:t xml:space="preserve">, </w:t>
      </w:r>
      <w:proofErr w:type="spellStart"/>
      <w:r w:rsidRPr="00E6482A">
        <w:rPr>
          <w:rFonts w:ascii="Times New Roman" w:hAnsi="Times New Roman" w:cs="Times New Roman"/>
        </w:rPr>
        <w:t>dRAR</w:t>
      </w:r>
      <w:proofErr w:type="spellEnd"/>
      <w:r w:rsidRPr="00E6482A">
        <w:rPr>
          <w:rStyle w:val="Odwoanieprzypisudolnego"/>
          <w:rFonts w:ascii="Times New Roman" w:hAnsi="Times New Roman" w:cs="Times New Roman"/>
        </w:rPr>
        <w:footnoteReference w:id="2"/>
      </w:r>
      <w:r w:rsidRPr="00E6482A">
        <w:rPr>
          <w:rFonts w:ascii="Times New Roman" w:hAnsi="Times New Roman" w:cs="Times New Roman"/>
        </w:rPr>
        <w:t xml:space="preserve">) i naukowej weryfikacji przez kraje członkowskie tzw. </w:t>
      </w:r>
      <w:proofErr w:type="spellStart"/>
      <w:r w:rsidRPr="00E6482A">
        <w:rPr>
          <w:rFonts w:ascii="Times New Roman" w:hAnsi="Times New Roman" w:cs="Times New Roman"/>
          <w:i/>
        </w:rPr>
        <w:t>peer-review</w:t>
      </w:r>
      <w:proofErr w:type="spellEnd"/>
      <w:r w:rsidRPr="00E6482A">
        <w:rPr>
          <w:rFonts w:ascii="Times New Roman" w:hAnsi="Times New Roman" w:cs="Times New Roman"/>
        </w:rPr>
        <w:t xml:space="preserve"> (obejmujący całość współpracy z EFSA</w:t>
      </w:r>
      <w:r w:rsidRPr="00E6482A">
        <w:rPr>
          <w:rStyle w:val="Odwoanieprzypisudolnego"/>
          <w:rFonts w:ascii="Times New Roman" w:hAnsi="Times New Roman" w:cs="Times New Roman"/>
        </w:rPr>
        <w:footnoteReference w:id="3"/>
      </w:r>
      <w:r w:rsidRPr="00E6482A">
        <w:rPr>
          <w:rFonts w:ascii="Times New Roman" w:hAnsi="Times New Roman" w:cs="Times New Roman"/>
        </w:rPr>
        <w:t xml:space="preserve"> tj. przygotowywanie przez kraje członkowskie komentarzy, udział w spotkaniach eksperckich PRAPER</w:t>
      </w:r>
      <w:r w:rsidRPr="00E6482A">
        <w:rPr>
          <w:rStyle w:val="Odwoanieprzypisudolnego"/>
          <w:rFonts w:ascii="Times New Roman" w:hAnsi="Times New Roman" w:cs="Times New Roman"/>
        </w:rPr>
        <w:footnoteReference w:id="4"/>
      </w:r>
      <w:r w:rsidRPr="00E6482A">
        <w:rPr>
          <w:rFonts w:ascii="Times New Roman" w:hAnsi="Times New Roman" w:cs="Times New Roman"/>
        </w:rPr>
        <w:t>, komentowanie na prośbę EFSA projektu konkluzji</w:t>
      </w:r>
      <w:r w:rsidRPr="00E6482A">
        <w:rPr>
          <w:rStyle w:val="Odwoanieprzypisudolnego"/>
          <w:rFonts w:ascii="Times New Roman" w:hAnsi="Times New Roman" w:cs="Times New Roman"/>
        </w:rPr>
        <w:footnoteReference w:id="5"/>
      </w:r>
      <w:r w:rsidRPr="00E6482A">
        <w:rPr>
          <w:rFonts w:ascii="Times New Roman" w:hAnsi="Times New Roman" w:cs="Times New Roman"/>
        </w:rPr>
        <w:t xml:space="preserve">), </w:t>
      </w:r>
    </w:p>
    <w:p w:rsidR="002B1B96" w:rsidRPr="00E6482A" w:rsidRDefault="002B1B96" w:rsidP="002B1B96">
      <w:pPr>
        <w:pStyle w:val="Akapitzlist"/>
        <w:numPr>
          <w:ilvl w:val="0"/>
          <w:numId w:val="1"/>
        </w:numPr>
        <w:spacing w:line="288" w:lineRule="auto"/>
        <w:jc w:val="both"/>
        <w:rPr>
          <w:rFonts w:ascii="Times New Roman" w:hAnsi="Times New Roman" w:cs="Times New Roman"/>
        </w:rPr>
      </w:pPr>
      <w:r w:rsidRPr="00E6482A">
        <w:rPr>
          <w:rFonts w:ascii="Times New Roman" w:hAnsi="Times New Roman" w:cs="Times New Roman"/>
        </w:rPr>
        <w:t xml:space="preserve">podejmowanie decyzji, rozpoczynające się z chwilą publikacji raportu naukowego EFSA, </w:t>
      </w:r>
      <w:r w:rsidRPr="00E6482A">
        <w:rPr>
          <w:rFonts w:ascii="Times New Roman" w:hAnsi="Times New Roman" w:cs="Times New Roman"/>
        </w:rPr>
        <w:br/>
        <w:t>a obejmujące całość prac w ramach Stałego Komitetu ds. Roślin, Zwierząt, Żywności i Pasz sekcja: środki ochrony roślin – legislacja (PAFF) oraz ewentualnie Komitetu Odwoławczego.</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Ad. 1</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 xml:space="preserve">Polska bierze udział w komentowaniu substancji dopuszczonych w Polsce </w:t>
      </w:r>
      <w:r w:rsidRPr="00E6482A">
        <w:rPr>
          <w:rFonts w:ascii="Times New Roman" w:hAnsi="Times New Roman" w:cs="Times New Roman"/>
        </w:rPr>
        <w:br/>
        <w:t xml:space="preserve">(w przypadku tzw. substancji istniejących) oraz tzw. substancji nowych, które nie są zatwierdzone do stosowania w środkach ochrony roślin i znajdują się na różnych etapach procedury </w:t>
      </w:r>
      <w:proofErr w:type="spellStart"/>
      <w:r w:rsidRPr="00E6482A">
        <w:rPr>
          <w:rFonts w:ascii="Times New Roman" w:hAnsi="Times New Roman" w:cs="Times New Roman"/>
        </w:rPr>
        <w:t>peer</w:t>
      </w:r>
      <w:proofErr w:type="spellEnd"/>
      <w:r w:rsidRPr="00E6482A">
        <w:rPr>
          <w:rFonts w:ascii="Times New Roman" w:hAnsi="Times New Roman" w:cs="Times New Roman"/>
        </w:rPr>
        <w:t xml:space="preserve"> </w:t>
      </w:r>
      <w:proofErr w:type="spellStart"/>
      <w:r w:rsidRPr="00E6482A">
        <w:rPr>
          <w:rFonts w:ascii="Times New Roman" w:hAnsi="Times New Roman" w:cs="Times New Roman"/>
        </w:rPr>
        <w:t>review</w:t>
      </w:r>
      <w:proofErr w:type="spellEnd"/>
      <w:r w:rsidRPr="00E6482A">
        <w:rPr>
          <w:rFonts w:ascii="Times New Roman" w:hAnsi="Times New Roman" w:cs="Times New Roman"/>
        </w:rPr>
        <w:t xml:space="preserve">.  </w:t>
      </w:r>
      <w:r w:rsidRPr="00E6482A">
        <w:rPr>
          <w:rFonts w:ascii="Times New Roman" w:hAnsi="Times New Roman" w:cs="Times New Roman"/>
        </w:rPr>
        <w:br/>
        <w:t>W przypadku możliwego niezatwierdzenia/nieodnowienia zatwierdzenia tych substancji, wnioskodawcy proszeni są na tym etapie o przesyłanie ewentualnych zastrzeżeń względem wniosków RMS</w:t>
      </w:r>
      <w:r w:rsidRPr="00E6482A">
        <w:rPr>
          <w:rStyle w:val="Odwoanieprzypisudolnego"/>
          <w:rFonts w:ascii="Times New Roman" w:hAnsi="Times New Roman" w:cs="Times New Roman"/>
        </w:rPr>
        <w:footnoteReference w:id="6"/>
      </w:r>
      <w:r w:rsidRPr="00E6482A">
        <w:rPr>
          <w:rFonts w:ascii="Times New Roman" w:hAnsi="Times New Roman" w:cs="Times New Roman"/>
        </w:rPr>
        <w:t xml:space="preserve"> zawartych w DAR/</w:t>
      </w:r>
      <w:proofErr w:type="spellStart"/>
      <w:r w:rsidRPr="00E6482A">
        <w:rPr>
          <w:rFonts w:ascii="Times New Roman" w:hAnsi="Times New Roman" w:cs="Times New Roman"/>
        </w:rPr>
        <w:t>dRAR</w:t>
      </w:r>
      <w:proofErr w:type="spellEnd"/>
      <w:r w:rsidRPr="00E6482A">
        <w:rPr>
          <w:rFonts w:ascii="Times New Roman" w:hAnsi="Times New Roman" w:cs="Times New Roman"/>
        </w:rPr>
        <w:t xml:space="preserve"> zgodnie z procedurą wskazaną w rozporządzeniu 844/2012</w:t>
      </w:r>
      <w:r w:rsidRPr="00E6482A">
        <w:rPr>
          <w:rStyle w:val="Odwoanieprzypisudolnego"/>
          <w:rFonts w:ascii="Times New Roman" w:hAnsi="Times New Roman" w:cs="Times New Roman"/>
        </w:rPr>
        <w:footnoteReference w:id="7"/>
      </w:r>
      <w:r w:rsidRPr="00E6482A">
        <w:rPr>
          <w:rFonts w:ascii="Times New Roman" w:hAnsi="Times New Roman" w:cs="Times New Roman"/>
        </w:rPr>
        <w:t xml:space="preserve"> tj. do EFSA i RMS, </w:t>
      </w:r>
      <w:r w:rsidRPr="00E6482A">
        <w:rPr>
          <w:rFonts w:ascii="Times New Roman" w:hAnsi="Times New Roman" w:cs="Times New Roman"/>
          <w:u w:val="single"/>
        </w:rPr>
        <w:t xml:space="preserve">nie do </w:t>
      </w:r>
      <w:proofErr w:type="spellStart"/>
      <w:r w:rsidRPr="00E6482A">
        <w:rPr>
          <w:rFonts w:ascii="Times New Roman" w:hAnsi="Times New Roman" w:cs="Times New Roman"/>
          <w:u w:val="single"/>
        </w:rPr>
        <w:t>MRiRW</w:t>
      </w:r>
      <w:proofErr w:type="spellEnd"/>
      <w:r w:rsidRPr="00E6482A">
        <w:rPr>
          <w:rFonts w:ascii="Times New Roman" w:hAnsi="Times New Roman" w:cs="Times New Roman"/>
        </w:rPr>
        <w:t>.</w:t>
      </w:r>
      <w:r w:rsidRPr="00E6482A">
        <w:rPr>
          <w:rFonts w:ascii="Times New Roman" w:eastAsia="Times New Roman" w:hAnsi="Times New Roman" w:cs="Times New Roman"/>
          <w:lang w:eastAsia="pl-PL"/>
        </w:rPr>
        <w:t xml:space="preserve"> Dla tych substancji, w przypadku przedstawienia przez KE propozycji ich niezatwierdzenia, możliwe będzie przedstawienie przez producentów swoich stanowisk w celu ich oceny przez podmioty upoważnione (tzw. dane ratunkowe) – zastosowanie ma procedura opisana </w:t>
      </w:r>
      <w:r w:rsidRPr="00E6482A">
        <w:rPr>
          <w:rFonts w:ascii="Times New Roman" w:eastAsia="Times New Roman" w:hAnsi="Times New Roman" w:cs="Times New Roman"/>
          <w:lang w:eastAsia="pl-PL"/>
        </w:rPr>
        <w:br/>
        <w:t>w pkt. 2</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W przypadku substancji istniejącej, która nie jest dopuszczona do obrotu w Polsce w żadnym środku ochrony roślin, Polska nie bierze udziału w procesie </w:t>
      </w:r>
      <w:proofErr w:type="spellStart"/>
      <w:r w:rsidRPr="00E6482A">
        <w:rPr>
          <w:rFonts w:ascii="Times New Roman" w:hAnsi="Times New Roman" w:cs="Times New Roman"/>
        </w:rPr>
        <w:t>peer</w:t>
      </w:r>
      <w:proofErr w:type="spellEnd"/>
      <w:r w:rsidRPr="00E6482A">
        <w:rPr>
          <w:rFonts w:ascii="Times New Roman" w:hAnsi="Times New Roman" w:cs="Times New Roman"/>
        </w:rPr>
        <w:t xml:space="preserve"> </w:t>
      </w:r>
      <w:proofErr w:type="spellStart"/>
      <w:r w:rsidRPr="00E6482A">
        <w:rPr>
          <w:rFonts w:ascii="Times New Roman" w:hAnsi="Times New Roman" w:cs="Times New Roman"/>
        </w:rPr>
        <w:t>review</w:t>
      </w:r>
      <w:proofErr w:type="spellEnd"/>
      <w:r w:rsidRPr="00E6482A">
        <w:rPr>
          <w:rFonts w:ascii="Times New Roman" w:hAnsi="Times New Roman" w:cs="Times New Roman"/>
        </w:rPr>
        <w:t xml:space="preserve">. Oznacza to brak komentarzy do projektu sprawozdania z oceny (draft </w:t>
      </w:r>
      <w:proofErr w:type="spellStart"/>
      <w:r w:rsidRPr="00E6482A">
        <w:rPr>
          <w:rFonts w:ascii="Times New Roman" w:hAnsi="Times New Roman" w:cs="Times New Roman"/>
        </w:rPr>
        <w:t>Renewal</w:t>
      </w:r>
      <w:proofErr w:type="spellEnd"/>
      <w:r w:rsidRPr="00E6482A">
        <w:rPr>
          <w:rFonts w:ascii="Times New Roman" w:hAnsi="Times New Roman" w:cs="Times New Roman"/>
        </w:rPr>
        <w:t xml:space="preserve"> </w:t>
      </w:r>
      <w:proofErr w:type="spellStart"/>
      <w:r w:rsidRPr="00E6482A">
        <w:rPr>
          <w:rFonts w:ascii="Times New Roman" w:hAnsi="Times New Roman" w:cs="Times New Roman"/>
        </w:rPr>
        <w:t>Assessment</w:t>
      </w:r>
      <w:proofErr w:type="spellEnd"/>
      <w:r w:rsidRPr="00E6482A">
        <w:rPr>
          <w:rFonts w:ascii="Times New Roman" w:hAnsi="Times New Roman" w:cs="Times New Roman"/>
        </w:rPr>
        <w:t xml:space="preserve"> Report – </w:t>
      </w:r>
      <w:proofErr w:type="spellStart"/>
      <w:r w:rsidRPr="00E6482A">
        <w:rPr>
          <w:rFonts w:ascii="Times New Roman" w:hAnsi="Times New Roman" w:cs="Times New Roman"/>
        </w:rPr>
        <w:t>dRAR</w:t>
      </w:r>
      <w:proofErr w:type="spellEnd"/>
      <w:r w:rsidRPr="00E6482A">
        <w:rPr>
          <w:rFonts w:ascii="Times New Roman" w:hAnsi="Times New Roman" w:cs="Times New Roman"/>
        </w:rPr>
        <w:t>) na żadnym etapie, brak udziału w spotkaniach eksperckich PRAPER, niekomentowanie projektu raportu naukowego EFSA. Dla tych substancji Polska nie będzie się również angażować aktywnie w prace legislacyjne na etapie podejmowania decyzji przez Komisję Europejską - nie ma tutaj zastosowania procedura opisana w pkt. 2. Polska będzie popierać propozycję Komisji Europejskiej, bez względu na to czy będzie to propozycja odnowienia zatwierdzenia tej substancji czy też nieodnowienia.</w:t>
      </w:r>
    </w:p>
    <w:p w:rsidR="002B1B96" w:rsidRPr="00E6482A" w:rsidRDefault="002B1B96" w:rsidP="002B1B96">
      <w:pPr>
        <w:spacing w:before="120" w:after="0" w:line="240" w:lineRule="auto"/>
        <w:jc w:val="both"/>
        <w:rPr>
          <w:rFonts w:ascii="Times New Roman" w:eastAsia="Times New Roman" w:hAnsi="Times New Roman" w:cs="Times New Roman"/>
          <w:lang w:eastAsia="pl-PL"/>
        </w:rPr>
      </w:pPr>
      <w:r w:rsidRPr="00E6482A">
        <w:rPr>
          <w:rFonts w:ascii="Times New Roman" w:eastAsia="Times New Roman" w:hAnsi="Times New Roman" w:cs="Times New Roman"/>
          <w:lang w:eastAsia="pl-PL"/>
        </w:rPr>
        <w:lastRenderedPageBreak/>
        <w:t>Podejście to przedstawia poniższa tabela:</w:t>
      </w:r>
    </w:p>
    <w:tbl>
      <w:tblPr>
        <w:tblStyle w:val="Tabela-Siatka"/>
        <w:tblW w:w="0" w:type="auto"/>
        <w:tblLook w:val="04A0" w:firstRow="1" w:lastRow="0" w:firstColumn="1" w:lastColumn="0" w:noHBand="0" w:noVBand="1"/>
      </w:tblPr>
      <w:tblGrid>
        <w:gridCol w:w="1838"/>
        <w:gridCol w:w="1402"/>
        <w:gridCol w:w="2439"/>
        <w:gridCol w:w="2693"/>
      </w:tblGrid>
      <w:tr w:rsidR="002B1B96" w:rsidRPr="00E6482A" w:rsidTr="00BE7D03">
        <w:tc>
          <w:tcPr>
            <w:tcW w:w="1838" w:type="dxa"/>
          </w:tcPr>
          <w:p w:rsidR="002B1B96" w:rsidRPr="00E6482A" w:rsidRDefault="002B1B96" w:rsidP="00BE7D03">
            <w:pPr>
              <w:rPr>
                <w:rFonts w:ascii="Times New Roman" w:hAnsi="Times New Roman" w:cs="Times New Roman"/>
              </w:rPr>
            </w:pPr>
          </w:p>
        </w:tc>
        <w:tc>
          <w:tcPr>
            <w:tcW w:w="1353" w:type="dxa"/>
            <w:tcBorders>
              <w:bottom w:val="single" w:sz="4" w:space="0" w:color="auto"/>
            </w:tcBorders>
          </w:tcPr>
          <w:p w:rsidR="002B1B96" w:rsidRPr="00E6482A" w:rsidRDefault="002B1B96" w:rsidP="00BE7D03">
            <w:pPr>
              <w:rPr>
                <w:rFonts w:ascii="Times New Roman" w:hAnsi="Times New Roman" w:cs="Times New Roman"/>
              </w:rPr>
            </w:pPr>
            <w:r w:rsidRPr="00E6482A">
              <w:rPr>
                <w:rFonts w:ascii="Times New Roman" w:hAnsi="Times New Roman" w:cs="Times New Roman"/>
              </w:rPr>
              <w:t>Dopuszczona w PL</w:t>
            </w:r>
          </w:p>
        </w:tc>
        <w:tc>
          <w:tcPr>
            <w:tcW w:w="2439" w:type="dxa"/>
            <w:tcBorders>
              <w:bottom w:val="single" w:sz="4" w:space="0" w:color="auto"/>
            </w:tcBorders>
          </w:tcPr>
          <w:p w:rsidR="002B1B96" w:rsidRPr="00E6482A" w:rsidRDefault="002B1B96" w:rsidP="00BE7D03">
            <w:pPr>
              <w:rPr>
                <w:rFonts w:ascii="Times New Roman" w:hAnsi="Times New Roman" w:cs="Times New Roman"/>
              </w:rPr>
            </w:pPr>
            <w:r w:rsidRPr="00E6482A">
              <w:rPr>
                <w:rFonts w:ascii="Times New Roman" w:hAnsi="Times New Roman" w:cs="Times New Roman"/>
              </w:rPr>
              <w:t xml:space="preserve">Udział przez PL w </w:t>
            </w:r>
            <w:proofErr w:type="spellStart"/>
            <w:r w:rsidRPr="00E6482A">
              <w:rPr>
                <w:rFonts w:ascii="Times New Roman" w:hAnsi="Times New Roman" w:cs="Times New Roman"/>
              </w:rPr>
              <w:t>peer</w:t>
            </w:r>
            <w:proofErr w:type="spellEnd"/>
            <w:r w:rsidRPr="00E6482A">
              <w:rPr>
                <w:rFonts w:ascii="Times New Roman" w:hAnsi="Times New Roman" w:cs="Times New Roman"/>
              </w:rPr>
              <w:t xml:space="preserve">  </w:t>
            </w:r>
            <w:proofErr w:type="spellStart"/>
            <w:r w:rsidRPr="00E6482A">
              <w:rPr>
                <w:rFonts w:ascii="Times New Roman" w:hAnsi="Times New Roman" w:cs="Times New Roman"/>
              </w:rPr>
              <w:t>review</w:t>
            </w:r>
            <w:proofErr w:type="spellEnd"/>
          </w:p>
        </w:tc>
        <w:tc>
          <w:tcPr>
            <w:tcW w:w="2693" w:type="dxa"/>
            <w:tcBorders>
              <w:bottom w:val="single" w:sz="4" w:space="0" w:color="auto"/>
            </w:tcBorders>
          </w:tcPr>
          <w:p w:rsidR="002B1B96" w:rsidRPr="00E6482A" w:rsidRDefault="002B1B96" w:rsidP="00BE7D03">
            <w:pPr>
              <w:rPr>
                <w:rFonts w:ascii="Times New Roman" w:hAnsi="Times New Roman" w:cs="Times New Roman"/>
              </w:rPr>
            </w:pPr>
            <w:r w:rsidRPr="00E6482A">
              <w:rPr>
                <w:rFonts w:ascii="Times New Roman" w:hAnsi="Times New Roman" w:cs="Times New Roman"/>
              </w:rPr>
              <w:t>Czy możliwe „dane ratunkowe” (patrz. pkt.2)</w:t>
            </w:r>
          </w:p>
        </w:tc>
      </w:tr>
      <w:tr w:rsidR="002B1B96" w:rsidRPr="00E6482A" w:rsidTr="00BE7D03">
        <w:tc>
          <w:tcPr>
            <w:tcW w:w="1838" w:type="dxa"/>
            <w:vMerge w:val="restart"/>
          </w:tcPr>
          <w:p w:rsidR="002B1B96" w:rsidRPr="00E6482A" w:rsidRDefault="002B1B96" w:rsidP="00BE7D03">
            <w:pPr>
              <w:rPr>
                <w:rFonts w:ascii="Times New Roman" w:hAnsi="Times New Roman" w:cs="Times New Roman"/>
              </w:rPr>
            </w:pPr>
            <w:r w:rsidRPr="00E6482A">
              <w:rPr>
                <w:rFonts w:ascii="Times New Roman" w:hAnsi="Times New Roman" w:cs="Times New Roman"/>
              </w:rPr>
              <w:t>Substancja istniejąca</w:t>
            </w:r>
          </w:p>
        </w:tc>
        <w:tc>
          <w:tcPr>
            <w:tcW w:w="1353" w:type="dxa"/>
            <w:shd w:val="clear" w:color="auto" w:fill="auto"/>
          </w:tcPr>
          <w:p w:rsidR="002B1B96" w:rsidRPr="00E6482A" w:rsidRDefault="002B1B96" w:rsidP="00BE7D03">
            <w:pPr>
              <w:rPr>
                <w:rFonts w:ascii="Times New Roman" w:hAnsi="Times New Roman" w:cs="Times New Roman"/>
              </w:rPr>
            </w:pPr>
            <w:r w:rsidRPr="00E6482A">
              <w:rPr>
                <w:rFonts w:ascii="Times New Roman" w:hAnsi="Times New Roman" w:cs="Times New Roman"/>
              </w:rPr>
              <w:t>TAK</w:t>
            </w:r>
          </w:p>
        </w:tc>
        <w:tc>
          <w:tcPr>
            <w:tcW w:w="2439"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c>
          <w:tcPr>
            <w:tcW w:w="2693"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r>
      <w:tr w:rsidR="002B1B96" w:rsidRPr="00E6482A" w:rsidTr="00BE7D03">
        <w:tc>
          <w:tcPr>
            <w:tcW w:w="1838" w:type="dxa"/>
            <w:vMerge/>
          </w:tcPr>
          <w:p w:rsidR="002B1B96" w:rsidRPr="00E6482A" w:rsidRDefault="002B1B96" w:rsidP="00BE7D03">
            <w:pPr>
              <w:rPr>
                <w:rFonts w:ascii="Times New Roman" w:hAnsi="Times New Roman" w:cs="Times New Roman"/>
              </w:rPr>
            </w:pPr>
          </w:p>
        </w:tc>
        <w:tc>
          <w:tcPr>
            <w:tcW w:w="1353" w:type="dxa"/>
          </w:tcPr>
          <w:p w:rsidR="002B1B96" w:rsidRPr="00E6482A" w:rsidRDefault="002B1B96" w:rsidP="00BE7D03">
            <w:pPr>
              <w:rPr>
                <w:rFonts w:ascii="Times New Roman" w:hAnsi="Times New Roman" w:cs="Times New Roman"/>
              </w:rPr>
            </w:pPr>
            <w:r w:rsidRPr="00E6482A">
              <w:rPr>
                <w:rFonts w:ascii="Times New Roman" w:hAnsi="Times New Roman" w:cs="Times New Roman"/>
              </w:rPr>
              <w:t>NIE</w:t>
            </w:r>
          </w:p>
        </w:tc>
        <w:tc>
          <w:tcPr>
            <w:tcW w:w="2439" w:type="dxa"/>
            <w:shd w:val="clear" w:color="auto" w:fill="FF000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Nie</w:t>
            </w:r>
          </w:p>
        </w:tc>
        <w:tc>
          <w:tcPr>
            <w:tcW w:w="2693" w:type="dxa"/>
            <w:shd w:val="clear" w:color="auto" w:fill="FF000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Nie</w:t>
            </w:r>
          </w:p>
        </w:tc>
      </w:tr>
      <w:tr w:rsidR="002B1B96" w:rsidRPr="00E6482A" w:rsidTr="00BE7D03">
        <w:tc>
          <w:tcPr>
            <w:tcW w:w="1838" w:type="dxa"/>
            <w:vMerge w:val="restart"/>
          </w:tcPr>
          <w:p w:rsidR="002B1B96" w:rsidRPr="00E6482A" w:rsidRDefault="002B1B96" w:rsidP="00BE7D03">
            <w:pPr>
              <w:rPr>
                <w:rFonts w:ascii="Times New Roman" w:hAnsi="Times New Roman" w:cs="Times New Roman"/>
              </w:rPr>
            </w:pPr>
            <w:r w:rsidRPr="00E6482A">
              <w:rPr>
                <w:rFonts w:ascii="Times New Roman" w:hAnsi="Times New Roman" w:cs="Times New Roman"/>
              </w:rPr>
              <w:t>Substancja nowa</w:t>
            </w:r>
          </w:p>
        </w:tc>
        <w:tc>
          <w:tcPr>
            <w:tcW w:w="1353" w:type="dxa"/>
          </w:tcPr>
          <w:p w:rsidR="002B1B96" w:rsidRPr="00E6482A" w:rsidRDefault="002B1B96" w:rsidP="00BE7D03">
            <w:pPr>
              <w:rPr>
                <w:rFonts w:ascii="Times New Roman" w:hAnsi="Times New Roman" w:cs="Times New Roman"/>
              </w:rPr>
            </w:pPr>
            <w:r w:rsidRPr="00E6482A">
              <w:rPr>
                <w:rFonts w:ascii="Times New Roman" w:hAnsi="Times New Roman" w:cs="Times New Roman"/>
              </w:rPr>
              <w:t>TAK</w:t>
            </w:r>
          </w:p>
        </w:tc>
        <w:tc>
          <w:tcPr>
            <w:tcW w:w="2439"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c>
          <w:tcPr>
            <w:tcW w:w="2693"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r>
      <w:tr w:rsidR="002B1B96" w:rsidRPr="00E6482A" w:rsidTr="00BE7D03">
        <w:tc>
          <w:tcPr>
            <w:tcW w:w="1838" w:type="dxa"/>
            <w:vMerge/>
          </w:tcPr>
          <w:p w:rsidR="002B1B96" w:rsidRPr="00E6482A" w:rsidRDefault="002B1B96" w:rsidP="00BE7D03">
            <w:pPr>
              <w:rPr>
                <w:rFonts w:ascii="Times New Roman" w:hAnsi="Times New Roman" w:cs="Times New Roman"/>
              </w:rPr>
            </w:pPr>
          </w:p>
        </w:tc>
        <w:tc>
          <w:tcPr>
            <w:tcW w:w="1353" w:type="dxa"/>
          </w:tcPr>
          <w:p w:rsidR="002B1B96" w:rsidRPr="00E6482A" w:rsidRDefault="002B1B96" w:rsidP="00BE7D03">
            <w:pPr>
              <w:rPr>
                <w:rFonts w:ascii="Times New Roman" w:hAnsi="Times New Roman" w:cs="Times New Roman"/>
              </w:rPr>
            </w:pPr>
            <w:r w:rsidRPr="00E6482A">
              <w:rPr>
                <w:rFonts w:ascii="Times New Roman" w:hAnsi="Times New Roman" w:cs="Times New Roman"/>
              </w:rPr>
              <w:t>NIE</w:t>
            </w:r>
          </w:p>
        </w:tc>
        <w:tc>
          <w:tcPr>
            <w:tcW w:w="2439"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c>
          <w:tcPr>
            <w:tcW w:w="2693" w:type="dxa"/>
            <w:shd w:val="clear" w:color="auto" w:fill="00B050"/>
          </w:tcPr>
          <w:p w:rsidR="002B1B96" w:rsidRPr="00E6482A" w:rsidRDefault="002B1B96" w:rsidP="00BE7D03">
            <w:pPr>
              <w:jc w:val="center"/>
              <w:rPr>
                <w:rFonts w:ascii="Times New Roman" w:hAnsi="Times New Roman" w:cs="Times New Roman"/>
                <w:b/>
                <w:bCs/>
              </w:rPr>
            </w:pPr>
            <w:r w:rsidRPr="00E6482A">
              <w:rPr>
                <w:rFonts w:ascii="Times New Roman" w:hAnsi="Times New Roman" w:cs="Times New Roman"/>
                <w:b/>
                <w:bCs/>
              </w:rPr>
              <w:t>Tak</w:t>
            </w:r>
          </w:p>
        </w:tc>
      </w:tr>
    </w:tbl>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Ad. 2</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 xml:space="preserve">Dla substancjach dopuszczonych w Polsce (w przypadku tzw. substancji istniejących) oraz tzw. substancji nowych (niezależnie od tego czy są dopuszczone na terenie RP), w przypadku możliwego niezatwierdzenia/nieodnowienia zatwierdzenia substancji, wnioskodawcy proszeni są o przesyłanie do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ewentualnych zastrzeżeń względem wniosków EFSA z chwilą publikacji konkluzji Urzędu.  Przekazywanie stanowisk przez wnioskodawców możliwe jest również na wczesnych etapach prac Stałego Komitetu ds. Roślin, Zwierząt, Żywności i Pasz tj. z chwilą, gdy substancja czynna znajdzie się </w:t>
      </w:r>
      <w:r w:rsidRPr="00E6482A">
        <w:rPr>
          <w:rFonts w:ascii="Times New Roman" w:hAnsi="Times New Roman" w:cs="Times New Roman"/>
        </w:rPr>
        <w:br/>
        <w:t>w punktach A agendy spotkania</w:t>
      </w:r>
      <w:r w:rsidRPr="00E6482A">
        <w:rPr>
          <w:rFonts w:ascii="Times New Roman" w:hAnsi="Times New Roman" w:cs="Times New Roman"/>
          <w:vertAlign w:val="superscript"/>
        </w:rPr>
        <w:footnoteReference w:id="8"/>
      </w:r>
      <w:r w:rsidRPr="00E6482A">
        <w:rPr>
          <w:rFonts w:ascii="Times New Roman" w:hAnsi="Times New Roman" w:cs="Times New Roman"/>
        </w:rPr>
        <w:t xml:space="preserve">. Przesłanie zastrzeżeń na późniejszych etapach procedury np. dopiero z chwilą przedstawienia przez Komisję Europejską projektów aktów legislacyjnych, może okazać się zbyt późnym etapem i nie daje gwarancji wzięcia ich pod uwagę i rozpatrzenia przez Ministerstwo. </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Wnioskodawcy proszeni są o odniesienie się do wniosków EFSA (szczególnie: krytyczne obszary oceny /</w:t>
      </w:r>
      <w:proofErr w:type="spellStart"/>
      <w:r w:rsidRPr="00E6482A">
        <w:rPr>
          <w:rFonts w:ascii="Times New Roman" w:hAnsi="Times New Roman" w:cs="Times New Roman"/>
          <w:i/>
        </w:rPr>
        <w:t>critical</w:t>
      </w:r>
      <w:proofErr w:type="spellEnd"/>
      <w:r w:rsidRPr="00E6482A">
        <w:rPr>
          <w:rFonts w:ascii="Times New Roman" w:hAnsi="Times New Roman" w:cs="Times New Roman"/>
          <w:i/>
        </w:rPr>
        <w:t xml:space="preserve"> </w:t>
      </w:r>
      <w:proofErr w:type="spellStart"/>
      <w:r w:rsidRPr="00E6482A">
        <w:rPr>
          <w:rFonts w:ascii="Times New Roman" w:hAnsi="Times New Roman" w:cs="Times New Roman"/>
          <w:i/>
        </w:rPr>
        <w:t>areas</w:t>
      </w:r>
      <w:proofErr w:type="spellEnd"/>
      <w:r w:rsidRPr="00E6482A">
        <w:rPr>
          <w:rFonts w:ascii="Times New Roman" w:hAnsi="Times New Roman" w:cs="Times New Roman"/>
          <w:i/>
        </w:rPr>
        <w:t xml:space="preserve"> of </w:t>
      </w:r>
      <w:proofErr w:type="spellStart"/>
      <w:r w:rsidRPr="00E6482A">
        <w:rPr>
          <w:rFonts w:ascii="Times New Roman" w:hAnsi="Times New Roman" w:cs="Times New Roman"/>
          <w:i/>
        </w:rPr>
        <w:t>concern</w:t>
      </w:r>
      <w:proofErr w:type="spellEnd"/>
      <w:r w:rsidRPr="00E6482A">
        <w:rPr>
          <w:rFonts w:ascii="Times New Roman" w:hAnsi="Times New Roman" w:cs="Times New Roman"/>
        </w:rPr>
        <w:t>/ oraz kwestie niewyjaśnione /</w:t>
      </w:r>
      <w:proofErr w:type="spellStart"/>
      <w:r w:rsidRPr="00E6482A">
        <w:rPr>
          <w:rFonts w:ascii="Times New Roman" w:hAnsi="Times New Roman" w:cs="Times New Roman"/>
          <w:i/>
        </w:rPr>
        <w:t>issues</w:t>
      </w:r>
      <w:proofErr w:type="spellEnd"/>
      <w:r w:rsidRPr="00E6482A">
        <w:rPr>
          <w:rFonts w:ascii="Times New Roman" w:hAnsi="Times New Roman" w:cs="Times New Roman"/>
          <w:i/>
        </w:rPr>
        <w:t xml:space="preserve"> </w:t>
      </w:r>
      <w:proofErr w:type="spellStart"/>
      <w:r w:rsidRPr="00E6482A">
        <w:rPr>
          <w:rFonts w:ascii="Times New Roman" w:hAnsi="Times New Roman" w:cs="Times New Roman"/>
          <w:i/>
        </w:rPr>
        <w:t>that</w:t>
      </w:r>
      <w:proofErr w:type="spellEnd"/>
      <w:r w:rsidRPr="00E6482A">
        <w:rPr>
          <w:rFonts w:ascii="Times New Roman" w:hAnsi="Times New Roman" w:cs="Times New Roman"/>
          <w:i/>
        </w:rPr>
        <w:t xml:space="preserve"> </w:t>
      </w:r>
      <w:proofErr w:type="spellStart"/>
      <w:r w:rsidRPr="00E6482A">
        <w:rPr>
          <w:rFonts w:ascii="Times New Roman" w:hAnsi="Times New Roman" w:cs="Times New Roman"/>
          <w:i/>
        </w:rPr>
        <w:t>could</w:t>
      </w:r>
      <w:proofErr w:type="spellEnd"/>
      <w:r w:rsidRPr="00E6482A">
        <w:rPr>
          <w:rFonts w:ascii="Times New Roman" w:hAnsi="Times New Roman" w:cs="Times New Roman"/>
          <w:i/>
        </w:rPr>
        <w:t xml:space="preserve"> not be </w:t>
      </w:r>
      <w:proofErr w:type="spellStart"/>
      <w:r w:rsidRPr="00E6482A">
        <w:rPr>
          <w:rFonts w:ascii="Times New Roman" w:hAnsi="Times New Roman" w:cs="Times New Roman"/>
          <w:i/>
        </w:rPr>
        <w:t>finalized</w:t>
      </w:r>
      <w:proofErr w:type="spellEnd"/>
      <w:r w:rsidRPr="00E6482A">
        <w:rPr>
          <w:rFonts w:ascii="Times New Roman" w:hAnsi="Times New Roman" w:cs="Times New Roman"/>
        </w:rPr>
        <w:t xml:space="preserve">/), wskazując swoje zastrzeżenia i wątpliwości w zakresie sposobu przeprowadzenia oceny. W powyższym </w:t>
      </w:r>
      <w:r w:rsidRPr="00E6482A">
        <w:rPr>
          <w:rFonts w:ascii="Times New Roman" w:hAnsi="Times New Roman" w:cs="Times New Roman"/>
          <w:u w:val="single"/>
        </w:rPr>
        <w:t>postępowaniu brak jest możliwości oceny przez Polskę sprawozdań z badań, które nie podlegały ocenie na poziome UE.</w:t>
      </w:r>
      <w:r w:rsidRPr="00E6482A">
        <w:rPr>
          <w:rFonts w:ascii="Times New Roman" w:hAnsi="Times New Roman" w:cs="Times New Roman"/>
        </w:rPr>
        <w:t xml:space="preserve">  Prosimy również o wskazanie w przekazywanych materiałach informacji nt. istotności danej substancji w ochronie chemicznej upraw w Polsce. Prosimy w szczególności o wskazanie tych zastosowań, które w przypadku wycofania substancji pozostaną bez ochrony chemicznej lub ochrona ta nie będzie wystarczająca. Kwestie te są każdorazowo brane pod uwagę przez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przy podejmowaniu decyzji o aktywnym zaangażowaniu Ministerstwa w unijny proces legislacyjny. Ze względu na brak zasobów, zaangażowanie takie nie jest możliwe dla każdej molekuły. Należy przy tym zwrócić uwagę, że celem rozporządzenia Parlamentu Europejskiego </w:t>
      </w:r>
      <w:r>
        <w:rPr>
          <w:rFonts w:ascii="Times New Roman" w:hAnsi="Times New Roman" w:cs="Times New Roman"/>
        </w:rPr>
        <w:br/>
      </w:r>
      <w:r w:rsidRPr="00E6482A">
        <w:rPr>
          <w:rFonts w:ascii="Times New Roman" w:hAnsi="Times New Roman" w:cs="Times New Roman"/>
        </w:rPr>
        <w:t xml:space="preserve">i Rady 1107/2009 (WE) z dnia 21 października 2009 r. </w:t>
      </w:r>
      <w:r w:rsidRPr="00E6482A">
        <w:rPr>
          <w:rFonts w:ascii="Times New Roman" w:hAnsi="Times New Roman" w:cs="Times New Roman"/>
          <w:i/>
        </w:rPr>
        <w:t>dotyczącego wprowadzania do obrotu środków ochrony roślin i uchylającego dyrektywy Rady 79/117/EWG i 91/414/EWG</w:t>
      </w:r>
      <w:r w:rsidRPr="00E6482A">
        <w:rPr>
          <w:rFonts w:ascii="Times New Roman" w:hAnsi="Times New Roman" w:cs="Times New Roman"/>
        </w:rPr>
        <w:t xml:space="preserve"> (Dz. Urz. UE L 309 </w:t>
      </w:r>
      <w:r>
        <w:rPr>
          <w:rFonts w:ascii="Times New Roman" w:hAnsi="Times New Roman" w:cs="Times New Roman"/>
        </w:rPr>
        <w:br/>
      </w:r>
      <w:r w:rsidRPr="00E6482A">
        <w:rPr>
          <w:rFonts w:ascii="Times New Roman" w:hAnsi="Times New Roman" w:cs="Times New Roman"/>
        </w:rPr>
        <w:t xml:space="preserve">z 24.11.2009, str., z </w:t>
      </w:r>
      <w:proofErr w:type="spellStart"/>
      <w:r w:rsidRPr="00E6482A">
        <w:rPr>
          <w:rFonts w:ascii="Times New Roman" w:hAnsi="Times New Roman" w:cs="Times New Roman"/>
        </w:rPr>
        <w:t>późn</w:t>
      </w:r>
      <w:proofErr w:type="spellEnd"/>
      <w:r w:rsidRPr="00E6482A">
        <w:rPr>
          <w:rFonts w:ascii="Times New Roman" w:hAnsi="Times New Roman" w:cs="Times New Roman"/>
        </w:rPr>
        <w:t xml:space="preserve">. zm.) jak również spójnych z nim działaniami Ministerstwa jest przede wszystkim zapewnienie wysokiego poziomu ochrony zdrowia ludzi i zwierząt oraz środowiska, co jest kluczowe dla utrzymania wysokiego poziomu bezpieczeństwa polskiej żywności. </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Firmy tworzące grupę zadaniową (</w:t>
      </w:r>
      <w:proofErr w:type="spellStart"/>
      <w:r w:rsidRPr="00E6482A">
        <w:rPr>
          <w:rFonts w:ascii="Times New Roman" w:hAnsi="Times New Roman" w:cs="Times New Roman"/>
          <w:i/>
        </w:rPr>
        <w:t>task</w:t>
      </w:r>
      <w:proofErr w:type="spellEnd"/>
      <w:r w:rsidRPr="00E6482A">
        <w:rPr>
          <w:rFonts w:ascii="Times New Roman" w:hAnsi="Times New Roman" w:cs="Times New Roman"/>
          <w:i/>
        </w:rPr>
        <w:t xml:space="preserve"> </w:t>
      </w:r>
      <w:proofErr w:type="spellStart"/>
      <w:r w:rsidRPr="00E6482A">
        <w:rPr>
          <w:rFonts w:ascii="Times New Roman" w:hAnsi="Times New Roman" w:cs="Times New Roman"/>
          <w:i/>
        </w:rPr>
        <w:t>force</w:t>
      </w:r>
      <w:proofErr w:type="spellEnd"/>
      <w:r w:rsidRPr="00E6482A">
        <w:rPr>
          <w:rFonts w:ascii="Times New Roman" w:hAnsi="Times New Roman" w:cs="Times New Roman"/>
          <w:i/>
        </w:rPr>
        <w:t>)</w:t>
      </w:r>
      <w:r w:rsidRPr="00E6482A">
        <w:rPr>
          <w:rFonts w:ascii="Times New Roman" w:hAnsi="Times New Roman" w:cs="Times New Roman"/>
        </w:rPr>
        <w:t xml:space="preserve"> proszone są o przygotowanie jednego, wspólnego stanowiska/dokumentu. </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 xml:space="preserve">Dokumenty należy złożyć do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w formie jednego, spójnego pakietu danych w wersji papierowej lub za pośrednictwem </w:t>
      </w:r>
      <w:proofErr w:type="spellStart"/>
      <w:r w:rsidRPr="00E6482A">
        <w:rPr>
          <w:rFonts w:ascii="Times New Roman" w:hAnsi="Times New Roman" w:cs="Times New Roman"/>
        </w:rPr>
        <w:t>ePUAP</w:t>
      </w:r>
      <w:proofErr w:type="spellEnd"/>
      <w:r w:rsidRPr="00E6482A">
        <w:rPr>
          <w:rFonts w:ascii="Times New Roman" w:hAnsi="Times New Roman" w:cs="Times New Roman"/>
        </w:rPr>
        <w:t xml:space="preserve"> oraz dodatkowo przesłać na adres: </w:t>
      </w:r>
      <w:hyperlink r:id="rId7" w:history="1">
        <w:r w:rsidRPr="00E6482A">
          <w:rPr>
            <w:rStyle w:val="Hipercze"/>
            <w:rFonts w:ascii="Times New Roman" w:hAnsi="Times New Roman" w:cs="Times New Roman"/>
          </w:rPr>
          <w:t>aneta.choderska@minrol.gov.pl</w:t>
        </w:r>
      </w:hyperlink>
      <w:r w:rsidRPr="00E6482A">
        <w:rPr>
          <w:rFonts w:ascii="Times New Roman" w:hAnsi="Times New Roman" w:cs="Times New Roman"/>
        </w:rPr>
        <w:t xml:space="preserve">. Prosimy o nieprzesyłanie danych w kilku partiach. </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Przy przesyłaniu dokumentacji, prosimy również o wskazanie podmiotu upoważnionego, do którego zostanie przekazana ww. dokumentacja i który dokona naukowej, niezależnej oceny ww. danych i skonfrontowania argumentów wnioskodawcy z wnioskami EFSA/propozycją legislacyjną Komisji Europejskiej. W przypadku braku powyższej informacji, w wyniku wyboru dokonanego przez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dokumentacja zostanie przesłana do podmiotu upoważnionego, który sporządzał komentarze na etapie </w:t>
      </w:r>
      <w:r w:rsidRPr="00E6482A">
        <w:rPr>
          <w:rFonts w:ascii="Times New Roman" w:hAnsi="Times New Roman" w:cs="Times New Roman"/>
        </w:rPr>
        <w:lastRenderedPageBreak/>
        <w:t>komentowania DAR/</w:t>
      </w:r>
      <w:proofErr w:type="spellStart"/>
      <w:r w:rsidRPr="00E6482A">
        <w:rPr>
          <w:rFonts w:ascii="Times New Roman" w:hAnsi="Times New Roman" w:cs="Times New Roman"/>
        </w:rPr>
        <w:t>dRAR</w:t>
      </w:r>
      <w:proofErr w:type="spellEnd"/>
      <w:r w:rsidRPr="00E6482A">
        <w:rPr>
          <w:rFonts w:ascii="Times New Roman" w:hAnsi="Times New Roman" w:cs="Times New Roman"/>
        </w:rPr>
        <w:t xml:space="preserve">. Po wystąpieniu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do podmiotu upoważnionego o sporządzenie oceny tych danych, przesłanie przez wnioskodawcę innych dokumentów co do zasady nie jest możliwe. </w:t>
      </w:r>
    </w:p>
    <w:p w:rsidR="002B1B96" w:rsidRPr="00E6482A" w:rsidRDefault="002B1B96" w:rsidP="002B1B96">
      <w:pPr>
        <w:spacing w:before="240" w:after="0" w:line="288" w:lineRule="auto"/>
        <w:jc w:val="both"/>
        <w:rPr>
          <w:rFonts w:ascii="Times New Roman" w:hAnsi="Times New Roman" w:cs="Times New Roman"/>
        </w:rPr>
      </w:pPr>
      <w:r w:rsidRPr="00E6482A">
        <w:rPr>
          <w:rFonts w:ascii="Times New Roman" w:hAnsi="Times New Roman" w:cs="Times New Roman"/>
        </w:rPr>
        <w:t xml:space="preserve">W przypadku rewizji raportu naukowego EFSA i/lub projektów aktów legislacyjnych KE i wskazaniu </w:t>
      </w:r>
      <w:r w:rsidRPr="00E6482A">
        <w:rPr>
          <w:rFonts w:ascii="Times New Roman" w:hAnsi="Times New Roman" w:cs="Times New Roman"/>
        </w:rPr>
        <w:br/>
        <w:t xml:space="preserve">w nich nowych argumentów przemawiających za nieodnowieniem zatwierdzenia substancji,  których wnioskodawca nie miał możliwości wcześniej skomentować, dopuszczalne jest przekazanie do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w:t>
      </w:r>
    </w:p>
    <w:p w:rsidR="002B1B96" w:rsidRPr="00E6482A" w:rsidRDefault="002B1B96" w:rsidP="002B1B96">
      <w:pPr>
        <w:spacing w:after="0" w:line="288" w:lineRule="auto"/>
        <w:jc w:val="both"/>
        <w:rPr>
          <w:rFonts w:ascii="Times New Roman" w:hAnsi="Times New Roman" w:cs="Times New Roman"/>
        </w:rPr>
      </w:pPr>
      <w:r w:rsidRPr="00E6482A">
        <w:rPr>
          <w:rFonts w:ascii="Times New Roman" w:hAnsi="Times New Roman" w:cs="Times New Roman"/>
        </w:rPr>
        <w:t xml:space="preserve">(nie: bezpośrednio do podmiotu upoważnionego) w wersji papierowej lub za pośrednictwem </w:t>
      </w:r>
      <w:proofErr w:type="spellStart"/>
      <w:r w:rsidRPr="00E6482A">
        <w:rPr>
          <w:rFonts w:ascii="Times New Roman" w:hAnsi="Times New Roman" w:cs="Times New Roman"/>
        </w:rPr>
        <w:t>ePUAP</w:t>
      </w:r>
      <w:proofErr w:type="spellEnd"/>
      <w:r w:rsidRPr="00E6482A">
        <w:rPr>
          <w:rFonts w:ascii="Times New Roman" w:hAnsi="Times New Roman" w:cs="Times New Roman"/>
        </w:rPr>
        <w:t xml:space="preserve"> oraz dodatkowo na adres: </w:t>
      </w:r>
      <w:hyperlink r:id="rId8" w:history="1">
        <w:r w:rsidRPr="00E6482A">
          <w:rPr>
            <w:rStyle w:val="Hipercze"/>
            <w:rFonts w:ascii="Times New Roman" w:hAnsi="Times New Roman" w:cs="Times New Roman"/>
          </w:rPr>
          <w:t>aneta.choderska@minrol.gov.pl</w:t>
        </w:r>
      </w:hyperlink>
      <w:r w:rsidRPr="00E6482A">
        <w:rPr>
          <w:rFonts w:ascii="Times New Roman" w:hAnsi="Times New Roman" w:cs="Times New Roman"/>
        </w:rPr>
        <w:t xml:space="preserve"> stanowiska wnioskodawcy.</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Spotkania ekspertów z podmiotów upoważnionych z wnioskodawcami, z udziałem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są możliwe na wniosek ekspertów dokonujących oceny przedstawionych dokumentów. </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Ocena stanowiska wnioskodawcy, wykonana przez podmiot upoważniony udostępniania jest wnioskodawcom przez ten podmiot. Jej podstawą jest stwierdzenie, czy substancja spełnia kryteria, wskazane w art. 4 rozporządzenia nr 1107/2009, pozwalające na jej odnowienie/zatwierdzenie. Powyższe oznacza, że może dojść do sytuacji, w której po rozpatrzeniu argumentacji wnioskodawcy, ocena ekspertów (a w konsekwencji stanowisko Polski) wykaże, że substancja nie spełnia ww. kryteriów, w związku z powyższym nie może ona zostać (ponownie) zatwierdzona do stosowania w środkach ochrony roślin. W takim wypadku stanowisko Polski i ocena ekspertów może wzmacniać argumenty przemawiające za jej nieodnowieniem. </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Na jej podstawie, po jej wnikliwej analizie oraz możliwymi konsultacjami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z ekspertami </w:t>
      </w:r>
      <w:r>
        <w:rPr>
          <w:rFonts w:ascii="Times New Roman" w:hAnsi="Times New Roman" w:cs="Times New Roman"/>
        </w:rPr>
        <w:br/>
      </w:r>
      <w:r w:rsidRPr="00E6482A">
        <w:rPr>
          <w:rFonts w:ascii="Times New Roman" w:hAnsi="Times New Roman" w:cs="Times New Roman"/>
        </w:rPr>
        <w:t xml:space="preserve">w trybie roboczym, jest ona podstawą do opracowania przez Ministerstwo komentarzy Polski odnoszącymi się do raportu naukowego EFSA lub projektów aktów legislacyjnych KE (projekt raportu z przeglądu – draft </w:t>
      </w:r>
      <w:proofErr w:type="spellStart"/>
      <w:r w:rsidRPr="00E6482A">
        <w:rPr>
          <w:rFonts w:ascii="Times New Roman" w:hAnsi="Times New Roman" w:cs="Times New Roman"/>
        </w:rPr>
        <w:t>Review</w:t>
      </w:r>
      <w:proofErr w:type="spellEnd"/>
      <w:r w:rsidRPr="00E6482A">
        <w:rPr>
          <w:rFonts w:ascii="Times New Roman" w:hAnsi="Times New Roman" w:cs="Times New Roman"/>
        </w:rPr>
        <w:t xml:space="preserve"> report, projekt rozporządzenia wykonawczego KE). Komentarze te zawierają informacje, czy Polska podziela zastrzeżenia wskazane przez EFSA/KE oraz naukowe uzasadnienie, poparte merytoryczną oceną wykonaną przez podmiot upoważniony. Po uzyskaniu akceptacji przez nadzorującego Departament Klimatu i Środowiska podsekretarza Stanu oraz Radcę Generalnego,  przekazywane są one w trakcie procesu legislacyjnego w ramach </w:t>
      </w:r>
      <w:proofErr w:type="spellStart"/>
      <w:r w:rsidRPr="00E6482A">
        <w:rPr>
          <w:rFonts w:ascii="Times New Roman" w:hAnsi="Times New Roman" w:cs="Times New Roman"/>
        </w:rPr>
        <w:t>SCoPAFF</w:t>
      </w:r>
      <w:proofErr w:type="spellEnd"/>
      <w:r w:rsidRPr="00E6482A">
        <w:rPr>
          <w:rFonts w:ascii="Times New Roman" w:hAnsi="Times New Roman" w:cs="Times New Roman"/>
        </w:rPr>
        <w:t xml:space="preserve"> do Komisji Europejskiej oraz udostępniane krajom członkowskim za pośrednictwem platformy CIRCABC. Ze względu na fakt, że dokument ten opracowywany jest przez Ministerstwo najczęściej na wczesnych etapach procedury legislacyjnej, co do zasady nie zawiera on stanowiska Polski na głosowanie, lecz jedynie wskazuje kierunek, w którym w ocenie Polski prace te powinny być prowadzone. Komentarze te mogą zostać udostępnione wnioskodawcy przykładowo w trybie ustawy o dostępie do informacji publicznej.</w:t>
      </w:r>
    </w:p>
    <w:p w:rsidR="002B1B96" w:rsidRPr="00E6482A" w:rsidRDefault="002B1B96" w:rsidP="002B1B96">
      <w:pPr>
        <w:spacing w:before="120" w:after="0" w:line="288" w:lineRule="auto"/>
        <w:jc w:val="both"/>
        <w:rPr>
          <w:rFonts w:ascii="Times New Roman" w:hAnsi="Times New Roman" w:cs="Times New Roman"/>
        </w:rPr>
      </w:pPr>
      <w:r w:rsidRPr="00E6482A">
        <w:rPr>
          <w:rFonts w:ascii="Times New Roman" w:hAnsi="Times New Roman" w:cs="Times New Roman"/>
        </w:rPr>
        <w:t xml:space="preserve">Finalne stanowisko Polski odnoszące się do końcowej propozycji legislacyjnej KE opracowywane jest </w:t>
      </w:r>
      <w:r w:rsidRPr="00E6482A">
        <w:rPr>
          <w:rFonts w:ascii="Times New Roman" w:hAnsi="Times New Roman" w:cs="Times New Roman"/>
        </w:rPr>
        <w:br/>
        <w:t xml:space="preserve">w oparciu o wcześniejsze komentarze w dniach bezpośrednio poprzedzających głosowanie w ramach </w:t>
      </w:r>
      <w:proofErr w:type="spellStart"/>
      <w:r w:rsidRPr="00E6482A">
        <w:rPr>
          <w:rFonts w:ascii="Times New Roman" w:hAnsi="Times New Roman" w:cs="Times New Roman"/>
        </w:rPr>
        <w:t>SCoPAFF</w:t>
      </w:r>
      <w:proofErr w:type="spellEnd"/>
      <w:r w:rsidRPr="00E6482A">
        <w:rPr>
          <w:rFonts w:ascii="Times New Roman" w:hAnsi="Times New Roman" w:cs="Times New Roman"/>
        </w:rPr>
        <w:t xml:space="preserve">. Stanowisko to publikowane jest na stronie internetowej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w postaci skróconego sprawozdania z przebiegu obrad Stałego Komitetu ds. Roślin, Zwierząt, Żywności i Pasz i podawane do publicznej wiadomości w ramach informacji dot. zatwierdzania substancji czynnych  (Ministerstwo Rolnictwa i Rozwoju Wsi&gt;Co robimy&gt;Produkcja roślinna&gt; Ochrona roślin&gt; </w:t>
      </w:r>
      <w:hyperlink r:id="rId9" w:history="1">
        <w:r w:rsidRPr="00E6482A">
          <w:rPr>
            <w:rFonts w:ascii="Times New Roman" w:hAnsi="Times New Roman" w:cs="Times New Roman"/>
          </w:rPr>
          <w:t>Substancje czynne</w:t>
        </w:r>
      </w:hyperlink>
      <w:r w:rsidRPr="00E6482A">
        <w:rPr>
          <w:rFonts w:ascii="Times New Roman" w:hAnsi="Times New Roman" w:cs="Times New Roman"/>
        </w:rPr>
        <w:t xml:space="preserve">&gt; Aktualne informacje dotyczące zatwierdzania substancji czynnych </w:t>
      </w:r>
      <w:hyperlink r:id="rId10" w:history="1">
        <w:r w:rsidRPr="00E6482A">
          <w:rPr>
            <w:rStyle w:val="Hipercze"/>
            <w:rFonts w:ascii="Times New Roman" w:hAnsi="Times New Roman" w:cs="Times New Roman"/>
          </w:rPr>
          <w:t>https://www.gov.pl/web/rolnictwo/aktualne-informacje-dotyczace-zatwierdzania-substancji-czynnych</w:t>
        </w:r>
      </w:hyperlink>
      <w:r w:rsidRPr="00E6482A">
        <w:rPr>
          <w:rFonts w:ascii="Times New Roman" w:hAnsi="Times New Roman" w:cs="Times New Roman"/>
        </w:rPr>
        <w:t xml:space="preserve">). </w:t>
      </w:r>
    </w:p>
    <w:p w:rsidR="002B1B96" w:rsidRPr="00E6482A" w:rsidRDefault="002B1B96" w:rsidP="002B1B96">
      <w:pPr>
        <w:spacing w:before="120" w:line="288" w:lineRule="auto"/>
        <w:jc w:val="both"/>
        <w:rPr>
          <w:rFonts w:ascii="Times New Roman" w:hAnsi="Times New Roman" w:cs="Times New Roman"/>
        </w:rPr>
      </w:pPr>
      <w:r w:rsidRPr="00E6482A">
        <w:rPr>
          <w:rFonts w:ascii="Times New Roman" w:hAnsi="Times New Roman" w:cs="Times New Roman"/>
        </w:rPr>
        <w:t xml:space="preserve">Jeśli ocena danych potwierdzających bezpieczeństwo stosowania (tzw. </w:t>
      </w:r>
      <w:proofErr w:type="spellStart"/>
      <w:r w:rsidRPr="00E6482A">
        <w:rPr>
          <w:rFonts w:ascii="Times New Roman" w:hAnsi="Times New Roman" w:cs="Times New Roman"/>
          <w:i/>
        </w:rPr>
        <w:t>confirmatory</w:t>
      </w:r>
      <w:proofErr w:type="spellEnd"/>
      <w:r w:rsidRPr="00E6482A">
        <w:rPr>
          <w:rFonts w:ascii="Times New Roman" w:hAnsi="Times New Roman" w:cs="Times New Roman"/>
          <w:i/>
        </w:rPr>
        <w:t xml:space="preserve"> data</w:t>
      </w:r>
      <w:r w:rsidRPr="00E6482A">
        <w:rPr>
          <w:rFonts w:ascii="Times New Roman" w:hAnsi="Times New Roman" w:cs="Times New Roman"/>
        </w:rPr>
        <w:t xml:space="preserve">) lub projekty KE wskazują na możliwość znacznego ograniczenia stosowania danej substancji, wnioskodawcy proszeni są o informowanie na bieżąco </w:t>
      </w:r>
      <w:proofErr w:type="spellStart"/>
      <w:r w:rsidRPr="00E6482A">
        <w:rPr>
          <w:rFonts w:ascii="Times New Roman" w:hAnsi="Times New Roman" w:cs="Times New Roman"/>
        </w:rPr>
        <w:t>MRiRW</w:t>
      </w:r>
      <w:proofErr w:type="spellEnd"/>
      <w:r w:rsidRPr="00E6482A">
        <w:rPr>
          <w:rFonts w:ascii="Times New Roman" w:hAnsi="Times New Roman" w:cs="Times New Roman"/>
        </w:rPr>
        <w:t xml:space="preserve"> odnośnie kolejnych etapów procesu. Ze względu na </w:t>
      </w:r>
      <w:r w:rsidRPr="00E6482A">
        <w:rPr>
          <w:rFonts w:ascii="Times New Roman" w:hAnsi="Times New Roman" w:cs="Times New Roman"/>
        </w:rPr>
        <w:lastRenderedPageBreak/>
        <w:t xml:space="preserve">brak jednolitego podejścia krajów członkowskich w roli RMS, Ministerstwo nie zawsze otrzymuje powyższe informacje z poziomu EU. </w:t>
      </w:r>
    </w:p>
    <w:p w:rsidR="002B1B96" w:rsidRPr="00F360F7" w:rsidRDefault="002B1B96" w:rsidP="002B1B96">
      <w:pPr>
        <w:tabs>
          <w:tab w:val="right" w:pos="9072"/>
        </w:tabs>
        <w:spacing w:after="0" w:line="360" w:lineRule="auto"/>
        <w:ind w:left="567"/>
        <w:jc w:val="both"/>
        <w:rPr>
          <w:rFonts w:ascii="Times New Roman" w:hAnsi="Times New Roman" w:cs="Times New Roman"/>
        </w:rPr>
      </w:pPr>
    </w:p>
    <w:p w:rsidR="002B1B96" w:rsidRPr="00F360F7" w:rsidRDefault="002B1B96" w:rsidP="002B1B96">
      <w:pPr>
        <w:tabs>
          <w:tab w:val="right" w:pos="9072"/>
        </w:tabs>
        <w:spacing w:after="0" w:line="360" w:lineRule="auto"/>
        <w:ind w:left="567"/>
        <w:jc w:val="both"/>
        <w:rPr>
          <w:rFonts w:ascii="Times New Roman" w:hAnsi="Times New Roman" w:cs="Times New Roman"/>
        </w:rPr>
      </w:pPr>
    </w:p>
    <w:p w:rsidR="008D559A" w:rsidRDefault="008D559A">
      <w:bookmarkStart w:id="0" w:name="_GoBack"/>
      <w:bookmarkEnd w:id="0"/>
    </w:p>
    <w:sectPr w:rsidR="008D55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635" w:rsidRDefault="00E01635" w:rsidP="002B1B96">
      <w:pPr>
        <w:spacing w:after="0" w:line="240" w:lineRule="auto"/>
      </w:pPr>
      <w:r>
        <w:separator/>
      </w:r>
    </w:p>
  </w:endnote>
  <w:endnote w:type="continuationSeparator" w:id="0">
    <w:p w:rsidR="00E01635" w:rsidRDefault="00E01635" w:rsidP="002B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635" w:rsidRDefault="00E01635" w:rsidP="002B1B96">
      <w:pPr>
        <w:spacing w:after="0" w:line="240" w:lineRule="auto"/>
      </w:pPr>
      <w:r>
        <w:separator/>
      </w:r>
    </w:p>
  </w:footnote>
  <w:footnote w:type="continuationSeparator" w:id="0">
    <w:p w:rsidR="00E01635" w:rsidRDefault="00E01635" w:rsidP="002B1B96">
      <w:pPr>
        <w:spacing w:after="0" w:line="240" w:lineRule="auto"/>
      </w:pPr>
      <w:r>
        <w:continuationSeparator/>
      </w:r>
    </w:p>
  </w:footnote>
  <w:footnote w:id="1">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draft Assessment Report</w:t>
      </w:r>
    </w:p>
  </w:footnote>
  <w:footnote w:id="2">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draft Renewal Assessment Report</w:t>
      </w:r>
    </w:p>
  </w:footnote>
  <w:footnote w:id="3">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European Food Safety Authority – </w:t>
      </w:r>
      <w:proofErr w:type="spellStart"/>
      <w:r w:rsidRPr="00E6482A">
        <w:rPr>
          <w:rFonts w:ascii="Times New Roman" w:hAnsi="Times New Roman" w:cs="Times New Roman"/>
          <w:lang w:val="en-GB"/>
        </w:rPr>
        <w:t>Europejski</w:t>
      </w:r>
      <w:proofErr w:type="spellEnd"/>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Urząd</w:t>
      </w:r>
      <w:proofErr w:type="spellEnd"/>
      <w:r w:rsidRPr="00E6482A">
        <w:rPr>
          <w:rFonts w:ascii="Times New Roman" w:hAnsi="Times New Roman" w:cs="Times New Roman"/>
          <w:lang w:val="en-GB"/>
        </w:rPr>
        <w:t xml:space="preserve"> ds. </w:t>
      </w:r>
      <w:proofErr w:type="spellStart"/>
      <w:r w:rsidRPr="00E6482A">
        <w:rPr>
          <w:rFonts w:ascii="Times New Roman" w:hAnsi="Times New Roman" w:cs="Times New Roman"/>
          <w:lang w:val="en-GB"/>
        </w:rPr>
        <w:t>Bezpieczeństwa</w:t>
      </w:r>
      <w:proofErr w:type="spellEnd"/>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Żywności</w:t>
      </w:r>
      <w:proofErr w:type="spellEnd"/>
    </w:p>
  </w:footnote>
  <w:footnote w:id="4">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Pesticides Peer Review Experts' Meetings And Teleconferences</w:t>
      </w:r>
    </w:p>
  </w:footnote>
  <w:footnote w:id="5">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draft EFSA conclusion</w:t>
      </w:r>
    </w:p>
  </w:footnote>
  <w:footnote w:id="6">
    <w:p w:rsidR="002B1B96" w:rsidRPr="00E6482A" w:rsidRDefault="002B1B96" w:rsidP="002B1B96">
      <w:pPr>
        <w:pStyle w:val="Tekstprzypisudolnego"/>
        <w:rPr>
          <w:rFonts w:ascii="Times New Roman" w:hAnsi="Times New Roman" w:cs="Times New Roman"/>
          <w:lang w:val="en-GB"/>
        </w:rPr>
      </w:pPr>
      <w:r w:rsidRPr="00E6482A">
        <w:rPr>
          <w:rStyle w:val="Odwoanieprzypisudolnego"/>
          <w:rFonts w:ascii="Times New Roman" w:hAnsi="Times New Roman" w:cs="Times New Roman"/>
        </w:rPr>
        <w:footnoteRef/>
      </w:r>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państwo</w:t>
      </w:r>
      <w:proofErr w:type="spellEnd"/>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pełniące</w:t>
      </w:r>
      <w:proofErr w:type="spellEnd"/>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rolę</w:t>
      </w:r>
      <w:proofErr w:type="spellEnd"/>
      <w:r w:rsidRPr="00E6482A">
        <w:rPr>
          <w:rFonts w:ascii="Times New Roman" w:hAnsi="Times New Roman" w:cs="Times New Roman"/>
          <w:lang w:val="en-GB"/>
        </w:rPr>
        <w:t xml:space="preserve"> </w:t>
      </w:r>
      <w:proofErr w:type="spellStart"/>
      <w:r w:rsidRPr="00E6482A">
        <w:rPr>
          <w:rFonts w:ascii="Times New Roman" w:hAnsi="Times New Roman" w:cs="Times New Roman"/>
          <w:lang w:val="en-GB"/>
        </w:rPr>
        <w:t>sprawozdawcy</w:t>
      </w:r>
      <w:proofErr w:type="spellEnd"/>
      <w:r w:rsidRPr="00E6482A">
        <w:rPr>
          <w:rFonts w:ascii="Times New Roman" w:hAnsi="Times New Roman" w:cs="Times New Roman"/>
          <w:lang w:val="en-GB"/>
        </w:rPr>
        <w:t xml:space="preserve"> (Rapporteur Member State – RMS)</w:t>
      </w:r>
    </w:p>
  </w:footnote>
  <w:footnote w:id="7">
    <w:p w:rsidR="002B1B96" w:rsidRPr="00D448F9" w:rsidRDefault="002B1B96" w:rsidP="002B1B96">
      <w:pPr>
        <w:pStyle w:val="Default"/>
        <w:jc w:val="both"/>
        <w:rPr>
          <w:rFonts w:ascii="Calibri" w:hAnsi="Calibri"/>
          <w:sz w:val="20"/>
          <w:szCs w:val="20"/>
        </w:rPr>
      </w:pPr>
      <w:r w:rsidRPr="00E6482A">
        <w:rPr>
          <w:rStyle w:val="Odwoanieprzypisudolnego"/>
          <w:rFonts w:ascii="Times New Roman" w:hAnsi="Times New Roman" w:cs="Times New Roman"/>
          <w:sz w:val="20"/>
          <w:szCs w:val="20"/>
        </w:rPr>
        <w:footnoteRef/>
      </w:r>
      <w:r w:rsidRPr="00E6482A">
        <w:rPr>
          <w:rFonts w:ascii="Times New Roman" w:hAnsi="Times New Roman" w:cs="Times New Roman"/>
          <w:sz w:val="20"/>
          <w:szCs w:val="20"/>
        </w:rPr>
        <w:t xml:space="preserve"> Rozporządzenie Wykonawcze Komisji (UE) NR 844/2012 z dnia 18 września 2012 r. </w:t>
      </w:r>
      <w:r w:rsidRPr="00E6482A">
        <w:rPr>
          <w:rFonts w:ascii="Times New Roman" w:hAnsi="Times New Roman" w:cs="Times New Roman"/>
          <w:i/>
          <w:sz w:val="20"/>
          <w:szCs w:val="20"/>
        </w:rPr>
        <w:t>ustanawiające przepisy niezbędne do wprowadzenia w życie procedury odnowienia dotyczącej substancji czynnych, jak przewidziano</w:t>
      </w:r>
      <w:r w:rsidRPr="00D448F9">
        <w:rPr>
          <w:rFonts w:ascii="Calibri" w:hAnsi="Calibri"/>
          <w:i/>
          <w:sz w:val="20"/>
          <w:szCs w:val="20"/>
        </w:rPr>
        <w:t xml:space="preserve"> w rozporządzeniu Parlamentu Europejskiego i Rady (WE) nr 1107/2009 dotyczącym wprowadzania do obrotu środków ochrony roślin</w:t>
      </w:r>
      <w:r w:rsidRPr="00D448F9">
        <w:rPr>
          <w:rFonts w:ascii="Calibri" w:hAnsi="Calibri"/>
          <w:sz w:val="20"/>
          <w:szCs w:val="20"/>
        </w:rPr>
        <w:t xml:space="preserve"> (Dz.U UE L 252 str.26 z 19.9.2012)</w:t>
      </w:r>
    </w:p>
  </w:footnote>
  <w:footnote w:id="8">
    <w:p w:rsidR="002B1B96" w:rsidRPr="00E6482A" w:rsidRDefault="002B1B96" w:rsidP="002B1B96">
      <w:pPr>
        <w:pStyle w:val="Tekstprzypisudolnego"/>
        <w:rPr>
          <w:rFonts w:ascii="Times New Roman" w:hAnsi="Times New Roman" w:cs="Times New Roman"/>
        </w:rPr>
      </w:pPr>
      <w:r>
        <w:rPr>
          <w:rStyle w:val="Odwoanieprzypisudolnego"/>
        </w:rPr>
        <w:footnoteRef/>
      </w:r>
      <w:r>
        <w:t xml:space="preserve"> </w:t>
      </w:r>
      <w:r w:rsidRPr="00E6482A">
        <w:rPr>
          <w:rFonts w:ascii="Times New Roman" w:hAnsi="Times New Roman" w:cs="Times New Roman"/>
        </w:rPr>
        <w:t>Agendy spotkań publikowane są przez Komisję Europejską na stronie internetowej:</w:t>
      </w:r>
    </w:p>
    <w:p w:rsidR="002B1B96" w:rsidRPr="00E6482A" w:rsidRDefault="002B1B96" w:rsidP="002B1B96">
      <w:pPr>
        <w:pStyle w:val="Tekstprzypisudolnego"/>
        <w:rPr>
          <w:rFonts w:ascii="Times New Roman" w:hAnsi="Times New Roman" w:cs="Times New Roman"/>
        </w:rPr>
      </w:pPr>
      <w:r w:rsidRPr="00E6482A">
        <w:rPr>
          <w:rFonts w:ascii="Times New Roman" w:hAnsi="Times New Roman" w:cs="Times New Roman"/>
        </w:rPr>
        <w:t>https://ec.europa.eu/food/plant/standing_committees/sc_phytopharmaceuticals_en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2F4447"/>
    <w:multiLevelType w:val="hybridMultilevel"/>
    <w:tmpl w:val="516C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29"/>
    <w:rsid w:val="002B1B96"/>
    <w:rsid w:val="008D559A"/>
    <w:rsid w:val="00A27729"/>
    <w:rsid w:val="00E016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18BCF-63F8-4853-B78E-DCC7EFAE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B9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B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1B96"/>
    <w:pPr>
      <w:ind w:left="720"/>
      <w:contextualSpacing/>
    </w:pPr>
  </w:style>
  <w:style w:type="character" w:styleId="Hipercze">
    <w:name w:val="Hyperlink"/>
    <w:basedOn w:val="Domylnaczcionkaakapitu"/>
    <w:uiPriority w:val="99"/>
    <w:unhideWhenUsed/>
    <w:rsid w:val="002B1B96"/>
    <w:rPr>
      <w:color w:val="0563C1" w:themeColor="hyperlink"/>
      <w:u w:val="single"/>
    </w:rPr>
  </w:style>
  <w:style w:type="paragraph" w:styleId="Tekstprzypisudolnego">
    <w:name w:val="footnote text"/>
    <w:basedOn w:val="Normalny"/>
    <w:link w:val="TekstprzypisudolnegoZnak"/>
    <w:uiPriority w:val="99"/>
    <w:semiHidden/>
    <w:unhideWhenUsed/>
    <w:rsid w:val="002B1B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B96"/>
    <w:rPr>
      <w:sz w:val="20"/>
      <w:szCs w:val="20"/>
    </w:rPr>
  </w:style>
  <w:style w:type="character" w:styleId="Odwoanieprzypisudolnego">
    <w:name w:val="footnote reference"/>
    <w:basedOn w:val="Domylnaczcionkaakapitu"/>
    <w:uiPriority w:val="99"/>
    <w:semiHidden/>
    <w:unhideWhenUsed/>
    <w:rsid w:val="002B1B96"/>
    <w:rPr>
      <w:vertAlign w:val="superscript"/>
    </w:rPr>
  </w:style>
  <w:style w:type="paragraph" w:customStyle="1" w:styleId="Default">
    <w:name w:val="Default"/>
    <w:rsid w:val="002B1B96"/>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a.choderska@minrol.gov.pl" TargetMode="External"/><Relationship Id="rId3" Type="http://schemas.openxmlformats.org/officeDocument/2006/relationships/settings" Target="settings.xml"/><Relationship Id="rId7" Type="http://schemas.openxmlformats.org/officeDocument/2006/relationships/hyperlink" Target="mailto:aneta.choderska@minrol.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pl/web/rolnictwo/aktualne-informacje-dotyczace-zatwierdzania-substancji-czynnych" TargetMode="External"/><Relationship Id="rId4" Type="http://schemas.openxmlformats.org/officeDocument/2006/relationships/webSettings" Target="webSettings.xml"/><Relationship Id="rId9" Type="http://schemas.openxmlformats.org/officeDocument/2006/relationships/hyperlink" Target="https://www.gov.pl/web/rolnictwo/substancje-czyn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1471</Words>
  <Characters>8828</Characters>
  <Application>Microsoft Office Word</Application>
  <DocSecurity>0</DocSecurity>
  <Lines>73</Lines>
  <Paragraphs>20</Paragraphs>
  <ScaleCrop>false</ScaleCrop>
  <Company>MRiRW</Company>
  <LinksUpToDate>false</LinksUpToDate>
  <CharactersWithSpaces>10279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Choderska Aneta</dc:creator>
  <cp:keywords/>
  <dc:description/>
  <cp:lastModifiedBy>Choderska Aneta</cp:lastModifiedBy>
  <cp:revision>2</cp:revision>
  <dcterms:created xsi:type="dcterms:W3CDTF">2020-09-14T12:13:00Z</dcterms:created>
  <dcterms:modified xsi:type="dcterms:W3CDTF">2020-09-14T12:14:00Z</dcterms:modified>
</cp:coreProperties>
</file>