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E85C" w14:textId="29219B97" w:rsidR="00871E3B" w:rsidRDefault="00000000">
      <w:pPr>
        <w:spacing w:after="0" w:line="259" w:lineRule="auto"/>
        <w:ind w:left="403"/>
        <w:jc w:val="left"/>
      </w:pPr>
      <w:r>
        <w:rPr>
          <w:sz w:val="20"/>
        </w:rPr>
        <w:t xml:space="preserve">        </w:t>
      </w:r>
      <w:r>
        <w:t xml:space="preserve"> POWIATOWA STACJA SANITARNO-EPIDEMIOLOGICZNA W </w:t>
      </w:r>
      <w:r w:rsidR="007626D5">
        <w:t>ALEKSANDROWIE KUJAWSKIM</w:t>
      </w:r>
      <w:r>
        <w:t xml:space="preserve"> </w:t>
      </w:r>
    </w:p>
    <w:p w14:paraId="083AC460" w14:textId="77777777" w:rsidR="00871E3B" w:rsidRDefault="00000000">
      <w:pPr>
        <w:spacing w:after="0" w:line="259" w:lineRule="auto"/>
        <w:ind w:left="1290"/>
        <w:jc w:val="left"/>
      </w:pPr>
      <w:r>
        <w:t xml:space="preserve">________________________________________________________________________ </w:t>
      </w:r>
    </w:p>
    <w:p w14:paraId="518C5E22" w14:textId="77777777" w:rsidR="00871E3B" w:rsidRDefault="00000000">
      <w:pPr>
        <w:spacing w:after="0" w:line="259" w:lineRule="auto"/>
        <w:ind w:left="242" w:firstLine="0"/>
        <w:jc w:val="center"/>
      </w:pPr>
      <w:r>
        <w:rPr>
          <w:sz w:val="20"/>
        </w:rPr>
        <w:t xml:space="preserve"> </w:t>
      </w:r>
    </w:p>
    <w:p w14:paraId="11040E3A" w14:textId="77777777" w:rsidR="00871E3B" w:rsidRDefault="00000000">
      <w:pPr>
        <w:spacing w:after="30" w:line="259" w:lineRule="auto"/>
        <w:ind w:left="242" w:firstLine="0"/>
        <w:jc w:val="center"/>
      </w:pPr>
      <w:r>
        <w:rPr>
          <w:b/>
          <w:sz w:val="20"/>
        </w:rPr>
        <w:t xml:space="preserve"> </w:t>
      </w:r>
    </w:p>
    <w:p w14:paraId="63A292AC" w14:textId="77777777" w:rsidR="00871E3B" w:rsidRDefault="00000000">
      <w:pPr>
        <w:spacing w:after="2" w:line="259" w:lineRule="auto"/>
        <w:ind w:left="2326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OBSZAR PRODUKTÓW BIOBÓJCZYCH </w:t>
      </w:r>
    </w:p>
    <w:tbl>
      <w:tblPr>
        <w:tblStyle w:val="TableGrid"/>
        <w:tblW w:w="7923" w:type="dxa"/>
        <w:tblInd w:w="1998" w:type="dxa"/>
        <w:tblCellMar>
          <w:top w:w="86" w:type="dxa"/>
          <w:left w:w="104" w:type="dxa"/>
          <w:right w:w="93" w:type="dxa"/>
        </w:tblCellMar>
        <w:tblLook w:val="04A0" w:firstRow="1" w:lastRow="0" w:firstColumn="1" w:lastColumn="0" w:noHBand="0" w:noVBand="1"/>
      </w:tblPr>
      <w:tblGrid>
        <w:gridCol w:w="1453"/>
        <w:gridCol w:w="3032"/>
        <w:gridCol w:w="3438"/>
      </w:tblGrid>
      <w:tr w:rsidR="00871E3B" w14:paraId="63E55196" w14:textId="77777777">
        <w:trPr>
          <w:trHeight w:val="347"/>
        </w:trPr>
        <w:tc>
          <w:tcPr>
            <w:tcW w:w="7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EE1B4E3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Kontrola podmiotów wprowadzających do obrotu </w:t>
            </w:r>
          </w:p>
        </w:tc>
      </w:tr>
      <w:tr w:rsidR="00871E3B" w14:paraId="42D4CA87" w14:textId="77777777">
        <w:trPr>
          <w:trHeight w:val="646"/>
        </w:trPr>
        <w:tc>
          <w:tcPr>
            <w:tcW w:w="1453" w:type="dxa"/>
            <w:vMerge w:val="restart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F77E1B3" w14:textId="77777777" w:rsidR="00871E3B" w:rsidRDefault="00000000">
            <w:pPr>
              <w:spacing w:after="0" w:line="259" w:lineRule="auto"/>
              <w:ind w:left="0" w:firstLine="0"/>
            </w:pPr>
            <w:r>
              <w:t xml:space="preserve">Dokumenty  </w:t>
            </w: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51A73AE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produktu biobójczego, pozwolenie na obrót produktem biobójczym, dokumentacja rejestracyjna. </w:t>
            </w:r>
          </w:p>
        </w:tc>
      </w:tr>
      <w:tr w:rsidR="00871E3B" w14:paraId="3123E4C3" w14:textId="77777777">
        <w:trPr>
          <w:trHeight w:val="9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A8198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28FA9B48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dot. klasyfikacji i oznakowania, dokumentacja potwierdzająca dokonanie klasyfikacji zgodnie z rozporządzeniem CLP. </w:t>
            </w:r>
          </w:p>
        </w:tc>
      </w:tr>
      <w:tr w:rsidR="00871E3B" w14:paraId="2B41AC0E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0BCAE1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47302DC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Karty charakterystyki, etykiety i opakowania. </w:t>
            </w:r>
          </w:p>
        </w:tc>
      </w:tr>
      <w:tr w:rsidR="00871E3B" w14:paraId="46D955CD" w14:textId="77777777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271C7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E8386DA" w14:textId="77777777" w:rsidR="00871E3B" w:rsidRDefault="00000000">
            <w:pPr>
              <w:spacing w:after="0" w:line="259" w:lineRule="auto"/>
              <w:ind w:left="4" w:right="20" w:firstLine="0"/>
              <w:jc w:val="left"/>
            </w:pPr>
            <w:r>
              <w:t xml:space="preserve">Dokumentacja dot. łańcucha dostaw (potwierdzenie pochodzenia produktów oraz ich nabywców). </w:t>
            </w:r>
          </w:p>
        </w:tc>
      </w:tr>
      <w:tr w:rsidR="00871E3B" w14:paraId="4D4D0AC0" w14:textId="77777777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D0CECE"/>
              <w:right w:val="single" w:sz="4" w:space="0" w:color="000000"/>
            </w:tcBorders>
          </w:tcPr>
          <w:p w14:paraId="1ABD7603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71651113" w14:textId="77777777" w:rsidR="00871E3B" w:rsidRDefault="00000000">
            <w:pPr>
              <w:spacing w:after="0" w:line="259" w:lineRule="auto"/>
              <w:ind w:left="4" w:firstLine="0"/>
            </w:pPr>
            <w:r>
              <w:t xml:space="preserve">Dokumentacja dotycząca zgłoszeń PCN/UFI dla mieszanin stwarzających zagrożenie. </w:t>
            </w:r>
          </w:p>
        </w:tc>
      </w:tr>
      <w:tr w:rsidR="00871E3B" w14:paraId="2F05CC2B" w14:textId="77777777">
        <w:trPr>
          <w:trHeight w:val="349"/>
        </w:trPr>
        <w:tc>
          <w:tcPr>
            <w:tcW w:w="7923" w:type="dxa"/>
            <w:gridSpan w:val="3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FA2438A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Kontrola podmiotów w łańcuchu dostaw </w:t>
            </w:r>
          </w:p>
        </w:tc>
      </w:tr>
      <w:tr w:rsidR="00871E3B" w14:paraId="0EE57B93" w14:textId="77777777">
        <w:trPr>
          <w:trHeight w:val="646"/>
        </w:trPr>
        <w:tc>
          <w:tcPr>
            <w:tcW w:w="1453" w:type="dxa"/>
            <w:vMerge w:val="restart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C764898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Dokumenty </w:t>
            </w: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0CBA0D3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potwierdzająca asortyment sprzedawanych produktów biobójczych. </w:t>
            </w:r>
          </w:p>
        </w:tc>
      </w:tr>
      <w:tr w:rsidR="00871E3B" w14:paraId="1E94B7CC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D0CECE"/>
              <w:right w:val="single" w:sz="4" w:space="0" w:color="000000"/>
            </w:tcBorders>
          </w:tcPr>
          <w:p w14:paraId="14C25D5E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7F84A401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Karty charakterystyki produktów biobójczych. </w:t>
            </w:r>
          </w:p>
        </w:tc>
      </w:tr>
      <w:tr w:rsidR="00871E3B" w14:paraId="14DE64B7" w14:textId="77777777">
        <w:trPr>
          <w:trHeight w:val="943"/>
        </w:trPr>
        <w:tc>
          <w:tcPr>
            <w:tcW w:w="1453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4A5BC348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D5F8782" w14:textId="77777777" w:rsidR="00871E3B" w:rsidRDefault="00000000">
            <w:pPr>
              <w:spacing w:after="0" w:line="259" w:lineRule="auto"/>
              <w:ind w:left="4" w:right="8" w:firstLine="0"/>
              <w:jc w:val="left"/>
            </w:pPr>
            <w:r>
              <w:t xml:space="preserve">W przypadku produktów biobójczych przeznaczonych wyłącznie dla użytkownika profesjonalnego, procedury i dokumenty dotyczące weryfikacji jego nabywcy. </w:t>
            </w:r>
          </w:p>
        </w:tc>
      </w:tr>
      <w:tr w:rsidR="00871E3B" w14:paraId="4010D081" w14:textId="77777777">
        <w:trPr>
          <w:trHeight w:val="646"/>
        </w:trPr>
        <w:tc>
          <w:tcPr>
            <w:tcW w:w="1453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2CA75D5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C172C72" w14:textId="77777777" w:rsidR="00871E3B" w:rsidRDefault="00000000">
            <w:pPr>
              <w:spacing w:after="0" w:line="259" w:lineRule="auto"/>
              <w:ind w:left="4" w:right="20" w:firstLine="0"/>
              <w:jc w:val="left"/>
            </w:pPr>
            <w:r>
              <w:t xml:space="preserve">Dokumentacja dot. łańcucha dostaw (potwierdzenie pochodzenia produktów oraz ich nabywców). </w:t>
            </w:r>
          </w:p>
        </w:tc>
      </w:tr>
      <w:tr w:rsidR="00871E3B" w14:paraId="231994F2" w14:textId="77777777">
        <w:trPr>
          <w:trHeight w:val="348"/>
        </w:trPr>
        <w:tc>
          <w:tcPr>
            <w:tcW w:w="7923" w:type="dxa"/>
            <w:gridSpan w:val="3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01BBC74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Kontrola podmiotów stosujących w działalności zawodowej </w:t>
            </w:r>
          </w:p>
        </w:tc>
      </w:tr>
      <w:tr w:rsidR="00871E3B" w14:paraId="0A5C2E96" w14:textId="77777777">
        <w:trPr>
          <w:trHeight w:val="646"/>
        </w:trPr>
        <w:tc>
          <w:tcPr>
            <w:tcW w:w="1453" w:type="dxa"/>
            <w:vMerge w:val="restart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2773C37C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Dokumenty </w:t>
            </w: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F1F2F09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dotycząca rodzaju i sposobu stosowania produktów biobójczych w działalności zawodowej. </w:t>
            </w:r>
          </w:p>
        </w:tc>
      </w:tr>
      <w:tr w:rsidR="00871E3B" w14:paraId="2E3A1A7B" w14:textId="77777777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D0CECE"/>
              <w:right w:val="single" w:sz="4" w:space="0" w:color="000000"/>
            </w:tcBorders>
          </w:tcPr>
          <w:p w14:paraId="0D73DA75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70" w:type="dxa"/>
            <w:gridSpan w:val="2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0906331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potwierdzająca źródło nabycia produktów biobójczych. </w:t>
            </w:r>
          </w:p>
        </w:tc>
      </w:tr>
      <w:tr w:rsidR="00871E3B" w14:paraId="2DDF5C4E" w14:textId="77777777">
        <w:trPr>
          <w:trHeight w:val="348"/>
        </w:trPr>
        <w:tc>
          <w:tcPr>
            <w:tcW w:w="7923" w:type="dxa"/>
            <w:gridSpan w:val="3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616A5B2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Analiza ryzyka </w:t>
            </w:r>
          </w:p>
        </w:tc>
      </w:tr>
      <w:tr w:rsidR="00871E3B" w14:paraId="5F6E22CF" w14:textId="77777777">
        <w:trPr>
          <w:trHeight w:val="1224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E4F07A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Wysokie ryzyko 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EA77DA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Wyniki poprzednich kontroli: </w:t>
            </w:r>
          </w:p>
        </w:tc>
        <w:tc>
          <w:tcPr>
            <w:tcW w:w="3438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F049FAB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Stwierdzone wcześniej poważne uchybienia w zakresie przepisów dotyczących produktów biobójczych  </w:t>
            </w:r>
          </w:p>
        </w:tc>
      </w:tr>
    </w:tbl>
    <w:p w14:paraId="1F3A482D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EFAC2F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AAD45A4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5571C2" w14:textId="77777777" w:rsidR="00871E3B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5CF9D666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7A2E65C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F6C596C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B584760" w14:textId="7E184337" w:rsidR="00871E3B" w:rsidRDefault="00000000" w:rsidP="005651C6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7923" w:type="dxa"/>
        <w:tblInd w:w="1998" w:type="dxa"/>
        <w:tblCellMar>
          <w:top w:w="8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453"/>
        <w:gridCol w:w="3032"/>
        <w:gridCol w:w="3438"/>
      </w:tblGrid>
      <w:tr w:rsidR="00871E3B" w14:paraId="68EC970B" w14:textId="77777777">
        <w:trPr>
          <w:trHeight w:val="3568"/>
        </w:trPr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4B7040A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2C22EF7E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534A71FD" w14:textId="77777777" w:rsidR="00871E3B" w:rsidRDefault="00000000">
            <w:pPr>
              <w:spacing w:after="156" w:line="259" w:lineRule="auto"/>
              <w:ind w:left="0" w:firstLine="0"/>
              <w:jc w:val="left"/>
            </w:pPr>
            <w:r>
              <w:t xml:space="preserve"> </w:t>
            </w:r>
          </w:p>
          <w:p w14:paraId="6A03E01B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31B96CE9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3193FF36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15B288EC" w14:textId="77777777" w:rsidR="00871E3B" w:rsidRDefault="00000000">
            <w:pPr>
              <w:spacing w:after="156" w:line="259" w:lineRule="auto"/>
              <w:ind w:left="0" w:firstLine="0"/>
              <w:jc w:val="left"/>
            </w:pPr>
            <w:r>
              <w:t xml:space="preserve"> </w:t>
            </w:r>
          </w:p>
          <w:p w14:paraId="7D3B7217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6C94CA93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232C4ABC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753BE656" w14:textId="77777777" w:rsidR="00871E3B" w:rsidRDefault="00000000">
            <w:pPr>
              <w:spacing w:after="156" w:line="259" w:lineRule="auto"/>
              <w:ind w:left="0" w:firstLine="0"/>
              <w:jc w:val="left"/>
            </w:pPr>
            <w:r>
              <w:t xml:space="preserve"> </w:t>
            </w:r>
          </w:p>
          <w:p w14:paraId="16005B7E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26C2BA21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176B5729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0BFB8B33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4C17EC0F" w14:textId="77777777" w:rsidR="00871E3B" w:rsidRDefault="00000000">
            <w:pPr>
              <w:spacing w:after="156" w:line="259" w:lineRule="auto"/>
              <w:ind w:left="0" w:firstLine="0"/>
              <w:jc w:val="left"/>
            </w:pPr>
            <w:r>
              <w:t xml:space="preserve"> </w:t>
            </w:r>
          </w:p>
          <w:p w14:paraId="4CC7CEB2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285154F0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53343F99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1678A434" w14:textId="77777777" w:rsidR="00871E3B" w:rsidRDefault="00000000">
            <w:pPr>
              <w:spacing w:after="156" w:line="259" w:lineRule="auto"/>
              <w:ind w:left="0" w:firstLine="0"/>
              <w:jc w:val="left"/>
            </w:pPr>
            <w:r>
              <w:t xml:space="preserve"> </w:t>
            </w:r>
          </w:p>
          <w:p w14:paraId="2D402DA4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1223C2C0" w14:textId="77777777" w:rsidR="00871E3B" w:rsidRDefault="00000000">
            <w:pPr>
              <w:spacing w:after="158" w:line="259" w:lineRule="auto"/>
              <w:ind w:left="0" w:firstLine="0"/>
              <w:jc w:val="left"/>
            </w:pPr>
            <w:r>
              <w:t xml:space="preserve"> </w:t>
            </w:r>
          </w:p>
          <w:p w14:paraId="00F2EEE2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C3113F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07959C2" w14:textId="77777777" w:rsidR="00871E3B" w:rsidRDefault="00000000">
            <w:pPr>
              <w:spacing w:after="240" w:line="234" w:lineRule="auto"/>
              <w:ind w:left="4" w:right="39" w:firstLine="0"/>
              <w:jc w:val="left"/>
            </w:pPr>
            <w:r>
              <w:t xml:space="preserve">-udostępniania na rynku produktu biobójczego bez pozwolenia lub zawierającego substancje czynną nie znajdującą się w wykazie, o którym mowa w art. 95 rozporządzenia BPR. </w:t>
            </w:r>
          </w:p>
          <w:p w14:paraId="1A752B79" w14:textId="77777777" w:rsidR="00871E3B" w:rsidRDefault="00000000">
            <w:pPr>
              <w:spacing w:after="242" w:line="234" w:lineRule="auto"/>
              <w:ind w:left="4" w:firstLine="0"/>
              <w:jc w:val="left"/>
            </w:pPr>
            <w:r>
              <w:t xml:space="preserve">Nieterminowe realizowanie zaleceń z poprzednich kontroli.  </w:t>
            </w:r>
          </w:p>
          <w:p w14:paraId="1C1190CC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Unikanie i celowe utrudnianie kontroli. </w:t>
            </w:r>
          </w:p>
        </w:tc>
      </w:tr>
      <w:tr w:rsidR="00871E3B" w14:paraId="5186FAE8" w14:textId="77777777">
        <w:trPr>
          <w:trHeight w:val="3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B7AA4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14CCE7A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43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A9A038D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71E3B" w14:paraId="51BA88BD" w14:textId="77777777">
        <w:trPr>
          <w:trHeight w:val="38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8972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29BB39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 oraz informacje od innych organów: </w:t>
            </w:r>
          </w:p>
        </w:tc>
        <w:tc>
          <w:tcPr>
            <w:tcW w:w="3438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C004743" w14:textId="77777777" w:rsidR="00871E3B" w:rsidRDefault="00000000">
            <w:pPr>
              <w:spacing w:after="0" w:line="259" w:lineRule="auto"/>
              <w:ind w:left="4" w:right="39" w:firstLine="0"/>
              <w:jc w:val="left"/>
            </w:pPr>
            <w:r>
              <w:t xml:space="preserve">Liczne interwencje konsumenckie lub informacje od innych organów w zakresie naruszenia przepisów dotyczących produktów biobójczych - udostępniania na rynku produktu biobójczego bez pozwolenia lub zawierającego substancje czynną nie znajdującą się w wykazie, o którym mowa w art. 95 rozporządzenia BPR. </w:t>
            </w:r>
          </w:p>
        </w:tc>
      </w:tr>
    </w:tbl>
    <w:p w14:paraId="36ABDF7B" w14:textId="721929D1" w:rsidR="00871E3B" w:rsidRDefault="00871E3B">
      <w:pPr>
        <w:spacing w:after="0" w:line="259" w:lineRule="auto"/>
        <w:ind w:left="679" w:firstLine="0"/>
        <w:jc w:val="left"/>
      </w:pPr>
    </w:p>
    <w:p w14:paraId="34DDCADF" w14:textId="77777777" w:rsidR="005651C6" w:rsidRDefault="005651C6">
      <w:pPr>
        <w:spacing w:after="0" w:line="259" w:lineRule="auto"/>
        <w:ind w:left="679" w:firstLine="0"/>
        <w:jc w:val="left"/>
      </w:pPr>
    </w:p>
    <w:p w14:paraId="4CA22A2A" w14:textId="77777777" w:rsidR="005651C6" w:rsidRDefault="005651C6">
      <w:pPr>
        <w:spacing w:after="0" w:line="259" w:lineRule="auto"/>
        <w:ind w:left="679" w:firstLine="0"/>
        <w:jc w:val="left"/>
      </w:pPr>
    </w:p>
    <w:p w14:paraId="02C0FCCB" w14:textId="77777777" w:rsidR="005651C6" w:rsidRDefault="005651C6">
      <w:pPr>
        <w:spacing w:after="0" w:line="259" w:lineRule="auto"/>
        <w:ind w:left="679" w:firstLine="0"/>
        <w:jc w:val="left"/>
      </w:pPr>
    </w:p>
    <w:p w14:paraId="070B4579" w14:textId="77777777" w:rsidR="005651C6" w:rsidRDefault="005651C6">
      <w:pPr>
        <w:spacing w:after="0" w:line="259" w:lineRule="auto"/>
        <w:ind w:left="679" w:firstLine="0"/>
        <w:jc w:val="left"/>
      </w:pPr>
    </w:p>
    <w:p w14:paraId="5D882431" w14:textId="77777777" w:rsidR="005651C6" w:rsidRDefault="005651C6">
      <w:pPr>
        <w:spacing w:after="0" w:line="259" w:lineRule="auto"/>
        <w:ind w:left="679" w:firstLine="0"/>
        <w:jc w:val="left"/>
      </w:pPr>
    </w:p>
    <w:p w14:paraId="43E82052" w14:textId="77777777" w:rsidR="005651C6" w:rsidRDefault="005651C6">
      <w:pPr>
        <w:spacing w:after="0" w:line="259" w:lineRule="auto"/>
        <w:ind w:left="679" w:firstLine="0"/>
        <w:jc w:val="left"/>
      </w:pPr>
    </w:p>
    <w:p w14:paraId="40765C5B" w14:textId="77777777" w:rsidR="005651C6" w:rsidRDefault="005651C6">
      <w:pPr>
        <w:spacing w:after="0" w:line="259" w:lineRule="auto"/>
        <w:ind w:left="679" w:firstLine="0"/>
        <w:jc w:val="left"/>
      </w:pPr>
    </w:p>
    <w:p w14:paraId="0718D9D3" w14:textId="77777777" w:rsidR="005651C6" w:rsidRDefault="005651C6">
      <w:pPr>
        <w:spacing w:after="0" w:line="259" w:lineRule="auto"/>
        <w:ind w:left="679" w:firstLine="0"/>
        <w:jc w:val="left"/>
      </w:pPr>
    </w:p>
    <w:p w14:paraId="5D712CCB" w14:textId="77777777" w:rsidR="005651C6" w:rsidRDefault="005651C6">
      <w:pPr>
        <w:spacing w:after="0" w:line="259" w:lineRule="auto"/>
        <w:ind w:left="679" w:firstLine="0"/>
        <w:jc w:val="left"/>
      </w:pPr>
    </w:p>
    <w:p w14:paraId="258AC801" w14:textId="77777777" w:rsidR="005651C6" w:rsidRDefault="005651C6">
      <w:pPr>
        <w:spacing w:after="0" w:line="259" w:lineRule="auto"/>
        <w:ind w:left="679" w:firstLine="0"/>
        <w:jc w:val="left"/>
      </w:pPr>
    </w:p>
    <w:tbl>
      <w:tblPr>
        <w:tblStyle w:val="TableGrid"/>
        <w:tblW w:w="7923" w:type="dxa"/>
        <w:tblInd w:w="1998" w:type="dxa"/>
        <w:tblCellMar>
          <w:top w:w="83" w:type="dxa"/>
          <w:left w:w="104" w:type="dxa"/>
          <w:right w:w="39" w:type="dxa"/>
        </w:tblCellMar>
        <w:tblLook w:val="04A0" w:firstRow="1" w:lastRow="0" w:firstColumn="1" w:lastColumn="0" w:noHBand="0" w:noVBand="1"/>
      </w:tblPr>
      <w:tblGrid>
        <w:gridCol w:w="1453"/>
        <w:gridCol w:w="3032"/>
        <w:gridCol w:w="3438"/>
      </w:tblGrid>
      <w:tr w:rsidR="00871E3B" w14:paraId="1D856951" w14:textId="77777777">
        <w:trPr>
          <w:trHeight w:val="848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AA94108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Średnie ryzyko 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30B775" w14:textId="77777777" w:rsidR="00871E3B" w:rsidRDefault="00000000">
            <w:pPr>
              <w:spacing w:after="0" w:line="259" w:lineRule="auto"/>
              <w:ind w:left="4" w:right="48" w:firstLine="0"/>
              <w:jc w:val="left"/>
            </w:pPr>
            <w:r>
              <w:t xml:space="preserve">Wyniki poprzednich kontroli: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9FADE8B" w14:textId="77777777" w:rsidR="00871E3B" w:rsidRDefault="00000000">
            <w:pPr>
              <w:spacing w:line="234" w:lineRule="auto"/>
              <w:ind w:left="4" w:firstLine="0"/>
              <w:jc w:val="left"/>
            </w:pPr>
            <w:r>
              <w:t xml:space="preserve">Stwierdzone wcześniej uchybienia w zakresie przepisów ustawy o produktach biobójczych opisanych w art. 46 ust. 1 pkt 1-7 oraz ust. 2  </w:t>
            </w:r>
          </w:p>
          <w:p w14:paraId="38384892" w14:textId="77777777" w:rsidR="00871E3B" w:rsidRDefault="00000000">
            <w:pPr>
              <w:numPr>
                <w:ilvl w:val="0"/>
                <w:numId w:val="5"/>
              </w:numPr>
              <w:spacing w:after="26" w:line="236" w:lineRule="auto"/>
              <w:ind w:hanging="360"/>
              <w:jc w:val="left"/>
            </w:pPr>
            <w:r>
              <w:t xml:space="preserve">wprowadzania do obrotu produktu biobójczego nieopakowanego lub nieoznakowanego zgodnie z rozporządzeniem BPR (art. 69) lub ustawą o produktach  biobójczych (art. 31-33); </w:t>
            </w:r>
          </w:p>
          <w:p w14:paraId="6244ED37" w14:textId="77777777" w:rsidR="00871E3B" w:rsidRDefault="00000000">
            <w:pPr>
              <w:numPr>
                <w:ilvl w:val="0"/>
                <w:numId w:val="5"/>
              </w:numPr>
              <w:spacing w:after="0" w:line="257" w:lineRule="auto"/>
              <w:ind w:hanging="360"/>
              <w:jc w:val="left"/>
            </w:pPr>
            <w:r>
              <w:t xml:space="preserve">reklamowania produktu  biobójczego niezgodnie z  przepisami rozporządzenia </w:t>
            </w:r>
          </w:p>
          <w:p w14:paraId="094D5191" w14:textId="77777777" w:rsidR="00871E3B" w:rsidRDefault="00000000">
            <w:pPr>
              <w:spacing w:after="0" w:line="259" w:lineRule="auto"/>
              <w:ind w:left="364" w:firstLine="0"/>
              <w:jc w:val="left"/>
            </w:pPr>
            <w:r>
              <w:t xml:space="preserve">BPR  </w:t>
            </w:r>
          </w:p>
          <w:p w14:paraId="763EE171" w14:textId="77777777" w:rsidR="00871E3B" w:rsidRDefault="00000000">
            <w:pPr>
              <w:spacing w:after="0" w:line="259" w:lineRule="auto"/>
              <w:ind w:left="364" w:firstLine="0"/>
              <w:jc w:val="left"/>
            </w:pPr>
            <w:r>
              <w:t xml:space="preserve">(art. 72); </w:t>
            </w:r>
          </w:p>
          <w:p w14:paraId="655BADF9" w14:textId="77777777" w:rsidR="00871E3B" w:rsidRDefault="00000000">
            <w:pPr>
              <w:numPr>
                <w:ilvl w:val="0"/>
                <w:numId w:val="5"/>
              </w:numPr>
              <w:spacing w:after="0" w:line="237" w:lineRule="auto"/>
              <w:ind w:hanging="360"/>
              <w:jc w:val="left"/>
            </w:pPr>
            <w:r>
              <w:t xml:space="preserve">nieprzechowywania w  odniesieniu do procesu produkcji odpowiedniej dokumentacji lub  nieprzechowywania próbek serii produkcyjnych produktu biobójczego zgodnie z rozporządzeniem BPR (art. </w:t>
            </w:r>
          </w:p>
          <w:p w14:paraId="092E2877" w14:textId="77777777" w:rsidR="00871E3B" w:rsidRDefault="00000000">
            <w:pPr>
              <w:spacing w:after="0" w:line="259" w:lineRule="auto"/>
              <w:ind w:left="364" w:firstLine="0"/>
              <w:jc w:val="left"/>
            </w:pPr>
            <w:r>
              <w:t xml:space="preserve">65 ust. 2); </w:t>
            </w:r>
          </w:p>
          <w:p w14:paraId="4AD30C23" w14:textId="77777777" w:rsidR="00871E3B" w:rsidRDefault="00000000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t xml:space="preserve">udostępniania na rynku produktu biobójczego zawierającego informacje niezgodne z zatwierdzonym  </w:t>
            </w:r>
          </w:p>
        </w:tc>
      </w:tr>
    </w:tbl>
    <w:p w14:paraId="222610A9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D267243" w14:textId="77777777" w:rsidR="005651C6" w:rsidRDefault="005651C6">
      <w:pPr>
        <w:spacing w:after="0" w:line="259" w:lineRule="auto"/>
        <w:ind w:left="0" w:firstLine="0"/>
        <w:jc w:val="left"/>
      </w:pPr>
    </w:p>
    <w:p w14:paraId="1501982C" w14:textId="77777777" w:rsidR="005651C6" w:rsidRDefault="005651C6">
      <w:pPr>
        <w:spacing w:after="0" w:line="259" w:lineRule="auto"/>
        <w:ind w:left="0" w:firstLine="0"/>
        <w:jc w:val="left"/>
      </w:pPr>
    </w:p>
    <w:p w14:paraId="615F1BAD" w14:textId="77777777" w:rsidR="005651C6" w:rsidRDefault="005651C6">
      <w:pPr>
        <w:spacing w:after="0" w:line="259" w:lineRule="auto"/>
        <w:ind w:left="0" w:firstLine="0"/>
        <w:jc w:val="left"/>
      </w:pPr>
    </w:p>
    <w:p w14:paraId="0BB4B629" w14:textId="77777777" w:rsidR="005651C6" w:rsidRDefault="005651C6">
      <w:pPr>
        <w:spacing w:after="0" w:line="259" w:lineRule="auto"/>
        <w:ind w:left="0" w:firstLine="0"/>
        <w:jc w:val="left"/>
      </w:pPr>
    </w:p>
    <w:p w14:paraId="244F94A6" w14:textId="77777777" w:rsidR="005651C6" w:rsidRDefault="005651C6">
      <w:pPr>
        <w:spacing w:after="0" w:line="259" w:lineRule="auto"/>
        <w:ind w:left="0" w:firstLine="0"/>
        <w:jc w:val="left"/>
      </w:pPr>
    </w:p>
    <w:p w14:paraId="3CE6485C" w14:textId="77777777" w:rsidR="005651C6" w:rsidRDefault="005651C6">
      <w:pPr>
        <w:spacing w:after="0" w:line="259" w:lineRule="auto"/>
        <w:ind w:left="0" w:firstLine="0"/>
        <w:jc w:val="left"/>
      </w:pPr>
    </w:p>
    <w:p w14:paraId="737F5FEC" w14:textId="77777777" w:rsidR="005651C6" w:rsidRDefault="005651C6">
      <w:pPr>
        <w:spacing w:after="0" w:line="259" w:lineRule="auto"/>
        <w:ind w:left="0" w:firstLine="0"/>
        <w:jc w:val="left"/>
      </w:pPr>
    </w:p>
    <w:p w14:paraId="431CA447" w14:textId="77777777" w:rsidR="005651C6" w:rsidRDefault="005651C6">
      <w:pPr>
        <w:spacing w:after="0" w:line="259" w:lineRule="auto"/>
        <w:ind w:left="0" w:firstLine="0"/>
        <w:jc w:val="left"/>
      </w:pPr>
    </w:p>
    <w:p w14:paraId="238CB15A" w14:textId="77777777" w:rsidR="005651C6" w:rsidRDefault="005651C6">
      <w:pPr>
        <w:spacing w:after="0" w:line="259" w:lineRule="auto"/>
        <w:ind w:left="0" w:firstLine="0"/>
        <w:jc w:val="left"/>
      </w:pPr>
    </w:p>
    <w:p w14:paraId="2F2E0366" w14:textId="77777777" w:rsidR="005651C6" w:rsidRDefault="005651C6">
      <w:pPr>
        <w:spacing w:after="0" w:line="259" w:lineRule="auto"/>
        <w:ind w:left="0" w:firstLine="0"/>
        <w:jc w:val="left"/>
      </w:pPr>
    </w:p>
    <w:p w14:paraId="5DD70562" w14:textId="77777777" w:rsidR="005651C6" w:rsidRDefault="005651C6">
      <w:pPr>
        <w:spacing w:after="0" w:line="259" w:lineRule="auto"/>
        <w:ind w:left="0" w:firstLine="0"/>
        <w:jc w:val="left"/>
      </w:pPr>
    </w:p>
    <w:p w14:paraId="3692FDB3" w14:textId="77777777" w:rsidR="005651C6" w:rsidRDefault="005651C6">
      <w:pPr>
        <w:spacing w:after="0" w:line="259" w:lineRule="auto"/>
        <w:ind w:left="0" w:firstLine="0"/>
        <w:jc w:val="left"/>
      </w:pPr>
    </w:p>
    <w:p w14:paraId="7D00BAF0" w14:textId="77777777" w:rsidR="005651C6" w:rsidRDefault="005651C6">
      <w:pPr>
        <w:spacing w:after="0" w:line="259" w:lineRule="auto"/>
        <w:ind w:left="0" w:firstLine="0"/>
        <w:jc w:val="left"/>
      </w:pPr>
    </w:p>
    <w:p w14:paraId="356DD356" w14:textId="77777777" w:rsidR="005651C6" w:rsidRDefault="005651C6">
      <w:pPr>
        <w:spacing w:after="0" w:line="259" w:lineRule="auto"/>
        <w:ind w:left="0" w:firstLine="0"/>
        <w:jc w:val="left"/>
      </w:pPr>
    </w:p>
    <w:p w14:paraId="36EFD40A" w14:textId="77777777" w:rsidR="005651C6" w:rsidRDefault="005651C6">
      <w:pPr>
        <w:spacing w:after="0" w:line="259" w:lineRule="auto"/>
        <w:ind w:left="0" w:firstLine="0"/>
        <w:jc w:val="left"/>
      </w:pPr>
    </w:p>
    <w:tbl>
      <w:tblPr>
        <w:tblStyle w:val="TableGrid"/>
        <w:tblW w:w="7923" w:type="dxa"/>
        <w:tblInd w:w="1998" w:type="dxa"/>
        <w:tblCellMar>
          <w:top w:w="30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3032"/>
        <w:gridCol w:w="468"/>
        <w:gridCol w:w="2969"/>
      </w:tblGrid>
      <w:tr w:rsidR="00871E3B" w14:paraId="142F12D1" w14:textId="77777777">
        <w:trPr>
          <w:trHeight w:val="873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2959DAC5" w14:textId="77777777" w:rsidR="00871E3B" w:rsidRDefault="00000000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772A73F5" w14:textId="77777777" w:rsidR="00871E3B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32AF6748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/>
          </w:tcPr>
          <w:p w14:paraId="0E19F094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oznakowaniem wprowadzonego do obrotu produktu biobójczego; </w:t>
            </w:r>
          </w:p>
        </w:tc>
      </w:tr>
      <w:tr w:rsidR="00871E3B" w14:paraId="60ACC438" w14:textId="77777777">
        <w:trPr>
          <w:trHeight w:val="1642"/>
        </w:trPr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6CF1A67A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0D8C8C43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63ED9638" w14:textId="77777777" w:rsidR="00871E3B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0CECE"/>
          </w:tcPr>
          <w:p w14:paraId="2CA8BECF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nieprzekazywania w terminie określonym w ustawie o produktach biobójczych informacji o zmianie dostawcy substancji czynnej (art. 27 ust. 6). </w:t>
            </w:r>
          </w:p>
        </w:tc>
      </w:tr>
      <w:tr w:rsidR="00871E3B" w14:paraId="2D74DE3E" w14:textId="77777777">
        <w:trPr>
          <w:trHeight w:val="1643"/>
        </w:trPr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5EF07AF3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4AA9979D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672A4BFB" w14:textId="77777777" w:rsidR="00871E3B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0CECE"/>
          </w:tcPr>
          <w:p w14:paraId="5CB1D63E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nieprzekazywania konsumentowi (na jego wniosek) przez dostawcę wyrobu poddanego działaniu produktu biobójczego, informacji na temat produktu  </w:t>
            </w:r>
          </w:p>
        </w:tc>
      </w:tr>
      <w:tr w:rsidR="00871E3B" w14:paraId="0F984508" w14:textId="77777777">
        <w:trPr>
          <w:trHeight w:val="1045"/>
        </w:trPr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77EC291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FB30E8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390146A" w14:textId="77777777" w:rsidR="00871E3B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96C0213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biobójczego, którego działaniu poddany został ten   wyrób. </w:t>
            </w:r>
          </w:p>
        </w:tc>
      </w:tr>
    </w:tbl>
    <w:p w14:paraId="6DB7BFD8" w14:textId="77777777" w:rsidR="00871E3B" w:rsidRDefault="00000000">
      <w:pPr>
        <w:spacing w:after="0" w:line="259" w:lineRule="auto"/>
        <w:ind w:left="694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7923" w:type="dxa"/>
        <w:tblInd w:w="1998" w:type="dxa"/>
        <w:tblCellMar>
          <w:top w:w="85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1453"/>
        <w:gridCol w:w="3032"/>
        <w:gridCol w:w="3438"/>
      </w:tblGrid>
      <w:tr w:rsidR="00871E3B" w14:paraId="7FD223A3" w14:textId="77777777">
        <w:trPr>
          <w:trHeight w:val="4869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47A63F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C1A492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FD314D0" w14:textId="77777777" w:rsidR="00871E3B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Brak współpracy w czasie poprzednich kontroli. </w:t>
            </w:r>
          </w:p>
        </w:tc>
      </w:tr>
      <w:tr w:rsidR="00871E3B" w14:paraId="025B5118" w14:textId="77777777">
        <w:trPr>
          <w:trHeight w:val="9033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BAE12C6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12FD0A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Interwencje oraz informacje od innych organów: </w:t>
            </w:r>
          </w:p>
        </w:tc>
        <w:tc>
          <w:tcPr>
            <w:tcW w:w="3438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822A93" w14:textId="77777777" w:rsidR="00871E3B" w:rsidRDefault="00000000">
            <w:pPr>
              <w:spacing w:after="8" w:line="234" w:lineRule="auto"/>
              <w:ind w:left="2" w:firstLine="0"/>
              <w:jc w:val="left"/>
            </w:pPr>
            <w:r>
              <w:t xml:space="preserve">Pojedyncze interwencje konsumenckie lub informacje od innych organów nadzoru w zakresie naruszenia przepisów ustawy o produktach biobójczych opisanych w art. 46 ust. 1 pkt 1-7 oraz ust. 2 </w:t>
            </w:r>
          </w:p>
          <w:p w14:paraId="03A7F6E3" w14:textId="77777777" w:rsidR="00871E3B" w:rsidRDefault="00000000">
            <w:pPr>
              <w:numPr>
                <w:ilvl w:val="0"/>
                <w:numId w:val="6"/>
              </w:numPr>
              <w:spacing w:after="26" w:line="236" w:lineRule="auto"/>
              <w:ind w:hanging="360"/>
              <w:jc w:val="left"/>
            </w:pPr>
            <w:r>
              <w:t xml:space="preserve">wprowadzania do obrotu produktu biobójczego nieopakowanego lub nieoznakowanego zgodnie z rozporządzeniem BPR (art. 69) lub ustawą o produktach  biobójczych (art. 31-33); </w:t>
            </w:r>
          </w:p>
          <w:p w14:paraId="5DB71FC1" w14:textId="77777777" w:rsidR="00871E3B" w:rsidRDefault="00000000">
            <w:pPr>
              <w:numPr>
                <w:ilvl w:val="0"/>
                <w:numId w:val="6"/>
              </w:numPr>
              <w:spacing w:after="0" w:line="257" w:lineRule="auto"/>
              <w:ind w:hanging="360"/>
              <w:jc w:val="left"/>
            </w:pPr>
            <w:r>
              <w:t xml:space="preserve">reklamowania produktu  biobójczego niezgodnie z  przepisami rozporządzenia </w:t>
            </w:r>
          </w:p>
          <w:p w14:paraId="554A1F48" w14:textId="77777777" w:rsidR="00871E3B" w:rsidRDefault="00000000">
            <w:pPr>
              <w:spacing w:after="0" w:line="259" w:lineRule="auto"/>
              <w:ind w:left="362" w:firstLine="0"/>
              <w:jc w:val="left"/>
            </w:pPr>
            <w:r>
              <w:t xml:space="preserve">BPR  </w:t>
            </w:r>
          </w:p>
          <w:p w14:paraId="179EE3C7" w14:textId="77777777" w:rsidR="00871E3B" w:rsidRDefault="00000000">
            <w:pPr>
              <w:spacing w:after="1" w:line="259" w:lineRule="auto"/>
              <w:ind w:left="362" w:firstLine="0"/>
              <w:jc w:val="left"/>
            </w:pPr>
            <w:r>
              <w:t xml:space="preserve">(art. 72); </w:t>
            </w:r>
          </w:p>
          <w:p w14:paraId="4594FBDF" w14:textId="77777777" w:rsidR="00871E3B" w:rsidRDefault="00000000">
            <w:pPr>
              <w:numPr>
                <w:ilvl w:val="0"/>
                <w:numId w:val="6"/>
              </w:numPr>
              <w:spacing w:after="0" w:line="237" w:lineRule="auto"/>
              <w:ind w:hanging="360"/>
              <w:jc w:val="left"/>
            </w:pPr>
            <w:r>
              <w:t xml:space="preserve">nieprzechowywania w  odniesieniu do procesu produkcji odpowiedniej dokumentacji lub  nieprzechowywania próbek serii produkcyjnych produktu biobójczego zgodnie z rozporządzeniem BPR (art. </w:t>
            </w:r>
          </w:p>
          <w:p w14:paraId="7F8F64C9" w14:textId="77777777" w:rsidR="00871E3B" w:rsidRDefault="00000000">
            <w:pPr>
              <w:spacing w:after="0" w:line="259" w:lineRule="auto"/>
              <w:ind w:left="362" w:firstLine="0"/>
              <w:jc w:val="left"/>
            </w:pPr>
            <w:r>
              <w:t xml:space="preserve">65 ust. 2); </w:t>
            </w:r>
          </w:p>
          <w:p w14:paraId="3B1A7DDD" w14:textId="77777777" w:rsidR="00871E3B" w:rsidRDefault="00000000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t xml:space="preserve">udostępniania na rynku produktu biobójczego zawierającego informacje niezgodne z zatwierdzonym  </w:t>
            </w:r>
          </w:p>
        </w:tc>
      </w:tr>
    </w:tbl>
    <w:p w14:paraId="0442B5FA" w14:textId="77777777" w:rsidR="00871E3B" w:rsidRDefault="00000000">
      <w:pPr>
        <w:spacing w:after="386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923" w:type="dxa"/>
        <w:tblInd w:w="1998" w:type="dxa"/>
        <w:tblCellMar>
          <w:top w:w="58" w:type="dxa"/>
          <w:left w:w="104" w:type="dxa"/>
          <w:right w:w="24" w:type="dxa"/>
        </w:tblCellMar>
        <w:tblLook w:val="04A0" w:firstRow="1" w:lastRow="0" w:firstColumn="1" w:lastColumn="0" w:noHBand="0" w:noVBand="1"/>
      </w:tblPr>
      <w:tblGrid>
        <w:gridCol w:w="1453"/>
        <w:gridCol w:w="3032"/>
        <w:gridCol w:w="3438"/>
      </w:tblGrid>
      <w:tr w:rsidR="00871E3B" w14:paraId="486DA8BA" w14:textId="77777777">
        <w:trPr>
          <w:trHeight w:val="5006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34FCD4" w14:textId="7ECC855A" w:rsidR="00871E3B" w:rsidRDefault="00871E3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D454D0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1C69CE3" w14:textId="77777777" w:rsidR="00871E3B" w:rsidRDefault="00000000">
            <w:pPr>
              <w:spacing w:after="7" w:line="235" w:lineRule="auto"/>
              <w:ind w:left="364" w:firstLine="0"/>
              <w:jc w:val="left"/>
            </w:pPr>
            <w:r>
              <w:t xml:space="preserve">oznakowaniem wprowadzonego do obrotu produktu biobójczego; </w:t>
            </w:r>
          </w:p>
          <w:p w14:paraId="0B7D6478" w14:textId="77777777" w:rsidR="00871E3B" w:rsidRDefault="00000000">
            <w:pPr>
              <w:numPr>
                <w:ilvl w:val="0"/>
                <w:numId w:val="7"/>
              </w:numPr>
              <w:spacing w:after="10" w:line="235" w:lineRule="auto"/>
              <w:ind w:hanging="360"/>
              <w:jc w:val="left"/>
            </w:pPr>
            <w:r>
              <w:t xml:space="preserve">nieprzekazywania w terminie określonym w ustawie o produktach biobójczych informacji o zmianie dostawcy substancji czynnej (art. 27 ust. 6). </w:t>
            </w:r>
          </w:p>
          <w:p w14:paraId="64840551" w14:textId="77777777" w:rsidR="00871E3B" w:rsidRDefault="00000000">
            <w:pPr>
              <w:numPr>
                <w:ilvl w:val="0"/>
                <w:numId w:val="7"/>
              </w:numPr>
              <w:spacing w:after="7" w:line="235" w:lineRule="auto"/>
              <w:ind w:hanging="360"/>
              <w:jc w:val="left"/>
            </w:pPr>
            <w:r>
              <w:t xml:space="preserve">nieprzekazywania konsumentowi (na jego wniosek) przez dostawcę wyrobu poddanego działaniu produktu biobójczego, informacji na temat produktu  </w:t>
            </w:r>
          </w:p>
          <w:p w14:paraId="37CCD755" w14:textId="77777777" w:rsidR="00871E3B" w:rsidRDefault="00000000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t xml:space="preserve">biobójczego, którego działaniu poddany został ten   wyrób. </w:t>
            </w:r>
          </w:p>
        </w:tc>
      </w:tr>
      <w:tr w:rsidR="00871E3B" w14:paraId="6D23A905" w14:textId="77777777">
        <w:trPr>
          <w:trHeight w:val="7056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1EEC109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F704B77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przesłanki: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0BDBDE" w14:textId="77777777" w:rsidR="00871E3B" w:rsidRDefault="00000000">
            <w:pPr>
              <w:spacing w:after="1" w:line="234" w:lineRule="auto"/>
              <w:ind w:left="4" w:firstLine="0"/>
              <w:jc w:val="left"/>
            </w:pPr>
            <w:r>
              <w:t xml:space="preserve">Brak zapewnienia zgodności z przepisami rozporządzenia REACH i CLP m.in: </w:t>
            </w:r>
          </w:p>
          <w:p w14:paraId="1BFE79A4" w14:textId="77777777" w:rsidR="00871E3B" w:rsidRDefault="00000000">
            <w:pPr>
              <w:numPr>
                <w:ilvl w:val="0"/>
                <w:numId w:val="8"/>
              </w:numPr>
              <w:spacing w:after="0" w:line="259" w:lineRule="auto"/>
              <w:ind w:hanging="708"/>
              <w:jc w:val="left"/>
            </w:pPr>
            <w:r>
              <w:t xml:space="preserve">brak atestowanego </w:t>
            </w:r>
          </w:p>
          <w:p w14:paraId="0C8D3F95" w14:textId="77777777" w:rsidR="00871E3B" w:rsidRDefault="00000000">
            <w:pPr>
              <w:spacing w:after="1" w:line="234" w:lineRule="auto"/>
              <w:ind w:left="4" w:right="69" w:firstLine="0"/>
              <w:jc w:val="left"/>
            </w:pPr>
            <w:r>
              <w:t xml:space="preserve">zamknięcia zabezpieczającego przed otwarciem przez dziećmi w przypadku, gdy jest to wymagane; </w:t>
            </w:r>
          </w:p>
          <w:p w14:paraId="21CCE7AF" w14:textId="77777777" w:rsidR="00871E3B" w:rsidRDefault="00000000">
            <w:pPr>
              <w:numPr>
                <w:ilvl w:val="0"/>
                <w:numId w:val="8"/>
              </w:numPr>
              <w:spacing w:after="0" w:line="259" w:lineRule="auto"/>
              <w:ind w:hanging="708"/>
              <w:jc w:val="left"/>
            </w:pPr>
            <w:r>
              <w:t xml:space="preserve">brak wyczuwalnego </w:t>
            </w:r>
          </w:p>
          <w:p w14:paraId="4CE0F306" w14:textId="77777777" w:rsidR="00871E3B" w:rsidRDefault="00000000">
            <w:pPr>
              <w:spacing w:after="240" w:line="234" w:lineRule="auto"/>
              <w:ind w:left="4" w:firstLine="0"/>
              <w:jc w:val="left"/>
            </w:pPr>
            <w:r>
              <w:t xml:space="preserve">dotykiem ostrzeżenia o niebezpieczeństwie, gdy jest to wymagane; – brak zgłoszeń PCN/UFI dla mieszanin stwarzających zagrożenie; – nieprawidłowości w zakresie kart charakterystyki </w:t>
            </w:r>
          </w:p>
          <w:p w14:paraId="6CD80DD6" w14:textId="77777777" w:rsidR="00871E3B" w:rsidRDefault="00000000">
            <w:pPr>
              <w:spacing w:after="2" w:line="234" w:lineRule="auto"/>
              <w:ind w:left="4" w:firstLine="0"/>
              <w:jc w:val="left"/>
            </w:pPr>
            <w:r>
              <w:t xml:space="preserve">W przypadku konfekcjonerów produktów biobójczych  </w:t>
            </w:r>
          </w:p>
          <w:p w14:paraId="3797B0B8" w14:textId="77777777" w:rsidR="00871E3B" w:rsidRDefault="00000000">
            <w:pPr>
              <w:spacing w:after="242" w:line="234" w:lineRule="auto"/>
              <w:ind w:left="4" w:firstLine="0"/>
              <w:jc w:val="left"/>
            </w:pPr>
            <w:r>
              <w:t xml:space="preserve">– wystąpienie przypadków braku zgody właściciela pozwolenia na konfekcjonowanie produktu biobójczego. </w:t>
            </w:r>
          </w:p>
          <w:p w14:paraId="516364ED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Braki naruszeń kwalifikujących do wysokiego ryzyka. </w:t>
            </w:r>
          </w:p>
        </w:tc>
      </w:tr>
      <w:tr w:rsidR="00871E3B" w14:paraId="5AF72687" w14:textId="77777777">
        <w:trPr>
          <w:trHeight w:val="904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C180541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Niskie ryzyko 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08E3967" w14:textId="77777777" w:rsidR="00871E3B" w:rsidRDefault="00000000">
            <w:pPr>
              <w:spacing w:after="214" w:line="259" w:lineRule="auto"/>
              <w:ind w:left="4" w:firstLine="0"/>
              <w:jc w:val="left"/>
            </w:pPr>
            <w:r>
              <w:t xml:space="preserve">Wyniki poprzednich kontroli: </w:t>
            </w:r>
          </w:p>
          <w:p w14:paraId="3B3CCD08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692709E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Nieliczne, drobne uchybienia w zakresie przepisów dotyczących produktów biobójczych  </w:t>
            </w:r>
          </w:p>
        </w:tc>
      </w:tr>
      <w:tr w:rsidR="00871E3B" w14:paraId="53665736" w14:textId="77777777">
        <w:trPr>
          <w:trHeight w:val="1498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8DEDAC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DE3B727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Interwencje: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F61A93" w14:textId="77777777" w:rsidR="00871E3B" w:rsidRDefault="00000000">
            <w:pPr>
              <w:spacing w:after="0" w:line="259" w:lineRule="auto"/>
              <w:ind w:left="4" w:right="16" w:firstLine="0"/>
              <w:jc w:val="left"/>
            </w:pPr>
            <w:r>
              <w:t xml:space="preserve">Interwencje lub pojedyncze skargi konsumenckie w zakresie naruszenia innych niż wskazanych dla wyższych poziomów ryzyka przepisów </w:t>
            </w:r>
          </w:p>
        </w:tc>
      </w:tr>
    </w:tbl>
    <w:p w14:paraId="1B1BE68F" w14:textId="0724C67C" w:rsidR="00871E3B" w:rsidRDefault="00871E3B">
      <w:pPr>
        <w:spacing w:after="0" w:line="259" w:lineRule="auto"/>
        <w:ind w:left="691" w:firstLine="0"/>
        <w:jc w:val="left"/>
      </w:pPr>
    </w:p>
    <w:tbl>
      <w:tblPr>
        <w:tblStyle w:val="TableGrid"/>
        <w:tblW w:w="7923" w:type="dxa"/>
        <w:tblInd w:w="1998" w:type="dxa"/>
        <w:tblCellMar>
          <w:top w:w="60" w:type="dxa"/>
          <w:left w:w="104" w:type="dxa"/>
          <w:bottom w:w="27" w:type="dxa"/>
          <w:right w:w="39" w:type="dxa"/>
        </w:tblCellMar>
        <w:tblLook w:val="04A0" w:firstRow="1" w:lastRow="0" w:firstColumn="1" w:lastColumn="0" w:noHBand="0" w:noVBand="1"/>
      </w:tblPr>
      <w:tblGrid>
        <w:gridCol w:w="1453"/>
        <w:gridCol w:w="3032"/>
        <w:gridCol w:w="3438"/>
      </w:tblGrid>
      <w:tr w:rsidR="00871E3B" w14:paraId="1AB4ECDA" w14:textId="77777777">
        <w:trPr>
          <w:trHeight w:val="122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68CCE0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887E74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67C9C9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dotyczących produktów biobójczych  </w:t>
            </w:r>
          </w:p>
        </w:tc>
      </w:tr>
      <w:tr w:rsidR="00871E3B" w14:paraId="291C1A8C" w14:textId="77777777">
        <w:trPr>
          <w:trHeight w:val="605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EF2FF4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80F656D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przesłanki: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B2F2DE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Braki naruszeń kwalifikujących do wysokiego i średniego ryzyka. </w:t>
            </w:r>
          </w:p>
        </w:tc>
      </w:tr>
      <w:tr w:rsidR="00871E3B" w14:paraId="3B2C47AD" w14:textId="77777777">
        <w:trPr>
          <w:trHeight w:val="97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3335EA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A82FAB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00398EEA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Brak innych przesłanek do kwalifikacji wysokiego lub średniego ryzyka. </w:t>
            </w:r>
          </w:p>
        </w:tc>
      </w:tr>
    </w:tbl>
    <w:p w14:paraId="2CC6992F" w14:textId="77777777" w:rsidR="00871E3B" w:rsidRDefault="00000000">
      <w:pPr>
        <w:spacing w:after="9" w:line="259" w:lineRule="auto"/>
        <w:ind w:left="1971" w:firstLine="0"/>
        <w:jc w:val="left"/>
      </w:pPr>
      <w:r>
        <w:t xml:space="preserve"> </w:t>
      </w:r>
    </w:p>
    <w:p w14:paraId="59EF6010" w14:textId="77777777" w:rsidR="00871E3B" w:rsidRDefault="00000000">
      <w:pPr>
        <w:spacing w:after="2" w:line="259" w:lineRule="auto"/>
        <w:ind w:left="2326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OBSZAR PRODUKTÓW KOSMETYCZNYCH </w:t>
      </w:r>
    </w:p>
    <w:tbl>
      <w:tblPr>
        <w:tblStyle w:val="TableGrid"/>
        <w:tblW w:w="7923" w:type="dxa"/>
        <w:tblInd w:w="1998" w:type="dxa"/>
        <w:tblCellMar>
          <w:top w:w="89" w:type="dxa"/>
          <w:left w:w="104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70"/>
        <w:gridCol w:w="5653"/>
      </w:tblGrid>
      <w:tr w:rsidR="00871E3B" w14:paraId="2A8E5353" w14:textId="77777777">
        <w:trPr>
          <w:trHeight w:val="539"/>
        </w:trPr>
        <w:tc>
          <w:tcPr>
            <w:tcW w:w="7923" w:type="dxa"/>
            <w:gridSpan w:val="2"/>
            <w:tcBorders>
              <w:top w:val="single" w:sz="4" w:space="0" w:color="000000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  <w:vAlign w:val="bottom"/>
          </w:tcPr>
          <w:p w14:paraId="4F45244C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Kontrola osób odpowiedzialnych </w:t>
            </w:r>
          </w:p>
        </w:tc>
      </w:tr>
      <w:tr w:rsidR="00871E3B" w14:paraId="32D37FEB" w14:textId="77777777">
        <w:trPr>
          <w:trHeight w:val="653"/>
        </w:trPr>
        <w:tc>
          <w:tcPr>
            <w:tcW w:w="2270" w:type="dxa"/>
            <w:vMerge w:val="restart"/>
            <w:tcBorders>
              <w:top w:val="double" w:sz="9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11F5738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Dokumenty </w:t>
            </w:r>
          </w:p>
        </w:tc>
        <w:tc>
          <w:tcPr>
            <w:tcW w:w="5653" w:type="dxa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1A61BE70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produktu kosmetycznego w szczególności raport bezpieczeństwa. </w:t>
            </w:r>
          </w:p>
        </w:tc>
      </w:tr>
      <w:tr w:rsidR="00871E3B" w14:paraId="6FAC3069" w14:textId="77777777">
        <w:trPr>
          <w:trHeight w:val="6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F1ACE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53" w:type="dxa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68145921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dot. oznakowania produktu kosmetycznego.  </w:t>
            </w:r>
          </w:p>
        </w:tc>
      </w:tr>
      <w:tr w:rsidR="00871E3B" w14:paraId="2AF269A9" w14:textId="77777777">
        <w:trPr>
          <w:trHeight w:val="1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D0CECE"/>
              <w:right w:val="single" w:sz="4" w:space="0" w:color="000000"/>
            </w:tcBorders>
          </w:tcPr>
          <w:p w14:paraId="3BCA1BCA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53" w:type="dxa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5398E0BC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obowiązki – dokumentacja dotycząca analizy i zgłaszania ciężkich działań niepożądanych, dokumentacja potwierdzająca realizację obowiązków identyfikacji w łańcuchu dostaw. </w:t>
            </w:r>
          </w:p>
        </w:tc>
      </w:tr>
      <w:tr w:rsidR="00871E3B" w14:paraId="25990638" w14:textId="77777777">
        <w:trPr>
          <w:trHeight w:val="545"/>
        </w:trPr>
        <w:tc>
          <w:tcPr>
            <w:tcW w:w="7923" w:type="dxa"/>
            <w:gridSpan w:val="2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  <w:vAlign w:val="bottom"/>
          </w:tcPr>
          <w:p w14:paraId="30CC384F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Kontrola wytwórców </w:t>
            </w:r>
          </w:p>
        </w:tc>
      </w:tr>
      <w:tr w:rsidR="00871E3B" w14:paraId="5D7F78AA" w14:textId="77777777">
        <w:trPr>
          <w:trHeight w:val="65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7A904BCF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Dokumenty </w:t>
            </w:r>
          </w:p>
        </w:tc>
        <w:tc>
          <w:tcPr>
            <w:tcW w:w="5653" w:type="dxa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0CB9509E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dot. zasad dobrej praktyki produkcji </w:t>
            </w:r>
          </w:p>
          <w:p w14:paraId="3C568029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(GMP) / dokumentacja dot. warunków wytwarzania.  </w:t>
            </w:r>
          </w:p>
        </w:tc>
      </w:tr>
      <w:tr w:rsidR="00871E3B" w14:paraId="357C5957" w14:textId="77777777">
        <w:trPr>
          <w:trHeight w:val="545"/>
        </w:trPr>
        <w:tc>
          <w:tcPr>
            <w:tcW w:w="7923" w:type="dxa"/>
            <w:gridSpan w:val="2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  <w:vAlign w:val="bottom"/>
          </w:tcPr>
          <w:p w14:paraId="7E44EE71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Kontrola dystrybutorów </w:t>
            </w:r>
          </w:p>
        </w:tc>
      </w:tr>
      <w:tr w:rsidR="00871E3B" w14:paraId="04E32DC9" w14:textId="77777777">
        <w:trPr>
          <w:trHeight w:val="948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7E7C34D8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Dokumenty </w:t>
            </w:r>
          </w:p>
        </w:tc>
        <w:tc>
          <w:tcPr>
            <w:tcW w:w="5653" w:type="dxa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7E04454A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dot. oznakowania produktu kosmetycznego - spełnienie obowiązków dot. oznakowania w języku polskim. </w:t>
            </w:r>
          </w:p>
        </w:tc>
      </w:tr>
      <w:tr w:rsidR="00871E3B" w14:paraId="60FE6D54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01BEA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53" w:type="dxa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741B93B5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potwierdzająca realizację obowiązków identyfikacji w łańcuchu dostaw. </w:t>
            </w:r>
          </w:p>
        </w:tc>
      </w:tr>
      <w:tr w:rsidR="00871E3B" w14:paraId="52D78AEE" w14:textId="77777777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D0CECE"/>
              <w:right w:val="single" w:sz="4" w:space="0" w:color="000000"/>
            </w:tcBorders>
          </w:tcPr>
          <w:p w14:paraId="1BB522FC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53" w:type="dxa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0F0BCD81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Weryfikacja ewentualnej sprzedaży produktów kosmetycznych po upływie terminu trwałości. </w:t>
            </w:r>
          </w:p>
        </w:tc>
      </w:tr>
      <w:tr w:rsidR="00871E3B" w14:paraId="51A44730" w14:textId="77777777">
        <w:trPr>
          <w:trHeight w:val="768"/>
        </w:trPr>
        <w:tc>
          <w:tcPr>
            <w:tcW w:w="7923" w:type="dxa"/>
            <w:gridSpan w:val="2"/>
            <w:tcBorders>
              <w:top w:val="double" w:sz="9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F9A7BA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Analiza ryzyka – osoby odpowiedzialne: </w:t>
            </w:r>
          </w:p>
        </w:tc>
      </w:tr>
    </w:tbl>
    <w:p w14:paraId="051E0A93" w14:textId="28DF2F08" w:rsidR="00871E3B" w:rsidRDefault="00871E3B">
      <w:pPr>
        <w:spacing w:after="0" w:line="259" w:lineRule="auto"/>
        <w:ind w:left="931" w:firstLine="0"/>
        <w:jc w:val="left"/>
      </w:pPr>
    </w:p>
    <w:tbl>
      <w:tblPr>
        <w:tblStyle w:val="TableGrid"/>
        <w:tblW w:w="7923" w:type="dxa"/>
        <w:tblInd w:w="1998" w:type="dxa"/>
        <w:tblCellMar>
          <w:top w:w="86" w:type="dxa"/>
          <w:left w:w="104" w:type="dxa"/>
          <w:right w:w="110" w:type="dxa"/>
        </w:tblCellMar>
        <w:tblLook w:val="04A0" w:firstRow="1" w:lastRow="0" w:firstColumn="1" w:lastColumn="0" w:noHBand="0" w:noVBand="1"/>
      </w:tblPr>
      <w:tblGrid>
        <w:gridCol w:w="1434"/>
        <w:gridCol w:w="2602"/>
        <w:gridCol w:w="3887"/>
      </w:tblGrid>
      <w:tr w:rsidR="00871E3B" w14:paraId="1AE13FC3" w14:textId="77777777">
        <w:trPr>
          <w:trHeight w:val="550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886D83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Wysokie ryzyko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DE18B3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Wyniki poprzednich kontroli: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B666A44" w14:textId="77777777" w:rsidR="00871E3B" w:rsidRDefault="00000000">
            <w:pPr>
              <w:spacing w:after="1" w:line="234" w:lineRule="auto"/>
              <w:ind w:left="1" w:firstLine="0"/>
              <w:jc w:val="left"/>
            </w:pPr>
            <w:r>
              <w:t xml:space="preserve">Stwierdzone wcześniej poważne uchybienia w zakresie przepisów dotyczących:  </w:t>
            </w:r>
          </w:p>
          <w:p w14:paraId="73076102" w14:textId="77777777" w:rsidR="00871E3B" w:rsidRDefault="00000000">
            <w:pPr>
              <w:spacing w:after="0" w:line="235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art. 10, 11 (dokumentacja i raport bezpieczeństwa) np. brak dokumentacji, brak raportu zgodnego </w:t>
            </w:r>
          </w:p>
          <w:p w14:paraId="7D216D4E" w14:textId="77777777" w:rsidR="00871E3B" w:rsidRDefault="00000000">
            <w:pPr>
              <w:spacing w:after="25" w:line="235" w:lineRule="auto"/>
              <w:ind w:left="1" w:right="617" w:firstLine="0"/>
              <w:jc w:val="left"/>
            </w:pPr>
            <w:r>
              <w:t xml:space="preserve">z załącznikiem I; - art. 14 i 15 (ograniczenia odnoszące się  do substancji) rozporządzenia  </w:t>
            </w:r>
          </w:p>
          <w:p w14:paraId="066B329D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1223/2009; </w:t>
            </w:r>
          </w:p>
          <w:p w14:paraId="59816C74" w14:textId="77777777" w:rsidR="00871E3B" w:rsidRDefault="00000000">
            <w:pPr>
              <w:tabs>
                <w:tab w:val="center" w:pos="180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poważne uchybienia w </w:t>
            </w:r>
          </w:p>
          <w:p w14:paraId="552A798D" w14:textId="77777777" w:rsidR="00871E3B" w:rsidRDefault="00000000">
            <w:pPr>
              <w:spacing w:after="239" w:line="235" w:lineRule="auto"/>
              <w:ind w:left="1" w:firstLine="0"/>
              <w:jc w:val="left"/>
            </w:pPr>
            <w:r>
              <w:t xml:space="preserve">zakresie oznakowania (art. 19) – brak wskazania osoby odpowiedzialnej, brak wymaganych ostrzeżeń.  </w:t>
            </w:r>
          </w:p>
          <w:p w14:paraId="59860723" w14:textId="77777777" w:rsidR="00871E3B" w:rsidRDefault="00000000">
            <w:pPr>
              <w:spacing w:after="243" w:line="234" w:lineRule="auto"/>
              <w:ind w:left="1" w:firstLine="0"/>
              <w:jc w:val="left"/>
            </w:pPr>
            <w:r>
              <w:t xml:space="preserve">Nieterminowe realizowanie zaleceń z poprzednich kontroli.  </w:t>
            </w:r>
          </w:p>
          <w:p w14:paraId="05CCBFA8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Unikanie i celowe utrudnianie kontroli. </w:t>
            </w:r>
          </w:p>
        </w:tc>
      </w:tr>
    </w:tbl>
    <w:p w14:paraId="4E57EA5D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923" w:type="dxa"/>
        <w:tblInd w:w="1998" w:type="dxa"/>
        <w:tblCellMar>
          <w:top w:w="8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434"/>
        <w:gridCol w:w="2602"/>
        <w:gridCol w:w="3887"/>
      </w:tblGrid>
      <w:tr w:rsidR="00871E3B" w14:paraId="732B9816" w14:textId="77777777">
        <w:trPr>
          <w:trHeight w:val="3623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DC6D96A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8F7300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 oraz informacje od innych organów: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4A3BA961" w14:textId="77777777" w:rsidR="00871E3B" w:rsidRDefault="00000000">
            <w:pPr>
              <w:spacing w:after="0" w:line="257" w:lineRule="auto"/>
              <w:ind w:left="1" w:firstLine="0"/>
              <w:jc w:val="left"/>
            </w:pPr>
            <w:r>
              <w:t xml:space="preserve">Liczne interwencje konsumenckie dotyczące podejrzeń niewłaściwej jakości zdrowotnej lub informacje od innych organów zakresie przepisów dotyczących w szczególności art. 10, </w:t>
            </w:r>
          </w:p>
          <w:p w14:paraId="6DDDDB1B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11 (dokumentacja i raport bezpieczeństwa) np. brak dokumentacji, brak raportu lub brak w raporcie istotnych danych (załącznik I), 14 i 15 (ograniczenia odnoszące się do substancji) rozporządzenia 1223/2009. </w:t>
            </w:r>
          </w:p>
        </w:tc>
      </w:tr>
      <w:tr w:rsidR="00871E3B" w14:paraId="2D3A875A" w14:textId="77777777">
        <w:trPr>
          <w:trHeight w:val="484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7678CE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Średnie ryzyko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E055791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Wyniki poprzednich kontroli: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FD42A0" w14:textId="77777777" w:rsidR="00871E3B" w:rsidRDefault="00000000">
            <w:pPr>
              <w:spacing w:after="0" w:line="234" w:lineRule="auto"/>
              <w:ind w:left="1" w:right="136" w:firstLine="0"/>
              <w:jc w:val="left"/>
            </w:pPr>
            <w:r>
              <w:t xml:space="preserve">Stwierdzone wcześniej uchybienia w zakresie przepisów dotyczących: - art. 10, 11(dokumentacja i raport bezpieczeństwa) np. pojedyncze braki w dokumentacji, niepełny </w:t>
            </w:r>
          </w:p>
          <w:p w14:paraId="47F1ABA6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raport bezpieczeństwa (załącznik </w:t>
            </w:r>
          </w:p>
          <w:p w14:paraId="1D52C9A3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I);  </w:t>
            </w:r>
          </w:p>
          <w:p w14:paraId="0C0E2CE3" w14:textId="77777777" w:rsidR="00871E3B" w:rsidRDefault="00000000">
            <w:pPr>
              <w:spacing w:after="224" w:line="249" w:lineRule="auto"/>
              <w:ind w:left="1" w:right="63" w:firstLine="0"/>
              <w:jc w:val="left"/>
            </w:pPr>
            <w:r>
              <w:t xml:space="preserve">-  art.14 i 15 (ograniczenia odnoszące się  do substancji) rozporządzenia 1223/2009. </w:t>
            </w:r>
          </w:p>
          <w:p w14:paraId="16DCBC8F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Uchybienia w zakresie oznakowania produktów kosmetycznych (art. 19 i 20 rozporządzenia 1223/2009). </w:t>
            </w:r>
          </w:p>
        </w:tc>
      </w:tr>
    </w:tbl>
    <w:p w14:paraId="1FC9ECE3" w14:textId="151C1149" w:rsidR="00871E3B" w:rsidRDefault="00871E3B">
      <w:pPr>
        <w:spacing w:after="0" w:line="259" w:lineRule="auto"/>
        <w:ind w:left="694" w:firstLine="0"/>
        <w:jc w:val="left"/>
      </w:pPr>
    </w:p>
    <w:tbl>
      <w:tblPr>
        <w:tblStyle w:val="TableGrid"/>
        <w:tblW w:w="7923" w:type="dxa"/>
        <w:tblInd w:w="1998" w:type="dxa"/>
        <w:tblCellMar>
          <w:top w:w="8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434"/>
        <w:gridCol w:w="2602"/>
        <w:gridCol w:w="3887"/>
      </w:tblGrid>
      <w:tr w:rsidR="00871E3B" w14:paraId="57912406" w14:textId="77777777">
        <w:trPr>
          <w:trHeight w:val="4859"/>
        </w:trPr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91955C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C1BBC8C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F1CFD56" w14:textId="77777777" w:rsidR="00871E3B" w:rsidRDefault="00000000">
            <w:pPr>
              <w:spacing w:after="243" w:line="234" w:lineRule="auto"/>
              <w:ind w:left="1" w:firstLine="0"/>
              <w:jc w:val="left"/>
            </w:pPr>
            <w:r>
              <w:t xml:space="preserve">Uchybienia w zakresie art. 13 rozporządzenia 1223/2009 (zgłaszanie) np. bark zgłoszenia. </w:t>
            </w:r>
          </w:p>
          <w:p w14:paraId="362F81BE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Brak współpracy w czasie poprzednich kontroli. </w:t>
            </w:r>
          </w:p>
        </w:tc>
      </w:tr>
      <w:tr w:rsidR="00871E3B" w14:paraId="724AAF46" w14:textId="77777777">
        <w:trPr>
          <w:trHeight w:val="2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FD763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E96EFAB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 oraz informacje od innych organów: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F7552F4" w14:textId="77777777" w:rsidR="00871E3B" w:rsidRDefault="00000000">
            <w:pPr>
              <w:spacing w:after="2" w:line="234" w:lineRule="auto"/>
              <w:ind w:left="1" w:firstLine="0"/>
              <w:jc w:val="left"/>
            </w:pPr>
            <w:r>
              <w:t xml:space="preserve">Pojedyncze interwencje konsumenckie lub informacje od innych organów nadzoru w zakresie przepisów dotyczących produktów kosmetycznych dot. w szczególności składu lub oznakowania produktów kosmetycznych  </w:t>
            </w:r>
          </w:p>
          <w:p w14:paraId="12FC40B2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(art. 19 i 20 rozporządzenia 1223/2009)..  </w:t>
            </w:r>
          </w:p>
        </w:tc>
      </w:tr>
      <w:tr w:rsidR="00871E3B" w14:paraId="271978A1" w14:textId="77777777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FCA1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126B0D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przesłanki: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26A1C544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Braki naruszeń kwalifikujących do dużego ryzyka. </w:t>
            </w:r>
          </w:p>
        </w:tc>
      </w:tr>
      <w:tr w:rsidR="00871E3B" w14:paraId="2FB234A0" w14:textId="77777777">
        <w:trPr>
          <w:trHeight w:val="2523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357170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Niskie ryzyko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84D8AF5" w14:textId="77777777" w:rsidR="00871E3B" w:rsidRDefault="00000000">
            <w:pPr>
              <w:spacing w:after="243" w:line="234" w:lineRule="auto"/>
              <w:ind w:left="4" w:firstLine="0"/>
              <w:jc w:val="left"/>
            </w:pPr>
            <w:r>
              <w:t xml:space="preserve">Wyniki poprzednich kontroli: </w:t>
            </w:r>
          </w:p>
          <w:p w14:paraId="51D8DED3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E92E61" w14:textId="77777777" w:rsidR="00871E3B" w:rsidRDefault="00000000">
            <w:pPr>
              <w:spacing w:after="242" w:line="234" w:lineRule="auto"/>
              <w:ind w:left="1" w:firstLine="0"/>
              <w:jc w:val="left"/>
            </w:pPr>
            <w:r>
              <w:t xml:space="preserve">Nieliczne, drobne uchybienia w zakresie przepisów dotyczących produktów kosmetycznych nie wskazanych w poprzednich pkt dot. dużego i średniego ryzyka.  </w:t>
            </w:r>
          </w:p>
          <w:p w14:paraId="17A4FE08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Nieścisłości lub brak aktualizacji zgłoszenia produktu (art. 13 rozporządzenia 1223/2009).  </w:t>
            </w:r>
          </w:p>
        </w:tc>
      </w:tr>
    </w:tbl>
    <w:p w14:paraId="6299AF0C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923" w:type="dxa"/>
        <w:tblInd w:w="1998" w:type="dxa"/>
        <w:tblCellMar>
          <w:top w:w="81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423"/>
        <w:gridCol w:w="2613"/>
        <w:gridCol w:w="3887"/>
      </w:tblGrid>
      <w:tr w:rsidR="00871E3B" w14:paraId="06881BD2" w14:textId="77777777">
        <w:trPr>
          <w:trHeight w:val="306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CDD3FCB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EE51FD2" w14:textId="77777777" w:rsidR="00871E3B" w:rsidRDefault="00000000">
            <w:pPr>
              <w:spacing w:after="0" w:line="259" w:lineRule="auto"/>
              <w:ind w:left="24" w:firstLine="0"/>
              <w:jc w:val="left"/>
            </w:pPr>
            <w:r>
              <w:t xml:space="preserve">Interwencje oraz informacje od innych organów: :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02834D" w14:textId="77777777" w:rsidR="00871E3B" w:rsidRDefault="00000000">
            <w:pPr>
              <w:spacing w:after="0" w:line="259" w:lineRule="auto"/>
              <w:ind w:left="13" w:firstLine="0"/>
              <w:jc w:val="left"/>
            </w:pPr>
            <w:r>
              <w:t xml:space="preserve">Pojedyncze interwencje </w:t>
            </w:r>
          </w:p>
          <w:p w14:paraId="0673C372" w14:textId="77777777" w:rsidR="00871E3B" w:rsidRDefault="00000000">
            <w:pPr>
              <w:spacing w:after="242" w:line="235" w:lineRule="auto"/>
              <w:ind w:left="13" w:firstLine="0"/>
              <w:jc w:val="left"/>
            </w:pPr>
            <w:r>
              <w:t xml:space="preserve">konsumenckie w zakresie przepisów dotyczących produktów kosmetycznych np. uchybienia w zakresie oznakowania produktów  kosmetycznych (art. 19 i 20 rozporządzenia 1223/2009). </w:t>
            </w:r>
          </w:p>
          <w:p w14:paraId="221D8ECF" w14:textId="77777777" w:rsidR="00871E3B" w:rsidRDefault="00000000">
            <w:pPr>
              <w:spacing w:after="0" w:line="257" w:lineRule="auto"/>
              <w:ind w:left="13" w:firstLine="0"/>
              <w:jc w:val="left"/>
            </w:pPr>
            <w:r>
              <w:t xml:space="preserve">Uchybienia w zakresie art. 13 rozporządzenia 1223/2009 </w:t>
            </w:r>
          </w:p>
          <w:p w14:paraId="62FC5CFC" w14:textId="77777777" w:rsidR="00871E3B" w:rsidRDefault="00000000">
            <w:pPr>
              <w:spacing w:after="0" w:line="259" w:lineRule="auto"/>
              <w:ind w:left="13" w:firstLine="0"/>
              <w:jc w:val="left"/>
            </w:pPr>
            <w:r>
              <w:t xml:space="preserve">(zgłaszanie np. bark zgłoszenia). </w:t>
            </w:r>
          </w:p>
        </w:tc>
      </w:tr>
    </w:tbl>
    <w:p w14:paraId="4A18D46A" w14:textId="70CFED04" w:rsidR="00871E3B" w:rsidRDefault="00871E3B">
      <w:pPr>
        <w:spacing w:after="0" w:line="259" w:lineRule="auto"/>
        <w:ind w:left="814" w:firstLine="0"/>
        <w:jc w:val="left"/>
      </w:pPr>
    </w:p>
    <w:tbl>
      <w:tblPr>
        <w:tblStyle w:val="TableGrid"/>
        <w:tblW w:w="7923" w:type="dxa"/>
        <w:tblInd w:w="1998" w:type="dxa"/>
        <w:tblCellMar>
          <w:top w:w="82" w:type="dxa"/>
          <w:left w:w="95" w:type="dxa"/>
          <w:right w:w="48" w:type="dxa"/>
        </w:tblCellMar>
        <w:tblLook w:val="04A0" w:firstRow="1" w:lastRow="0" w:firstColumn="1" w:lastColumn="0" w:noHBand="0" w:noVBand="1"/>
      </w:tblPr>
      <w:tblGrid>
        <w:gridCol w:w="1423"/>
        <w:gridCol w:w="2613"/>
        <w:gridCol w:w="3887"/>
      </w:tblGrid>
      <w:tr w:rsidR="00871E3B" w14:paraId="7B3405F3" w14:textId="77777777">
        <w:trPr>
          <w:trHeight w:val="1727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599C24C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6BFA4A4" w14:textId="77777777" w:rsidR="00871E3B" w:rsidRDefault="00000000">
            <w:pPr>
              <w:spacing w:after="0" w:line="259" w:lineRule="auto"/>
              <w:ind w:left="24" w:firstLine="0"/>
              <w:jc w:val="left"/>
            </w:pPr>
            <w:r>
              <w:t xml:space="preserve">Inne przesłanki: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11C08E9" w14:textId="77777777" w:rsidR="00871E3B" w:rsidRDefault="00000000">
            <w:pPr>
              <w:spacing w:after="242" w:line="234" w:lineRule="auto"/>
              <w:ind w:left="13" w:firstLine="0"/>
              <w:jc w:val="left"/>
            </w:pPr>
            <w:r>
              <w:t xml:space="preserve">Braki naruszeń kwalifikujących do dużego i średniego ryzyka.   </w:t>
            </w:r>
          </w:p>
          <w:p w14:paraId="0B8EAA9D" w14:textId="77777777" w:rsidR="00871E3B" w:rsidRDefault="00000000">
            <w:pPr>
              <w:spacing w:after="0" w:line="259" w:lineRule="auto"/>
              <w:ind w:left="13" w:firstLine="0"/>
              <w:jc w:val="left"/>
            </w:pPr>
            <w:r>
              <w:t xml:space="preserve">Brak innych przesłanek do kwalifikacji dużego lub średniego ryzyka.  </w:t>
            </w:r>
          </w:p>
        </w:tc>
      </w:tr>
      <w:tr w:rsidR="00871E3B" w14:paraId="2E77A4F4" w14:textId="77777777">
        <w:trPr>
          <w:trHeight w:val="780"/>
        </w:trPr>
        <w:tc>
          <w:tcPr>
            <w:tcW w:w="7923" w:type="dxa"/>
            <w:gridSpan w:val="3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  <w:vAlign w:val="center"/>
          </w:tcPr>
          <w:p w14:paraId="15D52EF8" w14:textId="77777777" w:rsidR="00871E3B" w:rsidRDefault="00000000">
            <w:pPr>
              <w:spacing w:after="0" w:line="259" w:lineRule="auto"/>
              <w:ind w:left="12" w:firstLine="0"/>
              <w:jc w:val="left"/>
            </w:pPr>
            <w:r>
              <w:t xml:space="preserve">Analizy ryzyka – wytwórcy – art. 8 rozporządzenia 1223/2009: </w:t>
            </w:r>
          </w:p>
        </w:tc>
      </w:tr>
      <w:tr w:rsidR="00871E3B" w14:paraId="2E576D77" w14:textId="77777777">
        <w:trPr>
          <w:trHeight w:val="2134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EFFFBB5" w14:textId="77777777" w:rsidR="00871E3B" w:rsidRDefault="00000000">
            <w:pPr>
              <w:spacing w:after="0" w:line="259" w:lineRule="auto"/>
              <w:ind w:left="12" w:firstLine="0"/>
              <w:jc w:val="left"/>
            </w:pPr>
            <w:r>
              <w:t xml:space="preserve">Wysokie ryzyko 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D682B23" w14:textId="77777777" w:rsidR="00871E3B" w:rsidRDefault="00000000">
            <w:pPr>
              <w:spacing w:after="242" w:line="234" w:lineRule="auto"/>
              <w:ind w:left="0" w:firstLine="0"/>
              <w:jc w:val="left"/>
            </w:pPr>
            <w:r>
              <w:t xml:space="preserve">Wyniki poprzednich kontroli: </w:t>
            </w:r>
          </w:p>
          <w:p w14:paraId="204BDC7F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956B481" w14:textId="77777777" w:rsidR="00871E3B" w:rsidRDefault="00000000">
            <w:pPr>
              <w:spacing w:after="0" w:line="259" w:lineRule="auto"/>
              <w:ind w:left="13" w:right="153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niewdrożony system GMP; </w:t>
            </w:r>
            <w:r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poważne uchybienia w systemie GMP mogące wpływać na bezpieczeństwo produktu kosmetycznego np. niewłaściwe warunki sanitarne, brak procedur odnoszących się mycia i dezynfekcji. </w:t>
            </w:r>
          </w:p>
        </w:tc>
      </w:tr>
      <w:tr w:rsidR="00871E3B" w14:paraId="64176142" w14:textId="77777777">
        <w:trPr>
          <w:trHeight w:val="9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F3556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7E0C8B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Interwencje: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BB40458" w14:textId="77777777" w:rsidR="00871E3B" w:rsidRDefault="00000000">
            <w:pPr>
              <w:spacing w:after="0" w:line="259" w:lineRule="auto"/>
              <w:ind w:left="13" w:firstLine="0"/>
              <w:jc w:val="left"/>
            </w:pPr>
            <w:r>
              <w:t xml:space="preserve">Liczne interwencje np. od podmiotów zlecających wytworzenie produktu, informacje od innych organów. </w:t>
            </w:r>
          </w:p>
        </w:tc>
      </w:tr>
      <w:tr w:rsidR="00871E3B" w14:paraId="2AFF86B0" w14:textId="77777777">
        <w:trPr>
          <w:trHeight w:val="3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1124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CD8F10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Inne przesłanki: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21F60B64" w14:textId="77777777" w:rsidR="00871E3B" w:rsidRDefault="00000000">
            <w:pPr>
              <w:spacing w:after="240" w:line="234" w:lineRule="auto"/>
              <w:ind w:left="13" w:right="51" w:firstLine="0"/>
              <w:jc w:val="left"/>
            </w:pPr>
            <w:r>
              <w:t xml:space="preserve">Rodzaj produktów kosmetycznych: – produkty podatne na zanieczyszczenia mikrobiologiczne, produkty przeznaczone dla małych dzieci lub specjalnych grup konsumentów. </w:t>
            </w:r>
          </w:p>
          <w:p w14:paraId="771FC61B" w14:textId="77777777" w:rsidR="00871E3B" w:rsidRDefault="00000000">
            <w:pPr>
              <w:spacing w:after="245" w:line="234" w:lineRule="auto"/>
              <w:ind w:left="13" w:firstLine="0"/>
              <w:jc w:val="left"/>
            </w:pPr>
            <w:r>
              <w:t xml:space="preserve">Nieterminowe realizowanie zaleceń z poprzednich kontroli.  </w:t>
            </w:r>
          </w:p>
          <w:p w14:paraId="18FFDE4A" w14:textId="77777777" w:rsidR="00871E3B" w:rsidRDefault="00000000">
            <w:pPr>
              <w:spacing w:after="0" w:line="259" w:lineRule="auto"/>
              <w:ind w:left="13" w:firstLine="0"/>
              <w:jc w:val="left"/>
            </w:pPr>
            <w:r>
              <w:t xml:space="preserve">Unikanie i celowe utrudnianie kontroli. </w:t>
            </w:r>
          </w:p>
        </w:tc>
      </w:tr>
      <w:tr w:rsidR="00871E3B" w14:paraId="43EC6C5F" w14:textId="77777777">
        <w:trPr>
          <w:trHeight w:val="1241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DEE48E" w14:textId="77777777" w:rsidR="00871E3B" w:rsidRDefault="00000000">
            <w:pPr>
              <w:spacing w:after="0" w:line="259" w:lineRule="auto"/>
              <w:ind w:left="12" w:firstLine="0"/>
              <w:jc w:val="left"/>
            </w:pPr>
            <w:r>
              <w:t xml:space="preserve">Średnie ryzyko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CF2F487" w14:textId="77777777" w:rsidR="00871E3B" w:rsidRDefault="00000000">
            <w:pPr>
              <w:spacing w:after="242" w:line="234" w:lineRule="auto"/>
              <w:ind w:left="0" w:firstLine="0"/>
              <w:jc w:val="left"/>
            </w:pPr>
            <w:r>
              <w:t xml:space="preserve">Wyniki poprzednich kontroli: </w:t>
            </w:r>
          </w:p>
          <w:p w14:paraId="7F9BA9D1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1CEC1C5" w14:textId="77777777" w:rsidR="00871E3B" w:rsidRDefault="00000000">
            <w:pPr>
              <w:spacing w:after="0" w:line="259" w:lineRule="auto"/>
              <w:ind w:left="13" w:firstLine="0"/>
              <w:jc w:val="left"/>
            </w:pPr>
            <w:r>
              <w:t xml:space="preserve">Stwierdzone uchybienia w systemie GMP nie wpływające w sposób znaczący na bezpieczeństwo produktu kosmetycznego. </w:t>
            </w:r>
          </w:p>
        </w:tc>
      </w:tr>
      <w:tr w:rsidR="00871E3B" w14:paraId="30FFAECA" w14:textId="77777777">
        <w:trPr>
          <w:trHeight w:val="9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64F21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D167DED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Interwencje: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2E9DE3E" w14:textId="77777777" w:rsidR="00871E3B" w:rsidRDefault="00000000">
            <w:pPr>
              <w:spacing w:after="0" w:line="259" w:lineRule="auto"/>
              <w:ind w:left="13" w:firstLine="0"/>
              <w:jc w:val="left"/>
            </w:pPr>
            <w:r>
              <w:t xml:space="preserve">Interwencje od podmiotów zlecających wytworzenie produktu, informacje od innych organów. </w:t>
            </w:r>
          </w:p>
        </w:tc>
      </w:tr>
      <w:tr w:rsidR="00871E3B" w14:paraId="19B6227D" w14:textId="77777777">
        <w:trPr>
          <w:trHeight w:val="1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530C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3BE120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Inne przesłanki: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A388CCD" w14:textId="77777777" w:rsidR="00871E3B" w:rsidRDefault="00000000">
            <w:pPr>
              <w:spacing w:after="0" w:line="259" w:lineRule="auto"/>
              <w:ind w:left="13" w:firstLine="0"/>
              <w:jc w:val="left"/>
            </w:pPr>
            <w:r>
              <w:t xml:space="preserve">Rodzaj produktów kosmetycznych: </w:t>
            </w:r>
          </w:p>
          <w:p w14:paraId="367E57D6" w14:textId="77777777" w:rsidR="00871E3B" w:rsidRDefault="00000000">
            <w:pPr>
              <w:spacing w:after="242" w:line="234" w:lineRule="auto"/>
              <w:ind w:left="13" w:firstLine="0"/>
              <w:jc w:val="left"/>
            </w:pPr>
            <w:r>
              <w:t xml:space="preserve">– inne niż w pkt. duże i małe ryzyko - z uwagi na ryzyko mikrobiologiczne. </w:t>
            </w:r>
          </w:p>
          <w:p w14:paraId="27FC6B89" w14:textId="77777777" w:rsidR="00871E3B" w:rsidRDefault="00000000">
            <w:pPr>
              <w:spacing w:after="0" w:line="259" w:lineRule="auto"/>
              <w:ind w:left="13" w:firstLine="0"/>
              <w:jc w:val="left"/>
            </w:pPr>
            <w:r>
              <w:t xml:space="preserve">Brak współpracy w czasie kontroli. </w:t>
            </w:r>
          </w:p>
        </w:tc>
      </w:tr>
    </w:tbl>
    <w:p w14:paraId="7B55E654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923" w:type="dxa"/>
        <w:tblInd w:w="1998" w:type="dxa"/>
        <w:tblCellMar>
          <w:top w:w="8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410"/>
        <w:gridCol w:w="2626"/>
        <w:gridCol w:w="3887"/>
      </w:tblGrid>
      <w:tr w:rsidR="00871E3B" w14:paraId="4641AEEE" w14:textId="77777777">
        <w:trPr>
          <w:trHeight w:val="644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722B50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F46D36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B0E7F98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Braki naruszeń kwalifikujących do dużego ryzyka. </w:t>
            </w:r>
          </w:p>
        </w:tc>
      </w:tr>
      <w:tr w:rsidR="00871E3B" w14:paraId="327AB228" w14:textId="77777777">
        <w:trPr>
          <w:trHeight w:val="100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0E0A997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Niskie ryzyko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D6EA7C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Wyniki poprzednich kontroli: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EE6EB7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Wyniki poprzednich kontroli: </w:t>
            </w:r>
          </w:p>
          <w:p w14:paraId="161A29E4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- nieliczne uchybienia w systemie </w:t>
            </w:r>
          </w:p>
          <w:p w14:paraId="04C5C747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GMP; - brak zgłoszenia – zgodnie z </w:t>
            </w:r>
          </w:p>
        </w:tc>
      </w:tr>
    </w:tbl>
    <w:p w14:paraId="5769B9EF" w14:textId="73C4A7F0" w:rsidR="00871E3B" w:rsidRDefault="00871E3B">
      <w:pPr>
        <w:spacing w:after="0" w:line="259" w:lineRule="auto"/>
        <w:ind w:left="830" w:firstLine="0"/>
        <w:jc w:val="left"/>
      </w:pPr>
    </w:p>
    <w:tbl>
      <w:tblPr>
        <w:tblStyle w:val="TableGrid"/>
        <w:tblW w:w="7923" w:type="dxa"/>
        <w:tblInd w:w="1998" w:type="dxa"/>
        <w:tblCellMar>
          <w:top w:w="85" w:type="dxa"/>
          <w:left w:w="104" w:type="dxa"/>
          <w:right w:w="68" w:type="dxa"/>
        </w:tblCellMar>
        <w:tblLook w:val="04A0" w:firstRow="1" w:lastRow="0" w:firstColumn="1" w:lastColumn="0" w:noHBand="0" w:noVBand="1"/>
      </w:tblPr>
      <w:tblGrid>
        <w:gridCol w:w="1410"/>
        <w:gridCol w:w="2626"/>
        <w:gridCol w:w="3887"/>
      </w:tblGrid>
      <w:tr w:rsidR="00871E3B" w14:paraId="2E8DFBD7" w14:textId="77777777">
        <w:trPr>
          <w:trHeight w:val="101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E0EE643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A4430C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74AD11BA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art. 6 ustawy o produktach kosmetycznych.  </w:t>
            </w:r>
          </w:p>
        </w:tc>
      </w:tr>
      <w:tr w:rsidR="00871E3B" w14:paraId="7E7E9527" w14:textId="77777777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336E8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5E26EA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D07C789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Pojedyncze interwencje od podmiotów zlecających wytworzenie produktu lub informacje od innych organów nadzoru. </w:t>
            </w:r>
          </w:p>
        </w:tc>
      </w:tr>
      <w:tr w:rsidR="00871E3B" w14:paraId="6BB0D3E9" w14:textId="77777777">
        <w:trPr>
          <w:trHeight w:val="19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D0CECE"/>
              <w:right w:val="single" w:sz="4" w:space="0" w:color="000000"/>
            </w:tcBorders>
          </w:tcPr>
          <w:p w14:paraId="592CF6D2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2D05C7A8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przesłanki: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51C94B0D" w14:textId="77777777" w:rsidR="00871E3B" w:rsidRDefault="00000000">
            <w:pPr>
              <w:spacing w:after="234" w:line="242" w:lineRule="auto"/>
              <w:ind w:left="1" w:firstLine="0"/>
              <w:jc w:val="left"/>
            </w:pPr>
            <w:r>
              <w:t xml:space="preserve">Rodzaj produktów kosmetycznych: perfumy, produkty z dużą zawartością alkoholu lub niskiego ryzyka mikrobiologicznego  </w:t>
            </w:r>
          </w:p>
          <w:p w14:paraId="32511574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Braki naruszeń kwalifikujących do dużego i średniego ryzyka.   </w:t>
            </w:r>
          </w:p>
        </w:tc>
      </w:tr>
      <w:tr w:rsidR="00871E3B" w14:paraId="1DD45041" w14:textId="77777777">
        <w:trPr>
          <w:trHeight w:val="781"/>
        </w:trPr>
        <w:tc>
          <w:tcPr>
            <w:tcW w:w="7923" w:type="dxa"/>
            <w:gridSpan w:val="3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  <w:vAlign w:val="center"/>
          </w:tcPr>
          <w:p w14:paraId="79BE8A80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Analizy ryzyka - dystrybutorzy: </w:t>
            </w:r>
          </w:p>
        </w:tc>
      </w:tr>
      <w:tr w:rsidR="00871E3B" w14:paraId="1329E1A5" w14:textId="77777777">
        <w:trPr>
          <w:trHeight w:val="582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179BE9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C532BB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937F7CB" w14:textId="77777777" w:rsidR="00871E3B" w:rsidRDefault="00000000">
            <w:pPr>
              <w:tabs>
                <w:tab w:val="center" w:pos="71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 </w:t>
            </w:r>
          </w:p>
        </w:tc>
      </w:tr>
      <w:tr w:rsidR="00871E3B" w14:paraId="681FAFC3" w14:textId="77777777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22193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8EEBCD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7F90ACA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Liczne interwencje konsumenckie, informacje od innych organów. </w:t>
            </w:r>
          </w:p>
        </w:tc>
      </w:tr>
      <w:tr w:rsidR="00871E3B" w14:paraId="7D55AD71" w14:textId="77777777">
        <w:trPr>
          <w:trHeight w:val="14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B784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DAF71A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przesłanki: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B468A79" w14:textId="77777777" w:rsidR="00871E3B" w:rsidRDefault="00000000">
            <w:pPr>
              <w:spacing w:after="243" w:line="234" w:lineRule="auto"/>
              <w:ind w:left="1" w:firstLine="0"/>
              <w:jc w:val="left"/>
            </w:pPr>
            <w:r>
              <w:t xml:space="preserve">Nieterminowe realizowanie zaleceń z poprzednich kontroli.  </w:t>
            </w:r>
          </w:p>
          <w:p w14:paraId="7C3AF854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Unikanie i celowe utrudnianie kontroli. </w:t>
            </w:r>
          </w:p>
        </w:tc>
      </w:tr>
      <w:tr w:rsidR="00871E3B" w14:paraId="0CD162F5" w14:textId="77777777">
        <w:trPr>
          <w:trHeight w:val="152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EBBCDD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Średnie ryzyko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B94B05" w14:textId="77777777" w:rsidR="00871E3B" w:rsidRDefault="00000000">
            <w:pPr>
              <w:spacing w:after="242" w:line="234" w:lineRule="auto"/>
              <w:ind w:left="4" w:firstLine="0"/>
              <w:jc w:val="left"/>
            </w:pPr>
            <w:r>
              <w:t xml:space="preserve">Wyniki poprzednich kontroli: </w:t>
            </w:r>
          </w:p>
          <w:p w14:paraId="7F7FC565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3C4B7F0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Nieliczne uchybienia w zakresie przepisów dotyczących produktów kosmetycznych np. art. 6 i 7 rozporządzenia 1223/2009, Sporadyczne przypadki sprzedaży </w:t>
            </w:r>
          </w:p>
        </w:tc>
      </w:tr>
    </w:tbl>
    <w:p w14:paraId="08A60DC9" w14:textId="5A6B9B32" w:rsidR="00871E3B" w:rsidRDefault="00871E3B">
      <w:pPr>
        <w:spacing w:after="0" w:line="259" w:lineRule="auto"/>
        <w:ind w:left="691" w:firstLine="0"/>
        <w:jc w:val="left"/>
      </w:pPr>
    </w:p>
    <w:tbl>
      <w:tblPr>
        <w:tblStyle w:val="TableGrid"/>
        <w:tblW w:w="7923" w:type="dxa"/>
        <w:tblInd w:w="1998" w:type="dxa"/>
        <w:tblCellMar>
          <w:top w:w="8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410"/>
        <w:gridCol w:w="2626"/>
        <w:gridCol w:w="3887"/>
      </w:tblGrid>
      <w:tr w:rsidR="00871E3B" w14:paraId="58CE4586" w14:textId="77777777">
        <w:trPr>
          <w:trHeight w:val="149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6BA053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F274DB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2C79D432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produktów po upływie terminu trwałości. </w:t>
            </w:r>
          </w:p>
        </w:tc>
      </w:tr>
      <w:tr w:rsidR="00871E3B" w14:paraId="7BF84FAF" w14:textId="77777777">
        <w:trPr>
          <w:trHeight w:val="9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E0AD4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026F75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4D7AD2DD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Pojedyncze interwencje konsumenckie lub informacje od innych organów nadzoru. </w:t>
            </w:r>
          </w:p>
        </w:tc>
      </w:tr>
      <w:tr w:rsidR="00871E3B" w14:paraId="2A9BE824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DFE5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23AF648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przesłanki: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B071ACD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Brak współpracy w czasie kontroli. </w:t>
            </w:r>
          </w:p>
        </w:tc>
      </w:tr>
      <w:tr w:rsidR="00871E3B" w14:paraId="2533B145" w14:textId="77777777">
        <w:trPr>
          <w:trHeight w:val="646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25735D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Niskie ryzyko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9C778CC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Wyniki poprzednich kontroli: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47204ED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Brak uchybień. </w:t>
            </w:r>
          </w:p>
        </w:tc>
      </w:tr>
      <w:tr w:rsidR="00871E3B" w14:paraId="452B76C1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246E3F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FA639FB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70B3CE2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Brak interwencji. </w:t>
            </w:r>
          </w:p>
        </w:tc>
      </w:tr>
      <w:tr w:rsidR="00871E3B" w14:paraId="1AFCEC83" w14:textId="77777777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9CFC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CE4558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przesłanki: </w:t>
            </w:r>
          </w:p>
        </w:tc>
        <w:tc>
          <w:tcPr>
            <w:tcW w:w="3887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46F39E" w14:textId="77777777" w:rsidR="00871E3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Braki naruszeń kwalifikujących do dużego i średniego ryzyka.   </w:t>
            </w:r>
          </w:p>
        </w:tc>
      </w:tr>
    </w:tbl>
    <w:p w14:paraId="740A17A8" w14:textId="77777777" w:rsidR="00871E3B" w:rsidRDefault="00000000">
      <w:pPr>
        <w:spacing w:after="9" w:line="259" w:lineRule="auto"/>
        <w:ind w:left="2688" w:firstLine="0"/>
        <w:jc w:val="left"/>
      </w:pPr>
      <w:r>
        <w:t xml:space="preserve"> </w:t>
      </w:r>
    </w:p>
    <w:p w14:paraId="423A7F78" w14:textId="77777777" w:rsidR="00871E3B" w:rsidRDefault="00000000">
      <w:pPr>
        <w:spacing w:after="2" w:line="259" w:lineRule="auto"/>
        <w:ind w:left="753" w:right="158"/>
        <w:jc w:val="center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OBSZAR SUBSTANCJI CHEMICZNYCH I ICH MIESZANIN  </w:t>
      </w:r>
    </w:p>
    <w:tbl>
      <w:tblPr>
        <w:tblStyle w:val="TableGrid"/>
        <w:tblW w:w="7923" w:type="dxa"/>
        <w:tblInd w:w="1998" w:type="dxa"/>
        <w:tblCellMar>
          <w:top w:w="89" w:type="dxa"/>
          <w:left w:w="104" w:type="dxa"/>
          <w:bottom w:w="46" w:type="dxa"/>
          <w:right w:w="62" w:type="dxa"/>
        </w:tblCellMar>
        <w:tblLook w:val="04A0" w:firstRow="1" w:lastRow="0" w:firstColumn="1" w:lastColumn="0" w:noHBand="0" w:noVBand="1"/>
      </w:tblPr>
      <w:tblGrid>
        <w:gridCol w:w="1494"/>
        <w:gridCol w:w="3314"/>
        <w:gridCol w:w="3115"/>
      </w:tblGrid>
      <w:tr w:rsidR="00871E3B" w14:paraId="76F92A84" w14:textId="77777777">
        <w:trPr>
          <w:trHeight w:val="542"/>
        </w:trPr>
        <w:tc>
          <w:tcPr>
            <w:tcW w:w="7923" w:type="dxa"/>
            <w:gridSpan w:val="3"/>
            <w:tcBorders>
              <w:top w:val="single" w:sz="4" w:space="0" w:color="000000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  <w:vAlign w:val="bottom"/>
          </w:tcPr>
          <w:p w14:paraId="5938E6C0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Kontrola podmiotów wprowadzających do obrotu </w:t>
            </w:r>
          </w:p>
        </w:tc>
      </w:tr>
      <w:tr w:rsidR="00871E3B" w14:paraId="4B4F3A39" w14:textId="77777777">
        <w:trPr>
          <w:trHeight w:val="3692"/>
        </w:trPr>
        <w:tc>
          <w:tcPr>
            <w:tcW w:w="1494" w:type="dxa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4FE0F0D4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Dokumenty </w:t>
            </w:r>
          </w:p>
        </w:tc>
        <w:tc>
          <w:tcPr>
            <w:tcW w:w="6429" w:type="dxa"/>
            <w:gridSpan w:val="2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0383DDFF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dot. rejestracji substancji chemicznej w ECHA; </w:t>
            </w:r>
          </w:p>
          <w:p w14:paraId="74E81F1B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dot. zezwoleń  </w:t>
            </w:r>
          </w:p>
          <w:p w14:paraId="07FE33BE" w14:textId="77777777" w:rsidR="00871E3B" w:rsidRDefault="00000000">
            <w:pPr>
              <w:spacing w:after="0" w:line="234" w:lineRule="auto"/>
              <w:ind w:left="4" w:firstLine="0"/>
              <w:jc w:val="left"/>
            </w:pPr>
            <w:r>
              <w:t xml:space="preserve">Dokumentacja dotycząca spełnienia ograniczenia zawartego w załączaniu XVII </w:t>
            </w:r>
          </w:p>
          <w:p w14:paraId="3E13A6E9" w14:textId="77777777" w:rsidR="00871E3B" w:rsidRDefault="00000000">
            <w:pPr>
              <w:spacing w:after="0" w:line="234" w:lineRule="auto"/>
              <w:ind w:left="4" w:firstLine="0"/>
              <w:jc w:val="left"/>
            </w:pPr>
            <w:r>
              <w:t xml:space="preserve">Dokumentacja w zakresie informacji o substancjach zawartych w wyrobach (SVHC), bazy SCIP, zgłoszeń PCN/UFI </w:t>
            </w:r>
          </w:p>
          <w:p w14:paraId="12F71CE7" w14:textId="77777777" w:rsidR="00871E3B" w:rsidRDefault="00000000">
            <w:pPr>
              <w:spacing w:after="0" w:line="234" w:lineRule="auto"/>
              <w:ind w:left="4" w:firstLine="0"/>
              <w:jc w:val="left"/>
            </w:pPr>
            <w:r>
              <w:t xml:space="preserve">Karty charakterystyki substancji chemicznych lub ich mieszanin (REACH); </w:t>
            </w:r>
          </w:p>
          <w:p w14:paraId="2D1C7EBE" w14:textId="77777777" w:rsidR="00871E3B" w:rsidRDefault="00000000">
            <w:pPr>
              <w:spacing w:after="3" w:line="234" w:lineRule="auto"/>
              <w:ind w:left="4" w:firstLine="0"/>
              <w:jc w:val="left"/>
            </w:pPr>
            <w:r>
              <w:t xml:space="preserve">Dokumentacja dot. klasyfikacji i oznakowania, dokumentacja potwierdzająca dokonanie klasyfikacji zgodnie z rozporządzeniem CLP. </w:t>
            </w:r>
          </w:p>
          <w:p w14:paraId="39371B09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dotycząca zgłoszenia do C&amp;L Inventory </w:t>
            </w:r>
          </w:p>
          <w:p w14:paraId="12150436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Dokumentacja dot. detergentów </w:t>
            </w:r>
          </w:p>
        </w:tc>
      </w:tr>
      <w:tr w:rsidR="00871E3B" w14:paraId="03A8EBD4" w14:textId="77777777">
        <w:trPr>
          <w:trHeight w:val="545"/>
        </w:trPr>
        <w:tc>
          <w:tcPr>
            <w:tcW w:w="7923" w:type="dxa"/>
            <w:gridSpan w:val="3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  <w:vAlign w:val="bottom"/>
          </w:tcPr>
          <w:p w14:paraId="397975CC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Kontrola podmiotów w łańcuchu dostaw </w:t>
            </w:r>
          </w:p>
        </w:tc>
      </w:tr>
      <w:tr w:rsidR="00871E3B" w14:paraId="6068014E" w14:textId="77777777">
        <w:trPr>
          <w:trHeight w:val="653"/>
        </w:trPr>
        <w:tc>
          <w:tcPr>
            <w:tcW w:w="1494" w:type="dxa"/>
            <w:vMerge w:val="restart"/>
            <w:tcBorders>
              <w:top w:val="double" w:sz="9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26BD9E5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Dokumenty i oznakowanie </w:t>
            </w:r>
          </w:p>
        </w:tc>
        <w:tc>
          <w:tcPr>
            <w:tcW w:w="6429" w:type="dxa"/>
            <w:gridSpan w:val="2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7E92CA4E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Karty charakterystyki substancji chemicznych lub ich mieszanin (REACH). </w:t>
            </w:r>
          </w:p>
        </w:tc>
      </w:tr>
      <w:tr w:rsidR="00871E3B" w14:paraId="0E505619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06FE8E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9" w:type="dxa"/>
            <w:gridSpan w:val="2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546052AB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Etykiety i opakowania (CLP). </w:t>
            </w:r>
          </w:p>
        </w:tc>
      </w:tr>
      <w:tr w:rsidR="00871E3B" w14:paraId="7CBC9079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D0CECE"/>
              <w:right w:val="single" w:sz="4" w:space="0" w:color="000000"/>
            </w:tcBorders>
          </w:tcPr>
          <w:p w14:paraId="3B03A6BE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9" w:type="dxa"/>
            <w:gridSpan w:val="2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</w:tcPr>
          <w:p w14:paraId="1620A091" w14:textId="77777777" w:rsidR="00871E3B" w:rsidRDefault="00000000">
            <w:pPr>
              <w:spacing w:after="0" w:line="259" w:lineRule="auto"/>
              <w:ind w:left="4" w:right="9" w:firstLine="0"/>
              <w:jc w:val="left"/>
            </w:pPr>
            <w:r>
              <w:t xml:space="preserve">Dokumentacja dot. łańcucha dostaw (potwierdzenie pochodzenia produktów oraz ich nabywców). </w:t>
            </w:r>
          </w:p>
        </w:tc>
      </w:tr>
      <w:tr w:rsidR="00871E3B" w14:paraId="2772C72F" w14:textId="77777777">
        <w:trPr>
          <w:trHeight w:val="545"/>
        </w:trPr>
        <w:tc>
          <w:tcPr>
            <w:tcW w:w="7923" w:type="dxa"/>
            <w:gridSpan w:val="3"/>
            <w:tcBorders>
              <w:top w:val="double" w:sz="9" w:space="0" w:color="D0CECE"/>
              <w:left w:val="single" w:sz="4" w:space="0" w:color="000000"/>
              <w:bottom w:val="double" w:sz="9" w:space="0" w:color="D0CECE"/>
              <w:right w:val="single" w:sz="4" w:space="0" w:color="000000"/>
            </w:tcBorders>
            <w:shd w:val="clear" w:color="auto" w:fill="D0CECE"/>
            <w:vAlign w:val="bottom"/>
          </w:tcPr>
          <w:p w14:paraId="68FF5BD4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Analiza ryzyka </w:t>
            </w:r>
          </w:p>
        </w:tc>
      </w:tr>
      <w:tr w:rsidR="00871E3B" w14:paraId="65587D04" w14:textId="77777777">
        <w:trPr>
          <w:trHeight w:val="2209"/>
        </w:trPr>
        <w:tc>
          <w:tcPr>
            <w:tcW w:w="1494" w:type="dxa"/>
            <w:tcBorders>
              <w:top w:val="double" w:sz="9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9501084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Wysokie ryzyko </w:t>
            </w:r>
          </w:p>
        </w:tc>
        <w:tc>
          <w:tcPr>
            <w:tcW w:w="3314" w:type="dxa"/>
            <w:tcBorders>
              <w:top w:val="double" w:sz="9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F968BDF" w14:textId="77777777" w:rsidR="00871E3B" w:rsidRDefault="00000000">
            <w:pPr>
              <w:spacing w:after="214" w:line="259" w:lineRule="auto"/>
              <w:ind w:left="4" w:firstLine="0"/>
              <w:jc w:val="left"/>
            </w:pPr>
            <w:r>
              <w:t xml:space="preserve">Wyniki poprzednich kontroli </w:t>
            </w:r>
          </w:p>
          <w:p w14:paraId="1D809D7D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 oraz informacje od innych organów </w:t>
            </w:r>
          </w:p>
        </w:tc>
        <w:tc>
          <w:tcPr>
            <w:tcW w:w="3114" w:type="dxa"/>
            <w:tcBorders>
              <w:top w:val="double" w:sz="9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269614" w14:textId="77777777" w:rsidR="00871E3B" w:rsidRDefault="00000000">
            <w:pPr>
              <w:spacing w:after="0" w:line="259" w:lineRule="auto"/>
              <w:ind w:left="2" w:right="25" w:firstLine="0"/>
              <w:jc w:val="left"/>
            </w:pPr>
            <w:r>
              <w:t xml:space="preserve">Stwierdzone w poprzednich kontrolach poważne uchybienia, liczne interwencje (10 lub więcej w okresie 5 lat) i/lub informacje od innych organów dotyczące poniższych obowiązków w </w:t>
            </w:r>
          </w:p>
        </w:tc>
      </w:tr>
    </w:tbl>
    <w:p w14:paraId="690B8DBA" w14:textId="77777777" w:rsidR="00871E3B" w:rsidRDefault="00000000">
      <w:pPr>
        <w:spacing w:after="0" w:line="259" w:lineRule="auto"/>
        <w:ind w:left="852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7923" w:type="dxa"/>
        <w:tblInd w:w="1998" w:type="dxa"/>
        <w:tblCellMar>
          <w:top w:w="88" w:type="dxa"/>
          <w:left w:w="107" w:type="dxa"/>
          <w:right w:w="101" w:type="dxa"/>
        </w:tblCellMar>
        <w:tblLook w:val="04A0" w:firstRow="1" w:lastRow="0" w:firstColumn="1" w:lastColumn="0" w:noHBand="0" w:noVBand="1"/>
      </w:tblPr>
      <w:tblGrid>
        <w:gridCol w:w="1495"/>
        <w:gridCol w:w="3314"/>
        <w:gridCol w:w="3114"/>
      </w:tblGrid>
      <w:tr w:rsidR="00871E3B" w14:paraId="2A8C72B6" w14:textId="77777777">
        <w:trPr>
          <w:trHeight w:val="220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B48F973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996ABA9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444809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zakresie substancji chemicznych i ich mieszanin: </w:t>
            </w:r>
          </w:p>
        </w:tc>
      </w:tr>
    </w:tbl>
    <w:p w14:paraId="69198A1B" w14:textId="77777777" w:rsidR="00871E3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923" w:type="dxa"/>
        <w:tblInd w:w="1998" w:type="dxa"/>
        <w:tblCellMar>
          <w:top w:w="83" w:type="dxa"/>
          <w:left w:w="104" w:type="dxa"/>
          <w:right w:w="21" w:type="dxa"/>
        </w:tblCellMar>
        <w:tblLook w:val="04A0" w:firstRow="1" w:lastRow="0" w:firstColumn="1" w:lastColumn="0" w:noHBand="0" w:noVBand="1"/>
      </w:tblPr>
      <w:tblGrid>
        <w:gridCol w:w="1495"/>
        <w:gridCol w:w="3314"/>
        <w:gridCol w:w="3114"/>
      </w:tblGrid>
      <w:tr w:rsidR="00871E3B" w14:paraId="795E5E01" w14:textId="77777777">
        <w:trPr>
          <w:trHeight w:val="8817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D40D6C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49139305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EFBF5CB" w14:textId="77777777" w:rsidR="00871E3B" w:rsidRDefault="00000000">
            <w:pPr>
              <w:numPr>
                <w:ilvl w:val="0"/>
                <w:numId w:val="9"/>
              </w:numPr>
              <w:spacing w:after="0" w:line="241" w:lineRule="auto"/>
              <w:ind w:right="66" w:hanging="283"/>
            </w:pPr>
            <w:r>
              <w:t xml:space="preserve">wprowadzanie do obrotu lub stosowanie substancji,  </w:t>
            </w:r>
          </w:p>
          <w:p w14:paraId="73113174" w14:textId="77777777" w:rsidR="00871E3B" w:rsidRDefault="00000000">
            <w:pPr>
              <w:spacing w:after="12" w:line="234" w:lineRule="auto"/>
              <w:ind w:left="338" w:firstLine="0"/>
              <w:jc w:val="left"/>
            </w:pPr>
            <w:r>
              <w:t xml:space="preserve">mieszanin, bez wymaganej rejestracji; </w:t>
            </w:r>
          </w:p>
          <w:p w14:paraId="75A31EA2" w14:textId="77777777" w:rsidR="00871E3B" w:rsidRDefault="00000000">
            <w:pPr>
              <w:numPr>
                <w:ilvl w:val="0"/>
                <w:numId w:val="9"/>
              </w:numPr>
              <w:spacing w:after="5" w:line="238" w:lineRule="auto"/>
              <w:ind w:right="66" w:hanging="283"/>
            </w:pPr>
            <w:r>
              <w:t xml:space="preserve">brak raportu bezpieczeństwa chemicznego zgodnie z REACH; </w:t>
            </w:r>
          </w:p>
          <w:p w14:paraId="0DDB117C" w14:textId="77777777" w:rsidR="00871E3B" w:rsidRDefault="00000000">
            <w:pPr>
              <w:numPr>
                <w:ilvl w:val="0"/>
                <w:numId w:val="9"/>
              </w:numPr>
              <w:spacing w:after="1" w:line="237" w:lineRule="auto"/>
              <w:ind w:right="66" w:hanging="283"/>
            </w:pPr>
            <w:r>
              <w:t xml:space="preserve">niespełnianie przepisów prawa w zakresie zał. XIV (zezwolenia ) i zał. XVII  </w:t>
            </w:r>
          </w:p>
          <w:p w14:paraId="283A736D" w14:textId="77777777" w:rsidR="00871E3B" w:rsidRDefault="00000000">
            <w:pPr>
              <w:spacing w:after="0" w:line="259" w:lineRule="auto"/>
              <w:ind w:left="10" w:firstLine="0"/>
              <w:jc w:val="center"/>
            </w:pPr>
            <w:r>
              <w:t xml:space="preserve">(ograniczenia) REACH; </w:t>
            </w:r>
          </w:p>
          <w:p w14:paraId="656AEAF8" w14:textId="77777777" w:rsidR="00871E3B" w:rsidRDefault="00000000">
            <w:pPr>
              <w:numPr>
                <w:ilvl w:val="0"/>
                <w:numId w:val="9"/>
              </w:numPr>
              <w:spacing w:after="7" w:line="235" w:lineRule="auto"/>
              <w:ind w:right="66" w:hanging="283"/>
            </w:pPr>
            <w:r>
              <w:t xml:space="preserve">niespełnianie przepisów prawa w zakresie badań na zwierzętach kręgowych (REACH) oraz na ludziach i zwierzętach (CLP). </w:t>
            </w:r>
          </w:p>
          <w:p w14:paraId="51C52C25" w14:textId="77777777" w:rsidR="00871E3B" w:rsidRDefault="00000000">
            <w:pPr>
              <w:numPr>
                <w:ilvl w:val="0"/>
                <w:numId w:val="9"/>
              </w:numPr>
              <w:spacing w:after="1" w:line="235" w:lineRule="auto"/>
              <w:ind w:right="66" w:hanging="283"/>
            </w:pPr>
            <w:r>
              <w:t xml:space="preserve">wprowadzanie bez wymaganej zgody na odstępstwo (wg. </w:t>
            </w:r>
          </w:p>
          <w:p w14:paraId="143B718B" w14:textId="77777777" w:rsidR="00871E3B" w:rsidRDefault="00000000">
            <w:pPr>
              <w:spacing w:after="239" w:line="235" w:lineRule="auto"/>
              <w:ind w:left="338" w:right="9" w:firstLine="0"/>
              <w:jc w:val="left"/>
            </w:pPr>
            <w:r>
              <w:t xml:space="preserve">rozporządzenia w sprawie detergentów) środka powierzchniowo czynnego; </w:t>
            </w:r>
          </w:p>
          <w:p w14:paraId="477F9CC4" w14:textId="77777777" w:rsidR="00871E3B" w:rsidRDefault="00000000">
            <w:pPr>
              <w:spacing w:after="242" w:line="234" w:lineRule="auto"/>
              <w:ind w:left="2" w:firstLine="0"/>
              <w:jc w:val="left"/>
            </w:pPr>
            <w:r>
              <w:t xml:space="preserve">Nieterminowe realizowanie zaleceń z poprzednich kontroli.  </w:t>
            </w:r>
          </w:p>
          <w:p w14:paraId="05ADD8AF" w14:textId="77777777" w:rsidR="00871E3B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Unikanie i celowe utrudnianie kontroli.   </w:t>
            </w:r>
          </w:p>
        </w:tc>
      </w:tr>
      <w:tr w:rsidR="00871E3B" w14:paraId="221DF4C7" w14:textId="77777777">
        <w:trPr>
          <w:trHeight w:val="2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418D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4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9649B5B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przesłanki  </w:t>
            </w:r>
          </w:p>
        </w:tc>
        <w:tc>
          <w:tcPr>
            <w:tcW w:w="3114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A8E9CC" w14:textId="77777777" w:rsidR="00871E3B" w:rsidRDefault="00000000">
            <w:pPr>
              <w:spacing w:after="0" w:line="259" w:lineRule="auto"/>
              <w:ind w:left="2" w:right="202" w:firstLine="0"/>
              <w:jc w:val="left"/>
            </w:pPr>
            <w:r>
              <w:t xml:space="preserve">W przypadku producentów i wprowadzających do obrotu: </w:t>
            </w:r>
            <w:r>
              <w:rPr>
                <w:rFonts w:ascii="Arial" w:eastAsia="Arial" w:hAnsi="Arial" w:cs="Arial"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brak </w:t>
            </w:r>
            <w:r>
              <w:tab/>
              <w:t xml:space="preserve">atestowanego zamknięcia zabezpieczającego przed otwarciem przez dziećmi w przypadku, gdy jest to wymagane. </w:t>
            </w:r>
          </w:p>
        </w:tc>
      </w:tr>
    </w:tbl>
    <w:p w14:paraId="02349C2F" w14:textId="6D2DB47D" w:rsidR="00871E3B" w:rsidRDefault="00871E3B">
      <w:pPr>
        <w:spacing w:after="0" w:line="259" w:lineRule="auto"/>
        <w:ind w:left="634" w:firstLine="0"/>
        <w:jc w:val="left"/>
      </w:pPr>
    </w:p>
    <w:tbl>
      <w:tblPr>
        <w:tblStyle w:val="TableGrid"/>
        <w:tblW w:w="7923" w:type="dxa"/>
        <w:tblInd w:w="1998" w:type="dxa"/>
        <w:tblCellMar>
          <w:top w:w="83" w:type="dxa"/>
          <w:left w:w="104" w:type="dxa"/>
          <w:right w:w="22" w:type="dxa"/>
        </w:tblCellMar>
        <w:tblLook w:val="04A0" w:firstRow="1" w:lastRow="0" w:firstColumn="1" w:lastColumn="0" w:noHBand="0" w:noVBand="1"/>
      </w:tblPr>
      <w:tblGrid>
        <w:gridCol w:w="1495"/>
        <w:gridCol w:w="3314"/>
        <w:gridCol w:w="3114"/>
      </w:tblGrid>
      <w:tr w:rsidR="00871E3B" w14:paraId="01527EFB" w14:textId="77777777">
        <w:trPr>
          <w:trHeight w:val="446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7587737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Średnie ryzyko 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57E23F0A" w14:textId="77777777" w:rsidR="00871E3B" w:rsidRDefault="00000000">
            <w:pPr>
              <w:spacing w:after="213" w:line="259" w:lineRule="auto"/>
              <w:ind w:left="4" w:firstLine="0"/>
              <w:jc w:val="left"/>
            </w:pPr>
            <w:r>
              <w:t xml:space="preserve">Wyniki poprzednich kontroli </w:t>
            </w:r>
          </w:p>
          <w:p w14:paraId="1D994D1C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 oraz informacje od innych organów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D2FE2EC" w14:textId="77777777" w:rsidR="00871E3B" w:rsidRDefault="00000000">
            <w:pPr>
              <w:spacing w:after="242" w:line="234" w:lineRule="auto"/>
              <w:ind w:left="2" w:firstLine="0"/>
              <w:jc w:val="left"/>
            </w:pPr>
            <w:r>
              <w:t xml:space="preserve">Stwierdzone w poprzednich kontrolach uchybienia, interwencje (powyżej 3 w okresie 3 lat) i/lub informacje od innych organów w zakresie przepisów dotyczących substancji chemicznych i ich mieszanin oraz detergentów nie opisane w punkcie dotyczącym wysokiego ryzyka.  </w:t>
            </w:r>
          </w:p>
          <w:p w14:paraId="5121309B" w14:textId="77777777" w:rsidR="00871E3B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Brak dokumentacji w łańcuchu dostaw m.in. zakresie informacji o substancjach zawartych w  </w:t>
            </w:r>
          </w:p>
        </w:tc>
      </w:tr>
      <w:tr w:rsidR="00871E3B" w14:paraId="0C2574EA" w14:textId="77777777">
        <w:trPr>
          <w:trHeight w:val="1429"/>
        </w:trPr>
        <w:tc>
          <w:tcPr>
            <w:tcW w:w="1494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54DE2066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4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88DD241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114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23C7EDD1" w14:textId="77777777" w:rsidR="00871E3B" w:rsidRDefault="00000000">
            <w:pPr>
              <w:spacing w:after="242" w:line="235" w:lineRule="auto"/>
              <w:ind w:left="2" w:right="8" w:firstLine="0"/>
            </w:pPr>
            <w:r>
              <w:t xml:space="preserve">wyrobach (SVHC), bazy SCIP, zgłoszeń PCN/UFI. </w:t>
            </w:r>
          </w:p>
          <w:p w14:paraId="47FB3B79" w14:textId="77777777" w:rsidR="00871E3B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Brak współpracy w czasie poprzednich kontroli. </w:t>
            </w:r>
          </w:p>
        </w:tc>
      </w:tr>
      <w:tr w:rsidR="00871E3B" w14:paraId="3FDEA752" w14:textId="77777777">
        <w:trPr>
          <w:trHeight w:val="3430"/>
        </w:trPr>
        <w:tc>
          <w:tcPr>
            <w:tcW w:w="1494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402F453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4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5063DA49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przesłanki </w:t>
            </w:r>
          </w:p>
        </w:tc>
        <w:tc>
          <w:tcPr>
            <w:tcW w:w="3114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21B9FCF6" w14:textId="77777777" w:rsidR="00871E3B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W przypadku importerów:  </w:t>
            </w:r>
          </w:p>
          <w:p w14:paraId="772A260E" w14:textId="77777777" w:rsidR="00871E3B" w:rsidRDefault="00000000">
            <w:pPr>
              <w:numPr>
                <w:ilvl w:val="0"/>
                <w:numId w:val="10"/>
              </w:numPr>
              <w:spacing w:after="3" w:line="240" w:lineRule="auto"/>
              <w:ind w:right="193" w:hanging="360"/>
              <w:jc w:val="left"/>
            </w:pPr>
            <w:r>
              <w:t xml:space="preserve">niezgodności dotyczące zgłoszeń do C&amp;L Inventory; </w:t>
            </w:r>
          </w:p>
          <w:p w14:paraId="2702EC3C" w14:textId="77777777" w:rsidR="00871E3B" w:rsidRDefault="00000000">
            <w:pPr>
              <w:numPr>
                <w:ilvl w:val="0"/>
                <w:numId w:val="10"/>
              </w:numPr>
              <w:spacing w:after="0" w:line="245" w:lineRule="auto"/>
              <w:ind w:right="193" w:hanging="360"/>
              <w:jc w:val="left"/>
            </w:pPr>
            <w:r>
              <w:t xml:space="preserve">niezgodności dotyczące  zgłoszeń oraz identyfikacji substancji </w:t>
            </w:r>
          </w:p>
          <w:p w14:paraId="362D8B18" w14:textId="77777777" w:rsidR="00871E3B" w:rsidRDefault="00000000">
            <w:pPr>
              <w:spacing w:after="213" w:line="259" w:lineRule="auto"/>
              <w:ind w:left="362" w:firstLine="0"/>
              <w:jc w:val="left"/>
            </w:pPr>
            <w:r>
              <w:t xml:space="preserve">SVHC. </w:t>
            </w:r>
          </w:p>
          <w:p w14:paraId="0C3DF4A2" w14:textId="77777777" w:rsidR="00871E3B" w:rsidRDefault="00000000">
            <w:pPr>
              <w:spacing w:after="0" w:line="259" w:lineRule="auto"/>
              <w:ind w:left="2" w:right="42" w:firstLine="0"/>
              <w:jc w:val="left"/>
            </w:pPr>
            <w:r>
              <w:t xml:space="preserve">Braki naruszeń kwalifikujących do wysokiego ryzyka.   </w:t>
            </w:r>
          </w:p>
        </w:tc>
      </w:tr>
      <w:tr w:rsidR="00871E3B" w14:paraId="2C95B0DB" w14:textId="77777777">
        <w:trPr>
          <w:trHeight w:val="3327"/>
        </w:trPr>
        <w:tc>
          <w:tcPr>
            <w:tcW w:w="1494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5BC5BEAB" w14:textId="77777777" w:rsidR="00871E3B" w:rsidRDefault="00000000">
            <w:pPr>
              <w:spacing w:after="0" w:line="259" w:lineRule="auto"/>
              <w:ind w:left="0" w:right="16" w:firstLine="0"/>
              <w:jc w:val="left"/>
            </w:pPr>
            <w:r>
              <w:t xml:space="preserve">Niskie ryzyko  </w:t>
            </w:r>
          </w:p>
        </w:tc>
        <w:tc>
          <w:tcPr>
            <w:tcW w:w="3314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4C3083B5" w14:textId="77777777" w:rsidR="00871E3B" w:rsidRDefault="00000000">
            <w:pPr>
              <w:spacing w:after="213" w:line="259" w:lineRule="auto"/>
              <w:ind w:left="4" w:firstLine="0"/>
              <w:jc w:val="left"/>
            </w:pPr>
            <w:r>
              <w:t xml:space="preserve">Wyniki poprzednich kontroli </w:t>
            </w:r>
          </w:p>
          <w:p w14:paraId="7C398B92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Interwencje </w:t>
            </w:r>
          </w:p>
          <w:p w14:paraId="46AC518E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  <w:tc>
          <w:tcPr>
            <w:tcW w:w="3114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5BC1959E" w14:textId="77777777" w:rsidR="00871E3B" w:rsidRDefault="00000000">
            <w:pPr>
              <w:spacing w:after="0" w:line="259" w:lineRule="auto"/>
              <w:ind w:left="2" w:right="57" w:firstLine="0"/>
              <w:jc w:val="left"/>
            </w:pPr>
            <w:r>
              <w:t xml:space="preserve">Stwierdzone w poprzednich kontrolach pojedyncze, drobne uchybienia lub interwencje (1-3 w okresie 5 lat) w zakresie przepisów dotyczących substancji chemicznych i ich mieszanin oraz detergentów nie opisane w punktach dotyczących wysokiego i średniego ryzyka. </w:t>
            </w:r>
          </w:p>
        </w:tc>
      </w:tr>
      <w:tr w:rsidR="00871E3B" w14:paraId="1593F2F0" w14:textId="77777777">
        <w:trPr>
          <w:trHeight w:val="1224"/>
        </w:trPr>
        <w:tc>
          <w:tcPr>
            <w:tcW w:w="1494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5AE8EF7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314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AF3F33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Inne przesłanki: </w:t>
            </w:r>
          </w:p>
        </w:tc>
        <w:tc>
          <w:tcPr>
            <w:tcW w:w="3114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218341D" w14:textId="77777777" w:rsidR="00871E3B" w:rsidRDefault="00000000">
            <w:pPr>
              <w:spacing w:after="0" w:line="259" w:lineRule="auto"/>
              <w:ind w:left="2" w:right="57" w:firstLine="0"/>
              <w:jc w:val="left"/>
            </w:pPr>
            <w:r>
              <w:t xml:space="preserve">Braki naruszeń kwalifikujących do wysokiego i średniego ryzyka.   </w:t>
            </w:r>
          </w:p>
        </w:tc>
      </w:tr>
    </w:tbl>
    <w:p w14:paraId="67DB8FB7" w14:textId="2977B83D" w:rsidR="005651C6" w:rsidRDefault="00000000" w:rsidP="005651C6">
      <w:pPr>
        <w:spacing w:after="0" w:line="259" w:lineRule="auto"/>
        <w:ind w:left="1971" w:firstLine="0"/>
        <w:jc w:val="left"/>
      </w:pPr>
      <w:r>
        <w:t xml:space="preserve"> </w:t>
      </w:r>
    </w:p>
    <w:p w14:paraId="100D459E" w14:textId="260B6ADC" w:rsidR="00871E3B" w:rsidRDefault="00000000">
      <w:pPr>
        <w:spacing w:after="49"/>
        <w:ind w:left="802"/>
      </w:pPr>
      <w:r>
        <w:t xml:space="preserve">Uwagi ogólne dla wszystkich obszarów </w:t>
      </w:r>
      <w:r>
        <w:tab/>
        <w:t xml:space="preserve"> </w:t>
      </w:r>
    </w:p>
    <w:p w14:paraId="68346D00" w14:textId="77777777" w:rsidR="00871E3B" w:rsidRDefault="00000000">
      <w:pPr>
        <w:tabs>
          <w:tab w:val="center" w:pos="1971"/>
          <w:tab w:val="center" w:pos="3612"/>
        </w:tabs>
        <w:spacing w:after="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</w:t>
      </w:r>
      <w:r>
        <w:rPr>
          <w:b/>
        </w:rPr>
        <w:tab/>
        <w:t xml:space="preserve">1. Częstotliwość kontroli: </w:t>
      </w:r>
    </w:p>
    <w:p w14:paraId="3E469874" w14:textId="77777777" w:rsidR="00871E3B" w:rsidRDefault="00000000">
      <w:pPr>
        <w:ind w:left="1966" w:right="1077"/>
      </w:pPr>
      <w:r>
        <w:rPr>
          <w:u w:val="single" w:color="000000"/>
        </w:rPr>
        <w:t>Duże ryzyko</w:t>
      </w:r>
      <w:r>
        <w:t xml:space="preserve">: tak często, jak to konieczne dla zapewnienia skutecznego stosowania odpowiednich przepisów, z uwzględnieniem wysokiego ryzyka wystąpienia nieprawidłowości oraz środków niezbędnych do jego ograniczenia. </w:t>
      </w:r>
    </w:p>
    <w:p w14:paraId="355372DB" w14:textId="77777777" w:rsidR="00871E3B" w:rsidRDefault="00000000">
      <w:pPr>
        <w:ind w:left="1966" w:right="1077"/>
      </w:pPr>
      <w:r>
        <w:rPr>
          <w:u w:val="single" w:color="000000"/>
        </w:rPr>
        <w:t>Średnie ryzyko</w:t>
      </w:r>
      <w:r>
        <w:t xml:space="preserve">: nie częściej niż raz w ciągu 3 lat. </w:t>
      </w:r>
    </w:p>
    <w:p w14:paraId="5D6A17CB" w14:textId="77777777" w:rsidR="00871E3B" w:rsidRDefault="00000000">
      <w:pPr>
        <w:ind w:left="1966" w:right="1077"/>
      </w:pPr>
      <w:r>
        <w:rPr>
          <w:u w:val="single" w:color="000000"/>
        </w:rPr>
        <w:t>Niskie ryzyko</w:t>
      </w:r>
      <w:r>
        <w:t xml:space="preserve">; nie częściej niż raz w ciągu 5 lat. </w:t>
      </w:r>
    </w:p>
    <w:p w14:paraId="4A1FB796" w14:textId="77777777" w:rsidR="00871E3B" w:rsidRDefault="00000000">
      <w:pPr>
        <w:ind w:left="1966" w:right="1077"/>
      </w:pPr>
      <w:r>
        <w:t xml:space="preserve">W każdym przypadku właściwy terenowo państwowy powiatowy inspektor sanitarny może zwiększyć częstotliwość kontroli, tzn. przedsiębiorstwo może zostać zakwalifikowane do wyższej kategorii ryzyka z uwagi na stwierdzone podczas kontroli nieprawidłowości, wpływające zasadne interwencje oraz informacje od innych organów lub na skutek uzasadnionych przesłanek wynikających z sytuacji sanitarno-epidemiologicznej. </w:t>
      </w:r>
    </w:p>
    <w:p w14:paraId="3DD2E476" w14:textId="77777777" w:rsidR="00871E3B" w:rsidRDefault="00000000">
      <w:pPr>
        <w:spacing w:after="242"/>
        <w:ind w:left="1966" w:right="1077"/>
      </w:pPr>
      <w:r>
        <w:t xml:space="preserve">Należy pamiętać, że zasady częstotliwości kontroli wynikające z kategorii ryzyka stosuje się z uwzględnieniem przepisów szczególnych, które mogą określać inne częstotliwości lub procedury kontroli w danym obszarze nadzoru. </w:t>
      </w:r>
    </w:p>
    <w:p w14:paraId="5E935D14" w14:textId="77777777" w:rsidR="00871E3B" w:rsidRDefault="00000000">
      <w:pPr>
        <w:numPr>
          <w:ilvl w:val="0"/>
          <w:numId w:val="1"/>
        </w:numPr>
        <w:spacing w:after="2" w:line="259" w:lineRule="auto"/>
        <w:ind w:hanging="360"/>
        <w:jc w:val="left"/>
      </w:pPr>
      <w:r>
        <w:rPr>
          <w:b/>
        </w:rPr>
        <w:t xml:space="preserve">Nadzór nad środkami zastępczymi, NPS i prekursorami kat. 2 i 3: </w:t>
      </w:r>
    </w:p>
    <w:p w14:paraId="5666BCC7" w14:textId="77777777" w:rsidR="00871E3B" w:rsidRDefault="00000000">
      <w:pPr>
        <w:ind w:left="1966" w:right="1077"/>
      </w:pPr>
      <w:r>
        <w:t xml:space="preserve">Środki zastępcze – nadzór ma charakter interwencyjny </w:t>
      </w:r>
    </w:p>
    <w:p w14:paraId="3E650971" w14:textId="77777777" w:rsidR="00871E3B" w:rsidRDefault="00000000">
      <w:pPr>
        <w:ind w:left="1966" w:right="1077"/>
      </w:pPr>
      <w:r>
        <w:t xml:space="preserve">Nadzór nad przedsiębiorstwami w których przetwarzane, przerabiane itd. są NSP – kontrole na wniosek Biura  </w:t>
      </w:r>
    </w:p>
    <w:p w14:paraId="45280426" w14:textId="77777777" w:rsidR="00871E3B" w:rsidRDefault="00000000">
      <w:pPr>
        <w:spacing w:after="244"/>
        <w:ind w:left="1966" w:right="1077"/>
      </w:pPr>
      <w:r>
        <w:t xml:space="preserve">Nadzór nad przedsiębiorstwami, w których są używane prekursory narkotyków kat. 2 i 3 – kontrole na wniosek Biura </w:t>
      </w:r>
    </w:p>
    <w:p w14:paraId="2B340650" w14:textId="77777777" w:rsidR="00871E3B" w:rsidRDefault="00000000">
      <w:pPr>
        <w:numPr>
          <w:ilvl w:val="0"/>
          <w:numId w:val="1"/>
        </w:numPr>
        <w:spacing w:after="2" w:line="259" w:lineRule="auto"/>
        <w:ind w:hanging="360"/>
        <w:jc w:val="left"/>
      </w:pPr>
      <w:r>
        <w:rPr>
          <w:b/>
        </w:rPr>
        <w:t xml:space="preserve">Dokumenty podlegające kontroli: </w:t>
      </w:r>
    </w:p>
    <w:p w14:paraId="05E3031B" w14:textId="77777777" w:rsidR="00871E3B" w:rsidRDefault="00000000">
      <w:pPr>
        <w:spacing w:after="241"/>
        <w:ind w:left="1966" w:right="1077"/>
      </w:pPr>
      <w:r>
        <w:t xml:space="preserve">Lista dokumentów przedstawiona dla każdego z obszarów ma charakter informacyjny i może ulec zmianie w przypadku aktualizacji przepisów, wytycznych lub procedur wewnętrznych. W przypadku wprowadzenia nowych wymagań dokumentacyjnych stosuje się ich aktualną wersję. </w:t>
      </w:r>
    </w:p>
    <w:p w14:paraId="70FAE6B1" w14:textId="77777777" w:rsidR="00871E3B" w:rsidRDefault="00000000">
      <w:pPr>
        <w:numPr>
          <w:ilvl w:val="0"/>
          <w:numId w:val="1"/>
        </w:numPr>
        <w:spacing w:after="2" w:line="259" w:lineRule="auto"/>
        <w:ind w:hanging="360"/>
        <w:jc w:val="left"/>
      </w:pPr>
      <w:r>
        <w:rPr>
          <w:b/>
        </w:rPr>
        <w:t xml:space="preserve">Kategoria ryzyka nowopowstałych podmiotów: </w:t>
      </w:r>
    </w:p>
    <w:p w14:paraId="647103DE" w14:textId="77777777" w:rsidR="00871E3B" w:rsidRDefault="00000000">
      <w:pPr>
        <w:spacing w:after="464"/>
        <w:ind w:left="1966" w:right="1077"/>
      </w:pPr>
      <w:r>
        <w:t xml:space="preserve">W przypadku nowopowstałych podmiotów, z racji braku historii kontroli, można przyjąć kategorię wysokiego ryzyka. Jednak kategoria ryzyka powinna być zrewidowana po pierwszej kontroli </w:t>
      </w:r>
    </w:p>
    <w:p w14:paraId="5EAE4752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5EF2EF4D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28D346FF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4C577F4D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53BB7E92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5AF37975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49877637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6CCEE75B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588E83EB" w14:textId="77777777" w:rsidR="00871E3B" w:rsidRDefault="00000000">
      <w:pPr>
        <w:spacing w:after="0" w:line="259" w:lineRule="auto"/>
        <w:ind w:left="1956" w:firstLine="0"/>
        <w:jc w:val="left"/>
      </w:pPr>
      <w:r>
        <w:lastRenderedPageBreak/>
        <w:t xml:space="preserve"> </w:t>
      </w:r>
    </w:p>
    <w:p w14:paraId="6E67C3EE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1DD48171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7C7688D0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p w14:paraId="6A6B9FAD" w14:textId="77777777" w:rsidR="00871E3B" w:rsidRDefault="00000000">
      <w:pPr>
        <w:spacing w:after="0" w:line="259" w:lineRule="auto"/>
        <w:ind w:left="1956" w:firstLine="0"/>
        <w:jc w:val="left"/>
      </w:pPr>
      <w:r>
        <w:t xml:space="preserve"> </w:t>
      </w:r>
    </w:p>
    <w:tbl>
      <w:tblPr>
        <w:tblStyle w:val="TableGrid"/>
        <w:tblW w:w="7923" w:type="dxa"/>
        <w:tblInd w:w="1998" w:type="dxa"/>
        <w:tblCellMar>
          <w:top w:w="85" w:type="dxa"/>
          <w:left w:w="104" w:type="dxa"/>
          <w:right w:w="19" w:type="dxa"/>
        </w:tblCellMar>
        <w:tblLook w:val="04A0" w:firstRow="1" w:lastRow="0" w:firstColumn="1" w:lastColumn="0" w:noHBand="0" w:noVBand="1"/>
      </w:tblPr>
      <w:tblGrid>
        <w:gridCol w:w="6535"/>
        <w:gridCol w:w="1388"/>
      </w:tblGrid>
      <w:tr w:rsidR="00871E3B" w14:paraId="73562677" w14:textId="77777777">
        <w:trPr>
          <w:trHeight w:val="77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nil"/>
            </w:tcBorders>
            <w:shd w:val="clear" w:color="auto" w:fill="D0CECE"/>
          </w:tcPr>
          <w:p w14:paraId="1B74EE53" w14:textId="77777777" w:rsidR="00871E3B" w:rsidRDefault="00000000">
            <w:pPr>
              <w:spacing w:after="0" w:line="259" w:lineRule="auto"/>
              <w:ind w:left="0" w:right="516" w:firstLine="0"/>
              <w:jc w:val="right"/>
            </w:pPr>
            <w:r>
              <w:t xml:space="preserve">KATEGORYZACJA PODMIOTÓW  </w:t>
            </w:r>
          </w:p>
          <w:p w14:paraId="6FE794C1" w14:textId="77777777" w:rsidR="00871E3B" w:rsidRDefault="00000000">
            <w:pPr>
              <w:spacing w:after="0" w:line="259" w:lineRule="auto"/>
              <w:ind w:left="0" w:right="369" w:firstLine="0"/>
              <w:jc w:val="right"/>
            </w:pPr>
            <w:r>
              <w:t xml:space="preserve">nadzorowanych przez pion higieny pracy 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2242AF92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71E3B" w14:paraId="795ABE56" w14:textId="77777777">
        <w:trPr>
          <w:trHeight w:val="509"/>
        </w:trPr>
        <w:tc>
          <w:tcPr>
            <w:tcW w:w="6535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nil"/>
            </w:tcBorders>
            <w:shd w:val="clear" w:color="auto" w:fill="D0CECE"/>
          </w:tcPr>
          <w:p w14:paraId="4B0E866F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388" w:type="dxa"/>
            <w:tcBorders>
              <w:top w:val="single" w:sz="16" w:space="0" w:color="D0CECE"/>
              <w:left w:val="nil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7483D0D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71E3B" w14:paraId="6BCC81D8" w14:textId="77777777">
        <w:trPr>
          <w:trHeight w:val="943"/>
        </w:trPr>
        <w:tc>
          <w:tcPr>
            <w:tcW w:w="6535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944E64D" w14:textId="77777777" w:rsidR="00871E3B" w:rsidRDefault="00000000">
            <w:pPr>
              <w:spacing w:after="0" w:line="259" w:lineRule="auto"/>
              <w:ind w:left="1546" w:right="260" w:firstLine="965"/>
              <w:jc w:val="left"/>
            </w:pPr>
            <w:r>
              <w:t xml:space="preserve">Kategoria wielkości ryzyka (zagrożeń stwarzanych przez podmiot kontrolowany) </w:t>
            </w:r>
          </w:p>
        </w:tc>
        <w:tc>
          <w:tcPr>
            <w:tcW w:w="1388" w:type="dxa"/>
            <w:tcBorders>
              <w:top w:val="single" w:sz="16" w:space="0" w:color="D0CECE"/>
              <w:left w:val="nil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5343D197" w14:textId="77777777" w:rsidR="00871E3B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871E3B" w14:paraId="70F088B6" w14:textId="77777777">
        <w:trPr>
          <w:trHeight w:val="405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F9E1C34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Kategoria ryzyka* </w:t>
            </w:r>
          </w:p>
        </w:tc>
        <w:tc>
          <w:tcPr>
            <w:tcW w:w="1388" w:type="dxa"/>
            <w:vMerge w:val="restart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FACBD8D" w14:textId="77777777" w:rsidR="00871E3B" w:rsidRDefault="00000000">
            <w:pPr>
              <w:spacing w:after="0" w:line="259" w:lineRule="auto"/>
              <w:ind w:left="0" w:right="51" w:firstLine="0"/>
              <w:jc w:val="center"/>
            </w:pPr>
            <w:r>
              <w:t xml:space="preserve">1 grupa </w:t>
            </w:r>
          </w:p>
        </w:tc>
      </w:tr>
      <w:tr w:rsidR="00871E3B" w14:paraId="2BC007F8" w14:textId="77777777">
        <w:trPr>
          <w:trHeight w:val="1851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B99AB0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ryzyko wysokie  </w:t>
            </w:r>
          </w:p>
          <w:p w14:paraId="2970336C" w14:textId="77777777" w:rsidR="00871E3B" w:rsidRDefault="00000000">
            <w:pPr>
              <w:spacing w:after="0" w:line="259" w:lineRule="auto"/>
              <w:ind w:left="0" w:right="45" w:firstLine="0"/>
              <w:jc w:val="left"/>
            </w:pPr>
            <w:r>
              <w:t xml:space="preserve">(częstotliwość kontroli: tak często, jak to konieczne dla zapewnienia skutecznego stosowania odpowiednich przepisów, z uwzględnieniem wysokiego ryzyka wystąpienia nieprawidłowości oraz środków niezbędnych do jego ograniczania).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D0CECE"/>
              <w:right w:val="single" w:sz="4" w:space="0" w:color="000000"/>
            </w:tcBorders>
          </w:tcPr>
          <w:p w14:paraId="507175C6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</w:tr>
      <w:tr w:rsidR="00871E3B" w14:paraId="3B5B48B2" w14:textId="77777777">
        <w:trPr>
          <w:trHeight w:val="646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FE832C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Należy zaliczyć obiekty spełniające co najmniej 1 z poniższych kryteriów: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EFAECCD" w14:textId="77777777" w:rsidR="00871E3B" w:rsidRDefault="00000000">
            <w:pPr>
              <w:spacing w:after="0" w:line="259" w:lineRule="auto"/>
              <w:ind w:left="44" w:firstLine="0"/>
              <w:jc w:val="left"/>
            </w:pPr>
            <w:r>
              <w:t xml:space="preserve">Podgrupa** </w:t>
            </w:r>
          </w:p>
        </w:tc>
      </w:tr>
      <w:tr w:rsidR="00871E3B" w14:paraId="4BDE445C" w14:textId="77777777">
        <w:trPr>
          <w:trHeight w:val="203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0099E6" w14:textId="77777777" w:rsidR="00871E3B" w:rsidRDefault="00000000">
            <w:pPr>
              <w:spacing w:after="2" w:line="234" w:lineRule="auto"/>
              <w:ind w:left="0" w:firstLine="0"/>
              <w:jc w:val="left"/>
            </w:pPr>
            <w:r>
              <w:t xml:space="preserve">Zakłady, w których występują przekroczenia dopuszczalnych poziomów czynników szkodliwych dla zdrowia lub były stwierdzone przekroczenia NDS/NDN, NDSCh, NDSP w minionym roku. </w:t>
            </w:r>
          </w:p>
          <w:p w14:paraId="0A1CE01A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(z wyjątkiem zakładów (dot. stanowisk pracy) z przekroczeniami NDN hałasu i drgań mechanicznych, w których wdrożono program działań organizacyjno-technicznych)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10CE0D3B" w14:textId="77777777" w:rsidR="00871E3B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1A </w:t>
            </w:r>
          </w:p>
        </w:tc>
      </w:tr>
      <w:tr w:rsidR="00871E3B" w14:paraId="6F67785D" w14:textId="77777777">
        <w:trPr>
          <w:trHeight w:val="943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8F1528B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Zakłady, w których występuje narażenie inhalacyjne na czynniki rakotwórcze, mutagenne lub reprotoksyczne (CMR) w stężeniach &gt; 0,5 NDS.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4CF85F29" w14:textId="77777777" w:rsidR="00871E3B" w:rsidRDefault="00000000">
            <w:pPr>
              <w:spacing w:after="0" w:line="259" w:lineRule="auto"/>
              <w:ind w:left="0" w:right="50" w:firstLine="0"/>
              <w:jc w:val="center"/>
            </w:pPr>
            <w:r>
              <w:t xml:space="preserve">1B </w:t>
            </w:r>
          </w:p>
        </w:tc>
      </w:tr>
      <w:tr w:rsidR="00871E3B" w14:paraId="2047FDD2" w14:textId="77777777">
        <w:trPr>
          <w:trHeight w:val="2837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818B22" w14:textId="77777777" w:rsidR="00871E3B" w:rsidRDefault="00000000">
            <w:pPr>
              <w:spacing w:after="242" w:line="234" w:lineRule="auto"/>
              <w:ind w:left="0" w:right="40" w:firstLine="0"/>
              <w:jc w:val="left"/>
            </w:pPr>
            <w:r>
              <w:t xml:space="preserve">Zakłady, w których dochodzi do zamierzonego użycia szkodliwego czynnika biologicznego z grupy 4 oraz podmioty lecznicze wyznaczone do opieki nad pacjentem ze zdiagnozowaną chorobą zakaźną wywołaną szkodliwym czynnikiem biologicznym z grupy 4.  </w:t>
            </w:r>
          </w:p>
          <w:p w14:paraId="57C38139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Zakłady, w których występuje narażenie na szkodliwe czynniki biologiczne grupy 3 o podwyższonym ryzyku narażenia względem ryzyka populacyjnego – praca w zakładach gospodarki odpadami oraz przy oczyszczaniu ścieków.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2415AE0" w14:textId="77777777" w:rsidR="00871E3B" w:rsidRDefault="00000000">
            <w:pPr>
              <w:spacing w:after="0" w:line="259" w:lineRule="auto"/>
              <w:ind w:left="0" w:right="50" w:firstLine="0"/>
              <w:jc w:val="center"/>
            </w:pPr>
            <w:r>
              <w:t xml:space="preserve">1C </w:t>
            </w:r>
          </w:p>
        </w:tc>
      </w:tr>
      <w:tr w:rsidR="00871E3B" w14:paraId="1448F904" w14:textId="77777777">
        <w:trPr>
          <w:trHeight w:val="96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E12ED9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Zakłady, w których w ostatnich latach występuje wzmożone występowanie chorób zawodowych mających bezpośredni związek z obecnie prowadzoną działalnością zakładu.  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4DCEDEDF" w14:textId="77777777" w:rsidR="00871E3B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1D </w:t>
            </w:r>
          </w:p>
        </w:tc>
      </w:tr>
      <w:tr w:rsidR="00871E3B" w14:paraId="6C19582E" w14:textId="77777777">
        <w:trPr>
          <w:trHeight w:val="80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85C66D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Zakłady, które dotychczas nie były objęte nadzorem (planowana pierwsza kontrola celem oceny zagrożeń środowiska pracy)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7D1A115F" w14:textId="77777777" w:rsidR="00871E3B" w:rsidRDefault="00000000">
            <w:pPr>
              <w:spacing w:after="0" w:line="259" w:lineRule="auto"/>
              <w:ind w:left="0" w:right="83" w:firstLine="0"/>
              <w:jc w:val="center"/>
            </w:pPr>
            <w:r>
              <w:t xml:space="preserve">1E </w:t>
            </w:r>
          </w:p>
        </w:tc>
      </w:tr>
      <w:tr w:rsidR="00871E3B" w14:paraId="6DA03E7C" w14:textId="77777777">
        <w:trPr>
          <w:trHeight w:val="405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58C17E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Kategoria ryzyka* </w:t>
            </w:r>
          </w:p>
        </w:tc>
        <w:tc>
          <w:tcPr>
            <w:tcW w:w="1388" w:type="dxa"/>
            <w:vMerge w:val="restart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F03BE17" w14:textId="77777777" w:rsidR="00871E3B" w:rsidRDefault="00000000">
            <w:pPr>
              <w:spacing w:after="0" w:line="259" w:lineRule="auto"/>
              <w:ind w:left="0" w:right="85" w:firstLine="0"/>
              <w:jc w:val="center"/>
            </w:pPr>
            <w:r>
              <w:t xml:space="preserve">2 grupa </w:t>
            </w:r>
          </w:p>
        </w:tc>
      </w:tr>
      <w:tr w:rsidR="00871E3B" w14:paraId="4F92AF5D" w14:textId="77777777">
        <w:trPr>
          <w:trHeight w:val="69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78A1BD9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ryzyko średnie </w:t>
            </w:r>
          </w:p>
          <w:p w14:paraId="485B36F6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(częstotliwość kontroli: nie częściej niż raz w ciągu 3 lat)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611E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6065F88" w14:textId="058BAE8B" w:rsidR="00871E3B" w:rsidRDefault="00871E3B">
      <w:pPr>
        <w:spacing w:after="0" w:line="259" w:lineRule="auto"/>
        <w:ind w:left="802" w:firstLine="0"/>
        <w:jc w:val="left"/>
      </w:pPr>
    </w:p>
    <w:tbl>
      <w:tblPr>
        <w:tblStyle w:val="TableGrid"/>
        <w:tblW w:w="7923" w:type="dxa"/>
        <w:tblInd w:w="1998" w:type="dxa"/>
        <w:tblCellMar>
          <w:top w:w="85" w:type="dxa"/>
          <w:left w:w="104" w:type="dxa"/>
          <w:right w:w="19" w:type="dxa"/>
        </w:tblCellMar>
        <w:tblLook w:val="04A0" w:firstRow="1" w:lastRow="0" w:firstColumn="1" w:lastColumn="0" w:noHBand="0" w:noVBand="1"/>
      </w:tblPr>
      <w:tblGrid>
        <w:gridCol w:w="6535"/>
        <w:gridCol w:w="1388"/>
      </w:tblGrid>
      <w:tr w:rsidR="00871E3B" w14:paraId="281D2F6F" w14:textId="77777777">
        <w:trPr>
          <w:trHeight w:val="644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8BA166" w14:textId="77777777" w:rsidR="00871E3B" w:rsidRDefault="00000000">
            <w:pPr>
              <w:spacing w:after="0" w:line="259" w:lineRule="auto"/>
              <w:ind w:left="0" w:right="12" w:firstLine="0"/>
              <w:jc w:val="left"/>
            </w:pPr>
            <w:r>
              <w:t xml:space="preserve">Należy zaliczyć obiekty niewymienione w grupie 1, spełniające co najmniej 1 z poniższych kryteriów: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0BB9A5A" w14:textId="77777777" w:rsidR="00871E3B" w:rsidRDefault="00000000">
            <w:pPr>
              <w:spacing w:after="0" w:line="259" w:lineRule="auto"/>
              <w:ind w:left="44" w:firstLine="0"/>
              <w:jc w:val="left"/>
            </w:pPr>
            <w:r>
              <w:t xml:space="preserve">Podgrupa** </w:t>
            </w:r>
          </w:p>
        </w:tc>
      </w:tr>
      <w:tr w:rsidR="00871E3B" w14:paraId="6378BA5A" w14:textId="77777777">
        <w:trPr>
          <w:trHeight w:val="1541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B18CC5" w14:textId="77777777" w:rsidR="00871E3B" w:rsidRDefault="00000000">
            <w:pPr>
              <w:spacing w:after="0" w:line="259" w:lineRule="auto"/>
              <w:ind w:left="0" w:right="21" w:firstLine="0"/>
              <w:jc w:val="left"/>
            </w:pPr>
            <w:r>
              <w:t xml:space="preserve">Zakłady, w których występują czynniki szkodliwe, ale ich stężenia i natężenia wynoszą  0,5 &lt; x ≤1 NDS/NDN oraz zakłady (dot. stanowisk pracy) z przekroczeniami NDN hałasu i drgań mechanicznych, w których wdrożono program działań organizacyjno-technicznych.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70721411" w14:textId="77777777" w:rsidR="00871E3B" w:rsidRDefault="00000000">
            <w:pPr>
              <w:spacing w:after="0" w:line="259" w:lineRule="auto"/>
              <w:ind w:left="0" w:right="80" w:firstLine="0"/>
              <w:jc w:val="center"/>
            </w:pPr>
            <w:r>
              <w:t xml:space="preserve">2A </w:t>
            </w:r>
          </w:p>
        </w:tc>
      </w:tr>
      <w:tr w:rsidR="00871E3B" w14:paraId="6B14F650" w14:textId="77777777">
        <w:trPr>
          <w:trHeight w:val="1836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91E7F0" w14:textId="77777777" w:rsidR="00871E3B" w:rsidRDefault="00000000">
            <w:pPr>
              <w:spacing w:after="0" w:line="259" w:lineRule="auto"/>
              <w:ind w:left="0" w:right="65" w:firstLine="0"/>
              <w:jc w:val="left"/>
            </w:pPr>
            <w:r>
              <w:t xml:space="preserve">Zakłady, w których występuje narażenie na czynniki rakotwórcze, mutagenne lub reprotoksyczne (CMR) w stężeniach 0,1&lt;x≤0,5 NDS i/lub, w których występuje narażenie na czynniki rakotwórcze, mutagenne lub reprotoksyczne (CMR), dla których nie określono wartości NDS lub nie przeprowadzono badań i pomiarów tych czynników w środowiska pracy.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5D7BA279" w14:textId="77777777" w:rsidR="00871E3B" w:rsidRDefault="00000000">
            <w:pPr>
              <w:spacing w:after="0" w:line="259" w:lineRule="auto"/>
              <w:ind w:left="0" w:right="84" w:firstLine="0"/>
              <w:jc w:val="center"/>
            </w:pPr>
            <w:r>
              <w:t xml:space="preserve">2B </w:t>
            </w:r>
          </w:p>
        </w:tc>
      </w:tr>
      <w:tr w:rsidR="00871E3B" w14:paraId="1320C097" w14:textId="77777777">
        <w:trPr>
          <w:trHeight w:val="153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3A4CA8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Zakłady, w których występuje narażenie na szkodliwe czynniki biologiczne grupy 3 o podwyższonym ryzyku narażenia względem ryzyka populacyjnego (z wyjątkiem przychodni lekarskich i stomatologicznych oraz zakładów wymienionych w podgrupie 1 C).  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3D9B8A98" w14:textId="77777777" w:rsidR="00871E3B" w:rsidRDefault="00000000">
            <w:pPr>
              <w:spacing w:after="0" w:line="259" w:lineRule="auto"/>
              <w:ind w:left="0" w:right="84" w:firstLine="0"/>
              <w:jc w:val="center"/>
            </w:pPr>
            <w:r>
              <w:t xml:space="preserve">2C </w:t>
            </w:r>
          </w:p>
        </w:tc>
      </w:tr>
      <w:tr w:rsidR="00871E3B" w14:paraId="5ABB6C33" w14:textId="77777777">
        <w:trPr>
          <w:trHeight w:val="405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890C63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Kategoria ryzyka* </w:t>
            </w:r>
          </w:p>
        </w:tc>
        <w:tc>
          <w:tcPr>
            <w:tcW w:w="1388" w:type="dxa"/>
            <w:vMerge w:val="restart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26AD2043" w14:textId="77777777" w:rsidR="00871E3B" w:rsidRDefault="00000000">
            <w:pPr>
              <w:spacing w:after="0" w:line="259" w:lineRule="auto"/>
              <w:ind w:left="0" w:right="85" w:firstLine="0"/>
              <w:jc w:val="center"/>
            </w:pPr>
            <w:r>
              <w:t xml:space="preserve">3 grupa </w:t>
            </w:r>
          </w:p>
        </w:tc>
      </w:tr>
      <w:tr w:rsidR="00871E3B" w14:paraId="494C842C" w14:textId="77777777">
        <w:trPr>
          <w:trHeight w:val="692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332D3C4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ryzyko niskie </w:t>
            </w:r>
          </w:p>
          <w:p w14:paraId="2FF2EDFB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(częstotliwość kontroli: nie częściej niż raz w ciągu 5 lat)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D0CECE"/>
              <w:right w:val="single" w:sz="4" w:space="0" w:color="000000"/>
            </w:tcBorders>
          </w:tcPr>
          <w:p w14:paraId="15A07F9E" w14:textId="77777777" w:rsidR="00871E3B" w:rsidRDefault="00871E3B">
            <w:pPr>
              <w:spacing w:after="160" w:line="259" w:lineRule="auto"/>
              <w:ind w:left="0" w:firstLine="0"/>
              <w:jc w:val="left"/>
            </w:pPr>
          </w:p>
        </w:tc>
      </w:tr>
      <w:tr w:rsidR="00871E3B" w14:paraId="4A840FC9" w14:textId="77777777">
        <w:trPr>
          <w:trHeight w:val="646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777988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Należy zaliczyć pozostałe obiekty (nie wymienione w objaśnieniach do grupy 1 i 2) tj.: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5D7E1F4F" w14:textId="77777777" w:rsidR="00871E3B" w:rsidRDefault="00000000">
            <w:pPr>
              <w:spacing w:after="0" w:line="259" w:lineRule="auto"/>
              <w:ind w:left="4" w:firstLine="0"/>
            </w:pPr>
            <w:r>
              <w:t xml:space="preserve">Podgrupa** </w:t>
            </w:r>
          </w:p>
        </w:tc>
      </w:tr>
      <w:tr w:rsidR="00871E3B" w14:paraId="7627D278" w14:textId="77777777">
        <w:trPr>
          <w:trHeight w:val="943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5E760C" w14:textId="77777777" w:rsidR="00871E3B" w:rsidRDefault="00000000">
            <w:pPr>
              <w:spacing w:after="2" w:line="257" w:lineRule="auto"/>
              <w:ind w:left="0" w:firstLine="0"/>
              <w:jc w:val="left"/>
            </w:pPr>
            <w:r>
              <w:t xml:space="preserve">Pozostałe zakłady, w których czynniki szkodliwe dla zdrowia występują w stężeniach lub natężeniach mniejszych/równych 0,5 </w:t>
            </w:r>
          </w:p>
          <w:p w14:paraId="0DE39702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NDS/NDN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F24E9BC" w14:textId="77777777" w:rsidR="00871E3B" w:rsidRDefault="00000000">
            <w:pPr>
              <w:spacing w:after="0" w:line="259" w:lineRule="auto"/>
              <w:ind w:left="0" w:right="80" w:firstLine="0"/>
              <w:jc w:val="center"/>
            </w:pPr>
            <w:r>
              <w:t xml:space="preserve">3A </w:t>
            </w:r>
          </w:p>
        </w:tc>
      </w:tr>
      <w:tr w:rsidR="00871E3B" w14:paraId="180345AF" w14:textId="77777777">
        <w:trPr>
          <w:trHeight w:val="944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C24B7D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Pozostałe zakłady, w których występują czynniki rakotwórcze, mutagenne lub reprotoksyczne (CMR) (niewymienione w grupie 1B i 2B)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68D6EB06" w14:textId="77777777" w:rsidR="00871E3B" w:rsidRDefault="00000000">
            <w:pPr>
              <w:spacing w:after="0" w:line="259" w:lineRule="auto"/>
              <w:ind w:left="0" w:right="84" w:firstLine="0"/>
              <w:jc w:val="center"/>
            </w:pPr>
            <w:r>
              <w:t xml:space="preserve">3B </w:t>
            </w:r>
          </w:p>
        </w:tc>
      </w:tr>
      <w:tr w:rsidR="00871E3B" w14:paraId="31696754" w14:textId="77777777">
        <w:trPr>
          <w:trHeight w:val="1241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09511C1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Pozostałe zakłady, w których występuje narażenie na szkodliwe czynniki biologiczne grupy 3 (niewymienione w grupie 1C i 2C) lub w których występuje wyłącznie narażenie na czynniki biologiczne grupy 2 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16" w:space="0" w:color="D0CECE"/>
              <w:right w:val="single" w:sz="4" w:space="0" w:color="000000"/>
            </w:tcBorders>
            <w:shd w:val="clear" w:color="auto" w:fill="D0CECE"/>
          </w:tcPr>
          <w:p w14:paraId="01D70863" w14:textId="77777777" w:rsidR="00871E3B" w:rsidRDefault="00000000">
            <w:pPr>
              <w:spacing w:after="0" w:line="259" w:lineRule="auto"/>
              <w:ind w:left="0" w:right="84" w:firstLine="0"/>
              <w:jc w:val="center"/>
            </w:pPr>
            <w:r>
              <w:t xml:space="preserve">3C </w:t>
            </w:r>
          </w:p>
        </w:tc>
      </w:tr>
      <w:tr w:rsidR="00871E3B" w14:paraId="4033E7BB" w14:textId="77777777">
        <w:trPr>
          <w:trHeight w:val="763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ADBF2F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Pozostałe zakłady, niespełniające kryteriów średniego lub wysokiego ryzyka   </w:t>
            </w:r>
          </w:p>
        </w:tc>
        <w:tc>
          <w:tcPr>
            <w:tcW w:w="1388" w:type="dxa"/>
            <w:tcBorders>
              <w:top w:val="single" w:sz="16" w:space="0" w:color="D0CEC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B8C4B5D" w14:textId="77777777" w:rsidR="00871E3B" w:rsidRDefault="00000000">
            <w:pPr>
              <w:spacing w:after="0" w:line="259" w:lineRule="auto"/>
              <w:ind w:left="0" w:right="80" w:firstLine="0"/>
              <w:jc w:val="center"/>
            </w:pPr>
            <w:r>
              <w:t xml:space="preserve">3D </w:t>
            </w:r>
          </w:p>
        </w:tc>
      </w:tr>
    </w:tbl>
    <w:p w14:paraId="224DCC93" w14:textId="77777777" w:rsidR="00871E3B" w:rsidRDefault="00000000">
      <w:pPr>
        <w:spacing w:after="211" w:line="259" w:lineRule="auto"/>
        <w:ind w:left="1971" w:firstLine="0"/>
        <w:jc w:val="left"/>
      </w:pPr>
      <w:r>
        <w:t xml:space="preserve"> </w:t>
      </w:r>
    </w:p>
    <w:p w14:paraId="1DADDC80" w14:textId="77777777" w:rsidR="00871E3B" w:rsidRDefault="00000000">
      <w:pPr>
        <w:spacing w:after="227"/>
        <w:ind w:left="1966" w:right="1077"/>
      </w:pPr>
      <w:r>
        <w:t xml:space="preserve">Kategoryzacja podmiotów uwzględnia jedynie skalę zagrożeń. Nie uwzględnia innych czynników, które mogą mieć wpływ na podjęcie decyzji, który zakład z danej grupy planowany jest do kontroli na następny rok kalendarzowy (np. wyniki poprzednich kontroli, zasadne interwencje, inne zagrożenia środowiska pracy wpływające na kategoryzację obiektu, liczba narażonych pracowników, itp.). </w:t>
      </w:r>
    </w:p>
    <w:p w14:paraId="31F0DDB6" w14:textId="77777777" w:rsidR="00871E3B" w:rsidRDefault="00000000">
      <w:pPr>
        <w:spacing w:after="0" w:line="259" w:lineRule="auto"/>
        <w:ind w:left="1971" w:firstLine="0"/>
        <w:jc w:val="left"/>
      </w:pPr>
      <w:r>
        <w:t xml:space="preserve"> </w:t>
      </w:r>
    </w:p>
    <w:p w14:paraId="00766657" w14:textId="77777777" w:rsidR="00871E3B" w:rsidRDefault="00000000">
      <w:pPr>
        <w:spacing w:after="0" w:line="259" w:lineRule="auto"/>
        <w:ind w:left="1971" w:firstLine="0"/>
        <w:jc w:val="left"/>
      </w:pPr>
      <w:r>
        <w:t xml:space="preserve"> </w:t>
      </w:r>
    </w:p>
    <w:p w14:paraId="5014EC04" w14:textId="6971E51A" w:rsidR="00871E3B" w:rsidRDefault="00000000" w:rsidP="005651C6">
      <w:pPr>
        <w:spacing w:after="0" w:line="259" w:lineRule="auto"/>
        <w:ind w:left="1971" w:firstLine="0"/>
        <w:jc w:val="left"/>
      </w:pPr>
      <w:r>
        <w:t xml:space="preserve">Objaśnienia: </w:t>
      </w:r>
    </w:p>
    <w:p w14:paraId="4DAF2F5E" w14:textId="77777777" w:rsidR="00871E3B" w:rsidRDefault="00000000">
      <w:pPr>
        <w:ind w:left="1966" w:right="1077"/>
      </w:pPr>
      <w:r>
        <w:t xml:space="preserve">*Aby zakwalifikować podmiot do grupy 1, 2, 3 lub 4 należy wcześniej ustalić wymagania której podgrupy (w każdej grupie wskazano podgrupy od A do C lub E) spełnia ten podmiot.  </w:t>
      </w:r>
    </w:p>
    <w:p w14:paraId="54B901CA" w14:textId="77777777" w:rsidR="00871E3B" w:rsidRDefault="00000000">
      <w:pPr>
        <w:ind w:left="1966" w:right="1077"/>
      </w:pPr>
      <w:r>
        <w:t xml:space="preserve">**Podgrupa - wytyczne, jakie aspekty należy wziąć pod uwagę podczas kwalifikowania podmiotu do danej grupy, wskazujące jednocześnie charakterystykę zagrożeń występujących w zakładzie: </w:t>
      </w:r>
    </w:p>
    <w:p w14:paraId="588677A6" w14:textId="77777777" w:rsidR="00871E3B" w:rsidRDefault="00000000">
      <w:pPr>
        <w:numPr>
          <w:ilvl w:val="1"/>
          <w:numId w:val="2"/>
        </w:numPr>
        <w:ind w:right="1077" w:hanging="360"/>
      </w:pPr>
      <w:r>
        <w:t xml:space="preserve">Podgrupa A - to narażenie na czynniki szkodliwe, </w:t>
      </w:r>
    </w:p>
    <w:p w14:paraId="39A91045" w14:textId="77777777" w:rsidR="00871E3B" w:rsidRDefault="00000000">
      <w:pPr>
        <w:numPr>
          <w:ilvl w:val="1"/>
          <w:numId w:val="2"/>
        </w:numPr>
        <w:ind w:right="1077" w:hanging="360"/>
      </w:pPr>
      <w:r>
        <w:t xml:space="preserve">Podgrupa B - to narażenie na CMR, </w:t>
      </w:r>
    </w:p>
    <w:p w14:paraId="25E1EF4D" w14:textId="77777777" w:rsidR="00871E3B" w:rsidRDefault="00000000">
      <w:pPr>
        <w:numPr>
          <w:ilvl w:val="1"/>
          <w:numId w:val="2"/>
        </w:numPr>
        <w:spacing w:after="3" w:line="252" w:lineRule="auto"/>
        <w:ind w:right="1077" w:hanging="360"/>
      </w:pPr>
      <w:r>
        <w:t>Podgrupa C - to narażenie na szkodliwe czynniki biologiczne, 4)</w:t>
      </w:r>
      <w:r>
        <w:rPr>
          <w:rFonts w:ascii="Arial" w:eastAsia="Arial" w:hAnsi="Arial" w:cs="Arial"/>
        </w:rPr>
        <w:t xml:space="preserve"> </w:t>
      </w:r>
      <w:r>
        <w:t>Podgrupa D - to choroby zawodowe, 5)</w:t>
      </w:r>
      <w:r>
        <w:rPr>
          <w:rFonts w:ascii="Arial" w:eastAsia="Arial" w:hAnsi="Arial" w:cs="Arial"/>
        </w:rPr>
        <w:t xml:space="preserve"> </w:t>
      </w:r>
      <w:r>
        <w:t xml:space="preserve">Podgrupa E - nowe zakłady pracy. </w:t>
      </w:r>
    </w:p>
    <w:p w14:paraId="67A61458" w14:textId="77777777" w:rsidR="00871E3B" w:rsidRDefault="00000000">
      <w:pPr>
        <w:spacing w:after="3" w:line="252" w:lineRule="auto"/>
        <w:ind w:left="1966" w:right="884"/>
        <w:jc w:val="left"/>
      </w:pPr>
      <w:r>
        <w:t xml:space="preserve">Dla każdego podmiotu należy wybrać, te podgrupy, które charakteryzują zakład, przy czym należy przestrzegać zasady, że obowiązuje zawsze najwyższa kategoria w danej podgrupie.  </w:t>
      </w:r>
    </w:p>
    <w:p w14:paraId="696756B9" w14:textId="77777777" w:rsidR="00871E3B" w:rsidRDefault="00000000">
      <w:pPr>
        <w:ind w:left="1966" w:right="1077"/>
      </w:pPr>
      <w:r>
        <w:t xml:space="preserve">Należy kierować się następującym algorytmem postępowania: </w:t>
      </w:r>
    </w:p>
    <w:p w14:paraId="3C76E07B" w14:textId="77777777" w:rsidR="00871E3B" w:rsidRDefault="00000000">
      <w:pPr>
        <w:ind w:left="1966" w:right="1077"/>
      </w:pPr>
      <w:r>
        <w:t xml:space="preserve">Jeśli dla danego obiektu wybrano podgrupę: </w:t>
      </w:r>
    </w:p>
    <w:p w14:paraId="378EB064" w14:textId="77777777" w:rsidR="00871E3B" w:rsidRDefault="00000000">
      <w:pPr>
        <w:numPr>
          <w:ilvl w:val="1"/>
          <w:numId w:val="4"/>
        </w:numPr>
        <w:ind w:right="2574" w:hanging="360"/>
      </w:pPr>
      <w:r>
        <w:t xml:space="preserve">1A to nie klasyfikuje się go jako 2A i 3A, </w:t>
      </w:r>
    </w:p>
    <w:p w14:paraId="7811C0C5" w14:textId="77777777" w:rsidR="00871E3B" w:rsidRDefault="00000000">
      <w:pPr>
        <w:numPr>
          <w:ilvl w:val="1"/>
          <w:numId w:val="4"/>
        </w:numPr>
        <w:ind w:right="2574" w:hanging="360"/>
      </w:pPr>
      <w:r>
        <w:t>1B to nie klasyfikuje się go jako 2B i 3B, 3)</w:t>
      </w:r>
      <w:r>
        <w:rPr>
          <w:rFonts w:ascii="Arial" w:eastAsia="Arial" w:hAnsi="Arial" w:cs="Arial"/>
        </w:rPr>
        <w:t xml:space="preserve"> </w:t>
      </w:r>
      <w:r>
        <w:t xml:space="preserve">1C to nie klasyfikuje się go jako 2C i 3C. </w:t>
      </w:r>
    </w:p>
    <w:p w14:paraId="5C1D3A9A" w14:textId="77777777" w:rsidR="00871E3B" w:rsidRDefault="00000000">
      <w:pPr>
        <w:ind w:left="1966" w:right="1077"/>
      </w:pPr>
      <w:r>
        <w:t xml:space="preserve">Klasyfikacja do podgrup daje jednocześnie charakterystykę zakładu, np.: </w:t>
      </w:r>
    </w:p>
    <w:p w14:paraId="685E1BA8" w14:textId="77777777" w:rsidR="00871E3B" w:rsidRDefault="00000000">
      <w:pPr>
        <w:ind w:left="1966" w:right="1077"/>
      </w:pPr>
      <w:r>
        <w:t xml:space="preserve">Zakład skategoryzowany jako 1A 2B 3C – to zakład, w którym występują:  </w:t>
      </w:r>
    </w:p>
    <w:p w14:paraId="7D57E394" w14:textId="77777777" w:rsidR="00871E3B" w:rsidRDefault="00000000">
      <w:pPr>
        <w:numPr>
          <w:ilvl w:val="1"/>
          <w:numId w:val="3"/>
        </w:numPr>
        <w:ind w:right="1077" w:hanging="360"/>
      </w:pPr>
      <w:r>
        <w:t xml:space="preserve">przekroczenia NDS/N, NDSCh, NDSP z wyjątkiem zakładów z przekroczeniami NDN hałasu i drgań mechanicznych, w których wdrożono program działań organizacyjno-technicznych; </w:t>
      </w:r>
    </w:p>
    <w:p w14:paraId="2FC2A605" w14:textId="77777777" w:rsidR="00871E3B" w:rsidRDefault="00000000">
      <w:pPr>
        <w:numPr>
          <w:ilvl w:val="1"/>
          <w:numId w:val="3"/>
        </w:numPr>
        <w:ind w:right="1077" w:hanging="360"/>
      </w:pPr>
      <w:r>
        <w:t xml:space="preserve">czynniki rakotwórcze, mutagenne lub reprotoksyczne (CMR) w stężeniach 0,1&lt;x≤0,5 NDS i/lub, w których występuje narażenie na czynniki rakotwórcze, mutagenne lub reprotoksyczne (CMR), dla których nie określono wartości NDS lub nie przeprowadzono badań i pomiarów tych czynników w środowiska pracy; </w:t>
      </w:r>
    </w:p>
    <w:p w14:paraId="5967CE07" w14:textId="77777777" w:rsidR="00871E3B" w:rsidRDefault="00000000">
      <w:pPr>
        <w:numPr>
          <w:ilvl w:val="1"/>
          <w:numId w:val="3"/>
        </w:numPr>
        <w:spacing w:after="227"/>
        <w:ind w:right="1077" w:hanging="360"/>
      </w:pPr>
      <w:r>
        <w:t xml:space="preserve">narażenie na szkodliwe czynniki biologiczne grupy 3 (niewymienione w grupie 1C i 2C) lub w których występuje wyłącznie narażenie na czynniki biologiczne grupy 2. </w:t>
      </w:r>
    </w:p>
    <w:p w14:paraId="7E57D5EE" w14:textId="77777777" w:rsidR="00871E3B" w:rsidRDefault="00000000">
      <w:pPr>
        <w:spacing w:after="227"/>
        <w:ind w:left="1966" w:right="1077"/>
      </w:pPr>
      <w:r>
        <w:lastRenderedPageBreak/>
        <w:t xml:space="preserve">W takim przypadku zakład klasyfikowany jest do kategorii ryzyka – ryzyko wysokie (z uwagi na podgrupę 1A). </w:t>
      </w:r>
    </w:p>
    <w:p w14:paraId="0AB7012D" w14:textId="77777777" w:rsidR="00871E3B" w:rsidRDefault="00000000">
      <w:pPr>
        <w:spacing w:after="229"/>
        <w:ind w:left="1966" w:right="1077"/>
      </w:pPr>
      <w:r>
        <w:t xml:space="preserve">Właściwy terenowo państwowy inspektor sanitarny może zwiększyć częstotliwość kontroli w danym obiekcie, kierując się innymi uzasadnionymi przesłankami wynikającymi z bezpieczeństwa zdrowotnego pracowników.   </w:t>
      </w:r>
    </w:p>
    <w:p w14:paraId="29B4DC9D" w14:textId="77777777" w:rsidR="00871E3B" w:rsidRDefault="00000000">
      <w:pPr>
        <w:ind w:left="1966" w:right="3127"/>
      </w:pPr>
      <w:r>
        <w:t xml:space="preserve">Czynniki wpływające na zwiększenie częstotliwości kontroli:  </w:t>
      </w:r>
    </w:p>
    <w:tbl>
      <w:tblPr>
        <w:tblStyle w:val="TableGrid"/>
        <w:tblW w:w="5304" w:type="dxa"/>
        <w:tblInd w:w="198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60"/>
        <w:gridCol w:w="4944"/>
      </w:tblGrid>
      <w:tr w:rsidR="00871E3B" w14:paraId="230CC308" w14:textId="77777777">
        <w:trPr>
          <w:trHeight w:val="54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802E88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4285D36D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wystąpienie podejrzenia zagrożenia życia lub zdrowia,   </w:t>
            </w:r>
          </w:p>
        </w:tc>
      </w:tr>
      <w:tr w:rsidR="00871E3B" w14:paraId="350FC746" w14:textId="77777777">
        <w:trPr>
          <w:trHeight w:val="5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A2D9DB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718C7920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częstotliwości kontroli wynikające z przepisów prawa, </w:t>
            </w:r>
          </w:p>
        </w:tc>
      </w:tr>
      <w:tr w:rsidR="00871E3B" w14:paraId="16C6FB12" w14:textId="77777777">
        <w:trPr>
          <w:trHeight w:val="54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5C8BA4" w14:textId="77777777" w:rsidR="00871E3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2E65E9CC" w14:textId="77777777" w:rsidR="00871E3B" w:rsidRDefault="00000000">
            <w:pPr>
              <w:spacing w:after="0" w:line="259" w:lineRule="auto"/>
              <w:ind w:left="0" w:firstLine="0"/>
            </w:pPr>
            <w:r>
              <w:t xml:space="preserve">uzasadnione podejrzenie popełnienia przestępstwa lub wykroczenia, </w:t>
            </w:r>
          </w:p>
        </w:tc>
      </w:tr>
    </w:tbl>
    <w:p w14:paraId="4BA07A98" w14:textId="569F85BB" w:rsidR="00871E3B" w:rsidRDefault="00000000" w:rsidP="005651C6">
      <w:pPr>
        <w:spacing w:after="196"/>
        <w:ind w:left="1416" w:firstLine="708"/>
      </w:pP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przeprowadzenie postępowania w celu sprawdzenia wykonania zaleceń pokontrolnych organu lub wykonania decyzji nakazujących usunięcie naruszeń prawa, w związku z przeprowadzoną kontrolą. </w:t>
      </w:r>
    </w:p>
    <w:p w14:paraId="668BED23" w14:textId="77777777" w:rsidR="00871E3B" w:rsidRDefault="00000000">
      <w:pPr>
        <w:spacing w:after="0" w:line="259" w:lineRule="auto"/>
        <w:ind w:left="1985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21154257" w14:textId="77777777" w:rsidR="00871E3B" w:rsidRDefault="00000000">
      <w:pPr>
        <w:spacing w:after="0" w:line="259" w:lineRule="auto"/>
        <w:ind w:left="1985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479EC94A" w14:textId="77777777" w:rsidR="00871E3B" w:rsidRDefault="00000000">
      <w:pPr>
        <w:spacing w:after="0" w:line="259" w:lineRule="auto"/>
        <w:ind w:left="1985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19CF2E0" w14:textId="77777777" w:rsidR="00871E3B" w:rsidRDefault="00000000">
      <w:pPr>
        <w:spacing w:after="0" w:line="259" w:lineRule="auto"/>
        <w:ind w:left="1985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D1E50CA" w14:textId="77777777" w:rsidR="00871E3B" w:rsidRDefault="00000000">
      <w:pPr>
        <w:spacing w:after="0" w:line="259" w:lineRule="auto"/>
        <w:ind w:left="1985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F0E5848" w14:textId="77777777" w:rsidR="00871E3B" w:rsidRDefault="00000000">
      <w:pPr>
        <w:spacing w:after="0" w:line="259" w:lineRule="auto"/>
        <w:ind w:left="1985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518B2568" w14:textId="5A2267E6" w:rsidR="00871E3B" w:rsidRDefault="00000000" w:rsidP="00F61354">
      <w:pPr>
        <w:spacing w:after="0" w:line="259" w:lineRule="auto"/>
        <w:ind w:left="1985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sectPr w:rsidR="00871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72" w:right="898" w:bottom="321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83C1" w14:textId="77777777" w:rsidR="008F59ED" w:rsidRDefault="008F59ED" w:rsidP="005651C6">
      <w:pPr>
        <w:spacing w:after="0" w:line="240" w:lineRule="auto"/>
      </w:pPr>
      <w:r>
        <w:separator/>
      </w:r>
    </w:p>
  </w:endnote>
  <w:endnote w:type="continuationSeparator" w:id="0">
    <w:p w14:paraId="2559942E" w14:textId="77777777" w:rsidR="008F59ED" w:rsidRDefault="008F59ED" w:rsidP="0056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3FA5" w14:textId="77777777" w:rsidR="007626D5" w:rsidRDefault="007626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08268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08015E9" w14:textId="29218DB7" w:rsidR="00CC451A" w:rsidRDefault="00CC451A" w:rsidP="00CC451A">
            <w:pPr>
              <w:pStyle w:val="Stopka"/>
              <w:ind w:left="4784" w:firstLine="4420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4C23B4" w14:textId="77777777" w:rsidR="00CC451A" w:rsidRDefault="00CC451A" w:rsidP="00CC451A">
    <w:pPr>
      <w:ind w:left="432" w:right="1077"/>
    </w:pPr>
    <w:r>
      <w:t xml:space="preserve">załącznik nr 3 do P(KR)-01  </w:t>
    </w:r>
  </w:p>
  <w:p w14:paraId="12BC2326" w14:textId="0806EB61" w:rsidR="005651C6" w:rsidRDefault="00CC451A" w:rsidP="00CC451A">
    <w:pPr>
      <w:ind w:left="432" w:right="1077"/>
    </w:pPr>
    <w:r>
      <w:t xml:space="preserve">wydanie 1 załącznika, z dnia </w:t>
    </w:r>
    <w:r w:rsidR="006215E8">
      <w:t>31</w:t>
    </w:r>
    <w:r>
      <w:t>.</w:t>
    </w:r>
    <w:r w:rsidR="006215E8">
      <w:t>12</w:t>
    </w:r>
    <w:r>
      <w:t>.202</w:t>
    </w:r>
    <w:r w:rsidR="006215E8">
      <w:t>5</w:t>
    </w:r>
    <w:r>
      <w:t xml:space="preserve">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6AAC" w14:textId="77777777" w:rsidR="007626D5" w:rsidRDefault="007626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9721" w14:textId="77777777" w:rsidR="008F59ED" w:rsidRDefault="008F59ED" w:rsidP="005651C6">
      <w:pPr>
        <w:spacing w:after="0" w:line="240" w:lineRule="auto"/>
      </w:pPr>
      <w:r>
        <w:separator/>
      </w:r>
    </w:p>
  </w:footnote>
  <w:footnote w:type="continuationSeparator" w:id="0">
    <w:p w14:paraId="0193C9AE" w14:textId="77777777" w:rsidR="008F59ED" w:rsidRDefault="008F59ED" w:rsidP="0056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3103" w14:textId="77777777" w:rsidR="007626D5" w:rsidRDefault="007626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053C" w14:textId="77777777" w:rsidR="007626D5" w:rsidRDefault="007626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6A24" w14:textId="77777777" w:rsidR="007626D5" w:rsidRDefault="007626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328"/>
    <w:multiLevelType w:val="hybridMultilevel"/>
    <w:tmpl w:val="55BA417C"/>
    <w:lvl w:ilvl="0" w:tplc="817264F0">
      <w:start w:val="1"/>
      <w:numFmt w:val="bullet"/>
      <w:lvlText w:val="–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2A471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8AD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DCD36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4283C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82B88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69A16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FC3220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D4F130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EB373A"/>
    <w:multiLevelType w:val="hybridMultilevel"/>
    <w:tmpl w:val="C344971C"/>
    <w:lvl w:ilvl="0" w:tplc="9B64BD1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EF05E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7E024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3A6E5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0996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3C9A54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BED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025E52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2E3442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5C2C4B"/>
    <w:multiLevelType w:val="hybridMultilevel"/>
    <w:tmpl w:val="EDA43B8E"/>
    <w:lvl w:ilvl="0" w:tplc="1DEEBC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04466">
      <w:start w:val="1"/>
      <w:numFmt w:val="decimal"/>
      <w:lvlRestart w:val="0"/>
      <w:lvlText w:val="%2)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88CFC">
      <w:start w:val="1"/>
      <w:numFmt w:val="lowerRoman"/>
      <w:lvlText w:val="%3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817AE">
      <w:start w:val="1"/>
      <w:numFmt w:val="decimal"/>
      <w:lvlText w:val="%4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AAE92">
      <w:start w:val="1"/>
      <w:numFmt w:val="lowerLetter"/>
      <w:lvlText w:val="%5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E83916">
      <w:start w:val="1"/>
      <w:numFmt w:val="lowerRoman"/>
      <w:lvlText w:val="%6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C1E4E">
      <w:start w:val="1"/>
      <w:numFmt w:val="decimal"/>
      <w:lvlText w:val="%7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43342">
      <w:start w:val="1"/>
      <w:numFmt w:val="lowerLetter"/>
      <w:lvlText w:val="%8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60B8A">
      <w:start w:val="1"/>
      <w:numFmt w:val="lowerRoman"/>
      <w:lvlText w:val="%9"/>
      <w:lvlJc w:val="left"/>
      <w:pPr>
        <w:ind w:left="7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CF7235"/>
    <w:multiLevelType w:val="hybridMultilevel"/>
    <w:tmpl w:val="3F1ED884"/>
    <w:lvl w:ilvl="0" w:tplc="ED00A8A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22504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A0569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16C12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D82D6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5EE46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B0978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CCAEA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8A657C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2730E6"/>
    <w:multiLevelType w:val="hybridMultilevel"/>
    <w:tmpl w:val="4F5E454A"/>
    <w:lvl w:ilvl="0" w:tplc="ABD2455C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0CBF1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76667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40F5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EA64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4D68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8A72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5271C2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088252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9F1E3E"/>
    <w:multiLevelType w:val="hybridMultilevel"/>
    <w:tmpl w:val="EA80F6C6"/>
    <w:lvl w:ilvl="0" w:tplc="CDFE17C2">
      <w:start w:val="2"/>
      <w:numFmt w:val="decimal"/>
      <w:lvlText w:val="%1."/>
      <w:lvlJc w:val="left"/>
      <w:pPr>
        <w:ind w:left="2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F600">
      <w:start w:val="1"/>
      <w:numFmt w:val="lowerLetter"/>
      <w:lvlText w:val="%2"/>
      <w:lvlJc w:val="left"/>
      <w:pPr>
        <w:ind w:left="2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8D98A">
      <w:start w:val="1"/>
      <w:numFmt w:val="lowerRoman"/>
      <w:lvlText w:val="%3"/>
      <w:lvlJc w:val="left"/>
      <w:pPr>
        <w:ind w:left="3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CAAB8">
      <w:start w:val="1"/>
      <w:numFmt w:val="decimal"/>
      <w:lvlText w:val="%4"/>
      <w:lvlJc w:val="left"/>
      <w:pPr>
        <w:ind w:left="4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874C0">
      <w:start w:val="1"/>
      <w:numFmt w:val="lowerLetter"/>
      <w:lvlText w:val="%5"/>
      <w:lvlJc w:val="left"/>
      <w:pPr>
        <w:ind w:left="4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65C36">
      <w:start w:val="1"/>
      <w:numFmt w:val="lowerRoman"/>
      <w:lvlText w:val="%6"/>
      <w:lvlJc w:val="left"/>
      <w:pPr>
        <w:ind w:left="5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05816">
      <w:start w:val="1"/>
      <w:numFmt w:val="decimal"/>
      <w:lvlText w:val="%7"/>
      <w:lvlJc w:val="left"/>
      <w:pPr>
        <w:ind w:left="6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4FEF4">
      <w:start w:val="1"/>
      <w:numFmt w:val="lowerLetter"/>
      <w:lvlText w:val="%8"/>
      <w:lvlJc w:val="left"/>
      <w:pPr>
        <w:ind w:left="6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760">
      <w:start w:val="1"/>
      <w:numFmt w:val="lowerRoman"/>
      <w:lvlText w:val="%9"/>
      <w:lvlJc w:val="left"/>
      <w:pPr>
        <w:ind w:left="7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0676CC"/>
    <w:multiLevelType w:val="hybridMultilevel"/>
    <w:tmpl w:val="944A66F6"/>
    <w:lvl w:ilvl="0" w:tplc="4656AA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64546">
      <w:start w:val="1"/>
      <w:numFmt w:val="decimal"/>
      <w:lvlRestart w:val="0"/>
      <w:lvlText w:val="%2)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46350">
      <w:start w:val="1"/>
      <w:numFmt w:val="lowerRoman"/>
      <w:lvlText w:val="%3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0B574">
      <w:start w:val="1"/>
      <w:numFmt w:val="decimal"/>
      <w:lvlText w:val="%4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207C4">
      <w:start w:val="1"/>
      <w:numFmt w:val="lowerLetter"/>
      <w:lvlText w:val="%5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2836C">
      <w:start w:val="1"/>
      <w:numFmt w:val="lowerRoman"/>
      <w:lvlText w:val="%6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C9564">
      <w:start w:val="1"/>
      <w:numFmt w:val="decimal"/>
      <w:lvlText w:val="%7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870B2">
      <w:start w:val="1"/>
      <w:numFmt w:val="lowerLetter"/>
      <w:lvlText w:val="%8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6F8E0">
      <w:start w:val="1"/>
      <w:numFmt w:val="lowerRoman"/>
      <w:lvlText w:val="%9"/>
      <w:lvlJc w:val="left"/>
      <w:pPr>
        <w:ind w:left="7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3F7DDC"/>
    <w:multiLevelType w:val="hybridMultilevel"/>
    <w:tmpl w:val="7E10BAC8"/>
    <w:lvl w:ilvl="0" w:tplc="00367334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60177E">
      <w:start w:val="1"/>
      <w:numFmt w:val="bullet"/>
      <w:lvlText w:val="o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C28F58">
      <w:start w:val="1"/>
      <w:numFmt w:val="bullet"/>
      <w:lvlText w:val="▪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03308">
      <w:start w:val="1"/>
      <w:numFmt w:val="bullet"/>
      <w:lvlText w:val="•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928CC8">
      <w:start w:val="1"/>
      <w:numFmt w:val="bullet"/>
      <w:lvlText w:val="o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9AD374">
      <w:start w:val="1"/>
      <w:numFmt w:val="bullet"/>
      <w:lvlText w:val="▪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468260">
      <w:start w:val="1"/>
      <w:numFmt w:val="bullet"/>
      <w:lvlText w:val="•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74D792">
      <w:start w:val="1"/>
      <w:numFmt w:val="bullet"/>
      <w:lvlText w:val="o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FEBE0E">
      <w:start w:val="1"/>
      <w:numFmt w:val="bullet"/>
      <w:lvlText w:val="▪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9C296C"/>
    <w:multiLevelType w:val="hybridMultilevel"/>
    <w:tmpl w:val="8984F7C4"/>
    <w:lvl w:ilvl="0" w:tplc="9D7641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E5BD0">
      <w:start w:val="1"/>
      <w:numFmt w:val="decimal"/>
      <w:lvlRestart w:val="0"/>
      <w:lvlText w:val="%2)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CB77A">
      <w:start w:val="1"/>
      <w:numFmt w:val="lowerRoman"/>
      <w:lvlText w:val="%3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8A1A0">
      <w:start w:val="1"/>
      <w:numFmt w:val="decimal"/>
      <w:lvlText w:val="%4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87AD2">
      <w:start w:val="1"/>
      <w:numFmt w:val="lowerLetter"/>
      <w:lvlText w:val="%5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26F3C">
      <w:start w:val="1"/>
      <w:numFmt w:val="lowerRoman"/>
      <w:lvlText w:val="%6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C2CB2">
      <w:start w:val="1"/>
      <w:numFmt w:val="decimal"/>
      <w:lvlText w:val="%7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668C4">
      <w:start w:val="1"/>
      <w:numFmt w:val="lowerLetter"/>
      <w:lvlText w:val="%8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29C46">
      <w:start w:val="1"/>
      <w:numFmt w:val="lowerRoman"/>
      <w:lvlText w:val="%9"/>
      <w:lvlJc w:val="left"/>
      <w:pPr>
        <w:ind w:left="7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5D5524"/>
    <w:multiLevelType w:val="hybridMultilevel"/>
    <w:tmpl w:val="36C6C0FE"/>
    <w:lvl w:ilvl="0" w:tplc="5F280B38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A4529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3409A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EC4D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A4837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6CC3F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BEDE3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C96E0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243A98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92238">
    <w:abstractNumId w:val="5"/>
  </w:num>
  <w:num w:numId="2" w16cid:durableId="1843280135">
    <w:abstractNumId w:val="2"/>
  </w:num>
  <w:num w:numId="3" w16cid:durableId="828860513">
    <w:abstractNumId w:val="6"/>
  </w:num>
  <w:num w:numId="4" w16cid:durableId="1420559626">
    <w:abstractNumId w:val="8"/>
  </w:num>
  <w:num w:numId="5" w16cid:durableId="587889954">
    <w:abstractNumId w:val="9"/>
  </w:num>
  <w:num w:numId="6" w16cid:durableId="1993092955">
    <w:abstractNumId w:val="3"/>
  </w:num>
  <w:num w:numId="7" w16cid:durableId="795639634">
    <w:abstractNumId w:val="4"/>
  </w:num>
  <w:num w:numId="8" w16cid:durableId="1453133668">
    <w:abstractNumId w:val="0"/>
  </w:num>
  <w:num w:numId="9" w16cid:durableId="1145511557">
    <w:abstractNumId w:val="7"/>
  </w:num>
  <w:num w:numId="10" w16cid:durableId="67026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3B"/>
    <w:rsid w:val="00171360"/>
    <w:rsid w:val="005651C6"/>
    <w:rsid w:val="006215E8"/>
    <w:rsid w:val="007626D5"/>
    <w:rsid w:val="00825098"/>
    <w:rsid w:val="00871E3B"/>
    <w:rsid w:val="008F59ED"/>
    <w:rsid w:val="009B7590"/>
    <w:rsid w:val="00BB14A6"/>
    <w:rsid w:val="00BB1C05"/>
    <w:rsid w:val="00CC451A"/>
    <w:rsid w:val="00DF0FEF"/>
    <w:rsid w:val="00E9426F"/>
    <w:rsid w:val="00F61354"/>
    <w:rsid w:val="00F84A73"/>
    <w:rsid w:val="00FB5288"/>
    <w:rsid w:val="00F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BB981"/>
  <w15:docId w15:val="{91913B28-E300-47A4-88D6-8C19F0AE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7" w:lineRule="auto"/>
      <w:ind w:left="69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6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1C6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1C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3394</Words>
  <Characters>20364</Characters>
  <Application>Microsoft Office Word</Application>
  <DocSecurity>0</DocSecurity>
  <Lines>169</Lines>
  <Paragraphs>47</Paragraphs>
  <ScaleCrop>false</ScaleCrop>
  <Company/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cp:lastModifiedBy>PSSE Aleksandrów Kujawski - Łukasz Mrówczyński</cp:lastModifiedBy>
  <cp:revision>11</cp:revision>
  <dcterms:created xsi:type="dcterms:W3CDTF">2026-01-08T07:16:00Z</dcterms:created>
  <dcterms:modified xsi:type="dcterms:W3CDTF">2026-01-12T09:11:00Z</dcterms:modified>
</cp:coreProperties>
</file>