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760" w:rsidRPr="00B57827" w:rsidRDefault="00056760" w:rsidP="00056760">
      <w:pPr>
        <w:ind w:left="6379"/>
        <w:rPr>
          <w:rStyle w:val="Numerstrony"/>
          <w:rFonts w:ascii="Times New Roman" w:hAnsi="Times New Roman"/>
          <w:b/>
          <w:sz w:val="22"/>
          <w:szCs w:val="22"/>
        </w:rPr>
      </w:pPr>
      <w:bookmarkStart w:id="0" w:name="_GoBack"/>
      <w:bookmarkEnd w:id="0"/>
      <w:r w:rsidRPr="00B57827">
        <w:rPr>
          <w:rStyle w:val="Numerstrony"/>
          <w:rFonts w:ascii="Times New Roman" w:hAnsi="Times New Roman"/>
          <w:b/>
          <w:sz w:val="22"/>
          <w:szCs w:val="22"/>
        </w:rPr>
        <w:t xml:space="preserve">Załącznik nr </w:t>
      </w:r>
      <w:r>
        <w:rPr>
          <w:rStyle w:val="Numerstrony"/>
          <w:rFonts w:ascii="Times New Roman" w:hAnsi="Times New Roman"/>
          <w:b/>
          <w:sz w:val="22"/>
          <w:szCs w:val="22"/>
        </w:rPr>
        <w:t>1</w:t>
      </w:r>
      <w:r w:rsidRPr="00B57827">
        <w:rPr>
          <w:rStyle w:val="Numerstrony"/>
          <w:rFonts w:ascii="Times New Roman" w:hAnsi="Times New Roman"/>
          <w:b/>
          <w:sz w:val="22"/>
          <w:szCs w:val="22"/>
        </w:rPr>
        <w:t xml:space="preserve"> </w:t>
      </w:r>
    </w:p>
    <w:p w:rsidR="00056760" w:rsidRDefault="00056760" w:rsidP="00056760">
      <w:pPr>
        <w:ind w:left="6379"/>
        <w:rPr>
          <w:b/>
          <w:sz w:val="28"/>
          <w:szCs w:val="28"/>
        </w:rPr>
      </w:pPr>
      <w:proofErr w:type="gramStart"/>
      <w:r>
        <w:rPr>
          <w:rStyle w:val="Numerstrony"/>
          <w:rFonts w:ascii="Times New Roman" w:hAnsi="Times New Roman"/>
          <w:sz w:val="20"/>
        </w:rPr>
        <w:t>d</w:t>
      </w:r>
      <w:r w:rsidRPr="00BC58A9">
        <w:rPr>
          <w:rStyle w:val="Numerstrony"/>
          <w:rFonts w:ascii="Times New Roman" w:hAnsi="Times New Roman"/>
          <w:sz w:val="20"/>
        </w:rPr>
        <w:t>o</w:t>
      </w:r>
      <w:proofErr w:type="gramEnd"/>
      <w:r>
        <w:rPr>
          <w:rStyle w:val="Numerstrony"/>
          <w:rFonts w:ascii="Times New Roman" w:hAnsi="Times New Roman"/>
          <w:sz w:val="20"/>
        </w:rPr>
        <w:t xml:space="preserve"> </w:t>
      </w:r>
      <w:r w:rsidRPr="00BC58A9">
        <w:rPr>
          <w:rStyle w:val="Numerstrony"/>
          <w:rFonts w:ascii="Times New Roman" w:hAnsi="Times New Roman"/>
          <w:sz w:val="20"/>
        </w:rPr>
        <w:t>„Warunków</w:t>
      </w:r>
      <w:r>
        <w:rPr>
          <w:rStyle w:val="Numerstrony"/>
          <w:rFonts w:ascii="Times New Roman" w:hAnsi="Times New Roman"/>
          <w:sz w:val="20"/>
        </w:rPr>
        <w:t xml:space="preserve"> udziału w mechanizmie „D</w:t>
      </w:r>
      <w:r w:rsidRPr="00BC58A9">
        <w:rPr>
          <w:rStyle w:val="Numerstrony"/>
          <w:rFonts w:ascii="Times New Roman" w:hAnsi="Times New Roman"/>
          <w:sz w:val="20"/>
        </w:rPr>
        <w:t>opłat</w:t>
      </w:r>
      <w:r>
        <w:rPr>
          <w:rStyle w:val="Numerstrony"/>
          <w:rFonts w:ascii="Times New Roman" w:hAnsi="Times New Roman"/>
          <w:sz w:val="20"/>
        </w:rPr>
        <w:t>y</w:t>
      </w:r>
      <w:r w:rsidRPr="00BC58A9">
        <w:rPr>
          <w:rStyle w:val="Numerstrony"/>
          <w:rFonts w:ascii="Times New Roman" w:hAnsi="Times New Roman"/>
          <w:sz w:val="20"/>
        </w:rPr>
        <w:t xml:space="preserve"> do prywatnego przechowywania </w:t>
      </w:r>
      <w:r>
        <w:rPr>
          <w:rStyle w:val="Numerstrony"/>
          <w:rFonts w:ascii="Times New Roman" w:hAnsi="Times New Roman"/>
          <w:sz w:val="20"/>
        </w:rPr>
        <w:t>baraniny i koziny</w:t>
      </w:r>
      <w:r w:rsidRPr="00BC58A9">
        <w:rPr>
          <w:rStyle w:val="Numerstrony"/>
          <w:rFonts w:ascii="Times New Roman" w:hAnsi="Times New Roman"/>
          <w:sz w:val="20"/>
        </w:rPr>
        <w:t>”</w:t>
      </w:r>
    </w:p>
    <w:p w:rsidR="00172DE5" w:rsidRDefault="00172DE5" w:rsidP="00D425D0">
      <w:pPr>
        <w:jc w:val="center"/>
        <w:rPr>
          <w:b/>
          <w:sz w:val="28"/>
          <w:szCs w:val="28"/>
        </w:rPr>
      </w:pPr>
    </w:p>
    <w:p w:rsidR="00172DE5" w:rsidRDefault="00172DE5" w:rsidP="00D425D0">
      <w:pPr>
        <w:jc w:val="center"/>
        <w:rPr>
          <w:b/>
          <w:sz w:val="28"/>
          <w:szCs w:val="28"/>
        </w:rPr>
      </w:pPr>
    </w:p>
    <w:p w:rsidR="00F93D25" w:rsidRDefault="00C61935" w:rsidP="00D425D0">
      <w:pPr>
        <w:jc w:val="center"/>
        <w:rPr>
          <w:b/>
          <w:sz w:val="28"/>
          <w:szCs w:val="28"/>
        </w:rPr>
      </w:pPr>
      <w:r>
        <w:rPr>
          <w:b/>
          <w:sz w:val="28"/>
          <w:szCs w:val="28"/>
        </w:rPr>
        <w:t xml:space="preserve">Produkty objęte dopłatami do prywatnego przechowywania </w:t>
      </w:r>
      <w:r w:rsidR="00A42EF3">
        <w:rPr>
          <w:b/>
          <w:sz w:val="28"/>
          <w:szCs w:val="28"/>
        </w:rPr>
        <w:t xml:space="preserve">baraniny i koziny </w:t>
      </w:r>
      <w:r w:rsidR="00F93D25" w:rsidRPr="00F93D25">
        <w:rPr>
          <w:b/>
          <w:sz w:val="28"/>
          <w:szCs w:val="28"/>
        </w:rPr>
        <w:t xml:space="preserve">oraz </w:t>
      </w:r>
      <w:r w:rsidR="00A42EF3">
        <w:rPr>
          <w:b/>
          <w:sz w:val="28"/>
          <w:szCs w:val="28"/>
        </w:rPr>
        <w:t>kwoty</w:t>
      </w:r>
      <w:r w:rsidR="00F93D25" w:rsidRPr="00F93D25">
        <w:rPr>
          <w:b/>
          <w:sz w:val="28"/>
          <w:szCs w:val="28"/>
        </w:rPr>
        <w:t xml:space="preserve"> dopłat</w:t>
      </w:r>
    </w:p>
    <w:p w:rsidR="00AF39A9" w:rsidRPr="00F93D25" w:rsidRDefault="00AF39A9" w:rsidP="00D425D0">
      <w:pPr>
        <w:jc w:val="center"/>
        <w:rPr>
          <w:b/>
          <w:sz w:val="28"/>
          <w:szCs w:val="28"/>
        </w:rPr>
      </w:pPr>
    </w:p>
    <w:p w:rsidR="00F93D25" w:rsidRDefault="00F93D25" w:rsidP="00D425D0">
      <w:pPr>
        <w:jc w:val="center"/>
        <w:rPr>
          <w:i/>
          <w:sz w:val="20"/>
        </w:rPr>
      </w:pPr>
    </w:p>
    <w:p w:rsidR="00D425D0" w:rsidRPr="00541808" w:rsidRDefault="00D425D0" w:rsidP="00D425D0">
      <w:pPr>
        <w:jc w:val="center"/>
        <w:rPr>
          <w:i/>
          <w:sz w:val="20"/>
        </w:rPr>
      </w:pPr>
      <w:r w:rsidRPr="00541808">
        <w:rPr>
          <w:i/>
          <w:sz w:val="20"/>
        </w:rPr>
        <w:t xml:space="preserve">Zgodnie z Rozporządzeniem </w:t>
      </w:r>
      <w:r w:rsidR="004A446C" w:rsidRPr="00541808">
        <w:rPr>
          <w:i/>
          <w:sz w:val="20"/>
        </w:rPr>
        <w:t xml:space="preserve">Wykonawczym </w:t>
      </w:r>
      <w:r w:rsidRPr="00541808">
        <w:rPr>
          <w:i/>
          <w:sz w:val="20"/>
        </w:rPr>
        <w:t>Komisji (</w:t>
      </w:r>
      <w:r w:rsidR="00347A40" w:rsidRPr="00541808">
        <w:rPr>
          <w:i/>
          <w:sz w:val="20"/>
        </w:rPr>
        <w:t>U</w:t>
      </w:r>
      <w:r w:rsidR="00CF7F54" w:rsidRPr="00541808">
        <w:rPr>
          <w:i/>
          <w:sz w:val="20"/>
        </w:rPr>
        <w:t>E</w:t>
      </w:r>
      <w:r w:rsidRPr="00541808">
        <w:rPr>
          <w:i/>
          <w:sz w:val="20"/>
        </w:rPr>
        <w:t xml:space="preserve">) </w:t>
      </w:r>
      <w:r w:rsidR="0059455A" w:rsidRPr="00541808">
        <w:rPr>
          <w:i/>
          <w:sz w:val="20"/>
        </w:rPr>
        <w:t>20</w:t>
      </w:r>
      <w:r w:rsidR="00C61935" w:rsidRPr="00541808">
        <w:rPr>
          <w:i/>
          <w:sz w:val="20"/>
        </w:rPr>
        <w:t>20</w:t>
      </w:r>
      <w:r w:rsidR="005B5352" w:rsidRPr="00541808">
        <w:rPr>
          <w:i/>
          <w:sz w:val="20"/>
        </w:rPr>
        <w:t>/</w:t>
      </w:r>
      <w:r w:rsidR="00541808" w:rsidRPr="00541808">
        <w:rPr>
          <w:i/>
          <w:sz w:val="20"/>
        </w:rPr>
        <w:t>59</w:t>
      </w:r>
      <w:r w:rsidR="0057650C">
        <w:rPr>
          <w:i/>
          <w:sz w:val="20"/>
        </w:rPr>
        <w:t>5</w:t>
      </w:r>
      <w:r w:rsidR="0059455A" w:rsidRPr="00541808">
        <w:rPr>
          <w:i/>
          <w:sz w:val="20"/>
        </w:rPr>
        <w:t xml:space="preserve"> </w:t>
      </w:r>
      <w:r w:rsidRPr="00541808">
        <w:rPr>
          <w:i/>
          <w:sz w:val="20"/>
        </w:rPr>
        <w:t xml:space="preserve">z dnia </w:t>
      </w:r>
      <w:r w:rsidR="00541808" w:rsidRPr="00541808">
        <w:rPr>
          <w:i/>
          <w:sz w:val="20"/>
        </w:rPr>
        <w:t>30 kwietnia</w:t>
      </w:r>
      <w:r w:rsidR="00030013" w:rsidRPr="00541808">
        <w:rPr>
          <w:i/>
          <w:sz w:val="20"/>
        </w:rPr>
        <w:t xml:space="preserve"> </w:t>
      </w:r>
      <w:r w:rsidR="00694C24" w:rsidRPr="00541808">
        <w:rPr>
          <w:i/>
          <w:sz w:val="20"/>
        </w:rPr>
        <w:t>20</w:t>
      </w:r>
      <w:r w:rsidR="00C61935" w:rsidRPr="00541808">
        <w:rPr>
          <w:i/>
          <w:sz w:val="20"/>
        </w:rPr>
        <w:t>20</w:t>
      </w:r>
      <w:r w:rsidR="002C5C94" w:rsidRPr="00541808">
        <w:rPr>
          <w:i/>
          <w:sz w:val="20"/>
        </w:rPr>
        <w:t xml:space="preserve"> r.</w:t>
      </w:r>
    </w:p>
    <w:p w:rsidR="00D425D0" w:rsidRDefault="00541808" w:rsidP="00D425D0">
      <w:pPr>
        <w:jc w:val="center"/>
        <w:rPr>
          <w:i/>
          <w:sz w:val="20"/>
        </w:rPr>
      </w:pPr>
      <w:proofErr w:type="gramStart"/>
      <w:r>
        <w:rPr>
          <w:i/>
          <w:sz w:val="20"/>
        </w:rPr>
        <w:t>p</w:t>
      </w:r>
      <w:r w:rsidRPr="00541808">
        <w:rPr>
          <w:i/>
          <w:sz w:val="20"/>
        </w:rPr>
        <w:t>rzyznającym</w:t>
      </w:r>
      <w:proofErr w:type="gramEnd"/>
      <w:r w:rsidRPr="00541808">
        <w:rPr>
          <w:i/>
          <w:sz w:val="20"/>
        </w:rPr>
        <w:t xml:space="preserve"> dopłaty do </w:t>
      </w:r>
      <w:r w:rsidR="00D425D0" w:rsidRPr="00541808">
        <w:rPr>
          <w:i/>
          <w:sz w:val="20"/>
        </w:rPr>
        <w:t>prywatne</w:t>
      </w:r>
      <w:r w:rsidRPr="00541808">
        <w:rPr>
          <w:i/>
          <w:sz w:val="20"/>
        </w:rPr>
        <w:t>go</w:t>
      </w:r>
      <w:r w:rsidR="00D425D0" w:rsidRPr="00541808">
        <w:rPr>
          <w:i/>
          <w:sz w:val="20"/>
        </w:rPr>
        <w:t xml:space="preserve"> </w:t>
      </w:r>
      <w:r w:rsidR="00347A40" w:rsidRPr="00541808">
        <w:rPr>
          <w:i/>
          <w:sz w:val="20"/>
        </w:rPr>
        <w:t>przechowywani</w:t>
      </w:r>
      <w:r w:rsidRPr="00541808">
        <w:rPr>
          <w:i/>
          <w:sz w:val="20"/>
        </w:rPr>
        <w:t>a</w:t>
      </w:r>
      <w:r w:rsidR="002C6993" w:rsidRPr="00541808">
        <w:rPr>
          <w:i/>
          <w:sz w:val="20"/>
        </w:rPr>
        <w:t xml:space="preserve"> </w:t>
      </w:r>
      <w:r w:rsidRPr="00541808">
        <w:rPr>
          <w:rFonts w:cs="Arial"/>
          <w:i/>
          <w:sz w:val="20"/>
        </w:rPr>
        <w:t xml:space="preserve">mięsa </w:t>
      </w:r>
      <w:r w:rsidR="0057650C">
        <w:rPr>
          <w:rFonts w:cs="Arial"/>
          <w:i/>
          <w:sz w:val="20"/>
        </w:rPr>
        <w:t>baraniego i koziego</w:t>
      </w:r>
      <w:r w:rsidRPr="00541808">
        <w:rPr>
          <w:rFonts w:cs="Arial"/>
          <w:i/>
          <w:sz w:val="20"/>
        </w:rPr>
        <w:t xml:space="preserve"> </w:t>
      </w:r>
      <w:r w:rsidR="0057650C">
        <w:rPr>
          <w:rFonts w:cs="Arial"/>
          <w:i/>
          <w:sz w:val="20"/>
        </w:rPr>
        <w:t>oraz</w:t>
      </w:r>
      <w:r w:rsidR="00FF290C">
        <w:rPr>
          <w:rFonts w:cs="Arial"/>
          <w:i/>
          <w:sz w:val="20"/>
        </w:rPr>
        <w:t xml:space="preserve"> ustalającym</w:t>
      </w:r>
      <w:r w:rsidRPr="00541808">
        <w:rPr>
          <w:rFonts w:cs="Arial"/>
          <w:i/>
          <w:sz w:val="20"/>
        </w:rPr>
        <w:t xml:space="preserve"> z góry </w:t>
      </w:r>
      <w:r w:rsidR="0057650C">
        <w:rPr>
          <w:rFonts w:cs="Arial"/>
          <w:i/>
          <w:sz w:val="20"/>
        </w:rPr>
        <w:t>kwotę</w:t>
      </w:r>
      <w:r w:rsidRPr="00541808">
        <w:rPr>
          <w:rFonts w:cs="Arial"/>
          <w:i/>
          <w:sz w:val="20"/>
        </w:rPr>
        <w:t xml:space="preserve"> </w:t>
      </w:r>
      <w:r w:rsidR="00FF290C">
        <w:rPr>
          <w:rFonts w:cs="Arial"/>
          <w:i/>
          <w:sz w:val="20"/>
        </w:rPr>
        <w:t xml:space="preserve">tych </w:t>
      </w:r>
      <w:r w:rsidRPr="00541808">
        <w:rPr>
          <w:rFonts w:cs="Arial"/>
          <w:i/>
          <w:sz w:val="20"/>
        </w:rPr>
        <w:t>dopłat</w:t>
      </w:r>
      <w:r w:rsidR="00D425D0" w:rsidRPr="00541808">
        <w:rPr>
          <w:i/>
          <w:sz w:val="20"/>
        </w:rPr>
        <w:t>.</w:t>
      </w:r>
    </w:p>
    <w:p w:rsidR="00C61935" w:rsidRDefault="00C61935" w:rsidP="00D425D0">
      <w:pPr>
        <w:jc w:val="center"/>
        <w:rPr>
          <w:i/>
          <w:sz w:val="20"/>
        </w:rPr>
      </w:pPr>
    </w:p>
    <w:p w:rsidR="00C61935" w:rsidRPr="00C61935" w:rsidRDefault="00C61935" w:rsidP="00D425D0">
      <w:pPr>
        <w:jc w:val="center"/>
        <w:rPr>
          <w:sz w:val="20"/>
        </w:rPr>
      </w:pPr>
    </w:p>
    <w:tbl>
      <w:tblPr>
        <w:tblStyle w:val="Tabela-Siatka"/>
        <w:tblW w:w="9634" w:type="dxa"/>
        <w:tblLayout w:type="fixed"/>
        <w:tblLook w:val="04A0" w:firstRow="1" w:lastRow="0" w:firstColumn="1" w:lastColumn="0" w:noHBand="0" w:noVBand="1"/>
      </w:tblPr>
      <w:tblGrid>
        <w:gridCol w:w="1702"/>
        <w:gridCol w:w="3396"/>
        <w:gridCol w:w="1512"/>
        <w:gridCol w:w="1512"/>
        <w:gridCol w:w="1512"/>
      </w:tblGrid>
      <w:tr w:rsidR="0057650C" w:rsidTr="0057650C">
        <w:tc>
          <w:tcPr>
            <w:tcW w:w="1702" w:type="dxa"/>
            <w:vAlign w:val="center"/>
          </w:tcPr>
          <w:p w:rsidR="0057650C" w:rsidRPr="00057E3B" w:rsidRDefault="0057650C" w:rsidP="002B20D0">
            <w:pPr>
              <w:jc w:val="center"/>
              <w:rPr>
                <w:b/>
                <w:sz w:val="20"/>
              </w:rPr>
            </w:pPr>
            <w:r w:rsidRPr="00057E3B">
              <w:rPr>
                <w:rStyle w:val="tlid-translation"/>
                <w:b/>
                <w:sz w:val="20"/>
              </w:rPr>
              <w:t xml:space="preserve">Kod nomenklatury celnej produktów </w:t>
            </w:r>
            <w:r w:rsidRPr="00057E3B">
              <w:rPr>
                <w:rStyle w:val="tlid-translation"/>
                <w:b/>
              </w:rPr>
              <w:t>(kod CN)</w:t>
            </w:r>
          </w:p>
        </w:tc>
        <w:tc>
          <w:tcPr>
            <w:tcW w:w="3396" w:type="dxa"/>
            <w:vAlign w:val="center"/>
          </w:tcPr>
          <w:p w:rsidR="0057650C" w:rsidRPr="00057E3B" w:rsidRDefault="0057650C" w:rsidP="002B20D0">
            <w:pPr>
              <w:jc w:val="center"/>
              <w:rPr>
                <w:b/>
                <w:sz w:val="20"/>
              </w:rPr>
            </w:pPr>
            <w:r w:rsidRPr="00057E3B">
              <w:rPr>
                <w:b/>
                <w:sz w:val="20"/>
              </w:rPr>
              <w:t>Opis produktu</w:t>
            </w:r>
          </w:p>
        </w:tc>
        <w:tc>
          <w:tcPr>
            <w:tcW w:w="4536" w:type="dxa"/>
            <w:gridSpan w:val="3"/>
            <w:vAlign w:val="center"/>
          </w:tcPr>
          <w:p w:rsidR="0057650C" w:rsidRPr="00057E3B" w:rsidRDefault="0057650C" w:rsidP="002B20D0">
            <w:pPr>
              <w:jc w:val="center"/>
              <w:rPr>
                <w:b/>
                <w:sz w:val="20"/>
              </w:rPr>
            </w:pPr>
            <w:r>
              <w:rPr>
                <w:b/>
                <w:sz w:val="20"/>
              </w:rPr>
              <w:t>Kwota</w:t>
            </w:r>
            <w:r w:rsidRPr="00057E3B">
              <w:rPr>
                <w:b/>
                <w:sz w:val="20"/>
              </w:rPr>
              <w:t xml:space="preserve"> dopłaty na okres przechowywania (EUR/t)</w:t>
            </w:r>
          </w:p>
        </w:tc>
      </w:tr>
      <w:tr w:rsidR="0057650C" w:rsidTr="00A42EF3">
        <w:tc>
          <w:tcPr>
            <w:tcW w:w="1702" w:type="dxa"/>
          </w:tcPr>
          <w:p w:rsidR="0057650C" w:rsidRDefault="0057650C" w:rsidP="00D425D0">
            <w:pPr>
              <w:jc w:val="center"/>
              <w:rPr>
                <w:sz w:val="20"/>
              </w:rPr>
            </w:pPr>
          </w:p>
        </w:tc>
        <w:tc>
          <w:tcPr>
            <w:tcW w:w="3396" w:type="dxa"/>
          </w:tcPr>
          <w:p w:rsidR="0057650C" w:rsidRDefault="0057650C" w:rsidP="00D425D0">
            <w:pPr>
              <w:jc w:val="center"/>
              <w:rPr>
                <w:sz w:val="20"/>
              </w:rPr>
            </w:pPr>
          </w:p>
        </w:tc>
        <w:tc>
          <w:tcPr>
            <w:tcW w:w="1512" w:type="dxa"/>
          </w:tcPr>
          <w:p w:rsidR="0057650C" w:rsidRDefault="0057650C" w:rsidP="00D425D0">
            <w:pPr>
              <w:jc w:val="center"/>
              <w:rPr>
                <w:sz w:val="20"/>
              </w:rPr>
            </w:pPr>
            <w:r w:rsidRPr="004A446C">
              <w:rPr>
                <w:sz w:val="20"/>
              </w:rPr>
              <w:t>90 dni</w:t>
            </w:r>
          </w:p>
        </w:tc>
        <w:tc>
          <w:tcPr>
            <w:tcW w:w="1512" w:type="dxa"/>
          </w:tcPr>
          <w:p w:rsidR="0057650C" w:rsidRDefault="0057650C" w:rsidP="00D425D0">
            <w:pPr>
              <w:jc w:val="center"/>
              <w:rPr>
                <w:sz w:val="20"/>
              </w:rPr>
            </w:pPr>
            <w:r w:rsidRPr="004A446C">
              <w:rPr>
                <w:sz w:val="20"/>
              </w:rPr>
              <w:t>120 dni</w:t>
            </w:r>
          </w:p>
        </w:tc>
        <w:tc>
          <w:tcPr>
            <w:tcW w:w="1512" w:type="dxa"/>
          </w:tcPr>
          <w:p w:rsidR="0057650C" w:rsidRDefault="0057650C" w:rsidP="00D425D0">
            <w:pPr>
              <w:jc w:val="center"/>
              <w:rPr>
                <w:sz w:val="20"/>
              </w:rPr>
            </w:pPr>
            <w:r w:rsidRPr="004A446C">
              <w:rPr>
                <w:sz w:val="20"/>
              </w:rPr>
              <w:t>150 dni</w:t>
            </w:r>
          </w:p>
        </w:tc>
      </w:tr>
      <w:tr w:rsidR="0057650C" w:rsidTr="00A42EF3">
        <w:tc>
          <w:tcPr>
            <w:tcW w:w="1702" w:type="dxa"/>
          </w:tcPr>
          <w:p w:rsidR="0057650C" w:rsidRDefault="0057650C" w:rsidP="00D425D0">
            <w:pPr>
              <w:jc w:val="center"/>
              <w:rPr>
                <w:sz w:val="20"/>
              </w:rPr>
            </w:pPr>
            <w:r>
              <w:rPr>
                <w:sz w:val="20"/>
              </w:rPr>
              <w:t>1</w:t>
            </w:r>
          </w:p>
        </w:tc>
        <w:tc>
          <w:tcPr>
            <w:tcW w:w="3396" w:type="dxa"/>
          </w:tcPr>
          <w:p w:rsidR="0057650C" w:rsidRDefault="0057650C" w:rsidP="00D425D0">
            <w:pPr>
              <w:jc w:val="center"/>
              <w:rPr>
                <w:sz w:val="20"/>
              </w:rPr>
            </w:pPr>
            <w:r>
              <w:rPr>
                <w:sz w:val="20"/>
              </w:rPr>
              <w:t>2</w:t>
            </w:r>
          </w:p>
        </w:tc>
        <w:tc>
          <w:tcPr>
            <w:tcW w:w="1512" w:type="dxa"/>
          </w:tcPr>
          <w:p w:rsidR="0057650C" w:rsidRDefault="0057650C" w:rsidP="00D425D0">
            <w:pPr>
              <w:jc w:val="center"/>
              <w:rPr>
                <w:sz w:val="20"/>
              </w:rPr>
            </w:pPr>
            <w:r>
              <w:rPr>
                <w:sz w:val="20"/>
              </w:rPr>
              <w:t>4</w:t>
            </w:r>
          </w:p>
        </w:tc>
        <w:tc>
          <w:tcPr>
            <w:tcW w:w="1512" w:type="dxa"/>
          </w:tcPr>
          <w:p w:rsidR="0057650C" w:rsidRDefault="0057650C" w:rsidP="00D425D0">
            <w:pPr>
              <w:jc w:val="center"/>
              <w:rPr>
                <w:sz w:val="20"/>
              </w:rPr>
            </w:pPr>
            <w:r>
              <w:rPr>
                <w:sz w:val="20"/>
              </w:rPr>
              <w:t>5</w:t>
            </w:r>
          </w:p>
        </w:tc>
        <w:tc>
          <w:tcPr>
            <w:tcW w:w="1512" w:type="dxa"/>
          </w:tcPr>
          <w:p w:rsidR="0057650C" w:rsidRDefault="0057650C" w:rsidP="00D425D0">
            <w:pPr>
              <w:jc w:val="center"/>
              <w:rPr>
                <w:sz w:val="20"/>
              </w:rPr>
            </w:pPr>
            <w:r>
              <w:rPr>
                <w:sz w:val="20"/>
              </w:rPr>
              <w:t>6</w:t>
            </w:r>
          </w:p>
        </w:tc>
      </w:tr>
      <w:tr w:rsidR="0057650C" w:rsidTr="00A42EF3">
        <w:tc>
          <w:tcPr>
            <w:tcW w:w="1702" w:type="dxa"/>
            <w:vAlign w:val="center"/>
          </w:tcPr>
          <w:p w:rsidR="0057650C" w:rsidRDefault="0057650C" w:rsidP="00A42EF3">
            <w:pPr>
              <w:jc w:val="center"/>
              <w:rPr>
                <w:sz w:val="20"/>
              </w:rPr>
            </w:pPr>
            <w:proofErr w:type="gramStart"/>
            <w:r w:rsidRPr="00BD7720">
              <w:rPr>
                <w:sz w:val="20"/>
                <w:szCs w:val="23"/>
              </w:rPr>
              <w:t>ex</w:t>
            </w:r>
            <w:proofErr w:type="gramEnd"/>
            <w:r w:rsidRPr="00BD7720">
              <w:rPr>
                <w:sz w:val="20"/>
                <w:szCs w:val="23"/>
              </w:rPr>
              <w:t xml:space="preserve"> 020</w:t>
            </w:r>
            <w:r>
              <w:rPr>
                <w:sz w:val="20"/>
                <w:szCs w:val="23"/>
              </w:rPr>
              <w:t>4</w:t>
            </w:r>
            <w:r w:rsidRPr="00BD7720">
              <w:rPr>
                <w:sz w:val="20"/>
                <w:szCs w:val="23"/>
              </w:rPr>
              <w:t xml:space="preserve"> </w:t>
            </w:r>
            <w:r>
              <w:rPr>
                <w:sz w:val="20"/>
                <w:szCs w:val="23"/>
              </w:rPr>
              <w:t>1</w:t>
            </w:r>
            <w:r w:rsidRPr="00BD7720">
              <w:rPr>
                <w:sz w:val="20"/>
                <w:szCs w:val="23"/>
              </w:rPr>
              <w:t xml:space="preserve">0 </w:t>
            </w:r>
            <w:r>
              <w:rPr>
                <w:sz w:val="20"/>
                <w:szCs w:val="23"/>
              </w:rPr>
              <w:t>0</w:t>
            </w:r>
            <w:r w:rsidRPr="00BD7720">
              <w:rPr>
                <w:sz w:val="20"/>
                <w:szCs w:val="23"/>
              </w:rPr>
              <w:t>0</w:t>
            </w:r>
          </w:p>
        </w:tc>
        <w:tc>
          <w:tcPr>
            <w:tcW w:w="3396" w:type="dxa"/>
          </w:tcPr>
          <w:p w:rsidR="0057650C" w:rsidRPr="0057650C" w:rsidRDefault="0057650C" w:rsidP="0057650C">
            <w:pPr>
              <w:jc w:val="both"/>
              <w:rPr>
                <w:rFonts w:cs="Arial"/>
                <w:sz w:val="20"/>
              </w:rPr>
            </w:pPr>
            <w:r w:rsidRPr="0057650C">
              <w:rPr>
                <w:rFonts w:cs="Arial"/>
                <w:sz w:val="20"/>
                <w:szCs w:val="19"/>
              </w:rPr>
              <w:t xml:space="preserve">Tusze i półtusze z jagniąt, w wieku poniżej dwunastu miesięcy, świeże lub schłodzone </w:t>
            </w:r>
          </w:p>
        </w:tc>
        <w:tc>
          <w:tcPr>
            <w:tcW w:w="1512" w:type="dxa"/>
            <w:vMerge w:val="restart"/>
            <w:vAlign w:val="center"/>
          </w:tcPr>
          <w:p w:rsidR="0057650C" w:rsidRPr="001F7898" w:rsidRDefault="0057650C" w:rsidP="0057650C">
            <w:pPr>
              <w:jc w:val="center"/>
              <w:rPr>
                <w:rFonts w:cs="Arial"/>
                <w:sz w:val="22"/>
                <w:szCs w:val="24"/>
              </w:rPr>
            </w:pPr>
            <w:r>
              <w:rPr>
                <w:rFonts w:cs="Arial"/>
                <w:sz w:val="22"/>
                <w:szCs w:val="24"/>
              </w:rPr>
              <w:t>866</w:t>
            </w:r>
          </w:p>
        </w:tc>
        <w:tc>
          <w:tcPr>
            <w:tcW w:w="1512" w:type="dxa"/>
            <w:vMerge w:val="restart"/>
            <w:vAlign w:val="center"/>
          </w:tcPr>
          <w:p w:rsidR="0057650C" w:rsidRPr="001F7898" w:rsidRDefault="0057650C" w:rsidP="0057650C">
            <w:pPr>
              <w:jc w:val="center"/>
              <w:rPr>
                <w:rFonts w:cs="Arial"/>
                <w:sz w:val="22"/>
                <w:szCs w:val="24"/>
              </w:rPr>
            </w:pPr>
            <w:r>
              <w:rPr>
                <w:rFonts w:cs="Arial"/>
                <w:sz w:val="22"/>
                <w:szCs w:val="24"/>
              </w:rPr>
              <w:t>890</w:t>
            </w:r>
          </w:p>
        </w:tc>
        <w:tc>
          <w:tcPr>
            <w:tcW w:w="1512" w:type="dxa"/>
            <w:vMerge w:val="restart"/>
            <w:vAlign w:val="center"/>
          </w:tcPr>
          <w:p w:rsidR="0057650C" w:rsidRPr="001F7898" w:rsidRDefault="0057650C" w:rsidP="0057650C">
            <w:pPr>
              <w:jc w:val="center"/>
              <w:rPr>
                <w:rFonts w:cs="Arial"/>
                <w:sz w:val="22"/>
                <w:szCs w:val="24"/>
              </w:rPr>
            </w:pPr>
            <w:r>
              <w:rPr>
                <w:rFonts w:cs="Arial"/>
                <w:sz w:val="22"/>
                <w:szCs w:val="24"/>
              </w:rPr>
              <w:t>915</w:t>
            </w:r>
          </w:p>
        </w:tc>
      </w:tr>
      <w:tr w:rsidR="0057650C" w:rsidTr="00A42EF3">
        <w:tc>
          <w:tcPr>
            <w:tcW w:w="1702" w:type="dxa"/>
            <w:vAlign w:val="center"/>
          </w:tcPr>
          <w:p w:rsidR="0057650C" w:rsidRPr="00BD7720" w:rsidRDefault="0057650C" w:rsidP="00A42EF3">
            <w:pPr>
              <w:jc w:val="center"/>
              <w:rPr>
                <w:sz w:val="20"/>
                <w:szCs w:val="23"/>
              </w:rPr>
            </w:pPr>
            <w:proofErr w:type="gramStart"/>
            <w:r w:rsidRPr="00BD7720">
              <w:rPr>
                <w:sz w:val="20"/>
                <w:szCs w:val="23"/>
              </w:rPr>
              <w:t>ex</w:t>
            </w:r>
            <w:proofErr w:type="gramEnd"/>
            <w:r w:rsidRPr="00BD7720">
              <w:rPr>
                <w:sz w:val="20"/>
                <w:szCs w:val="23"/>
              </w:rPr>
              <w:t xml:space="preserve"> 020</w:t>
            </w:r>
            <w:r>
              <w:rPr>
                <w:sz w:val="20"/>
                <w:szCs w:val="23"/>
              </w:rPr>
              <w:t>4</w:t>
            </w:r>
            <w:r w:rsidRPr="00BD7720">
              <w:rPr>
                <w:sz w:val="20"/>
                <w:szCs w:val="23"/>
              </w:rPr>
              <w:t xml:space="preserve"> </w:t>
            </w:r>
            <w:r>
              <w:rPr>
                <w:sz w:val="20"/>
                <w:szCs w:val="23"/>
              </w:rPr>
              <w:t>5</w:t>
            </w:r>
            <w:r w:rsidRPr="00BD7720">
              <w:rPr>
                <w:sz w:val="20"/>
                <w:szCs w:val="23"/>
              </w:rPr>
              <w:t xml:space="preserve">0 </w:t>
            </w:r>
            <w:r>
              <w:rPr>
                <w:sz w:val="20"/>
                <w:szCs w:val="23"/>
              </w:rPr>
              <w:t>11</w:t>
            </w:r>
          </w:p>
        </w:tc>
        <w:tc>
          <w:tcPr>
            <w:tcW w:w="3396" w:type="dxa"/>
          </w:tcPr>
          <w:p w:rsidR="0057650C" w:rsidRPr="0057650C" w:rsidRDefault="0057650C" w:rsidP="00541808">
            <w:pPr>
              <w:pStyle w:val="Akapitzlist"/>
              <w:spacing w:before="120" w:after="120" w:line="240" w:lineRule="auto"/>
              <w:ind w:left="0"/>
              <w:contextualSpacing w:val="0"/>
              <w:rPr>
                <w:rFonts w:ascii="Arial" w:hAnsi="Arial" w:cs="Arial"/>
                <w:color w:val="000000"/>
                <w:lang w:val="pl-PL"/>
              </w:rPr>
            </w:pPr>
            <w:proofErr w:type="spellStart"/>
            <w:r w:rsidRPr="0057650C">
              <w:rPr>
                <w:rFonts w:ascii="Arial" w:hAnsi="Arial" w:cs="Arial"/>
                <w:szCs w:val="19"/>
              </w:rPr>
              <w:t>Tusze</w:t>
            </w:r>
            <w:proofErr w:type="spellEnd"/>
            <w:r w:rsidRPr="0057650C">
              <w:rPr>
                <w:rFonts w:ascii="Arial" w:hAnsi="Arial" w:cs="Arial"/>
                <w:szCs w:val="19"/>
              </w:rPr>
              <w:t xml:space="preserve"> </w:t>
            </w:r>
            <w:proofErr w:type="spellStart"/>
            <w:r w:rsidRPr="0057650C">
              <w:rPr>
                <w:rFonts w:ascii="Arial" w:hAnsi="Arial" w:cs="Arial"/>
                <w:szCs w:val="19"/>
              </w:rPr>
              <w:t>i</w:t>
            </w:r>
            <w:proofErr w:type="spellEnd"/>
            <w:r w:rsidRPr="0057650C">
              <w:rPr>
                <w:rFonts w:ascii="Arial" w:hAnsi="Arial" w:cs="Arial"/>
                <w:szCs w:val="19"/>
              </w:rPr>
              <w:t xml:space="preserve"> </w:t>
            </w:r>
            <w:proofErr w:type="spellStart"/>
            <w:r w:rsidRPr="0057650C">
              <w:rPr>
                <w:rFonts w:ascii="Arial" w:hAnsi="Arial" w:cs="Arial"/>
                <w:szCs w:val="19"/>
              </w:rPr>
              <w:t>półtusze</w:t>
            </w:r>
            <w:proofErr w:type="spellEnd"/>
            <w:r w:rsidRPr="0057650C">
              <w:rPr>
                <w:rFonts w:ascii="Arial" w:hAnsi="Arial" w:cs="Arial"/>
                <w:szCs w:val="19"/>
              </w:rPr>
              <w:t xml:space="preserve"> z </w:t>
            </w:r>
            <w:proofErr w:type="spellStart"/>
            <w:r w:rsidRPr="0057650C">
              <w:rPr>
                <w:rFonts w:ascii="Arial" w:hAnsi="Arial" w:cs="Arial"/>
                <w:szCs w:val="19"/>
              </w:rPr>
              <w:t>koźląt</w:t>
            </w:r>
            <w:proofErr w:type="spellEnd"/>
            <w:r w:rsidRPr="0057650C">
              <w:rPr>
                <w:rFonts w:ascii="Arial" w:hAnsi="Arial" w:cs="Arial"/>
                <w:szCs w:val="19"/>
              </w:rPr>
              <w:t>, w wieku poniżej dwunastu miesięcy, świeże lub schłodzone</w:t>
            </w:r>
          </w:p>
        </w:tc>
        <w:tc>
          <w:tcPr>
            <w:tcW w:w="1512" w:type="dxa"/>
            <w:vMerge/>
          </w:tcPr>
          <w:p w:rsidR="0057650C" w:rsidRPr="001F7898" w:rsidRDefault="0057650C" w:rsidP="00D425D0">
            <w:pPr>
              <w:jc w:val="center"/>
              <w:rPr>
                <w:rFonts w:cs="Arial"/>
                <w:sz w:val="22"/>
                <w:szCs w:val="24"/>
              </w:rPr>
            </w:pPr>
          </w:p>
        </w:tc>
        <w:tc>
          <w:tcPr>
            <w:tcW w:w="1512" w:type="dxa"/>
            <w:vMerge/>
          </w:tcPr>
          <w:p w:rsidR="0057650C" w:rsidRPr="001F7898" w:rsidRDefault="0057650C" w:rsidP="00D425D0">
            <w:pPr>
              <w:jc w:val="center"/>
              <w:rPr>
                <w:rFonts w:cs="Arial"/>
                <w:sz w:val="22"/>
                <w:szCs w:val="24"/>
              </w:rPr>
            </w:pPr>
          </w:p>
        </w:tc>
        <w:tc>
          <w:tcPr>
            <w:tcW w:w="1512" w:type="dxa"/>
            <w:vMerge/>
          </w:tcPr>
          <w:p w:rsidR="0057650C" w:rsidRPr="001F7898" w:rsidRDefault="0057650C" w:rsidP="00D425D0">
            <w:pPr>
              <w:jc w:val="center"/>
              <w:rPr>
                <w:rFonts w:cs="Arial"/>
                <w:sz w:val="22"/>
                <w:szCs w:val="24"/>
              </w:rPr>
            </w:pPr>
          </w:p>
        </w:tc>
      </w:tr>
    </w:tbl>
    <w:p w:rsidR="00C61935" w:rsidRPr="00C61935" w:rsidRDefault="00C61935" w:rsidP="00D425D0">
      <w:pPr>
        <w:jc w:val="center"/>
        <w:rPr>
          <w:sz w:val="20"/>
        </w:rPr>
      </w:pPr>
    </w:p>
    <w:p w:rsidR="00C61935" w:rsidRDefault="00C61935" w:rsidP="00D425D0">
      <w:pPr>
        <w:jc w:val="center"/>
        <w:rPr>
          <w:sz w:val="20"/>
        </w:rPr>
      </w:pPr>
    </w:p>
    <w:p w:rsidR="00B06341" w:rsidRDefault="00B06341" w:rsidP="00D425D0">
      <w:pPr>
        <w:jc w:val="center"/>
        <w:rPr>
          <w:sz w:val="20"/>
        </w:rPr>
      </w:pPr>
    </w:p>
    <w:p w:rsidR="00FF290C" w:rsidRPr="008C08E5" w:rsidRDefault="00FF290C" w:rsidP="00FF290C">
      <w:pPr>
        <w:autoSpaceDE w:val="0"/>
        <w:autoSpaceDN w:val="0"/>
        <w:adjustRightInd w:val="0"/>
        <w:rPr>
          <w:rFonts w:ascii="EUAlbertina" w:hAnsi="EUAlbertina" w:cs="EUAlbertina"/>
          <w:color w:val="000000"/>
          <w:sz w:val="19"/>
          <w:szCs w:val="19"/>
        </w:rPr>
      </w:pPr>
      <w:r w:rsidRPr="008C08E5">
        <w:rPr>
          <w:rFonts w:ascii="EUAlbertina" w:hAnsi="EUAlbertina" w:cs="EUAlbertina"/>
          <w:i/>
          <w:iCs/>
          <w:color w:val="000000"/>
          <w:sz w:val="19"/>
          <w:szCs w:val="19"/>
        </w:rPr>
        <w:t>„</w:t>
      </w:r>
      <w:r>
        <w:rPr>
          <w:rFonts w:ascii="EUAlbertina" w:hAnsi="EUAlbertina" w:cs="EUAlbertina"/>
          <w:i/>
          <w:iCs/>
          <w:color w:val="000000"/>
          <w:sz w:val="19"/>
          <w:szCs w:val="19"/>
        </w:rPr>
        <w:t>tusze” —</w:t>
      </w:r>
      <w:r w:rsidRPr="008C08E5">
        <w:rPr>
          <w:rFonts w:ascii="EUAlbertina" w:hAnsi="EUAlbertina" w:cs="EUAlbertina"/>
          <w:i/>
          <w:iCs/>
          <w:color w:val="000000"/>
          <w:sz w:val="19"/>
          <w:szCs w:val="19"/>
        </w:rPr>
        <w:t>oznaczają całe tusze ubitych zwierząt po upuszczeniu krwi, wypatroszeniu i oskórowaniu, sprowadzane z głowami lub bez, z nóżkami lub bez, oraz z innymi dołączonymi podrobami lub bez. Jeśli tusze są bez głów, to głowy muszą być oddzielone od tuszy tuż za potylicą. Jeśli tusze są bez nóżek, to nóżki muszą być odcięte na stawach nadgarstkowych lub skokowych;</w:t>
      </w:r>
    </w:p>
    <w:p w:rsidR="00FF290C" w:rsidRPr="008C08E5" w:rsidRDefault="00FF290C" w:rsidP="00FF290C">
      <w:pPr>
        <w:autoSpaceDE w:val="0"/>
        <w:autoSpaceDN w:val="0"/>
        <w:adjustRightInd w:val="0"/>
        <w:rPr>
          <w:rFonts w:ascii="EUAlbertina" w:hAnsi="EUAlbertina" w:cs="EUAlbertina"/>
          <w:color w:val="000000"/>
          <w:sz w:val="19"/>
          <w:szCs w:val="19"/>
        </w:rPr>
      </w:pPr>
    </w:p>
    <w:p w:rsidR="00FF290C" w:rsidRPr="008C08E5" w:rsidRDefault="00FF290C" w:rsidP="00FF290C">
      <w:pPr>
        <w:numPr>
          <w:ilvl w:val="0"/>
          <w:numId w:val="10"/>
        </w:numPr>
        <w:autoSpaceDE w:val="0"/>
        <w:autoSpaceDN w:val="0"/>
        <w:adjustRightInd w:val="0"/>
        <w:rPr>
          <w:rFonts w:ascii="EUAlbertina" w:hAnsi="EUAlbertina" w:cs="EUAlbertina"/>
          <w:color w:val="000000"/>
          <w:sz w:val="19"/>
          <w:szCs w:val="19"/>
        </w:rPr>
      </w:pPr>
    </w:p>
    <w:p w:rsidR="00FF290C" w:rsidRPr="008C08E5" w:rsidRDefault="00FF290C" w:rsidP="00FF290C">
      <w:pPr>
        <w:autoSpaceDE w:val="0"/>
        <w:autoSpaceDN w:val="0"/>
        <w:adjustRightInd w:val="0"/>
        <w:rPr>
          <w:rFonts w:ascii="EUAlbertina" w:hAnsi="EUAlbertina" w:cs="EUAlbertina"/>
          <w:color w:val="000000"/>
          <w:sz w:val="19"/>
          <w:szCs w:val="19"/>
        </w:rPr>
      </w:pPr>
      <w:r w:rsidRPr="008C08E5">
        <w:rPr>
          <w:rFonts w:ascii="EUAlbertina" w:hAnsi="EUAlbertina" w:cs="EUAlbertina"/>
          <w:i/>
          <w:iCs/>
          <w:color w:val="000000"/>
          <w:sz w:val="19"/>
          <w:szCs w:val="19"/>
        </w:rPr>
        <w:t>„półtusze” —oznaczają produkt powstały przez symetryczny podział całej tuszy przez środek kręgów karkowych, grzbietowych, lędźwiowych i krzyżowych oraz przez środek mostka i spojenie kości biodrowej z łonową;</w:t>
      </w:r>
    </w:p>
    <w:p w:rsidR="00B06341" w:rsidRDefault="00B06341" w:rsidP="00FF290C">
      <w:pPr>
        <w:jc w:val="both"/>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D425D0">
      <w:pPr>
        <w:jc w:val="center"/>
        <w:rPr>
          <w:sz w:val="20"/>
        </w:rPr>
      </w:pPr>
    </w:p>
    <w:p w:rsidR="00B06341" w:rsidRDefault="00B06341" w:rsidP="00B24410">
      <w:pPr>
        <w:rPr>
          <w:sz w:val="20"/>
        </w:rPr>
      </w:pPr>
    </w:p>
    <w:sectPr w:rsidR="00B06341" w:rsidSect="00755D00">
      <w:headerReference w:type="default" r:id="rId8"/>
      <w:footerReference w:type="default" r:id="rId9"/>
      <w:footnotePr>
        <w:numStart w:val="3"/>
      </w:footnotePr>
      <w:pgSz w:w="11907" w:h="16840" w:code="9"/>
      <w:pgMar w:top="1418" w:right="1134" w:bottom="1247"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22" w:rsidRDefault="00C95722">
      <w:r>
        <w:separator/>
      </w:r>
    </w:p>
  </w:endnote>
  <w:endnote w:type="continuationSeparator" w:id="0">
    <w:p w:rsidR="00C95722" w:rsidRDefault="00C9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2E" w:rsidRDefault="00E515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22" w:rsidRDefault="00C95722">
      <w:r>
        <w:separator/>
      </w:r>
    </w:p>
  </w:footnote>
  <w:footnote w:type="continuationSeparator" w:id="0">
    <w:p w:rsidR="00C95722" w:rsidRDefault="00C95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2E" w:rsidRDefault="00E5152E">
    <w:pPr>
      <w:pStyle w:val="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6B5"/>
    <w:multiLevelType w:val="singleLevel"/>
    <w:tmpl w:val="2AEABCB6"/>
    <w:lvl w:ilvl="0">
      <w:start w:val="1"/>
      <w:numFmt w:val="bullet"/>
      <w:lvlText w:val=""/>
      <w:lvlJc w:val="left"/>
      <w:pPr>
        <w:tabs>
          <w:tab w:val="num" w:pos="360"/>
        </w:tabs>
        <w:ind w:left="284" w:hanging="284"/>
      </w:pPr>
      <w:rPr>
        <w:rFonts w:ascii="Symbol" w:hAnsi="Symbol" w:hint="default"/>
        <w:sz w:val="14"/>
      </w:rPr>
    </w:lvl>
  </w:abstractNum>
  <w:abstractNum w:abstractNumId="1" w15:restartNumberingAfterBreak="0">
    <w:nsid w:val="240A577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2A6371"/>
    <w:multiLevelType w:val="singleLevel"/>
    <w:tmpl w:val="87B6DFA6"/>
    <w:lvl w:ilvl="0">
      <w:start w:val="4"/>
      <w:numFmt w:val="bullet"/>
      <w:lvlText w:val=""/>
      <w:lvlJc w:val="left"/>
      <w:pPr>
        <w:tabs>
          <w:tab w:val="num" w:pos="360"/>
        </w:tabs>
        <w:ind w:left="360" w:hanging="360"/>
      </w:pPr>
      <w:rPr>
        <w:rFonts w:ascii="Wingdings" w:hAnsi="Wingdings" w:hint="default"/>
      </w:rPr>
    </w:lvl>
  </w:abstractNum>
  <w:abstractNum w:abstractNumId="3" w15:restartNumberingAfterBreak="0">
    <w:nsid w:val="38BA039D"/>
    <w:multiLevelType w:val="hybridMultilevel"/>
    <w:tmpl w:val="A46C669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EE932BE"/>
    <w:multiLevelType w:val="multilevel"/>
    <w:tmpl w:val="D6A62CF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9B2B05"/>
    <w:multiLevelType w:val="singleLevel"/>
    <w:tmpl w:val="6A0246E8"/>
    <w:lvl w:ilvl="0">
      <w:start w:val="1"/>
      <w:numFmt w:val="bullet"/>
      <w:lvlText w:val=""/>
      <w:lvlJc w:val="left"/>
      <w:pPr>
        <w:tabs>
          <w:tab w:val="num" w:pos="360"/>
        </w:tabs>
        <w:ind w:left="284" w:hanging="284"/>
      </w:pPr>
      <w:rPr>
        <w:rFonts w:ascii="Symbol" w:hAnsi="Symbol" w:hint="default"/>
        <w:sz w:val="14"/>
      </w:rPr>
    </w:lvl>
  </w:abstractNum>
  <w:abstractNum w:abstractNumId="6" w15:restartNumberingAfterBreak="0">
    <w:nsid w:val="4A7311E0"/>
    <w:multiLevelType w:val="hybridMultilevel"/>
    <w:tmpl w:val="333521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CA731B1"/>
    <w:multiLevelType w:val="hybridMultilevel"/>
    <w:tmpl w:val="0B26FE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F76610"/>
    <w:multiLevelType w:val="hybridMultilevel"/>
    <w:tmpl w:val="F0EC52D2"/>
    <w:lvl w:ilvl="0" w:tplc="EFDEC6BE">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044442"/>
    <w:multiLevelType w:val="hybridMultilevel"/>
    <w:tmpl w:val="D6A62CFC"/>
    <w:lvl w:ilvl="0" w:tplc="0415000D">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2"/>
  </w:num>
  <w:num w:numId="6">
    <w:abstractNumId w:val="3"/>
  </w:num>
  <w:num w:numId="7">
    <w:abstractNumId w:val="9"/>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47"/>
    <w:rsid w:val="00005BD2"/>
    <w:rsid w:val="0002757A"/>
    <w:rsid w:val="00030013"/>
    <w:rsid w:val="00036D2B"/>
    <w:rsid w:val="000453A3"/>
    <w:rsid w:val="00056760"/>
    <w:rsid w:val="00057E3B"/>
    <w:rsid w:val="00061260"/>
    <w:rsid w:val="0007301E"/>
    <w:rsid w:val="000A43B9"/>
    <w:rsid w:val="000A5EE8"/>
    <w:rsid w:val="000C4007"/>
    <w:rsid w:val="000C444E"/>
    <w:rsid w:val="000E23FB"/>
    <w:rsid w:val="000E5E3B"/>
    <w:rsid w:val="0010121A"/>
    <w:rsid w:val="00104602"/>
    <w:rsid w:val="00104889"/>
    <w:rsid w:val="0011065B"/>
    <w:rsid w:val="00114348"/>
    <w:rsid w:val="00125C73"/>
    <w:rsid w:val="001267D5"/>
    <w:rsid w:val="00130DD3"/>
    <w:rsid w:val="00142252"/>
    <w:rsid w:val="001536F7"/>
    <w:rsid w:val="00155E98"/>
    <w:rsid w:val="00156DED"/>
    <w:rsid w:val="00172DE5"/>
    <w:rsid w:val="0018064F"/>
    <w:rsid w:val="001806A4"/>
    <w:rsid w:val="00180D40"/>
    <w:rsid w:val="00195994"/>
    <w:rsid w:val="001A5FDB"/>
    <w:rsid w:val="001B0A89"/>
    <w:rsid w:val="001C7F03"/>
    <w:rsid w:val="001E6796"/>
    <w:rsid w:val="001F7898"/>
    <w:rsid w:val="002372E1"/>
    <w:rsid w:val="002475B5"/>
    <w:rsid w:val="00255DAB"/>
    <w:rsid w:val="002B048B"/>
    <w:rsid w:val="002B20D0"/>
    <w:rsid w:val="002B705F"/>
    <w:rsid w:val="002C30D8"/>
    <w:rsid w:val="002C5C94"/>
    <w:rsid w:val="002C6993"/>
    <w:rsid w:val="002E6C55"/>
    <w:rsid w:val="002F461C"/>
    <w:rsid w:val="00302992"/>
    <w:rsid w:val="00307533"/>
    <w:rsid w:val="0034023F"/>
    <w:rsid w:val="00345E3D"/>
    <w:rsid w:val="00347A40"/>
    <w:rsid w:val="0037026E"/>
    <w:rsid w:val="003C21DC"/>
    <w:rsid w:val="003C6280"/>
    <w:rsid w:val="003D7530"/>
    <w:rsid w:val="003E3508"/>
    <w:rsid w:val="003E4679"/>
    <w:rsid w:val="003E5B1D"/>
    <w:rsid w:val="004120C5"/>
    <w:rsid w:val="0044474F"/>
    <w:rsid w:val="00461B69"/>
    <w:rsid w:val="004757EC"/>
    <w:rsid w:val="004A446C"/>
    <w:rsid w:val="004A58E1"/>
    <w:rsid w:val="004E11AB"/>
    <w:rsid w:val="004F6EB4"/>
    <w:rsid w:val="00512826"/>
    <w:rsid w:val="00516F24"/>
    <w:rsid w:val="00541808"/>
    <w:rsid w:val="00553A7C"/>
    <w:rsid w:val="00560F68"/>
    <w:rsid w:val="0057650C"/>
    <w:rsid w:val="00581C41"/>
    <w:rsid w:val="0058701E"/>
    <w:rsid w:val="0059455A"/>
    <w:rsid w:val="005A2010"/>
    <w:rsid w:val="005B5352"/>
    <w:rsid w:val="005B7A58"/>
    <w:rsid w:val="005D3715"/>
    <w:rsid w:val="005D4616"/>
    <w:rsid w:val="005F1AF9"/>
    <w:rsid w:val="005F2F69"/>
    <w:rsid w:val="005F49AA"/>
    <w:rsid w:val="005F4E00"/>
    <w:rsid w:val="005F74B8"/>
    <w:rsid w:val="00603F63"/>
    <w:rsid w:val="006041B9"/>
    <w:rsid w:val="00630BE0"/>
    <w:rsid w:val="0065220D"/>
    <w:rsid w:val="00653AEB"/>
    <w:rsid w:val="006719CE"/>
    <w:rsid w:val="00684CDE"/>
    <w:rsid w:val="00694C24"/>
    <w:rsid w:val="006A20D0"/>
    <w:rsid w:val="006B1CF4"/>
    <w:rsid w:val="006C2243"/>
    <w:rsid w:val="006C6FBF"/>
    <w:rsid w:val="006D7DB0"/>
    <w:rsid w:val="006F067C"/>
    <w:rsid w:val="006F3EEA"/>
    <w:rsid w:val="007131A0"/>
    <w:rsid w:val="00731730"/>
    <w:rsid w:val="00750439"/>
    <w:rsid w:val="00755D00"/>
    <w:rsid w:val="007745D3"/>
    <w:rsid w:val="007747DC"/>
    <w:rsid w:val="00774B07"/>
    <w:rsid w:val="0078063A"/>
    <w:rsid w:val="007B05C1"/>
    <w:rsid w:val="007B5955"/>
    <w:rsid w:val="007C4AB7"/>
    <w:rsid w:val="007D603E"/>
    <w:rsid w:val="007D6CD4"/>
    <w:rsid w:val="00812F16"/>
    <w:rsid w:val="0081303F"/>
    <w:rsid w:val="00830090"/>
    <w:rsid w:val="008325BA"/>
    <w:rsid w:val="00835185"/>
    <w:rsid w:val="008463D2"/>
    <w:rsid w:val="00863EB9"/>
    <w:rsid w:val="008841F0"/>
    <w:rsid w:val="0089439B"/>
    <w:rsid w:val="008A05AB"/>
    <w:rsid w:val="008A21F5"/>
    <w:rsid w:val="008A6EFF"/>
    <w:rsid w:val="008C5815"/>
    <w:rsid w:val="008D402F"/>
    <w:rsid w:val="008E3647"/>
    <w:rsid w:val="00901074"/>
    <w:rsid w:val="009024AB"/>
    <w:rsid w:val="009048C7"/>
    <w:rsid w:val="00910286"/>
    <w:rsid w:val="00912C22"/>
    <w:rsid w:val="0092514F"/>
    <w:rsid w:val="00926EA0"/>
    <w:rsid w:val="00930FE4"/>
    <w:rsid w:val="009349E2"/>
    <w:rsid w:val="0094131E"/>
    <w:rsid w:val="0094153B"/>
    <w:rsid w:val="00945372"/>
    <w:rsid w:val="009747E0"/>
    <w:rsid w:val="009A0E3F"/>
    <w:rsid w:val="009A3C91"/>
    <w:rsid w:val="009A7379"/>
    <w:rsid w:val="009B3C53"/>
    <w:rsid w:val="009C266D"/>
    <w:rsid w:val="00A032B7"/>
    <w:rsid w:val="00A233E8"/>
    <w:rsid w:val="00A25126"/>
    <w:rsid w:val="00A42DFE"/>
    <w:rsid w:val="00A42EF3"/>
    <w:rsid w:val="00A50708"/>
    <w:rsid w:val="00A548D1"/>
    <w:rsid w:val="00A73B53"/>
    <w:rsid w:val="00A77641"/>
    <w:rsid w:val="00A80AAF"/>
    <w:rsid w:val="00A85D21"/>
    <w:rsid w:val="00A920DB"/>
    <w:rsid w:val="00AC1358"/>
    <w:rsid w:val="00AF39A9"/>
    <w:rsid w:val="00B06341"/>
    <w:rsid w:val="00B1584A"/>
    <w:rsid w:val="00B24410"/>
    <w:rsid w:val="00B268DD"/>
    <w:rsid w:val="00B30ABF"/>
    <w:rsid w:val="00B3304F"/>
    <w:rsid w:val="00B330B5"/>
    <w:rsid w:val="00B75351"/>
    <w:rsid w:val="00B90EB6"/>
    <w:rsid w:val="00BB0C0C"/>
    <w:rsid w:val="00BB1E01"/>
    <w:rsid w:val="00BC080F"/>
    <w:rsid w:val="00BC2F47"/>
    <w:rsid w:val="00BD3DF1"/>
    <w:rsid w:val="00BD714B"/>
    <w:rsid w:val="00BD7720"/>
    <w:rsid w:val="00BE778C"/>
    <w:rsid w:val="00C0698A"/>
    <w:rsid w:val="00C146BA"/>
    <w:rsid w:val="00C15CE2"/>
    <w:rsid w:val="00C245F2"/>
    <w:rsid w:val="00C311A0"/>
    <w:rsid w:val="00C360A6"/>
    <w:rsid w:val="00C37C02"/>
    <w:rsid w:val="00C54D45"/>
    <w:rsid w:val="00C61935"/>
    <w:rsid w:val="00C9305A"/>
    <w:rsid w:val="00C95722"/>
    <w:rsid w:val="00CA4589"/>
    <w:rsid w:val="00CC2043"/>
    <w:rsid w:val="00CC65D2"/>
    <w:rsid w:val="00CC6FF5"/>
    <w:rsid w:val="00CE771C"/>
    <w:rsid w:val="00CF45A0"/>
    <w:rsid w:val="00CF7F54"/>
    <w:rsid w:val="00D1320E"/>
    <w:rsid w:val="00D14E4B"/>
    <w:rsid w:val="00D20239"/>
    <w:rsid w:val="00D24EB6"/>
    <w:rsid w:val="00D4067D"/>
    <w:rsid w:val="00D425D0"/>
    <w:rsid w:val="00D44507"/>
    <w:rsid w:val="00D507E7"/>
    <w:rsid w:val="00D512BA"/>
    <w:rsid w:val="00D5274F"/>
    <w:rsid w:val="00D53897"/>
    <w:rsid w:val="00D569E5"/>
    <w:rsid w:val="00D721DF"/>
    <w:rsid w:val="00D848DE"/>
    <w:rsid w:val="00D87735"/>
    <w:rsid w:val="00D97629"/>
    <w:rsid w:val="00D97B83"/>
    <w:rsid w:val="00DC3AD6"/>
    <w:rsid w:val="00DD2B6A"/>
    <w:rsid w:val="00DF6029"/>
    <w:rsid w:val="00DF7824"/>
    <w:rsid w:val="00E0470A"/>
    <w:rsid w:val="00E12357"/>
    <w:rsid w:val="00E13891"/>
    <w:rsid w:val="00E3429D"/>
    <w:rsid w:val="00E45D1B"/>
    <w:rsid w:val="00E46035"/>
    <w:rsid w:val="00E5152E"/>
    <w:rsid w:val="00E519F5"/>
    <w:rsid w:val="00E81D02"/>
    <w:rsid w:val="00EA6088"/>
    <w:rsid w:val="00F015B1"/>
    <w:rsid w:val="00F1248F"/>
    <w:rsid w:val="00F175E2"/>
    <w:rsid w:val="00F228B7"/>
    <w:rsid w:val="00F27A8B"/>
    <w:rsid w:val="00F27F21"/>
    <w:rsid w:val="00F434F7"/>
    <w:rsid w:val="00F468F7"/>
    <w:rsid w:val="00F554C6"/>
    <w:rsid w:val="00F6001B"/>
    <w:rsid w:val="00F7238A"/>
    <w:rsid w:val="00F73949"/>
    <w:rsid w:val="00F77D6D"/>
    <w:rsid w:val="00F83166"/>
    <w:rsid w:val="00F8320A"/>
    <w:rsid w:val="00F93D25"/>
    <w:rsid w:val="00F979E2"/>
    <w:rsid w:val="00FA2922"/>
    <w:rsid w:val="00FA3187"/>
    <w:rsid w:val="00FA42CA"/>
    <w:rsid w:val="00FA4750"/>
    <w:rsid w:val="00FB4A83"/>
    <w:rsid w:val="00FE322C"/>
    <w:rsid w:val="00FF2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C36301-8533-4E3D-9753-00FC9965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25D0"/>
    <w:rPr>
      <w:rFonts w:ascii="Arial" w:hAnsi="Arial"/>
      <w:sz w:val="24"/>
    </w:rPr>
  </w:style>
  <w:style w:type="paragraph" w:styleId="Nagwek1">
    <w:name w:val="heading 1"/>
    <w:basedOn w:val="Normalny"/>
    <w:next w:val="Normalny"/>
    <w:qFormat/>
    <w:rsid w:val="00D425D0"/>
    <w:pPr>
      <w:keepNext/>
      <w:jc w:val="center"/>
      <w:outlineLvl w:val="0"/>
    </w:pPr>
    <w:rPr>
      <w:b/>
    </w:rPr>
  </w:style>
  <w:style w:type="paragraph" w:styleId="Nagwek2">
    <w:name w:val="heading 2"/>
    <w:basedOn w:val="Normalny"/>
    <w:next w:val="Normalny"/>
    <w:qFormat/>
    <w:rsid w:val="00D425D0"/>
    <w:pPr>
      <w:keepNext/>
      <w:outlineLvl w:val="1"/>
    </w:pPr>
    <w:rPr>
      <w:rFonts w:cs="Arial"/>
      <w:b/>
      <w:bCs/>
      <w:snapToGrid w:val="0"/>
      <w:sz w:val="1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D425D0"/>
    <w:pPr>
      <w:spacing w:line="360" w:lineRule="auto"/>
      <w:ind w:firstLine="709"/>
      <w:jc w:val="both"/>
    </w:pPr>
  </w:style>
  <w:style w:type="paragraph" w:customStyle="1" w:styleId="a">
    <w:basedOn w:val="Normalny"/>
    <w:next w:val="Nagwek"/>
    <w:rsid w:val="00D425D0"/>
    <w:pPr>
      <w:tabs>
        <w:tab w:val="center" w:pos="4536"/>
        <w:tab w:val="right" w:pos="9072"/>
      </w:tabs>
    </w:pPr>
  </w:style>
  <w:style w:type="paragraph" w:styleId="Tekstprzypisudolnego">
    <w:name w:val="footnote text"/>
    <w:basedOn w:val="Normalny"/>
    <w:semiHidden/>
    <w:rsid w:val="00D425D0"/>
    <w:rPr>
      <w:sz w:val="20"/>
    </w:rPr>
  </w:style>
  <w:style w:type="character" w:styleId="Odwoanieprzypisudolnego">
    <w:name w:val="footnote reference"/>
    <w:semiHidden/>
    <w:rsid w:val="00D425D0"/>
    <w:rPr>
      <w:vertAlign w:val="superscript"/>
    </w:rPr>
  </w:style>
  <w:style w:type="paragraph" w:styleId="Nagwek">
    <w:name w:val="header"/>
    <w:basedOn w:val="Normalny"/>
    <w:rsid w:val="00D425D0"/>
    <w:pPr>
      <w:tabs>
        <w:tab w:val="center" w:pos="4536"/>
        <w:tab w:val="right" w:pos="9072"/>
      </w:tabs>
    </w:pPr>
  </w:style>
  <w:style w:type="paragraph" w:styleId="Stopka">
    <w:name w:val="footer"/>
    <w:basedOn w:val="Normalny"/>
    <w:rsid w:val="00D425D0"/>
    <w:pPr>
      <w:tabs>
        <w:tab w:val="center" w:pos="4536"/>
        <w:tab w:val="right" w:pos="9072"/>
      </w:tabs>
    </w:pPr>
  </w:style>
  <w:style w:type="paragraph" w:styleId="Tekstdymka">
    <w:name w:val="Balloon Text"/>
    <w:basedOn w:val="Normalny"/>
    <w:semiHidden/>
    <w:rsid w:val="00D4067D"/>
    <w:rPr>
      <w:rFonts w:ascii="Tahoma" w:hAnsi="Tahoma" w:cs="Tahoma"/>
      <w:sz w:val="16"/>
      <w:szCs w:val="16"/>
    </w:rPr>
  </w:style>
  <w:style w:type="paragraph" w:styleId="Tekstpodstawowy3">
    <w:name w:val="Body Text 3"/>
    <w:basedOn w:val="Normalny"/>
    <w:rsid w:val="00684CDE"/>
    <w:pPr>
      <w:tabs>
        <w:tab w:val="left" w:pos="567"/>
        <w:tab w:val="left" w:pos="851"/>
        <w:tab w:val="left" w:pos="1134"/>
      </w:tabs>
      <w:jc w:val="both"/>
    </w:pPr>
    <w:rPr>
      <w:sz w:val="22"/>
      <w:lang w:val="fr-FR" w:eastAsia="fr-FR"/>
    </w:rPr>
  </w:style>
  <w:style w:type="paragraph" w:customStyle="1" w:styleId="NormalnyWeb8">
    <w:name w:val="Normalny (Web)8"/>
    <w:basedOn w:val="Normalny"/>
    <w:rsid w:val="000C4007"/>
    <w:pPr>
      <w:spacing w:before="44" w:after="44"/>
      <w:ind w:left="133" w:right="133"/>
    </w:pPr>
    <w:rPr>
      <w:rFonts w:ascii="Times New Roman" w:hAnsi="Times New Roman"/>
      <w:sz w:val="22"/>
      <w:szCs w:val="22"/>
    </w:rPr>
  </w:style>
  <w:style w:type="character" w:styleId="Numerstrony">
    <w:name w:val="page number"/>
    <w:basedOn w:val="Domylnaczcionkaakapitu"/>
    <w:rsid w:val="00A548D1"/>
  </w:style>
  <w:style w:type="character" w:customStyle="1" w:styleId="tlid-translation">
    <w:name w:val="tlid-translation"/>
    <w:rsid w:val="00C61935"/>
  </w:style>
  <w:style w:type="table" w:styleId="Tabela-Siatka">
    <w:name w:val="Table Grid"/>
    <w:basedOn w:val="Standardowy"/>
    <w:uiPriority w:val="59"/>
    <w:rsid w:val="00C6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szerű bekezdés1 Znak,List Paragraph à moi Znak,Dot pt Znak,F5 List Paragraph Znak,Numbered Para 1 Znak,No Spacing1 Znak,List Paragraph Char Char Char Znak,Indicator Text Znak,Bullet Points Znak,MAIN CONTENT Znak,OBC Bullet Znak"/>
    <w:link w:val="Akapitzlist"/>
    <w:uiPriority w:val="34"/>
    <w:qFormat/>
    <w:locked/>
    <w:rsid w:val="002B20D0"/>
    <w:rPr>
      <w:lang w:val="en-GB"/>
    </w:rPr>
  </w:style>
  <w:style w:type="paragraph" w:styleId="Akapitzlist">
    <w:name w:val="List Paragraph"/>
    <w:aliases w:val="Listaszerű bekezdés1,List Paragraph à moi,Dot pt,F5 List Paragraph,Numbered Para 1,No Spacing1,List Paragraph Char Char Char,Indicator Text,Bullet Points,MAIN CONTENT,IFCL - List Paragraph,List Paragraph12,OBC Bullet,LISTA,List Paragraph"/>
    <w:basedOn w:val="Normalny"/>
    <w:link w:val="AkapitzlistZnak"/>
    <w:uiPriority w:val="34"/>
    <w:qFormat/>
    <w:rsid w:val="002B20D0"/>
    <w:pPr>
      <w:spacing w:after="200" w:line="276" w:lineRule="auto"/>
      <w:ind w:left="720"/>
      <w:contextualSpacing/>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5F7B-C7AE-489F-9D1A-A25F7FCE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203</Words>
  <Characters>1162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Zgodnie z Rozporządzeniem Komisji (EC) nr 2042/98 z dnia 25 września 1998 roku</vt:lpstr>
    </vt:vector>
  </TitlesOfParts>
  <Company>arr</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Zgodnie z Rozporządzeniem Komisji (EC) nr 2042/98 z dnia 25 września 1998 roku</dc:title>
  <dc:subject/>
  <dc:creator>marzenak</dc:creator>
  <cp:keywords/>
  <cp:lastModifiedBy>Olkowska Iwona</cp:lastModifiedBy>
  <cp:revision>19</cp:revision>
  <cp:lastPrinted>2015-12-21T08:54:00Z</cp:lastPrinted>
  <dcterms:created xsi:type="dcterms:W3CDTF">2020-04-29T10:40:00Z</dcterms:created>
  <dcterms:modified xsi:type="dcterms:W3CDTF">2020-05-06T13:44:00Z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2033363322</vt:i4>
  </property>
  <property fmtid="{D5CDD505-2E9C-101B-9397-08002B2CF9AE}" pid="3" name="_EmailSubject">
    <vt:lpwstr>nowe!!!!</vt:lpwstr>
  </property>
  <property fmtid="{D5CDD505-2E9C-101B-9397-08002B2CF9AE}" pid="4" name="_AuthorEmail">
    <vt:lpwstr>m.skapska@arr.gov.pl</vt:lpwstr>
  </property>
  <property fmtid="{D5CDD505-2E9C-101B-9397-08002B2CF9AE}" pid="5" name="_AuthorEmailDisplayName">
    <vt:lpwstr>Skąpska Marzena</vt:lpwstr>
  </property>
  <property fmtid="{D5CDD505-2E9C-101B-9397-08002B2CF9AE}" pid="6" name="_PreviousAdHocReviewCycleID">
    <vt:i4>1264950251</vt:i4>
  </property>
  <property fmtid="{D5CDD505-2E9C-101B-9397-08002B2CF9AE}" pid="7" name="_ReviewingToolsShownOnce">
    <vt:lpwstr/>
  </property>
</Properties>
</file>