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77" w:rsidRPr="000D5D4B" w:rsidRDefault="000B3477" w:rsidP="00B71869">
      <w:pPr>
        <w:pStyle w:val="Nagwek1"/>
        <w:rPr>
          <w:rFonts w:asciiTheme="minorHAnsi" w:eastAsia="Calibri" w:hAnsiTheme="minorHAnsi" w:cstheme="minorHAnsi"/>
          <w:b/>
          <w:color w:val="auto"/>
          <w:sz w:val="28"/>
          <w:szCs w:val="28"/>
        </w:rPr>
      </w:pPr>
      <w:r w:rsidRPr="000D5D4B">
        <w:rPr>
          <w:rFonts w:asciiTheme="minorHAnsi" w:eastAsia="Calibri" w:hAnsiTheme="minorHAnsi" w:cstheme="minorHAnsi"/>
          <w:b/>
          <w:color w:val="auto"/>
          <w:sz w:val="28"/>
          <w:szCs w:val="28"/>
        </w:rPr>
        <w:t>ORZECZENIE</w:t>
      </w:r>
      <w:r w:rsidR="008D732F" w:rsidRPr="000D5D4B">
        <w:rPr>
          <w:rFonts w:asciiTheme="minorHAnsi" w:eastAsia="Calibri" w:hAnsiTheme="minorHAnsi" w:cstheme="minorHAnsi"/>
          <w:b/>
          <w:color w:val="auto"/>
          <w:sz w:val="28"/>
          <w:szCs w:val="28"/>
        </w:rPr>
        <w:br/>
      </w:r>
      <w:r w:rsidRPr="000D5D4B">
        <w:rPr>
          <w:rFonts w:asciiTheme="minorHAnsi" w:eastAsia="Calibri" w:hAnsiTheme="minorHAnsi" w:cstheme="minorHAnsi"/>
          <w:b/>
          <w:color w:val="auto"/>
          <w:sz w:val="28"/>
          <w:szCs w:val="28"/>
        </w:rPr>
        <w:t>Głównej Komisji Orzekającej w Sprawach o Naruszenie Dyscypliny Finansów Publicznych</w:t>
      </w:r>
    </w:p>
    <w:p w:rsidR="00C50815" w:rsidRDefault="00F6525C" w:rsidP="00B71869">
      <w:pPr>
        <w:spacing w:before="600" w:after="0" w:line="276" w:lineRule="auto"/>
        <w:rPr>
          <w:rFonts w:eastAsia="Calibri" w:cstheme="minorHAnsi"/>
          <w:sz w:val="24"/>
        </w:rPr>
      </w:pPr>
      <w:r>
        <w:rPr>
          <w:rFonts w:eastAsia="Calibri" w:cstheme="minorHAnsi"/>
          <w:sz w:val="24"/>
        </w:rPr>
        <w:t xml:space="preserve">Warszawa, dnia </w:t>
      </w:r>
      <w:r w:rsidR="000E5292">
        <w:rPr>
          <w:rFonts w:eastAsia="Calibri" w:cstheme="minorHAnsi"/>
          <w:sz w:val="24"/>
        </w:rPr>
        <w:t>2</w:t>
      </w:r>
      <w:r w:rsidR="003C0C64">
        <w:rPr>
          <w:rFonts w:eastAsia="Calibri" w:cstheme="minorHAnsi"/>
          <w:sz w:val="24"/>
        </w:rPr>
        <w:t>1 marc</w:t>
      </w:r>
      <w:r w:rsidR="006745C5">
        <w:rPr>
          <w:rFonts w:eastAsia="Calibri" w:cstheme="minorHAnsi"/>
          <w:sz w:val="24"/>
        </w:rPr>
        <w:t>a</w:t>
      </w:r>
      <w:r w:rsidR="004045D8" w:rsidRPr="00E928D0">
        <w:rPr>
          <w:rFonts w:eastAsia="Calibri" w:cstheme="minorHAnsi"/>
          <w:sz w:val="24"/>
        </w:rPr>
        <w:t xml:space="preserve"> </w:t>
      </w:r>
      <w:r w:rsidR="006745C5">
        <w:rPr>
          <w:rFonts w:eastAsia="Calibri" w:cstheme="minorHAnsi"/>
          <w:sz w:val="24"/>
        </w:rPr>
        <w:t>2022</w:t>
      </w:r>
      <w:r w:rsidR="000B3477" w:rsidRPr="00E928D0">
        <w:rPr>
          <w:rFonts w:eastAsia="Calibri" w:cstheme="minorHAnsi"/>
          <w:sz w:val="24"/>
        </w:rPr>
        <w:t xml:space="preserve"> r.</w:t>
      </w:r>
    </w:p>
    <w:p w:rsidR="000B3477" w:rsidRPr="00E928D0" w:rsidRDefault="000B3477" w:rsidP="001529FC">
      <w:pPr>
        <w:spacing w:after="240" w:line="360" w:lineRule="auto"/>
        <w:rPr>
          <w:rFonts w:eastAsia="Calibri" w:cstheme="minorHAnsi"/>
          <w:sz w:val="24"/>
        </w:rPr>
      </w:pPr>
      <w:r w:rsidRPr="00E928D0">
        <w:rPr>
          <w:rFonts w:eastAsia="Calibri" w:cstheme="minorHAnsi"/>
          <w:sz w:val="24"/>
        </w:rPr>
        <w:t xml:space="preserve">Główna Komisja Orzekająca w Sprawach o Naruszenie Dyscypliny Finansów Publicznych </w:t>
      </w:r>
      <w:r w:rsidRPr="00E928D0">
        <w:rPr>
          <w:rFonts w:eastAsia="Calibri" w:cstheme="minorHAnsi"/>
          <w:sz w:val="24"/>
        </w:rPr>
        <w:br/>
        <w:t>w składzie:</w:t>
      </w:r>
    </w:p>
    <w:tbl>
      <w:tblPr>
        <w:tblW w:w="9120" w:type="dxa"/>
        <w:tblInd w:w="108" w:type="dxa"/>
        <w:tblLayout w:type="fixed"/>
        <w:tblLook w:val="0000" w:firstRow="0" w:lastRow="0" w:firstColumn="0" w:lastColumn="0" w:noHBand="0" w:noVBand="0"/>
      </w:tblPr>
      <w:tblGrid>
        <w:gridCol w:w="1985"/>
        <w:gridCol w:w="3260"/>
        <w:gridCol w:w="3875"/>
      </w:tblGrid>
      <w:tr w:rsidR="000B3477" w:rsidRPr="00E928D0" w:rsidTr="007F540E">
        <w:trPr>
          <w:cantSplit/>
        </w:trPr>
        <w:tc>
          <w:tcPr>
            <w:tcW w:w="1985" w:type="dxa"/>
          </w:tcPr>
          <w:p w:rsidR="000B3477" w:rsidRPr="00E928D0" w:rsidRDefault="000B3477" w:rsidP="00167CDC">
            <w:pPr>
              <w:spacing w:after="0" w:line="360" w:lineRule="atLeast"/>
              <w:rPr>
                <w:rFonts w:eastAsia="Times New Roman" w:cstheme="minorHAnsi"/>
                <w:b/>
                <w:sz w:val="24"/>
                <w:szCs w:val="24"/>
                <w:lang w:eastAsia="pl-PL"/>
              </w:rPr>
            </w:pPr>
            <w:r w:rsidRPr="00E928D0">
              <w:rPr>
                <w:rFonts w:eastAsia="Times New Roman" w:cstheme="minorHAnsi"/>
                <w:b/>
                <w:sz w:val="24"/>
                <w:szCs w:val="24"/>
                <w:lang w:eastAsia="pl-PL"/>
              </w:rPr>
              <w:t>Przewodniczący:</w:t>
            </w:r>
          </w:p>
        </w:tc>
        <w:tc>
          <w:tcPr>
            <w:tcW w:w="3260" w:type="dxa"/>
          </w:tcPr>
          <w:p w:rsidR="000B3477" w:rsidRPr="00E928D0" w:rsidRDefault="00C14327" w:rsidP="00167CDC">
            <w:pPr>
              <w:spacing w:after="0" w:line="360" w:lineRule="atLeast"/>
              <w:rPr>
                <w:rFonts w:eastAsia="Times New Roman" w:cstheme="minorHAnsi"/>
                <w:sz w:val="24"/>
                <w:szCs w:val="24"/>
                <w:lang w:eastAsia="pl-PL"/>
              </w:rPr>
            </w:pPr>
            <w:r>
              <w:rPr>
                <w:rFonts w:eastAsia="Times New Roman" w:cstheme="minorHAnsi"/>
                <w:sz w:val="24"/>
                <w:szCs w:val="24"/>
                <w:lang w:eastAsia="pl-PL"/>
              </w:rPr>
              <w:t>Członek</w:t>
            </w:r>
            <w:r w:rsidR="004045D8" w:rsidRPr="004045D8">
              <w:rPr>
                <w:rFonts w:eastAsia="Times New Roman" w:cstheme="minorHAnsi"/>
                <w:sz w:val="24"/>
                <w:szCs w:val="24"/>
                <w:lang w:eastAsia="pl-PL"/>
              </w:rPr>
              <w:t xml:space="preserve"> GKO</w:t>
            </w:r>
            <w:r w:rsidR="00B9047E" w:rsidRPr="00B9047E">
              <w:rPr>
                <w:rFonts w:eastAsia="Times New Roman" w:cstheme="minorHAnsi"/>
                <w:sz w:val="24"/>
                <w:szCs w:val="24"/>
                <w:lang w:eastAsia="pl-PL"/>
              </w:rPr>
              <w:t>:</w:t>
            </w:r>
          </w:p>
        </w:tc>
        <w:tc>
          <w:tcPr>
            <w:tcW w:w="3875" w:type="dxa"/>
          </w:tcPr>
          <w:p w:rsidR="000B3477" w:rsidRPr="00E928D0" w:rsidRDefault="006D5722" w:rsidP="006D4A71">
            <w:pPr>
              <w:keepNext/>
              <w:tabs>
                <w:tab w:val="right" w:pos="8931"/>
              </w:tabs>
              <w:spacing w:after="0" w:line="360" w:lineRule="atLeast"/>
              <w:ind w:right="-10"/>
              <w:outlineLvl w:val="2"/>
              <w:rPr>
                <w:rFonts w:eastAsia="Times New Roman" w:cstheme="minorHAnsi"/>
                <w:b/>
                <w:i/>
                <w:sz w:val="24"/>
                <w:szCs w:val="24"/>
                <w:lang w:eastAsia="pl-PL"/>
              </w:rPr>
            </w:pPr>
            <w:r>
              <w:rPr>
                <w:rFonts w:eastAsia="Times New Roman" w:cstheme="minorHAnsi"/>
                <w:b/>
                <w:sz w:val="24"/>
                <w:szCs w:val="24"/>
                <w:lang w:eastAsia="pl-PL"/>
              </w:rPr>
              <w:t>Sylwester Kuchnio</w:t>
            </w:r>
            <w:r w:rsidR="00C14327">
              <w:rPr>
                <w:rFonts w:eastAsia="Times New Roman" w:cstheme="minorHAnsi"/>
                <w:b/>
                <w:sz w:val="24"/>
                <w:szCs w:val="24"/>
                <w:lang w:eastAsia="pl-PL"/>
              </w:rPr>
              <w:t xml:space="preserve"> </w:t>
            </w:r>
          </w:p>
        </w:tc>
      </w:tr>
      <w:tr w:rsidR="000B3477" w:rsidRPr="00E928D0" w:rsidTr="007F540E">
        <w:trPr>
          <w:cantSplit/>
        </w:trPr>
        <w:tc>
          <w:tcPr>
            <w:tcW w:w="1985" w:type="dxa"/>
          </w:tcPr>
          <w:p w:rsidR="000B3477" w:rsidRPr="00E928D0" w:rsidRDefault="000B3477" w:rsidP="00167CDC">
            <w:pPr>
              <w:spacing w:after="0" w:line="360" w:lineRule="atLeast"/>
              <w:rPr>
                <w:rFonts w:eastAsia="Times New Roman" w:cstheme="minorHAnsi"/>
                <w:b/>
                <w:sz w:val="24"/>
                <w:szCs w:val="24"/>
                <w:lang w:eastAsia="pl-PL"/>
              </w:rPr>
            </w:pPr>
            <w:r w:rsidRPr="00E928D0">
              <w:rPr>
                <w:rFonts w:eastAsia="Times New Roman" w:cstheme="minorHAnsi"/>
                <w:b/>
                <w:sz w:val="24"/>
                <w:szCs w:val="24"/>
                <w:lang w:eastAsia="pl-PL"/>
              </w:rPr>
              <w:t xml:space="preserve">Członkowie: </w:t>
            </w:r>
          </w:p>
        </w:tc>
        <w:tc>
          <w:tcPr>
            <w:tcW w:w="3260" w:type="dxa"/>
          </w:tcPr>
          <w:p w:rsidR="000B3477" w:rsidRPr="00E928D0" w:rsidRDefault="00C14327" w:rsidP="00167CDC">
            <w:pPr>
              <w:spacing w:after="0" w:line="360" w:lineRule="atLeast"/>
              <w:rPr>
                <w:rFonts w:eastAsia="Times New Roman" w:cstheme="minorHAnsi"/>
                <w:sz w:val="24"/>
                <w:szCs w:val="24"/>
                <w:lang w:eastAsia="pl-PL"/>
              </w:rPr>
            </w:pPr>
            <w:r>
              <w:rPr>
                <w:rFonts w:eastAsia="Times New Roman" w:cstheme="minorHAnsi"/>
                <w:sz w:val="24"/>
                <w:szCs w:val="24"/>
                <w:lang w:eastAsia="pl-PL"/>
              </w:rPr>
              <w:t>Członek</w:t>
            </w:r>
            <w:r w:rsidR="004045D8" w:rsidRPr="004045D8">
              <w:rPr>
                <w:rFonts w:eastAsia="Times New Roman" w:cstheme="minorHAnsi"/>
                <w:sz w:val="24"/>
                <w:szCs w:val="24"/>
                <w:lang w:eastAsia="pl-PL"/>
              </w:rPr>
              <w:t xml:space="preserve"> GKO</w:t>
            </w:r>
            <w:r w:rsidR="00F6525C" w:rsidRPr="00F6525C">
              <w:rPr>
                <w:rFonts w:eastAsia="Times New Roman" w:cstheme="minorHAnsi"/>
                <w:sz w:val="24"/>
                <w:szCs w:val="24"/>
                <w:lang w:eastAsia="pl-PL"/>
              </w:rPr>
              <w:t>:</w:t>
            </w:r>
          </w:p>
        </w:tc>
        <w:tc>
          <w:tcPr>
            <w:tcW w:w="3875" w:type="dxa"/>
          </w:tcPr>
          <w:p w:rsidR="000B3477" w:rsidRPr="00E928D0" w:rsidRDefault="00BF4C06" w:rsidP="00167CDC">
            <w:pPr>
              <w:keepNext/>
              <w:tabs>
                <w:tab w:val="right" w:pos="8931"/>
              </w:tabs>
              <w:spacing w:after="0" w:line="360" w:lineRule="atLeast"/>
              <w:ind w:right="-10"/>
              <w:outlineLvl w:val="2"/>
              <w:rPr>
                <w:rFonts w:eastAsia="Times New Roman" w:cstheme="minorHAnsi"/>
                <w:b/>
                <w:sz w:val="24"/>
                <w:szCs w:val="24"/>
                <w:lang w:eastAsia="pl-PL"/>
              </w:rPr>
            </w:pPr>
            <w:r>
              <w:rPr>
                <w:rFonts w:eastAsia="Times New Roman" w:cstheme="minorHAnsi"/>
                <w:b/>
                <w:sz w:val="24"/>
                <w:szCs w:val="24"/>
                <w:lang w:eastAsia="pl-PL"/>
              </w:rPr>
              <w:t>Anna Maksym</w:t>
            </w:r>
            <w:r w:rsidR="003C0C64">
              <w:rPr>
                <w:rFonts w:eastAsia="Times New Roman" w:cstheme="minorHAnsi"/>
                <w:b/>
                <w:sz w:val="24"/>
                <w:szCs w:val="24"/>
                <w:lang w:eastAsia="pl-PL"/>
              </w:rPr>
              <w:t xml:space="preserve"> (</w:t>
            </w:r>
            <w:proofErr w:type="spellStart"/>
            <w:r w:rsidR="003C0C64">
              <w:rPr>
                <w:rFonts w:eastAsia="Times New Roman" w:cstheme="minorHAnsi"/>
                <w:b/>
                <w:sz w:val="24"/>
                <w:szCs w:val="24"/>
                <w:lang w:eastAsia="pl-PL"/>
              </w:rPr>
              <w:t>spr</w:t>
            </w:r>
            <w:proofErr w:type="spellEnd"/>
            <w:r w:rsidR="003C0C64">
              <w:rPr>
                <w:rFonts w:eastAsia="Times New Roman" w:cstheme="minorHAnsi"/>
                <w:b/>
                <w:sz w:val="24"/>
                <w:szCs w:val="24"/>
                <w:lang w:eastAsia="pl-PL"/>
              </w:rPr>
              <w:t>.)</w:t>
            </w:r>
          </w:p>
        </w:tc>
      </w:tr>
      <w:tr w:rsidR="000B3477" w:rsidRPr="00E928D0" w:rsidTr="007F540E">
        <w:trPr>
          <w:cantSplit/>
        </w:trPr>
        <w:tc>
          <w:tcPr>
            <w:tcW w:w="1985" w:type="dxa"/>
          </w:tcPr>
          <w:p w:rsidR="000B3477" w:rsidRPr="00E928D0" w:rsidRDefault="000B3477" w:rsidP="00167CDC">
            <w:pPr>
              <w:spacing w:after="0" w:line="360" w:lineRule="atLeast"/>
              <w:rPr>
                <w:rFonts w:eastAsia="Times New Roman" w:cstheme="minorHAnsi"/>
                <w:sz w:val="24"/>
                <w:szCs w:val="24"/>
                <w:lang w:eastAsia="pl-PL"/>
              </w:rPr>
            </w:pPr>
          </w:p>
        </w:tc>
        <w:tc>
          <w:tcPr>
            <w:tcW w:w="3260" w:type="dxa"/>
          </w:tcPr>
          <w:p w:rsidR="000B3477" w:rsidRPr="00E928D0" w:rsidRDefault="00C14327" w:rsidP="00167CDC">
            <w:pPr>
              <w:spacing w:after="0" w:line="360" w:lineRule="atLeast"/>
              <w:rPr>
                <w:rFonts w:eastAsia="Times New Roman" w:cstheme="minorHAnsi"/>
                <w:sz w:val="24"/>
                <w:szCs w:val="24"/>
                <w:lang w:eastAsia="pl-PL"/>
              </w:rPr>
            </w:pPr>
            <w:r>
              <w:rPr>
                <w:rFonts w:eastAsia="Times New Roman" w:cstheme="minorHAnsi"/>
                <w:sz w:val="24"/>
                <w:szCs w:val="24"/>
                <w:lang w:eastAsia="pl-PL"/>
              </w:rPr>
              <w:t>Członek GKO:</w:t>
            </w:r>
          </w:p>
        </w:tc>
        <w:tc>
          <w:tcPr>
            <w:tcW w:w="3875" w:type="dxa"/>
          </w:tcPr>
          <w:p w:rsidR="000B3477" w:rsidRPr="00E928D0" w:rsidRDefault="003C0C64" w:rsidP="003C0C64">
            <w:pPr>
              <w:keepNext/>
              <w:tabs>
                <w:tab w:val="right" w:pos="8931"/>
              </w:tabs>
              <w:spacing w:after="0" w:line="360" w:lineRule="atLeast"/>
              <w:ind w:right="-10"/>
              <w:outlineLvl w:val="2"/>
              <w:rPr>
                <w:rFonts w:eastAsia="Times New Roman" w:cstheme="minorHAnsi"/>
                <w:b/>
                <w:sz w:val="24"/>
                <w:szCs w:val="24"/>
                <w:lang w:eastAsia="pl-PL"/>
              </w:rPr>
            </w:pPr>
            <w:r>
              <w:rPr>
                <w:rFonts w:eastAsia="Times New Roman" w:cstheme="minorHAnsi"/>
                <w:b/>
                <w:sz w:val="24"/>
                <w:szCs w:val="24"/>
                <w:lang w:eastAsia="pl-PL"/>
              </w:rPr>
              <w:t>Krzysztof Fijołek</w:t>
            </w:r>
            <w:r w:rsidR="006D4A71">
              <w:rPr>
                <w:rFonts w:eastAsia="Times New Roman" w:cstheme="minorHAnsi"/>
                <w:b/>
                <w:sz w:val="24"/>
                <w:szCs w:val="24"/>
                <w:lang w:eastAsia="pl-PL"/>
              </w:rPr>
              <w:t xml:space="preserve"> </w:t>
            </w:r>
          </w:p>
        </w:tc>
      </w:tr>
      <w:tr w:rsidR="000B3477" w:rsidRPr="00E928D0" w:rsidTr="007F540E">
        <w:trPr>
          <w:cantSplit/>
        </w:trPr>
        <w:tc>
          <w:tcPr>
            <w:tcW w:w="1985" w:type="dxa"/>
          </w:tcPr>
          <w:p w:rsidR="000B3477" w:rsidRPr="00E928D0" w:rsidRDefault="000B3477" w:rsidP="00167CDC">
            <w:pPr>
              <w:spacing w:after="0" w:line="360" w:lineRule="atLeast"/>
              <w:rPr>
                <w:rFonts w:eastAsia="Times New Roman" w:cstheme="minorHAnsi"/>
                <w:sz w:val="24"/>
                <w:szCs w:val="24"/>
                <w:lang w:eastAsia="pl-PL"/>
              </w:rPr>
            </w:pPr>
            <w:r w:rsidRPr="00E928D0">
              <w:rPr>
                <w:rFonts w:eastAsia="Times New Roman" w:cstheme="minorHAnsi"/>
                <w:sz w:val="24"/>
                <w:szCs w:val="24"/>
                <w:lang w:eastAsia="pl-PL"/>
              </w:rPr>
              <w:t>Protokolant:</w:t>
            </w:r>
          </w:p>
        </w:tc>
        <w:tc>
          <w:tcPr>
            <w:tcW w:w="3260" w:type="dxa"/>
          </w:tcPr>
          <w:p w:rsidR="000B3477" w:rsidRPr="00E928D0" w:rsidRDefault="000B3477" w:rsidP="00167CDC">
            <w:pPr>
              <w:spacing w:after="0" w:line="360" w:lineRule="atLeast"/>
              <w:rPr>
                <w:rFonts w:eastAsia="Times New Roman" w:cstheme="minorHAnsi"/>
                <w:i/>
                <w:sz w:val="24"/>
                <w:szCs w:val="24"/>
                <w:lang w:eastAsia="pl-PL"/>
              </w:rPr>
            </w:pPr>
          </w:p>
        </w:tc>
        <w:tc>
          <w:tcPr>
            <w:tcW w:w="3875" w:type="dxa"/>
          </w:tcPr>
          <w:p w:rsidR="000B3477" w:rsidRPr="00E928D0" w:rsidRDefault="00C14327" w:rsidP="00167CDC">
            <w:pPr>
              <w:keepNext/>
              <w:tabs>
                <w:tab w:val="right" w:pos="8931"/>
              </w:tabs>
              <w:spacing w:after="0" w:line="360" w:lineRule="atLeast"/>
              <w:ind w:right="-10"/>
              <w:outlineLvl w:val="2"/>
              <w:rPr>
                <w:rFonts w:eastAsia="Times New Roman" w:cstheme="minorHAnsi"/>
                <w:b/>
                <w:sz w:val="24"/>
                <w:szCs w:val="24"/>
                <w:lang w:eastAsia="pl-PL"/>
              </w:rPr>
            </w:pPr>
            <w:r>
              <w:rPr>
                <w:rFonts w:eastAsia="Times New Roman" w:cstheme="minorHAnsi"/>
                <w:b/>
                <w:sz w:val="24"/>
                <w:szCs w:val="24"/>
                <w:lang w:eastAsia="pl-PL"/>
              </w:rPr>
              <w:t>Dorota Machnicka</w:t>
            </w:r>
          </w:p>
        </w:tc>
      </w:tr>
    </w:tbl>
    <w:p w:rsidR="00B841FE" w:rsidRDefault="00B841FE" w:rsidP="00B841FE">
      <w:pPr>
        <w:pStyle w:val="Tekstpodstawowy1"/>
        <w:shd w:val="clear" w:color="auto" w:fill="auto"/>
        <w:spacing w:before="0" w:after="0" w:line="365" w:lineRule="exact"/>
        <w:ind w:right="40"/>
        <w:rPr>
          <w:rFonts w:asciiTheme="minorHAnsi" w:hAnsiTheme="minorHAnsi" w:cstheme="minorHAnsi"/>
          <w:sz w:val="24"/>
          <w:szCs w:val="22"/>
        </w:rPr>
      </w:pPr>
    </w:p>
    <w:p w:rsidR="003C0C64" w:rsidRDefault="000B3477" w:rsidP="003C0C64">
      <w:pPr>
        <w:pStyle w:val="Bodytext2"/>
        <w:spacing w:after="249" w:line="360" w:lineRule="auto"/>
        <w:rPr>
          <w:rFonts w:ascii="Calibri" w:hAnsi="Calibri" w:cs="Calibri"/>
          <w:sz w:val="24"/>
          <w:szCs w:val="24"/>
        </w:rPr>
      </w:pPr>
      <w:r w:rsidRPr="00101B7A">
        <w:rPr>
          <w:rFonts w:asciiTheme="minorHAnsi" w:hAnsiTheme="minorHAnsi" w:cstheme="minorHAnsi"/>
          <w:sz w:val="24"/>
          <w:szCs w:val="24"/>
        </w:rPr>
        <w:t xml:space="preserve">przy udziale Zastępcy Głównego Rzecznika Dyscypliny Finansów Publicznych </w:t>
      </w:r>
      <w:r w:rsidR="003C0C64">
        <w:rPr>
          <w:rFonts w:asciiTheme="minorHAnsi" w:hAnsiTheme="minorHAnsi" w:cstheme="minorHAnsi"/>
          <w:sz w:val="24"/>
          <w:szCs w:val="24"/>
        </w:rPr>
        <w:t>Damiana Grzelki</w:t>
      </w:r>
      <w:r w:rsidRPr="00101B7A">
        <w:rPr>
          <w:rFonts w:asciiTheme="minorHAnsi" w:hAnsiTheme="minorHAnsi" w:cstheme="minorHAnsi"/>
          <w:sz w:val="24"/>
          <w:szCs w:val="24"/>
        </w:rPr>
        <w:t>,</w:t>
      </w:r>
      <w:r w:rsidR="00B9047E" w:rsidRPr="00101B7A">
        <w:rPr>
          <w:rFonts w:asciiTheme="minorHAnsi" w:hAnsiTheme="minorHAnsi" w:cstheme="minorHAnsi"/>
          <w:sz w:val="24"/>
          <w:szCs w:val="24"/>
        </w:rPr>
        <w:t xml:space="preserve"> </w:t>
      </w:r>
      <w:r w:rsidRPr="00101B7A">
        <w:rPr>
          <w:rFonts w:asciiTheme="minorHAnsi" w:hAnsiTheme="minorHAnsi" w:cstheme="minorHAnsi"/>
          <w:sz w:val="24"/>
          <w:szCs w:val="24"/>
        </w:rPr>
        <w:t xml:space="preserve">po rozpoznaniu na rozprawie w dniu </w:t>
      </w:r>
      <w:r w:rsidR="000D53BB">
        <w:rPr>
          <w:rFonts w:asciiTheme="minorHAnsi" w:hAnsiTheme="minorHAnsi" w:cstheme="minorHAnsi"/>
          <w:sz w:val="24"/>
          <w:szCs w:val="24"/>
        </w:rPr>
        <w:t>2</w:t>
      </w:r>
      <w:r w:rsidR="003C0C64">
        <w:rPr>
          <w:rFonts w:asciiTheme="minorHAnsi" w:hAnsiTheme="minorHAnsi" w:cstheme="minorHAnsi"/>
          <w:sz w:val="24"/>
          <w:szCs w:val="24"/>
        </w:rPr>
        <w:t>1 marca</w:t>
      </w:r>
      <w:r w:rsidR="004045D8" w:rsidRPr="00101B7A">
        <w:rPr>
          <w:rFonts w:asciiTheme="minorHAnsi" w:hAnsiTheme="minorHAnsi" w:cstheme="minorHAnsi"/>
          <w:sz w:val="24"/>
          <w:szCs w:val="24"/>
        </w:rPr>
        <w:t xml:space="preserve"> </w:t>
      </w:r>
      <w:r w:rsidR="006745C5" w:rsidRPr="00101B7A">
        <w:rPr>
          <w:rFonts w:asciiTheme="minorHAnsi" w:hAnsiTheme="minorHAnsi" w:cstheme="minorHAnsi"/>
          <w:sz w:val="24"/>
          <w:szCs w:val="24"/>
        </w:rPr>
        <w:t>2022</w:t>
      </w:r>
      <w:r w:rsidRPr="00101B7A">
        <w:rPr>
          <w:rFonts w:asciiTheme="minorHAnsi" w:hAnsiTheme="minorHAnsi" w:cstheme="minorHAnsi"/>
          <w:sz w:val="24"/>
          <w:szCs w:val="24"/>
        </w:rPr>
        <w:t xml:space="preserve"> r. odwołania</w:t>
      </w:r>
      <w:r w:rsidR="007B3459" w:rsidRPr="00101B7A">
        <w:rPr>
          <w:rFonts w:asciiTheme="minorHAnsi" w:hAnsiTheme="minorHAnsi" w:cstheme="minorHAnsi"/>
          <w:sz w:val="24"/>
          <w:szCs w:val="24"/>
        </w:rPr>
        <w:t xml:space="preserve"> wniesionego przez</w:t>
      </w:r>
      <w:r w:rsidR="000D53BB">
        <w:rPr>
          <w:rFonts w:asciiTheme="minorHAnsi" w:hAnsiTheme="minorHAnsi" w:cstheme="minorHAnsi"/>
          <w:sz w:val="24"/>
          <w:szCs w:val="24"/>
        </w:rPr>
        <w:t xml:space="preserve"> </w:t>
      </w:r>
      <w:r w:rsidR="000D53BB" w:rsidRPr="00980C98">
        <w:rPr>
          <w:rFonts w:asciiTheme="minorHAnsi" w:hAnsiTheme="minorHAnsi" w:cstheme="minorHAnsi"/>
          <w:sz w:val="24"/>
          <w:szCs w:val="24"/>
        </w:rPr>
        <w:t xml:space="preserve">Pana </w:t>
      </w:r>
      <w:r w:rsidR="001C2F5A">
        <w:rPr>
          <w:rFonts w:asciiTheme="minorHAnsi" w:hAnsiTheme="minorHAnsi" w:cstheme="minorHAnsi"/>
          <w:sz w:val="24"/>
          <w:szCs w:val="24"/>
        </w:rPr>
        <w:t>(...)</w:t>
      </w:r>
      <w:r w:rsidR="003C0C64">
        <w:rPr>
          <w:rFonts w:asciiTheme="minorHAnsi" w:hAnsiTheme="minorHAnsi" w:cstheme="minorHAnsi"/>
          <w:sz w:val="24"/>
          <w:szCs w:val="24"/>
        </w:rPr>
        <w:t xml:space="preserve"> (zam.</w:t>
      </w:r>
      <w:r w:rsidR="00A62C34">
        <w:rPr>
          <w:rFonts w:asciiTheme="minorHAnsi" w:hAnsiTheme="minorHAnsi" w:cstheme="minorHAnsi"/>
          <w:sz w:val="24"/>
          <w:szCs w:val="24"/>
        </w:rPr>
        <w:t xml:space="preserve"> ul.</w:t>
      </w:r>
      <w:r w:rsidR="002B6525">
        <w:rPr>
          <w:rFonts w:asciiTheme="minorHAnsi" w:hAnsiTheme="minorHAnsi" w:cstheme="minorHAnsi"/>
          <w:sz w:val="24"/>
          <w:szCs w:val="24"/>
        </w:rPr>
        <w:t xml:space="preserve"> (...) </w:t>
      </w:r>
      <w:r w:rsidR="00A62C34">
        <w:rPr>
          <w:rFonts w:asciiTheme="minorHAnsi" w:hAnsiTheme="minorHAnsi" w:cstheme="minorHAnsi"/>
          <w:sz w:val="24"/>
          <w:szCs w:val="24"/>
        </w:rPr>
        <w:t>)</w:t>
      </w:r>
      <w:r w:rsidR="003C0C64">
        <w:rPr>
          <w:rFonts w:asciiTheme="minorHAnsi" w:hAnsiTheme="minorHAnsi" w:cstheme="minorHAnsi"/>
          <w:sz w:val="24"/>
          <w:szCs w:val="24"/>
        </w:rPr>
        <w:t xml:space="preserve"> </w:t>
      </w:r>
      <w:r w:rsidR="003C0C64" w:rsidRPr="00FE687A">
        <w:rPr>
          <w:rFonts w:asciiTheme="minorHAnsi" w:hAnsiTheme="minorHAnsi" w:cstheme="minorHAnsi"/>
          <w:color w:val="000000"/>
          <w:sz w:val="24"/>
          <w:szCs w:val="24"/>
        </w:rPr>
        <w:t xml:space="preserve">, </w:t>
      </w:r>
      <w:r w:rsidR="003C0C64">
        <w:rPr>
          <w:rFonts w:asciiTheme="minorHAnsi" w:hAnsiTheme="minorHAnsi" w:cstheme="minorHAnsi"/>
          <w:color w:val="000000"/>
          <w:sz w:val="24"/>
          <w:szCs w:val="24"/>
          <w:lang w:bidi="pl-PL"/>
        </w:rPr>
        <w:t>pełniącego</w:t>
      </w:r>
      <w:r w:rsidR="003C0C64" w:rsidRPr="00FE687A">
        <w:rPr>
          <w:rFonts w:asciiTheme="minorHAnsi" w:hAnsiTheme="minorHAnsi" w:cstheme="minorHAnsi"/>
          <w:color w:val="000000"/>
          <w:sz w:val="24"/>
          <w:szCs w:val="24"/>
          <w:lang w:bidi="pl-PL"/>
        </w:rPr>
        <w:t xml:space="preserve"> w</w:t>
      </w:r>
      <w:r w:rsidR="00A67002">
        <w:rPr>
          <w:rFonts w:asciiTheme="minorHAnsi" w:hAnsiTheme="minorHAnsi" w:cstheme="minorHAnsi"/>
          <w:color w:val="000000"/>
          <w:sz w:val="24"/>
          <w:szCs w:val="24"/>
          <w:lang w:bidi="pl-PL"/>
        </w:rPr>
        <w:t> </w:t>
      </w:r>
      <w:r w:rsidR="003C0C64" w:rsidRPr="00FE687A">
        <w:rPr>
          <w:rFonts w:asciiTheme="minorHAnsi" w:hAnsiTheme="minorHAnsi" w:cstheme="minorHAnsi"/>
          <w:color w:val="000000"/>
          <w:sz w:val="24"/>
          <w:szCs w:val="24"/>
          <w:lang w:bidi="pl-PL"/>
        </w:rPr>
        <w:t>czasie zarzucanego naruszenia funkcję</w:t>
      </w:r>
      <w:r w:rsidR="003C0C64" w:rsidRPr="000156CE">
        <w:t xml:space="preserve"> </w:t>
      </w:r>
      <w:r w:rsidR="003C0C64" w:rsidRPr="000156CE">
        <w:rPr>
          <w:rFonts w:asciiTheme="minorHAnsi" w:hAnsiTheme="minorHAnsi" w:cstheme="minorHAnsi"/>
          <w:sz w:val="24"/>
          <w:szCs w:val="24"/>
        </w:rPr>
        <w:t>Burmistrz</w:t>
      </w:r>
      <w:r w:rsidR="003C0C64">
        <w:rPr>
          <w:rFonts w:asciiTheme="minorHAnsi" w:hAnsiTheme="minorHAnsi" w:cstheme="minorHAnsi"/>
          <w:sz w:val="24"/>
          <w:szCs w:val="24"/>
        </w:rPr>
        <w:t>a</w:t>
      </w:r>
      <w:r w:rsidR="00605880">
        <w:rPr>
          <w:rFonts w:asciiTheme="minorHAnsi" w:hAnsiTheme="minorHAnsi" w:cstheme="minorHAnsi"/>
          <w:sz w:val="24"/>
          <w:szCs w:val="24"/>
        </w:rPr>
        <w:t xml:space="preserve"> </w:t>
      </w:r>
      <w:r w:rsidR="003C0C64">
        <w:rPr>
          <w:rFonts w:asciiTheme="minorHAnsi" w:hAnsiTheme="minorHAnsi" w:cstheme="minorHAnsi"/>
          <w:sz w:val="24"/>
          <w:szCs w:val="24"/>
        </w:rPr>
        <w:t>Miasta i Gminy</w:t>
      </w:r>
      <w:r w:rsidR="002B6525">
        <w:rPr>
          <w:rFonts w:asciiTheme="minorHAnsi" w:hAnsiTheme="minorHAnsi" w:cstheme="minorHAnsi"/>
          <w:sz w:val="24"/>
          <w:szCs w:val="24"/>
        </w:rPr>
        <w:t xml:space="preserve"> (...) </w:t>
      </w:r>
      <w:r w:rsidR="003C0C64" w:rsidRPr="00AA1F36">
        <w:rPr>
          <w:rFonts w:ascii="Calibri" w:hAnsi="Calibri" w:cs="Calibri"/>
          <w:color w:val="000000"/>
          <w:kern w:val="22"/>
          <w:sz w:val="24"/>
          <w:szCs w:val="24"/>
        </w:rPr>
        <w:t xml:space="preserve">, od orzeczenia </w:t>
      </w:r>
      <w:r w:rsidR="003C0C64" w:rsidRPr="00F97B14">
        <w:rPr>
          <w:rFonts w:asciiTheme="minorHAnsi" w:hAnsiTheme="minorHAnsi" w:cstheme="minorHAnsi"/>
          <w:sz w:val="24"/>
          <w:szCs w:val="24"/>
        </w:rPr>
        <w:t>Regionalnej Komisji Orzekającej w sprawach o naruszenie dyscypliny finansów publicznych przy Regionalnej Izbie Obrachunkowej w Krako</w:t>
      </w:r>
      <w:r w:rsidR="003C0C64">
        <w:rPr>
          <w:rFonts w:asciiTheme="minorHAnsi" w:hAnsiTheme="minorHAnsi" w:cstheme="minorHAnsi"/>
          <w:sz w:val="24"/>
          <w:szCs w:val="24"/>
        </w:rPr>
        <w:t>wie</w:t>
      </w:r>
      <w:r w:rsidR="003C0C64">
        <w:rPr>
          <w:rFonts w:ascii="Calibri" w:eastAsia="Lato" w:hAnsi="Calibri" w:cs="Calibri"/>
          <w:sz w:val="24"/>
          <w:szCs w:val="24"/>
        </w:rPr>
        <w:t xml:space="preserve"> z 24 maja </w:t>
      </w:r>
      <w:r w:rsidR="003C0C64" w:rsidRPr="00AA1F36">
        <w:rPr>
          <w:rFonts w:ascii="Calibri" w:eastAsia="Lato" w:hAnsi="Calibri" w:cs="Calibri"/>
          <w:sz w:val="24"/>
          <w:szCs w:val="24"/>
        </w:rPr>
        <w:t>2021 r. w sprawie o</w:t>
      </w:r>
      <w:r w:rsidR="00A67002">
        <w:rPr>
          <w:rFonts w:ascii="Calibri" w:eastAsia="Lato" w:hAnsi="Calibri" w:cs="Calibri"/>
          <w:sz w:val="24"/>
          <w:szCs w:val="24"/>
        </w:rPr>
        <w:t> </w:t>
      </w:r>
      <w:r w:rsidR="003C0C64">
        <w:rPr>
          <w:rFonts w:ascii="Calibri" w:eastAsia="Lato" w:hAnsi="Calibri" w:cs="Calibri"/>
          <w:sz w:val="24"/>
          <w:szCs w:val="24"/>
        </w:rPr>
        <w:t>sygn. akt RKO-522/95/20</w:t>
      </w:r>
      <w:r w:rsidR="003C0C64" w:rsidRPr="00AA1F36">
        <w:rPr>
          <w:rFonts w:ascii="Calibri" w:eastAsia="Lato" w:hAnsi="Calibri" w:cs="Calibri"/>
          <w:sz w:val="24"/>
          <w:szCs w:val="24"/>
        </w:rPr>
        <w:t>,</w:t>
      </w:r>
      <w:r w:rsidR="003C0C64">
        <w:rPr>
          <w:rFonts w:ascii="Calibri" w:hAnsi="Calibri" w:cs="Calibri"/>
          <w:color w:val="000000"/>
          <w:kern w:val="22"/>
          <w:sz w:val="24"/>
          <w:szCs w:val="24"/>
        </w:rPr>
        <w:t xml:space="preserve"> którym Regionaln</w:t>
      </w:r>
      <w:r w:rsidR="003C0C64" w:rsidRPr="00AA1F36">
        <w:rPr>
          <w:rFonts w:ascii="Calibri" w:hAnsi="Calibri" w:cs="Calibri"/>
          <w:color w:val="000000"/>
          <w:kern w:val="22"/>
          <w:sz w:val="24"/>
          <w:szCs w:val="24"/>
        </w:rPr>
        <w:t xml:space="preserve">a </w:t>
      </w:r>
      <w:r w:rsidR="003C0C64">
        <w:rPr>
          <w:rFonts w:ascii="Calibri" w:hAnsi="Calibri" w:cs="Calibri"/>
          <w:color w:val="000000"/>
          <w:kern w:val="22"/>
          <w:sz w:val="24"/>
          <w:szCs w:val="24"/>
        </w:rPr>
        <w:t xml:space="preserve">Komisja Orzekająca uznała Pana </w:t>
      </w:r>
      <w:r w:rsidR="001C2F5A">
        <w:rPr>
          <w:rFonts w:ascii="Calibri" w:hAnsi="Calibri" w:cs="Calibri"/>
          <w:color w:val="000000"/>
          <w:kern w:val="22"/>
          <w:sz w:val="24"/>
          <w:szCs w:val="24"/>
        </w:rPr>
        <w:t>(...)</w:t>
      </w:r>
      <w:r w:rsidR="003C0C64">
        <w:rPr>
          <w:rFonts w:ascii="Calibri" w:hAnsi="Calibri" w:cs="Calibri"/>
          <w:sz w:val="24"/>
          <w:szCs w:val="24"/>
        </w:rPr>
        <w:t xml:space="preserve"> </w:t>
      </w:r>
      <w:r w:rsidR="003C0C64" w:rsidRPr="0025396D">
        <w:rPr>
          <w:rFonts w:ascii="Calibri" w:hAnsi="Calibri" w:cs="Calibri"/>
          <w:sz w:val="24"/>
          <w:szCs w:val="24"/>
        </w:rPr>
        <w:t xml:space="preserve">odpowiedzialnym za naruszenie </w:t>
      </w:r>
      <w:r w:rsidR="003C0C64">
        <w:rPr>
          <w:rFonts w:ascii="Calibri" w:hAnsi="Calibri" w:cs="Calibri"/>
          <w:sz w:val="24"/>
          <w:szCs w:val="24"/>
        </w:rPr>
        <w:t xml:space="preserve">dyscypliny finansów publicznych określone w art. 18 pkt 1 </w:t>
      </w:r>
      <w:r w:rsidR="003C0C64" w:rsidRPr="009C78A8">
        <w:rPr>
          <w:rFonts w:asciiTheme="minorHAnsi" w:hAnsiTheme="minorHAnsi" w:cstheme="minorHAnsi"/>
          <w:sz w:val="24"/>
          <w:szCs w:val="24"/>
        </w:rPr>
        <w:t>ustawy o odpowiedzialności za naruszenie dyscypliny finansów publicznych</w:t>
      </w:r>
      <w:r w:rsidR="003C0C64" w:rsidRPr="009C78A8">
        <w:rPr>
          <w:rStyle w:val="Odwoanieprzypisudolnego"/>
          <w:rFonts w:asciiTheme="minorHAnsi" w:hAnsiTheme="minorHAnsi" w:cstheme="minorHAnsi"/>
          <w:sz w:val="24"/>
          <w:szCs w:val="24"/>
        </w:rPr>
        <w:footnoteReference w:id="1"/>
      </w:r>
      <w:r w:rsidR="003C0C64" w:rsidRPr="003B05E3">
        <w:rPr>
          <w:rFonts w:cstheme="minorHAnsi"/>
          <w:sz w:val="24"/>
          <w:szCs w:val="24"/>
        </w:rPr>
        <w:t xml:space="preserve"> - </w:t>
      </w:r>
      <w:proofErr w:type="spellStart"/>
      <w:r w:rsidR="003C0C64">
        <w:rPr>
          <w:rFonts w:ascii="Calibri" w:hAnsi="Calibri" w:cs="Calibri"/>
          <w:sz w:val="24"/>
          <w:szCs w:val="24"/>
        </w:rPr>
        <w:t>uondfp</w:t>
      </w:r>
      <w:proofErr w:type="spellEnd"/>
      <w:r w:rsidR="003C0C64">
        <w:rPr>
          <w:rFonts w:ascii="Calibri" w:hAnsi="Calibri" w:cs="Calibri"/>
          <w:sz w:val="24"/>
          <w:szCs w:val="24"/>
        </w:rPr>
        <w:t xml:space="preserve">, polegające na tym, że </w:t>
      </w:r>
      <w:r w:rsidR="003C0C64" w:rsidRPr="0025396D">
        <w:rPr>
          <w:rFonts w:ascii="Calibri" w:hAnsi="Calibri" w:cs="Calibri"/>
          <w:sz w:val="24"/>
          <w:szCs w:val="24"/>
        </w:rPr>
        <w:t>w dniu 16 styc</w:t>
      </w:r>
      <w:r w:rsidR="003C0C64">
        <w:rPr>
          <w:rFonts w:ascii="Calibri" w:hAnsi="Calibri" w:cs="Calibri"/>
          <w:sz w:val="24"/>
          <w:szCs w:val="24"/>
        </w:rPr>
        <w:t xml:space="preserve">znia 2018 r. </w:t>
      </w:r>
      <w:r w:rsidR="003C0C64" w:rsidRPr="0025396D">
        <w:rPr>
          <w:rFonts w:ascii="Calibri" w:hAnsi="Calibri" w:cs="Calibri"/>
          <w:sz w:val="24"/>
          <w:szCs w:val="24"/>
        </w:rPr>
        <w:t>będąc odpowiedzialnym z tytułu pełnienia funkcji kierownika jednostki, w rozumieniu ustawy z dnia 29 września 1994 r. o</w:t>
      </w:r>
      <w:r w:rsidR="00A67002">
        <w:rPr>
          <w:rFonts w:ascii="Calibri" w:hAnsi="Calibri" w:cs="Calibri"/>
          <w:sz w:val="24"/>
          <w:szCs w:val="24"/>
        </w:rPr>
        <w:t> </w:t>
      </w:r>
      <w:r w:rsidR="003C0C64" w:rsidRPr="0025396D">
        <w:rPr>
          <w:rFonts w:ascii="Calibri" w:hAnsi="Calibri" w:cs="Calibri"/>
          <w:sz w:val="24"/>
          <w:szCs w:val="24"/>
        </w:rPr>
        <w:t>rachunkowości</w:t>
      </w:r>
      <w:r w:rsidR="003C0C64">
        <w:rPr>
          <w:rStyle w:val="Odwoanieprzypisudolnego"/>
          <w:rFonts w:ascii="Calibri" w:hAnsi="Calibri" w:cs="Calibri"/>
          <w:sz w:val="24"/>
          <w:szCs w:val="24"/>
        </w:rPr>
        <w:footnoteReference w:id="2"/>
      </w:r>
      <w:r w:rsidR="003C0C64">
        <w:rPr>
          <w:rFonts w:ascii="Calibri" w:hAnsi="Calibri" w:cs="Calibri"/>
          <w:sz w:val="24"/>
          <w:szCs w:val="24"/>
        </w:rPr>
        <w:t xml:space="preserve"> </w:t>
      </w:r>
      <w:r w:rsidR="003C0C64" w:rsidRPr="0025396D">
        <w:rPr>
          <w:rFonts w:ascii="Calibri" w:hAnsi="Calibri" w:cs="Calibri"/>
          <w:sz w:val="24"/>
          <w:szCs w:val="24"/>
        </w:rPr>
        <w:t>za prawidłowe i terminowe przeprowadzenie oraz rozliczenie inwentaryzacji, zgodnie z przepisem art. 4 ust. 5 w związku z ust. 3 pkt 3 tego artykułu powołanej wyżej ustawy, dopuścił w toku inwentaryzacji na dzień 31 grudnia 2017 r. do nieprawidłowego przeprowadzenia inwentaryzacji środków trwałych w zakresie obejmującym grunty, poprzez nieobjęcie inwentaryzacją drogą porównania danych ksiąg rachunkowych z odpowiednimi dokumentami i weryfikacji wartości tych składników w</w:t>
      </w:r>
      <w:r w:rsidR="00A67002">
        <w:rPr>
          <w:rFonts w:ascii="Calibri" w:hAnsi="Calibri" w:cs="Calibri"/>
          <w:sz w:val="24"/>
          <w:szCs w:val="24"/>
        </w:rPr>
        <w:t> </w:t>
      </w:r>
      <w:r w:rsidR="003C0C64" w:rsidRPr="0025396D">
        <w:rPr>
          <w:rFonts w:ascii="Calibri" w:hAnsi="Calibri" w:cs="Calibri"/>
          <w:sz w:val="24"/>
          <w:szCs w:val="24"/>
        </w:rPr>
        <w:t xml:space="preserve">obowiązującym terminie do 15 stycznia 2018 r., nieruchomości gruntowych stanowiących </w:t>
      </w:r>
      <w:r w:rsidR="003C0C64" w:rsidRPr="0025396D">
        <w:rPr>
          <w:rFonts w:ascii="Calibri" w:hAnsi="Calibri" w:cs="Calibri"/>
          <w:sz w:val="24"/>
          <w:szCs w:val="24"/>
        </w:rPr>
        <w:lastRenderedPageBreak/>
        <w:t>własność Miasta i Gminy</w:t>
      </w:r>
      <w:r w:rsidR="002B6525">
        <w:rPr>
          <w:rFonts w:ascii="Calibri" w:hAnsi="Calibri" w:cs="Calibri"/>
          <w:sz w:val="24"/>
          <w:szCs w:val="24"/>
        </w:rPr>
        <w:t xml:space="preserve"> (...) </w:t>
      </w:r>
      <w:r w:rsidR="003C0C64" w:rsidRPr="0025396D">
        <w:rPr>
          <w:rFonts w:ascii="Calibri" w:hAnsi="Calibri" w:cs="Calibri"/>
          <w:sz w:val="24"/>
          <w:szCs w:val="24"/>
        </w:rPr>
        <w:t xml:space="preserve">, o łącznej wartości 5.359.812,00 zł </w:t>
      </w:r>
      <w:r w:rsidR="00DD77BD">
        <w:rPr>
          <w:rFonts w:ascii="Calibri" w:hAnsi="Calibri" w:cs="Calibri"/>
          <w:sz w:val="24"/>
          <w:szCs w:val="24"/>
        </w:rPr>
        <w:t>i o łącznej powierzchni 7,04 ha; w</w:t>
      </w:r>
      <w:r w:rsidR="003C0C64" w:rsidRPr="0025396D">
        <w:rPr>
          <w:rFonts w:ascii="Calibri" w:hAnsi="Calibri" w:cs="Calibri"/>
          <w:sz w:val="24"/>
          <w:szCs w:val="24"/>
        </w:rPr>
        <w:t xml:space="preserve"> wyniku tej nieprawidłowości w trakcie czynności inwentaryzacyjnych nie ujawniono różnic pomiędzy stanem faktycznym tych nieruchomości gruntowych Miasta i</w:t>
      </w:r>
      <w:r w:rsidR="00A67002">
        <w:rPr>
          <w:rFonts w:ascii="Calibri" w:hAnsi="Calibri" w:cs="Calibri"/>
          <w:sz w:val="24"/>
          <w:szCs w:val="24"/>
        </w:rPr>
        <w:t> </w:t>
      </w:r>
      <w:r w:rsidR="003C0C64" w:rsidRPr="0025396D">
        <w:rPr>
          <w:rFonts w:ascii="Calibri" w:hAnsi="Calibri" w:cs="Calibri"/>
          <w:sz w:val="24"/>
          <w:szCs w:val="24"/>
        </w:rPr>
        <w:t>Gminy</w:t>
      </w:r>
      <w:r w:rsidR="002B6525">
        <w:rPr>
          <w:rFonts w:ascii="Calibri" w:hAnsi="Calibri" w:cs="Calibri"/>
          <w:sz w:val="24"/>
          <w:szCs w:val="24"/>
        </w:rPr>
        <w:t xml:space="preserve"> (...) </w:t>
      </w:r>
      <w:r w:rsidR="003C0C64" w:rsidRPr="0025396D">
        <w:rPr>
          <w:rFonts w:ascii="Calibri" w:hAnsi="Calibri" w:cs="Calibri"/>
          <w:sz w:val="24"/>
          <w:szCs w:val="24"/>
        </w:rPr>
        <w:t>, a danymi wynikającymi z ewidencji księgowej na koncie 011. Powyższe stanowi nieprawidłowość polegającą na przeprowadzeniu inwentaryzacji w sposób niezgody z przepisami art. 26 ust. 1 pkt 3 w związku z ust. 3 pk</w:t>
      </w:r>
      <w:r w:rsidR="003C0C64">
        <w:rPr>
          <w:rFonts w:ascii="Calibri" w:hAnsi="Calibri" w:cs="Calibri"/>
          <w:sz w:val="24"/>
          <w:szCs w:val="24"/>
        </w:rPr>
        <w:t xml:space="preserve">t 1 oraz art. 27 ust. 2 ustawy </w:t>
      </w:r>
      <w:r w:rsidR="003C0C64" w:rsidRPr="0025396D">
        <w:rPr>
          <w:rFonts w:ascii="Calibri" w:hAnsi="Calibri" w:cs="Calibri"/>
          <w:sz w:val="24"/>
          <w:szCs w:val="24"/>
        </w:rPr>
        <w:t>o</w:t>
      </w:r>
      <w:r w:rsidR="00A67002">
        <w:rPr>
          <w:rFonts w:ascii="Calibri" w:hAnsi="Calibri" w:cs="Calibri"/>
          <w:sz w:val="24"/>
          <w:szCs w:val="24"/>
        </w:rPr>
        <w:t> </w:t>
      </w:r>
      <w:r w:rsidR="003C0C64" w:rsidRPr="0025396D">
        <w:rPr>
          <w:rFonts w:ascii="Calibri" w:hAnsi="Calibri" w:cs="Calibri"/>
          <w:sz w:val="24"/>
          <w:szCs w:val="24"/>
        </w:rPr>
        <w:t>rachun</w:t>
      </w:r>
      <w:r w:rsidR="003C0C64">
        <w:rPr>
          <w:rFonts w:ascii="Calibri" w:hAnsi="Calibri" w:cs="Calibri"/>
          <w:sz w:val="24"/>
          <w:szCs w:val="24"/>
        </w:rPr>
        <w:t xml:space="preserve">kowości. </w:t>
      </w:r>
      <w:r w:rsidR="003C0C64" w:rsidRPr="0025396D">
        <w:rPr>
          <w:rFonts w:ascii="Calibri" w:hAnsi="Calibri" w:cs="Calibri"/>
          <w:sz w:val="24"/>
          <w:szCs w:val="24"/>
        </w:rPr>
        <w:t xml:space="preserve">W konsekwencji braku ujawnienia różnic inwentaryzacyjnych w zakresie roku 2017 nie doszło do ich wyjaśnienia i rozliczenia w </w:t>
      </w:r>
      <w:r w:rsidR="00DD77BD">
        <w:rPr>
          <w:rFonts w:ascii="Calibri" w:hAnsi="Calibri" w:cs="Calibri"/>
          <w:sz w:val="24"/>
          <w:szCs w:val="24"/>
        </w:rPr>
        <w:t>księgach rachunkowych roku 2017;</w:t>
      </w:r>
    </w:p>
    <w:p w:rsidR="003C0C64" w:rsidRPr="003C0C64" w:rsidRDefault="003C0C64" w:rsidP="003C0C64">
      <w:pPr>
        <w:pStyle w:val="Bodytext2"/>
        <w:shd w:val="clear" w:color="auto" w:fill="auto"/>
        <w:spacing w:after="249" w:line="360" w:lineRule="auto"/>
        <w:rPr>
          <w:rFonts w:ascii="Calibri" w:hAnsi="Calibri" w:cs="Calibri"/>
          <w:color w:val="000000"/>
          <w:sz w:val="24"/>
          <w:szCs w:val="24"/>
          <w:shd w:val="clear" w:color="auto" w:fill="FFFFFF"/>
          <w:lang w:val="pl" w:eastAsia="en-US"/>
        </w:rPr>
      </w:pPr>
      <w:r w:rsidRPr="00AA1F36">
        <w:rPr>
          <w:rFonts w:ascii="Calibri" w:hAnsi="Calibri" w:cs="Calibri"/>
          <w:sz w:val="24"/>
          <w:szCs w:val="24"/>
        </w:rPr>
        <w:t xml:space="preserve">Komisja Orzekająca I instancji </w:t>
      </w:r>
      <w:r>
        <w:rPr>
          <w:rFonts w:ascii="Calibri" w:hAnsi="Calibri" w:cs="Calibri"/>
          <w:sz w:val="24"/>
          <w:szCs w:val="24"/>
        </w:rPr>
        <w:t xml:space="preserve">odstąpiła od wymierzenia Obwinionemu kary </w:t>
      </w:r>
      <w:r w:rsidRPr="00AA1F36">
        <w:rPr>
          <w:rFonts w:ascii="Calibri" w:hAnsi="Calibri" w:cs="Calibri"/>
          <w:sz w:val="24"/>
          <w:szCs w:val="24"/>
        </w:rPr>
        <w:t>oraz obciążyła obowiązkiem zwrotu kosztów postępowania na rzecz Skarb</w:t>
      </w:r>
      <w:r>
        <w:rPr>
          <w:rFonts w:ascii="Calibri" w:hAnsi="Calibri" w:cs="Calibri"/>
          <w:sz w:val="24"/>
          <w:szCs w:val="24"/>
        </w:rPr>
        <w:t>u Państwa w wysokości 413,40 zł,</w:t>
      </w:r>
    </w:p>
    <w:p w:rsidR="00EF6D63" w:rsidRPr="00B71869" w:rsidRDefault="00EF6D63" w:rsidP="009F4220">
      <w:pPr>
        <w:pStyle w:val="Nagwek2"/>
        <w:rPr>
          <w:rFonts w:eastAsia="Calibri"/>
          <w:b/>
          <w:color w:val="auto"/>
          <w:lang w:val="pl" w:eastAsia="pl-PL"/>
        </w:rPr>
      </w:pPr>
      <w:bookmarkStart w:id="0" w:name="bookmark3"/>
      <w:r w:rsidRPr="00B71869">
        <w:rPr>
          <w:rFonts w:eastAsia="Calibri"/>
          <w:b/>
          <w:color w:val="auto"/>
          <w:lang w:val="pl" w:eastAsia="pl-PL"/>
        </w:rPr>
        <w:t>orzeka</w:t>
      </w:r>
      <w:bookmarkEnd w:id="0"/>
    </w:p>
    <w:p w:rsidR="00EF6D63" w:rsidRDefault="00EF6D63" w:rsidP="009F4220">
      <w:pPr>
        <w:pStyle w:val="Akapitzlist"/>
        <w:numPr>
          <w:ilvl w:val="0"/>
          <w:numId w:val="1"/>
        </w:numPr>
        <w:spacing w:after="225" w:line="360" w:lineRule="auto"/>
        <w:rPr>
          <w:rFonts w:ascii="Calibri" w:eastAsia="Calibri" w:hAnsi="Calibri" w:cs="Calibri"/>
          <w:b/>
          <w:bCs/>
          <w:color w:val="000000"/>
          <w:sz w:val="24"/>
          <w:szCs w:val="24"/>
          <w:lang w:val="pl" w:eastAsia="pl-PL"/>
        </w:rPr>
      </w:pPr>
      <w:bookmarkStart w:id="1" w:name="bookmark4"/>
      <w:r w:rsidRPr="00793309">
        <w:rPr>
          <w:rFonts w:ascii="Calibri" w:eastAsia="Calibri" w:hAnsi="Calibri" w:cs="Calibri"/>
          <w:b/>
          <w:bCs/>
          <w:color w:val="000000"/>
          <w:sz w:val="24"/>
          <w:szCs w:val="24"/>
          <w:lang w:val="pl" w:eastAsia="pl-PL"/>
        </w:rPr>
        <w:t>na</w:t>
      </w:r>
      <w:r w:rsidR="00793309">
        <w:rPr>
          <w:rFonts w:ascii="Calibri" w:eastAsia="Calibri" w:hAnsi="Calibri" w:cs="Calibri"/>
          <w:b/>
          <w:bCs/>
          <w:color w:val="000000"/>
          <w:sz w:val="24"/>
          <w:szCs w:val="24"/>
          <w:lang w:val="pl" w:eastAsia="pl-PL"/>
        </w:rPr>
        <w:t xml:space="preserve"> podstaw</w:t>
      </w:r>
      <w:r w:rsidR="00DD77BD">
        <w:rPr>
          <w:rFonts w:ascii="Calibri" w:eastAsia="Calibri" w:hAnsi="Calibri" w:cs="Calibri"/>
          <w:b/>
          <w:bCs/>
          <w:color w:val="000000"/>
          <w:sz w:val="24"/>
          <w:szCs w:val="24"/>
          <w:lang w:val="pl" w:eastAsia="pl-PL"/>
        </w:rPr>
        <w:t>ie art. 147 ust. 1 pkt 2, art. 78 ust. 1 pkt 2</w:t>
      </w:r>
      <w:r w:rsidRPr="00793309">
        <w:rPr>
          <w:rFonts w:ascii="Calibri" w:eastAsia="Calibri" w:hAnsi="Calibri" w:cs="Calibri"/>
          <w:b/>
          <w:bCs/>
          <w:color w:val="000000"/>
          <w:sz w:val="24"/>
          <w:szCs w:val="24"/>
          <w:lang w:val="pl" w:eastAsia="pl-PL"/>
        </w:rPr>
        <w:t xml:space="preserve"> </w:t>
      </w:r>
      <w:r w:rsidR="00DD77BD">
        <w:rPr>
          <w:rFonts w:ascii="Calibri" w:eastAsia="Calibri" w:hAnsi="Calibri" w:cs="Calibri"/>
          <w:b/>
          <w:bCs/>
          <w:color w:val="000000"/>
          <w:sz w:val="24"/>
          <w:szCs w:val="24"/>
          <w:lang w:val="pl" w:eastAsia="pl-PL"/>
        </w:rPr>
        <w:t xml:space="preserve">oraz ust. 3 </w:t>
      </w:r>
      <w:proofErr w:type="spellStart"/>
      <w:r w:rsidRPr="00793309">
        <w:rPr>
          <w:rFonts w:ascii="Calibri" w:eastAsia="Calibri" w:hAnsi="Calibri" w:cs="Calibri"/>
          <w:b/>
          <w:bCs/>
          <w:color w:val="000000"/>
          <w:sz w:val="24"/>
          <w:szCs w:val="24"/>
          <w:lang w:val="pl" w:eastAsia="pl-PL"/>
        </w:rPr>
        <w:t>uondfp</w:t>
      </w:r>
      <w:proofErr w:type="spellEnd"/>
      <w:r w:rsidRPr="00793309">
        <w:rPr>
          <w:rFonts w:ascii="Calibri" w:eastAsia="Calibri" w:hAnsi="Calibri" w:cs="Calibri"/>
          <w:b/>
          <w:bCs/>
          <w:color w:val="000000"/>
          <w:sz w:val="24"/>
          <w:szCs w:val="24"/>
          <w:lang w:val="pl" w:eastAsia="pl-PL"/>
        </w:rPr>
        <w:t xml:space="preserve">, </w:t>
      </w:r>
      <w:r w:rsidR="00793309">
        <w:rPr>
          <w:rFonts w:ascii="Calibri" w:eastAsia="Calibri" w:hAnsi="Calibri" w:cs="Calibri"/>
          <w:b/>
          <w:bCs/>
          <w:color w:val="000000"/>
          <w:sz w:val="24"/>
          <w:szCs w:val="24"/>
          <w:lang w:val="pl" w:eastAsia="pl-PL"/>
        </w:rPr>
        <w:t>uchyla</w:t>
      </w:r>
      <w:r w:rsidRPr="00793309">
        <w:rPr>
          <w:rFonts w:ascii="Calibri" w:eastAsia="Calibri" w:hAnsi="Calibri" w:cs="Calibri"/>
          <w:b/>
          <w:bCs/>
          <w:color w:val="000000"/>
          <w:sz w:val="24"/>
          <w:szCs w:val="24"/>
          <w:lang w:val="pl" w:eastAsia="pl-PL"/>
        </w:rPr>
        <w:t xml:space="preserve"> </w:t>
      </w:r>
      <w:r w:rsidR="00DD77BD">
        <w:rPr>
          <w:rFonts w:ascii="Calibri" w:eastAsia="Calibri" w:hAnsi="Calibri" w:cs="Calibri"/>
          <w:b/>
          <w:bCs/>
          <w:color w:val="000000"/>
          <w:sz w:val="24"/>
          <w:szCs w:val="24"/>
          <w:lang w:val="pl" w:eastAsia="pl-PL"/>
        </w:rPr>
        <w:t xml:space="preserve">w całości </w:t>
      </w:r>
      <w:r w:rsidRPr="00793309">
        <w:rPr>
          <w:rFonts w:ascii="Calibri" w:eastAsia="Calibri" w:hAnsi="Calibri" w:cs="Calibri"/>
          <w:b/>
          <w:bCs/>
          <w:color w:val="000000"/>
          <w:sz w:val="24"/>
          <w:szCs w:val="24"/>
          <w:lang w:val="pl" w:eastAsia="pl-PL"/>
        </w:rPr>
        <w:t>zaskarżone orzeczenie</w:t>
      </w:r>
      <w:r w:rsidR="00793309">
        <w:rPr>
          <w:rFonts w:ascii="Calibri" w:eastAsia="Calibri" w:hAnsi="Calibri" w:cs="Calibri"/>
          <w:b/>
          <w:bCs/>
          <w:color w:val="000000"/>
          <w:sz w:val="24"/>
          <w:szCs w:val="24"/>
          <w:lang w:val="pl" w:eastAsia="pl-PL"/>
        </w:rPr>
        <w:t xml:space="preserve"> </w:t>
      </w:r>
      <w:bookmarkEnd w:id="1"/>
      <w:r w:rsidR="00DD77BD">
        <w:rPr>
          <w:rFonts w:ascii="Calibri" w:eastAsia="Calibri" w:hAnsi="Calibri" w:cs="Calibri"/>
          <w:b/>
          <w:bCs/>
          <w:color w:val="000000"/>
          <w:sz w:val="24"/>
          <w:szCs w:val="24"/>
          <w:lang w:val="pl" w:eastAsia="pl-PL"/>
        </w:rPr>
        <w:t xml:space="preserve">i uniewinnia Pana </w:t>
      </w:r>
      <w:r w:rsidR="001C2F5A">
        <w:rPr>
          <w:rFonts w:ascii="Calibri" w:eastAsia="Calibri" w:hAnsi="Calibri" w:cs="Calibri"/>
          <w:b/>
          <w:bCs/>
          <w:color w:val="000000"/>
          <w:sz w:val="24"/>
          <w:szCs w:val="24"/>
          <w:lang w:val="pl" w:eastAsia="pl-PL"/>
        </w:rPr>
        <w:t>(...)</w:t>
      </w:r>
      <w:r w:rsidR="00DD77BD">
        <w:rPr>
          <w:rFonts w:ascii="Calibri" w:eastAsia="Calibri" w:hAnsi="Calibri" w:cs="Calibri"/>
          <w:b/>
          <w:bCs/>
          <w:color w:val="000000"/>
          <w:sz w:val="24"/>
          <w:szCs w:val="24"/>
          <w:lang w:val="pl" w:eastAsia="pl-PL"/>
        </w:rPr>
        <w:t xml:space="preserve"> od zarzutu naruszenia dyscypliny finansów publicznych określonego w art. 18 pkt 1 </w:t>
      </w:r>
      <w:proofErr w:type="spellStart"/>
      <w:r w:rsidR="00DD77BD">
        <w:rPr>
          <w:rFonts w:ascii="Calibri" w:eastAsia="Calibri" w:hAnsi="Calibri" w:cs="Calibri"/>
          <w:b/>
          <w:bCs/>
          <w:color w:val="000000"/>
          <w:sz w:val="24"/>
          <w:szCs w:val="24"/>
          <w:lang w:val="pl" w:eastAsia="pl-PL"/>
        </w:rPr>
        <w:t>uondfp</w:t>
      </w:r>
      <w:proofErr w:type="spellEnd"/>
      <w:r w:rsidR="00793309">
        <w:rPr>
          <w:rFonts w:ascii="Calibri" w:eastAsia="Calibri" w:hAnsi="Calibri" w:cs="Calibri"/>
          <w:b/>
          <w:bCs/>
          <w:color w:val="000000"/>
          <w:sz w:val="24"/>
          <w:szCs w:val="24"/>
          <w:lang w:val="pl" w:eastAsia="pl-PL"/>
        </w:rPr>
        <w:t>,</w:t>
      </w:r>
    </w:p>
    <w:p w:rsidR="00793309" w:rsidRPr="00793309" w:rsidRDefault="00DD77BD" w:rsidP="009F4220">
      <w:pPr>
        <w:pStyle w:val="Akapitzlist"/>
        <w:numPr>
          <w:ilvl w:val="0"/>
          <w:numId w:val="1"/>
        </w:numPr>
        <w:spacing w:after="225" w:line="360" w:lineRule="auto"/>
        <w:rPr>
          <w:rFonts w:ascii="Calibri" w:eastAsia="Calibri" w:hAnsi="Calibri" w:cs="Calibri"/>
          <w:b/>
          <w:bCs/>
          <w:color w:val="000000"/>
          <w:sz w:val="24"/>
          <w:szCs w:val="24"/>
          <w:lang w:val="pl" w:eastAsia="pl-PL"/>
        </w:rPr>
      </w:pPr>
      <w:r>
        <w:rPr>
          <w:rFonts w:ascii="Calibri" w:eastAsia="Calibri" w:hAnsi="Calibri" w:cs="Calibri"/>
          <w:b/>
          <w:bCs/>
          <w:color w:val="000000"/>
          <w:sz w:val="24"/>
          <w:szCs w:val="24"/>
          <w:lang w:val="pl" w:eastAsia="pl-PL"/>
        </w:rPr>
        <w:t>na podstawie art. 167 ust. 2</w:t>
      </w:r>
      <w:r w:rsidR="00793309">
        <w:rPr>
          <w:rFonts w:ascii="Calibri" w:eastAsia="Calibri" w:hAnsi="Calibri" w:cs="Calibri"/>
          <w:b/>
          <w:bCs/>
          <w:color w:val="000000"/>
          <w:sz w:val="24"/>
          <w:szCs w:val="24"/>
          <w:lang w:val="pl" w:eastAsia="pl-PL"/>
        </w:rPr>
        <w:t xml:space="preserve"> </w:t>
      </w:r>
      <w:proofErr w:type="spellStart"/>
      <w:r w:rsidR="00793309">
        <w:rPr>
          <w:rFonts w:ascii="Calibri" w:eastAsia="Calibri" w:hAnsi="Calibri" w:cs="Calibri"/>
          <w:b/>
          <w:bCs/>
          <w:color w:val="000000"/>
          <w:sz w:val="24"/>
          <w:szCs w:val="24"/>
          <w:lang w:val="pl" w:eastAsia="pl-PL"/>
        </w:rPr>
        <w:t>uond</w:t>
      </w:r>
      <w:r>
        <w:rPr>
          <w:rFonts w:ascii="Calibri" w:eastAsia="Calibri" w:hAnsi="Calibri" w:cs="Calibri"/>
          <w:b/>
          <w:bCs/>
          <w:color w:val="000000"/>
          <w:sz w:val="24"/>
          <w:szCs w:val="24"/>
          <w:lang w:val="pl" w:eastAsia="pl-PL"/>
        </w:rPr>
        <w:t>fp</w:t>
      </w:r>
      <w:proofErr w:type="spellEnd"/>
      <w:r>
        <w:rPr>
          <w:rFonts w:ascii="Calibri" w:eastAsia="Calibri" w:hAnsi="Calibri" w:cs="Calibri"/>
          <w:b/>
          <w:bCs/>
          <w:color w:val="000000"/>
          <w:sz w:val="24"/>
          <w:szCs w:val="24"/>
          <w:lang w:val="pl" w:eastAsia="pl-PL"/>
        </w:rPr>
        <w:t xml:space="preserve"> koszty postępowania ponosi Skarb Państwa.</w:t>
      </w:r>
    </w:p>
    <w:p w:rsidR="00EF6D63" w:rsidRPr="00B71869" w:rsidRDefault="00EF6D63" w:rsidP="009F4220">
      <w:pPr>
        <w:pStyle w:val="Nagwek2"/>
        <w:rPr>
          <w:rFonts w:eastAsia="Calibri"/>
          <w:b/>
          <w:lang w:val="pl" w:eastAsia="pl-PL"/>
        </w:rPr>
      </w:pPr>
      <w:bookmarkStart w:id="2" w:name="bookmark5"/>
      <w:r w:rsidRPr="00B71869">
        <w:rPr>
          <w:rFonts w:eastAsia="Calibri"/>
          <w:b/>
          <w:color w:val="auto"/>
          <w:lang w:val="pl" w:eastAsia="pl-PL"/>
        </w:rPr>
        <w:t>Pouczenie:</w:t>
      </w:r>
      <w:bookmarkEnd w:id="2"/>
    </w:p>
    <w:p w:rsidR="00EF6D63" w:rsidRDefault="00EF6D63" w:rsidP="00B71869">
      <w:pPr>
        <w:spacing w:line="276" w:lineRule="auto"/>
        <w:ind w:left="20" w:right="240"/>
        <w:rPr>
          <w:rFonts w:ascii="Calibri" w:eastAsia="Calibri" w:hAnsi="Calibri" w:cs="Calibri"/>
          <w:color w:val="000000"/>
          <w:sz w:val="24"/>
          <w:szCs w:val="24"/>
          <w:lang w:val="pl" w:eastAsia="pl-PL"/>
        </w:rPr>
      </w:pPr>
      <w:r w:rsidRPr="00EF6D63">
        <w:rPr>
          <w:rFonts w:ascii="Calibri" w:eastAsia="Calibri" w:hAnsi="Calibri" w:cs="Calibri"/>
          <w:color w:val="000000"/>
          <w:sz w:val="24"/>
          <w:szCs w:val="24"/>
          <w:lang w:val="pl" w:eastAsia="pl-PL"/>
        </w:rPr>
        <w:t xml:space="preserve">Orzeczenie niniejsze jest prawomocne w dniu jego wydania. Na niniejsze orzeczenie </w:t>
      </w:r>
      <w:r w:rsidR="00A67002">
        <w:rPr>
          <w:rFonts w:ascii="Calibri" w:eastAsia="Calibri" w:hAnsi="Calibri" w:cs="Calibri"/>
          <w:color w:val="000000"/>
          <w:sz w:val="24"/>
          <w:szCs w:val="24"/>
          <w:lang w:val="pl" w:eastAsia="pl-PL"/>
        </w:rPr>
        <w:t>–</w:t>
      </w:r>
      <w:r w:rsidRPr="00EF6D63">
        <w:rPr>
          <w:rFonts w:ascii="Calibri" w:eastAsia="Calibri" w:hAnsi="Calibri" w:cs="Calibri"/>
          <w:color w:val="000000"/>
          <w:sz w:val="24"/>
          <w:szCs w:val="24"/>
          <w:lang w:val="pl" w:eastAsia="pl-PL"/>
        </w:rPr>
        <w:t xml:space="preserve"> w</w:t>
      </w:r>
      <w:r w:rsidR="00A67002">
        <w:rPr>
          <w:rFonts w:ascii="Calibri" w:eastAsia="Calibri" w:hAnsi="Calibri" w:cs="Calibri"/>
          <w:color w:val="000000"/>
          <w:sz w:val="24"/>
          <w:szCs w:val="24"/>
          <w:lang w:val="pl" w:eastAsia="pl-PL"/>
        </w:rPr>
        <w:t> </w:t>
      </w:r>
      <w:r w:rsidRPr="00EF6D63">
        <w:rPr>
          <w:rFonts w:ascii="Calibri" w:eastAsia="Calibri" w:hAnsi="Calibri" w:cs="Calibri"/>
          <w:color w:val="000000"/>
          <w:sz w:val="24"/>
          <w:szCs w:val="24"/>
          <w:lang w:val="pl" w:eastAsia="pl-PL"/>
        </w:rPr>
        <w:t>terminie 30 dni od dnia jego doręczenia - służy skarga do Wojewódzkiego Sądu Administracyjnego w Warszawie. Skargę wnosi się za pośrednict</w:t>
      </w:r>
      <w:r>
        <w:rPr>
          <w:rFonts w:ascii="Calibri" w:eastAsia="Calibri" w:hAnsi="Calibri" w:cs="Calibri"/>
          <w:color w:val="000000"/>
          <w:sz w:val="24"/>
          <w:szCs w:val="24"/>
          <w:lang w:val="pl" w:eastAsia="pl-PL"/>
        </w:rPr>
        <w:t>wem Głównej Komisji Orzekającej.</w:t>
      </w:r>
    </w:p>
    <w:p w:rsidR="006E473E" w:rsidRPr="00B71869" w:rsidRDefault="006E473E" w:rsidP="009F4220">
      <w:pPr>
        <w:pStyle w:val="Nagwek2"/>
        <w:rPr>
          <w:rFonts w:cstheme="minorHAnsi"/>
          <w:b/>
          <w:sz w:val="28"/>
          <w:szCs w:val="28"/>
        </w:rPr>
      </w:pPr>
      <w:r w:rsidRPr="00B71869">
        <w:rPr>
          <w:rFonts w:asciiTheme="minorHAnsi" w:hAnsiTheme="minorHAnsi" w:cstheme="minorHAnsi"/>
          <w:b/>
          <w:color w:val="auto"/>
          <w:sz w:val="28"/>
          <w:szCs w:val="28"/>
        </w:rPr>
        <w:t>UZASADNIENIE</w:t>
      </w:r>
    </w:p>
    <w:p w:rsidR="006E473E" w:rsidRPr="00D00185" w:rsidRDefault="006E473E" w:rsidP="009F4220">
      <w:pPr>
        <w:spacing w:before="120" w:after="0" w:line="360" w:lineRule="auto"/>
        <w:ind w:right="45"/>
        <w:rPr>
          <w:rFonts w:ascii="Calibri" w:eastAsia="Arial" w:hAnsi="Calibri" w:cs="Calibri"/>
          <w:sz w:val="24"/>
          <w:szCs w:val="24"/>
          <w:lang w:eastAsia="pl-PL"/>
        </w:rPr>
      </w:pPr>
      <w:r w:rsidRPr="00D00185">
        <w:rPr>
          <w:rFonts w:ascii="Calibri" w:eastAsia="Arial" w:hAnsi="Calibri" w:cs="Calibri"/>
          <w:sz w:val="24"/>
          <w:szCs w:val="24"/>
          <w:lang w:eastAsia="pl-PL"/>
        </w:rPr>
        <w:t>Postepowanie wyjaśniające wobec Obwinionego – Pana</w:t>
      </w:r>
      <w:r w:rsidR="009C2660">
        <w:rPr>
          <w:rFonts w:ascii="Calibri" w:eastAsia="Arial" w:hAnsi="Calibri" w:cs="Calibri"/>
          <w:sz w:val="24"/>
          <w:szCs w:val="24"/>
          <w:lang w:eastAsia="pl-PL"/>
        </w:rPr>
        <w:t xml:space="preserve"> (...) </w:t>
      </w:r>
      <w:r w:rsidRPr="00D00185">
        <w:rPr>
          <w:rFonts w:ascii="Calibri" w:eastAsia="Arial" w:hAnsi="Calibri" w:cs="Calibri"/>
          <w:sz w:val="24"/>
          <w:szCs w:val="24"/>
          <w:lang w:eastAsia="pl-PL"/>
        </w:rPr>
        <w:t xml:space="preserve">zostało wszczęte przez Rzecznika Dyscypliny Finansów Publicznych właściwego w sprawach rozpoznawanych przez Regionalną Komisję Orzekającą w sprawach o naruszenie dyscypliny finansów publicznych przy Regionalnej Izbie Obrachunkowej w Krakowie (zwanego dalej Rzecznikiem), w związku z otrzymaniem od Prezesa Regionalnej Izby Obrachunkowej w </w:t>
      </w:r>
      <w:r w:rsidR="00E76D67">
        <w:rPr>
          <w:rFonts w:ascii="Calibri" w:eastAsia="Arial" w:hAnsi="Calibri" w:cs="Calibri"/>
          <w:sz w:val="24"/>
          <w:szCs w:val="24"/>
          <w:lang w:eastAsia="pl-PL"/>
        </w:rPr>
        <w:t>Krakowie</w:t>
      </w:r>
      <w:r w:rsidRPr="00D00185">
        <w:rPr>
          <w:rFonts w:ascii="Calibri" w:eastAsia="Arial" w:hAnsi="Calibri" w:cs="Calibri"/>
          <w:sz w:val="24"/>
          <w:szCs w:val="24"/>
          <w:lang w:eastAsia="pl-PL"/>
        </w:rPr>
        <w:t xml:space="preserve"> (pismo z</w:t>
      </w:r>
      <w:r w:rsidR="00A67002">
        <w:rPr>
          <w:rFonts w:ascii="Calibri" w:eastAsia="Arial" w:hAnsi="Calibri" w:cs="Calibri"/>
          <w:sz w:val="24"/>
          <w:szCs w:val="24"/>
          <w:lang w:eastAsia="pl-PL"/>
        </w:rPr>
        <w:t> </w:t>
      </w:r>
      <w:r w:rsidRPr="00D00185">
        <w:rPr>
          <w:rFonts w:ascii="Calibri" w:eastAsia="Arial" w:hAnsi="Calibri" w:cs="Calibri"/>
          <w:sz w:val="24"/>
          <w:szCs w:val="24"/>
          <w:lang w:eastAsia="pl-PL"/>
        </w:rPr>
        <w:t>5 czerwca 2020 r., znak: WK-510-34/19/20) zawiadomienia o ujawnionych okolicznościach wskazujących na naruszenie dyscypliny finansów publicznych.</w:t>
      </w:r>
    </w:p>
    <w:p w:rsidR="006E473E" w:rsidRPr="00D00185" w:rsidRDefault="006E473E" w:rsidP="006E473E">
      <w:pPr>
        <w:spacing w:before="120" w:after="0" w:line="360" w:lineRule="auto"/>
        <w:ind w:right="45"/>
        <w:rPr>
          <w:rFonts w:ascii="Calibri" w:eastAsia="Arial" w:hAnsi="Calibri" w:cs="Calibri"/>
          <w:sz w:val="24"/>
          <w:szCs w:val="24"/>
          <w:lang w:eastAsia="pl-PL"/>
        </w:rPr>
      </w:pPr>
      <w:r w:rsidRPr="00D00185">
        <w:rPr>
          <w:rFonts w:ascii="Calibri" w:eastAsia="Arial" w:hAnsi="Calibri" w:cs="Calibri"/>
          <w:sz w:val="24"/>
          <w:szCs w:val="24"/>
          <w:lang w:eastAsia="pl-PL"/>
        </w:rPr>
        <w:t xml:space="preserve">Po przeprowadzeniu postępowania wyjaśniającego Rzecznik skierował do Regionalnej Komisji Orzekającej w sprawach o naruszenie dyscypliny finansów publicznych przy Regionalnej Izbie Obrachunkowej w Krakowie (dalej zwanej również „RKO”) wniosek </w:t>
      </w:r>
      <w:r w:rsidRPr="00D00185">
        <w:rPr>
          <w:rFonts w:ascii="Calibri" w:eastAsia="Arial" w:hAnsi="Calibri" w:cs="Calibri"/>
          <w:sz w:val="24"/>
          <w:szCs w:val="24"/>
          <w:lang w:eastAsia="pl-PL"/>
        </w:rPr>
        <w:lastRenderedPageBreak/>
        <w:t>z 30</w:t>
      </w:r>
      <w:r w:rsidR="00D71A82">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września 2020 r. (znak: RDFP-510/76/20) o </w:t>
      </w:r>
      <w:r w:rsidR="00003AD4">
        <w:rPr>
          <w:rFonts w:ascii="Calibri" w:eastAsia="Arial" w:hAnsi="Calibri" w:cs="Calibri"/>
          <w:sz w:val="24"/>
          <w:szCs w:val="24"/>
          <w:lang w:eastAsia="pl-PL"/>
        </w:rPr>
        <w:t xml:space="preserve">ukaranie </w:t>
      </w:r>
      <w:r w:rsidRPr="00D00185">
        <w:rPr>
          <w:rFonts w:ascii="Calibri" w:eastAsia="Arial" w:hAnsi="Calibri" w:cs="Calibri"/>
          <w:sz w:val="24"/>
          <w:szCs w:val="24"/>
          <w:lang w:eastAsia="pl-PL"/>
        </w:rPr>
        <w:t>Pan</w:t>
      </w:r>
      <w:r w:rsidR="00003AD4">
        <w:rPr>
          <w:rFonts w:ascii="Calibri" w:eastAsia="Arial" w:hAnsi="Calibri" w:cs="Calibri"/>
          <w:sz w:val="24"/>
          <w:szCs w:val="24"/>
          <w:lang w:eastAsia="pl-PL"/>
        </w:rPr>
        <w:t>a</w:t>
      </w:r>
      <w:r w:rsidR="009C2660">
        <w:rPr>
          <w:rFonts w:ascii="Calibri" w:eastAsia="Arial" w:hAnsi="Calibri" w:cs="Calibri"/>
          <w:sz w:val="24"/>
          <w:szCs w:val="24"/>
          <w:lang w:eastAsia="pl-PL"/>
        </w:rPr>
        <w:t xml:space="preserve"> (...) </w:t>
      </w:r>
      <w:r w:rsidRPr="00D00185">
        <w:rPr>
          <w:rFonts w:ascii="Calibri" w:eastAsia="Arial" w:hAnsi="Calibri" w:cs="Calibri"/>
          <w:sz w:val="24"/>
          <w:szCs w:val="24"/>
          <w:lang w:eastAsia="pl-PL"/>
        </w:rPr>
        <w:t>w związku z</w:t>
      </w:r>
      <w:r w:rsidR="00D71A82">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naruszeniem przez niego dyscypliny finansów publicznych w rozumieniu art. 18 pkt 1 ustawy z dnia 17 grudnia 2004 r. o odpowiedzialności za naruszenie dyscypliny finansów publicznych (zwanej dalej </w:t>
      </w:r>
      <w:proofErr w:type="spellStart"/>
      <w:r w:rsidRPr="00D00185">
        <w:rPr>
          <w:rFonts w:ascii="Calibri" w:eastAsia="Arial" w:hAnsi="Calibri" w:cs="Calibri"/>
          <w:sz w:val="24"/>
          <w:szCs w:val="24"/>
          <w:lang w:eastAsia="pl-PL"/>
        </w:rPr>
        <w:t>uondfp</w:t>
      </w:r>
      <w:proofErr w:type="spellEnd"/>
      <w:r w:rsidRPr="00D00185">
        <w:rPr>
          <w:rFonts w:ascii="Calibri" w:eastAsia="Arial" w:hAnsi="Calibri" w:cs="Calibri"/>
          <w:sz w:val="24"/>
          <w:szCs w:val="24"/>
          <w:lang w:eastAsia="pl-PL"/>
        </w:rPr>
        <w:t>), poprzez brak ujawnienia w trakcie inwentaryzacji przeprowadzonej wg stanu na dzień 31 grudnia 2017 r. nieruchomości gruntowych stanowiących własność gminy</w:t>
      </w:r>
      <w:r w:rsidR="002B6525">
        <w:rPr>
          <w:rFonts w:ascii="Calibri" w:eastAsia="Arial" w:hAnsi="Calibri" w:cs="Calibri"/>
          <w:sz w:val="24"/>
          <w:szCs w:val="24"/>
          <w:lang w:eastAsia="pl-PL"/>
        </w:rPr>
        <w:t xml:space="preserve"> (...) </w:t>
      </w:r>
      <w:r w:rsidRPr="00D00185">
        <w:rPr>
          <w:rFonts w:ascii="Calibri" w:eastAsia="Arial" w:hAnsi="Calibri" w:cs="Calibri"/>
          <w:sz w:val="24"/>
          <w:szCs w:val="24"/>
          <w:lang w:eastAsia="pl-PL"/>
        </w:rPr>
        <w:t xml:space="preserve"> o łącznej wartości 5.359.812,00 zł i o łącznej powierzchni 7,04 ha. </w:t>
      </w:r>
    </w:p>
    <w:p w:rsidR="006E473E" w:rsidRPr="00D00185" w:rsidRDefault="006E473E" w:rsidP="006E473E">
      <w:pPr>
        <w:spacing w:after="0" w:line="360" w:lineRule="auto"/>
        <w:ind w:right="45"/>
        <w:rPr>
          <w:rFonts w:ascii="Calibri" w:eastAsia="Arial" w:hAnsi="Calibri" w:cs="Calibri"/>
          <w:sz w:val="24"/>
          <w:szCs w:val="24"/>
          <w:lang w:eastAsia="pl-PL"/>
        </w:rPr>
      </w:pPr>
      <w:r w:rsidRPr="00D00185">
        <w:rPr>
          <w:rFonts w:ascii="Calibri" w:eastAsia="Arial" w:hAnsi="Calibri" w:cs="Calibri"/>
          <w:sz w:val="24"/>
          <w:szCs w:val="24"/>
          <w:lang w:eastAsia="pl-PL"/>
        </w:rPr>
        <w:t>Rzecznik wniósł o wymierzenie Obwinionemu kary upomnienia</w:t>
      </w:r>
      <w:r w:rsidR="00DC0445">
        <w:rPr>
          <w:rFonts w:ascii="Calibri" w:eastAsia="Arial" w:hAnsi="Calibri" w:cs="Calibri"/>
          <w:sz w:val="24"/>
          <w:szCs w:val="24"/>
          <w:lang w:eastAsia="pl-PL"/>
        </w:rPr>
        <w:t>.</w:t>
      </w:r>
      <w:r w:rsidRPr="00D00185">
        <w:rPr>
          <w:rFonts w:ascii="Calibri" w:eastAsia="Arial" w:hAnsi="Calibri" w:cs="Calibri"/>
          <w:sz w:val="24"/>
          <w:szCs w:val="24"/>
          <w:lang w:eastAsia="pl-PL"/>
        </w:rPr>
        <w:t xml:space="preserve"> </w:t>
      </w:r>
    </w:p>
    <w:p w:rsidR="006E473E" w:rsidRPr="00D00185" w:rsidRDefault="006E473E" w:rsidP="006E473E">
      <w:pPr>
        <w:spacing w:before="120" w:after="0" w:line="360" w:lineRule="auto"/>
        <w:ind w:right="45"/>
        <w:rPr>
          <w:rFonts w:ascii="Calibri" w:eastAsia="Arial" w:hAnsi="Calibri" w:cs="Calibri"/>
          <w:sz w:val="24"/>
          <w:szCs w:val="24"/>
          <w:lang w:eastAsia="pl-PL"/>
        </w:rPr>
      </w:pPr>
      <w:r w:rsidRPr="00D00185">
        <w:rPr>
          <w:rFonts w:ascii="Calibri" w:eastAsia="Arial" w:hAnsi="Calibri" w:cs="Calibri"/>
          <w:sz w:val="24"/>
          <w:szCs w:val="24"/>
          <w:lang w:eastAsia="pl-PL"/>
        </w:rPr>
        <w:t>Orzeczeniem z dnia 24 maja 2021 r. (znak: RKO-522/95/20)</w:t>
      </w:r>
      <w:r w:rsidR="00DC0445">
        <w:rPr>
          <w:rFonts w:ascii="Calibri" w:eastAsia="Arial" w:hAnsi="Calibri" w:cs="Calibri"/>
          <w:sz w:val="24"/>
          <w:szCs w:val="24"/>
          <w:lang w:eastAsia="pl-PL"/>
        </w:rPr>
        <w:t xml:space="preserve"> Regionalna</w:t>
      </w:r>
      <w:r w:rsidRPr="00D00185">
        <w:rPr>
          <w:rFonts w:ascii="Calibri" w:eastAsia="Arial" w:hAnsi="Calibri" w:cs="Calibri"/>
          <w:sz w:val="24"/>
          <w:szCs w:val="24"/>
          <w:lang w:eastAsia="pl-PL"/>
        </w:rPr>
        <w:t xml:space="preserve"> </w:t>
      </w:r>
      <w:r w:rsidR="00DC0445">
        <w:rPr>
          <w:rFonts w:ascii="Calibri" w:eastAsia="Arial" w:hAnsi="Calibri" w:cs="Calibri"/>
          <w:sz w:val="24"/>
          <w:szCs w:val="24"/>
          <w:lang w:eastAsia="pl-PL"/>
        </w:rPr>
        <w:t xml:space="preserve">Komisja Orzekająca w sprawach o naruszenie dyscypliny finansów publicznych przy Regionalnej Izbie Obrachunkowej w Krakowie </w:t>
      </w:r>
      <w:r w:rsidRPr="00D00185">
        <w:rPr>
          <w:rFonts w:ascii="Calibri" w:eastAsia="Arial" w:hAnsi="Calibri" w:cs="Calibri"/>
          <w:sz w:val="24"/>
          <w:szCs w:val="24"/>
          <w:lang w:eastAsia="pl-PL"/>
        </w:rPr>
        <w:t>uzna</w:t>
      </w:r>
      <w:r w:rsidR="00DC0445">
        <w:rPr>
          <w:rFonts w:ascii="Calibri" w:eastAsia="Arial" w:hAnsi="Calibri" w:cs="Calibri"/>
          <w:sz w:val="24"/>
          <w:szCs w:val="24"/>
          <w:lang w:eastAsia="pl-PL"/>
        </w:rPr>
        <w:t>ła</w:t>
      </w:r>
      <w:r w:rsidRPr="00D00185">
        <w:rPr>
          <w:rFonts w:ascii="Calibri" w:eastAsia="Arial" w:hAnsi="Calibri" w:cs="Calibri"/>
          <w:sz w:val="24"/>
          <w:szCs w:val="24"/>
          <w:lang w:eastAsia="pl-PL"/>
        </w:rPr>
        <w:t xml:space="preserve"> Obwinionego za odpowiedzialnego za naruszenie dyscypliny finansów publicznych w rozumieniu art. 18 pkt 1</w:t>
      </w:r>
      <w:r w:rsidR="00834D30">
        <w:rPr>
          <w:rFonts w:ascii="Calibri" w:eastAsia="Arial" w:hAnsi="Calibri" w:cs="Calibri"/>
          <w:sz w:val="24"/>
          <w:szCs w:val="24"/>
          <w:lang w:eastAsia="pl-PL"/>
        </w:rPr>
        <w:t> </w:t>
      </w:r>
      <w:proofErr w:type="spellStart"/>
      <w:r w:rsidRPr="00D00185">
        <w:rPr>
          <w:rFonts w:ascii="Calibri" w:eastAsia="Arial" w:hAnsi="Calibri" w:cs="Calibri"/>
          <w:sz w:val="24"/>
          <w:szCs w:val="24"/>
          <w:lang w:eastAsia="pl-PL"/>
        </w:rPr>
        <w:t>uondfp</w:t>
      </w:r>
      <w:proofErr w:type="spellEnd"/>
      <w:r w:rsidRPr="00D00185">
        <w:rPr>
          <w:rFonts w:ascii="Calibri" w:eastAsia="Arial" w:hAnsi="Calibri" w:cs="Calibri"/>
          <w:sz w:val="24"/>
          <w:szCs w:val="24"/>
          <w:lang w:eastAsia="pl-PL"/>
        </w:rPr>
        <w:t>. Na podstawie art. 36</w:t>
      </w:r>
      <w:r w:rsidR="00D71A82">
        <w:rPr>
          <w:rFonts w:ascii="Calibri" w:eastAsia="Arial" w:hAnsi="Calibri" w:cs="Calibri"/>
          <w:sz w:val="24"/>
          <w:szCs w:val="24"/>
          <w:lang w:eastAsia="pl-PL"/>
        </w:rPr>
        <w:t> </w:t>
      </w:r>
      <w:proofErr w:type="spellStart"/>
      <w:r w:rsidRPr="00D00185">
        <w:rPr>
          <w:rFonts w:ascii="Calibri" w:eastAsia="Arial" w:hAnsi="Calibri" w:cs="Calibri"/>
          <w:sz w:val="24"/>
          <w:szCs w:val="24"/>
          <w:lang w:eastAsia="pl-PL"/>
        </w:rPr>
        <w:t>uondfp</w:t>
      </w:r>
      <w:proofErr w:type="spellEnd"/>
      <w:r w:rsidRPr="00D00185">
        <w:rPr>
          <w:rFonts w:ascii="Calibri" w:eastAsia="Arial" w:hAnsi="Calibri" w:cs="Calibri"/>
          <w:sz w:val="24"/>
          <w:szCs w:val="24"/>
          <w:lang w:eastAsia="pl-PL"/>
        </w:rPr>
        <w:t xml:space="preserve"> RKO odstąpiła o wymierzenia kary, jednocześnie na podstawie art. 167 ust. 1 tej ustawy </w:t>
      </w:r>
      <w:r w:rsidR="00E76D67">
        <w:rPr>
          <w:rFonts w:ascii="Calibri" w:eastAsia="Arial" w:hAnsi="Calibri" w:cs="Calibri"/>
          <w:sz w:val="24"/>
          <w:szCs w:val="24"/>
          <w:lang w:eastAsia="pl-PL"/>
        </w:rPr>
        <w:t>orzek</w:t>
      </w:r>
      <w:r w:rsidR="00E76D67" w:rsidRPr="00D00185">
        <w:rPr>
          <w:rFonts w:ascii="Calibri" w:eastAsia="Arial" w:hAnsi="Calibri" w:cs="Calibri"/>
          <w:sz w:val="24"/>
          <w:szCs w:val="24"/>
          <w:lang w:eastAsia="pl-PL"/>
        </w:rPr>
        <w:t xml:space="preserve">ła </w:t>
      </w:r>
      <w:r w:rsidRPr="00D00185">
        <w:rPr>
          <w:rFonts w:ascii="Calibri" w:eastAsia="Arial" w:hAnsi="Calibri" w:cs="Calibri"/>
          <w:sz w:val="24"/>
          <w:szCs w:val="24"/>
          <w:lang w:eastAsia="pl-PL"/>
        </w:rPr>
        <w:t>od Obwinionego zryczałtowane koszty post</w:t>
      </w:r>
      <w:r w:rsidR="00DC0445">
        <w:rPr>
          <w:rFonts w:ascii="Calibri" w:eastAsia="Arial" w:hAnsi="Calibri" w:cs="Calibri"/>
          <w:sz w:val="24"/>
          <w:szCs w:val="24"/>
          <w:lang w:eastAsia="pl-PL"/>
        </w:rPr>
        <w:t>ę</w:t>
      </w:r>
      <w:r w:rsidRPr="00D00185">
        <w:rPr>
          <w:rFonts w:ascii="Calibri" w:eastAsia="Arial" w:hAnsi="Calibri" w:cs="Calibri"/>
          <w:sz w:val="24"/>
          <w:szCs w:val="24"/>
          <w:lang w:eastAsia="pl-PL"/>
        </w:rPr>
        <w:t>powania w kwocie 413,40 zł.</w:t>
      </w:r>
    </w:p>
    <w:p w:rsidR="006E473E" w:rsidRPr="00D00185" w:rsidRDefault="006E473E" w:rsidP="006E473E">
      <w:pPr>
        <w:spacing w:after="0" w:line="360" w:lineRule="auto"/>
        <w:ind w:left="20" w:right="20"/>
        <w:rPr>
          <w:rFonts w:ascii="Calibri" w:eastAsia="Arial" w:hAnsi="Calibri" w:cs="Calibri"/>
          <w:sz w:val="24"/>
          <w:szCs w:val="24"/>
          <w:lang w:eastAsia="pl-PL"/>
        </w:rPr>
      </w:pPr>
      <w:r w:rsidRPr="00D00185">
        <w:rPr>
          <w:rFonts w:ascii="Calibri" w:eastAsia="Arial" w:hAnsi="Calibri" w:cs="Calibri"/>
          <w:sz w:val="24"/>
          <w:szCs w:val="24"/>
          <w:lang w:eastAsia="pl-PL"/>
        </w:rPr>
        <w:t xml:space="preserve">RKO przytoczyła w uzasadnieniu </w:t>
      </w:r>
      <w:r w:rsidR="00DC0445">
        <w:rPr>
          <w:rFonts w:ascii="Calibri" w:eastAsia="Arial" w:hAnsi="Calibri" w:cs="Calibri"/>
          <w:sz w:val="24"/>
          <w:szCs w:val="24"/>
          <w:lang w:eastAsia="pl-PL"/>
        </w:rPr>
        <w:t xml:space="preserve">orzeczenia </w:t>
      </w:r>
      <w:r w:rsidRPr="00D00185">
        <w:rPr>
          <w:rFonts w:ascii="Calibri" w:eastAsia="Arial" w:hAnsi="Calibri" w:cs="Calibri"/>
          <w:sz w:val="24"/>
          <w:szCs w:val="24"/>
          <w:lang w:eastAsia="pl-PL"/>
        </w:rPr>
        <w:t>regulacje dotyczące obowiązku przeprowadzenia inwentaryzacji: „Obowiązek przeprowadzania inwentaryzacji w</w:t>
      </w:r>
      <w:r w:rsidR="00D71A82">
        <w:rPr>
          <w:rFonts w:ascii="Calibri" w:eastAsia="Arial" w:hAnsi="Calibri" w:cs="Calibri"/>
          <w:sz w:val="24"/>
          <w:szCs w:val="24"/>
          <w:lang w:eastAsia="pl-PL"/>
        </w:rPr>
        <w:t> </w:t>
      </w:r>
      <w:r w:rsidRPr="00D00185">
        <w:rPr>
          <w:rFonts w:ascii="Calibri" w:eastAsia="Arial" w:hAnsi="Calibri" w:cs="Calibri"/>
          <w:sz w:val="24"/>
          <w:szCs w:val="24"/>
          <w:lang w:eastAsia="pl-PL"/>
        </w:rPr>
        <w:t>jednostkach samorządu terytorialnego wynika z przepisów art. 26 i 27 ustawy o</w:t>
      </w:r>
      <w:r w:rsidR="00D71A82">
        <w:rPr>
          <w:rFonts w:ascii="Calibri" w:eastAsia="Arial" w:hAnsi="Calibri" w:cs="Calibri"/>
          <w:sz w:val="24"/>
          <w:szCs w:val="24"/>
          <w:lang w:eastAsia="pl-PL"/>
        </w:rPr>
        <w:t> </w:t>
      </w:r>
      <w:r w:rsidRPr="00D00185">
        <w:rPr>
          <w:rFonts w:ascii="Calibri" w:eastAsia="Arial" w:hAnsi="Calibri" w:cs="Calibri"/>
          <w:sz w:val="24"/>
          <w:szCs w:val="24"/>
          <w:lang w:eastAsia="pl-PL"/>
        </w:rPr>
        <w:t>rachunkowości. Zgodnie z przepisem art. 26 ust. 1 pkt 3 ww. ustawy jednostki przeprowadzają na ostatni dzień każdego roku obrotowego inwentaryzację: środków trwałych, do których dostęp jest znacznie utrudniony, gruntów oraz praw zakwalifikowanych do nieruchomości, należności spornych i wątpliwych, a w bankach również należności zagrożonych, należności i zobowiązań wobec osób nieprowadzących ksiąg rachunkowych, z</w:t>
      </w:r>
      <w:r w:rsidR="00D71A82">
        <w:rPr>
          <w:rFonts w:ascii="Calibri" w:eastAsia="Arial" w:hAnsi="Calibri" w:cs="Calibri"/>
          <w:sz w:val="24"/>
          <w:szCs w:val="24"/>
          <w:lang w:eastAsia="pl-PL"/>
        </w:rPr>
        <w:t> </w:t>
      </w:r>
      <w:r w:rsidRPr="00D00185">
        <w:rPr>
          <w:rFonts w:ascii="Calibri" w:eastAsia="Arial" w:hAnsi="Calibri" w:cs="Calibri"/>
          <w:sz w:val="24"/>
          <w:szCs w:val="24"/>
          <w:lang w:eastAsia="pl-PL"/>
        </w:rPr>
        <w:t>tytułów publicznoprawnych, a także aktywów i</w:t>
      </w:r>
      <w:r w:rsidR="00A67002">
        <w:rPr>
          <w:rFonts w:ascii="Calibri" w:eastAsia="Arial" w:hAnsi="Calibri" w:cs="Calibri"/>
          <w:sz w:val="24"/>
          <w:szCs w:val="24"/>
          <w:lang w:eastAsia="pl-PL"/>
        </w:rPr>
        <w:t> </w:t>
      </w:r>
      <w:r w:rsidRPr="00D00185">
        <w:rPr>
          <w:rFonts w:ascii="Calibri" w:eastAsia="Arial" w:hAnsi="Calibri" w:cs="Calibri"/>
          <w:sz w:val="24"/>
          <w:szCs w:val="24"/>
          <w:lang w:eastAsia="pl-PL"/>
        </w:rPr>
        <w:t>pasywów niewymienionych w pkt 1 i 2 oraz wymienionych w pkt 1 i 2, jeżeli przeprowadzenie ich spisu z natury lub uzgodnienie z</w:t>
      </w:r>
      <w:r w:rsidR="00D71A82">
        <w:rPr>
          <w:rFonts w:ascii="Calibri" w:eastAsia="Arial" w:hAnsi="Calibri" w:cs="Calibri"/>
          <w:sz w:val="24"/>
          <w:szCs w:val="24"/>
          <w:lang w:eastAsia="pl-PL"/>
        </w:rPr>
        <w:t> </w:t>
      </w:r>
      <w:r w:rsidRPr="00D00185">
        <w:rPr>
          <w:rFonts w:ascii="Calibri" w:eastAsia="Arial" w:hAnsi="Calibri" w:cs="Calibri"/>
          <w:sz w:val="24"/>
          <w:szCs w:val="24"/>
          <w:lang w:eastAsia="pl-PL"/>
        </w:rPr>
        <w:t>przyczyn uzasadnionych nie było możliwe - drogą porównania danych ksiąg rachunkowych z odpowiednimi dokumentami i</w:t>
      </w:r>
      <w:r w:rsidR="00834D30">
        <w:rPr>
          <w:rFonts w:ascii="Calibri" w:eastAsia="Arial" w:hAnsi="Calibri" w:cs="Calibri"/>
          <w:sz w:val="24"/>
          <w:szCs w:val="24"/>
          <w:lang w:eastAsia="pl-PL"/>
        </w:rPr>
        <w:t> </w:t>
      </w:r>
      <w:r w:rsidRPr="00D00185">
        <w:rPr>
          <w:rFonts w:ascii="Calibri" w:eastAsia="Arial" w:hAnsi="Calibri" w:cs="Calibri"/>
          <w:sz w:val="24"/>
          <w:szCs w:val="24"/>
          <w:lang w:eastAsia="pl-PL"/>
        </w:rPr>
        <w:t>weryfikacji wartości tych składników. Jak wynika z art. 26 ust. 3 pkt 1 ustawy o</w:t>
      </w:r>
      <w:r w:rsidR="00A67002">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rachunkowości termin i częstotliwość inwentaryzacji, określone w ust. 1, uważa się za dotrzymane, jeżeli inwentaryzację składników aktywów - z wyłączeniem aktywów pieniężnych, papierów wartościowych, produktów w toku produkcji oraz materiałów, towarów i produktów gotowych, określonych w art. 17 ust. 2 pkt 4 - rozpoczęto nie wcześniej niż 3 miesiące przed końcem roku obrotowego, a zakończono do 15 dnia następnego roku, ustalenie zaś stanu nastąpiło przez dopisanie lub odpisanie od stanu </w:t>
      </w:r>
      <w:r w:rsidRPr="00D00185">
        <w:rPr>
          <w:rFonts w:ascii="Calibri" w:eastAsia="Arial" w:hAnsi="Calibri" w:cs="Calibri"/>
          <w:sz w:val="24"/>
          <w:szCs w:val="24"/>
          <w:lang w:eastAsia="pl-PL"/>
        </w:rPr>
        <w:lastRenderedPageBreak/>
        <w:t>stwierdzonego drogą spisu z natury lub potwierdzenia salda – przychodów i rozchodów (zwiększeń i zmniejszeń), jakie nastąpiły między datą spisu lub potwierdzenia a dniem ustalenia stanu wynikającego z ksiąg rachunkowych, przy czym stan wynikający z ksiąg rachunkowych nie może być ustalony po dniu bilansowym.</w:t>
      </w:r>
    </w:p>
    <w:p w:rsidR="006E473E" w:rsidRPr="00D00185" w:rsidRDefault="006E473E" w:rsidP="006E473E">
      <w:pPr>
        <w:spacing w:after="0" w:line="360" w:lineRule="auto"/>
        <w:ind w:right="23"/>
        <w:rPr>
          <w:rFonts w:ascii="Calibri" w:eastAsia="Arial" w:hAnsi="Calibri" w:cs="Calibri"/>
          <w:sz w:val="24"/>
          <w:szCs w:val="24"/>
          <w:lang w:eastAsia="pl-PL"/>
        </w:rPr>
      </w:pPr>
      <w:r w:rsidRPr="00D00185">
        <w:rPr>
          <w:rFonts w:ascii="Calibri" w:eastAsia="Arial" w:hAnsi="Calibri" w:cs="Calibri"/>
          <w:sz w:val="24"/>
          <w:szCs w:val="24"/>
          <w:lang w:eastAsia="pl-PL"/>
        </w:rPr>
        <w:t>Zgodnie z art. 27 ww. ustawy przeprowadzenie i wyniki inwentaryzacji należy odpowiednio udokumentować i powiązać z zapisami ksiąg rachunkowych. Ujawnione w toku inwentaryzacji różnice między stanem rzeczywistym</w:t>
      </w:r>
      <w:r w:rsidR="00DC0445">
        <w:rPr>
          <w:rFonts w:ascii="Calibri" w:eastAsia="Arial" w:hAnsi="Calibri" w:cs="Calibri"/>
          <w:sz w:val="24"/>
          <w:szCs w:val="24"/>
          <w:lang w:eastAsia="pl-PL"/>
        </w:rPr>
        <w:t>,</w:t>
      </w:r>
      <w:r w:rsidRPr="00D00185">
        <w:rPr>
          <w:rFonts w:ascii="Calibri" w:eastAsia="Arial" w:hAnsi="Calibri" w:cs="Calibri"/>
          <w:sz w:val="24"/>
          <w:szCs w:val="24"/>
          <w:lang w:eastAsia="pl-PL"/>
        </w:rPr>
        <w:t xml:space="preserve"> a stanem wykazanym w księgach rachunkowych należy wyjaśnić i rozliczyć w księgach rachunkowych tego roku obrotowego, na który przypadał termin inwentaryzacji.”</w:t>
      </w:r>
      <w:r w:rsidR="00834D30">
        <w:rPr>
          <w:rFonts w:ascii="Calibri" w:eastAsia="Arial" w:hAnsi="Calibri" w:cs="Calibri"/>
          <w:sz w:val="24"/>
          <w:szCs w:val="24"/>
          <w:lang w:eastAsia="pl-PL"/>
        </w:rPr>
        <w:t>.</w:t>
      </w:r>
      <w:r w:rsidRPr="00D00185">
        <w:rPr>
          <w:rFonts w:ascii="Calibri" w:eastAsia="Arial" w:hAnsi="Calibri" w:cs="Calibri"/>
          <w:sz w:val="24"/>
          <w:szCs w:val="24"/>
          <w:lang w:eastAsia="pl-PL"/>
        </w:rPr>
        <w:t xml:space="preserve"> </w:t>
      </w:r>
    </w:p>
    <w:p w:rsidR="006E473E" w:rsidRPr="00D00185" w:rsidRDefault="006E473E" w:rsidP="006E473E">
      <w:pPr>
        <w:spacing w:after="0" w:line="360" w:lineRule="auto"/>
        <w:ind w:right="23"/>
        <w:rPr>
          <w:rFonts w:ascii="Calibri" w:eastAsia="Arial" w:hAnsi="Calibri" w:cs="Calibri"/>
          <w:sz w:val="24"/>
          <w:szCs w:val="24"/>
          <w:lang w:eastAsia="pl-PL"/>
        </w:rPr>
      </w:pPr>
      <w:r w:rsidRPr="00D00185">
        <w:rPr>
          <w:rFonts w:ascii="Calibri" w:eastAsia="Arial" w:hAnsi="Calibri" w:cs="Calibri"/>
          <w:sz w:val="24"/>
          <w:szCs w:val="24"/>
          <w:lang w:eastAsia="pl-PL"/>
        </w:rPr>
        <w:t xml:space="preserve">Wskazane wyżej przepisy były podstawą wydania przez Burmistrza Miasta i Gminy Zrządzenia nr 77/2015 z dnia 31 grudnia 2015 r. w sprawie wprowadzenia instrukcji gospodarki majątkiem trwałym gminy, inwentaryzacji majątku i zasad odpowiedzialności za powierzone mienie w Urzędzie </w:t>
      </w:r>
      <w:r w:rsidR="00DC0445">
        <w:rPr>
          <w:rFonts w:ascii="Calibri" w:eastAsia="Arial" w:hAnsi="Calibri" w:cs="Calibri"/>
          <w:sz w:val="24"/>
          <w:szCs w:val="24"/>
          <w:lang w:eastAsia="pl-PL"/>
        </w:rPr>
        <w:t>M</w:t>
      </w:r>
      <w:r w:rsidRPr="00D00185">
        <w:rPr>
          <w:rFonts w:ascii="Calibri" w:eastAsia="Arial" w:hAnsi="Calibri" w:cs="Calibri"/>
          <w:sz w:val="24"/>
          <w:szCs w:val="24"/>
          <w:lang w:eastAsia="pl-PL"/>
        </w:rPr>
        <w:t>iasta i Gminy</w:t>
      </w:r>
      <w:r w:rsidR="002B6525">
        <w:rPr>
          <w:rFonts w:ascii="Calibri" w:eastAsia="Arial" w:hAnsi="Calibri" w:cs="Calibri"/>
          <w:sz w:val="24"/>
          <w:szCs w:val="24"/>
          <w:lang w:eastAsia="pl-PL"/>
        </w:rPr>
        <w:t xml:space="preserve"> (...) </w:t>
      </w:r>
      <w:r w:rsidRPr="00D00185">
        <w:rPr>
          <w:rFonts w:ascii="Calibri" w:eastAsia="Arial" w:hAnsi="Calibri" w:cs="Calibri"/>
          <w:sz w:val="24"/>
          <w:szCs w:val="24"/>
          <w:lang w:eastAsia="pl-PL"/>
        </w:rPr>
        <w:t>. Zarządzenie zostało następnie zmienione Zarządzeniami nr 63/2017 z dnia 14 grudnia 2017 r. oraz nr 59/2017 z</w:t>
      </w:r>
      <w:r w:rsidR="00834D30">
        <w:rPr>
          <w:rFonts w:ascii="Calibri" w:eastAsia="Arial" w:hAnsi="Calibri" w:cs="Calibri"/>
          <w:sz w:val="24"/>
          <w:szCs w:val="24"/>
          <w:lang w:eastAsia="pl-PL"/>
        </w:rPr>
        <w:t> </w:t>
      </w:r>
      <w:r w:rsidRPr="00D00185">
        <w:rPr>
          <w:rFonts w:ascii="Calibri" w:eastAsia="Arial" w:hAnsi="Calibri" w:cs="Calibri"/>
          <w:sz w:val="24"/>
          <w:szCs w:val="24"/>
          <w:lang w:eastAsia="pl-PL"/>
        </w:rPr>
        <w:t>dnia 28 listopad 2017 r. W sprawie przeprowadzenia rocznej inwentaryzacji w Gminie</w:t>
      </w:r>
      <w:r w:rsidR="002B6525">
        <w:rPr>
          <w:rFonts w:ascii="Calibri" w:eastAsia="Arial" w:hAnsi="Calibri" w:cs="Calibri"/>
          <w:sz w:val="24"/>
          <w:szCs w:val="24"/>
          <w:lang w:eastAsia="pl-PL"/>
        </w:rPr>
        <w:t xml:space="preserve"> (...) </w:t>
      </w:r>
      <w:r w:rsidRPr="00D00185">
        <w:rPr>
          <w:rFonts w:ascii="Calibri" w:eastAsia="Arial" w:hAnsi="Calibri" w:cs="Calibri"/>
          <w:sz w:val="24"/>
          <w:szCs w:val="24"/>
          <w:lang w:eastAsia="pl-PL"/>
        </w:rPr>
        <w:t xml:space="preserve"> za 2017 r. Z ustalonych regulacji wynikało, że inwentaryzacja powinna zostać przeprowadzona w terminie od dnia 30 listopada 2017 r. do dnia 15 styczni</w:t>
      </w:r>
      <w:r w:rsidR="00DC0445">
        <w:rPr>
          <w:rFonts w:ascii="Calibri" w:eastAsia="Arial" w:hAnsi="Calibri" w:cs="Calibri"/>
          <w:sz w:val="24"/>
          <w:szCs w:val="24"/>
          <w:lang w:eastAsia="pl-PL"/>
        </w:rPr>
        <w:t>a</w:t>
      </w:r>
      <w:r w:rsidRPr="00D00185">
        <w:rPr>
          <w:rFonts w:ascii="Calibri" w:eastAsia="Arial" w:hAnsi="Calibri" w:cs="Calibri"/>
          <w:sz w:val="24"/>
          <w:szCs w:val="24"/>
          <w:lang w:eastAsia="pl-PL"/>
        </w:rPr>
        <w:t xml:space="preserve"> 2018 r. według stanu na dzień 31 grudnia 2017 r.</w:t>
      </w:r>
    </w:p>
    <w:p w:rsidR="006E473E" w:rsidRPr="00D00185" w:rsidRDefault="006E473E" w:rsidP="006E473E">
      <w:pPr>
        <w:spacing w:after="0" w:line="360" w:lineRule="auto"/>
        <w:ind w:right="20"/>
        <w:rPr>
          <w:rFonts w:ascii="Calibri" w:eastAsia="Arial" w:hAnsi="Calibri" w:cs="Calibri"/>
          <w:sz w:val="24"/>
          <w:szCs w:val="24"/>
          <w:lang w:eastAsia="pl-PL"/>
        </w:rPr>
      </w:pPr>
      <w:r w:rsidRPr="00D00185">
        <w:rPr>
          <w:rFonts w:ascii="Calibri" w:eastAsia="Arial" w:hAnsi="Calibri" w:cs="Calibri"/>
          <w:sz w:val="24"/>
          <w:szCs w:val="24"/>
          <w:lang w:eastAsia="pl-PL"/>
        </w:rPr>
        <w:t>Działania inwentaryzacyjne przeprowadzone na podstawie wymienionych wyżej regulacji były przedmiotem przeprowadzonej przez RIO kontroli kompleksowej gospodarki finansowej Miasta i Gminy</w:t>
      </w:r>
      <w:r w:rsidR="002B6525">
        <w:rPr>
          <w:rFonts w:ascii="Calibri" w:eastAsia="Arial" w:hAnsi="Calibri" w:cs="Calibri"/>
          <w:sz w:val="24"/>
          <w:szCs w:val="24"/>
          <w:lang w:eastAsia="pl-PL"/>
        </w:rPr>
        <w:t xml:space="preserve"> (...) </w:t>
      </w:r>
      <w:r w:rsidRPr="00D00185">
        <w:rPr>
          <w:rFonts w:ascii="Calibri" w:eastAsia="Arial" w:hAnsi="Calibri" w:cs="Calibri"/>
          <w:sz w:val="24"/>
          <w:szCs w:val="24"/>
          <w:lang w:eastAsia="pl-PL"/>
        </w:rPr>
        <w:t>. Z przedłożonej w trakcie kontroli RIO dokumentacji dotyczącej inwentaryzacji środków trwałych (w tym gruntów) wynika, że dokonana w toku inwentaryzacji weryfikacja środków trwałych na dzień 31 grudnia 2017 r. potwierdziła wartość gruntów w kwocie 7.548.661,76 zł oraz zgodność tych danych z Księgami Inwentarzowymi Środki Trwałe. Ta sama wartość gruntów została wykazana również w</w:t>
      </w:r>
      <w:r w:rsidR="00A67002">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bilansie wg. stanu na </w:t>
      </w:r>
      <w:r w:rsidR="00DC0445">
        <w:rPr>
          <w:rFonts w:ascii="Calibri" w:eastAsia="Arial" w:hAnsi="Calibri" w:cs="Calibri"/>
          <w:sz w:val="24"/>
          <w:szCs w:val="24"/>
          <w:lang w:eastAsia="pl-PL"/>
        </w:rPr>
        <w:t xml:space="preserve">dzień </w:t>
      </w:r>
      <w:r w:rsidRPr="00D00185">
        <w:rPr>
          <w:rFonts w:ascii="Calibri" w:eastAsia="Arial" w:hAnsi="Calibri" w:cs="Calibri"/>
          <w:sz w:val="24"/>
          <w:szCs w:val="24"/>
          <w:lang w:eastAsia="pl-PL"/>
        </w:rPr>
        <w:t xml:space="preserve">31 grudnia 2017 r., w poz. A.II.1.1. Grunty. </w:t>
      </w:r>
    </w:p>
    <w:p w:rsidR="006E473E" w:rsidRPr="00D00185" w:rsidRDefault="006E473E" w:rsidP="006E473E">
      <w:pPr>
        <w:spacing w:after="0" w:line="360" w:lineRule="auto"/>
        <w:rPr>
          <w:rFonts w:ascii="Calibri" w:eastAsia="Arial" w:hAnsi="Calibri" w:cs="Calibri"/>
          <w:sz w:val="24"/>
          <w:szCs w:val="24"/>
          <w:lang w:eastAsia="pl-PL"/>
        </w:rPr>
      </w:pPr>
      <w:r w:rsidRPr="00D00185">
        <w:rPr>
          <w:rFonts w:ascii="Calibri" w:eastAsia="Arial" w:hAnsi="Calibri" w:cs="Calibri"/>
          <w:sz w:val="24"/>
          <w:szCs w:val="24"/>
          <w:lang w:eastAsia="pl-PL"/>
        </w:rPr>
        <w:t>Jednocześnie w toku działań kontrolnych stwierdzono, że w powyższej wartości gruntów nie uwzględniono 25 nieruchomości gruntowych, które stanowiły własność Miasta i Gminy</w:t>
      </w:r>
      <w:r w:rsidR="002B6525">
        <w:rPr>
          <w:rFonts w:ascii="Calibri" w:eastAsia="Arial" w:hAnsi="Calibri" w:cs="Calibri"/>
          <w:sz w:val="24"/>
          <w:szCs w:val="24"/>
          <w:lang w:eastAsia="pl-PL"/>
        </w:rPr>
        <w:t xml:space="preserve"> (...) </w:t>
      </w:r>
      <w:r w:rsidRPr="00D00185">
        <w:rPr>
          <w:rFonts w:ascii="Calibri" w:eastAsia="Arial" w:hAnsi="Calibri" w:cs="Calibri"/>
          <w:sz w:val="24"/>
          <w:szCs w:val="24"/>
          <w:lang w:eastAsia="pl-PL"/>
        </w:rPr>
        <w:t>, o łącznej wartości 5.359.812,00 zł i o łącznej powierzchni 7,04 ha.   Powyższe dotyczy 25 działek , z których:</w:t>
      </w:r>
    </w:p>
    <w:p w:rsidR="006E473E" w:rsidRPr="00B173AD" w:rsidRDefault="006E473E" w:rsidP="009F4220">
      <w:pPr>
        <w:pStyle w:val="Akapitzlist"/>
        <w:numPr>
          <w:ilvl w:val="0"/>
          <w:numId w:val="2"/>
        </w:numPr>
        <w:spacing w:after="0" w:line="360" w:lineRule="auto"/>
        <w:ind w:left="426" w:right="20"/>
        <w:rPr>
          <w:rFonts w:ascii="Calibri" w:eastAsia="Arial" w:hAnsi="Calibri" w:cs="Calibri"/>
          <w:sz w:val="24"/>
          <w:szCs w:val="24"/>
          <w:lang w:eastAsia="pl-PL"/>
        </w:rPr>
      </w:pPr>
      <w:r w:rsidRPr="00B173AD">
        <w:rPr>
          <w:rFonts w:ascii="Calibri" w:eastAsia="Arial" w:hAnsi="Calibri" w:cs="Calibri"/>
          <w:sz w:val="24"/>
          <w:szCs w:val="24"/>
          <w:lang w:eastAsia="pl-PL"/>
        </w:rPr>
        <w:t>17 zostało przekazanych nieodpłatnie Gminie</w:t>
      </w:r>
      <w:r w:rsidR="002B6525">
        <w:rPr>
          <w:rFonts w:ascii="Calibri" w:eastAsia="Arial" w:hAnsi="Calibri" w:cs="Calibri"/>
          <w:sz w:val="24"/>
          <w:szCs w:val="24"/>
          <w:lang w:eastAsia="pl-PL"/>
        </w:rPr>
        <w:t xml:space="preserve"> (...) </w:t>
      </w:r>
      <w:r w:rsidRPr="00B173AD">
        <w:rPr>
          <w:rFonts w:ascii="Calibri" w:eastAsia="Arial" w:hAnsi="Calibri" w:cs="Calibri"/>
          <w:sz w:val="24"/>
          <w:szCs w:val="24"/>
          <w:lang w:eastAsia="pl-PL"/>
        </w:rPr>
        <w:t xml:space="preserve"> w drodze decyzji Wojewody Małopolskiego, które stały się prawomocne w roku 2017, </w:t>
      </w:r>
    </w:p>
    <w:p w:rsidR="006E473E" w:rsidRPr="00D00185" w:rsidRDefault="006E473E" w:rsidP="009F4220">
      <w:pPr>
        <w:numPr>
          <w:ilvl w:val="0"/>
          <w:numId w:val="3"/>
        </w:numPr>
        <w:spacing w:after="0" w:line="360" w:lineRule="auto"/>
        <w:ind w:right="20"/>
        <w:contextualSpacing/>
        <w:rPr>
          <w:rFonts w:ascii="Calibri" w:eastAsia="Arial" w:hAnsi="Calibri" w:cs="Calibri"/>
          <w:sz w:val="24"/>
          <w:szCs w:val="24"/>
          <w:lang w:eastAsia="pl-PL"/>
        </w:rPr>
      </w:pPr>
      <w:r w:rsidRPr="00D00185">
        <w:rPr>
          <w:rFonts w:ascii="Calibri" w:eastAsia="Arial" w:hAnsi="Calibri" w:cs="Calibri"/>
          <w:sz w:val="24"/>
          <w:szCs w:val="24"/>
          <w:lang w:eastAsia="pl-PL"/>
        </w:rPr>
        <w:lastRenderedPageBreak/>
        <w:t>1 została przekazana nieodpłatnie Gminie</w:t>
      </w:r>
      <w:r w:rsidR="002B6525">
        <w:rPr>
          <w:rFonts w:ascii="Calibri" w:eastAsia="Arial" w:hAnsi="Calibri" w:cs="Calibri"/>
          <w:sz w:val="24"/>
          <w:szCs w:val="24"/>
          <w:lang w:eastAsia="pl-PL"/>
        </w:rPr>
        <w:t xml:space="preserve"> (...) </w:t>
      </w:r>
      <w:r w:rsidRPr="00D00185">
        <w:rPr>
          <w:rFonts w:ascii="Calibri" w:eastAsia="Arial" w:hAnsi="Calibri" w:cs="Calibri"/>
          <w:sz w:val="24"/>
          <w:szCs w:val="24"/>
          <w:lang w:eastAsia="pl-PL"/>
        </w:rPr>
        <w:t xml:space="preserve"> w drodze decyzji Wojewody Małopolskiego, która stała się prawomocna w roku 2011,</w:t>
      </w:r>
    </w:p>
    <w:p w:rsidR="006E473E" w:rsidRPr="00D00185" w:rsidRDefault="006E473E" w:rsidP="009F4220">
      <w:pPr>
        <w:numPr>
          <w:ilvl w:val="0"/>
          <w:numId w:val="4"/>
        </w:numPr>
        <w:spacing w:after="0" w:line="360" w:lineRule="auto"/>
        <w:ind w:right="20"/>
        <w:contextualSpacing/>
        <w:rPr>
          <w:rFonts w:ascii="Calibri" w:eastAsia="Arial" w:hAnsi="Calibri" w:cs="Calibri"/>
          <w:sz w:val="24"/>
          <w:szCs w:val="24"/>
          <w:lang w:eastAsia="pl-PL"/>
        </w:rPr>
      </w:pPr>
      <w:r w:rsidRPr="00D00185">
        <w:rPr>
          <w:rFonts w:ascii="Calibri" w:eastAsia="Arial" w:hAnsi="Calibri" w:cs="Calibri"/>
          <w:sz w:val="24"/>
          <w:szCs w:val="24"/>
          <w:lang w:eastAsia="pl-PL"/>
        </w:rPr>
        <w:t>4 przeszły na własność Gminy</w:t>
      </w:r>
      <w:r w:rsidR="002B6525">
        <w:rPr>
          <w:rFonts w:ascii="Calibri" w:eastAsia="Arial" w:hAnsi="Calibri" w:cs="Calibri"/>
          <w:sz w:val="24"/>
          <w:szCs w:val="24"/>
          <w:lang w:eastAsia="pl-PL"/>
        </w:rPr>
        <w:t xml:space="preserve"> (...) </w:t>
      </w:r>
      <w:r w:rsidRPr="00D00185">
        <w:rPr>
          <w:rFonts w:ascii="Calibri" w:eastAsia="Arial" w:hAnsi="Calibri" w:cs="Calibri"/>
          <w:sz w:val="24"/>
          <w:szCs w:val="24"/>
          <w:lang w:eastAsia="pl-PL"/>
        </w:rPr>
        <w:t xml:space="preserve"> w wyniku Decyzji Urzędu Rejonowego w</w:t>
      </w:r>
      <w:r w:rsidR="00A67002">
        <w:rPr>
          <w:rFonts w:ascii="Calibri" w:eastAsia="Arial" w:hAnsi="Calibri" w:cs="Calibri"/>
          <w:sz w:val="24"/>
          <w:szCs w:val="24"/>
          <w:lang w:eastAsia="pl-PL"/>
        </w:rPr>
        <w:t> </w:t>
      </w:r>
      <w:r w:rsidRPr="00D00185">
        <w:rPr>
          <w:rFonts w:ascii="Calibri" w:eastAsia="Arial" w:hAnsi="Calibri" w:cs="Calibri"/>
          <w:sz w:val="24"/>
          <w:szCs w:val="24"/>
          <w:lang w:eastAsia="pl-PL"/>
        </w:rPr>
        <w:t>Krakowi</w:t>
      </w:r>
      <w:r w:rsidR="001C2F5A">
        <w:rPr>
          <w:rFonts w:ascii="Calibri" w:eastAsia="Arial" w:hAnsi="Calibri" w:cs="Calibri"/>
          <w:sz w:val="24"/>
          <w:szCs w:val="24"/>
          <w:lang w:eastAsia="pl-PL"/>
        </w:rPr>
        <w:t>e </w:t>
      </w:r>
      <w:r w:rsidRPr="00D00185">
        <w:rPr>
          <w:rFonts w:ascii="Calibri" w:eastAsia="Arial" w:hAnsi="Calibri" w:cs="Calibri"/>
          <w:sz w:val="24"/>
          <w:szCs w:val="24"/>
          <w:lang w:eastAsia="pl-PL"/>
        </w:rPr>
        <w:t>(z 1995 r. i 1997 r.),</w:t>
      </w:r>
    </w:p>
    <w:p w:rsidR="006E473E" w:rsidRPr="00B173AD" w:rsidRDefault="006E473E" w:rsidP="009F4220">
      <w:pPr>
        <w:pStyle w:val="Akapitzlist"/>
        <w:numPr>
          <w:ilvl w:val="0"/>
          <w:numId w:val="7"/>
        </w:numPr>
        <w:spacing w:after="0" w:line="360" w:lineRule="auto"/>
        <w:ind w:left="426" w:right="20"/>
        <w:rPr>
          <w:rFonts w:ascii="Calibri" w:eastAsia="Arial" w:hAnsi="Calibri" w:cs="Calibri"/>
          <w:sz w:val="24"/>
          <w:szCs w:val="24"/>
          <w:lang w:eastAsia="pl-PL"/>
        </w:rPr>
      </w:pPr>
      <w:r w:rsidRPr="00B173AD">
        <w:rPr>
          <w:rFonts w:ascii="Calibri" w:eastAsia="Arial" w:hAnsi="Calibri" w:cs="Calibri"/>
          <w:sz w:val="24"/>
          <w:szCs w:val="24"/>
          <w:lang w:eastAsia="pl-PL"/>
        </w:rPr>
        <w:t>1 przeszła na własność Gminy w wyniku decyzji Urzędu Miasta i Gminy</w:t>
      </w:r>
      <w:r w:rsidR="002B6525">
        <w:rPr>
          <w:rFonts w:ascii="Calibri" w:eastAsia="Arial" w:hAnsi="Calibri" w:cs="Calibri"/>
          <w:sz w:val="24"/>
          <w:szCs w:val="24"/>
          <w:lang w:eastAsia="pl-PL"/>
        </w:rPr>
        <w:t xml:space="preserve"> (...) </w:t>
      </w:r>
      <w:r w:rsidRPr="00B173AD">
        <w:rPr>
          <w:rFonts w:ascii="Calibri" w:eastAsia="Arial" w:hAnsi="Calibri" w:cs="Calibri"/>
          <w:sz w:val="24"/>
          <w:szCs w:val="24"/>
          <w:lang w:eastAsia="pl-PL"/>
        </w:rPr>
        <w:t xml:space="preserve"> z</w:t>
      </w:r>
      <w:r w:rsidR="00A67002">
        <w:rPr>
          <w:rFonts w:ascii="Calibri" w:eastAsia="Arial" w:hAnsi="Calibri" w:cs="Calibri"/>
          <w:sz w:val="24"/>
          <w:szCs w:val="24"/>
          <w:lang w:eastAsia="pl-PL"/>
        </w:rPr>
        <w:t> </w:t>
      </w:r>
      <w:r w:rsidRPr="00B173AD">
        <w:rPr>
          <w:rFonts w:ascii="Calibri" w:eastAsia="Arial" w:hAnsi="Calibri" w:cs="Calibri"/>
          <w:sz w:val="24"/>
          <w:szCs w:val="24"/>
          <w:lang w:eastAsia="pl-PL"/>
        </w:rPr>
        <w:t xml:space="preserve">roku 1999, </w:t>
      </w:r>
    </w:p>
    <w:p w:rsidR="006E473E" w:rsidRPr="00D00185" w:rsidRDefault="006E473E" w:rsidP="009F4220">
      <w:pPr>
        <w:numPr>
          <w:ilvl w:val="0"/>
          <w:numId w:val="5"/>
        </w:numPr>
        <w:spacing w:after="0" w:line="360" w:lineRule="auto"/>
        <w:ind w:right="20"/>
        <w:contextualSpacing/>
        <w:rPr>
          <w:rFonts w:ascii="Calibri" w:eastAsia="Arial" w:hAnsi="Calibri" w:cs="Calibri"/>
          <w:sz w:val="24"/>
          <w:szCs w:val="24"/>
          <w:lang w:eastAsia="pl-PL"/>
        </w:rPr>
      </w:pPr>
      <w:r w:rsidRPr="00D00185">
        <w:rPr>
          <w:rFonts w:ascii="Calibri" w:eastAsia="Arial" w:hAnsi="Calibri" w:cs="Calibri"/>
          <w:sz w:val="24"/>
          <w:szCs w:val="24"/>
          <w:lang w:eastAsia="pl-PL"/>
        </w:rPr>
        <w:t>1 stała się własnością Gminy na podstawie aktu notarialnego z 2011 r.,</w:t>
      </w:r>
    </w:p>
    <w:p w:rsidR="006E473E" w:rsidRPr="00D00185" w:rsidRDefault="006E473E" w:rsidP="009F4220">
      <w:pPr>
        <w:numPr>
          <w:ilvl w:val="0"/>
          <w:numId w:val="6"/>
        </w:numPr>
        <w:spacing w:after="0" w:line="360" w:lineRule="auto"/>
        <w:ind w:right="20"/>
        <w:contextualSpacing/>
        <w:rPr>
          <w:rFonts w:ascii="Calibri" w:eastAsia="Arial" w:hAnsi="Calibri" w:cs="Calibri"/>
          <w:sz w:val="24"/>
          <w:szCs w:val="24"/>
          <w:lang w:eastAsia="pl-PL"/>
        </w:rPr>
      </w:pPr>
      <w:r w:rsidRPr="00D00185">
        <w:rPr>
          <w:rFonts w:ascii="Calibri" w:eastAsia="Arial" w:hAnsi="Calibri" w:cs="Calibri"/>
          <w:sz w:val="24"/>
          <w:szCs w:val="24"/>
          <w:lang w:eastAsia="pl-PL"/>
        </w:rPr>
        <w:t xml:space="preserve"> 1 działka na podstawie Postanowienia Sądu Rejonowego w </w:t>
      </w:r>
      <w:r w:rsidR="001C2F5A">
        <w:rPr>
          <w:rFonts w:ascii="Calibri" w:eastAsia="Arial" w:hAnsi="Calibri" w:cs="Calibri"/>
          <w:sz w:val="24"/>
          <w:szCs w:val="24"/>
          <w:lang w:eastAsia="pl-PL"/>
        </w:rPr>
        <w:t>(...)</w:t>
      </w:r>
      <w:r w:rsidRPr="00D00185">
        <w:rPr>
          <w:rFonts w:ascii="Calibri" w:eastAsia="Arial" w:hAnsi="Calibri" w:cs="Calibri"/>
          <w:sz w:val="24"/>
          <w:szCs w:val="24"/>
          <w:lang w:eastAsia="pl-PL"/>
        </w:rPr>
        <w:t xml:space="preserve"> z 2016 r.</w:t>
      </w:r>
    </w:p>
    <w:p w:rsidR="006E473E" w:rsidRPr="00D00185" w:rsidRDefault="006E473E" w:rsidP="006E473E">
      <w:pPr>
        <w:spacing w:before="120" w:after="0" w:line="360" w:lineRule="auto"/>
        <w:ind w:left="23" w:right="23"/>
        <w:rPr>
          <w:rFonts w:ascii="Calibri" w:eastAsia="Arial" w:hAnsi="Calibri" w:cs="Calibri"/>
          <w:sz w:val="24"/>
          <w:szCs w:val="24"/>
          <w:lang w:eastAsia="pl-PL"/>
        </w:rPr>
      </w:pPr>
      <w:r w:rsidRPr="00D00185">
        <w:rPr>
          <w:rFonts w:ascii="Calibri" w:eastAsia="Arial" w:hAnsi="Calibri" w:cs="Calibri"/>
          <w:sz w:val="24"/>
          <w:szCs w:val="24"/>
          <w:lang w:eastAsia="pl-PL"/>
        </w:rPr>
        <w:t>Na podstawie zgromadzonego w sprawie materiału dowodowego RKO potwierdziła, iż</w:t>
      </w:r>
      <w:r w:rsidR="00D71A82">
        <w:rPr>
          <w:rFonts w:ascii="Calibri" w:eastAsia="Arial" w:hAnsi="Calibri" w:cs="Calibri"/>
          <w:sz w:val="24"/>
          <w:szCs w:val="24"/>
          <w:lang w:eastAsia="pl-PL"/>
        </w:rPr>
        <w:t> </w:t>
      </w:r>
      <w:r w:rsidRPr="00D00185">
        <w:rPr>
          <w:rFonts w:ascii="Calibri" w:eastAsia="Arial" w:hAnsi="Calibri" w:cs="Calibri"/>
          <w:sz w:val="24"/>
          <w:szCs w:val="24"/>
          <w:lang w:eastAsia="pl-PL"/>
        </w:rPr>
        <w:t>inwentaryzacja przeprowadzona na dzień 31 grudnia 2017 r. nie doprowadziła do ujawnienia różnic w stanie nieruchomości. Ustalenia były w tym zakresie spójne z</w:t>
      </w:r>
      <w:r w:rsidR="00A67002">
        <w:rPr>
          <w:rFonts w:ascii="Calibri" w:eastAsia="Arial" w:hAnsi="Calibri" w:cs="Calibri"/>
          <w:sz w:val="24"/>
          <w:szCs w:val="24"/>
          <w:lang w:eastAsia="pl-PL"/>
        </w:rPr>
        <w:t> </w:t>
      </w:r>
      <w:r w:rsidRPr="00D00185">
        <w:rPr>
          <w:rFonts w:ascii="Calibri" w:eastAsia="Arial" w:hAnsi="Calibri" w:cs="Calibri"/>
          <w:sz w:val="24"/>
          <w:szCs w:val="24"/>
          <w:lang w:eastAsia="pl-PL"/>
        </w:rPr>
        <w:t>poczynionymi przez Rzecznika w toku prowadzonego post</w:t>
      </w:r>
      <w:r w:rsidR="00DC0445">
        <w:rPr>
          <w:rFonts w:ascii="Calibri" w:eastAsia="Arial" w:hAnsi="Calibri" w:cs="Calibri"/>
          <w:sz w:val="24"/>
          <w:szCs w:val="24"/>
          <w:lang w:eastAsia="pl-PL"/>
        </w:rPr>
        <w:t>ę</w:t>
      </w:r>
      <w:r w:rsidRPr="00D00185">
        <w:rPr>
          <w:rFonts w:ascii="Calibri" w:eastAsia="Arial" w:hAnsi="Calibri" w:cs="Calibri"/>
          <w:sz w:val="24"/>
          <w:szCs w:val="24"/>
          <w:lang w:eastAsia="pl-PL"/>
        </w:rPr>
        <w:t>powania wyjaśniającego. Komisja I instancji stwierdziła, iż nie objęto inwentaryzacją drogą porównania danych ksiąg rachunkowych z odpowiednimi dokumentami w terminie do 15 stycznia 2018 r. wymienionych wyżej nieruchomości gruntowych. „W wyniku tej nieprawidłowości w trakcie czynności inwentaryzacyjnych nie ujawniono różnic pomiędzy stanem faktycznym nieruchomości gruntowych Miasta i Gminy</w:t>
      </w:r>
      <w:r w:rsidR="002B6525">
        <w:rPr>
          <w:rFonts w:ascii="Calibri" w:eastAsia="Arial" w:hAnsi="Calibri" w:cs="Calibri"/>
          <w:sz w:val="24"/>
          <w:szCs w:val="24"/>
          <w:lang w:eastAsia="pl-PL"/>
        </w:rPr>
        <w:t xml:space="preserve"> (...) </w:t>
      </w:r>
      <w:r w:rsidRPr="00D00185">
        <w:rPr>
          <w:rFonts w:ascii="Calibri" w:eastAsia="Arial" w:hAnsi="Calibri" w:cs="Calibri"/>
          <w:sz w:val="24"/>
          <w:szCs w:val="24"/>
          <w:lang w:eastAsia="pl-PL"/>
        </w:rPr>
        <w:t>, a danymi wynikającymi z</w:t>
      </w:r>
      <w:r w:rsidR="00A67002">
        <w:rPr>
          <w:rFonts w:ascii="Calibri" w:eastAsia="Arial" w:hAnsi="Calibri" w:cs="Calibri"/>
          <w:sz w:val="24"/>
          <w:szCs w:val="24"/>
          <w:lang w:eastAsia="pl-PL"/>
        </w:rPr>
        <w:t> </w:t>
      </w:r>
      <w:r w:rsidRPr="00D00185">
        <w:rPr>
          <w:rFonts w:ascii="Calibri" w:eastAsia="Arial" w:hAnsi="Calibri" w:cs="Calibri"/>
          <w:sz w:val="24"/>
          <w:szCs w:val="24"/>
          <w:lang w:eastAsia="pl-PL"/>
        </w:rPr>
        <w:t>ewidencji księgowej konta 011.” Tym samym Komisja uznała za udowodniony zarzut nieprawidłowego przeprowadzenia na dzień 31 grudnia 2017 r. inwentaryzacji środków trwałych w zakresie obejmującym grunty. RKO wskazała, iż: „Z art. 4 ust. 3 pkt 3 ustawy o</w:t>
      </w:r>
      <w:r w:rsidR="00A67002">
        <w:rPr>
          <w:rFonts w:ascii="Calibri" w:eastAsia="Arial" w:hAnsi="Calibri" w:cs="Calibri"/>
          <w:sz w:val="24"/>
          <w:szCs w:val="24"/>
          <w:lang w:eastAsia="pl-PL"/>
        </w:rPr>
        <w:t> </w:t>
      </w:r>
      <w:r w:rsidRPr="00D00185">
        <w:rPr>
          <w:rFonts w:ascii="Calibri" w:eastAsia="Arial" w:hAnsi="Calibri" w:cs="Calibri"/>
          <w:sz w:val="24"/>
          <w:szCs w:val="24"/>
          <w:lang w:eastAsia="pl-PL"/>
        </w:rPr>
        <w:t>rachunkowości wynika, że inwentaryzacja polega na okresowym ustaleniu lub sprawdzeniu rzeczywistego stanu aktywów i pasywów i obejmuje postępowanie polegające na ustaleniu rzeczywistego stanu składników majątkowych i długów jednostki w celu zweryfikowania danych o ich pochodzeniu, porównaniu wyników ustaleń inwentaryzacyjnych z danymi z ewidencji</w:t>
      </w:r>
      <w:r w:rsidR="00DC0445">
        <w:rPr>
          <w:rFonts w:ascii="Calibri" w:eastAsia="Arial" w:hAnsi="Calibri" w:cs="Calibri"/>
          <w:sz w:val="24"/>
          <w:szCs w:val="24"/>
          <w:lang w:eastAsia="pl-PL"/>
        </w:rPr>
        <w:t>,</w:t>
      </w:r>
      <w:r w:rsidRPr="00D00185">
        <w:rPr>
          <w:rFonts w:ascii="Calibri" w:eastAsia="Arial" w:hAnsi="Calibri" w:cs="Calibri"/>
          <w:sz w:val="24"/>
          <w:szCs w:val="24"/>
          <w:lang w:eastAsia="pl-PL"/>
        </w:rPr>
        <w:t xml:space="preserve"> wyjaśnienie i rozliczenie ewentualnych różnic inwentaryzacyjnych w księgach rachunkowych. Jak wynika z ugruntowanej i jednolitej linii orzeczniczej Głównej Komisji Orzekającej w Sprawach o Naruszenie Dyscypliny Finansów Publicznych wszelkie odstępstwa od „warunków inwentaryzowania wynikających z ustawy o</w:t>
      </w:r>
      <w:r w:rsidR="00A67002">
        <w:rPr>
          <w:rFonts w:ascii="Calibri" w:eastAsia="Arial" w:hAnsi="Calibri" w:cs="Calibri"/>
          <w:sz w:val="24"/>
          <w:szCs w:val="24"/>
          <w:lang w:eastAsia="pl-PL"/>
        </w:rPr>
        <w:t> </w:t>
      </w:r>
      <w:r w:rsidRPr="00D00185">
        <w:rPr>
          <w:rFonts w:ascii="Calibri" w:eastAsia="Arial" w:hAnsi="Calibri" w:cs="Calibri"/>
          <w:sz w:val="24"/>
          <w:szCs w:val="24"/>
          <w:lang w:eastAsia="pl-PL"/>
        </w:rPr>
        <w:t>rachunkowości, a więc zarówno niepodjęcie inwentaryzacji jak i niepełne jej przeprowadzenie, czy też przeprowadzenie jej w taki sposób, że nie zostanie odzwierciedlony stan rzeczywisty wszystkich składników majątkowych danej jednostki, musi skutkować odpowiedzialnością sprawcy" (orzeczenie z 6 października 2003 r., sygn. DF/GKO/Odw.-29/45-46/2003, LEX nr 81706).</w:t>
      </w:r>
    </w:p>
    <w:p w:rsidR="006E473E" w:rsidRPr="00D00185" w:rsidRDefault="006E473E" w:rsidP="006E473E">
      <w:pPr>
        <w:spacing w:after="0" w:line="360" w:lineRule="auto"/>
        <w:ind w:right="20"/>
        <w:rPr>
          <w:rFonts w:ascii="Calibri" w:eastAsia="Arial" w:hAnsi="Calibri" w:cs="Calibri"/>
          <w:sz w:val="24"/>
          <w:szCs w:val="24"/>
          <w:lang w:eastAsia="pl-PL"/>
        </w:rPr>
      </w:pPr>
      <w:r w:rsidRPr="00D00185">
        <w:rPr>
          <w:rFonts w:ascii="Calibri" w:eastAsia="Arial" w:hAnsi="Calibri" w:cs="Calibri"/>
          <w:sz w:val="24"/>
          <w:szCs w:val="24"/>
          <w:lang w:eastAsia="pl-PL"/>
        </w:rPr>
        <w:lastRenderedPageBreak/>
        <w:t>Zgodnie z art. 18 pkt 1 ustawy o odpowiedzialności za naruszenie dyscypliny finansów publicznych, naruszeniem dyscypliny finansów publicznych jest zaniechanie przeprowadzenia lub rozliczenia inwentaryzacji albo przeprowadzenie lub rozliczenie inwentaryzacji w sposób niezgodny z przepisami ustawy o rachunkowości.”</w:t>
      </w:r>
      <w:r w:rsidR="00834D30">
        <w:rPr>
          <w:rFonts w:ascii="Calibri" w:eastAsia="Arial" w:hAnsi="Calibri" w:cs="Calibri"/>
          <w:sz w:val="24"/>
          <w:szCs w:val="24"/>
          <w:lang w:eastAsia="pl-PL"/>
        </w:rPr>
        <w:t>.</w:t>
      </w:r>
    </w:p>
    <w:p w:rsidR="006E473E" w:rsidRPr="00D00185" w:rsidRDefault="006E473E" w:rsidP="006E473E">
      <w:pPr>
        <w:spacing w:before="120" w:after="0" w:line="360" w:lineRule="auto"/>
        <w:ind w:left="23" w:right="23"/>
        <w:rPr>
          <w:rFonts w:ascii="Calibri" w:eastAsia="Arial" w:hAnsi="Calibri" w:cs="Calibri"/>
          <w:sz w:val="24"/>
          <w:szCs w:val="24"/>
          <w:lang w:eastAsia="pl-PL"/>
        </w:rPr>
      </w:pPr>
      <w:r w:rsidRPr="00D00185">
        <w:rPr>
          <w:rFonts w:ascii="Calibri" w:eastAsia="Arial" w:hAnsi="Calibri" w:cs="Calibri"/>
          <w:sz w:val="24"/>
          <w:szCs w:val="24"/>
          <w:lang w:eastAsia="pl-PL"/>
        </w:rPr>
        <w:t>W toku prowadzonego postępowania Obwiniony wyjaśnił okoliczności związane z</w:t>
      </w:r>
      <w:r w:rsidR="00A67002">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prowadzeniem działań inwentaryzacyjnych w jednostce. W opinii Obwinionego zaistniała nieprawidłowość była najprawdopodobniej wynikiem braku odpowiedniej koordynacji pomiędzy Wydziałem Geodezji a Wydziałem Finansowym. Zaznaczył przy tym, że pracownicy merytoryczni zobowiązani byli do niezwłocznego przekazywania dokumentów dotyczących zmiany w aktywach Gminy, w tym nieruchomości. Obwiniony stwierdził, że podpisał protokół inwentaryzacyjny w dobrej wierze, zakładając, że powołana komisja inwentaryzacyjna złożona z wykwalifikowanych i doświadczonych pracowników założone prace wykonała rzetelnie i prawidłowo. </w:t>
      </w:r>
    </w:p>
    <w:p w:rsidR="006E473E" w:rsidRPr="00D00185" w:rsidRDefault="006E473E" w:rsidP="006E473E">
      <w:pPr>
        <w:spacing w:before="120" w:after="0" w:line="360" w:lineRule="auto"/>
        <w:ind w:right="23"/>
        <w:rPr>
          <w:rFonts w:ascii="Calibri" w:eastAsia="Arial" w:hAnsi="Calibri" w:cs="Calibri"/>
          <w:sz w:val="24"/>
          <w:szCs w:val="24"/>
          <w:lang w:eastAsia="pl-PL"/>
        </w:rPr>
      </w:pPr>
      <w:r w:rsidRPr="00D00185">
        <w:rPr>
          <w:rFonts w:ascii="Calibri" w:eastAsia="Arial" w:hAnsi="Calibri" w:cs="Calibri"/>
          <w:sz w:val="24"/>
          <w:szCs w:val="24"/>
          <w:lang w:eastAsia="pl-PL"/>
        </w:rPr>
        <w:t>RKO wskazała, iż Obwiniony w czasie popełnienia zarzucanego czynu pełnił funkcję Burmistrza Miasta i Gminy</w:t>
      </w:r>
      <w:r w:rsidR="002B6525">
        <w:rPr>
          <w:rFonts w:ascii="Calibri" w:eastAsia="Arial" w:hAnsi="Calibri" w:cs="Calibri"/>
          <w:sz w:val="24"/>
          <w:szCs w:val="24"/>
          <w:lang w:eastAsia="pl-PL"/>
        </w:rPr>
        <w:t xml:space="preserve"> (...) </w:t>
      </w:r>
      <w:r w:rsidRPr="00D00185">
        <w:rPr>
          <w:rFonts w:ascii="Calibri" w:eastAsia="Arial" w:hAnsi="Calibri" w:cs="Calibri"/>
          <w:sz w:val="24"/>
          <w:szCs w:val="24"/>
          <w:lang w:eastAsia="pl-PL"/>
        </w:rPr>
        <w:t>, znajduje się zatem w kręgu podmiotów podlegających odpowiedzialności za naruszenie dyscypliny finansów publicznych w</w:t>
      </w:r>
      <w:r w:rsidR="00A67002">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rozumieniu art. 18 pkt 1 </w:t>
      </w:r>
      <w:proofErr w:type="spellStart"/>
      <w:r w:rsidRPr="00D00185">
        <w:rPr>
          <w:rFonts w:ascii="Calibri" w:eastAsia="Arial" w:hAnsi="Calibri" w:cs="Calibri"/>
          <w:sz w:val="24"/>
          <w:szCs w:val="24"/>
          <w:lang w:eastAsia="pl-PL"/>
        </w:rPr>
        <w:t>u</w:t>
      </w:r>
      <w:r w:rsidR="00B173AD">
        <w:rPr>
          <w:rFonts w:ascii="Calibri" w:eastAsia="Arial" w:hAnsi="Calibri" w:cs="Calibri"/>
          <w:sz w:val="24"/>
          <w:szCs w:val="24"/>
          <w:lang w:eastAsia="pl-PL"/>
        </w:rPr>
        <w:t>o</w:t>
      </w:r>
      <w:r w:rsidRPr="00D00185">
        <w:rPr>
          <w:rFonts w:ascii="Calibri" w:eastAsia="Arial" w:hAnsi="Calibri" w:cs="Calibri"/>
          <w:sz w:val="24"/>
          <w:szCs w:val="24"/>
          <w:lang w:eastAsia="pl-PL"/>
        </w:rPr>
        <w:t>ndfp</w:t>
      </w:r>
      <w:proofErr w:type="spellEnd"/>
      <w:r w:rsidRPr="00D00185">
        <w:rPr>
          <w:rFonts w:ascii="Calibri" w:eastAsia="Arial" w:hAnsi="Calibri" w:cs="Calibri"/>
          <w:sz w:val="24"/>
          <w:szCs w:val="24"/>
          <w:lang w:eastAsia="pl-PL"/>
        </w:rPr>
        <w:t>. Zgodnie z art. 53 ust. 1 ustawy o finansach publicznych</w:t>
      </w:r>
      <w:r w:rsidR="008D084A">
        <w:rPr>
          <w:rFonts w:ascii="Calibri" w:eastAsia="Arial" w:hAnsi="Calibri" w:cs="Calibri"/>
          <w:sz w:val="24"/>
          <w:szCs w:val="24"/>
          <w:lang w:eastAsia="pl-PL"/>
        </w:rPr>
        <w:t>,</w:t>
      </w:r>
      <w:r w:rsidRPr="00D00185">
        <w:rPr>
          <w:rFonts w:ascii="Calibri" w:eastAsia="Arial" w:hAnsi="Calibri" w:cs="Calibri"/>
          <w:sz w:val="24"/>
          <w:szCs w:val="24"/>
          <w:lang w:eastAsia="pl-PL"/>
        </w:rPr>
        <w:t xml:space="preserve"> to kierownik jednostki sektora finansów publicznych odpowiada za całość gospodarki finansowej w jednostce, jako zespołu procesów związanych z gromadzeniem środków publicznych i ich rozdysponowaniem oraz w rozumieniu art. 3 ust. 1 pkt 6 ustawy o</w:t>
      </w:r>
      <w:r w:rsidR="00847949">
        <w:rPr>
          <w:rFonts w:ascii="Calibri" w:eastAsia="Arial" w:hAnsi="Calibri" w:cs="Calibri"/>
          <w:sz w:val="24"/>
          <w:szCs w:val="24"/>
          <w:lang w:eastAsia="pl-PL"/>
        </w:rPr>
        <w:t> </w:t>
      </w:r>
      <w:r w:rsidRPr="00D00185">
        <w:rPr>
          <w:rFonts w:ascii="Calibri" w:eastAsia="Arial" w:hAnsi="Calibri" w:cs="Calibri"/>
          <w:sz w:val="24"/>
          <w:szCs w:val="24"/>
          <w:lang w:eastAsia="pl-PL"/>
        </w:rPr>
        <w:t>rachunkowości, za wykonywanie obowiązków w zakresie rachunkowości określonych powołaną powyżej ustawą. RKO wskazała, iż zgodnie z art. 4 ustawy rachunkowości to kierownik jednostki ustala zasady rachunkowości, które obejmują między innymi okresowe ustalenie lub sprawdzenie drogą inwentaryzacji rzeczywistego stanu aktywów i pasywów. Kierownik jednostki ponosi także odpowiedzialność za wykonywanie obowiązków w zakresie rachunkowości, w tym z tytułu nadzoru, również w przypadku gdy określone obowiązki w</w:t>
      </w:r>
      <w:r w:rsidR="00847949">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zakresie rachunkowości zostaną powierzone innej osobie za jej zgodą (wyjątek stanowi jedynie przeprowadzenie inwentaryzacji w formie spisu z natury). </w:t>
      </w:r>
    </w:p>
    <w:p w:rsidR="006E473E" w:rsidRPr="00D00185" w:rsidRDefault="006E473E" w:rsidP="006E473E">
      <w:pPr>
        <w:spacing w:after="0" w:line="360" w:lineRule="auto"/>
        <w:ind w:left="23" w:right="23"/>
        <w:rPr>
          <w:rFonts w:ascii="Calibri" w:eastAsia="Arial" w:hAnsi="Calibri" w:cs="Calibri"/>
          <w:sz w:val="24"/>
          <w:szCs w:val="24"/>
          <w:lang w:eastAsia="pl-PL"/>
        </w:rPr>
      </w:pPr>
      <w:r w:rsidRPr="00D00185">
        <w:rPr>
          <w:rFonts w:ascii="Calibri" w:eastAsia="Arial" w:hAnsi="Calibri" w:cs="Calibri"/>
          <w:sz w:val="24"/>
          <w:szCs w:val="24"/>
          <w:lang w:eastAsia="pl-PL"/>
        </w:rPr>
        <w:t xml:space="preserve">W ocenie </w:t>
      </w:r>
      <w:r w:rsidR="00B173AD">
        <w:rPr>
          <w:rFonts w:ascii="Calibri" w:eastAsia="Arial" w:hAnsi="Calibri" w:cs="Calibri"/>
          <w:sz w:val="24"/>
          <w:szCs w:val="24"/>
          <w:lang w:eastAsia="pl-PL"/>
        </w:rPr>
        <w:t>RKO p</w:t>
      </w:r>
      <w:r w:rsidRPr="00D00185">
        <w:rPr>
          <w:rFonts w:ascii="Calibri" w:eastAsia="Arial" w:hAnsi="Calibri" w:cs="Calibri"/>
          <w:sz w:val="24"/>
          <w:szCs w:val="24"/>
          <w:lang w:eastAsia="pl-PL"/>
        </w:rPr>
        <w:t>opełnienie przez Obwinionego zarzucanego mu czynu wynikało z</w:t>
      </w:r>
      <w:r w:rsidR="00847949">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niezachowania należytej staranności i ostrożności oraz nie zastosowania się do norm powszechnych odnoszących się do stanu fatycznego sprawy, mimo posiadania obiektywnie </w:t>
      </w:r>
      <w:r w:rsidRPr="00D00185">
        <w:rPr>
          <w:rFonts w:ascii="Calibri" w:eastAsia="Arial" w:hAnsi="Calibri" w:cs="Calibri"/>
          <w:sz w:val="24"/>
          <w:szCs w:val="24"/>
          <w:lang w:eastAsia="pl-PL"/>
        </w:rPr>
        <w:lastRenderedPageBreak/>
        <w:t xml:space="preserve">możliwości postępowania zgodnie z tymi normami. RKO zauważyła, że w omawianej sprawie Obwiniony zawierzył pracownikom jednostki, którzy wykonywali zadania w zakresie przeprowadzenia inwentaryzacji. W opinii RKO stan faktyczny i sposób działania Obwinionego świadczą o niedochowaniu staranności, która powinna być wymagana od kierownika jednostki sektora finansów publicznych, który winien sprawować realną kontrolę nad stanem substancji majątkowej. Jednocześnie w ocenie Komisji przypisane Obwinionemu naruszenie nie było celowe. Świadczą o tym między innymi wyjaśnienia złożone przez Obwinionego, którym </w:t>
      </w:r>
      <w:r w:rsidR="00B173AD">
        <w:rPr>
          <w:rFonts w:ascii="Calibri" w:eastAsia="Arial" w:hAnsi="Calibri" w:cs="Calibri"/>
          <w:sz w:val="24"/>
          <w:szCs w:val="24"/>
          <w:lang w:eastAsia="pl-PL"/>
        </w:rPr>
        <w:t>RKO</w:t>
      </w:r>
      <w:r w:rsidRPr="00D00185">
        <w:rPr>
          <w:rFonts w:ascii="Calibri" w:eastAsia="Arial" w:hAnsi="Calibri" w:cs="Calibri"/>
          <w:sz w:val="24"/>
          <w:szCs w:val="24"/>
          <w:lang w:eastAsia="pl-PL"/>
        </w:rPr>
        <w:t xml:space="preserve"> dała wiarę.</w:t>
      </w:r>
    </w:p>
    <w:p w:rsidR="006E473E" w:rsidRPr="00D00185" w:rsidRDefault="006E473E" w:rsidP="009F4220">
      <w:pPr>
        <w:spacing w:after="0" w:line="360" w:lineRule="auto"/>
        <w:ind w:left="62" w:right="40"/>
        <w:rPr>
          <w:rFonts w:ascii="Calibri" w:eastAsia="Arial" w:hAnsi="Calibri" w:cs="Calibri"/>
          <w:sz w:val="24"/>
          <w:szCs w:val="24"/>
          <w:lang w:eastAsia="pl-PL"/>
        </w:rPr>
      </w:pPr>
      <w:r w:rsidRPr="00D00185">
        <w:rPr>
          <w:rFonts w:ascii="Calibri" w:eastAsia="Arial" w:hAnsi="Calibri" w:cs="Calibri"/>
          <w:sz w:val="24"/>
          <w:szCs w:val="24"/>
          <w:lang w:eastAsia="pl-PL"/>
        </w:rPr>
        <w:t xml:space="preserve">Przepis art. 36 ust. 1 </w:t>
      </w:r>
      <w:proofErr w:type="spellStart"/>
      <w:r w:rsidR="00B173AD">
        <w:rPr>
          <w:rFonts w:ascii="Calibri" w:eastAsia="Arial" w:hAnsi="Calibri" w:cs="Calibri"/>
          <w:sz w:val="24"/>
          <w:szCs w:val="24"/>
          <w:lang w:eastAsia="pl-PL"/>
        </w:rPr>
        <w:t>uondfp</w:t>
      </w:r>
      <w:proofErr w:type="spellEnd"/>
      <w:r w:rsidR="00B173AD">
        <w:rPr>
          <w:rFonts w:ascii="Calibri" w:eastAsia="Arial" w:hAnsi="Calibri" w:cs="Calibri"/>
          <w:sz w:val="24"/>
          <w:szCs w:val="24"/>
          <w:lang w:eastAsia="pl-PL"/>
        </w:rPr>
        <w:t xml:space="preserve"> </w:t>
      </w:r>
      <w:r w:rsidRPr="00D00185">
        <w:rPr>
          <w:rFonts w:ascii="Calibri" w:eastAsia="Arial" w:hAnsi="Calibri" w:cs="Calibri"/>
          <w:sz w:val="24"/>
          <w:szCs w:val="24"/>
          <w:lang w:eastAsia="pl-PL"/>
        </w:rPr>
        <w:t>stanowi, iż w przypadkach zasługujących na szczególne uwzględnienie można, biorąc pod uwagę rodzaj i okoliczności naruszenia dyscypliny finansów publicznych lub właściwości i warunki osobiste sprawcy naruszenia dyscypliny finansów publicznych, wymierzyć karę łagodniejszego rodzaju, a nawet odstąpić od jej wymierzenia. Na podstawie wskazanego wyżej przepisu RKO uznała, iż zachodzą przesłanki do odstąpienia od wymierzenia kary. RKO wzięła przy tym pod uwagę dotychczasową niekaralność Obwinionego, opinię dotyczącą wywiązywania się z obowiązków służbowych przez Obwinionego wydaną przez Przewodniczącego Rady Miejskiej w</w:t>
      </w:r>
      <w:r w:rsidR="002B6525">
        <w:rPr>
          <w:rFonts w:ascii="Calibri" w:eastAsia="Arial" w:hAnsi="Calibri" w:cs="Calibri"/>
          <w:sz w:val="24"/>
          <w:szCs w:val="24"/>
          <w:lang w:eastAsia="pl-PL"/>
        </w:rPr>
        <w:t xml:space="preserve"> (...) </w:t>
      </w:r>
      <w:r w:rsidRPr="00D00185">
        <w:rPr>
          <w:rFonts w:ascii="Calibri" w:eastAsia="Arial" w:hAnsi="Calibri" w:cs="Calibri"/>
          <w:sz w:val="24"/>
          <w:szCs w:val="24"/>
          <w:lang w:eastAsia="pl-PL"/>
        </w:rPr>
        <w:t>, jak również fakt zawierzenia przez Obwinionego pracownikom przeprowadzającym inwentaryzację. RKO wskazała także, że takie rozstrzygnięcie właściwie odzwierciedla skutki i stopień szkodliwości popełnionego przez Obwinionego naruszenia oraz odpowiada stopniowi winy jaka towarzyszyła Obwinionemu w czasie popełnienia naruszenia. Komisja I</w:t>
      </w:r>
      <w:r w:rsidR="00834D30">
        <w:rPr>
          <w:rFonts w:ascii="Calibri" w:eastAsia="Arial" w:hAnsi="Calibri" w:cs="Calibri"/>
          <w:sz w:val="24"/>
          <w:szCs w:val="24"/>
          <w:lang w:eastAsia="pl-PL"/>
        </w:rPr>
        <w:t> i</w:t>
      </w:r>
      <w:r w:rsidRPr="00D00185">
        <w:rPr>
          <w:rFonts w:ascii="Calibri" w:eastAsia="Arial" w:hAnsi="Calibri" w:cs="Calibri"/>
          <w:sz w:val="24"/>
          <w:szCs w:val="24"/>
          <w:lang w:eastAsia="pl-PL"/>
        </w:rPr>
        <w:t>nstancji uznała także, że już samo postępowanie w sprawie o naruszenie dyscypliny finansów publicznych będzie adekwatne do rodzaju oraz stopnia zawinienia w</w:t>
      </w:r>
      <w:r w:rsidR="00847949">
        <w:rPr>
          <w:rFonts w:ascii="Calibri" w:eastAsia="Arial" w:hAnsi="Calibri" w:cs="Calibri"/>
          <w:sz w:val="24"/>
          <w:szCs w:val="24"/>
          <w:lang w:eastAsia="pl-PL"/>
        </w:rPr>
        <w:t> </w:t>
      </w:r>
      <w:r w:rsidRPr="00D00185">
        <w:rPr>
          <w:rFonts w:ascii="Calibri" w:eastAsia="Arial" w:hAnsi="Calibri" w:cs="Calibri"/>
          <w:sz w:val="24"/>
          <w:szCs w:val="24"/>
          <w:lang w:eastAsia="pl-PL"/>
        </w:rPr>
        <w:t>przedmiotowej sprawie</w:t>
      </w:r>
      <w:r w:rsidR="0048577B">
        <w:rPr>
          <w:rFonts w:ascii="Calibri" w:eastAsia="Arial" w:hAnsi="Calibri" w:cs="Calibri"/>
          <w:sz w:val="24"/>
          <w:szCs w:val="24"/>
          <w:lang w:eastAsia="pl-PL"/>
        </w:rPr>
        <w:t>,</w:t>
      </w:r>
      <w:r w:rsidRPr="00D00185">
        <w:rPr>
          <w:rFonts w:ascii="Calibri" w:eastAsia="Arial" w:hAnsi="Calibri" w:cs="Calibri"/>
          <w:sz w:val="24"/>
          <w:szCs w:val="24"/>
          <w:lang w:eastAsia="pl-PL"/>
        </w:rPr>
        <w:t xml:space="preserve"> oraz że postępowanie o naruszenie dyscypliny finansów publicznych wywarło już oczekiwany skutek prewencyjny i wychowawczy w tej jednostce. </w:t>
      </w:r>
    </w:p>
    <w:p w:rsidR="006E473E" w:rsidRPr="00D00185" w:rsidRDefault="0048577B" w:rsidP="009F4220">
      <w:pPr>
        <w:spacing w:before="240" w:after="0" w:line="360" w:lineRule="auto"/>
        <w:ind w:left="62" w:right="40"/>
        <w:rPr>
          <w:rFonts w:ascii="Calibri" w:eastAsia="Arial" w:hAnsi="Calibri" w:cs="Calibri"/>
          <w:sz w:val="24"/>
          <w:szCs w:val="24"/>
          <w:lang w:eastAsia="pl-PL"/>
        </w:rPr>
      </w:pPr>
      <w:r>
        <w:rPr>
          <w:rFonts w:ascii="Calibri" w:eastAsia="Arial" w:hAnsi="Calibri" w:cs="Calibri"/>
          <w:sz w:val="24"/>
          <w:szCs w:val="24"/>
          <w:lang w:eastAsia="pl-PL"/>
        </w:rPr>
        <w:t xml:space="preserve">Od </w:t>
      </w:r>
      <w:r w:rsidR="006E473E" w:rsidRPr="00D00185">
        <w:rPr>
          <w:rFonts w:ascii="Calibri" w:eastAsia="Arial" w:hAnsi="Calibri" w:cs="Calibri"/>
          <w:sz w:val="24"/>
          <w:szCs w:val="24"/>
          <w:lang w:eastAsia="pl-PL"/>
        </w:rPr>
        <w:t>powyższego orzeczenia RKO</w:t>
      </w:r>
      <w:r w:rsidRPr="0048577B">
        <w:rPr>
          <w:rFonts w:ascii="Calibri" w:eastAsia="Arial" w:hAnsi="Calibri" w:cs="Calibri"/>
          <w:sz w:val="24"/>
          <w:szCs w:val="24"/>
          <w:lang w:eastAsia="pl-PL"/>
        </w:rPr>
        <w:t xml:space="preserve"> </w:t>
      </w:r>
      <w:r w:rsidRPr="00D00185">
        <w:rPr>
          <w:rFonts w:ascii="Calibri" w:eastAsia="Arial" w:hAnsi="Calibri" w:cs="Calibri"/>
          <w:sz w:val="24"/>
          <w:szCs w:val="24"/>
          <w:lang w:eastAsia="pl-PL"/>
        </w:rPr>
        <w:t>Obwiniony</w:t>
      </w:r>
      <w:r w:rsidR="006E473E" w:rsidRPr="00D00185">
        <w:rPr>
          <w:rFonts w:ascii="Calibri" w:eastAsia="Arial" w:hAnsi="Calibri" w:cs="Calibri"/>
          <w:sz w:val="24"/>
          <w:szCs w:val="24"/>
          <w:lang w:eastAsia="pl-PL"/>
        </w:rPr>
        <w:t xml:space="preserve"> </w:t>
      </w:r>
      <w:r>
        <w:rPr>
          <w:rFonts w:ascii="Calibri" w:eastAsia="Arial" w:hAnsi="Calibri" w:cs="Calibri"/>
          <w:sz w:val="24"/>
          <w:szCs w:val="24"/>
          <w:lang w:eastAsia="pl-PL"/>
        </w:rPr>
        <w:t>złożył</w:t>
      </w:r>
      <w:r w:rsidRPr="00D00185">
        <w:rPr>
          <w:rFonts w:ascii="Calibri" w:eastAsia="Arial" w:hAnsi="Calibri" w:cs="Calibri"/>
          <w:sz w:val="24"/>
          <w:szCs w:val="24"/>
          <w:lang w:eastAsia="pl-PL"/>
        </w:rPr>
        <w:t xml:space="preserve"> odwołanie </w:t>
      </w:r>
      <w:r>
        <w:rPr>
          <w:rFonts w:ascii="Calibri" w:eastAsia="Arial" w:hAnsi="Calibri" w:cs="Calibri"/>
          <w:sz w:val="24"/>
          <w:szCs w:val="24"/>
          <w:lang w:eastAsia="pl-PL"/>
        </w:rPr>
        <w:t>do Głównej Komisji Orzekającej</w:t>
      </w:r>
      <w:r w:rsidRPr="00D00185">
        <w:rPr>
          <w:rFonts w:ascii="Calibri" w:eastAsia="Arial" w:hAnsi="Calibri" w:cs="Calibri"/>
          <w:sz w:val="24"/>
          <w:szCs w:val="24"/>
          <w:lang w:eastAsia="pl-PL"/>
        </w:rPr>
        <w:t xml:space="preserve"> </w:t>
      </w:r>
      <w:r>
        <w:rPr>
          <w:rFonts w:ascii="Calibri" w:eastAsia="Arial" w:hAnsi="Calibri" w:cs="Calibri"/>
          <w:sz w:val="24"/>
          <w:szCs w:val="24"/>
          <w:lang w:eastAsia="pl-PL"/>
        </w:rPr>
        <w:t>wnosząc</w:t>
      </w:r>
      <w:r w:rsidR="006E473E" w:rsidRPr="00D00185">
        <w:rPr>
          <w:rFonts w:ascii="Calibri" w:eastAsia="Arial" w:hAnsi="Calibri" w:cs="Calibri"/>
          <w:sz w:val="24"/>
          <w:szCs w:val="24"/>
          <w:lang w:eastAsia="pl-PL"/>
        </w:rPr>
        <w:t xml:space="preserve"> o umorzenie całości post</w:t>
      </w:r>
      <w:r>
        <w:rPr>
          <w:rFonts w:ascii="Calibri" w:eastAsia="Arial" w:hAnsi="Calibri" w:cs="Calibri"/>
          <w:sz w:val="24"/>
          <w:szCs w:val="24"/>
          <w:lang w:eastAsia="pl-PL"/>
        </w:rPr>
        <w:t>ę</w:t>
      </w:r>
      <w:r w:rsidR="006E473E" w:rsidRPr="00D00185">
        <w:rPr>
          <w:rFonts w:ascii="Calibri" w:eastAsia="Arial" w:hAnsi="Calibri" w:cs="Calibri"/>
          <w:sz w:val="24"/>
          <w:szCs w:val="24"/>
          <w:lang w:eastAsia="pl-PL"/>
        </w:rPr>
        <w:t>powania lub ewentualnie o uniewinnienie.</w:t>
      </w:r>
    </w:p>
    <w:p w:rsidR="006E473E" w:rsidRPr="00D00185" w:rsidRDefault="006E473E" w:rsidP="006E473E">
      <w:pPr>
        <w:spacing w:after="0" w:line="360" w:lineRule="auto"/>
        <w:ind w:left="60" w:right="40"/>
        <w:rPr>
          <w:rFonts w:ascii="Calibri" w:eastAsia="Arial" w:hAnsi="Calibri" w:cs="Calibri"/>
          <w:sz w:val="24"/>
          <w:szCs w:val="24"/>
          <w:lang w:eastAsia="pl-PL"/>
        </w:rPr>
      </w:pPr>
      <w:r w:rsidRPr="00D00185">
        <w:rPr>
          <w:rFonts w:ascii="Calibri" w:eastAsia="Arial" w:hAnsi="Calibri" w:cs="Calibri"/>
          <w:sz w:val="24"/>
          <w:szCs w:val="24"/>
          <w:lang w:eastAsia="pl-PL"/>
        </w:rPr>
        <w:t xml:space="preserve">We wniesionym odwołaniu Obwiniony wskazuje przede wszystkim, iż w przedmiotowej sprawie nie zaistniał uszczerbek dla finansów publicznych. Przywołany w uzasadnieniu do orzeczenia RKO „ład” finansów publicznych jest w opinii Obwinionego pojęciem abstrakcyjnym, zaś wskazana w orzeczeniu RKO szkodliwość dla finansów publicznych odnosi się do naruszenia „abstrakcyjnej wartości sformułowanej przez RKO”. Ponadto </w:t>
      </w:r>
      <w:r w:rsidRPr="00D00185">
        <w:rPr>
          <w:rFonts w:ascii="Calibri" w:eastAsia="Arial" w:hAnsi="Calibri" w:cs="Calibri"/>
          <w:sz w:val="24"/>
          <w:szCs w:val="24"/>
          <w:lang w:eastAsia="pl-PL"/>
        </w:rPr>
        <w:lastRenderedPageBreak/>
        <w:t>zdaniem Obwinionego w uzasadnieniu do orzeczenia nie przedstawiono wyczerpującego wyjaśnienia co do wyższej niż znikoma szkodliwości dla finansów publicznych.</w:t>
      </w:r>
    </w:p>
    <w:p w:rsidR="006E473E" w:rsidRPr="00D00185" w:rsidRDefault="006E473E" w:rsidP="006E473E">
      <w:pPr>
        <w:spacing w:after="0" w:line="360" w:lineRule="auto"/>
        <w:ind w:left="60" w:right="40"/>
        <w:rPr>
          <w:rFonts w:ascii="Calibri" w:eastAsia="Arial" w:hAnsi="Calibri" w:cs="Calibri"/>
          <w:sz w:val="24"/>
          <w:szCs w:val="24"/>
          <w:lang w:eastAsia="pl-PL"/>
        </w:rPr>
      </w:pPr>
      <w:r w:rsidRPr="00D00185">
        <w:rPr>
          <w:rFonts w:ascii="Calibri" w:eastAsia="Arial" w:hAnsi="Calibri" w:cs="Calibri"/>
          <w:sz w:val="24"/>
          <w:szCs w:val="24"/>
          <w:lang w:eastAsia="pl-PL"/>
        </w:rPr>
        <w:t>W ocenie Obwinionego w przedmiotowej sprawie nie sposób mówić o przypisaniu winy przede wszystkim dlatego, że Obwiniony, wbrew opinii wyrażonej przez RKO, nie miał możliwości innego zachowania. Wskazuje przy tym na przeprowadzone działania dotyczące organizacji pracy w jednostce, zatrudnienia w otwartych konkursach wykwalifikowanej kadry, a w tej konkretnej sprawie powołanie Komisji inwentaryzacyjnej złożonej z</w:t>
      </w:r>
      <w:r w:rsidR="00847949">
        <w:rPr>
          <w:rFonts w:ascii="Calibri" w:eastAsia="Arial" w:hAnsi="Calibri" w:cs="Calibri"/>
          <w:sz w:val="24"/>
          <w:szCs w:val="24"/>
          <w:lang w:eastAsia="pl-PL"/>
        </w:rPr>
        <w:t> </w:t>
      </w:r>
      <w:r w:rsidRPr="00D00185">
        <w:rPr>
          <w:rFonts w:ascii="Calibri" w:eastAsia="Arial" w:hAnsi="Calibri" w:cs="Calibri"/>
          <w:sz w:val="24"/>
          <w:szCs w:val="24"/>
          <w:lang w:eastAsia="pl-PL"/>
        </w:rPr>
        <w:t>doświadczonych pracowników, co nie dawało podstawy do zakwestionowania wyników inwentaryzacji. Działania Obwinionego</w:t>
      </w:r>
      <w:r w:rsidR="0048577B">
        <w:rPr>
          <w:rFonts w:ascii="Calibri" w:eastAsia="Arial" w:hAnsi="Calibri" w:cs="Calibri"/>
          <w:sz w:val="24"/>
          <w:szCs w:val="24"/>
          <w:lang w:eastAsia="pl-PL"/>
        </w:rPr>
        <w:t>,</w:t>
      </w:r>
      <w:r w:rsidRPr="00D00185">
        <w:rPr>
          <w:rFonts w:ascii="Calibri" w:eastAsia="Arial" w:hAnsi="Calibri" w:cs="Calibri"/>
          <w:sz w:val="24"/>
          <w:szCs w:val="24"/>
          <w:lang w:eastAsia="pl-PL"/>
        </w:rPr>
        <w:t xml:space="preserve"> w szczególności te dotyczące organizacji pracy w</w:t>
      </w:r>
      <w:r w:rsidR="00847949">
        <w:rPr>
          <w:rFonts w:ascii="Calibri" w:eastAsia="Arial" w:hAnsi="Calibri" w:cs="Calibri"/>
          <w:sz w:val="24"/>
          <w:szCs w:val="24"/>
          <w:lang w:eastAsia="pl-PL"/>
        </w:rPr>
        <w:t> </w:t>
      </w:r>
      <w:r w:rsidRPr="00D00185">
        <w:rPr>
          <w:rFonts w:ascii="Calibri" w:eastAsia="Arial" w:hAnsi="Calibri" w:cs="Calibri"/>
          <w:sz w:val="24"/>
          <w:szCs w:val="24"/>
          <w:lang w:eastAsia="pl-PL"/>
        </w:rPr>
        <w:t>jednostce</w:t>
      </w:r>
      <w:r w:rsidR="0048577B">
        <w:rPr>
          <w:rFonts w:ascii="Calibri" w:eastAsia="Arial" w:hAnsi="Calibri" w:cs="Calibri"/>
          <w:sz w:val="24"/>
          <w:szCs w:val="24"/>
          <w:lang w:eastAsia="pl-PL"/>
        </w:rPr>
        <w:t>,</w:t>
      </w:r>
      <w:r w:rsidRPr="00D00185">
        <w:rPr>
          <w:rFonts w:ascii="Calibri" w:eastAsia="Arial" w:hAnsi="Calibri" w:cs="Calibri"/>
          <w:sz w:val="24"/>
          <w:szCs w:val="24"/>
          <w:lang w:eastAsia="pl-PL"/>
        </w:rPr>
        <w:t xml:space="preserve"> w jego ocenie świadczą o dołożeniu należytej staranności na każdym etapie działań inwentaryzacyjnych.</w:t>
      </w:r>
    </w:p>
    <w:p w:rsidR="006E473E" w:rsidRPr="00D00185" w:rsidRDefault="006E473E" w:rsidP="009F4220">
      <w:pPr>
        <w:spacing w:before="120" w:after="0" w:line="360" w:lineRule="auto"/>
        <w:ind w:left="60" w:right="40"/>
        <w:rPr>
          <w:rFonts w:ascii="Calibri" w:eastAsia="Arial" w:hAnsi="Calibri" w:cs="Calibri"/>
          <w:sz w:val="24"/>
          <w:szCs w:val="24"/>
          <w:lang w:eastAsia="pl-PL"/>
        </w:rPr>
      </w:pPr>
      <w:r w:rsidRPr="00D00185">
        <w:rPr>
          <w:rFonts w:ascii="Calibri" w:eastAsia="Arial" w:hAnsi="Calibri" w:cs="Calibri"/>
          <w:sz w:val="24"/>
          <w:szCs w:val="24"/>
          <w:lang w:eastAsia="pl-PL"/>
        </w:rPr>
        <w:t xml:space="preserve">Obwiniony wskazuje przy tym na rolę </w:t>
      </w:r>
      <w:r w:rsidR="0048577B">
        <w:rPr>
          <w:rFonts w:ascii="Calibri" w:eastAsia="Arial" w:hAnsi="Calibri" w:cs="Calibri"/>
          <w:sz w:val="24"/>
          <w:szCs w:val="24"/>
          <w:lang w:eastAsia="pl-PL"/>
        </w:rPr>
        <w:t>B</w:t>
      </w:r>
      <w:r w:rsidRPr="00D00185">
        <w:rPr>
          <w:rFonts w:ascii="Calibri" w:eastAsia="Arial" w:hAnsi="Calibri" w:cs="Calibri"/>
          <w:sz w:val="24"/>
          <w:szCs w:val="24"/>
          <w:lang w:eastAsia="pl-PL"/>
        </w:rPr>
        <w:t>urmistrza, która polega przede wszystkim na sprawnym zarządzani</w:t>
      </w:r>
      <w:r w:rsidR="0048577B">
        <w:rPr>
          <w:rFonts w:ascii="Calibri" w:eastAsia="Arial" w:hAnsi="Calibri" w:cs="Calibri"/>
          <w:sz w:val="24"/>
          <w:szCs w:val="24"/>
          <w:lang w:eastAsia="pl-PL"/>
        </w:rPr>
        <w:t>u</w:t>
      </w:r>
      <w:r w:rsidRPr="00D00185">
        <w:rPr>
          <w:rFonts w:ascii="Calibri" w:eastAsia="Arial" w:hAnsi="Calibri" w:cs="Calibri"/>
          <w:sz w:val="24"/>
          <w:szCs w:val="24"/>
          <w:lang w:eastAsia="pl-PL"/>
        </w:rPr>
        <w:t xml:space="preserve"> i rozdzielaniu zadań przy dołożeniu należytej staranności w</w:t>
      </w:r>
      <w:r w:rsidR="00847949">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odniesieniu do tych działań. Nie jest natomiast możliwe osobiste wykonywanie wszystkich czynności związanych z realizacją zadań jednostki. Obwiniony wskazuje także, że RKO nie przedstawiła w sposób wystarczająco precyzyjny wzorca zachowania jaki powinien być przyjęty w omawianej sprawie, ograniczyła się jedynie do przypisania czynnościom podejmowanym przez Obwinionego braku należytej staranności, bez wskazania ciągu </w:t>
      </w:r>
      <w:proofErr w:type="spellStart"/>
      <w:r w:rsidRPr="00D00185">
        <w:rPr>
          <w:rFonts w:ascii="Calibri" w:eastAsia="Arial" w:hAnsi="Calibri" w:cs="Calibri"/>
          <w:sz w:val="24"/>
          <w:szCs w:val="24"/>
          <w:lang w:eastAsia="pl-PL"/>
        </w:rPr>
        <w:t>przyczynowo-skutkowego</w:t>
      </w:r>
      <w:proofErr w:type="spellEnd"/>
      <w:r w:rsidRPr="00D00185">
        <w:rPr>
          <w:rFonts w:ascii="Calibri" w:eastAsia="Arial" w:hAnsi="Calibri" w:cs="Calibri"/>
          <w:sz w:val="24"/>
          <w:szCs w:val="24"/>
          <w:lang w:eastAsia="pl-PL"/>
        </w:rPr>
        <w:t xml:space="preserve"> prowadzącego do zawinionego naruszenia. RKO nie wskazała natomiast </w:t>
      </w:r>
      <w:proofErr w:type="spellStart"/>
      <w:r w:rsidRPr="00D00185">
        <w:rPr>
          <w:rFonts w:ascii="Calibri" w:eastAsia="Arial" w:hAnsi="Calibri" w:cs="Calibri"/>
          <w:sz w:val="24"/>
          <w:szCs w:val="24"/>
          <w:lang w:eastAsia="pl-PL"/>
        </w:rPr>
        <w:t>zachowań</w:t>
      </w:r>
      <w:proofErr w:type="spellEnd"/>
      <w:r w:rsidRPr="00D00185">
        <w:rPr>
          <w:rFonts w:ascii="Calibri" w:eastAsia="Arial" w:hAnsi="Calibri" w:cs="Calibri"/>
          <w:sz w:val="24"/>
          <w:szCs w:val="24"/>
          <w:lang w:eastAsia="pl-PL"/>
        </w:rPr>
        <w:t xml:space="preserve"> </w:t>
      </w:r>
      <w:r w:rsidR="00992A0B">
        <w:rPr>
          <w:rFonts w:ascii="Calibri" w:eastAsia="Arial" w:hAnsi="Calibri" w:cs="Calibri"/>
          <w:sz w:val="24"/>
          <w:szCs w:val="24"/>
          <w:lang w:eastAsia="pl-PL"/>
        </w:rPr>
        <w:t>O</w:t>
      </w:r>
      <w:r w:rsidRPr="00D00185">
        <w:rPr>
          <w:rFonts w:ascii="Calibri" w:eastAsia="Arial" w:hAnsi="Calibri" w:cs="Calibri"/>
          <w:sz w:val="24"/>
          <w:szCs w:val="24"/>
          <w:lang w:eastAsia="pl-PL"/>
        </w:rPr>
        <w:t>bwinionego, w których można znaleźć znamiona winy. Tym samym w</w:t>
      </w:r>
      <w:r w:rsidR="00847949">
        <w:rPr>
          <w:rFonts w:ascii="Calibri" w:eastAsia="Arial" w:hAnsi="Calibri" w:cs="Calibri"/>
          <w:sz w:val="24"/>
          <w:szCs w:val="24"/>
          <w:lang w:eastAsia="pl-PL"/>
        </w:rPr>
        <w:t> </w:t>
      </w:r>
      <w:r w:rsidRPr="00D00185">
        <w:rPr>
          <w:rFonts w:ascii="Calibri" w:eastAsia="Arial" w:hAnsi="Calibri" w:cs="Calibri"/>
          <w:sz w:val="24"/>
          <w:szCs w:val="24"/>
          <w:lang w:eastAsia="pl-PL"/>
        </w:rPr>
        <w:t>świetle braku możliwości przypisania winy, Komisja I Instancji powinna wydać orzeczenie o</w:t>
      </w:r>
      <w:r w:rsidR="00847949">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uniewinnieniu. </w:t>
      </w:r>
    </w:p>
    <w:p w:rsidR="006E473E" w:rsidRPr="00D00185" w:rsidRDefault="006E473E" w:rsidP="009F4220">
      <w:pPr>
        <w:spacing w:before="120" w:after="0" w:line="360" w:lineRule="auto"/>
        <w:ind w:left="60" w:right="40"/>
        <w:rPr>
          <w:rFonts w:ascii="Calibri" w:eastAsia="Arial" w:hAnsi="Calibri" w:cs="Calibri"/>
          <w:sz w:val="24"/>
          <w:szCs w:val="24"/>
          <w:lang w:eastAsia="pl-PL"/>
        </w:rPr>
      </w:pPr>
      <w:r w:rsidRPr="00D00185">
        <w:rPr>
          <w:rFonts w:ascii="Calibri" w:eastAsia="Arial" w:hAnsi="Calibri" w:cs="Calibri"/>
          <w:b/>
          <w:sz w:val="24"/>
          <w:szCs w:val="24"/>
          <w:lang w:eastAsia="pl-PL"/>
        </w:rPr>
        <w:t>Uwzględniając powyższe Gł</w:t>
      </w:r>
      <w:r w:rsidR="0048577B">
        <w:rPr>
          <w:rFonts w:ascii="Calibri" w:eastAsia="Arial" w:hAnsi="Calibri" w:cs="Calibri"/>
          <w:b/>
          <w:sz w:val="24"/>
          <w:szCs w:val="24"/>
          <w:lang w:eastAsia="pl-PL"/>
        </w:rPr>
        <w:t>ó</w:t>
      </w:r>
      <w:r w:rsidRPr="00D00185">
        <w:rPr>
          <w:rFonts w:ascii="Calibri" w:eastAsia="Arial" w:hAnsi="Calibri" w:cs="Calibri"/>
          <w:b/>
          <w:sz w:val="24"/>
          <w:szCs w:val="24"/>
          <w:lang w:eastAsia="pl-PL"/>
        </w:rPr>
        <w:t>wna Komisja Orzekająca (dalej zwanej także „GKO</w:t>
      </w:r>
      <w:r w:rsidR="00E23CB9">
        <w:rPr>
          <w:rFonts w:ascii="Calibri" w:eastAsia="Arial" w:hAnsi="Calibri" w:cs="Calibri"/>
          <w:b/>
          <w:sz w:val="24"/>
          <w:szCs w:val="24"/>
          <w:lang w:eastAsia="pl-PL"/>
        </w:rPr>
        <w:t>”</w:t>
      </w:r>
      <w:r w:rsidRPr="00D00185">
        <w:rPr>
          <w:rFonts w:ascii="Calibri" w:eastAsia="Arial" w:hAnsi="Calibri" w:cs="Calibri"/>
          <w:b/>
          <w:sz w:val="24"/>
          <w:szCs w:val="24"/>
          <w:lang w:eastAsia="pl-PL"/>
        </w:rPr>
        <w:t xml:space="preserve">) </w:t>
      </w:r>
      <w:r w:rsidR="0048577B">
        <w:rPr>
          <w:rFonts w:ascii="Calibri" w:eastAsia="Arial" w:hAnsi="Calibri" w:cs="Calibri"/>
          <w:b/>
          <w:sz w:val="24"/>
          <w:szCs w:val="24"/>
          <w:lang w:eastAsia="pl-PL"/>
        </w:rPr>
        <w:t xml:space="preserve">po rozpoznaniu sprawy na rozprawie w dniu 21 </w:t>
      </w:r>
      <w:r w:rsidR="00D16914">
        <w:rPr>
          <w:rFonts w:ascii="Calibri" w:eastAsia="Arial" w:hAnsi="Calibri" w:cs="Calibri"/>
          <w:b/>
          <w:sz w:val="24"/>
          <w:szCs w:val="24"/>
          <w:lang w:eastAsia="pl-PL"/>
        </w:rPr>
        <w:t>marca</w:t>
      </w:r>
      <w:r w:rsidR="0048577B">
        <w:rPr>
          <w:rFonts w:ascii="Calibri" w:eastAsia="Arial" w:hAnsi="Calibri" w:cs="Calibri"/>
          <w:b/>
          <w:sz w:val="24"/>
          <w:szCs w:val="24"/>
          <w:lang w:eastAsia="pl-PL"/>
        </w:rPr>
        <w:t xml:space="preserve"> 2022 r. </w:t>
      </w:r>
      <w:r w:rsidRPr="00D00185">
        <w:rPr>
          <w:rFonts w:ascii="Calibri" w:eastAsia="Arial" w:hAnsi="Calibri" w:cs="Calibri"/>
          <w:b/>
          <w:sz w:val="24"/>
          <w:szCs w:val="24"/>
          <w:lang w:eastAsia="pl-PL"/>
        </w:rPr>
        <w:t>ustaliła i</w:t>
      </w:r>
      <w:r w:rsidR="00834D30">
        <w:rPr>
          <w:rFonts w:ascii="Calibri" w:eastAsia="Arial" w:hAnsi="Calibri" w:cs="Calibri"/>
          <w:b/>
          <w:sz w:val="24"/>
          <w:szCs w:val="24"/>
          <w:lang w:eastAsia="pl-PL"/>
        </w:rPr>
        <w:t> </w:t>
      </w:r>
      <w:r w:rsidRPr="00D00185">
        <w:rPr>
          <w:rFonts w:ascii="Calibri" w:eastAsia="Arial" w:hAnsi="Calibri" w:cs="Calibri"/>
          <w:b/>
          <w:sz w:val="24"/>
          <w:szCs w:val="24"/>
          <w:lang w:eastAsia="pl-PL"/>
        </w:rPr>
        <w:t>zważyła</w:t>
      </w:r>
      <w:r w:rsidR="00992A0B">
        <w:rPr>
          <w:rFonts w:ascii="Calibri" w:eastAsia="Arial" w:hAnsi="Calibri" w:cs="Calibri"/>
          <w:b/>
          <w:sz w:val="24"/>
          <w:szCs w:val="24"/>
          <w:lang w:eastAsia="pl-PL"/>
        </w:rPr>
        <w:t>,</w:t>
      </w:r>
      <w:r w:rsidRPr="00D00185">
        <w:rPr>
          <w:rFonts w:ascii="Calibri" w:eastAsia="Arial" w:hAnsi="Calibri" w:cs="Calibri"/>
          <w:b/>
          <w:sz w:val="24"/>
          <w:szCs w:val="24"/>
          <w:lang w:eastAsia="pl-PL"/>
        </w:rPr>
        <w:t xml:space="preserve"> co następuje.</w:t>
      </w:r>
    </w:p>
    <w:p w:rsidR="006E473E" w:rsidRPr="00D00185" w:rsidRDefault="0048577B" w:rsidP="009F4220">
      <w:pPr>
        <w:spacing w:before="120" w:after="0" w:line="360" w:lineRule="auto"/>
        <w:ind w:left="60" w:right="40"/>
        <w:rPr>
          <w:rFonts w:ascii="Calibri" w:eastAsia="Arial" w:hAnsi="Calibri" w:cs="Calibri"/>
          <w:sz w:val="24"/>
          <w:szCs w:val="24"/>
          <w:lang w:eastAsia="pl-PL"/>
        </w:rPr>
      </w:pPr>
      <w:r>
        <w:rPr>
          <w:rFonts w:ascii="Calibri" w:eastAsia="Arial" w:hAnsi="Calibri" w:cs="Calibri"/>
          <w:sz w:val="24"/>
          <w:szCs w:val="24"/>
          <w:lang w:eastAsia="pl-PL"/>
        </w:rPr>
        <w:t>N</w:t>
      </w:r>
      <w:r w:rsidR="006E473E" w:rsidRPr="00D00185">
        <w:rPr>
          <w:rFonts w:ascii="Calibri" w:eastAsia="Arial" w:hAnsi="Calibri" w:cs="Calibri"/>
          <w:sz w:val="24"/>
          <w:szCs w:val="24"/>
          <w:lang w:eastAsia="pl-PL"/>
        </w:rPr>
        <w:t>a podstawie zebranego materiału dowodowego zgromadzonego w aktach sprawy, GKO postanowiła uchylić w</w:t>
      </w:r>
      <w:r w:rsidR="00847949">
        <w:rPr>
          <w:rFonts w:ascii="Calibri" w:eastAsia="Arial" w:hAnsi="Calibri" w:cs="Calibri"/>
          <w:sz w:val="24"/>
          <w:szCs w:val="24"/>
          <w:lang w:eastAsia="pl-PL"/>
        </w:rPr>
        <w:t> </w:t>
      </w:r>
      <w:r w:rsidR="006E473E" w:rsidRPr="00D00185">
        <w:rPr>
          <w:rFonts w:ascii="Calibri" w:eastAsia="Arial" w:hAnsi="Calibri" w:cs="Calibri"/>
          <w:sz w:val="24"/>
          <w:szCs w:val="24"/>
          <w:lang w:eastAsia="pl-PL"/>
        </w:rPr>
        <w:t xml:space="preserve">całości zaskarżone orzeczenie i uniewinnić </w:t>
      </w:r>
      <w:r w:rsidR="00980607">
        <w:rPr>
          <w:rFonts w:ascii="Calibri" w:eastAsia="Arial" w:hAnsi="Calibri" w:cs="Calibri"/>
          <w:sz w:val="24"/>
          <w:szCs w:val="24"/>
          <w:lang w:eastAsia="pl-PL"/>
        </w:rPr>
        <w:t>Obwinionego</w:t>
      </w:r>
      <w:r w:rsidR="006E473E" w:rsidRPr="00D00185">
        <w:rPr>
          <w:rFonts w:ascii="Calibri" w:eastAsia="Arial" w:hAnsi="Calibri" w:cs="Calibri"/>
          <w:sz w:val="24"/>
          <w:szCs w:val="24"/>
          <w:lang w:eastAsia="pl-PL"/>
        </w:rPr>
        <w:t xml:space="preserve"> od zarzutu naruszenia dyscypliny finansów publicznych określonego w art. 18 pkt 1 </w:t>
      </w:r>
      <w:proofErr w:type="spellStart"/>
      <w:r w:rsidR="006E473E" w:rsidRPr="00D00185">
        <w:rPr>
          <w:rFonts w:ascii="Calibri" w:eastAsia="Arial" w:hAnsi="Calibri" w:cs="Calibri"/>
          <w:sz w:val="24"/>
          <w:szCs w:val="24"/>
          <w:lang w:eastAsia="pl-PL"/>
        </w:rPr>
        <w:t>uondfp</w:t>
      </w:r>
      <w:proofErr w:type="spellEnd"/>
      <w:r w:rsidR="006E473E" w:rsidRPr="00D00185">
        <w:rPr>
          <w:rFonts w:ascii="Calibri" w:eastAsia="Arial" w:hAnsi="Calibri" w:cs="Calibri"/>
          <w:sz w:val="24"/>
          <w:szCs w:val="24"/>
          <w:lang w:eastAsia="pl-PL"/>
        </w:rPr>
        <w:t xml:space="preserve">. </w:t>
      </w:r>
    </w:p>
    <w:p w:rsidR="006E473E" w:rsidRPr="00D00185" w:rsidRDefault="006E473E" w:rsidP="009F4220">
      <w:pPr>
        <w:spacing w:before="120" w:after="0" w:line="360" w:lineRule="auto"/>
        <w:ind w:left="60" w:right="40"/>
        <w:rPr>
          <w:rFonts w:ascii="Calibri" w:eastAsia="Arial" w:hAnsi="Calibri" w:cs="Calibri"/>
          <w:sz w:val="24"/>
          <w:szCs w:val="24"/>
          <w:lang w:eastAsia="pl-PL"/>
        </w:rPr>
      </w:pPr>
      <w:r w:rsidRPr="00D00185">
        <w:rPr>
          <w:rFonts w:ascii="Calibri" w:eastAsia="Arial" w:hAnsi="Calibri" w:cs="Calibri"/>
          <w:sz w:val="24"/>
          <w:szCs w:val="24"/>
          <w:lang w:eastAsia="pl-PL"/>
        </w:rPr>
        <w:t>Należy podkreślić, że powyższe rozstrzygni</w:t>
      </w:r>
      <w:r w:rsidR="0048577B">
        <w:rPr>
          <w:rFonts w:ascii="Calibri" w:eastAsia="Arial" w:hAnsi="Calibri" w:cs="Calibri"/>
          <w:sz w:val="24"/>
          <w:szCs w:val="24"/>
          <w:lang w:eastAsia="pl-PL"/>
        </w:rPr>
        <w:t>ę</w:t>
      </w:r>
      <w:r w:rsidRPr="00D00185">
        <w:rPr>
          <w:rFonts w:ascii="Calibri" w:eastAsia="Arial" w:hAnsi="Calibri" w:cs="Calibri"/>
          <w:sz w:val="24"/>
          <w:szCs w:val="24"/>
          <w:lang w:eastAsia="pl-PL"/>
        </w:rPr>
        <w:t>cie jest zbieżne z wnioskiem sformułowanym w</w:t>
      </w:r>
      <w:r w:rsidR="00834D30">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trakcie rozprawy przed Główną Komisją Orzekającą w Sprawach o Naruszenie Dyscypliny </w:t>
      </w:r>
      <w:r w:rsidRPr="00D00185">
        <w:rPr>
          <w:rFonts w:ascii="Calibri" w:eastAsia="Arial" w:hAnsi="Calibri" w:cs="Calibri"/>
          <w:sz w:val="24"/>
          <w:szCs w:val="24"/>
          <w:lang w:eastAsia="pl-PL"/>
        </w:rPr>
        <w:lastRenderedPageBreak/>
        <w:t xml:space="preserve">Finansów Publicznych przez Zastępcę Głównego Rzecznika Dyscypliny Finansów Publicznych. </w:t>
      </w:r>
    </w:p>
    <w:p w:rsidR="006E473E" w:rsidRPr="00D00185" w:rsidRDefault="006E473E" w:rsidP="00D71A82">
      <w:pPr>
        <w:spacing w:before="120" w:after="0" w:line="360" w:lineRule="auto"/>
        <w:ind w:left="62" w:right="40"/>
        <w:rPr>
          <w:rFonts w:ascii="Calibri" w:eastAsia="Arial" w:hAnsi="Calibri" w:cs="Calibri"/>
          <w:sz w:val="24"/>
          <w:szCs w:val="24"/>
          <w:lang w:eastAsia="pl-PL"/>
        </w:rPr>
      </w:pPr>
      <w:r w:rsidRPr="00D00185">
        <w:rPr>
          <w:rFonts w:ascii="Calibri" w:eastAsia="Arial" w:hAnsi="Calibri" w:cs="Calibri"/>
          <w:sz w:val="24"/>
          <w:szCs w:val="24"/>
          <w:lang w:eastAsia="pl-PL"/>
        </w:rPr>
        <w:t>GKO nie ma zastrzeżeń</w:t>
      </w:r>
      <w:r w:rsidR="0048577B">
        <w:rPr>
          <w:rFonts w:ascii="Calibri" w:eastAsia="Arial" w:hAnsi="Calibri" w:cs="Calibri"/>
          <w:sz w:val="24"/>
          <w:szCs w:val="24"/>
          <w:lang w:eastAsia="pl-PL"/>
        </w:rPr>
        <w:t>,</w:t>
      </w:r>
      <w:r w:rsidRPr="00D00185">
        <w:rPr>
          <w:rFonts w:ascii="Calibri" w:eastAsia="Arial" w:hAnsi="Calibri" w:cs="Calibri"/>
          <w:sz w:val="24"/>
          <w:szCs w:val="24"/>
          <w:lang w:eastAsia="pl-PL"/>
        </w:rPr>
        <w:t xml:space="preserve"> co do przywołania przez RKO właściwych przepisów ustawy o</w:t>
      </w:r>
      <w:r w:rsidR="00834D30">
        <w:rPr>
          <w:rFonts w:ascii="Calibri" w:eastAsia="Arial" w:hAnsi="Calibri" w:cs="Calibri"/>
          <w:sz w:val="24"/>
          <w:szCs w:val="24"/>
          <w:lang w:eastAsia="pl-PL"/>
        </w:rPr>
        <w:t> </w:t>
      </w:r>
      <w:r w:rsidRPr="00D00185">
        <w:rPr>
          <w:rFonts w:ascii="Calibri" w:eastAsia="Arial" w:hAnsi="Calibri" w:cs="Calibri"/>
          <w:sz w:val="24"/>
          <w:szCs w:val="24"/>
          <w:lang w:eastAsia="pl-PL"/>
        </w:rPr>
        <w:t>rachunkowości regulujących proces inwentaryzacji w jednostce, jak również ujętych w</w:t>
      </w:r>
      <w:r w:rsidR="00834D30">
        <w:rPr>
          <w:rFonts w:ascii="Calibri" w:eastAsia="Arial" w:hAnsi="Calibri" w:cs="Calibri"/>
          <w:sz w:val="24"/>
          <w:szCs w:val="24"/>
          <w:lang w:eastAsia="pl-PL"/>
        </w:rPr>
        <w:t> u</w:t>
      </w:r>
      <w:r w:rsidRPr="00D00185">
        <w:rPr>
          <w:rFonts w:ascii="Calibri" w:eastAsia="Arial" w:hAnsi="Calibri" w:cs="Calibri"/>
          <w:sz w:val="24"/>
          <w:szCs w:val="24"/>
          <w:lang w:eastAsia="pl-PL"/>
        </w:rPr>
        <w:t>zasadnieniu do orzeczenia stwierdzeń dotyczących celu i wagi, jakie należy wiązać z</w:t>
      </w:r>
      <w:r w:rsidR="00834D30">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przeprowadzaniem działań inwentaryzacyjnych w jednostce. </w:t>
      </w:r>
    </w:p>
    <w:p w:rsidR="006E473E" w:rsidRPr="00D00185" w:rsidRDefault="006E473E" w:rsidP="009F4220">
      <w:pPr>
        <w:spacing w:before="120" w:after="0" w:line="360" w:lineRule="auto"/>
        <w:ind w:left="60" w:right="40"/>
        <w:rPr>
          <w:rFonts w:ascii="Calibri" w:eastAsia="Arial" w:hAnsi="Calibri" w:cs="Calibri"/>
          <w:sz w:val="24"/>
          <w:szCs w:val="24"/>
          <w:lang w:eastAsia="pl-PL"/>
        </w:rPr>
      </w:pPr>
      <w:r w:rsidRPr="00D00185">
        <w:rPr>
          <w:rFonts w:ascii="Calibri" w:eastAsia="Arial" w:hAnsi="Calibri" w:cs="Calibri"/>
          <w:sz w:val="24"/>
          <w:szCs w:val="24"/>
          <w:lang w:eastAsia="pl-PL"/>
        </w:rPr>
        <w:t xml:space="preserve">W swoich rozważaniach, i będącym ich skutkiem rozstrzygnięciu, Regionalna Komisja Orzekająca skupiła się jednakże praktycznie wyłącznie na celu inwentaryzacji, który to cel istotnie nie został w przypadku przedmiotowej inwentaryzacji osiągnięty. </w:t>
      </w:r>
    </w:p>
    <w:p w:rsidR="006E473E" w:rsidRPr="00D00185" w:rsidRDefault="006E473E" w:rsidP="009F4220">
      <w:pPr>
        <w:spacing w:before="120" w:after="0" w:line="360" w:lineRule="auto"/>
        <w:ind w:left="60" w:right="40"/>
        <w:rPr>
          <w:rFonts w:ascii="Calibri" w:eastAsia="Arial" w:hAnsi="Calibri" w:cs="Calibri"/>
          <w:sz w:val="24"/>
          <w:szCs w:val="24"/>
          <w:lang w:eastAsia="pl-PL"/>
        </w:rPr>
      </w:pPr>
      <w:r w:rsidRPr="00D00185">
        <w:rPr>
          <w:rFonts w:ascii="Calibri" w:eastAsia="Arial" w:hAnsi="Calibri" w:cs="Calibri"/>
          <w:sz w:val="24"/>
          <w:szCs w:val="24"/>
          <w:lang w:eastAsia="pl-PL"/>
        </w:rPr>
        <w:t xml:space="preserve">Tymczasem, biorąc pod uwagę, iż zgodnie z art. 18 pkt 1 </w:t>
      </w:r>
      <w:proofErr w:type="spellStart"/>
      <w:r w:rsidRPr="00D00185">
        <w:rPr>
          <w:rFonts w:ascii="Calibri" w:eastAsia="Arial" w:hAnsi="Calibri" w:cs="Calibri"/>
          <w:sz w:val="24"/>
          <w:szCs w:val="24"/>
          <w:lang w:eastAsia="pl-PL"/>
        </w:rPr>
        <w:t>uondfp</w:t>
      </w:r>
      <w:proofErr w:type="spellEnd"/>
      <w:r w:rsidRPr="00D00185">
        <w:rPr>
          <w:rFonts w:ascii="Calibri" w:eastAsia="Arial" w:hAnsi="Calibri" w:cs="Calibri"/>
          <w:sz w:val="24"/>
          <w:szCs w:val="24"/>
          <w:lang w:eastAsia="pl-PL"/>
        </w:rPr>
        <w:t xml:space="preserve"> naruszeniem dyscypliny finansów publicznych jest zaniechanie przeprowadzenia lub rozliczenia inwentaryzacji albo przeprowadzenie lub rozliczenie inwentaryzacji w sposób niezgodny z przepisami ustawy o</w:t>
      </w:r>
      <w:r w:rsidR="00834D30">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rachunkowości, analiza co do naruszenia art. 18 pkt. 1 </w:t>
      </w:r>
      <w:proofErr w:type="spellStart"/>
      <w:r w:rsidRPr="00D00185">
        <w:rPr>
          <w:rFonts w:ascii="Calibri" w:eastAsia="Arial" w:hAnsi="Calibri" w:cs="Calibri"/>
          <w:sz w:val="24"/>
          <w:szCs w:val="24"/>
          <w:lang w:eastAsia="pl-PL"/>
        </w:rPr>
        <w:t>uondfp</w:t>
      </w:r>
      <w:proofErr w:type="spellEnd"/>
      <w:r w:rsidRPr="00D00185">
        <w:rPr>
          <w:rFonts w:ascii="Calibri" w:eastAsia="Arial" w:hAnsi="Calibri" w:cs="Calibri"/>
          <w:sz w:val="24"/>
          <w:szCs w:val="24"/>
          <w:lang w:eastAsia="pl-PL"/>
        </w:rPr>
        <w:t xml:space="preserve"> powinna być dokonywana każdorazowo w oparciu o stosowne przepisy ustawy o rachunkowości.</w:t>
      </w:r>
    </w:p>
    <w:p w:rsidR="006E473E" w:rsidRPr="00D00185" w:rsidRDefault="006E473E" w:rsidP="009F4220">
      <w:pPr>
        <w:spacing w:before="120" w:after="0" w:line="360" w:lineRule="auto"/>
        <w:ind w:right="40"/>
        <w:rPr>
          <w:rFonts w:ascii="Calibri" w:eastAsia="Arial" w:hAnsi="Calibri" w:cs="Calibri"/>
          <w:sz w:val="24"/>
          <w:szCs w:val="24"/>
          <w:lang w:eastAsia="pl-PL"/>
        </w:rPr>
      </w:pPr>
      <w:r w:rsidRPr="00D00185">
        <w:rPr>
          <w:rFonts w:ascii="Calibri" w:eastAsia="Arial" w:hAnsi="Calibri" w:cs="Calibri"/>
          <w:sz w:val="24"/>
          <w:szCs w:val="24"/>
          <w:lang w:eastAsia="pl-PL"/>
        </w:rPr>
        <w:t xml:space="preserve">W związku z tym także ustalenia </w:t>
      </w:r>
      <w:r w:rsidR="00992A0B">
        <w:rPr>
          <w:rFonts w:ascii="Calibri" w:eastAsia="Arial" w:hAnsi="Calibri" w:cs="Calibri"/>
          <w:sz w:val="24"/>
          <w:szCs w:val="24"/>
          <w:lang w:eastAsia="pl-PL"/>
        </w:rPr>
        <w:t>RKO</w:t>
      </w:r>
      <w:r w:rsidRPr="00D00185">
        <w:rPr>
          <w:rFonts w:ascii="Calibri" w:eastAsia="Arial" w:hAnsi="Calibri" w:cs="Calibri"/>
          <w:sz w:val="24"/>
          <w:szCs w:val="24"/>
          <w:lang w:eastAsia="pl-PL"/>
        </w:rPr>
        <w:t xml:space="preserve"> co do naruszenia art. 18 pkt. 1 </w:t>
      </w:r>
      <w:proofErr w:type="spellStart"/>
      <w:r w:rsidRPr="00D00185">
        <w:rPr>
          <w:rFonts w:ascii="Calibri" w:eastAsia="Arial" w:hAnsi="Calibri" w:cs="Calibri"/>
          <w:sz w:val="24"/>
          <w:szCs w:val="24"/>
          <w:lang w:eastAsia="pl-PL"/>
        </w:rPr>
        <w:t>uondfp</w:t>
      </w:r>
      <w:proofErr w:type="spellEnd"/>
      <w:r w:rsidRPr="00D00185">
        <w:rPr>
          <w:rFonts w:ascii="Calibri" w:eastAsia="Arial" w:hAnsi="Calibri" w:cs="Calibri"/>
          <w:sz w:val="24"/>
          <w:szCs w:val="24"/>
          <w:lang w:eastAsia="pl-PL"/>
        </w:rPr>
        <w:t xml:space="preserve"> powinny opierać się w tym konkretnym przypadku na ocenie dotyczącej zastosowania, w odniesieniu do składników majątkowych podlegających inwentaryzacji, właściwej tj. przypisanej im ustawowo metody inwentaryzacji.  </w:t>
      </w:r>
    </w:p>
    <w:p w:rsidR="006E473E" w:rsidRPr="00D00185" w:rsidRDefault="006E473E" w:rsidP="00D71A82">
      <w:pPr>
        <w:spacing w:before="120" w:after="0" w:line="360" w:lineRule="auto"/>
        <w:ind w:right="40"/>
        <w:rPr>
          <w:rFonts w:ascii="Calibri" w:eastAsia="Arial" w:hAnsi="Calibri" w:cs="Calibri"/>
          <w:sz w:val="24"/>
          <w:szCs w:val="24"/>
          <w:lang w:eastAsia="pl-PL"/>
        </w:rPr>
      </w:pPr>
      <w:r w:rsidRPr="00D00185">
        <w:rPr>
          <w:rFonts w:ascii="Calibri" w:eastAsia="Arial" w:hAnsi="Calibri" w:cs="Calibri"/>
          <w:sz w:val="24"/>
          <w:szCs w:val="24"/>
          <w:lang w:eastAsia="pl-PL"/>
        </w:rPr>
        <w:t>Ustawa o rachunkowości określa trzy metody inwentaryzacji: spis z natury, uzgodnienie sald oraz weryfikację, przy czym wybór metody uzależniony jest od składników aktywów i pasywów podlegających działaniom inwentaryzacyjnym. Zgodnie z art. 26 ust. 1 pkt 3 ustawy o rachunkowości, w odniesieniu do środków trwałych, do których dostęp jest znacznie utrudniony, gruntów oraz praw zakwalifikowanych do nieruchomości, należności spornych i wątpliwych, a w bankach również należności zagrożonych, należności i</w:t>
      </w:r>
      <w:r w:rsidR="00834D30">
        <w:rPr>
          <w:rFonts w:ascii="Calibri" w:eastAsia="Arial" w:hAnsi="Calibri" w:cs="Calibri"/>
          <w:sz w:val="24"/>
          <w:szCs w:val="24"/>
          <w:lang w:eastAsia="pl-PL"/>
        </w:rPr>
        <w:t> </w:t>
      </w:r>
      <w:r w:rsidRPr="00D00185">
        <w:rPr>
          <w:rFonts w:ascii="Calibri" w:eastAsia="Arial" w:hAnsi="Calibri" w:cs="Calibri"/>
          <w:sz w:val="24"/>
          <w:szCs w:val="24"/>
          <w:lang w:eastAsia="pl-PL"/>
        </w:rPr>
        <w:t>zobowiązań wobec osób nieprowadzących ksiąg rachunkowych, z tytułów publicznoprawnych, a także aktywów i pasywów niewymienionych w pkt 1 i 2 oraz wymienionych w pkt 1 i 2, jeżeli przeprowadzenie ich spisu z natury lub uzgodnienie z</w:t>
      </w:r>
      <w:r w:rsidR="00834D30">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przyczyn uzasadnionych nie było możliwe – inwentaryzację przeprowadza się na ostatni dzień roku obrotowego – drogą porównania danych ksiąg rachunkowych z odpowiednimi dokumentami i weryfikacji wartości tych składników. </w:t>
      </w:r>
    </w:p>
    <w:p w:rsidR="006E473E" w:rsidRPr="00D00185" w:rsidRDefault="006E473E" w:rsidP="00D71A82">
      <w:pPr>
        <w:spacing w:before="120" w:after="0" w:line="360" w:lineRule="auto"/>
        <w:ind w:left="62" w:right="40"/>
        <w:rPr>
          <w:rFonts w:ascii="Calibri" w:eastAsia="Arial" w:hAnsi="Calibri" w:cs="Calibri"/>
          <w:sz w:val="24"/>
          <w:szCs w:val="24"/>
          <w:lang w:eastAsia="pl-PL"/>
        </w:rPr>
      </w:pPr>
      <w:r w:rsidRPr="00D00185">
        <w:rPr>
          <w:rFonts w:ascii="Calibri" w:eastAsia="Arial" w:hAnsi="Calibri" w:cs="Calibri"/>
          <w:sz w:val="24"/>
          <w:szCs w:val="24"/>
          <w:lang w:eastAsia="pl-PL"/>
        </w:rPr>
        <w:lastRenderedPageBreak/>
        <w:t>Z zebranego materiału dowodowego wynika, że taka właśnie weryfikacja została terminowo dokonana przez Komisję inwentaryzacyjną. Przeprowadzona weryfikacja nie ujawniła żadnych różnic i to ustalenie nie zostało na żadnym z etapów post</w:t>
      </w:r>
      <w:r w:rsidR="00B229A6">
        <w:rPr>
          <w:rFonts w:ascii="Calibri" w:eastAsia="Arial" w:hAnsi="Calibri" w:cs="Calibri"/>
          <w:sz w:val="24"/>
          <w:szCs w:val="24"/>
          <w:lang w:eastAsia="pl-PL"/>
        </w:rPr>
        <w:t>ę</w:t>
      </w:r>
      <w:r w:rsidRPr="00D00185">
        <w:rPr>
          <w:rFonts w:ascii="Calibri" w:eastAsia="Arial" w:hAnsi="Calibri" w:cs="Calibri"/>
          <w:sz w:val="24"/>
          <w:szCs w:val="24"/>
          <w:lang w:eastAsia="pl-PL"/>
        </w:rPr>
        <w:t>powania zakwestionowane.  W uzasadnieniu RKO wyraźnie wskazuje na fakt, iż dokumenty dotyczące weryfikacji środków trwałych na dzień 31.12.2017 potwierdzają</w:t>
      </w:r>
      <w:r w:rsidR="00992A0B">
        <w:rPr>
          <w:rFonts w:ascii="Calibri" w:eastAsia="Arial" w:hAnsi="Calibri" w:cs="Calibri"/>
          <w:sz w:val="24"/>
          <w:szCs w:val="24"/>
          <w:lang w:eastAsia="pl-PL"/>
        </w:rPr>
        <w:t xml:space="preserve"> </w:t>
      </w:r>
      <w:r w:rsidRPr="00D00185">
        <w:rPr>
          <w:rFonts w:ascii="Calibri" w:eastAsia="Arial" w:hAnsi="Calibri" w:cs="Calibri"/>
          <w:sz w:val="24"/>
          <w:szCs w:val="24"/>
          <w:lang w:eastAsia="pl-PL"/>
        </w:rPr>
        <w:t>wartość gruntów w kwocie 7.548.661,76 zł oraz fakt, iż są to dane zgodne z Księgami Inwentarzowymi Środki Trwałe. Taka sama wartość figuruje również w bilansie wg. stanu na 31.12.2017 r., w poz. A.II.1.1. Grunty. Załącznik do protokołu kontroli dokument „Protokół weryfikacji aktywów i</w:t>
      </w:r>
      <w:r w:rsidR="009575E6">
        <w:rPr>
          <w:rFonts w:ascii="Calibri" w:eastAsia="Arial" w:hAnsi="Calibri" w:cs="Calibri"/>
          <w:sz w:val="24"/>
          <w:szCs w:val="24"/>
          <w:lang w:eastAsia="pl-PL"/>
        </w:rPr>
        <w:t> </w:t>
      </w:r>
      <w:r w:rsidRPr="00D00185">
        <w:rPr>
          <w:rFonts w:ascii="Calibri" w:eastAsia="Arial" w:hAnsi="Calibri" w:cs="Calibri"/>
          <w:sz w:val="24"/>
          <w:szCs w:val="24"/>
          <w:lang w:eastAsia="pl-PL"/>
        </w:rPr>
        <w:t>pasywów na dzień 31.12.2017 r. - sposób przeprowadzenia: spis z natury, weryfikacja. Weryfikacja przeprowadzona w dniu 20 marca 2018 roku" nie wykazuje w części dotyczącej pozycji Grunty (konto 011) żadnych różnic dokumentacji ze stanem faktycznym, w kolumnie Uwagi - Wnioski zapisano: „Inwentaryzacja została prawidłowo rozliczona - po uwzględnieniu różnic inwentarzowych wynikających ze spisu z natury stan faktyczny zgodny z księgami inwentarzowymi i rachunkowymi. Zweryfikowano odpisy amortyzacyjne za rok 2017".</w:t>
      </w:r>
    </w:p>
    <w:p w:rsidR="006E473E" w:rsidRPr="00D00185" w:rsidRDefault="006E473E" w:rsidP="009F4220">
      <w:pPr>
        <w:spacing w:before="120" w:after="0" w:line="360" w:lineRule="auto"/>
        <w:ind w:left="60" w:right="40"/>
        <w:rPr>
          <w:rFonts w:ascii="Calibri" w:eastAsia="Arial" w:hAnsi="Calibri" w:cs="Calibri"/>
          <w:sz w:val="24"/>
          <w:szCs w:val="24"/>
          <w:lang w:eastAsia="pl-PL"/>
        </w:rPr>
      </w:pPr>
      <w:r w:rsidRPr="00D00185">
        <w:rPr>
          <w:rFonts w:ascii="Calibri" w:eastAsia="Arial" w:hAnsi="Calibri" w:cs="Calibri"/>
          <w:sz w:val="24"/>
          <w:szCs w:val="24"/>
          <w:lang w:eastAsia="pl-PL"/>
        </w:rPr>
        <w:t>RKO wskazuje jednocześnie, że kwota 7 548 661,76 nie zawiera wartości gruntów dotyczących 25 działek, przy czym – co jest kluczowe w opinii GKO - z materiału dowodowego jednoznacznie wynika, że – na dzień 31 grudnia – grunty, których dotyczy post</w:t>
      </w:r>
      <w:r w:rsidR="00B229A6">
        <w:rPr>
          <w:rFonts w:ascii="Calibri" w:eastAsia="Arial" w:hAnsi="Calibri" w:cs="Calibri"/>
          <w:sz w:val="24"/>
          <w:szCs w:val="24"/>
          <w:lang w:eastAsia="pl-PL"/>
        </w:rPr>
        <w:t>ę</w:t>
      </w:r>
      <w:r w:rsidRPr="00D00185">
        <w:rPr>
          <w:rFonts w:ascii="Calibri" w:eastAsia="Arial" w:hAnsi="Calibri" w:cs="Calibri"/>
          <w:sz w:val="24"/>
          <w:szCs w:val="24"/>
          <w:lang w:eastAsia="pl-PL"/>
        </w:rPr>
        <w:t>powanie nie figurowały w księgach rachunkowych, zatem nie było możliwości porównania ich wartości z odpowiednimi materiałami źródłowymi. Prowadząc inwentaryzację zgodnie z obowiązującymi przepisami o rachunkowości Komisja inwetaryzacyjna nie miała możliwości ujawnienia niezgodności.</w:t>
      </w:r>
    </w:p>
    <w:p w:rsidR="00EB69EF" w:rsidRPr="00D00185" w:rsidRDefault="006E473E" w:rsidP="009F4220">
      <w:pPr>
        <w:spacing w:before="120" w:after="0" w:line="360" w:lineRule="auto"/>
        <w:ind w:left="60" w:right="40"/>
        <w:rPr>
          <w:rFonts w:ascii="Calibri" w:eastAsia="Arial" w:hAnsi="Calibri" w:cs="Calibri"/>
          <w:sz w:val="24"/>
          <w:szCs w:val="24"/>
          <w:lang w:eastAsia="pl-PL"/>
        </w:rPr>
      </w:pPr>
      <w:r w:rsidRPr="00D00185">
        <w:rPr>
          <w:rFonts w:ascii="Calibri" w:eastAsia="Arial" w:hAnsi="Calibri" w:cs="Calibri"/>
          <w:sz w:val="24"/>
          <w:szCs w:val="24"/>
          <w:lang w:eastAsia="pl-PL"/>
        </w:rPr>
        <w:t>Należy podkreślić, że regulacje w zakresie inwentaryzacji gruntów obligują przeprowadzającego inwentaryzację do porównania i odpowiedniej weryfikacji wartości tych danych, które wg stanu na ostatni dzień roku obrotowego, w księgach rachunkowych figurują. W związku z tym, że działania inwentaryzacyjne zostały przeprowadzone zgodnie z</w:t>
      </w:r>
      <w:r w:rsidR="009575E6">
        <w:rPr>
          <w:rFonts w:ascii="Calibri" w:eastAsia="Arial" w:hAnsi="Calibri" w:cs="Calibri"/>
          <w:sz w:val="24"/>
          <w:szCs w:val="24"/>
          <w:lang w:eastAsia="pl-PL"/>
        </w:rPr>
        <w:t> </w:t>
      </w:r>
      <w:r w:rsidRPr="00D00185">
        <w:rPr>
          <w:rFonts w:ascii="Calibri" w:eastAsia="Arial" w:hAnsi="Calibri" w:cs="Calibri"/>
          <w:sz w:val="24"/>
          <w:szCs w:val="24"/>
          <w:lang w:eastAsia="pl-PL"/>
        </w:rPr>
        <w:t xml:space="preserve">przepisami ustawy o rachunkowości, orzeczenie RKO, uznające Pana </w:t>
      </w:r>
      <w:r w:rsidR="001C2F5A">
        <w:rPr>
          <w:rFonts w:ascii="Calibri" w:eastAsia="Arial" w:hAnsi="Calibri" w:cs="Calibri"/>
          <w:sz w:val="24"/>
          <w:szCs w:val="24"/>
          <w:lang w:eastAsia="pl-PL"/>
        </w:rPr>
        <w:t>(...)</w:t>
      </w:r>
      <w:r w:rsidRPr="00D00185">
        <w:rPr>
          <w:rFonts w:ascii="Calibri" w:eastAsia="Arial" w:hAnsi="Calibri" w:cs="Calibri"/>
          <w:sz w:val="24"/>
          <w:szCs w:val="24"/>
          <w:lang w:eastAsia="pl-PL"/>
        </w:rPr>
        <w:t xml:space="preserve"> </w:t>
      </w:r>
      <w:r w:rsidR="00B229A6">
        <w:rPr>
          <w:rFonts w:ascii="Calibri" w:eastAsia="Arial" w:hAnsi="Calibri" w:cs="Calibri"/>
          <w:sz w:val="24"/>
          <w:szCs w:val="24"/>
          <w:lang w:eastAsia="pl-PL"/>
        </w:rPr>
        <w:t xml:space="preserve">za </w:t>
      </w:r>
      <w:r w:rsidR="00B229A6" w:rsidRPr="00D00185">
        <w:rPr>
          <w:rFonts w:ascii="Calibri" w:eastAsia="Arial" w:hAnsi="Calibri" w:cs="Calibri"/>
          <w:sz w:val="24"/>
          <w:szCs w:val="24"/>
          <w:lang w:eastAsia="pl-PL"/>
        </w:rPr>
        <w:t>odpowiedzialn</w:t>
      </w:r>
      <w:r w:rsidR="00B229A6">
        <w:rPr>
          <w:rFonts w:ascii="Calibri" w:eastAsia="Arial" w:hAnsi="Calibri" w:cs="Calibri"/>
          <w:sz w:val="24"/>
          <w:szCs w:val="24"/>
          <w:lang w:eastAsia="pl-PL"/>
        </w:rPr>
        <w:t>ego</w:t>
      </w:r>
      <w:r w:rsidR="00B229A6" w:rsidRPr="00D00185">
        <w:rPr>
          <w:rFonts w:ascii="Calibri" w:eastAsia="Arial" w:hAnsi="Calibri" w:cs="Calibri"/>
          <w:sz w:val="24"/>
          <w:szCs w:val="24"/>
          <w:lang w:eastAsia="pl-PL"/>
        </w:rPr>
        <w:t xml:space="preserve"> </w:t>
      </w:r>
      <w:r w:rsidRPr="00D00185">
        <w:rPr>
          <w:rFonts w:ascii="Calibri" w:eastAsia="Arial" w:hAnsi="Calibri" w:cs="Calibri"/>
          <w:sz w:val="24"/>
          <w:szCs w:val="24"/>
          <w:lang w:eastAsia="pl-PL"/>
        </w:rPr>
        <w:t xml:space="preserve"> naruszeni</w:t>
      </w:r>
      <w:r w:rsidR="00B229A6">
        <w:rPr>
          <w:rFonts w:ascii="Calibri" w:eastAsia="Arial" w:hAnsi="Calibri" w:cs="Calibri"/>
          <w:sz w:val="24"/>
          <w:szCs w:val="24"/>
          <w:lang w:eastAsia="pl-PL"/>
        </w:rPr>
        <w:t>a</w:t>
      </w:r>
      <w:r w:rsidR="00D71A82">
        <w:rPr>
          <w:rFonts w:ascii="Calibri" w:eastAsia="Arial" w:hAnsi="Calibri" w:cs="Calibri"/>
          <w:sz w:val="24"/>
          <w:szCs w:val="24"/>
          <w:lang w:eastAsia="pl-PL"/>
        </w:rPr>
        <w:t xml:space="preserve"> dyscypliny finansów publicznych, określone w</w:t>
      </w:r>
      <w:r w:rsidRPr="00D00185">
        <w:rPr>
          <w:rFonts w:ascii="Calibri" w:eastAsia="Arial" w:hAnsi="Calibri" w:cs="Calibri"/>
          <w:sz w:val="24"/>
          <w:szCs w:val="24"/>
          <w:lang w:eastAsia="pl-PL"/>
        </w:rPr>
        <w:t xml:space="preserve"> art. 18 pkt 1 </w:t>
      </w:r>
      <w:proofErr w:type="spellStart"/>
      <w:r w:rsidRPr="00D00185">
        <w:rPr>
          <w:rFonts w:ascii="Calibri" w:eastAsia="Arial" w:hAnsi="Calibri" w:cs="Calibri"/>
          <w:sz w:val="24"/>
          <w:szCs w:val="24"/>
          <w:lang w:eastAsia="pl-PL"/>
        </w:rPr>
        <w:t>uondfp</w:t>
      </w:r>
      <w:proofErr w:type="spellEnd"/>
      <w:r w:rsidRPr="00D00185">
        <w:rPr>
          <w:rFonts w:ascii="Calibri" w:eastAsia="Arial" w:hAnsi="Calibri" w:cs="Calibri"/>
          <w:sz w:val="24"/>
          <w:szCs w:val="24"/>
          <w:lang w:eastAsia="pl-PL"/>
        </w:rPr>
        <w:t xml:space="preserve">, należy uznać za bezpodstawne. </w:t>
      </w:r>
      <w:r w:rsidR="009E64F6" w:rsidRPr="009E64F6">
        <w:rPr>
          <w:rFonts w:ascii="Calibri" w:eastAsia="Arial" w:hAnsi="Calibri" w:cs="Calibri"/>
          <w:sz w:val="24"/>
          <w:szCs w:val="24"/>
          <w:lang w:eastAsia="pl-PL"/>
        </w:rPr>
        <w:t>Nieprawidłowości związane z nierzetelnym prowadzeniem ksiąg rachunkowych mogą być</w:t>
      </w:r>
      <w:r w:rsidR="009E64F6">
        <w:rPr>
          <w:rFonts w:ascii="Calibri" w:eastAsia="Arial" w:hAnsi="Calibri" w:cs="Calibri"/>
          <w:sz w:val="24"/>
          <w:szCs w:val="24"/>
          <w:lang w:eastAsia="pl-PL"/>
        </w:rPr>
        <w:t xml:space="preserve"> ewentualnie </w:t>
      </w:r>
      <w:r w:rsidR="009E64F6" w:rsidRPr="009E64F6">
        <w:rPr>
          <w:rFonts w:ascii="Calibri" w:eastAsia="Arial" w:hAnsi="Calibri" w:cs="Calibri"/>
          <w:sz w:val="24"/>
          <w:szCs w:val="24"/>
          <w:lang w:eastAsia="pl-PL"/>
        </w:rPr>
        <w:t xml:space="preserve">zakwalifikowane jako </w:t>
      </w:r>
      <w:r w:rsidR="009E64F6" w:rsidRPr="009E64F6">
        <w:rPr>
          <w:rFonts w:ascii="Calibri" w:eastAsia="Arial" w:hAnsi="Calibri" w:cs="Calibri"/>
          <w:sz w:val="24"/>
          <w:szCs w:val="24"/>
          <w:lang w:eastAsia="pl-PL"/>
        </w:rPr>
        <w:lastRenderedPageBreak/>
        <w:t xml:space="preserve">przestępstwo (art. 77 pkt 1 ustawy o rachunkowości), </w:t>
      </w:r>
      <w:r w:rsidR="009E64F6">
        <w:rPr>
          <w:rFonts w:ascii="Calibri" w:eastAsia="Arial" w:hAnsi="Calibri" w:cs="Calibri"/>
          <w:sz w:val="24"/>
          <w:szCs w:val="24"/>
          <w:lang w:eastAsia="pl-PL"/>
        </w:rPr>
        <w:t>a nie naruszenie dyscypliny finansów publicznych.</w:t>
      </w:r>
    </w:p>
    <w:p w:rsidR="006E473E" w:rsidRPr="00D00185" w:rsidRDefault="006E473E" w:rsidP="009F4220">
      <w:pPr>
        <w:spacing w:before="120" w:after="0" w:line="360" w:lineRule="auto"/>
        <w:ind w:left="60" w:right="40"/>
        <w:rPr>
          <w:rFonts w:ascii="Calibri" w:eastAsia="Arial" w:hAnsi="Calibri" w:cs="Calibri"/>
          <w:sz w:val="24"/>
          <w:szCs w:val="24"/>
          <w:lang w:eastAsia="pl-PL"/>
        </w:rPr>
      </w:pPr>
      <w:r w:rsidRPr="00D00185">
        <w:rPr>
          <w:rFonts w:ascii="Calibri" w:eastAsia="Arial" w:hAnsi="Calibri" w:cs="Calibri"/>
          <w:sz w:val="24"/>
          <w:szCs w:val="24"/>
          <w:lang w:eastAsia="pl-PL"/>
        </w:rPr>
        <w:t xml:space="preserve">Stwierdzenie, iż w zarzucanym Obwinionemu czynie brak jest znamion naruszenia dyscypliny finansów publicznych, zobligowało GKO –  stosownie do art. 78 ust. 3 </w:t>
      </w:r>
      <w:proofErr w:type="spellStart"/>
      <w:r w:rsidRPr="00D00185">
        <w:rPr>
          <w:rFonts w:ascii="Calibri" w:eastAsia="Arial" w:hAnsi="Calibri" w:cs="Calibri"/>
          <w:sz w:val="24"/>
          <w:szCs w:val="24"/>
          <w:lang w:eastAsia="pl-PL"/>
        </w:rPr>
        <w:t>uondfp</w:t>
      </w:r>
      <w:proofErr w:type="spellEnd"/>
      <w:r w:rsidRPr="00D00185">
        <w:rPr>
          <w:rFonts w:ascii="Calibri" w:eastAsia="Arial" w:hAnsi="Calibri" w:cs="Calibri"/>
          <w:sz w:val="24"/>
          <w:szCs w:val="24"/>
          <w:lang w:eastAsia="pl-PL"/>
        </w:rPr>
        <w:t xml:space="preserve"> –  do wydania orzeczenia o uniewinnieniu. </w:t>
      </w:r>
    </w:p>
    <w:p w:rsidR="006E473E" w:rsidRPr="00D00185" w:rsidRDefault="006E473E" w:rsidP="009F4220">
      <w:pPr>
        <w:spacing w:before="120" w:after="0" w:line="360" w:lineRule="auto"/>
        <w:ind w:left="60" w:right="40"/>
        <w:rPr>
          <w:rFonts w:ascii="Calibri" w:eastAsia="Arial" w:hAnsi="Calibri" w:cs="Calibri"/>
          <w:sz w:val="24"/>
          <w:szCs w:val="24"/>
          <w:lang w:eastAsia="pl-PL"/>
        </w:rPr>
      </w:pPr>
      <w:r w:rsidRPr="00D00185">
        <w:rPr>
          <w:rFonts w:ascii="Calibri" w:eastAsia="Arial" w:hAnsi="Calibri" w:cs="Calibri"/>
          <w:sz w:val="24"/>
          <w:szCs w:val="24"/>
          <w:lang w:eastAsia="pl-PL"/>
        </w:rPr>
        <w:t xml:space="preserve">Biorąc pod uwagę, iż jest to rozstrzygnięcie najkorzystniejsze dla </w:t>
      </w:r>
      <w:r w:rsidR="00B229A6">
        <w:rPr>
          <w:rFonts w:ascii="Calibri" w:eastAsia="Arial" w:hAnsi="Calibri" w:cs="Calibri"/>
          <w:sz w:val="24"/>
          <w:szCs w:val="24"/>
          <w:lang w:eastAsia="pl-PL"/>
        </w:rPr>
        <w:t>O</w:t>
      </w:r>
      <w:r w:rsidRPr="00D00185">
        <w:rPr>
          <w:rFonts w:ascii="Calibri" w:eastAsia="Arial" w:hAnsi="Calibri" w:cs="Calibri"/>
          <w:sz w:val="24"/>
          <w:szCs w:val="24"/>
          <w:lang w:eastAsia="pl-PL"/>
        </w:rPr>
        <w:t xml:space="preserve">bwinionego, mimo że podyktowane innymi przyczynami niż te, na które wskazano w odwołaniu, </w:t>
      </w:r>
      <w:r w:rsidR="00D71A82">
        <w:rPr>
          <w:rFonts w:ascii="Calibri" w:eastAsia="Arial" w:hAnsi="Calibri" w:cs="Calibri"/>
          <w:sz w:val="24"/>
          <w:szCs w:val="24"/>
          <w:lang w:eastAsia="pl-PL"/>
        </w:rPr>
        <w:t xml:space="preserve">nie ma potrzeby </w:t>
      </w:r>
      <w:r w:rsidRPr="00D00185">
        <w:rPr>
          <w:rFonts w:ascii="Calibri" w:eastAsia="Arial" w:hAnsi="Calibri" w:cs="Calibri"/>
          <w:sz w:val="24"/>
          <w:szCs w:val="24"/>
          <w:lang w:eastAsia="pl-PL"/>
        </w:rPr>
        <w:t>odnos</w:t>
      </w:r>
      <w:r w:rsidR="00D71A82">
        <w:rPr>
          <w:rFonts w:ascii="Calibri" w:eastAsia="Arial" w:hAnsi="Calibri" w:cs="Calibri"/>
          <w:sz w:val="24"/>
          <w:szCs w:val="24"/>
          <w:lang w:eastAsia="pl-PL"/>
        </w:rPr>
        <w:t>zenia</w:t>
      </w:r>
      <w:r w:rsidRPr="00D00185">
        <w:rPr>
          <w:rFonts w:ascii="Calibri" w:eastAsia="Arial" w:hAnsi="Calibri" w:cs="Calibri"/>
          <w:sz w:val="24"/>
          <w:szCs w:val="24"/>
          <w:lang w:eastAsia="pl-PL"/>
        </w:rPr>
        <w:t xml:space="preserve"> się w sposób szczegółowy do argumentów w nim podniesionych.  Nie sposób jednak całkowicie zignorować stwierdzenia zawartego w odwołaniu, że zniekształcenie danych, jako że nie prowadzi wprost do uszczuplenia środków publicznych, świadczy o znikomej szkodliwości dla finansów publicznych. GKO pragnie podkreślić, że zgodnie z utrwalonym orzecznictwem GKO, szkodliwość dla ładu finansów publicznych nie może być utożsamiana wyłącznie ze wystąpieniem straty finansowej dla jednostki sektora finansów publicznych. Można to wywnioskować przede wszystkim z ustawowego katalogu naruszeń dyscypliny finansów publicznych obejmującego również czyny, które nie skutkują w sposób bezpośredni stratą finansową (por. orzeczenie GKO z 29 lipca 2004 r., DF/GKO/Odw.-39/56/2004/595). Należy mieć na względzie, że inwentaryzacja jest bardzo istotnym narzędziem kontroli zarządczej w jednostce. W związku z tym obszar ten –</w:t>
      </w:r>
      <w:r w:rsidR="00D71A82">
        <w:rPr>
          <w:rFonts w:ascii="Calibri" w:eastAsia="Arial" w:hAnsi="Calibri" w:cs="Calibri"/>
          <w:sz w:val="24"/>
          <w:szCs w:val="24"/>
          <w:lang w:eastAsia="pl-PL"/>
        </w:rPr>
        <w:t xml:space="preserve"> </w:t>
      </w:r>
      <w:r w:rsidRPr="00D00185">
        <w:rPr>
          <w:rFonts w:ascii="Calibri" w:eastAsia="Arial" w:hAnsi="Calibri" w:cs="Calibri"/>
          <w:sz w:val="24"/>
          <w:szCs w:val="24"/>
          <w:lang w:eastAsia="pl-PL"/>
        </w:rPr>
        <w:t xml:space="preserve"> mimo iż nie wiąże się w sposób bezpośredni z gromadzeniem czy wydatkowaniem środków i co za tym idzie naruszenie przepisów dot. inwentaryzacji najczęściej nie wiąże się z</w:t>
      </w:r>
      <w:r w:rsidR="009575E6">
        <w:rPr>
          <w:rFonts w:ascii="Calibri" w:eastAsia="Arial" w:hAnsi="Calibri" w:cs="Calibri"/>
          <w:sz w:val="24"/>
          <w:szCs w:val="24"/>
          <w:lang w:eastAsia="pl-PL"/>
        </w:rPr>
        <w:t> </w:t>
      </w:r>
      <w:r w:rsidRPr="00D00185">
        <w:rPr>
          <w:rFonts w:ascii="Calibri" w:eastAsia="Arial" w:hAnsi="Calibri" w:cs="Calibri"/>
          <w:sz w:val="24"/>
          <w:szCs w:val="24"/>
          <w:lang w:eastAsia="pl-PL"/>
        </w:rPr>
        <w:t>wymierną stratą finansową – podlega ustawowej ochronie. Obwiniony stwierdza także, że</w:t>
      </w:r>
      <w:r w:rsidR="00834D30">
        <w:rPr>
          <w:rFonts w:ascii="Calibri" w:eastAsia="Arial" w:hAnsi="Calibri" w:cs="Calibri"/>
          <w:sz w:val="24"/>
          <w:szCs w:val="24"/>
          <w:lang w:eastAsia="pl-PL"/>
        </w:rPr>
        <w:t> </w:t>
      </w:r>
      <w:r w:rsidRPr="00D00185">
        <w:rPr>
          <w:rFonts w:ascii="Calibri" w:eastAsia="Arial" w:hAnsi="Calibri" w:cs="Calibri"/>
          <w:sz w:val="24"/>
          <w:szCs w:val="24"/>
          <w:lang w:eastAsia="pl-PL"/>
        </w:rPr>
        <w:t>orzeczenie RKO odnosi się do naruszenia abstrakcyjnego pojęcia „ładu finansów publicznych”. Ten argument GKO także uznaje za chybiony. Należy ponownie podkreślić, że</w:t>
      </w:r>
      <w:r w:rsidR="00834D30">
        <w:rPr>
          <w:rFonts w:ascii="Calibri" w:eastAsia="Arial" w:hAnsi="Calibri" w:cs="Calibri"/>
          <w:sz w:val="24"/>
          <w:szCs w:val="24"/>
          <w:lang w:eastAsia="pl-PL"/>
        </w:rPr>
        <w:t> </w:t>
      </w:r>
      <w:r w:rsidRPr="00D00185">
        <w:rPr>
          <w:rFonts w:ascii="Calibri" w:eastAsia="Arial" w:hAnsi="Calibri" w:cs="Calibri"/>
          <w:sz w:val="24"/>
          <w:szCs w:val="24"/>
          <w:lang w:eastAsia="pl-PL"/>
        </w:rPr>
        <w:t>w orzeczeniu RKO słusznie zwrócono uwagę na to</w:t>
      </w:r>
      <w:r w:rsidR="00B229A6">
        <w:rPr>
          <w:rFonts w:ascii="Calibri" w:eastAsia="Arial" w:hAnsi="Calibri" w:cs="Calibri"/>
          <w:sz w:val="24"/>
          <w:szCs w:val="24"/>
          <w:lang w:eastAsia="pl-PL"/>
        </w:rPr>
        <w:t>,</w:t>
      </w:r>
      <w:r w:rsidRPr="00D00185">
        <w:rPr>
          <w:rFonts w:ascii="Calibri" w:eastAsia="Arial" w:hAnsi="Calibri" w:cs="Calibri"/>
          <w:sz w:val="24"/>
          <w:szCs w:val="24"/>
          <w:lang w:eastAsia="pl-PL"/>
        </w:rPr>
        <w:t xml:space="preserve"> jak ważnymi czynnościami są działania inwentaryzacyjne, zaś nieprawidłowości tego procesu mogą naruszać ład finansów publicznych. Warto podkreślić, że w przypadku badania prawidłowości działań inwentaryzacyjnych, ewentualne naruszenie ładu finansów publicznych nie jest rozpatrywane wyłącznie w sposób abstrakcyjny, ale przede wszystkim z uwzględnieniem celowości regulujących ten proces przepisów i co za tym idzie również potencjalnych zakłóceń, przede wszystkim w dłużej perspektywie, w prowadzeniu gospodarki finansowej jednostki</w:t>
      </w:r>
      <w:r w:rsidR="00B71869">
        <w:rPr>
          <w:rFonts w:ascii="Calibri" w:eastAsia="Arial" w:hAnsi="Calibri" w:cs="Calibri"/>
          <w:sz w:val="24"/>
          <w:szCs w:val="24"/>
          <w:lang w:eastAsia="pl-PL"/>
        </w:rPr>
        <w:t xml:space="preserve"> sektora finansów publicznych.</w:t>
      </w:r>
      <w:bookmarkStart w:id="3" w:name="_GoBack"/>
      <w:bookmarkEnd w:id="3"/>
    </w:p>
    <w:p w:rsidR="004A3B45" w:rsidRPr="007218F7" w:rsidRDefault="006E473E" w:rsidP="00B71869">
      <w:pPr>
        <w:spacing w:before="120" w:after="0" w:line="360" w:lineRule="auto"/>
        <w:ind w:right="40"/>
        <w:rPr>
          <w:rFonts w:eastAsia="Calibri" w:cstheme="minorHAnsi"/>
          <w:sz w:val="24"/>
        </w:rPr>
      </w:pPr>
      <w:r w:rsidRPr="00D00185">
        <w:rPr>
          <w:rFonts w:ascii="Calibri" w:eastAsia="Arial" w:hAnsi="Calibri" w:cs="Calibri"/>
          <w:sz w:val="24"/>
          <w:szCs w:val="24"/>
          <w:lang w:eastAsia="pl-PL"/>
        </w:rPr>
        <w:lastRenderedPageBreak/>
        <w:t>Biorąc powyższe pod uwagę Główna Komisja Orzekająca orzekła</w:t>
      </w:r>
      <w:r w:rsidR="00B8100D">
        <w:rPr>
          <w:rFonts w:ascii="Calibri" w:eastAsia="Arial" w:hAnsi="Calibri" w:cs="Calibri"/>
          <w:sz w:val="24"/>
          <w:szCs w:val="24"/>
          <w:lang w:eastAsia="pl-PL"/>
        </w:rPr>
        <w:t>,</w:t>
      </w:r>
      <w:r w:rsidRPr="00D00185">
        <w:rPr>
          <w:rFonts w:ascii="Calibri" w:eastAsia="Arial" w:hAnsi="Calibri" w:cs="Calibri"/>
          <w:sz w:val="24"/>
          <w:szCs w:val="24"/>
          <w:lang w:eastAsia="pl-PL"/>
        </w:rPr>
        <w:t xml:space="preserve"> jak w sentencji</w:t>
      </w:r>
      <w:r w:rsidR="009301EE">
        <w:rPr>
          <w:rFonts w:eastAsia="Calibri" w:cstheme="minorHAnsi"/>
          <w:sz w:val="24"/>
        </w:rPr>
        <w:t>.</w:t>
      </w:r>
    </w:p>
    <w:sectPr w:rsidR="004A3B45" w:rsidRPr="007218F7" w:rsidSect="00BC2728">
      <w:headerReference w:type="default" r:id="rId11"/>
      <w:footerReference w:type="default" r:id="rId12"/>
      <w:headerReference w:type="first" r:id="rId13"/>
      <w:pgSz w:w="11906" w:h="16838" w:code="9"/>
      <w:pgMar w:top="1418" w:right="1418" w:bottom="1418" w:left="1418"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598" w:rsidRDefault="00BD5598">
      <w:pPr>
        <w:spacing w:after="0" w:line="240" w:lineRule="auto"/>
      </w:pPr>
      <w:r>
        <w:separator/>
      </w:r>
    </w:p>
  </w:endnote>
  <w:endnote w:type="continuationSeparator" w:id="0">
    <w:p w:rsidR="00BD5598" w:rsidRDefault="00BD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5D" w:rsidRPr="001E48A5" w:rsidRDefault="000B3477" w:rsidP="00BC2728">
    <w:pPr>
      <w:jc w:val="center"/>
      <w:rPr>
        <w:sz w:val="20"/>
        <w:szCs w:val="20"/>
      </w:rPr>
    </w:pPr>
    <w:r w:rsidRPr="001E48A5">
      <w:rPr>
        <w:sz w:val="20"/>
        <w:szCs w:val="20"/>
      </w:rPr>
      <w:t>–</w:t>
    </w:r>
    <w:r>
      <w:rPr>
        <w:sz w:val="20"/>
        <w:szCs w:val="20"/>
      </w:rPr>
      <w:t xml:space="preserve"> </w:t>
    </w:r>
    <w:r w:rsidRPr="001E48A5">
      <w:rPr>
        <w:sz w:val="20"/>
        <w:szCs w:val="20"/>
      </w:rPr>
      <w:fldChar w:fldCharType="begin"/>
    </w:r>
    <w:r w:rsidRPr="001E48A5">
      <w:rPr>
        <w:sz w:val="20"/>
        <w:szCs w:val="20"/>
      </w:rPr>
      <w:instrText xml:space="preserve"> PAGE    \* MERGEFORMAT </w:instrText>
    </w:r>
    <w:r w:rsidRPr="001E48A5">
      <w:rPr>
        <w:sz w:val="20"/>
        <w:szCs w:val="20"/>
      </w:rPr>
      <w:fldChar w:fldCharType="separate"/>
    </w:r>
    <w:r w:rsidR="00B71869">
      <w:rPr>
        <w:noProof/>
        <w:sz w:val="20"/>
        <w:szCs w:val="20"/>
      </w:rPr>
      <w:t>12</w:t>
    </w:r>
    <w:r w:rsidRPr="001E48A5">
      <w:rPr>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598" w:rsidRDefault="00BD5598">
      <w:pPr>
        <w:spacing w:after="0" w:line="240" w:lineRule="auto"/>
      </w:pPr>
      <w:r>
        <w:separator/>
      </w:r>
    </w:p>
  </w:footnote>
  <w:footnote w:type="continuationSeparator" w:id="0">
    <w:p w:rsidR="00BD5598" w:rsidRDefault="00BD5598">
      <w:pPr>
        <w:spacing w:after="0" w:line="240" w:lineRule="auto"/>
      </w:pPr>
      <w:r>
        <w:continuationSeparator/>
      </w:r>
    </w:p>
  </w:footnote>
  <w:footnote w:id="1">
    <w:p w:rsidR="003C0C64" w:rsidRDefault="003C0C64" w:rsidP="003C0C64">
      <w:pPr>
        <w:pStyle w:val="Tekstprzypisudolnego"/>
      </w:pPr>
      <w:r>
        <w:rPr>
          <w:rStyle w:val="Odwoanieprzypisudolnego"/>
        </w:rPr>
        <w:footnoteRef/>
      </w:r>
      <w:r>
        <w:t xml:space="preserve"> ustawa</w:t>
      </w:r>
      <w:r w:rsidRPr="003B05E3">
        <w:t xml:space="preserve"> z dnia 17 grudnia 2004 r. o odpowiedzialności za naruszenie dyscypliny finansów publicznych (Dz. U. z 2021 r. poz. 289</w:t>
      </w:r>
      <w:r>
        <w:t xml:space="preserve"> ze zm.)</w:t>
      </w:r>
    </w:p>
  </w:footnote>
  <w:footnote w:id="2">
    <w:p w:rsidR="003C0C64" w:rsidRPr="00A152AC" w:rsidRDefault="003C0C64" w:rsidP="003C0C64">
      <w:pPr>
        <w:pStyle w:val="Tekstprzypisudolnego"/>
      </w:pPr>
      <w:r>
        <w:rPr>
          <w:rStyle w:val="Odwoanieprzypisudolnego"/>
        </w:rPr>
        <w:footnoteRef/>
      </w:r>
      <w:r>
        <w:t xml:space="preserve"> </w:t>
      </w:r>
      <w:r w:rsidRPr="00A152AC">
        <w:rPr>
          <w:rFonts w:ascii="Calibri" w:hAnsi="Calibri" w:cs="Calibri"/>
        </w:rPr>
        <w:t>ustawa z dnia 29 września 1994 r. o rachunkowości (</w:t>
      </w:r>
      <w:proofErr w:type="spellStart"/>
      <w:r w:rsidRPr="00A152AC">
        <w:rPr>
          <w:rFonts w:ascii="Calibri" w:hAnsi="Calibri" w:cs="Calibri"/>
        </w:rPr>
        <w:t>t.j</w:t>
      </w:r>
      <w:proofErr w:type="spellEnd"/>
      <w:r w:rsidRPr="00A152AC">
        <w:rPr>
          <w:rFonts w:ascii="Calibri" w:hAnsi="Calibri" w:cs="Calibri"/>
        </w:rPr>
        <w:t xml:space="preserve">.; Dz. U. z 2021 r., poz. 217 z </w:t>
      </w:r>
      <w:proofErr w:type="spellStart"/>
      <w:r w:rsidRPr="00A152AC">
        <w:rPr>
          <w:rFonts w:ascii="Calibri" w:hAnsi="Calibri" w:cs="Calibri"/>
        </w:rPr>
        <w:t>późn</w:t>
      </w:r>
      <w:proofErr w:type="spellEnd"/>
      <w:r w:rsidRPr="00A152AC">
        <w:rPr>
          <w:rFonts w:ascii="Calibri" w:hAnsi="Calibri" w:cs="Calibri"/>
        </w:rPr>
        <w:t>.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5D" w:rsidRPr="00D00DA1" w:rsidRDefault="00B9047E" w:rsidP="00D00DA1">
    <w:pPr>
      <w:pStyle w:val="Nagwek"/>
      <w:ind w:firstLine="0"/>
      <w:rPr>
        <w:b/>
      </w:rPr>
    </w:pPr>
    <w:r>
      <w:rPr>
        <w:rFonts w:asciiTheme="minorHAnsi" w:hAnsiTheme="minorHAnsi" w:cstheme="minorHAnsi"/>
        <w:b/>
      </w:rPr>
      <w:t>Sygn. akt BDF1.4800.</w:t>
    </w:r>
    <w:r w:rsidR="003C0C64">
      <w:rPr>
        <w:rFonts w:asciiTheme="minorHAnsi" w:hAnsiTheme="minorHAnsi" w:cstheme="minorHAnsi"/>
        <w:b/>
        <w:lang w:val="pl-PL"/>
      </w:rPr>
      <w:t>60</w:t>
    </w:r>
    <w:r>
      <w:rPr>
        <w:rFonts w:asciiTheme="minorHAnsi" w:hAnsiTheme="minorHAnsi" w:cstheme="minorHAnsi"/>
        <w:b/>
      </w:rPr>
      <w:t>.202</w:t>
    </w:r>
    <w:r w:rsidR="000924CC">
      <w:rPr>
        <w:rFonts w:asciiTheme="minorHAnsi" w:hAnsiTheme="minorHAnsi" w:cstheme="minorHAnsi"/>
        <w:b/>
        <w:lang w:val="pl-PL"/>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5D" w:rsidRPr="001E48A5" w:rsidRDefault="000B3477" w:rsidP="001E48A5">
    <w:pPr>
      <w:pStyle w:val="Nagwek"/>
      <w:ind w:firstLine="0"/>
      <w:rPr>
        <w:b/>
      </w:rPr>
    </w:pPr>
    <w:r>
      <w:rPr>
        <w:b/>
      </w:rPr>
      <w:t>Sygn. akt BDF1/490</w:t>
    </w:r>
    <w:r w:rsidRPr="001E48A5">
      <w:rPr>
        <w:b/>
      </w:rPr>
      <w:t>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77455"/>
    <w:multiLevelType w:val="multilevel"/>
    <w:tmpl w:val="8480C1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EB39F8"/>
    <w:multiLevelType w:val="hybridMultilevel"/>
    <w:tmpl w:val="32763272"/>
    <w:lvl w:ilvl="0" w:tplc="B3926D2C">
      <w:numFmt w:val="bullet"/>
      <w:lvlText w:val="-"/>
      <w:lvlJc w:val="left"/>
      <w:pPr>
        <w:ind w:left="380" w:hanging="360"/>
      </w:pPr>
      <w:rPr>
        <w:rFonts w:ascii="Times New Roman" w:eastAsia="Times New Roman" w:hAnsi="Times New Roman" w:cs="Times New Roman" w:hint="default"/>
      </w:rPr>
    </w:lvl>
    <w:lvl w:ilvl="1" w:tplc="04150003" w:tentative="1">
      <w:start w:val="1"/>
      <w:numFmt w:val="bullet"/>
      <w:lvlText w:val="o"/>
      <w:lvlJc w:val="left"/>
      <w:pPr>
        <w:ind w:left="1100" w:hanging="360"/>
      </w:pPr>
      <w:rPr>
        <w:rFonts w:ascii="Courier New" w:hAnsi="Courier New" w:cs="Courier New" w:hint="default"/>
      </w:rPr>
    </w:lvl>
    <w:lvl w:ilvl="2" w:tplc="04150005" w:tentative="1">
      <w:start w:val="1"/>
      <w:numFmt w:val="bullet"/>
      <w:lvlText w:val=""/>
      <w:lvlJc w:val="left"/>
      <w:pPr>
        <w:ind w:left="1820" w:hanging="360"/>
      </w:pPr>
      <w:rPr>
        <w:rFonts w:ascii="Wingdings" w:hAnsi="Wingdings" w:hint="default"/>
      </w:rPr>
    </w:lvl>
    <w:lvl w:ilvl="3" w:tplc="04150001" w:tentative="1">
      <w:start w:val="1"/>
      <w:numFmt w:val="bullet"/>
      <w:lvlText w:val=""/>
      <w:lvlJc w:val="left"/>
      <w:pPr>
        <w:ind w:left="2540" w:hanging="360"/>
      </w:pPr>
      <w:rPr>
        <w:rFonts w:ascii="Symbol" w:hAnsi="Symbol" w:hint="default"/>
      </w:rPr>
    </w:lvl>
    <w:lvl w:ilvl="4" w:tplc="04150003" w:tentative="1">
      <w:start w:val="1"/>
      <w:numFmt w:val="bullet"/>
      <w:lvlText w:val="o"/>
      <w:lvlJc w:val="left"/>
      <w:pPr>
        <w:ind w:left="3260" w:hanging="360"/>
      </w:pPr>
      <w:rPr>
        <w:rFonts w:ascii="Courier New" w:hAnsi="Courier New" w:cs="Courier New" w:hint="default"/>
      </w:rPr>
    </w:lvl>
    <w:lvl w:ilvl="5" w:tplc="04150005" w:tentative="1">
      <w:start w:val="1"/>
      <w:numFmt w:val="bullet"/>
      <w:lvlText w:val=""/>
      <w:lvlJc w:val="left"/>
      <w:pPr>
        <w:ind w:left="3980" w:hanging="360"/>
      </w:pPr>
      <w:rPr>
        <w:rFonts w:ascii="Wingdings" w:hAnsi="Wingdings" w:hint="default"/>
      </w:rPr>
    </w:lvl>
    <w:lvl w:ilvl="6" w:tplc="04150001" w:tentative="1">
      <w:start w:val="1"/>
      <w:numFmt w:val="bullet"/>
      <w:lvlText w:val=""/>
      <w:lvlJc w:val="left"/>
      <w:pPr>
        <w:ind w:left="4700" w:hanging="360"/>
      </w:pPr>
      <w:rPr>
        <w:rFonts w:ascii="Symbol" w:hAnsi="Symbol" w:hint="default"/>
      </w:rPr>
    </w:lvl>
    <w:lvl w:ilvl="7" w:tplc="04150003" w:tentative="1">
      <w:start w:val="1"/>
      <w:numFmt w:val="bullet"/>
      <w:lvlText w:val="o"/>
      <w:lvlJc w:val="left"/>
      <w:pPr>
        <w:ind w:left="5420" w:hanging="360"/>
      </w:pPr>
      <w:rPr>
        <w:rFonts w:ascii="Courier New" w:hAnsi="Courier New" w:cs="Courier New" w:hint="default"/>
      </w:rPr>
    </w:lvl>
    <w:lvl w:ilvl="8" w:tplc="04150005" w:tentative="1">
      <w:start w:val="1"/>
      <w:numFmt w:val="bullet"/>
      <w:lvlText w:val=""/>
      <w:lvlJc w:val="left"/>
      <w:pPr>
        <w:ind w:left="6140" w:hanging="360"/>
      </w:pPr>
      <w:rPr>
        <w:rFonts w:ascii="Wingdings" w:hAnsi="Wingdings" w:hint="default"/>
      </w:rPr>
    </w:lvl>
  </w:abstractNum>
  <w:abstractNum w:abstractNumId="2" w15:restartNumberingAfterBreak="0">
    <w:nsid w:val="42711C99"/>
    <w:multiLevelType w:val="hybridMultilevel"/>
    <w:tmpl w:val="7F0441B8"/>
    <w:lvl w:ilvl="0" w:tplc="B3926D2C">
      <w:numFmt w:val="bullet"/>
      <w:lvlText w:val="-"/>
      <w:lvlJc w:val="left"/>
      <w:pPr>
        <w:ind w:left="740" w:hanging="360"/>
      </w:pPr>
      <w:rPr>
        <w:rFonts w:ascii="Times New Roman" w:eastAsia="Times New Roman" w:hAnsi="Times New Roman" w:cs="Times New Roman"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3" w15:restartNumberingAfterBreak="0">
    <w:nsid w:val="49CD7CCC"/>
    <w:multiLevelType w:val="hybridMultilevel"/>
    <w:tmpl w:val="D67C071E"/>
    <w:lvl w:ilvl="0" w:tplc="B3926D2C">
      <w:numFmt w:val="bullet"/>
      <w:lvlText w:val="-"/>
      <w:lvlJc w:val="left"/>
      <w:pPr>
        <w:ind w:left="380" w:hanging="360"/>
      </w:pPr>
      <w:rPr>
        <w:rFonts w:ascii="Times New Roman" w:eastAsia="Times New Roman" w:hAnsi="Times New Roman" w:cs="Times New Roman" w:hint="default"/>
      </w:rPr>
    </w:lvl>
    <w:lvl w:ilvl="1" w:tplc="04150003" w:tentative="1">
      <w:start w:val="1"/>
      <w:numFmt w:val="bullet"/>
      <w:lvlText w:val="o"/>
      <w:lvlJc w:val="left"/>
      <w:pPr>
        <w:ind w:left="1100" w:hanging="360"/>
      </w:pPr>
      <w:rPr>
        <w:rFonts w:ascii="Courier New" w:hAnsi="Courier New" w:cs="Courier New" w:hint="default"/>
      </w:rPr>
    </w:lvl>
    <w:lvl w:ilvl="2" w:tplc="04150005" w:tentative="1">
      <w:start w:val="1"/>
      <w:numFmt w:val="bullet"/>
      <w:lvlText w:val=""/>
      <w:lvlJc w:val="left"/>
      <w:pPr>
        <w:ind w:left="1820" w:hanging="360"/>
      </w:pPr>
      <w:rPr>
        <w:rFonts w:ascii="Wingdings" w:hAnsi="Wingdings" w:hint="default"/>
      </w:rPr>
    </w:lvl>
    <w:lvl w:ilvl="3" w:tplc="04150001" w:tentative="1">
      <w:start w:val="1"/>
      <w:numFmt w:val="bullet"/>
      <w:lvlText w:val=""/>
      <w:lvlJc w:val="left"/>
      <w:pPr>
        <w:ind w:left="2540" w:hanging="360"/>
      </w:pPr>
      <w:rPr>
        <w:rFonts w:ascii="Symbol" w:hAnsi="Symbol" w:hint="default"/>
      </w:rPr>
    </w:lvl>
    <w:lvl w:ilvl="4" w:tplc="04150003" w:tentative="1">
      <w:start w:val="1"/>
      <w:numFmt w:val="bullet"/>
      <w:lvlText w:val="o"/>
      <w:lvlJc w:val="left"/>
      <w:pPr>
        <w:ind w:left="3260" w:hanging="360"/>
      </w:pPr>
      <w:rPr>
        <w:rFonts w:ascii="Courier New" w:hAnsi="Courier New" w:cs="Courier New" w:hint="default"/>
      </w:rPr>
    </w:lvl>
    <w:lvl w:ilvl="5" w:tplc="04150005" w:tentative="1">
      <w:start w:val="1"/>
      <w:numFmt w:val="bullet"/>
      <w:lvlText w:val=""/>
      <w:lvlJc w:val="left"/>
      <w:pPr>
        <w:ind w:left="3980" w:hanging="360"/>
      </w:pPr>
      <w:rPr>
        <w:rFonts w:ascii="Wingdings" w:hAnsi="Wingdings" w:hint="default"/>
      </w:rPr>
    </w:lvl>
    <w:lvl w:ilvl="6" w:tplc="04150001" w:tentative="1">
      <w:start w:val="1"/>
      <w:numFmt w:val="bullet"/>
      <w:lvlText w:val=""/>
      <w:lvlJc w:val="left"/>
      <w:pPr>
        <w:ind w:left="4700" w:hanging="360"/>
      </w:pPr>
      <w:rPr>
        <w:rFonts w:ascii="Symbol" w:hAnsi="Symbol" w:hint="default"/>
      </w:rPr>
    </w:lvl>
    <w:lvl w:ilvl="7" w:tplc="04150003" w:tentative="1">
      <w:start w:val="1"/>
      <w:numFmt w:val="bullet"/>
      <w:lvlText w:val="o"/>
      <w:lvlJc w:val="left"/>
      <w:pPr>
        <w:ind w:left="5420" w:hanging="360"/>
      </w:pPr>
      <w:rPr>
        <w:rFonts w:ascii="Courier New" w:hAnsi="Courier New" w:cs="Courier New" w:hint="default"/>
      </w:rPr>
    </w:lvl>
    <w:lvl w:ilvl="8" w:tplc="04150005" w:tentative="1">
      <w:start w:val="1"/>
      <w:numFmt w:val="bullet"/>
      <w:lvlText w:val=""/>
      <w:lvlJc w:val="left"/>
      <w:pPr>
        <w:ind w:left="6140" w:hanging="360"/>
      </w:pPr>
      <w:rPr>
        <w:rFonts w:ascii="Wingdings" w:hAnsi="Wingdings" w:hint="default"/>
      </w:rPr>
    </w:lvl>
  </w:abstractNum>
  <w:abstractNum w:abstractNumId="4" w15:restartNumberingAfterBreak="0">
    <w:nsid w:val="4EE73C07"/>
    <w:multiLevelType w:val="hybridMultilevel"/>
    <w:tmpl w:val="5650B4D4"/>
    <w:lvl w:ilvl="0" w:tplc="B3926D2C">
      <w:numFmt w:val="bullet"/>
      <w:lvlText w:val="-"/>
      <w:lvlJc w:val="left"/>
      <w:pPr>
        <w:ind w:left="380" w:hanging="360"/>
      </w:pPr>
      <w:rPr>
        <w:rFonts w:ascii="Times New Roman" w:eastAsia="Times New Roman" w:hAnsi="Times New Roman" w:cs="Times New Roman" w:hint="default"/>
      </w:rPr>
    </w:lvl>
    <w:lvl w:ilvl="1" w:tplc="04150003" w:tentative="1">
      <w:start w:val="1"/>
      <w:numFmt w:val="bullet"/>
      <w:lvlText w:val="o"/>
      <w:lvlJc w:val="left"/>
      <w:pPr>
        <w:ind w:left="1100" w:hanging="360"/>
      </w:pPr>
      <w:rPr>
        <w:rFonts w:ascii="Courier New" w:hAnsi="Courier New" w:cs="Courier New" w:hint="default"/>
      </w:rPr>
    </w:lvl>
    <w:lvl w:ilvl="2" w:tplc="04150005" w:tentative="1">
      <w:start w:val="1"/>
      <w:numFmt w:val="bullet"/>
      <w:lvlText w:val=""/>
      <w:lvlJc w:val="left"/>
      <w:pPr>
        <w:ind w:left="1820" w:hanging="360"/>
      </w:pPr>
      <w:rPr>
        <w:rFonts w:ascii="Wingdings" w:hAnsi="Wingdings" w:hint="default"/>
      </w:rPr>
    </w:lvl>
    <w:lvl w:ilvl="3" w:tplc="04150001" w:tentative="1">
      <w:start w:val="1"/>
      <w:numFmt w:val="bullet"/>
      <w:lvlText w:val=""/>
      <w:lvlJc w:val="left"/>
      <w:pPr>
        <w:ind w:left="2540" w:hanging="360"/>
      </w:pPr>
      <w:rPr>
        <w:rFonts w:ascii="Symbol" w:hAnsi="Symbol" w:hint="default"/>
      </w:rPr>
    </w:lvl>
    <w:lvl w:ilvl="4" w:tplc="04150003" w:tentative="1">
      <w:start w:val="1"/>
      <w:numFmt w:val="bullet"/>
      <w:lvlText w:val="o"/>
      <w:lvlJc w:val="left"/>
      <w:pPr>
        <w:ind w:left="3260" w:hanging="360"/>
      </w:pPr>
      <w:rPr>
        <w:rFonts w:ascii="Courier New" w:hAnsi="Courier New" w:cs="Courier New" w:hint="default"/>
      </w:rPr>
    </w:lvl>
    <w:lvl w:ilvl="5" w:tplc="04150005" w:tentative="1">
      <w:start w:val="1"/>
      <w:numFmt w:val="bullet"/>
      <w:lvlText w:val=""/>
      <w:lvlJc w:val="left"/>
      <w:pPr>
        <w:ind w:left="3980" w:hanging="360"/>
      </w:pPr>
      <w:rPr>
        <w:rFonts w:ascii="Wingdings" w:hAnsi="Wingdings" w:hint="default"/>
      </w:rPr>
    </w:lvl>
    <w:lvl w:ilvl="6" w:tplc="04150001" w:tentative="1">
      <w:start w:val="1"/>
      <w:numFmt w:val="bullet"/>
      <w:lvlText w:val=""/>
      <w:lvlJc w:val="left"/>
      <w:pPr>
        <w:ind w:left="4700" w:hanging="360"/>
      </w:pPr>
      <w:rPr>
        <w:rFonts w:ascii="Symbol" w:hAnsi="Symbol" w:hint="default"/>
      </w:rPr>
    </w:lvl>
    <w:lvl w:ilvl="7" w:tplc="04150003" w:tentative="1">
      <w:start w:val="1"/>
      <w:numFmt w:val="bullet"/>
      <w:lvlText w:val="o"/>
      <w:lvlJc w:val="left"/>
      <w:pPr>
        <w:ind w:left="5420" w:hanging="360"/>
      </w:pPr>
      <w:rPr>
        <w:rFonts w:ascii="Courier New" w:hAnsi="Courier New" w:cs="Courier New" w:hint="default"/>
      </w:rPr>
    </w:lvl>
    <w:lvl w:ilvl="8" w:tplc="04150005" w:tentative="1">
      <w:start w:val="1"/>
      <w:numFmt w:val="bullet"/>
      <w:lvlText w:val=""/>
      <w:lvlJc w:val="left"/>
      <w:pPr>
        <w:ind w:left="6140" w:hanging="360"/>
      </w:pPr>
      <w:rPr>
        <w:rFonts w:ascii="Wingdings" w:hAnsi="Wingdings" w:hint="default"/>
      </w:rPr>
    </w:lvl>
  </w:abstractNum>
  <w:abstractNum w:abstractNumId="5" w15:restartNumberingAfterBreak="0">
    <w:nsid w:val="51DB1656"/>
    <w:multiLevelType w:val="hybridMultilevel"/>
    <w:tmpl w:val="83365190"/>
    <w:lvl w:ilvl="0" w:tplc="BB4AAC24">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6" w15:restartNumberingAfterBreak="0">
    <w:nsid w:val="583E0C11"/>
    <w:multiLevelType w:val="hybridMultilevel"/>
    <w:tmpl w:val="368A9440"/>
    <w:lvl w:ilvl="0" w:tplc="B3926D2C">
      <w:numFmt w:val="bullet"/>
      <w:lvlText w:val="-"/>
      <w:lvlJc w:val="left"/>
      <w:pPr>
        <w:ind w:left="380" w:hanging="360"/>
      </w:pPr>
      <w:rPr>
        <w:rFonts w:ascii="Times New Roman" w:eastAsia="Times New Roman" w:hAnsi="Times New Roman" w:cs="Times New Roman" w:hint="default"/>
      </w:rPr>
    </w:lvl>
    <w:lvl w:ilvl="1" w:tplc="04150003" w:tentative="1">
      <w:start w:val="1"/>
      <w:numFmt w:val="bullet"/>
      <w:lvlText w:val="o"/>
      <w:lvlJc w:val="left"/>
      <w:pPr>
        <w:ind w:left="1100" w:hanging="360"/>
      </w:pPr>
      <w:rPr>
        <w:rFonts w:ascii="Courier New" w:hAnsi="Courier New" w:cs="Courier New" w:hint="default"/>
      </w:rPr>
    </w:lvl>
    <w:lvl w:ilvl="2" w:tplc="04150005" w:tentative="1">
      <w:start w:val="1"/>
      <w:numFmt w:val="bullet"/>
      <w:lvlText w:val=""/>
      <w:lvlJc w:val="left"/>
      <w:pPr>
        <w:ind w:left="1820" w:hanging="360"/>
      </w:pPr>
      <w:rPr>
        <w:rFonts w:ascii="Wingdings" w:hAnsi="Wingdings" w:hint="default"/>
      </w:rPr>
    </w:lvl>
    <w:lvl w:ilvl="3" w:tplc="04150001" w:tentative="1">
      <w:start w:val="1"/>
      <w:numFmt w:val="bullet"/>
      <w:lvlText w:val=""/>
      <w:lvlJc w:val="left"/>
      <w:pPr>
        <w:ind w:left="2540" w:hanging="360"/>
      </w:pPr>
      <w:rPr>
        <w:rFonts w:ascii="Symbol" w:hAnsi="Symbol" w:hint="default"/>
      </w:rPr>
    </w:lvl>
    <w:lvl w:ilvl="4" w:tplc="04150003" w:tentative="1">
      <w:start w:val="1"/>
      <w:numFmt w:val="bullet"/>
      <w:lvlText w:val="o"/>
      <w:lvlJc w:val="left"/>
      <w:pPr>
        <w:ind w:left="3260" w:hanging="360"/>
      </w:pPr>
      <w:rPr>
        <w:rFonts w:ascii="Courier New" w:hAnsi="Courier New" w:cs="Courier New" w:hint="default"/>
      </w:rPr>
    </w:lvl>
    <w:lvl w:ilvl="5" w:tplc="04150005" w:tentative="1">
      <w:start w:val="1"/>
      <w:numFmt w:val="bullet"/>
      <w:lvlText w:val=""/>
      <w:lvlJc w:val="left"/>
      <w:pPr>
        <w:ind w:left="3980" w:hanging="360"/>
      </w:pPr>
      <w:rPr>
        <w:rFonts w:ascii="Wingdings" w:hAnsi="Wingdings" w:hint="default"/>
      </w:rPr>
    </w:lvl>
    <w:lvl w:ilvl="6" w:tplc="04150001" w:tentative="1">
      <w:start w:val="1"/>
      <w:numFmt w:val="bullet"/>
      <w:lvlText w:val=""/>
      <w:lvlJc w:val="left"/>
      <w:pPr>
        <w:ind w:left="4700" w:hanging="360"/>
      </w:pPr>
      <w:rPr>
        <w:rFonts w:ascii="Symbol" w:hAnsi="Symbol" w:hint="default"/>
      </w:rPr>
    </w:lvl>
    <w:lvl w:ilvl="7" w:tplc="04150003" w:tentative="1">
      <w:start w:val="1"/>
      <w:numFmt w:val="bullet"/>
      <w:lvlText w:val="o"/>
      <w:lvlJc w:val="left"/>
      <w:pPr>
        <w:ind w:left="5420" w:hanging="360"/>
      </w:pPr>
      <w:rPr>
        <w:rFonts w:ascii="Courier New" w:hAnsi="Courier New" w:cs="Courier New" w:hint="default"/>
      </w:rPr>
    </w:lvl>
    <w:lvl w:ilvl="8" w:tplc="04150005" w:tentative="1">
      <w:start w:val="1"/>
      <w:numFmt w:val="bullet"/>
      <w:lvlText w:val=""/>
      <w:lvlJc w:val="left"/>
      <w:pPr>
        <w:ind w:left="6140" w:hanging="360"/>
      </w:pPr>
      <w:rPr>
        <w:rFonts w:ascii="Wingdings" w:hAnsi="Wingdings" w:hint="default"/>
      </w:rPr>
    </w:lvl>
  </w:abstractNum>
  <w:abstractNum w:abstractNumId="7" w15:restartNumberingAfterBreak="0">
    <w:nsid w:val="7AA43647"/>
    <w:multiLevelType w:val="hybridMultilevel"/>
    <w:tmpl w:val="FE00F940"/>
    <w:lvl w:ilvl="0" w:tplc="B3926D2C">
      <w:numFmt w:val="bullet"/>
      <w:lvlText w:val="-"/>
      <w:lvlJc w:val="left"/>
      <w:pPr>
        <w:ind w:left="740" w:hanging="360"/>
      </w:pPr>
      <w:rPr>
        <w:rFonts w:ascii="Times New Roman" w:eastAsia="Times New Roman" w:hAnsi="Times New Roman" w:cs="Times New Roman"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num w:numId="1">
    <w:abstractNumId w:val="5"/>
  </w:num>
  <w:num w:numId="2">
    <w:abstractNumId w:val="7"/>
  </w:num>
  <w:num w:numId="3">
    <w:abstractNumId w:val="1"/>
  </w:num>
  <w:num w:numId="4">
    <w:abstractNumId w:val="6"/>
  </w:num>
  <w:num w:numId="5">
    <w:abstractNumId w:val="3"/>
  </w:num>
  <w:num w:numId="6">
    <w:abstractNumId w:val="4"/>
  </w:num>
  <w:num w:numId="7">
    <w:abstractNumId w:val="2"/>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77"/>
    <w:rsid w:val="00003AD4"/>
    <w:rsid w:val="000506D5"/>
    <w:rsid w:val="00063BC1"/>
    <w:rsid w:val="00073333"/>
    <w:rsid w:val="000924CC"/>
    <w:rsid w:val="000A0B44"/>
    <w:rsid w:val="000B3477"/>
    <w:rsid w:val="000C1773"/>
    <w:rsid w:val="000D53BB"/>
    <w:rsid w:val="000D5D4B"/>
    <w:rsid w:val="000E0554"/>
    <w:rsid w:val="000E5292"/>
    <w:rsid w:val="000F2943"/>
    <w:rsid w:val="00101B7A"/>
    <w:rsid w:val="00121E04"/>
    <w:rsid w:val="00140FB9"/>
    <w:rsid w:val="00152441"/>
    <w:rsid w:val="001529FC"/>
    <w:rsid w:val="00167CDC"/>
    <w:rsid w:val="00174453"/>
    <w:rsid w:val="00182624"/>
    <w:rsid w:val="001A1227"/>
    <w:rsid w:val="001A6AF4"/>
    <w:rsid w:val="001C2F5A"/>
    <w:rsid w:val="001F4993"/>
    <w:rsid w:val="0023071F"/>
    <w:rsid w:val="00260532"/>
    <w:rsid w:val="002B6525"/>
    <w:rsid w:val="002C23D3"/>
    <w:rsid w:val="00356612"/>
    <w:rsid w:val="00365561"/>
    <w:rsid w:val="00395555"/>
    <w:rsid w:val="003C0C64"/>
    <w:rsid w:val="003D7B65"/>
    <w:rsid w:val="003E253D"/>
    <w:rsid w:val="003F4046"/>
    <w:rsid w:val="004045D8"/>
    <w:rsid w:val="00413309"/>
    <w:rsid w:val="00426582"/>
    <w:rsid w:val="00454B8A"/>
    <w:rsid w:val="0046756C"/>
    <w:rsid w:val="0048577B"/>
    <w:rsid w:val="004A3B45"/>
    <w:rsid w:val="004B511B"/>
    <w:rsid w:val="004E5838"/>
    <w:rsid w:val="004F26EB"/>
    <w:rsid w:val="004F48AD"/>
    <w:rsid w:val="00544B0C"/>
    <w:rsid w:val="005F6C16"/>
    <w:rsid w:val="00605880"/>
    <w:rsid w:val="00611964"/>
    <w:rsid w:val="00630588"/>
    <w:rsid w:val="00664702"/>
    <w:rsid w:val="00666B24"/>
    <w:rsid w:val="006745C5"/>
    <w:rsid w:val="006A01A0"/>
    <w:rsid w:val="006B6F2F"/>
    <w:rsid w:val="006D4A71"/>
    <w:rsid w:val="006D5722"/>
    <w:rsid w:val="006D66A8"/>
    <w:rsid w:val="006D77E7"/>
    <w:rsid w:val="006E473E"/>
    <w:rsid w:val="006F0128"/>
    <w:rsid w:val="007218F7"/>
    <w:rsid w:val="007911E3"/>
    <w:rsid w:val="00793309"/>
    <w:rsid w:val="007B3459"/>
    <w:rsid w:val="007B5306"/>
    <w:rsid w:val="007C66B2"/>
    <w:rsid w:val="007D3D88"/>
    <w:rsid w:val="007F1743"/>
    <w:rsid w:val="007F3F44"/>
    <w:rsid w:val="00834D30"/>
    <w:rsid w:val="00847949"/>
    <w:rsid w:val="00886689"/>
    <w:rsid w:val="008C6569"/>
    <w:rsid w:val="008D084A"/>
    <w:rsid w:val="008D6B59"/>
    <w:rsid w:val="008D732F"/>
    <w:rsid w:val="008E435B"/>
    <w:rsid w:val="009007BE"/>
    <w:rsid w:val="009301EE"/>
    <w:rsid w:val="0094650F"/>
    <w:rsid w:val="009575E6"/>
    <w:rsid w:val="00961910"/>
    <w:rsid w:val="00980607"/>
    <w:rsid w:val="00992A0B"/>
    <w:rsid w:val="009B71D8"/>
    <w:rsid w:val="009C2660"/>
    <w:rsid w:val="009C2A8E"/>
    <w:rsid w:val="009C78A8"/>
    <w:rsid w:val="009D2307"/>
    <w:rsid w:val="009E16D3"/>
    <w:rsid w:val="009E64F6"/>
    <w:rsid w:val="009F4220"/>
    <w:rsid w:val="009F7E17"/>
    <w:rsid w:val="00A07B61"/>
    <w:rsid w:val="00A62C34"/>
    <w:rsid w:val="00A67002"/>
    <w:rsid w:val="00A867D5"/>
    <w:rsid w:val="00AD3486"/>
    <w:rsid w:val="00AE37FA"/>
    <w:rsid w:val="00AF3D02"/>
    <w:rsid w:val="00AF79C4"/>
    <w:rsid w:val="00B15493"/>
    <w:rsid w:val="00B173AD"/>
    <w:rsid w:val="00B229A6"/>
    <w:rsid w:val="00B46C4A"/>
    <w:rsid w:val="00B61452"/>
    <w:rsid w:val="00B71869"/>
    <w:rsid w:val="00B8100D"/>
    <w:rsid w:val="00B81691"/>
    <w:rsid w:val="00B841FE"/>
    <w:rsid w:val="00B9047E"/>
    <w:rsid w:val="00B95D71"/>
    <w:rsid w:val="00BD5598"/>
    <w:rsid w:val="00BF4C06"/>
    <w:rsid w:val="00C14327"/>
    <w:rsid w:val="00C15BBA"/>
    <w:rsid w:val="00C272D4"/>
    <w:rsid w:val="00C50815"/>
    <w:rsid w:val="00C74E86"/>
    <w:rsid w:val="00CA18FA"/>
    <w:rsid w:val="00D16914"/>
    <w:rsid w:val="00D37D01"/>
    <w:rsid w:val="00D71A82"/>
    <w:rsid w:val="00DC0445"/>
    <w:rsid w:val="00DD5516"/>
    <w:rsid w:val="00DD77BD"/>
    <w:rsid w:val="00DF54B1"/>
    <w:rsid w:val="00E152B2"/>
    <w:rsid w:val="00E23CB9"/>
    <w:rsid w:val="00E35B74"/>
    <w:rsid w:val="00E5259F"/>
    <w:rsid w:val="00E74BD3"/>
    <w:rsid w:val="00E76D67"/>
    <w:rsid w:val="00E928D0"/>
    <w:rsid w:val="00EB69EF"/>
    <w:rsid w:val="00ED0CE8"/>
    <w:rsid w:val="00EE41AE"/>
    <w:rsid w:val="00EF6D63"/>
    <w:rsid w:val="00F12D5B"/>
    <w:rsid w:val="00F411D5"/>
    <w:rsid w:val="00F501B4"/>
    <w:rsid w:val="00F6525C"/>
    <w:rsid w:val="00F72B9A"/>
    <w:rsid w:val="00F91EC1"/>
    <w:rsid w:val="00FA1333"/>
    <w:rsid w:val="00FA1C44"/>
    <w:rsid w:val="00FB26D7"/>
    <w:rsid w:val="00FC02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F8984C-70A7-429B-8998-DABB9ED7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955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955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955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3477"/>
    <w:pPr>
      <w:tabs>
        <w:tab w:val="center" w:pos="4536"/>
        <w:tab w:val="right" w:pos="9072"/>
      </w:tabs>
      <w:spacing w:after="0" w:line="240" w:lineRule="auto"/>
      <w:ind w:firstLine="851"/>
      <w:jc w:val="both"/>
    </w:pPr>
    <w:rPr>
      <w:rFonts w:ascii="Times New Roman" w:eastAsia="Calibri" w:hAnsi="Times New Roman" w:cs="Times New Roman"/>
      <w:sz w:val="24"/>
      <w:lang w:val="x-none"/>
    </w:rPr>
  </w:style>
  <w:style w:type="character" w:customStyle="1" w:styleId="NagwekZnak">
    <w:name w:val="Nagłówek Znak"/>
    <w:basedOn w:val="Domylnaczcionkaakapitu"/>
    <w:link w:val="Nagwek"/>
    <w:uiPriority w:val="99"/>
    <w:rsid w:val="000B3477"/>
    <w:rPr>
      <w:rFonts w:ascii="Times New Roman" w:eastAsia="Calibri" w:hAnsi="Times New Roman" w:cs="Times New Roman"/>
      <w:sz w:val="24"/>
      <w:lang w:val="x-none"/>
    </w:rPr>
  </w:style>
  <w:style w:type="character" w:styleId="Odwoaniedokomentarza">
    <w:name w:val="annotation reference"/>
    <w:basedOn w:val="Domylnaczcionkaakapitu"/>
    <w:uiPriority w:val="99"/>
    <w:semiHidden/>
    <w:unhideWhenUsed/>
    <w:rsid w:val="000B3477"/>
    <w:rPr>
      <w:sz w:val="16"/>
      <w:szCs w:val="16"/>
    </w:rPr>
  </w:style>
  <w:style w:type="paragraph" w:styleId="Tekstkomentarza">
    <w:name w:val="annotation text"/>
    <w:basedOn w:val="Normalny"/>
    <w:link w:val="TekstkomentarzaZnak"/>
    <w:uiPriority w:val="99"/>
    <w:semiHidden/>
    <w:unhideWhenUsed/>
    <w:rsid w:val="000B3477"/>
    <w:pPr>
      <w:spacing w:before="240" w:after="0" w:line="240" w:lineRule="auto"/>
      <w:ind w:firstLine="851"/>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semiHidden/>
    <w:rsid w:val="000B347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B3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3477"/>
    <w:rPr>
      <w:rFonts w:ascii="Segoe UI" w:hAnsi="Segoe UI" w:cs="Segoe UI"/>
      <w:sz w:val="18"/>
      <w:szCs w:val="18"/>
    </w:rPr>
  </w:style>
  <w:style w:type="paragraph" w:styleId="Akapitzlist">
    <w:name w:val="List Paragraph"/>
    <w:basedOn w:val="Normalny"/>
    <w:uiPriority w:val="34"/>
    <w:qFormat/>
    <w:rsid w:val="00E928D0"/>
    <w:pPr>
      <w:ind w:left="720"/>
      <w:contextualSpacing/>
    </w:pPr>
  </w:style>
  <w:style w:type="character" w:customStyle="1" w:styleId="Nagwek1Znak">
    <w:name w:val="Nagłówek 1 Znak"/>
    <w:basedOn w:val="Domylnaczcionkaakapitu"/>
    <w:link w:val="Nagwek1"/>
    <w:uiPriority w:val="9"/>
    <w:rsid w:val="0039555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395555"/>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395555"/>
    <w:rPr>
      <w:rFonts w:asciiTheme="majorHAnsi" w:eastAsiaTheme="majorEastAsia" w:hAnsiTheme="majorHAnsi" w:cstheme="majorBidi"/>
      <w:color w:val="1F4D78" w:themeColor="accent1" w:themeShade="7F"/>
      <w:sz w:val="24"/>
      <w:szCs w:val="24"/>
    </w:rPr>
  </w:style>
  <w:style w:type="paragraph" w:styleId="Stopka">
    <w:name w:val="footer"/>
    <w:basedOn w:val="Normalny"/>
    <w:link w:val="StopkaZnak"/>
    <w:uiPriority w:val="99"/>
    <w:unhideWhenUsed/>
    <w:rsid w:val="00DF54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54B1"/>
  </w:style>
  <w:style w:type="paragraph" w:styleId="Tekstprzypisudolnego">
    <w:name w:val="footnote text"/>
    <w:basedOn w:val="Normalny"/>
    <w:link w:val="TekstprzypisudolnegoZnak"/>
    <w:unhideWhenUsed/>
    <w:rsid w:val="003D7B65"/>
    <w:pPr>
      <w:spacing w:after="0" w:line="240" w:lineRule="auto"/>
    </w:pPr>
    <w:rPr>
      <w:sz w:val="20"/>
      <w:szCs w:val="20"/>
    </w:rPr>
  </w:style>
  <w:style w:type="character" w:customStyle="1" w:styleId="TekstprzypisudolnegoZnak">
    <w:name w:val="Tekst przypisu dolnego Znak"/>
    <w:basedOn w:val="Domylnaczcionkaakapitu"/>
    <w:link w:val="Tekstprzypisudolnego"/>
    <w:rsid w:val="003D7B65"/>
    <w:rPr>
      <w:sz w:val="20"/>
      <w:szCs w:val="20"/>
    </w:rPr>
  </w:style>
  <w:style w:type="character" w:styleId="Odwoanieprzypisudolnego">
    <w:name w:val="footnote reference"/>
    <w:basedOn w:val="Domylnaczcionkaakapitu"/>
    <w:unhideWhenUsed/>
    <w:rsid w:val="003D7B65"/>
    <w:rPr>
      <w:vertAlign w:val="superscript"/>
    </w:rPr>
  </w:style>
  <w:style w:type="character" w:customStyle="1" w:styleId="Footnote">
    <w:name w:val="Footnote_"/>
    <w:basedOn w:val="Domylnaczcionkaakapitu"/>
    <w:link w:val="Footnote0"/>
    <w:rsid w:val="00EF6D63"/>
    <w:rPr>
      <w:rFonts w:ascii="Calibri" w:eastAsia="Calibri" w:hAnsi="Calibri" w:cs="Calibri"/>
      <w:sz w:val="20"/>
      <w:szCs w:val="20"/>
      <w:shd w:val="clear" w:color="auto" w:fill="FFFFFF"/>
    </w:rPr>
  </w:style>
  <w:style w:type="character" w:customStyle="1" w:styleId="Bodytext">
    <w:name w:val="Body text_"/>
    <w:basedOn w:val="Domylnaczcionkaakapitu"/>
    <w:link w:val="Tekstpodstawowy1"/>
    <w:rsid w:val="00EF6D63"/>
    <w:rPr>
      <w:rFonts w:ascii="Calibri" w:eastAsia="Calibri" w:hAnsi="Calibri" w:cs="Calibri"/>
      <w:sz w:val="23"/>
      <w:szCs w:val="23"/>
      <w:shd w:val="clear" w:color="auto" w:fill="FFFFFF"/>
    </w:rPr>
  </w:style>
  <w:style w:type="paragraph" w:customStyle="1" w:styleId="Footnote0">
    <w:name w:val="Footnote"/>
    <w:basedOn w:val="Normalny"/>
    <w:link w:val="Footnote"/>
    <w:rsid w:val="00EF6D63"/>
    <w:pPr>
      <w:shd w:val="clear" w:color="auto" w:fill="FFFFFF"/>
      <w:spacing w:after="0" w:line="240" w:lineRule="exact"/>
      <w:jc w:val="both"/>
    </w:pPr>
    <w:rPr>
      <w:rFonts w:ascii="Calibri" w:eastAsia="Calibri" w:hAnsi="Calibri" w:cs="Calibri"/>
      <w:sz w:val="20"/>
      <w:szCs w:val="20"/>
    </w:rPr>
  </w:style>
  <w:style w:type="paragraph" w:customStyle="1" w:styleId="Tekstpodstawowy1">
    <w:name w:val="Tekst podstawowy1"/>
    <w:basedOn w:val="Normalny"/>
    <w:link w:val="Bodytext"/>
    <w:rsid w:val="00EF6D63"/>
    <w:pPr>
      <w:shd w:val="clear" w:color="auto" w:fill="FFFFFF"/>
      <w:spacing w:before="780" w:after="780" w:line="0" w:lineRule="atLeast"/>
    </w:pPr>
    <w:rPr>
      <w:rFonts w:ascii="Calibri" w:eastAsia="Calibri" w:hAnsi="Calibri" w:cs="Calibri"/>
      <w:sz w:val="23"/>
      <w:szCs w:val="23"/>
    </w:rPr>
  </w:style>
  <w:style w:type="character" w:customStyle="1" w:styleId="TekstpodstawowyZnak">
    <w:name w:val="Tekst podstawowy Znak"/>
    <w:basedOn w:val="Domylnaczcionkaakapitu"/>
    <w:link w:val="Tekstpodstawowy"/>
    <w:uiPriority w:val="1"/>
    <w:qFormat/>
    <w:rsid w:val="006745C5"/>
    <w:rPr>
      <w:rFonts w:eastAsia="Lato" w:cs="Lato"/>
      <w:sz w:val="24"/>
    </w:rPr>
  </w:style>
  <w:style w:type="paragraph" w:styleId="Tekstpodstawowy">
    <w:name w:val="Body Text"/>
    <w:basedOn w:val="Normalny"/>
    <w:link w:val="TekstpodstawowyZnak"/>
    <w:uiPriority w:val="1"/>
    <w:qFormat/>
    <w:rsid w:val="006745C5"/>
    <w:pPr>
      <w:widowControl w:val="0"/>
      <w:suppressAutoHyphens/>
      <w:spacing w:after="120" w:line="240" w:lineRule="auto"/>
    </w:pPr>
    <w:rPr>
      <w:rFonts w:eastAsia="Lato" w:cs="Lato"/>
      <w:sz w:val="24"/>
    </w:rPr>
  </w:style>
  <w:style w:type="character" w:customStyle="1" w:styleId="TekstpodstawowyZnak1">
    <w:name w:val="Tekst podstawowy Znak1"/>
    <w:basedOn w:val="Domylnaczcionkaakapitu"/>
    <w:uiPriority w:val="99"/>
    <w:semiHidden/>
    <w:rsid w:val="006745C5"/>
  </w:style>
  <w:style w:type="paragraph" w:styleId="Tekstpodstawowywcity">
    <w:name w:val="Body Text Indent"/>
    <w:basedOn w:val="Normalny"/>
    <w:link w:val="TekstpodstawowywcityZnak"/>
    <w:uiPriority w:val="99"/>
    <w:unhideWhenUsed/>
    <w:rsid w:val="006745C5"/>
    <w:pPr>
      <w:spacing w:after="120"/>
      <w:ind w:left="283"/>
    </w:pPr>
  </w:style>
  <w:style w:type="character" w:customStyle="1" w:styleId="TekstpodstawowywcityZnak">
    <w:name w:val="Tekst podstawowy wcięty Znak"/>
    <w:basedOn w:val="Domylnaczcionkaakapitu"/>
    <w:link w:val="Tekstpodstawowywcity"/>
    <w:uiPriority w:val="99"/>
    <w:rsid w:val="006745C5"/>
  </w:style>
  <w:style w:type="character" w:customStyle="1" w:styleId="Teksttreci">
    <w:name w:val="Tekst treści_"/>
    <w:rsid w:val="00101B7A"/>
    <w:rPr>
      <w:rFonts w:ascii="Arial" w:eastAsia="Arial" w:hAnsi="Arial" w:cs="Arial"/>
      <w:b w:val="0"/>
      <w:bCs w:val="0"/>
      <w:i w:val="0"/>
      <w:iCs w:val="0"/>
      <w:smallCaps w:val="0"/>
      <w:strike w:val="0"/>
      <w:sz w:val="18"/>
      <w:szCs w:val="18"/>
      <w:u w:val="none"/>
    </w:rPr>
  </w:style>
  <w:style w:type="paragraph" w:customStyle="1" w:styleId="Bodytext2">
    <w:name w:val="Body text (2)"/>
    <w:basedOn w:val="Normalny"/>
    <w:rsid w:val="000D53BB"/>
    <w:pPr>
      <w:widowControl w:val="0"/>
      <w:shd w:val="clear" w:color="auto" w:fill="FFFFFF"/>
      <w:spacing w:after="0" w:line="224" w:lineRule="exact"/>
    </w:pPr>
    <w:rPr>
      <w:rFonts w:ascii="Arial" w:eastAsia="Arial"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F411D5"/>
    <w:pPr>
      <w:spacing w:before="0" w:after="160"/>
      <w:ind w:firstLine="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411D5"/>
    <w:rPr>
      <w:rFonts w:ascii="Times New Roman" w:eastAsia="Calibri" w:hAnsi="Times New Roman" w:cs="Times New Roman"/>
      <w:b/>
      <w:bCs/>
      <w:sz w:val="20"/>
      <w:szCs w:val="20"/>
    </w:rPr>
  </w:style>
  <w:style w:type="paragraph" w:styleId="Poprawka">
    <w:name w:val="Revision"/>
    <w:hidden/>
    <w:uiPriority w:val="99"/>
    <w:semiHidden/>
    <w:rsid w:val="00D71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1643AF25F8DA418A8D860F0A8CFC32" ma:contentTypeVersion="" ma:contentTypeDescription="Utwórz nowy dokument." ma:contentTypeScope="" ma:versionID="e8eea0622d6399ab98c0f0e3649f6aab">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C051F-52F3-4C5F-B13D-06A45854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DFFB2F-779E-4266-AF07-FDA478252D68}">
  <ds:schemaRefs>
    <ds:schemaRef ds:uri="http://schemas.microsoft.com/sharepoint/v3/contenttype/forms"/>
  </ds:schemaRefs>
</ds:datastoreItem>
</file>

<file path=customXml/itemProps3.xml><?xml version="1.0" encoding="utf-8"?>
<ds:datastoreItem xmlns:ds="http://schemas.openxmlformats.org/officeDocument/2006/customXml" ds:itemID="{F9FCC71D-8A31-4D36-B330-A9220DF9CE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6FC107-2362-439D-8113-DD25BF5C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3723</Words>
  <Characters>22343</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Zych Magdalena</dc:creator>
  <cp:keywords/>
  <dc:description/>
  <cp:lastModifiedBy>Zych Magdalena</cp:lastModifiedBy>
  <cp:revision>4</cp:revision>
  <cp:lastPrinted>2023-04-07T06:43:00Z</cp:lastPrinted>
  <dcterms:created xsi:type="dcterms:W3CDTF">2023-08-21T09:25:00Z</dcterms:created>
  <dcterms:modified xsi:type="dcterms:W3CDTF">2023-10-03T12:57:00Z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0x0101006D1643AF25F8DA418A8D860F0A8CFC32</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UxC4dwLulzfINJ8nQH+xvX5LNGipWa4BRSZhPgxsCvnjDKBWJdCz0HhpS/sYjoAr5XI4Bjz6+sNm9Bf5i3bWQw==</vt:lpwstr>
  </property>
  <property fmtid="{D5CDD505-2E9C-101B-9397-08002B2CF9AE}" pid="5" name="MFClassificationDate">
    <vt:lpwstr>2021-12-06T14:50:57.1797585+01:00</vt:lpwstr>
  </property>
  <property fmtid="{D5CDD505-2E9C-101B-9397-08002B2CF9AE}" pid="6" name="MFClassifiedBySID">
    <vt:lpwstr>UxC4dwLulzfINJ8nQH+xvX5LNGipWa4BRSZhPgxsCvm42mrIC/DSDv0ggS+FjUN/2v1BBotkLlY5aAiEhoi6ucJ6+fDIg1f5BEwoa8WJbLspuk4FNaYidYoU+/AQDbAp</vt:lpwstr>
  </property>
  <property fmtid="{D5CDD505-2E9C-101B-9397-08002B2CF9AE}" pid="7" name="MFGRNItemId">
    <vt:lpwstr>GRN-7b1bbf05-6942-4848-b868-d65cd5578dab</vt:lpwstr>
  </property>
  <property fmtid="{D5CDD505-2E9C-101B-9397-08002B2CF9AE}" pid="8" name="MFHash">
    <vt:lpwstr>NkJphhVeLzO7I0SIQLvTZlmsqo0tGO+lJlZJhZat368=</vt:lpwstr>
  </property>
  <property fmtid="{D5CDD505-2E9C-101B-9397-08002B2CF9AE}" pid="9" name="DLPManualFileClassification">
    <vt:lpwstr>{5fdfc941-3fcf-4a5b-87be-4848800d39d0}</vt:lpwstr>
  </property>
  <property fmtid="{D5CDD505-2E9C-101B-9397-08002B2CF9AE}" pid="10" name="MFRefresh">
    <vt:lpwstr>False</vt:lpwstr>
  </property>
</Properties>
</file>