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174E" w14:textId="0030DF35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2F40AD">
        <w:rPr>
          <w:rFonts w:asciiTheme="minorHAnsi" w:hAnsiTheme="minorHAnsi" w:cstheme="minorHAnsi"/>
          <w:sz w:val="24"/>
        </w:rPr>
        <w:t>2</w:t>
      </w:r>
      <w:r w:rsidR="009E33B9">
        <w:rPr>
          <w:rFonts w:asciiTheme="minorHAnsi" w:hAnsiTheme="minorHAnsi" w:cstheme="minorHAnsi"/>
          <w:sz w:val="24"/>
        </w:rPr>
        <w:t>4 maja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525ED3">
        <w:rPr>
          <w:rFonts w:asciiTheme="minorHAnsi" w:hAnsiTheme="minorHAnsi" w:cstheme="minorHAnsi"/>
          <w:sz w:val="24"/>
        </w:rPr>
        <w:t>4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1D6FE934" w:rsidR="001A0064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>WOO-I.420.</w:t>
      </w:r>
      <w:r w:rsidR="00FB4376">
        <w:rPr>
          <w:rFonts w:asciiTheme="minorHAnsi" w:hAnsiTheme="minorHAnsi" w:cstheme="minorHAnsi"/>
          <w:sz w:val="24"/>
        </w:rPr>
        <w:t>11</w:t>
      </w:r>
      <w:r w:rsidRPr="001A0064">
        <w:rPr>
          <w:rFonts w:asciiTheme="minorHAnsi" w:hAnsiTheme="minorHAnsi" w:cstheme="minorHAnsi"/>
          <w:sz w:val="24"/>
        </w:rPr>
        <w:t>.202</w:t>
      </w:r>
      <w:r w:rsidR="00FB4376">
        <w:rPr>
          <w:rFonts w:asciiTheme="minorHAnsi" w:hAnsiTheme="minorHAnsi" w:cstheme="minorHAnsi"/>
          <w:sz w:val="24"/>
        </w:rPr>
        <w:t>3</w:t>
      </w:r>
      <w:r w:rsidRPr="001A0064">
        <w:rPr>
          <w:rFonts w:asciiTheme="minorHAnsi" w:hAnsiTheme="minorHAnsi" w:cstheme="minorHAnsi"/>
          <w:sz w:val="24"/>
        </w:rPr>
        <w:t>.SK.</w:t>
      </w:r>
      <w:r w:rsidR="009E33B9">
        <w:rPr>
          <w:rFonts w:asciiTheme="minorHAnsi" w:hAnsiTheme="minorHAnsi" w:cstheme="minorHAnsi"/>
          <w:sz w:val="24"/>
        </w:rPr>
        <w:t>9</w:t>
      </w:r>
      <w:r w:rsidRPr="001A0064">
        <w:rPr>
          <w:rFonts w:asciiTheme="minorHAnsi" w:hAnsiTheme="minorHAnsi" w:cstheme="minorHAnsi"/>
          <w:sz w:val="24"/>
        </w:rPr>
        <w:t xml:space="preserve">               </w:t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7917A281" w14:textId="52E62664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Zgodnie z art. 36 oraz art. 49 ustawy z dnia 14 czerwca 1960 r. - Kodeks postępowania administracyjnego (tekst jedn. Dz. U. z 2024 r., poz. 572 – cyt. dalej jako „k.p.a.”), w związku z art. 74 ust. 3 i  art. 75 ust. 1 pkt 1 lit. j ustawy z dnia 3 października 2008 r. o udostępnianiu informacji o środowisku i jego ochronie, udziale społeczeństwa w ochronie środowiska oraz o ocenach oddziaływan</w:t>
      </w:r>
      <w:r>
        <w:rPr>
          <w:rFonts w:cstheme="minorHAnsi"/>
          <w:sz w:val="24"/>
          <w:szCs w:val="24"/>
        </w:rPr>
        <w:t xml:space="preserve">ia na środowisko </w:t>
      </w:r>
      <w:r w:rsidRPr="009E33B9">
        <w:rPr>
          <w:rFonts w:cstheme="minorHAnsi"/>
          <w:sz w:val="24"/>
          <w:szCs w:val="24"/>
        </w:rPr>
        <w:t>(tekst jedn. Dz. U. z 2023 r. poz. 1094 ze zm. – cyt. dalej jako „UUOŚ”)</w:t>
      </w:r>
    </w:p>
    <w:p w14:paraId="25E7F8AF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b/>
          <w:sz w:val="24"/>
          <w:szCs w:val="24"/>
        </w:rPr>
        <w:t>Regionalny Dyrektor Ochrony Środowiska w Kielcach</w:t>
      </w:r>
      <w:r w:rsidRPr="009E33B9">
        <w:rPr>
          <w:rFonts w:cstheme="minorHAnsi"/>
          <w:sz w:val="24"/>
          <w:szCs w:val="24"/>
        </w:rPr>
        <w:t xml:space="preserve"> </w:t>
      </w:r>
    </w:p>
    <w:p w14:paraId="50240CA8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zawiadamia strony, że w związku z prowadzonym postępowaniem na wniosek Grupa Azoty Kopalnie i Zakłady Chemiczne Siarki „Siarkopol” S.A., Grzybów 34, 28-200 Staszów działającej za pośrednictwem Pełnomocnika Pani Joanny Karda, w sprawie wydania decyzji o środowiskowych uwarunkowaniach dla przedsięwzięcia pn.: </w:t>
      </w:r>
      <w:r w:rsidRPr="009E33B9">
        <w:rPr>
          <w:rFonts w:cstheme="minorHAnsi"/>
          <w:b/>
          <w:sz w:val="24"/>
          <w:szCs w:val="24"/>
        </w:rPr>
        <w:t xml:space="preserve">„Eksploatacja nowych złóż siarki rodzimej Rudniki 1 i Rudniki 2 wraz z budową infrastruktury towarzyszącej i zaplecza socjalnego dla Grupa Azoty Kopalnie i Zakłady Chemiczne Siarki „Siarkopol” S.A.” </w:t>
      </w:r>
      <w:r w:rsidRPr="009E33B9">
        <w:rPr>
          <w:rFonts w:cstheme="minorHAnsi"/>
          <w:sz w:val="24"/>
          <w:szCs w:val="24"/>
        </w:rPr>
        <w:t xml:space="preserve">przedmiotowe postępowanie na dalszym etapie prowadzone będzie dla przedsięwzięcia pn.: </w:t>
      </w:r>
    </w:p>
    <w:p w14:paraId="1AE92CBA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E33B9">
        <w:rPr>
          <w:rFonts w:cstheme="minorHAnsi"/>
          <w:b/>
          <w:sz w:val="24"/>
          <w:szCs w:val="24"/>
        </w:rPr>
        <w:t>„Eksploatacja nowych złóż siarki rodzimej Rudniki 1 wraz z budową infrastruktury towarzyszącej i zaplecza socjalnego dla Grupa Azoty Kopalnie i Zakłady Chemiczne Siarki „Siarkopol””.</w:t>
      </w:r>
    </w:p>
    <w:p w14:paraId="1D4C8192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Powyższe wynika  z pisma Inwestora z dnia 25.03.2024 r., uzupełnionego pismem z dnia 09.04.2024 r. wraz z którym przedłożono załącznik graficzny ze zweryfikowanymi granicami złoża Rudniki 1 i zweryfikowanym zasięgiem oddziaływania przedsięwzięcia, natomiast teren realizacji przedsięwzięcia nie ulega zmianie. Ponadto Burmistrz Miasta i Gminy Połaniec pismem znak: GOS.6730.2024.26.KGOS z dnia 16.04.2024 r. zajął stanowisko w kwestii zgodności planowanego przedsięwzięcia z miejscowymi planami zagospodarowania przestrzennego gminy Połaniec. Jednocześnie informuję, że z uwagi na oczekiwanie na przedłożenie przez Burmistrza Miasta i Gminy w Osieku stanowiska w zakresie zgodności lokalizacji przedsięwzięcia z obowiązującym na terenie realizacji inwestycji miejscowym </w:t>
      </w:r>
      <w:r w:rsidRPr="009E33B9">
        <w:rPr>
          <w:rFonts w:cstheme="minorHAnsi"/>
          <w:sz w:val="24"/>
          <w:szCs w:val="24"/>
        </w:rPr>
        <w:lastRenderedPageBreak/>
        <w:t xml:space="preserve">planem zagospodarowania przestrzennego, jak również konieczności uzyskania opinii właściwego organu Wód Polskich i organu inspekcji sanitarnej oraz informowania stron w drodze </w:t>
      </w:r>
      <w:proofErr w:type="spellStart"/>
      <w:r w:rsidRPr="009E33B9">
        <w:rPr>
          <w:rFonts w:cstheme="minorHAnsi"/>
          <w:sz w:val="24"/>
          <w:szCs w:val="24"/>
        </w:rPr>
        <w:t>obwieszczeń</w:t>
      </w:r>
      <w:proofErr w:type="spellEnd"/>
      <w:r w:rsidRPr="009E33B9">
        <w:rPr>
          <w:rFonts w:cstheme="minorHAnsi"/>
          <w:sz w:val="24"/>
          <w:szCs w:val="24"/>
        </w:rPr>
        <w:t xml:space="preserve"> przedłużam termin załatwienia sprawy do </w:t>
      </w:r>
      <w:r w:rsidRPr="009E33B9">
        <w:rPr>
          <w:rFonts w:cstheme="minorHAnsi"/>
          <w:b/>
          <w:sz w:val="24"/>
          <w:szCs w:val="24"/>
        </w:rPr>
        <w:t>23.07.2024 r.</w:t>
      </w:r>
      <w:r w:rsidRPr="009E33B9">
        <w:rPr>
          <w:rFonts w:cstheme="minorHAnsi"/>
          <w:sz w:val="24"/>
          <w:szCs w:val="24"/>
        </w:rPr>
        <w:t xml:space="preserve"> Informuję również o prawie do wniesienia ponaglenia zgodnie z art. 37 k.p.a.</w:t>
      </w:r>
    </w:p>
    <w:p w14:paraId="1B13873F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9E33B9">
        <w:rPr>
          <w:rFonts w:cstheme="minorHAnsi"/>
          <w:b/>
          <w:sz w:val="24"/>
          <w:szCs w:val="24"/>
        </w:rPr>
        <w:t>29.05.2024 r.</w:t>
      </w:r>
      <w:r w:rsidRPr="009E33B9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5738411F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Jednocześnie zawiadamiam,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 aktami sprawy strony mogą zapoznać się po uprzednim umówieniu się z pracownikiem tutejszej Dyrekcji (nr telefonu do kontaktu: (41)3435361 lub (41)3435363).</w:t>
      </w:r>
    </w:p>
    <w:p w14:paraId="0A7C6DFC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Iwona Kędzierska - Gębska</w:t>
      </w:r>
    </w:p>
    <w:p w14:paraId="62941078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Regionalny Dyrektor Ochrony Środowiska</w:t>
      </w:r>
    </w:p>
    <w:p w14:paraId="6548C713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w Kielcach</w:t>
      </w:r>
    </w:p>
    <w:p w14:paraId="340A0AEE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/-podpisany cyfrowo/</w:t>
      </w:r>
    </w:p>
    <w:p w14:paraId="692CD9CF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16E80826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9E33B9">
        <w:rPr>
          <w:rFonts w:cstheme="minorHAnsi"/>
          <w:b/>
          <w:sz w:val="24"/>
          <w:szCs w:val="24"/>
          <w:u w:val="single"/>
        </w:rPr>
        <w:t>Otrzymują:</w:t>
      </w:r>
    </w:p>
    <w:p w14:paraId="5E8D4CAE" w14:textId="77777777" w:rsidR="009E33B9" w:rsidRPr="009E33B9" w:rsidRDefault="009E33B9" w:rsidP="009E33B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Grupa Azoty Kopalnie i Zakłady Chemiczne Siarki „Siarkopol” S.A. </w:t>
      </w:r>
    </w:p>
    <w:p w14:paraId="6DC395DC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za pośrednictwem Pełnomocnika Pani Joanny Karda - doręczenie zgodnie z Art. 39</w:t>
      </w:r>
      <w:r w:rsidRPr="009E33B9">
        <w:rPr>
          <w:rFonts w:cstheme="minorHAnsi"/>
          <w:sz w:val="24"/>
          <w:szCs w:val="24"/>
          <w:vertAlign w:val="superscript"/>
        </w:rPr>
        <w:t>3</w:t>
      </w:r>
      <w:r w:rsidRPr="009E33B9">
        <w:rPr>
          <w:rFonts w:cstheme="minorHAnsi"/>
          <w:sz w:val="24"/>
          <w:szCs w:val="24"/>
        </w:rPr>
        <w:t xml:space="preserve"> § 1 k.p.a.</w:t>
      </w:r>
    </w:p>
    <w:p w14:paraId="03591349" w14:textId="77777777" w:rsidR="009E33B9" w:rsidRPr="009E33B9" w:rsidRDefault="009E33B9" w:rsidP="009E33B9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Pozostałe strony poprzez obwieszczenie:</w:t>
      </w:r>
    </w:p>
    <w:p w14:paraId="0B457C76" w14:textId="77777777" w:rsidR="009E33B9" w:rsidRPr="009E33B9" w:rsidRDefault="009E33B9" w:rsidP="009E33B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3C48367" w14:textId="77777777" w:rsidR="009E33B9" w:rsidRPr="009E33B9" w:rsidRDefault="009E33B9" w:rsidP="009E33B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24F1B34D" w14:textId="77777777" w:rsidR="009E33B9" w:rsidRPr="009E33B9" w:rsidRDefault="009E33B9" w:rsidP="009E33B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udostępnione za pośrednictwem Burmistrza Miasta i Gminy Połaniec w Biuletynie Informacji Publicznej lub publiczne ogłoszenie dokonane w sposób zwyczajowo przyjęty w danej miejscowości – zgodnie z art. 74 ust. 3aa UUOŚ,</w:t>
      </w:r>
    </w:p>
    <w:p w14:paraId="6778633E" w14:textId="77777777" w:rsidR="009E33B9" w:rsidRPr="009E33B9" w:rsidRDefault="009E33B9" w:rsidP="009E33B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lastRenderedPageBreak/>
        <w:t>udostępnione za pośrednictwem Burmistrza Miasta i Gminy w Osieku w Biuletynie Informacji Publicznej lub publiczne ogłoszenie dokonane w sposób zwyczajowo przyjęty w danej miejscowości – zgodnie z art. 74 ust. 3aa UUOŚ,</w:t>
      </w:r>
    </w:p>
    <w:p w14:paraId="10842C4D" w14:textId="77777777" w:rsidR="009E33B9" w:rsidRPr="009E33B9" w:rsidRDefault="009E33B9" w:rsidP="009E33B9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udostępnione za pośrednictwem Wójta Gminy Rytwiany w Biuletynie Informacji Publicznej lub publiczne ogłoszenie dokonane w sposób zwyczajowo przyjęty w danej miejscowości – zgodnie z art. 74 ust. 3aa UUOŚ.</w:t>
      </w:r>
    </w:p>
    <w:p w14:paraId="39A4333B" w14:textId="77777777" w:rsidR="009E33B9" w:rsidRPr="009E33B9" w:rsidRDefault="009E33B9" w:rsidP="009E33B9">
      <w:pPr>
        <w:numPr>
          <w:ilvl w:val="0"/>
          <w:numId w:val="13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aa</w:t>
      </w:r>
    </w:p>
    <w:p w14:paraId="31283A3E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9E33B9">
        <w:rPr>
          <w:rFonts w:cstheme="minorHAnsi"/>
          <w:b/>
          <w:sz w:val="24"/>
          <w:szCs w:val="24"/>
          <w:u w:val="single"/>
        </w:rPr>
        <w:t>Do wiadomości</w:t>
      </w:r>
      <w:r w:rsidRPr="009E33B9">
        <w:rPr>
          <w:rFonts w:cstheme="minorHAnsi"/>
          <w:sz w:val="24"/>
          <w:szCs w:val="24"/>
          <w:u w:val="single"/>
        </w:rPr>
        <w:t>:</w:t>
      </w:r>
    </w:p>
    <w:p w14:paraId="6F4F322A" w14:textId="77777777" w:rsidR="009E33B9" w:rsidRPr="009E33B9" w:rsidRDefault="009E33B9" w:rsidP="009E33B9">
      <w:pPr>
        <w:numPr>
          <w:ilvl w:val="1"/>
          <w:numId w:val="4"/>
        </w:numPr>
        <w:tabs>
          <w:tab w:val="clear" w:pos="1440"/>
          <w:tab w:val="num" w:pos="284"/>
        </w:tabs>
        <w:spacing w:after="0" w:line="360" w:lineRule="auto"/>
        <w:ind w:left="709" w:hanging="567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Grupa Azoty Kopalnie i Zakłady Chemiczne Siarki „Siarkopol” S.A., 28-200 Staszów, Grzybów 34 - doręczenie zgodnie z Art. 39</w:t>
      </w:r>
      <w:r w:rsidRPr="009E33B9">
        <w:rPr>
          <w:rFonts w:cstheme="minorHAnsi"/>
          <w:sz w:val="24"/>
          <w:szCs w:val="24"/>
          <w:vertAlign w:val="superscript"/>
        </w:rPr>
        <w:t xml:space="preserve">3 </w:t>
      </w:r>
      <w:r w:rsidRPr="009E33B9">
        <w:rPr>
          <w:rFonts w:cstheme="minorHAnsi"/>
          <w:sz w:val="24"/>
          <w:szCs w:val="24"/>
        </w:rPr>
        <w:t>§ 1 k.p.a.</w:t>
      </w:r>
    </w:p>
    <w:p w14:paraId="572D27CD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7A5CD2E3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p w14:paraId="5613527D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3E506159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Art. 36 § 2 k.p.a. „Ten sam obowiązek ciąży na organie administracji publicznej również w przypadku zwłoki w załatwieniu sprawy z przyczyn niezależnych od organu”.</w:t>
      </w:r>
    </w:p>
    <w:p w14:paraId="2CB3684D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Art. 37 § 1 k.p.a. „Stronie służy prawo do wniesienia ponaglenia, jeżeli: </w:t>
      </w:r>
    </w:p>
    <w:p w14:paraId="79B52B0F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1) nie załatwiono sprawy w terminie określonym w art. 35 lub przepisach szczególnych ani w terminie wskazanym zgodnie z art. 36 § 1 (bezczynność). </w:t>
      </w:r>
    </w:p>
    <w:p w14:paraId="3641DD87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2) postępowanie jest prowadzone dłużej niż jest to niezbędne do załatwienia sprawy (przewlekłość)”.</w:t>
      </w:r>
    </w:p>
    <w:p w14:paraId="17DC6048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>Art. 39</w:t>
      </w:r>
      <w:r w:rsidRPr="009E33B9">
        <w:rPr>
          <w:rFonts w:cstheme="minorHAnsi"/>
          <w:sz w:val="24"/>
          <w:szCs w:val="24"/>
          <w:vertAlign w:val="superscript"/>
        </w:rPr>
        <w:t>3</w:t>
      </w:r>
      <w:r w:rsidRPr="009E33B9">
        <w:rPr>
          <w:rFonts w:cstheme="minorHAnsi"/>
          <w:sz w:val="24"/>
          <w:szCs w:val="24"/>
        </w:rPr>
        <w:t xml:space="preserve"> § 1 k.p.a. „W przypadku pism wydanych przez organ administracji publicznej w postaci elektronicznej przy wykorzystaniu systemu teleinformatycznego, które zostały opatrzone kwalifikowanym podpisem elektronicznym, podpisem zaufanym albo podpisem osobistym, </w:t>
      </w:r>
      <w:r w:rsidRPr="009E33B9">
        <w:rPr>
          <w:rFonts w:cstheme="minorHAnsi"/>
          <w:sz w:val="24"/>
          <w:szCs w:val="24"/>
        </w:rPr>
        <w:lastRenderedPageBreak/>
        <w:t>zaawansowaną pieczęcią elektroniczną albo kwalifikowaną pieczęcią elektroniczną, doręczenie może polegać na doręczeniu wydruku pisma uzyskanego z tego systemu odzwierciedlającego treść tego pisma”.</w:t>
      </w:r>
    </w:p>
    <w:p w14:paraId="7C6674A2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019559D3" w14:textId="77777777" w:rsidR="009E33B9" w:rsidRPr="009E33B9" w:rsidRDefault="009E33B9" w:rsidP="009E33B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3B9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sectPr w:rsidR="009E33B9" w:rsidRPr="009E33B9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0A8B1" w14:textId="77777777" w:rsidR="00766BB7" w:rsidRDefault="00766BB7" w:rsidP="00263043">
      <w:pPr>
        <w:spacing w:after="0" w:line="240" w:lineRule="auto"/>
      </w:pPr>
      <w:r>
        <w:separator/>
      </w:r>
    </w:p>
  </w:endnote>
  <w:endnote w:type="continuationSeparator" w:id="0">
    <w:p w14:paraId="54C84114" w14:textId="77777777" w:rsidR="00766BB7" w:rsidRDefault="00766BB7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2C9A" w14:textId="77777777" w:rsidR="00766BB7" w:rsidRDefault="00766BB7" w:rsidP="00263043">
      <w:pPr>
        <w:spacing w:after="0" w:line="240" w:lineRule="auto"/>
      </w:pPr>
      <w:r>
        <w:separator/>
      </w:r>
    </w:p>
  </w:footnote>
  <w:footnote w:type="continuationSeparator" w:id="0">
    <w:p w14:paraId="66CE860F" w14:textId="77777777" w:rsidR="00766BB7" w:rsidRDefault="00766BB7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6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4"/>
  </w:num>
  <w:num w:numId="15">
    <w:abstractNumId w:val="14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3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 w:numId="25">
    <w:abstractNumId w:val="28"/>
  </w:num>
  <w:num w:numId="26">
    <w:abstractNumId w:val="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66BB7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3B9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408F-7806-4DEA-8479-8EEC8766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8</cp:revision>
  <cp:lastPrinted>2023-10-17T11:15:00Z</cp:lastPrinted>
  <dcterms:created xsi:type="dcterms:W3CDTF">2023-10-17T12:58:00Z</dcterms:created>
  <dcterms:modified xsi:type="dcterms:W3CDTF">2024-05-24T11:45:00Z</dcterms:modified>
</cp:coreProperties>
</file>