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3445EC" w:rsidRPr="00736930" w:rsidP="00736930">
      <w:pPr>
        <w:pStyle w:val="Title"/>
        <w:ind w:left="5103"/>
      </w:pPr>
      <w:bookmarkStart w:id="0" w:name="_Toc363117251"/>
      <w:bookmarkStart w:id="1" w:name="_Toc363117277"/>
      <w:r w:rsidRPr="00736930">
        <w:t xml:space="preserve">Załącznik </w:t>
      </w:r>
      <w:r w:rsidRPr="00736930" w:rsidR="00AF4DD6">
        <w:rPr>
          <w:color w:val="000000" w:themeColor="text1"/>
        </w:rPr>
        <w:t>nr</w:t>
      </w:r>
      <w:r w:rsidRPr="00736930" w:rsidR="00541466">
        <w:rPr>
          <w:color w:val="000000" w:themeColor="text1"/>
        </w:rPr>
        <w:t xml:space="preserve"> </w:t>
      </w:r>
      <w:r w:rsidR="00E021BC">
        <w:rPr>
          <w:color w:val="000000" w:themeColor="text1"/>
        </w:rPr>
        <w:t xml:space="preserve">1 </w:t>
      </w:r>
      <w:r w:rsidRPr="00736930">
        <w:t>do zarządzenia Wojewody Pomorskiego</w:t>
      </w:r>
    </w:p>
    <w:p w:rsidR="00736930" w:rsidRPr="00736930" w:rsidP="00736930">
      <w:pPr>
        <w:pStyle w:val="Title"/>
        <w:spacing w:after="360"/>
        <w:ind w:left="5103"/>
        <w:contextualSpacing w:val="0"/>
      </w:pPr>
      <w:r w:rsidRPr="00736930">
        <w:t>z dnia</w:t>
      </w:r>
      <w:r w:rsidRPr="00736930" w:rsidR="00DB7939">
        <w:t xml:space="preserve"> </w:t>
      </w:r>
      <w:bookmarkStart w:id="2" w:name="ezdDataPodpisu"/>
      <w:r w:rsidR="00E021BC">
        <w:t>7 lutego 2025</w:t>
      </w:r>
      <w:bookmarkEnd w:id="2"/>
      <w:r w:rsidR="00E021BC">
        <w:t>lutego 2025</w:t>
      </w:r>
      <w:r w:rsidRPr="00736930" w:rsidR="00DB7939">
        <w:t xml:space="preserve"> </w:t>
      </w:r>
      <w:r w:rsidRPr="00736930" w:rsidR="00A75F68">
        <w:t>r.</w:t>
      </w:r>
    </w:p>
    <w:p w:rsidR="008157F0" w:rsidRPr="008157F0" w:rsidP="008157F0">
      <w:pPr>
        <w:pStyle w:val="Heading2"/>
      </w:pPr>
      <w:bookmarkEnd w:id="0"/>
      <w:bookmarkEnd w:id="1"/>
      <w:r>
        <w:t>U</w:t>
      </w:r>
      <w:r w:rsidRPr="00E021BC">
        <w:t>miejscowienie</w:t>
      </w:r>
      <w:r>
        <w:t xml:space="preserve"> </w:t>
      </w:r>
      <w:r w:rsidRPr="00E021BC">
        <w:t>w jednolitym rzeczowym wykazie akt</w:t>
      </w:r>
    </w:p>
    <w:p w:rsidR="00E021BC" w:rsidRPr="00E021BC" w:rsidP="00220BB1">
      <w:pPr>
        <w:rPr>
          <w:iCs/>
          <w:color w:val="808080" w:themeColor="background1" w:themeShade="80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4"/>
        <w:gridCol w:w="512"/>
        <w:gridCol w:w="750"/>
        <w:gridCol w:w="813"/>
        <w:gridCol w:w="3827"/>
        <w:gridCol w:w="1559"/>
        <w:gridCol w:w="6237"/>
      </w:tblGrid>
      <w:tr w:rsidTr="00E021BC">
        <w:tblPrEx>
          <w:tblW w:w="143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30"/>
        </w:trPr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C" w:rsidRPr="00E021BC" w:rsidP="00E021BC">
            <w:pPr>
              <w:jc w:val="center"/>
            </w:pPr>
            <w:r w:rsidRPr="00E021BC">
              <w:t>Symbole      klasyfikacyjne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C" w:rsidRPr="00E021BC" w:rsidP="00E021BC">
            <w:pPr>
              <w:jc w:val="center"/>
            </w:pPr>
            <w:r w:rsidRPr="00E021BC">
              <w:t>Hasło klasyfikacyjne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C" w:rsidRPr="00E021BC" w:rsidP="00E021BC">
            <w:pPr>
              <w:jc w:val="center"/>
            </w:pPr>
            <w:r w:rsidRPr="00E021BC">
              <w:t>Oznaczenie kategorii archiwalnej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C" w:rsidRPr="00E021BC" w:rsidP="00E021BC">
            <w:pPr>
              <w:jc w:val="center"/>
            </w:pPr>
            <w:r w:rsidRPr="00E021BC">
              <w:t>Uszczegółowienie hasła klasyfikacyjnego</w:t>
            </w:r>
          </w:p>
        </w:tc>
      </w:tr>
      <w:tr w:rsidTr="00E021BC">
        <w:tblPrEx>
          <w:tblW w:w="14312" w:type="dxa"/>
          <w:tblLayout w:type="fixed"/>
          <w:tblLook w:val="04A0"/>
        </w:tblPrEx>
        <w:trPr>
          <w:trHeight w:val="18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C" w:rsidRPr="00E021BC" w:rsidP="00E021BC">
            <w:pPr>
              <w:jc w:val="center"/>
            </w:pPr>
            <w:r w:rsidRPr="00E021BC">
              <w:t>I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C" w:rsidRPr="00E021BC" w:rsidP="00E021BC">
            <w:pPr>
              <w:jc w:val="center"/>
            </w:pPr>
            <w:r w:rsidRPr="00E021BC">
              <w:t>II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C" w:rsidRPr="00E021BC" w:rsidP="00E021BC">
            <w:pPr>
              <w:jc w:val="center"/>
            </w:pPr>
            <w:r w:rsidRPr="00E021BC">
              <w:t>III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C" w:rsidRPr="00E021BC" w:rsidP="00E021BC">
            <w:pPr>
              <w:jc w:val="center"/>
            </w:pPr>
            <w:r w:rsidRPr="00E021BC">
              <w:t>IV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C" w:rsidRPr="00E021BC" w:rsidP="00E021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C" w:rsidRPr="00E021BC" w:rsidP="00E021B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C" w:rsidRPr="00E021BC" w:rsidP="00E021BC">
            <w:pPr>
              <w:jc w:val="center"/>
            </w:pPr>
          </w:p>
        </w:tc>
      </w:tr>
      <w:tr w:rsidTr="00E021BC">
        <w:tblPrEx>
          <w:tblW w:w="14312" w:type="dxa"/>
          <w:tblLayout w:type="fixed"/>
          <w:tblLook w:val="04A0"/>
        </w:tblPrEx>
        <w:trPr>
          <w:trHeight w:val="129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C" w:rsidRPr="00E021BC" w:rsidP="00E021BC">
            <w:pPr>
              <w:jc w:val="center"/>
            </w:pPr>
            <w:r w:rsidRPr="00E021BC"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C" w:rsidRPr="00E021BC" w:rsidP="00E021BC">
            <w:pPr>
              <w:jc w:val="center"/>
            </w:pPr>
            <w:r w:rsidRPr="00E021BC"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C" w:rsidRPr="00E021BC" w:rsidP="00E021BC">
            <w:pPr>
              <w:jc w:val="center"/>
            </w:pPr>
            <w:r w:rsidRPr="00E021BC"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C" w:rsidRPr="00E021BC" w:rsidP="00E021BC">
            <w:pPr>
              <w:jc w:val="center"/>
            </w:pPr>
            <w:r w:rsidRPr="00E021BC"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C" w:rsidRPr="00E021BC" w:rsidP="00E021BC">
            <w:pPr>
              <w:jc w:val="center"/>
            </w:pPr>
            <w:r w:rsidRPr="00E021BC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C" w:rsidRPr="00E021BC" w:rsidP="00E021BC">
            <w:pPr>
              <w:jc w:val="center"/>
            </w:pPr>
            <w:r w:rsidRPr="00E021BC"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C" w:rsidRPr="00E021BC" w:rsidP="00E021BC">
            <w:pPr>
              <w:jc w:val="center"/>
            </w:pPr>
            <w:r w:rsidRPr="00E021BC">
              <w:t>7</w:t>
            </w:r>
          </w:p>
        </w:tc>
      </w:tr>
      <w:tr w:rsidTr="00E021BC">
        <w:tblPrEx>
          <w:tblW w:w="14312" w:type="dxa"/>
          <w:tblLayout w:type="fixed"/>
          <w:tblLook w:val="04A0"/>
        </w:tblPrEx>
        <w:trPr>
          <w:trHeight w:val="33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C" w:rsidRPr="00E021BC" w:rsidP="00E021BC"/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C" w:rsidRPr="00E021BC" w:rsidP="00E021BC">
            <w:r w:rsidRPr="00E021BC">
              <w:t>17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C" w:rsidRPr="00E021BC" w:rsidP="00E021BC"/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C" w:rsidRPr="00E021BC" w:rsidP="00E021BC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C" w:rsidRPr="00E021BC" w:rsidP="00E021BC">
            <w:r w:rsidRPr="00E021BC">
              <w:rPr>
                <w:rStyle w:val="Emphasis"/>
                <w:rFonts w:cs="Arial"/>
              </w:rPr>
              <w:t>Zgłaszanie naruszeń prawa, podejmowanie działań następczych i ochrona sygnalistów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C" w:rsidRPr="00E021BC" w:rsidP="00E021B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C" w:rsidRPr="00E021BC" w:rsidP="00E021BC"/>
        </w:tc>
      </w:tr>
      <w:tr w:rsidTr="00E021BC">
        <w:tblPrEx>
          <w:tblW w:w="14312" w:type="dxa"/>
          <w:tblLayout w:type="fixed"/>
          <w:tblLook w:val="04A0"/>
        </w:tblPrEx>
        <w:trPr>
          <w:trHeight w:val="34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C" w:rsidRPr="00E021BC" w:rsidP="00E021BC"/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C" w:rsidRPr="00E021BC" w:rsidP="00E021BC"/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C" w:rsidRPr="00E021BC" w:rsidP="00E021BC">
            <w:r w:rsidRPr="00E021BC">
              <w:t>170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C" w:rsidRPr="00E021BC" w:rsidP="00E021BC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C" w:rsidRPr="00E021BC" w:rsidP="00E021BC">
            <w:r w:rsidRPr="00E021BC">
              <w:t>Zgłoszenia wewnętrzne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C" w:rsidRPr="00E021BC" w:rsidP="00E021B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C" w:rsidRPr="00E021BC" w:rsidP="00E021BC"/>
        </w:tc>
      </w:tr>
      <w:tr w:rsidTr="00E021BC">
        <w:tblPrEx>
          <w:tblW w:w="14312" w:type="dxa"/>
          <w:tblLayout w:type="fixed"/>
          <w:tblLook w:val="04A0"/>
        </w:tblPrEx>
        <w:trPr>
          <w:trHeight w:val="33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/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/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/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>
            <w:r w:rsidRPr="00E021BC">
              <w:t>1700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>
            <w:r w:rsidRPr="00E021BC">
              <w:t>Procedura zgłoszeń wewnętrznych, jej konsultowanie i przeglądy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>
            <w:pPr>
              <w:jc w:val="center"/>
            </w:pPr>
            <w:r w:rsidRPr="00E021BC">
              <w:t>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/>
        </w:tc>
      </w:tr>
      <w:tr w:rsidTr="00E021BC">
        <w:tblPrEx>
          <w:tblW w:w="14312" w:type="dxa"/>
          <w:tblLayout w:type="fixed"/>
          <w:tblLook w:val="04A0"/>
        </w:tblPrEx>
        <w:trPr>
          <w:trHeight w:val="33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/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/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/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>
            <w:r w:rsidRPr="00E021BC">
              <w:t>1701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>
            <w:r w:rsidRPr="00E021BC">
              <w:t>Zgłoszenia wewnętrzne i ich obsługa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>
            <w:pPr>
              <w:jc w:val="center"/>
            </w:pPr>
            <w:r w:rsidRPr="00E021BC">
              <w:t>B3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>
            <w:r w:rsidRPr="00E021BC">
              <w:t xml:space="preserve">czas przechowywania jest liczony po zakończeniu roku kalendarzowego, w którym przekazano zgłoszenie do właściwego organu lub zakończono działania następcze </w:t>
            </w:r>
            <w:r w:rsidRPr="00E021BC">
              <w:t>lub po zakończeniu postępowań zainicjowanych działaniami następczymi</w:t>
            </w:r>
          </w:p>
        </w:tc>
      </w:tr>
      <w:tr w:rsidTr="00E021BC">
        <w:tblPrEx>
          <w:tblW w:w="14312" w:type="dxa"/>
          <w:tblLayout w:type="fixed"/>
          <w:tblLook w:val="04A0"/>
        </w:tblPrEx>
        <w:trPr>
          <w:trHeight w:val="33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/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/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/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>
            <w:r w:rsidRPr="00E021BC">
              <w:t>1702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>
            <w:r w:rsidRPr="00E021BC">
              <w:t>Rejestr zgłoszeń wewnętrznych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>
            <w:pPr>
              <w:jc w:val="center"/>
            </w:pPr>
            <w:r w:rsidRPr="00E021BC">
              <w:t>B3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>
            <w:r w:rsidRPr="00E021BC">
              <w:t>czas przechowywania jest liczony dla poszczególnych zgłoszeń po zakończeniu roku kalendarzowego, w którym zakończono działania następcze lub po zakończeniu postępowań zainicjowanych działaniami następczymi</w:t>
            </w:r>
          </w:p>
        </w:tc>
      </w:tr>
      <w:tr w:rsidTr="00E021BC">
        <w:tblPrEx>
          <w:tblW w:w="14312" w:type="dxa"/>
          <w:tblLayout w:type="fixed"/>
          <w:tblLook w:val="04A0"/>
        </w:tblPrEx>
        <w:trPr>
          <w:trHeight w:val="33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/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/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>
            <w:r w:rsidRPr="00E021BC">
              <w:t>171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>
            <w:r w:rsidRPr="00E021BC">
              <w:t>Zgłoszenia zewnętrzne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/>
        </w:tc>
      </w:tr>
      <w:tr w:rsidTr="00E021BC">
        <w:tblPrEx>
          <w:tblW w:w="14312" w:type="dxa"/>
          <w:tblLayout w:type="fixed"/>
          <w:tblLook w:val="04A0"/>
        </w:tblPrEx>
        <w:trPr>
          <w:trHeight w:val="33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/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/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/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>
            <w:r w:rsidRPr="00E021BC">
              <w:t>1710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>
            <w:r w:rsidRPr="00E021BC">
              <w:t>Procedura zgłoszeń zewnętrznych i jej przeglądy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>
            <w:pPr>
              <w:jc w:val="center"/>
            </w:pPr>
            <w:r w:rsidRPr="00E021BC">
              <w:t>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/>
        </w:tc>
      </w:tr>
      <w:tr w:rsidTr="00E021BC">
        <w:tblPrEx>
          <w:tblW w:w="14312" w:type="dxa"/>
          <w:tblLayout w:type="fixed"/>
          <w:tblLook w:val="04A0"/>
        </w:tblPrEx>
        <w:trPr>
          <w:trHeight w:val="33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/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/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/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>
            <w:r w:rsidRPr="00E021BC">
              <w:t>1711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>
            <w:r w:rsidRPr="00E021BC">
              <w:t>Zgłoszenia zewnętrzne i ich obsługa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>
            <w:pPr>
              <w:jc w:val="center"/>
            </w:pPr>
            <w:r w:rsidRPr="00E021BC">
              <w:t>B3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>
            <w:r w:rsidRPr="00E021BC">
              <w:t>czas przechowywania jest liczony po zakończeniu roku kalendarzowego, w którym przekazano zgłoszenie do właściwego organu lub zakończono działania następcze lub po zakończeniu postępowań zainicjowanych działaniami następczymi</w:t>
            </w:r>
          </w:p>
        </w:tc>
      </w:tr>
      <w:tr w:rsidTr="00E021BC">
        <w:tblPrEx>
          <w:tblW w:w="14312" w:type="dxa"/>
          <w:tblLayout w:type="fixed"/>
          <w:tblLook w:val="04A0"/>
        </w:tblPrEx>
        <w:trPr>
          <w:trHeight w:val="33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/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/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/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>
            <w:r w:rsidRPr="00E021BC">
              <w:t>1712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>
            <w:r w:rsidRPr="00E021BC">
              <w:t>Rejestr zgłoszeń zewnętrznych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>
            <w:pPr>
              <w:jc w:val="center"/>
            </w:pPr>
            <w:r w:rsidRPr="00E021BC">
              <w:t>B3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>
            <w:r w:rsidRPr="00E021BC">
              <w:t>czas przechowywania jest liczony dla poszczególnych zgłoszeń po zakończeniu roku kalendarzowego, w którym zakończono działania następcze lub po zakończeniu postępowań zainicjowanych działaniami następczymi</w:t>
            </w:r>
          </w:p>
        </w:tc>
      </w:tr>
      <w:tr w:rsidTr="00E021BC">
        <w:tblPrEx>
          <w:tblW w:w="14312" w:type="dxa"/>
          <w:tblLayout w:type="fixed"/>
          <w:tblLook w:val="04A0"/>
        </w:tblPrEx>
        <w:trPr>
          <w:trHeight w:val="33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/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/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/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>
            <w:r w:rsidRPr="00E021BC">
              <w:t>1713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>
            <w:r w:rsidRPr="00E021BC">
              <w:t>Zaświadczanie o podleganiu przez sygnalistę ochronie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>
            <w:pPr>
              <w:jc w:val="center"/>
            </w:pPr>
            <w:r w:rsidRPr="00E021BC">
              <w:t>B3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BC" w:rsidRPr="00E021BC" w:rsidP="00E021BC"/>
        </w:tc>
      </w:tr>
    </w:tbl>
    <w:p w:rsidR="00E24DC9" w:rsidP="00220BB1">
      <w:pPr>
        <w:rPr>
          <w:iCs/>
          <w:color w:val="808080" w:themeColor="background1" w:themeShade="80"/>
        </w:rPr>
      </w:pPr>
    </w:p>
    <w:sectPr w:rsidSect="00E021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940112"/>
    <w:multiLevelType w:val="hybridMultilevel"/>
    <w:tmpl w:val="5AFCE8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7141"/>
    <w:pPr>
      <w:spacing w:after="24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8157F0"/>
    <w:pPr>
      <w:spacing w:before="240" w:after="36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E56330"/>
    <w:pPr>
      <w:spacing w:before="240"/>
      <w:outlineLvl w:val="2"/>
    </w:pPr>
    <w:rPr>
      <w:rFonts w:eastAsiaTheme="majorEastAsia" w:cstheme="majorBidi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itle">
    <w:name w:val="Title"/>
    <w:basedOn w:val="Normal"/>
    <w:next w:val="Normal"/>
    <w:link w:val="TytuZnak"/>
    <w:uiPriority w:val="10"/>
    <w:qFormat/>
    <w:rsid w:val="00736930"/>
    <w:pPr>
      <w:contextualSpacing/>
    </w:pPr>
    <w:rPr>
      <w:rFonts w:eastAsiaTheme="majorEastAsia" w:cstheme="majorBidi"/>
      <w:sz w:val="28"/>
      <w:szCs w:val="56"/>
    </w:rPr>
  </w:style>
  <w:style w:type="character" w:customStyle="1" w:styleId="TytuZnak">
    <w:name w:val="Tytuł Znak"/>
    <w:basedOn w:val="DefaultParagraphFont"/>
    <w:link w:val="Title"/>
    <w:uiPriority w:val="10"/>
    <w:rsid w:val="00736930"/>
    <w:rPr>
      <w:rFonts w:ascii="Arial" w:hAnsi="Arial" w:eastAsiaTheme="majorEastAsia" w:cstheme="majorBidi"/>
      <w:sz w:val="28"/>
      <w:szCs w:val="56"/>
      <w:lang w:eastAsia="pl-PL"/>
    </w:rPr>
  </w:style>
  <w:style w:type="character" w:customStyle="1" w:styleId="Nagwek2Znak">
    <w:name w:val="Nagłówek 2 Znak"/>
    <w:basedOn w:val="DefaultParagraphFont"/>
    <w:link w:val="Heading2"/>
    <w:uiPriority w:val="9"/>
    <w:rsid w:val="008157F0"/>
    <w:rPr>
      <w:rFonts w:ascii="Arial" w:hAnsi="Arial" w:eastAsiaTheme="majorEastAsia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efaultParagraphFont"/>
    <w:link w:val="Heading3"/>
    <w:uiPriority w:val="9"/>
    <w:rsid w:val="00E56330"/>
    <w:rPr>
      <w:rFonts w:ascii="Arial" w:hAnsi="Arial" w:eastAsiaTheme="majorEastAsia" w:cstheme="majorBidi"/>
      <w:sz w:val="26"/>
      <w:szCs w:val="24"/>
      <w:lang w:eastAsia="pl-PL"/>
    </w:rPr>
  </w:style>
  <w:style w:type="character" w:styleId="Emphasis">
    <w:name w:val="Emphasis"/>
    <w:basedOn w:val="DefaultParagraphFont"/>
    <w:uiPriority w:val="20"/>
    <w:qFormat/>
    <w:rsid w:val="00E021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Kwiecień</dc:creator>
  <cp:lastModifiedBy>Hubert Hillar</cp:lastModifiedBy>
  <cp:revision>6</cp:revision>
  <dcterms:created xsi:type="dcterms:W3CDTF">2021-04-27T05:36:00Z</dcterms:created>
  <dcterms:modified xsi:type="dcterms:W3CDTF">2025-02-03T12:39:00Z</dcterms:modified>
</cp:coreProperties>
</file>