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517" w:rsidRPr="00677AFE" w:rsidRDefault="00CC0C96" w:rsidP="00D40517">
      <w:pPr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        </w:t>
      </w:r>
      <w:r w:rsidRPr="00677A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</w:t>
      </w:r>
      <w:r w:rsidRPr="00677A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Warszawa, </w:t>
      </w:r>
      <w:bookmarkStart w:id="0" w:name="ezdDataPodpisu"/>
      <w:r w:rsidRPr="00677A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25 stycznia 2021 r.</w:t>
      </w:r>
      <w:bookmarkEnd w:id="0"/>
    </w:p>
    <w:p w:rsidR="00D40517" w:rsidRPr="00677AFE" w:rsidRDefault="00CC0C96" w:rsidP="00D4051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77A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             </w:t>
      </w:r>
      <w:r w:rsidRPr="00677AFE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7" w:rsidRPr="00677AFE" w:rsidRDefault="00CC0C96" w:rsidP="00D4051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77AF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WOJEWODA MAZOWIECKI</w:t>
      </w:r>
    </w:p>
    <w:p w:rsidR="00D40517" w:rsidRPr="00677AFE" w:rsidRDefault="00CC0C96" w:rsidP="00D40517">
      <w:pPr>
        <w:spacing w:after="0" w:line="240" w:lineRule="auto"/>
        <w:ind w:left="5664" w:firstLine="708"/>
        <w:rPr>
          <w:rFonts w:eastAsia="Times New Roman" w:cstheme="minorHAnsi"/>
          <w:sz w:val="24"/>
          <w:szCs w:val="24"/>
          <w:lang w:eastAsia="pl-PL"/>
        </w:rPr>
      </w:pPr>
    </w:p>
    <w:p w:rsidR="00D40517" w:rsidRPr="00677AFE" w:rsidRDefault="00CC0C96" w:rsidP="00D4051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1" w:name="_GoBack"/>
      <w:r w:rsidRPr="00677AFE">
        <w:rPr>
          <w:rFonts w:eastAsia="Times New Roman" w:cstheme="minorHAnsi"/>
          <w:sz w:val="24"/>
          <w:szCs w:val="24"/>
          <w:lang w:eastAsia="pl-PL"/>
        </w:rPr>
        <w:t>WNP-I.4131</w:t>
      </w:r>
      <w:r>
        <w:rPr>
          <w:rFonts w:eastAsia="Times New Roman" w:cstheme="minorHAnsi"/>
          <w:sz w:val="24"/>
          <w:szCs w:val="24"/>
          <w:lang w:eastAsia="pl-PL"/>
        </w:rPr>
        <w:t>.14</w:t>
      </w:r>
      <w:r w:rsidRPr="0071692F">
        <w:rPr>
          <w:rFonts w:eastAsia="Times New Roman" w:cstheme="minorHAnsi"/>
          <w:sz w:val="24"/>
          <w:szCs w:val="24"/>
          <w:lang w:eastAsia="pl-PL"/>
        </w:rPr>
        <w:t>.</w:t>
      </w:r>
      <w:r w:rsidRPr="00677AFE">
        <w:rPr>
          <w:rFonts w:eastAsia="Times New Roman" w:cstheme="minorHAnsi"/>
          <w:sz w:val="24"/>
          <w:szCs w:val="24"/>
          <w:lang w:eastAsia="pl-PL"/>
        </w:rPr>
        <w:t>202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677AFE">
        <w:rPr>
          <w:rFonts w:eastAsia="Times New Roman" w:cstheme="minorHAnsi"/>
          <w:sz w:val="24"/>
          <w:szCs w:val="24"/>
          <w:lang w:eastAsia="pl-PL"/>
        </w:rPr>
        <w:t>.KS</w:t>
      </w:r>
      <w:bookmarkEnd w:id="1"/>
    </w:p>
    <w:p w:rsidR="006F383C" w:rsidRDefault="00CC0C96" w:rsidP="006F383C">
      <w:pPr>
        <w:tabs>
          <w:tab w:val="left" w:pos="426"/>
          <w:tab w:val="left" w:pos="1276"/>
        </w:tabs>
        <w:spacing w:after="0" w:line="276" w:lineRule="auto"/>
        <w:rPr>
          <w:rFonts w:ascii="Calibri" w:eastAsia="Times New Roman" w:hAnsi="Calibri" w:cs="Calibri"/>
          <w:b/>
          <w:sz w:val="28"/>
          <w:szCs w:val="24"/>
          <w:lang w:eastAsia="pl-PL"/>
        </w:rPr>
      </w:pPr>
    </w:p>
    <w:p w:rsidR="006F383C" w:rsidRDefault="00CC0C96" w:rsidP="006F383C">
      <w:pPr>
        <w:tabs>
          <w:tab w:val="left" w:pos="426"/>
          <w:tab w:val="left" w:pos="1276"/>
        </w:tabs>
        <w:spacing w:after="0" w:line="276" w:lineRule="auto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                                                                                        </w:t>
      </w:r>
      <w:r w:rsidRPr="00677AFE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Rada 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Gminy </w:t>
      </w:r>
    </w:p>
    <w:p w:rsidR="00D40517" w:rsidRPr="00677AFE" w:rsidRDefault="00CC0C96" w:rsidP="006F383C">
      <w:pPr>
        <w:tabs>
          <w:tab w:val="left" w:pos="426"/>
          <w:tab w:val="left" w:pos="1276"/>
        </w:tabs>
        <w:spacing w:after="0" w:line="276" w:lineRule="auto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                                                                                        w Nowej Suchej</w:t>
      </w:r>
    </w:p>
    <w:p w:rsidR="00D40517" w:rsidRPr="00677AFE" w:rsidRDefault="00CC0C96" w:rsidP="00D40517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>
        <w:rPr>
          <w:rFonts w:ascii="Calibri" w:eastAsia="Times New Roman" w:hAnsi="Calibri" w:cs="Calibri"/>
          <w:b/>
          <w:sz w:val="28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ab/>
        <w:t>Nowa Sucha 59A</w:t>
      </w:r>
    </w:p>
    <w:p w:rsidR="00D40517" w:rsidRPr="00677AFE" w:rsidRDefault="00CC0C96" w:rsidP="00D40517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677AFE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                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>96- 513 Nowa S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>ucha</w:t>
      </w:r>
    </w:p>
    <w:p w:rsidR="00D40517" w:rsidRPr="00677AFE" w:rsidRDefault="00CC0C96" w:rsidP="00D40517">
      <w:pPr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F383C" w:rsidRDefault="00CC0C96" w:rsidP="00D40517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D40517" w:rsidRPr="00677AFE" w:rsidRDefault="00CC0C96" w:rsidP="00D40517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77AFE">
        <w:rPr>
          <w:rFonts w:eastAsia="Times New Roman" w:cstheme="minorHAnsi"/>
          <w:b/>
          <w:bCs/>
          <w:sz w:val="24"/>
          <w:szCs w:val="24"/>
          <w:lang w:eastAsia="pl-PL"/>
        </w:rPr>
        <w:t>Rozstrzygnięcie  nadzorcze</w:t>
      </w:r>
    </w:p>
    <w:p w:rsidR="00D40517" w:rsidRPr="00677AFE" w:rsidRDefault="00CC0C96" w:rsidP="00D40517">
      <w:pPr>
        <w:suppressAutoHyphens/>
        <w:spacing w:after="0" w:line="360" w:lineRule="auto"/>
        <w:ind w:right="-1"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677AFE">
        <w:rPr>
          <w:rFonts w:eastAsia="Times New Roman" w:cstheme="minorHAnsi"/>
          <w:sz w:val="24"/>
          <w:szCs w:val="24"/>
          <w:lang w:eastAsia="ar-SA"/>
        </w:rPr>
        <w:t>Na podstawie art. 91 ust. 1 ustawy z dnia 8 marca 1990 r. o samorządzie gminnym</w:t>
      </w:r>
      <w:r w:rsidRPr="00677AFE">
        <w:rPr>
          <w:rFonts w:eastAsia="Times New Roman" w:cstheme="minorHAnsi"/>
          <w:sz w:val="24"/>
          <w:szCs w:val="24"/>
          <w:lang w:eastAsia="ar-SA"/>
        </w:rPr>
        <w:br/>
        <w:t xml:space="preserve"> (Dz. U.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ar-SA"/>
        </w:rPr>
        <w:t>z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ar-SA"/>
        </w:rPr>
        <w:t>2020 r. poz. 713, z późn. zm.)</w:t>
      </w:r>
    </w:p>
    <w:p w:rsidR="00D40517" w:rsidRPr="00677AFE" w:rsidRDefault="00CC0C96" w:rsidP="00D40517">
      <w:pPr>
        <w:suppressAutoHyphens/>
        <w:spacing w:after="0" w:line="360" w:lineRule="auto"/>
        <w:ind w:right="-1" w:firstLine="567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40517" w:rsidRPr="00677AFE" w:rsidRDefault="00CC0C96" w:rsidP="00D40517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677AFE">
        <w:rPr>
          <w:rFonts w:eastAsia="Times New Roman" w:cstheme="minorHAnsi"/>
          <w:b/>
          <w:bCs/>
          <w:sz w:val="24"/>
          <w:szCs w:val="24"/>
          <w:lang w:eastAsia="ar-SA"/>
        </w:rPr>
        <w:t>stwierdzam nieważność</w:t>
      </w:r>
    </w:p>
    <w:p w:rsidR="00D40517" w:rsidRPr="00677AFE" w:rsidRDefault="00CC0C96" w:rsidP="00D40517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uchwały Nr XXIII/190/2020 Rady Gminy w Nowej Suchej z dnia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30 grudnia</w:t>
      </w:r>
      <w:r w:rsidRPr="00677AFE">
        <w:rPr>
          <w:rFonts w:ascii="Calibri" w:eastAsia="Times New Roman" w:hAnsi="Calibri" w:cs="Calibri"/>
          <w:sz w:val="24"/>
          <w:szCs w:val="24"/>
          <w:lang w:eastAsia="pl-PL"/>
        </w:rPr>
        <w:t xml:space="preserve"> 2020 r. 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przyjęcia Programu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w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spółpra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cy G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miny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Nowa Sucha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z organizacjami pozarządowym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i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oraz podmiotami,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o których mowa 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art. 3 ust. 3 ustawy z dnia 24 kwietnia 2003 r.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o działalności pożytku publiczn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ego i o wolontariacie na 2021 rok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</w:t>
      </w:r>
      <w:r w:rsidRPr="003700DE">
        <w:rPr>
          <w:rFonts w:ascii="Calibri" w:eastAsia="Calibri" w:hAnsi="Calibri" w:cs="Calibri"/>
          <w:sz w:val="24"/>
          <w:szCs w:val="24"/>
          <w:lang w:eastAsia="pl-PL"/>
        </w:rPr>
        <w:t>w zakresie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sformułowania </w:t>
      </w:r>
      <w:r>
        <w:rPr>
          <w:rFonts w:ascii="Calibri" w:eastAsia="Calibri" w:hAnsi="Calibri" w:cs="Calibri"/>
          <w:sz w:val="24"/>
          <w:szCs w:val="24"/>
          <w:lang w:eastAsia="pl-PL"/>
        </w:rPr>
        <w:br/>
        <w:t>,,w szczególności” użytego</w:t>
      </w:r>
      <w:r w:rsidRPr="003700DE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w zdaniu wstępnym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oraz w ust. 2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w </w:t>
      </w:r>
      <w:r w:rsidRPr="00096FCE">
        <w:rPr>
          <w:rFonts w:ascii="Calibri" w:eastAsia="Calibri" w:hAnsi="Calibri" w:cs="Calibri"/>
          <w:sz w:val="24"/>
          <w:szCs w:val="24"/>
          <w:lang w:eastAsia="pl-PL"/>
        </w:rPr>
        <w:t>Rozdzia</w:t>
      </w:r>
      <w:r>
        <w:rPr>
          <w:rFonts w:ascii="Calibri" w:eastAsia="Calibri" w:hAnsi="Calibri" w:cs="Calibri"/>
          <w:sz w:val="24"/>
          <w:szCs w:val="24"/>
          <w:lang w:eastAsia="pl-PL"/>
        </w:rPr>
        <w:t>le</w:t>
      </w:r>
      <w:r w:rsidRPr="00096FCE">
        <w:rPr>
          <w:rFonts w:ascii="Calibri" w:eastAsia="Calibri" w:hAnsi="Calibri" w:cs="Calibri"/>
          <w:sz w:val="24"/>
          <w:szCs w:val="24"/>
          <w:lang w:eastAsia="pl-PL"/>
        </w:rPr>
        <w:t xml:space="preserve"> VI pn. ,,Prior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ytetowe zadania publiczne”, ust. </w:t>
      </w:r>
      <w:r w:rsidRPr="00096FCE">
        <w:rPr>
          <w:rFonts w:ascii="Calibri" w:eastAsia="Calibri" w:hAnsi="Calibri" w:cs="Calibri"/>
          <w:sz w:val="24"/>
          <w:szCs w:val="24"/>
          <w:lang w:eastAsia="pl-PL"/>
        </w:rPr>
        <w:t xml:space="preserve">3 i 4 Rozdziału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X </w:t>
      </w:r>
      <w:r w:rsidRPr="00096FCE">
        <w:rPr>
          <w:rFonts w:ascii="Calibri" w:eastAsia="Calibri" w:hAnsi="Calibri" w:cs="Calibri"/>
          <w:sz w:val="24"/>
          <w:szCs w:val="24"/>
          <w:lang w:eastAsia="pl-PL"/>
        </w:rPr>
        <w:t>pn. ,,Spos</w:t>
      </w:r>
      <w:r>
        <w:rPr>
          <w:rFonts w:ascii="Calibri" w:eastAsia="Calibri" w:hAnsi="Calibri" w:cs="Calibri"/>
          <w:sz w:val="24"/>
          <w:szCs w:val="24"/>
          <w:lang w:eastAsia="pl-PL"/>
        </w:rPr>
        <w:t>ób realizacji programu” oraz ust.</w:t>
      </w:r>
      <w:r w:rsidRPr="00096FCE">
        <w:rPr>
          <w:rFonts w:ascii="Calibri" w:eastAsia="Calibri" w:hAnsi="Calibri" w:cs="Calibri"/>
          <w:sz w:val="24"/>
          <w:szCs w:val="24"/>
          <w:lang w:eastAsia="pl-PL"/>
        </w:rPr>
        <w:t xml:space="preserve"> 3 Rozdziału XII pn. ,,Tryb powoływania i zasady działania komisji konkursowych do opiniowania ofert </w:t>
      </w:r>
      <w:r>
        <w:rPr>
          <w:rFonts w:ascii="Calibri" w:eastAsia="Calibri" w:hAnsi="Calibri" w:cs="Calibri"/>
          <w:sz w:val="24"/>
          <w:szCs w:val="24"/>
          <w:lang w:eastAsia="pl-PL"/>
        </w:rPr>
        <w:br/>
      </w:r>
      <w:r w:rsidRPr="00096FCE">
        <w:rPr>
          <w:rFonts w:ascii="Calibri" w:eastAsia="Calibri" w:hAnsi="Calibri" w:cs="Calibri"/>
          <w:sz w:val="24"/>
          <w:szCs w:val="24"/>
          <w:lang w:eastAsia="pl-PL"/>
        </w:rPr>
        <w:t>w otwartych konkursach ofert”</w:t>
      </w:r>
      <w:r>
        <w:rPr>
          <w:rFonts w:ascii="Calibri" w:eastAsia="Calibri" w:hAnsi="Calibri" w:cs="Calibri"/>
          <w:sz w:val="24"/>
          <w:szCs w:val="24"/>
          <w:lang w:eastAsia="pl-PL"/>
        </w:rPr>
        <w:t>, stanowiących</w:t>
      </w:r>
      <w:r w:rsidRPr="00096FCE">
        <w:rPr>
          <w:rFonts w:ascii="Calibri" w:eastAsia="Calibri" w:hAnsi="Calibri" w:cs="Calibri"/>
          <w:sz w:val="24"/>
          <w:szCs w:val="24"/>
          <w:lang w:eastAsia="pl-PL"/>
        </w:rPr>
        <w:t xml:space="preserve"> Załącznik Nr 1 do uchwały. </w:t>
      </w:r>
    </w:p>
    <w:p w:rsidR="00D40517" w:rsidRPr="00677AFE" w:rsidRDefault="00CC0C96" w:rsidP="00D4051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D40517" w:rsidRPr="00677AFE" w:rsidRDefault="00CC0C96" w:rsidP="00D4051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AFE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D40517" w:rsidRPr="00677AFE" w:rsidRDefault="00CC0C96" w:rsidP="00D4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40517" w:rsidRPr="00677AFE" w:rsidRDefault="00CC0C96" w:rsidP="00D40517">
      <w:pPr>
        <w:spacing w:after="0" w:line="360" w:lineRule="auto"/>
        <w:jc w:val="both"/>
        <w:rPr>
          <w:i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 xml:space="preserve">W dniu </w:t>
      </w:r>
      <w:r>
        <w:rPr>
          <w:rFonts w:eastAsia="Times New Roman" w:cstheme="minorHAnsi"/>
          <w:sz w:val="24"/>
          <w:szCs w:val="24"/>
          <w:lang w:eastAsia="pl-PL"/>
        </w:rPr>
        <w:t>30 grudnia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2020 r. Rada </w:t>
      </w:r>
      <w:r>
        <w:rPr>
          <w:rFonts w:eastAsia="Times New Roman" w:cstheme="minorHAnsi"/>
          <w:sz w:val="24"/>
          <w:szCs w:val="24"/>
          <w:lang w:eastAsia="pl-PL"/>
        </w:rPr>
        <w:t xml:space="preserve">Gminy </w:t>
      </w:r>
      <w:r>
        <w:rPr>
          <w:rFonts w:eastAsia="Times New Roman" w:cstheme="minorHAnsi"/>
          <w:sz w:val="24"/>
          <w:szCs w:val="24"/>
          <w:lang w:eastAsia="pl-PL"/>
        </w:rPr>
        <w:t>w Nowej Suchej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podjęła uchwał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ę 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Nr XX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III/190/2020</w:t>
      </w:r>
      <w:r w:rsidRPr="00677AF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przyjęcia Programu W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spółpra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cy G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miny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Nowa Sucha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z organizacjami pozarządowym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i oraz podmiotami, o których mowa 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art. 3 ust. 3 ustawy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z dnia 24 kwietnia 2003 r. o działalności pożytku publicz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nego i o wolontariacie na 2021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rok.</w:t>
      </w:r>
    </w:p>
    <w:p w:rsidR="00D40517" w:rsidRDefault="00CC0C96" w:rsidP="00D4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7AF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W uchwale wskazano, że podstawę prawną do jej podjęcia stanowi przepis </w:t>
      </w:r>
      <w:r w:rsidRPr="00677AFE">
        <w:rPr>
          <w:rFonts w:eastAsia="Times New Roman" w:cstheme="minorHAnsi"/>
          <w:sz w:val="24"/>
          <w:szCs w:val="24"/>
          <w:lang w:eastAsia="pl-PL"/>
        </w:rPr>
        <w:br/>
        <w:t>art. 18 ust. 2 pkt 15 ustawy z dnia 8 marca 1990 r. o samorządzie gminnym (Dz. 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2020 r. </w:t>
      </w:r>
      <w:r w:rsidRPr="00677AFE">
        <w:rPr>
          <w:rFonts w:eastAsia="Times New Roman" w:cstheme="minorHAnsi"/>
          <w:sz w:val="24"/>
          <w:szCs w:val="24"/>
          <w:lang w:eastAsia="pl-PL"/>
        </w:rPr>
        <w:lastRenderedPageBreak/>
        <w:t>poz. 713, z późn. zm.) oraz art. 5a ustawy z dnia 24 kwietnia 2003 r. o działalności p</w:t>
      </w:r>
      <w:r w:rsidRPr="00677AFE">
        <w:rPr>
          <w:rFonts w:eastAsia="Times New Roman" w:cstheme="minorHAnsi"/>
          <w:sz w:val="24"/>
          <w:szCs w:val="24"/>
          <w:lang w:eastAsia="pl-PL"/>
        </w:rPr>
        <w:t>ożytku publicznego i o wolontariacie (Dz. U. z 2020 r. poz. 1057)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D40517" w:rsidRPr="00B65949" w:rsidRDefault="00CC0C96" w:rsidP="00D4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 xml:space="preserve">Zgodnie z art. 5a ustawy 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o działalności pożytku publicznego i o wolontariacie </w:t>
      </w:r>
      <w:r>
        <w:rPr>
          <w:rFonts w:ascii="Calibri" w:hAnsi="Calibri" w:cs="Calibri"/>
          <w:sz w:val="24"/>
          <w:szCs w:val="24"/>
          <w:lang w:eastAsia="pl-PL"/>
        </w:rPr>
        <w:t>o</w:t>
      </w:r>
      <w:r w:rsidRPr="00B65949">
        <w:rPr>
          <w:rFonts w:ascii="Calibri" w:hAnsi="Calibri" w:cs="Calibri"/>
          <w:sz w:val="24"/>
          <w:szCs w:val="24"/>
          <w:lang w:eastAsia="pl-PL"/>
        </w:rPr>
        <w:t>rgan stanowiący jednostki samorządu terytorialnego uchwala, po konsultacjach z organizacjami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pozarządowymi oraz podmiotami wymienionymi w art. 3 ust. 3, przeprowadzonych w sposób określony w art. 5 ust. 5, roczny program współpracy z organizacjami pozarządowymi </w:t>
      </w:r>
      <w:r>
        <w:rPr>
          <w:rFonts w:ascii="Calibri" w:hAnsi="Calibri" w:cs="Calibri"/>
          <w:sz w:val="24"/>
          <w:szCs w:val="24"/>
          <w:lang w:eastAsia="pl-PL"/>
        </w:rPr>
        <w:br/>
      </w:r>
      <w:r w:rsidRPr="00B65949">
        <w:rPr>
          <w:rFonts w:ascii="Calibri" w:hAnsi="Calibri" w:cs="Calibri"/>
          <w:sz w:val="24"/>
          <w:szCs w:val="24"/>
          <w:lang w:eastAsia="pl-PL"/>
        </w:rPr>
        <w:t>oraz podmiotami</w:t>
      </w:r>
      <w:r>
        <w:rPr>
          <w:rFonts w:ascii="Calibri" w:hAnsi="Calibri" w:cs="Calibri"/>
          <w:sz w:val="24"/>
          <w:szCs w:val="24"/>
          <w:lang w:eastAsia="pl-PL"/>
        </w:rPr>
        <w:t xml:space="preserve"> wymienionymi w art. 3 ust. 3. Określając program współpracy r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ada, </w:t>
      </w:r>
      <w:r>
        <w:rPr>
          <w:rFonts w:ascii="Calibri" w:hAnsi="Calibri" w:cs="Calibri"/>
          <w:sz w:val="24"/>
          <w:szCs w:val="24"/>
          <w:lang w:eastAsia="pl-PL"/>
        </w:rPr>
        <w:br/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na </w:t>
      </w:r>
      <w:r w:rsidRPr="00B65949">
        <w:rPr>
          <w:rFonts w:ascii="Calibri" w:hAnsi="Calibri" w:cs="Calibri"/>
          <w:sz w:val="24"/>
          <w:szCs w:val="24"/>
          <w:lang w:eastAsia="pl-PL"/>
        </w:rPr>
        <w:t>podstawie art. 5a ust. 4 tej ustawy zobowiązana jest określić w jego treści w szczególności: cel główny i cele szczegółowe programu</w:t>
      </w:r>
      <w:r>
        <w:rPr>
          <w:rFonts w:ascii="Calibri" w:hAnsi="Calibri" w:cs="Calibri"/>
          <w:sz w:val="24"/>
          <w:szCs w:val="24"/>
          <w:lang w:eastAsia="pl-PL"/>
        </w:rPr>
        <w:t>,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zasady współpracy</w:t>
      </w:r>
      <w:r>
        <w:rPr>
          <w:rFonts w:ascii="Calibri" w:hAnsi="Calibri" w:cs="Calibri"/>
          <w:sz w:val="24"/>
          <w:szCs w:val="24"/>
          <w:lang w:eastAsia="pl-PL"/>
        </w:rPr>
        <w:t>,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zakres przedmiotowy</w:t>
      </w:r>
      <w:r>
        <w:rPr>
          <w:rFonts w:ascii="Calibri" w:hAnsi="Calibri" w:cs="Calibri"/>
          <w:sz w:val="24"/>
          <w:szCs w:val="24"/>
          <w:lang w:eastAsia="pl-PL"/>
        </w:rPr>
        <w:t>,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formy współpracy, o których mowa w art. 5 ust. 2</w:t>
      </w:r>
      <w:r>
        <w:rPr>
          <w:rFonts w:ascii="Calibri" w:hAnsi="Calibri" w:cs="Calibri"/>
          <w:sz w:val="24"/>
          <w:szCs w:val="24"/>
          <w:lang w:eastAsia="pl-PL"/>
        </w:rPr>
        <w:t xml:space="preserve">, </w:t>
      </w:r>
      <w:r w:rsidRPr="00B65949">
        <w:rPr>
          <w:rFonts w:ascii="Calibri" w:hAnsi="Calibri" w:cs="Calibri"/>
          <w:sz w:val="24"/>
          <w:szCs w:val="24"/>
          <w:lang w:eastAsia="pl-PL"/>
        </w:rPr>
        <w:t>priorytetowe zadania publiczne</w:t>
      </w:r>
      <w:r>
        <w:rPr>
          <w:rFonts w:ascii="Calibri" w:hAnsi="Calibri" w:cs="Calibri"/>
          <w:sz w:val="24"/>
          <w:szCs w:val="24"/>
          <w:lang w:eastAsia="pl-PL"/>
        </w:rPr>
        <w:t>,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o</w:t>
      </w:r>
      <w:r w:rsidRPr="00B65949">
        <w:rPr>
          <w:rFonts w:ascii="Calibri" w:hAnsi="Calibri" w:cs="Calibri"/>
          <w:sz w:val="24"/>
          <w:szCs w:val="24"/>
          <w:lang w:eastAsia="pl-PL"/>
        </w:rPr>
        <w:t>kres realizacji programu</w:t>
      </w:r>
      <w:r>
        <w:rPr>
          <w:rFonts w:ascii="Calibri" w:hAnsi="Calibri" w:cs="Calibri"/>
          <w:sz w:val="24"/>
          <w:szCs w:val="24"/>
          <w:lang w:eastAsia="pl-PL"/>
        </w:rPr>
        <w:t xml:space="preserve">, </w:t>
      </w:r>
      <w:r w:rsidRPr="00B65949">
        <w:rPr>
          <w:rFonts w:ascii="Calibri" w:hAnsi="Calibri" w:cs="Calibri"/>
          <w:sz w:val="24"/>
          <w:szCs w:val="24"/>
          <w:lang w:eastAsia="pl-PL"/>
        </w:rPr>
        <w:t>sposób realizacji programu</w:t>
      </w:r>
      <w:r>
        <w:rPr>
          <w:rFonts w:ascii="Calibri" w:hAnsi="Calibri" w:cs="Calibri"/>
          <w:sz w:val="24"/>
          <w:szCs w:val="24"/>
          <w:lang w:eastAsia="pl-PL"/>
        </w:rPr>
        <w:t xml:space="preserve">, </w:t>
      </w:r>
      <w:r w:rsidRPr="00B65949">
        <w:rPr>
          <w:rFonts w:ascii="Calibri" w:hAnsi="Calibri" w:cs="Calibri"/>
          <w:sz w:val="24"/>
          <w:szCs w:val="24"/>
          <w:lang w:eastAsia="pl-PL"/>
        </w:rPr>
        <w:t>wysokość środków planowanych na realizację programu</w:t>
      </w:r>
      <w:r>
        <w:rPr>
          <w:rFonts w:ascii="Calibri" w:hAnsi="Calibri" w:cs="Calibri"/>
          <w:sz w:val="24"/>
          <w:szCs w:val="24"/>
          <w:lang w:eastAsia="pl-PL"/>
        </w:rPr>
        <w:t>,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sposób oceny realizacji programu</w:t>
      </w:r>
      <w:r>
        <w:rPr>
          <w:rFonts w:ascii="Calibri" w:hAnsi="Calibri" w:cs="Calibri"/>
          <w:sz w:val="24"/>
          <w:szCs w:val="24"/>
          <w:lang w:eastAsia="pl-PL"/>
        </w:rPr>
        <w:t>,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informację o sposobie tworzenia programu </w:t>
      </w:r>
      <w:r>
        <w:rPr>
          <w:rFonts w:ascii="Calibri" w:hAnsi="Calibri" w:cs="Calibri"/>
          <w:sz w:val="24"/>
          <w:szCs w:val="24"/>
          <w:lang w:eastAsia="pl-PL"/>
        </w:rPr>
        <w:br/>
        <w:t>i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o przebiegu konsultacji</w:t>
      </w:r>
      <w:r>
        <w:rPr>
          <w:rFonts w:ascii="Calibri" w:hAnsi="Calibri" w:cs="Calibri"/>
          <w:sz w:val="24"/>
          <w:szCs w:val="24"/>
          <w:lang w:eastAsia="pl-PL"/>
        </w:rPr>
        <w:t xml:space="preserve"> oraz </w:t>
      </w:r>
      <w:r w:rsidRPr="00B65949">
        <w:rPr>
          <w:rFonts w:ascii="Calibri" w:hAnsi="Calibri" w:cs="Calibri"/>
          <w:sz w:val="24"/>
          <w:szCs w:val="24"/>
          <w:lang w:eastAsia="pl-PL"/>
        </w:rPr>
        <w:t>tryb powoływania i zasady działania komisj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i konkursowych </w:t>
      </w:r>
      <w:r>
        <w:rPr>
          <w:rFonts w:ascii="Calibri" w:hAnsi="Calibri" w:cs="Calibri"/>
          <w:sz w:val="24"/>
          <w:szCs w:val="24"/>
          <w:lang w:eastAsia="pl-PL"/>
        </w:rPr>
        <w:br/>
      </w:r>
      <w:r w:rsidRPr="00B65949">
        <w:rPr>
          <w:rFonts w:ascii="Calibri" w:hAnsi="Calibri" w:cs="Calibri"/>
          <w:sz w:val="24"/>
          <w:szCs w:val="24"/>
          <w:lang w:eastAsia="pl-PL"/>
        </w:rPr>
        <w:t>do opiniowania ofert</w:t>
      </w:r>
      <w:r>
        <w:rPr>
          <w:rFonts w:ascii="Calibri" w:hAnsi="Calibri" w:cs="Calibri"/>
          <w:sz w:val="24"/>
          <w:szCs w:val="24"/>
          <w:lang w:eastAsia="pl-PL"/>
        </w:rPr>
        <w:t xml:space="preserve"> w otwartych konkursach ofert.</w:t>
      </w:r>
    </w:p>
    <w:p w:rsidR="00D40517" w:rsidRPr="000034AC" w:rsidRDefault="00CC0C96" w:rsidP="00D40517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677AFE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§ 1 kwestionowanej uchwały Rada Gminy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Nowa Sucha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przyjęła Program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spółpracy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G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miny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Nowa Sucha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z organizacjami pozarządowym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i oraz podmiotami, o których mowa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art. 3 ust. 3 ustawy z dnia 24 kwietnia 2003 r. o działalności pożytku publicznego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i o wolontariacie na 2021 r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ok </w:t>
      </w:r>
      <w:r w:rsidRPr="000034AC">
        <w:rPr>
          <w:rFonts w:ascii="Calibri" w:eastAsia="Calibri" w:hAnsi="Calibri" w:cs="Calibri"/>
          <w:sz w:val="24"/>
          <w:szCs w:val="24"/>
          <w:lang w:eastAsia="pl-PL"/>
        </w:rPr>
        <w:t>w brzmieniu zawar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tym w załączniku do ww. uchwały, zwanego dalej </w:t>
      </w:r>
      <w:r w:rsidRPr="000034AC">
        <w:rPr>
          <w:rFonts w:ascii="Calibri" w:eastAsia="Calibri" w:hAnsi="Calibri" w:cs="Calibri"/>
          <w:i/>
          <w:sz w:val="24"/>
          <w:szCs w:val="24"/>
          <w:lang w:eastAsia="pl-PL"/>
        </w:rPr>
        <w:t>,,Programem”</w:t>
      </w:r>
      <w:r>
        <w:rPr>
          <w:rFonts w:ascii="Calibri" w:eastAsia="Calibri" w:hAnsi="Calibri" w:cs="Calibri"/>
          <w:sz w:val="24"/>
          <w:szCs w:val="24"/>
          <w:lang w:eastAsia="pl-PL"/>
        </w:rPr>
        <w:t>.</w:t>
      </w:r>
    </w:p>
    <w:p w:rsidR="00600155" w:rsidRDefault="00CC0C96" w:rsidP="00D40517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Rozdziale VI pn. ,,Priorytetowe zadania publiczne” Programu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Rada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Gminy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Nowej Suchej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postanowiła, że:</w:t>
      </w:r>
    </w:p>
    <w:p w:rsidR="00600155" w:rsidRPr="001D04F0" w:rsidRDefault="00CC0C96" w:rsidP="00777A4B">
      <w:p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,,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Przedmiotem współpracy gminy z organizacjami jest realizacja zadań publicznych 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w szczególności w ramach następujących obszarów:</w:t>
      </w:r>
    </w:p>
    <w:p w:rsidR="00777A4B" w:rsidRPr="001D04F0" w:rsidRDefault="00CC0C96" w:rsidP="00777A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Kultury, sztuki, ochrony dóbr kultury i dziedzictwa narodowego w zakresie:</w:t>
      </w:r>
    </w:p>
    <w:p w:rsidR="00777A4B" w:rsidRPr="001D04F0" w:rsidRDefault="00CC0C96" w:rsidP="00777A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Organizacji uroczystości państwowych i lokalnych</w:t>
      </w:r>
    </w:p>
    <w:p w:rsidR="00777A4B" w:rsidRPr="001D04F0" w:rsidRDefault="00CC0C96" w:rsidP="00777A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Organizacji wydarzeń kulturalnych</w:t>
      </w:r>
    </w:p>
    <w:p w:rsidR="004D5C6E" w:rsidRPr="001D04F0" w:rsidRDefault="00CC0C96" w:rsidP="00777A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Promocji czytelnictwa</w:t>
      </w:r>
    </w:p>
    <w:p w:rsidR="004D5C6E" w:rsidRPr="001D04F0" w:rsidRDefault="00CC0C96" w:rsidP="00777A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Popularyzacji tradycji i dziedzictwa narodowego</w:t>
      </w:r>
    </w:p>
    <w:p w:rsidR="004D5C6E" w:rsidRPr="001D04F0" w:rsidRDefault="00CC0C96" w:rsidP="004D5C6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Pomocy społecznej  w szczególności w działalności na rzecz senior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ów w zakresie upowszechniania pozytywn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ego wizerunku seniora oraz przeciwdziałaniu wykluczeniu społecznemu osób starszych, w tym:</w:t>
      </w:r>
    </w:p>
    <w:p w:rsidR="001F5B95" w:rsidRPr="001D04F0" w:rsidRDefault="00CC0C96" w:rsidP="001F5B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>Organizowanie i rozwijanie różnorodnych form wsparcia oraz działań o charakterze aktywizującym, integracyjnym oraz samopomocowym na rzecz osób starszych, niepełnospr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awnych 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oraz ich rodzin.</w:t>
      </w:r>
    </w:p>
    <w:p w:rsidR="0003717D" w:rsidRPr="001D04F0" w:rsidRDefault="00CC0C96" w:rsidP="001F5B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Rozbudzanie świadomości społecznej poprzez kierowanie uwagi społeczności lokalnej na potrzeby osób starszych, niepełnosprawnych i ich rodzin</w:t>
      </w:r>
    </w:p>
    <w:p w:rsidR="0003717D" w:rsidRPr="001D04F0" w:rsidRDefault="00CC0C96" w:rsidP="0003717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Prowadzenie działalności wspierającej rozwój wspólnoty i społeczności lokalnej.</w:t>
      </w:r>
    </w:p>
    <w:p w:rsidR="0003717D" w:rsidRPr="001D04F0" w:rsidRDefault="00CC0C96" w:rsidP="000371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Organizacja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imprez patriotycznych i przedsięwzięć z zakresu ochrony dziedzictwa narodowego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</w:p>
    <w:p w:rsidR="00381B62" w:rsidRPr="001D04F0" w:rsidRDefault="00CC0C96" w:rsidP="000371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Działania na rzecz obchodów rocznicowych walk nad Bzurą.</w:t>
      </w:r>
    </w:p>
    <w:p w:rsidR="00381B62" w:rsidRPr="001D04F0" w:rsidRDefault="00CC0C96" w:rsidP="000371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Wspieranie działań w zakresie podtrzymywania i upowszechniania tradycji patriotycznych i narodowych.</w:t>
      </w:r>
    </w:p>
    <w:p w:rsidR="00381B62" w:rsidRPr="001D04F0" w:rsidRDefault="00CC0C96" w:rsidP="000371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Wspierane inicjat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yw twórczych w zakresie przedsięwzięć kulturalnych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i artystycznych.</w:t>
      </w:r>
    </w:p>
    <w:p w:rsidR="00381B62" w:rsidRPr="001D04F0" w:rsidRDefault="00CC0C96" w:rsidP="000371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Wspieranie inicjatywy lokalnej mieszkańców poprzez upowszechnianie idei samorządowej w jednostkach pomocniczych.</w:t>
      </w:r>
    </w:p>
    <w:p w:rsidR="00381B62" w:rsidRPr="001D04F0" w:rsidRDefault="00CC0C96" w:rsidP="00381B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Kultury fizycznej i turystyki.</w:t>
      </w:r>
    </w:p>
    <w:p w:rsidR="00381B62" w:rsidRPr="001D04F0" w:rsidRDefault="00CC0C96" w:rsidP="00381B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Organizowanie zajęć rekreacyjno-sportowych 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dla dzieci, młodzieży i dorosłych.</w:t>
      </w:r>
    </w:p>
    <w:p w:rsidR="00381B62" w:rsidRPr="001D04F0" w:rsidRDefault="00CC0C96" w:rsidP="00381B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Szkolenia w dyscyplinach sportowych oraz zapewnienia dodatkowych form spędzania czasu wolnego dzieci i młodzieży.</w:t>
      </w:r>
    </w:p>
    <w:p w:rsidR="001D318A" w:rsidRPr="001D04F0" w:rsidRDefault="00CC0C96" w:rsidP="00381B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Propagowanie wśród  dzieci i młodzieży aktywnych form kultury fizycznej;</w:t>
      </w:r>
    </w:p>
    <w:p w:rsidR="00381B62" w:rsidRPr="001D04F0" w:rsidRDefault="00CC0C96" w:rsidP="00381B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Wspieranie działań w zakresie organizowania  aktywnego wypoczynku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ze szczególnym uwzględnieniem dzieci i młodzieży.</w:t>
      </w:r>
    </w:p>
    <w:p w:rsidR="001D318A" w:rsidRPr="001D04F0" w:rsidRDefault="00CC0C96" w:rsidP="00381B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Organizacja i koordynacja przedsięwzię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>ć</w:t>
      </w:r>
      <w:r w:rsidRPr="001D04F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sportu szkolnego.” </w:t>
      </w:r>
    </w:p>
    <w:p w:rsidR="0047260A" w:rsidRPr="007534BF" w:rsidRDefault="00CC0C96" w:rsidP="0047260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41DF4">
        <w:rPr>
          <w:rFonts w:cstheme="minorHAnsi"/>
          <w:sz w:val="24"/>
          <w:szCs w:val="24"/>
        </w:rPr>
        <w:t>W ocenie organu nadzoru u</w:t>
      </w:r>
      <w:r w:rsidRPr="00241DF4">
        <w:rPr>
          <w:rFonts w:cstheme="minorHAnsi"/>
          <w:sz w:val="24"/>
          <w:szCs w:val="24"/>
          <w:shd w:val="clear" w:color="auto" w:fill="FFFFFF"/>
        </w:rPr>
        <w:t>życie zwrotu ,,</w:t>
      </w:r>
      <w:r w:rsidRPr="007A6470">
        <w:rPr>
          <w:rFonts w:cstheme="minorHAnsi"/>
          <w:i/>
          <w:sz w:val="24"/>
          <w:szCs w:val="24"/>
          <w:shd w:val="clear" w:color="auto" w:fill="FFFFFF"/>
        </w:rPr>
        <w:t>w szczególności</w:t>
      </w:r>
      <w:r w:rsidRPr="00241DF4">
        <w:rPr>
          <w:rFonts w:cstheme="minorHAnsi"/>
          <w:sz w:val="24"/>
          <w:szCs w:val="24"/>
          <w:shd w:val="clear" w:color="auto" w:fill="FFFFFF"/>
        </w:rPr>
        <w:t xml:space="preserve">” powoduje, ze katalog </w:t>
      </w:r>
      <w:r w:rsidRPr="00241DF4">
        <w:rPr>
          <w:rFonts w:cstheme="minorHAnsi"/>
          <w:sz w:val="24"/>
          <w:szCs w:val="24"/>
          <w:shd w:val="clear" w:color="auto" w:fill="FFFFFF"/>
        </w:rPr>
        <w:t>form współpracy określony w Programie ma charakter wyliczenia otwartego. Tymczasem, zgodnie z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41DF4">
        <w:rPr>
          <w:rFonts w:cstheme="minorHAnsi"/>
          <w:sz w:val="24"/>
          <w:szCs w:val="24"/>
          <w:shd w:val="clear" w:color="auto" w:fill="FFFFFF"/>
        </w:rPr>
        <w:t>art. 5a ust. 4 pkt 4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41DF4">
        <w:rPr>
          <w:rFonts w:cstheme="minorHAnsi"/>
          <w:sz w:val="24"/>
          <w:szCs w:val="24"/>
          <w:shd w:val="clear" w:color="auto" w:fill="FFFFFF"/>
        </w:rPr>
        <w:t>ustawy</w:t>
      </w:r>
      <w:r>
        <w:rPr>
          <w:rFonts w:cstheme="minorHAnsi"/>
          <w:sz w:val="24"/>
          <w:szCs w:val="24"/>
          <w:shd w:val="clear" w:color="auto" w:fill="FFFFFF"/>
        </w:rPr>
        <w:t xml:space="preserve"> o działalności pożytku publicznego i wolo</w:t>
      </w:r>
      <w:r>
        <w:rPr>
          <w:rFonts w:cstheme="minorHAnsi"/>
          <w:sz w:val="24"/>
          <w:szCs w:val="24"/>
          <w:shd w:val="clear" w:color="auto" w:fill="FFFFFF"/>
        </w:rPr>
        <w:t>ntariacie</w:t>
      </w:r>
      <w:r w:rsidRPr="00241DF4">
        <w:rPr>
          <w:rFonts w:cstheme="minorHAnsi"/>
          <w:sz w:val="24"/>
          <w:szCs w:val="24"/>
          <w:shd w:val="clear" w:color="auto" w:fill="FFFFFF"/>
        </w:rPr>
        <w:t>, rada została zobowiązana do określenia w Programie form</w:t>
      </w:r>
      <w:r>
        <w:rPr>
          <w:rFonts w:cstheme="minorHAnsi"/>
          <w:sz w:val="24"/>
          <w:szCs w:val="24"/>
          <w:shd w:val="clear" w:color="auto" w:fill="FFFFFF"/>
        </w:rPr>
        <w:t xml:space="preserve"> współpracy, o których mowa</w:t>
      </w:r>
      <w:r>
        <w:rPr>
          <w:rFonts w:cstheme="minorHAnsi"/>
          <w:sz w:val="24"/>
          <w:szCs w:val="24"/>
          <w:shd w:val="clear" w:color="auto" w:fill="FFFFFF"/>
        </w:rPr>
        <w:t xml:space="preserve"> w art. 5 ust. 2,</w:t>
      </w:r>
      <w:r>
        <w:rPr>
          <w:rFonts w:cstheme="minorHAnsi"/>
          <w:sz w:val="24"/>
          <w:szCs w:val="24"/>
          <w:shd w:val="clear" w:color="auto" w:fill="FFFFFF"/>
        </w:rPr>
        <w:br/>
      </w:r>
      <w:r w:rsidRPr="00241DF4">
        <w:rPr>
          <w:rFonts w:cstheme="minorHAnsi"/>
          <w:sz w:val="24"/>
          <w:szCs w:val="24"/>
          <w:shd w:val="clear" w:color="auto" w:fill="FFFFFF"/>
        </w:rPr>
        <w:t xml:space="preserve">w jakich będzie </w:t>
      </w:r>
      <w:r>
        <w:rPr>
          <w:rFonts w:cstheme="minorHAnsi"/>
          <w:sz w:val="24"/>
          <w:szCs w:val="24"/>
          <w:shd w:val="clear" w:color="auto" w:fill="FFFFFF"/>
        </w:rPr>
        <w:t>ona</w:t>
      </w:r>
      <w:r>
        <w:rPr>
          <w:rFonts w:cstheme="minorHAnsi"/>
          <w:sz w:val="24"/>
          <w:szCs w:val="24"/>
          <w:shd w:val="clear" w:color="auto" w:fill="FFFFFF"/>
        </w:rPr>
        <w:t xml:space="preserve"> realizowana. Zapis</w:t>
      </w:r>
      <w:r>
        <w:rPr>
          <w:rFonts w:cstheme="minorHAnsi"/>
          <w:sz w:val="24"/>
          <w:szCs w:val="24"/>
          <w:shd w:val="clear" w:color="auto" w:fill="FFFFFF"/>
        </w:rPr>
        <w:t xml:space="preserve"> ten w R</w:t>
      </w:r>
      <w:r w:rsidRPr="00241DF4">
        <w:rPr>
          <w:rFonts w:cstheme="minorHAnsi"/>
          <w:sz w:val="24"/>
          <w:szCs w:val="24"/>
          <w:shd w:val="clear" w:color="auto" w:fill="FFFFFF"/>
        </w:rPr>
        <w:t xml:space="preserve">ozdziale VI Programu, stwarzając otwarty katalog form współpracy, narusza więc powyższy przepis, nie określając wyczerpująco form współpracy w ramach Programu. </w:t>
      </w:r>
      <w:r w:rsidRPr="007534BF">
        <w:rPr>
          <w:rFonts w:cstheme="minorHAnsi"/>
          <w:i/>
          <w:sz w:val="24"/>
          <w:szCs w:val="24"/>
          <w:shd w:val="clear" w:color="auto" w:fill="FFFFFF"/>
        </w:rPr>
        <w:t>,,</w:t>
      </w:r>
      <w:r w:rsidRPr="007534BF">
        <w:rPr>
          <w:rFonts w:cstheme="minorHAnsi"/>
          <w:i/>
          <w:sz w:val="24"/>
          <w:szCs w:val="24"/>
          <w:shd w:val="clear" w:color="auto" w:fill="FFFFFF"/>
        </w:rPr>
        <w:t xml:space="preserve">Należy wskazać, że </w:t>
      </w:r>
      <w:r w:rsidRPr="007534BF">
        <w:rPr>
          <w:rFonts w:cstheme="minorHAnsi"/>
          <w:i/>
          <w:sz w:val="24"/>
          <w:szCs w:val="24"/>
          <w:shd w:val="clear" w:color="auto" w:fill="FFFFFF"/>
        </w:rPr>
        <w:t>w</w:t>
      </w:r>
      <w:r w:rsidRPr="007534BF">
        <w:rPr>
          <w:rFonts w:cstheme="minorHAnsi"/>
          <w:i/>
          <w:sz w:val="24"/>
          <w:szCs w:val="24"/>
          <w:shd w:val="clear" w:color="auto" w:fill="FFFFFF"/>
        </w:rPr>
        <w:t xml:space="preserve">yłącznie organ stanowiący został umocowany do określenia w programie współpracy sposobu realizacji programu. Zapisy </w:t>
      </w:r>
      <w:r w:rsidRPr="007534BF">
        <w:rPr>
          <w:rFonts w:cstheme="minorHAnsi"/>
          <w:i/>
          <w:sz w:val="24"/>
          <w:szCs w:val="24"/>
          <w:shd w:val="clear" w:color="auto" w:fill="FFFFFF"/>
        </w:rPr>
        <w:br/>
      </w:r>
      <w:r w:rsidRPr="007534BF">
        <w:rPr>
          <w:rFonts w:cstheme="minorHAnsi"/>
          <w:i/>
          <w:sz w:val="24"/>
          <w:szCs w:val="24"/>
          <w:shd w:val="clear" w:color="auto" w:fill="FFFFFF"/>
        </w:rPr>
        <w:t>te pozostają w sprzeczności z postanowieniami art. 5a ust. 4 pkt 4 i pkt 7 ustawy</w:t>
      </w:r>
      <w:r w:rsidRPr="007534BF">
        <w:rPr>
          <w:rFonts w:cstheme="minorHAnsi"/>
          <w:i/>
          <w:sz w:val="24"/>
          <w:szCs w:val="24"/>
          <w:shd w:val="clear" w:color="auto" w:fill="FFFFFF"/>
        </w:rPr>
        <w:t>”</w:t>
      </w:r>
      <w:r w:rsidRPr="00241DF4">
        <w:rPr>
          <w:rFonts w:cstheme="minorHAnsi"/>
          <w:sz w:val="24"/>
          <w:szCs w:val="24"/>
          <w:shd w:val="clear" w:color="auto" w:fill="FFFFFF"/>
        </w:rPr>
        <w:t xml:space="preserve"> (wyrok </w:t>
      </w:r>
      <w:r w:rsidRPr="00241DF4">
        <w:rPr>
          <w:rFonts w:cstheme="minorHAnsi"/>
          <w:sz w:val="24"/>
          <w:szCs w:val="24"/>
          <w:shd w:val="clear" w:color="auto" w:fill="FFFFFF"/>
        </w:rPr>
        <w:lastRenderedPageBreak/>
        <w:t xml:space="preserve">Wojewódzkiego Sądu Administracyjnego w Olsztynie </w:t>
      </w:r>
      <w:r w:rsidRPr="00241DF4">
        <w:rPr>
          <w:rFonts w:cstheme="minorHAnsi"/>
          <w:sz w:val="24"/>
          <w:szCs w:val="24"/>
          <w:shd w:val="clear" w:color="auto" w:fill="FFFFFF"/>
        </w:rPr>
        <w:t>z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41DF4">
        <w:rPr>
          <w:rFonts w:cstheme="minorHAnsi"/>
          <w:sz w:val="24"/>
          <w:szCs w:val="24"/>
          <w:shd w:val="clear" w:color="auto" w:fill="FFFFFF"/>
        </w:rPr>
        <w:t>dnia 20 marca 2018 r. sygn. akt II SA/Ol 78/18</w:t>
      </w:r>
      <w:r w:rsidRPr="007534BF">
        <w:rPr>
          <w:rFonts w:cstheme="minorHAnsi"/>
          <w:sz w:val="24"/>
          <w:szCs w:val="24"/>
          <w:shd w:val="clear" w:color="auto" w:fill="FFFFFF"/>
        </w:rPr>
        <w:t>)</w:t>
      </w:r>
      <w:r w:rsidRPr="007534BF">
        <w:rPr>
          <w:rFonts w:cstheme="minorHAnsi"/>
          <w:sz w:val="24"/>
          <w:szCs w:val="24"/>
          <w:shd w:val="clear" w:color="auto" w:fill="FFFFFF"/>
        </w:rPr>
        <w:t>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534BF">
        <w:rPr>
          <w:rFonts w:cstheme="minorHAnsi"/>
          <w:sz w:val="24"/>
          <w:szCs w:val="24"/>
          <w:shd w:val="clear" w:color="auto" w:fill="FFFFFF"/>
        </w:rPr>
        <w:t xml:space="preserve">Należy ponadto wskazać, że Program stanowi plan działania i wytyczne dla organu wykonawczego, który na jego podstawie prowadzi działalność w sferze zadań publicznych, </w:t>
      </w:r>
      <w:r>
        <w:rPr>
          <w:rFonts w:cstheme="minorHAnsi"/>
          <w:sz w:val="24"/>
          <w:szCs w:val="24"/>
          <w:shd w:val="clear" w:color="auto" w:fill="FFFFFF"/>
        </w:rPr>
        <w:br/>
      </w:r>
      <w:r w:rsidRPr="007534BF">
        <w:rPr>
          <w:rFonts w:cstheme="minorHAnsi"/>
          <w:sz w:val="24"/>
          <w:szCs w:val="24"/>
          <w:shd w:val="clear" w:color="auto" w:fill="FFFFFF"/>
        </w:rPr>
        <w:t>o której mowa w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7" w:anchor="/document/17030487?unitId=art(4)&amp;cm=DOCUMENT" w:history="1">
        <w:r w:rsidRPr="007534BF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art. 4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534BF">
        <w:rPr>
          <w:rFonts w:cstheme="minorHAnsi"/>
          <w:sz w:val="24"/>
          <w:szCs w:val="24"/>
          <w:shd w:val="clear" w:color="auto" w:fill="FFFFFF"/>
        </w:rPr>
        <w:t xml:space="preserve">ww. ustawy, we współpracy z organizacjami pozarządowymi </w:t>
      </w:r>
      <w:r>
        <w:rPr>
          <w:rFonts w:cstheme="minorHAnsi"/>
          <w:sz w:val="24"/>
          <w:szCs w:val="24"/>
          <w:shd w:val="clear" w:color="auto" w:fill="FFFFFF"/>
        </w:rPr>
        <w:br/>
      </w:r>
      <w:r w:rsidRPr="007534BF">
        <w:rPr>
          <w:rFonts w:cstheme="minorHAnsi"/>
          <w:sz w:val="24"/>
          <w:szCs w:val="24"/>
          <w:shd w:val="clear" w:color="auto" w:fill="FFFFFF"/>
        </w:rPr>
        <w:t>i podmiotami wymienionymi w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8" w:anchor="/document/17030487?unitId=art(3)ust(3)&amp;cm=DOCUMENT" w:history="1">
        <w:r w:rsidRPr="007534BF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art. 3 </w:t>
        </w:r>
        <w:r w:rsidRPr="007534BF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ust. 3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534BF">
        <w:rPr>
          <w:rFonts w:cstheme="minorHAnsi"/>
          <w:sz w:val="24"/>
          <w:szCs w:val="24"/>
          <w:shd w:val="clear" w:color="auto" w:fill="FFFFFF"/>
        </w:rPr>
        <w:t>ww. ustawy. </w:t>
      </w:r>
    </w:p>
    <w:p w:rsidR="00EE502F" w:rsidRDefault="00CC0C96" w:rsidP="00EE502F">
      <w:pPr>
        <w:spacing w:after="0" w:line="360" w:lineRule="auto"/>
        <w:ind w:firstLine="708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Następnie w ust 3 </w:t>
      </w:r>
      <w:r>
        <w:rPr>
          <w:rFonts w:ascii="Calibri" w:hAnsi="Calibri" w:cs="Calibri"/>
          <w:sz w:val="24"/>
          <w:szCs w:val="24"/>
          <w:lang w:eastAsia="pl-PL"/>
        </w:rPr>
        <w:t xml:space="preserve">w </w:t>
      </w:r>
      <w:r>
        <w:rPr>
          <w:rFonts w:ascii="Calibri" w:hAnsi="Calibri" w:cs="Calibri"/>
          <w:sz w:val="24"/>
          <w:szCs w:val="24"/>
          <w:lang w:eastAsia="pl-PL"/>
        </w:rPr>
        <w:t>Rozdzia</w:t>
      </w:r>
      <w:r>
        <w:rPr>
          <w:rFonts w:ascii="Calibri" w:hAnsi="Calibri" w:cs="Calibri"/>
          <w:sz w:val="24"/>
          <w:szCs w:val="24"/>
          <w:lang w:eastAsia="pl-PL"/>
        </w:rPr>
        <w:t>le</w:t>
      </w:r>
      <w:r>
        <w:rPr>
          <w:rFonts w:ascii="Calibri" w:hAnsi="Calibri" w:cs="Calibri"/>
          <w:sz w:val="24"/>
          <w:szCs w:val="24"/>
          <w:lang w:eastAsia="pl-PL"/>
        </w:rPr>
        <w:t xml:space="preserve"> X pn. ,,Sposób realizacji programu”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Programu Rada Gminy w Nowej Suchej postanowiła, że: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EE502F" w:rsidRDefault="00CC0C96" w:rsidP="00042B9B">
      <w:p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,,3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Organizacja pozarządowa jest zobowiązana do prowadzenia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stosownej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dokumentacji finansowo-księgowej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środków fi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nansowych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otrzymanych na realizację zadania, w sposób umożliwiający identyfikację poszczególnych operacji księgowych”. </w:t>
      </w:r>
    </w:p>
    <w:p w:rsidR="00010F99" w:rsidRDefault="00CC0C96" w:rsidP="00010F9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10B90">
        <w:rPr>
          <w:sz w:val="24"/>
          <w:szCs w:val="24"/>
        </w:rPr>
        <w:t xml:space="preserve">W orzecznictwie sądów administracyjnych podkreśla się, że program współpracy </w:t>
      </w:r>
      <w:r w:rsidRPr="00210B90">
        <w:rPr>
          <w:sz w:val="24"/>
          <w:szCs w:val="24"/>
        </w:rPr>
        <w:br/>
      </w:r>
      <w:r w:rsidRPr="00210B90">
        <w:rPr>
          <w:sz w:val="24"/>
          <w:szCs w:val="24"/>
        </w:rPr>
        <w:t xml:space="preserve">z organizacjami pozarządowymi oraz podmiotami, o których mowa w art. 3 ust. 3 ustawy </w:t>
      </w:r>
      <w:r>
        <w:rPr>
          <w:sz w:val="24"/>
          <w:szCs w:val="24"/>
        </w:rPr>
        <w:br/>
      </w:r>
      <w:r w:rsidRPr="00210B90">
        <w:rPr>
          <w:sz w:val="24"/>
          <w:szCs w:val="24"/>
        </w:rPr>
        <w:t xml:space="preserve">o działalności pożytku publicznego i o wolontariacie, jest aktem o charakterze </w:t>
      </w:r>
      <w:r w:rsidRPr="00210B90">
        <w:rPr>
          <w:iCs/>
          <w:sz w:val="24"/>
          <w:szCs w:val="24"/>
        </w:rPr>
        <w:t>planistycznym</w:t>
      </w:r>
      <w:r w:rsidRPr="00210B90">
        <w:rPr>
          <w:sz w:val="24"/>
          <w:szCs w:val="24"/>
        </w:rPr>
        <w:t>, programowym, który wyznacza kierunki i cele działania jednostki samorządu te</w:t>
      </w:r>
      <w:r w:rsidRPr="00210B90">
        <w:rPr>
          <w:sz w:val="24"/>
          <w:szCs w:val="24"/>
        </w:rPr>
        <w:t xml:space="preserve">rytorialnego (wyrok Naczelnego Sądu Administracyjnego z dnia 12 października 2017 r. sygn. akt </w:t>
      </w:r>
      <w:hyperlink r:id="rId9" w:anchor="/document/522485301?cm=DOCUMENT" w:history="1">
        <w:r w:rsidRPr="00210B90">
          <w:rPr>
            <w:sz w:val="24"/>
            <w:szCs w:val="24"/>
          </w:rPr>
          <w:t>I OSK 2687/16</w:t>
        </w:r>
      </w:hyperlink>
      <w:r w:rsidRPr="00210B90">
        <w:rPr>
          <w:sz w:val="24"/>
          <w:szCs w:val="24"/>
        </w:rPr>
        <w:t>).</w:t>
      </w:r>
      <w:r w:rsidRPr="00210B90">
        <w:t xml:space="preserve"> </w:t>
      </w:r>
      <w:r w:rsidRPr="006152A3">
        <w:rPr>
          <w:rFonts w:ascii="Calibri" w:hAnsi="Calibri" w:cs="Calibri"/>
          <w:sz w:val="24"/>
          <w:szCs w:val="24"/>
        </w:rPr>
        <w:t xml:space="preserve">Jego treść stanowią normy </w:t>
      </w:r>
      <w:r w:rsidRPr="006152A3">
        <w:rPr>
          <w:rStyle w:val="Uwydatnienie"/>
          <w:rFonts w:ascii="Calibri" w:hAnsi="Calibri" w:cs="Calibri"/>
          <w:sz w:val="24"/>
          <w:szCs w:val="24"/>
        </w:rPr>
        <w:t>planistyczne</w:t>
      </w:r>
      <w:r w:rsidRPr="006152A3">
        <w:rPr>
          <w:rFonts w:ascii="Calibri" w:hAnsi="Calibri" w:cs="Calibri"/>
          <w:sz w:val="24"/>
          <w:szCs w:val="24"/>
        </w:rPr>
        <w:t>, normy-prognozy</w:t>
      </w:r>
      <w:r>
        <w:rPr>
          <w:rFonts w:ascii="Calibri" w:hAnsi="Calibri" w:cs="Calibri"/>
          <w:sz w:val="24"/>
          <w:szCs w:val="24"/>
        </w:rPr>
        <w:t>, normy zawierając</w:t>
      </w:r>
      <w:r>
        <w:rPr>
          <w:rFonts w:ascii="Calibri" w:hAnsi="Calibri" w:cs="Calibri"/>
          <w:sz w:val="24"/>
          <w:szCs w:val="24"/>
        </w:rPr>
        <w:t>e pewną strategię i zarys zamierzeń</w:t>
      </w:r>
      <w:r w:rsidRPr="006152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organu administracji we wskazanym zakresie. </w:t>
      </w:r>
      <w:r w:rsidRPr="004062DD">
        <w:rPr>
          <w:rFonts w:ascii="Calibri" w:hAnsi="Calibri" w:cs="Calibri"/>
          <w:sz w:val="24"/>
          <w:szCs w:val="24"/>
        </w:rPr>
        <w:t xml:space="preserve">Dlatego, </w:t>
      </w:r>
      <w:r>
        <w:rPr>
          <w:rFonts w:ascii="Calibri" w:hAnsi="Calibri" w:cs="Calibri"/>
          <w:sz w:val="24"/>
          <w:szCs w:val="24"/>
        </w:rPr>
        <w:br/>
      </w:r>
      <w:r w:rsidRPr="004062DD">
        <w:rPr>
          <w:rFonts w:ascii="Calibri" w:hAnsi="Calibri" w:cs="Calibri"/>
          <w:sz w:val="24"/>
          <w:szCs w:val="24"/>
        </w:rPr>
        <w:t xml:space="preserve">w ocenie organu nadzoru, Rada Gminy nie może nałożyć </w:t>
      </w:r>
      <w:r>
        <w:rPr>
          <w:rFonts w:ascii="Calibri" w:hAnsi="Calibri" w:cs="Calibri"/>
          <w:sz w:val="24"/>
          <w:szCs w:val="24"/>
        </w:rPr>
        <w:t xml:space="preserve">w dokumencie o charakterze planistycznym na </w:t>
      </w:r>
      <w:r w:rsidRPr="004062DD">
        <w:rPr>
          <w:rFonts w:ascii="Calibri" w:hAnsi="Calibri" w:cs="Calibri"/>
          <w:sz w:val="24"/>
          <w:szCs w:val="24"/>
        </w:rPr>
        <w:t>organizacje</w:t>
      </w:r>
      <w:r>
        <w:rPr>
          <w:rFonts w:ascii="Calibri" w:hAnsi="Calibri" w:cs="Calibri"/>
          <w:sz w:val="24"/>
          <w:szCs w:val="24"/>
        </w:rPr>
        <w:t xml:space="preserve"> pozarządowe </w:t>
      </w:r>
      <w:r w:rsidRPr="004062DD">
        <w:rPr>
          <w:rFonts w:ascii="Calibri" w:hAnsi="Calibri" w:cs="Calibri"/>
          <w:sz w:val="24"/>
          <w:szCs w:val="24"/>
        </w:rPr>
        <w:t xml:space="preserve">obowiązku 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>prowadzenia wyodrębnionej dokumenta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 xml:space="preserve">cji finansowo-księgowej </w:t>
      </w:r>
      <w:r w:rsidRPr="007A6470">
        <w:rPr>
          <w:rFonts w:ascii="Calibri" w:eastAsia="Times New Roman" w:hAnsi="Calibri" w:cs="Calibri"/>
          <w:sz w:val="24"/>
          <w:szCs w:val="24"/>
          <w:lang w:eastAsia="pl-PL"/>
        </w:rPr>
        <w:t>środków finansowych otrzymanych na realizację zadania, w sposób umożliwiający identyfikację poszczególnych operacji księgowych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D40517" w:rsidRDefault="00CC0C96" w:rsidP="00010F9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Ponadto </w:t>
      </w:r>
      <w:r>
        <w:rPr>
          <w:rFonts w:ascii="Calibri" w:eastAsia="Times New Roman" w:hAnsi="Calibri" w:cs="Calibri"/>
        </w:rPr>
        <w:t xml:space="preserve">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ust.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4 w Rozdziale X pn. ,,Sposób oceny realizacji programu” Programu Rada Gminy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Nowej Suchej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postanowiła, że: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Nadzór, w zakresie prawidłowości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wyko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>rzystania środków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finansowych dotowanych przez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G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>minę sprawuje skarbnik gminy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”. </w:t>
      </w:r>
      <w:r>
        <w:rPr>
          <w:rFonts w:ascii="Calibri" w:hAnsi="Calibri" w:cs="Calibri"/>
          <w:sz w:val="24"/>
          <w:szCs w:val="24"/>
        </w:rPr>
        <w:t>W ocenie organu nadzoru p</w:t>
      </w:r>
      <w:r w:rsidRPr="00552DD9">
        <w:rPr>
          <w:rFonts w:ascii="Calibri" w:hAnsi="Calibri" w:cs="Calibri"/>
          <w:sz w:val="24"/>
          <w:szCs w:val="24"/>
        </w:rPr>
        <w:t>owyższa regulacja wykracza poza upoważnienie określone w art. 5a ust. 1 i ust. 4 u</w:t>
      </w:r>
      <w:r w:rsidRPr="00552DD9">
        <w:rPr>
          <w:rFonts w:ascii="Calibri" w:hAnsi="Calibri" w:cs="Calibri"/>
          <w:sz w:val="24"/>
          <w:szCs w:val="24"/>
        </w:rPr>
        <w:t>stawy o działalności pożytk</w:t>
      </w:r>
      <w:r>
        <w:rPr>
          <w:rFonts w:ascii="Calibri" w:hAnsi="Calibri" w:cs="Calibri"/>
          <w:sz w:val="24"/>
          <w:szCs w:val="24"/>
        </w:rPr>
        <w:t xml:space="preserve">u publicznego i o wolontariacie, bowiem </w:t>
      </w:r>
      <w:r w:rsidRPr="00552DD9">
        <w:rPr>
          <w:rFonts w:ascii="Calibri" w:hAnsi="Calibri" w:cs="Calibri"/>
          <w:sz w:val="24"/>
          <w:szCs w:val="24"/>
        </w:rPr>
        <w:t>prawidłowości</w:t>
      </w:r>
      <w:r>
        <w:rPr>
          <w:sz w:val="24"/>
          <w:szCs w:val="24"/>
        </w:rPr>
        <w:t xml:space="preserve"> </w:t>
      </w:r>
      <w:r w:rsidRPr="00552DD9">
        <w:rPr>
          <w:sz w:val="24"/>
          <w:szCs w:val="24"/>
        </w:rPr>
        <w:t>wykorzystania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552DD9">
        <w:rPr>
          <w:rFonts w:ascii="Calibri" w:hAnsi="Calibri" w:cs="Calibri"/>
          <w:sz w:val="24"/>
          <w:szCs w:val="24"/>
        </w:rPr>
        <w:t>środków publicznych ot</w:t>
      </w:r>
      <w:r>
        <w:rPr>
          <w:rFonts w:ascii="Calibri" w:hAnsi="Calibri" w:cs="Calibri"/>
          <w:sz w:val="24"/>
          <w:szCs w:val="24"/>
        </w:rPr>
        <w:t xml:space="preserve">rzymanych na realizację zadania </w:t>
      </w:r>
      <w:r w:rsidRPr="00552DD9">
        <w:rPr>
          <w:rFonts w:ascii="Calibri" w:hAnsi="Calibri" w:cs="Calibri"/>
          <w:sz w:val="24"/>
          <w:szCs w:val="24"/>
        </w:rPr>
        <w:t>dokonuje organ administracji publicz</w:t>
      </w:r>
      <w:r>
        <w:rPr>
          <w:rFonts w:ascii="Calibri" w:hAnsi="Calibri" w:cs="Calibri"/>
          <w:sz w:val="24"/>
          <w:szCs w:val="24"/>
        </w:rPr>
        <w:t xml:space="preserve">nej zlecający zadanie publiczne. </w:t>
      </w:r>
      <w:r w:rsidRPr="00552DD9">
        <w:rPr>
          <w:rFonts w:ascii="Calibri" w:hAnsi="Calibri" w:cs="Calibri"/>
          <w:sz w:val="24"/>
          <w:szCs w:val="24"/>
        </w:rPr>
        <w:t>Zgodnie z art. 17 ustawy o działalnośc</w:t>
      </w:r>
      <w:r w:rsidRPr="00552DD9">
        <w:rPr>
          <w:rFonts w:ascii="Calibri" w:hAnsi="Calibri" w:cs="Calibri"/>
          <w:sz w:val="24"/>
          <w:szCs w:val="24"/>
        </w:rPr>
        <w:t>i pożytku publicznego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552DD9">
        <w:rPr>
          <w:rFonts w:ascii="Calibri" w:hAnsi="Calibri" w:cs="Calibri"/>
          <w:sz w:val="24"/>
          <w:szCs w:val="24"/>
        </w:rPr>
        <w:t>i o wolontariacie</w:t>
      </w:r>
      <w:r>
        <w:rPr>
          <w:rFonts w:ascii="Calibri" w:hAnsi="Calibri" w:cs="Calibri"/>
          <w:sz w:val="24"/>
          <w:szCs w:val="24"/>
        </w:rPr>
        <w:t>,</w:t>
      </w:r>
      <w:r w:rsidRPr="00552DD9">
        <w:rPr>
          <w:rFonts w:ascii="Calibri" w:hAnsi="Calibri" w:cs="Calibri"/>
          <w:sz w:val="24"/>
          <w:szCs w:val="24"/>
        </w:rPr>
        <w:t xml:space="preserve"> </w:t>
      </w:r>
      <w:r w:rsidRPr="00552DD9">
        <w:rPr>
          <w:rFonts w:ascii="Calibri" w:eastAsia="Times New Roman" w:hAnsi="Calibri" w:cs="Calibri"/>
          <w:sz w:val="24"/>
          <w:szCs w:val="24"/>
        </w:rPr>
        <w:t xml:space="preserve">organ administracji publicznej zlecający realizację zadania publicznego może dokonywać kontroli i oceny realizacji zadania, w szczególności: </w:t>
      </w:r>
      <w:r>
        <w:rPr>
          <w:rFonts w:ascii="Calibri" w:eastAsia="Times New Roman" w:hAnsi="Calibri" w:cs="Calibri"/>
          <w:sz w:val="24"/>
          <w:szCs w:val="24"/>
        </w:rPr>
        <w:br/>
      </w:r>
      <w:r w:rsidRPr="00552DD9">
        <w:rPr>
          <w:rFonts w:ascii="Calibri" w:eastAsia="Times New Roman" w:hAnsi="Calibri" w:cs="Calibri"/>
          <w:sz w:val="24"/>
          <w:szCs w:val="24"/>
        </w:rPr>
        <w:t>stopnia realizacji zadania</w:t>
      </w:r>
      <w:r>
        <w:rPr>
          <w:rFonts w:ascii="Calibri" w:eastAsia="Times New Roman" w:hAnsi="Calibri" w:cs="Calibri"/>
          <w:sz w:val="24"/>
          <w:szCs w:val="24"/>
        </w:rPr>
        <w:t xml:space="preserve">, </w:t>
      </w:r>
      <w:r w:rsidRPr="00552DD9">
        <w:rPr>
          <w:rFonts w:ascii="Calibri" w:eastAsia="Times New Roman" w:hAnsi="Calibri" w:cs="Calibri"/>
          <w:sz w:val="24"/>
          <w:szCs w:val="24"/>
        </w:rPr>
        <w:t xml:space="preserve">efektywności, rzetelności i jakości </w:t>
      </w:r>
      <w:r w:rsidRPr="00552DD9">
        <w:rPr>
          <w:rFonts w:ascii="Calibri" w:eastAsia="Times New Roman" w:hAnsi="Calibri" w:cs="Calibri"/>
          <w:sz w:val="24"/>
          <w:szCs w:val="24"/>
        </w:rPr>
        <w:t>realizacji zadania</w:t>
      </w:r>
      <w:r>
        <w:rPr>
          <w:rFonts w:ascii="Calibri" w:eastAsia="Times New Roman" w:hAnsi="Calibri" w:cs="Calibri"/>
          <w:sz w:val="24"/>
          <w:szCs w:val="24"/>
        </w:rPr>
        <w:t xml:space="preserve">, </w:t>
      </w:r>
      <w:r w:rsidRPr="00552DD9">
        <w:rPr>
          <w:rFonts w:ascii="Calibri" w:eastAsia="Times New Roman" w:hAnsi="Calibri" w:cs="Calibri"/>
          <w:sz w:val="24"/>
          <w:szCs w:val="24"/>
        </w:rPr>
        <w:t>prawidłowości wykorzystania środków publicznych otrzymanych na realizację zadania</w:t>
      </w:r>
      <w:r>
        <w:rPr>
          <w:rFonts w:ascii="Calibri" w:eastAsia="Times New Roman" w:hAnsi="Calibri" w:cs="Calibri"/>
          <w:sz w:val="24"/>
          <w:szCs w:val="24"/>
        </w:rPr>
        <w:t xml:space="preserve"> oraz </w:t>
      </w:r>
      <w:r w:rsidRPr="00552DD9">
        <w:rPr>
          <w:rFonts w:ascii="Calibri" w:eastAsia="Times New Roman" w:hAnsi="Calibri" w:cs="Calibri"/>
          <w:sz w:val="24"/>
          <w:szCs w:val="24"/>
        </w:rPr>
        <w:t xml:space="preserve">prowadzenia </w:t>
      </w:r>
      <w:r w:rsidRPr="00552DD9">
        <w:rPr>
          <w:rFonts w:ascii="Calibri" w:eastAsia="Times New Roman" w:hAnsi="Calibri" w:cs="Calibri"/>
          <w:sz w:val="24"/>
          <w:szCs w:val="24"/>
        </w:rPr>
        <w:lastRenderedPageBreak/>
        <w:t xml:space="preserve">dokumentacji związanej z realizowanym zadaniem. </w:t>
      </w:r>
      <w:r w:rsidRPr="000034AC">
        <w:rPr>
          <w:rFonts w:ascii="Calibri" w:hAnsi="Calibri" w:cs="Calibri"/>
          <w:sz w:val="24"/>
          <w:szCs w:val="24"/>
        </w:rPr>
        <w:t xml:space="preserve">Z ww. przepisów ustawy wynika zatem wprost, że do kompetencji Wójta Gminy należy </w:t>
      </w:r>
      <w:r w:rsidRPr="00552DD9">
        <w:rPr>
          <w:rFonts w:ascii="Calibri" w:hAnsi="Calibri" w:cs="Calibri"/>
          <w:sz w:val="24"/>
          <w:szCs w:val="24"/>
        </w:rPr>
        <w:t>obowiąze</w:t>
      </w:r>
      <w:r w:rsidRPr="00552DD9">
        <w:rPr>
          <w:rFonts w:ascii="Calibri" w:hAnsi="Calibri" w:cs="Calibri"/>
          <w:sz w:val="24"/>
          <w:szCs w:val="24"/>
        </w:rPr>
        <w:t>k dokonywania okresowej kontroli i oceny stanu realizacji zleconego zadania publicznego</w:t>
      </w:r>
      <w:r>
        <w:rPr>
          <w:rFonts w:ascii="Calibri" w:hAnsi="Calibri" w:cs="Calibri"/>
          <w:sz w:val="24"/>
          <w:szCs w:val="24"/>
        </w:rPr>
        <w:t xml:space="preserve">. </w:t>
      </w:r>
      <w:r w:rsidRPr="00552DD9">
        <w:rPr>
          <w:rFonts w:ascii="Calibri" w:hAnsi="Calibri" w:cs="Calibri"/>
          <w:sz w:val="24"/>
          <w:szCs w:val="24"/>
        </w:rPr>
        <w:t>Do kompetencji organu</w:t>
      </w:r>
      <w:r>
        <w:rPr>
          <w:rFonts w:ascii="Calibri" w:hAnsi="Calibri" w:cs="Calibri"/>
          <w:sz w:val="24"/>
          <w:szCs w:val="24"/>
        </w:rPr>
        <w:t xml:space="preserve"> zlecającego realizację zadania, a nie do Rady Gminy, </w:t>
      </w:r>
      <w:r w:rsidRPr="00552DD9">
        <w:rPr>
          <w:rFonts w:ascii="Calibri" w:hAnsi="Calibri" w:cs="Calibri"/>
          <w:sz w:val="24"/>
          <w:szCs w:val="24"/>
        </w:rPr>
        <w:t>należy również wyznaczenie odpowiednich komórek c</w:t>
      </w:r>
      <w:r>
        <w:rPr>
          <w:rFonts w:ascii="Calibri" w:hAnsi="Calibri" w:cs="Calibri"/>
          <w:sz w:val="24"/>
          <w:szCs w:val="24"/>
        </w:rPr>
        <w:t>zy też pracowników Urzędu Gminy</w:t>
      </w:r>
      <w:r w:rsidRPr="00552DD9">
        <w:rPr>
          <w:rFonts w:ascii="Calibri" w:hAnsi="Calibri" w:cs="Calibri"/>
          <w:sz w:val="24"/>
          <w:szCs w:val="24"/>
        </w:rPr>
        <w:t xml:space="preserve"> do wykonani</w:t>
      </w:r>
      <w:r w:rsidRPr="00552DD9">
        <w:rPr>
          <w:rFonts w:ascii="Calibri" w:hAnsi="Calibri" w:cs="Calibri"/>
          <w:sz w:val="24"/>
          <w:szCs w:val="24"/>
        </w:rPr>
        <w:t>a tej czynności.</w:t>
      </w:r>
      <w:r w:rsidRPr="00F205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Zatem </w:t>
      </w:r>
      <w:r>
        <w:rPr>
          <w:rFonts w:ascii="Calibri" w:hAnsi="Calibri" w:cs="Calibri"/>
          <w:sz w:val="24"/>
          <w:szCs w:val="24"/>
        </w:rPr>
        <w:t>w</w:t>
      </w:r>
      <w:r w:rsidRPr="004A5445">
        <w:rPr>
          <w:rFonts w:ascii="Calibri" w:hAnsi="Calibri" w:cs="Calibri"/>
          <w:sz w:val="24"/>
          <w:szCs w:val="24"/>
        </w:rPr>
        <w:t>ójt, który jest kierownikiem urzędu gminy określa zarówno organizację, jak i zasady funkcjonowania urzędu, pełni funkcję zwierzchnika służbowego w stosunku do pracowników urzędu gminy, a więc sprawuje władztwo organizacyjne nad apar</w:t>
      </w:r>
      <w:r w:rsidRPr="004A5445">
        <w:rPr>
          <w:rFonts w:ascii="Calibri" w:hAnsi="Calibri" w:cs="Calibri"/>
          <w:sz w:val="24"/>
          <w:szCs w:val="24"/>
        </w:rPr>
        <w:t>atem pomocniczym organów gminy (</w:t>
      </w:r>
      <w:hyperlink r:id="rId10" w:anchor="/document/16793509?unitId=art(33)ust(2)&amp;cm=DOCUMENT" w:history="1">
        <w:r w:rsidRPr="004A5445">
          <w:rPr>
            <w:rFonts w:ascii="Calibri" w:hAnsi="Calibri" w:cs="Calibri"/>
            <w:sz w:val="24"/>
            <w:szCs w:val="24"/>
          </w:rPr>
          <w:t>art. 33 ust. 2</w:t>
        </w:r>
      </w:hyperlink>
      <w:r w:rsidRPr="004A5445">
        <w:rPr>
          <w:rFonts w:ascii="Calibri" w:hAnsi="Calibri" w:cs="Calibri"/>
          <w:sz w:val="24"/>
          <w:szCs w:val="24"/>
        </w:rPr>
        <w:t xml:space="preserve">, </w:t>
      </w:r>
      <w:hyperlink r:id="rId11" w:anchor="/document/16793509?unitId=art(33)ust(3)&amp;cm=DOCUMENT" w:history="1">
        <w:r w:rsidRPr="004A5445">
          <w:rPr>
            <w:rFonts w:ascii="Calibri" w:hAnsi="Calibri" w:cs="Calibri"/>
            <w:sz w:val="24"/>
            <w:szCs w:val="24"/>
          </w:rPr>
          <w:t>3</w:t>
        </w:r>
      </w:hyperlink>
      <w:r w:rsidRPr="004A5445">
        <w:rPr>
          <w:rFonts w:ascii="Calibri" w:hAnsi="Calibri" w:cs="Calibri"/>
          <w:sz w:val="24"/>
          <w:szCs w:val="24"/>
        </w:rPr>
        <w:t xml:space="preserve"> i </w:t>
      </w:r>
      <w:hyperlink r:id="rId12" w:anchor="/document/16793509?unitId=art(33)ust(5)&amp;cm=DOCUMENT" w:history="1">
        <w:r w:rsidRPr="004A5445">
          <w:rPr>
            <w:rFonts w:ascii="Calibri" w:hAnsi="Calibri" w:cs="Calibri"/>
            <w:sz w:val="24"/>
            <w:szCs w:val="24"/>
          </w:rPr>
          <w:t>5</w:t>
        </w:r>
      </w:hyperlink>
      <w:r>
        <w:rPr>
          <w:rFonts w:ascii="Calibri" w:hAnsi="Calibri" w:cs="Calibri"/>
          <w:sz w:val="24"/>
          <w:szCs w:val="24"/>
        </w:rPr>
        <w:t xml:space="preserve"> ustawy o samorządzie gminnym oraz</w:t>
      </w:r>
      <w:r w:rsidRPr="004A5445">
        <w:rPr>
          <w:rFonts w:ascii="Calibri" w:hAnsi="Calibri" w:cs="Calibri"/>
          <w:sz w:val="24"/>
          <w:szCs w:val="24"/>
        </w:rPr>
        <w:t xml:space="preserve"> </w:t>
      </w:r>
      <w:hyperlink r:id="rId13" w:anchor="/document/17506209?unitId=art(7)pkt(3)&amp;cm=DOCUMENT" w:history="1">
        <w:r w:rsidRPr="004A5445">
          <w:rPr>
            <w:rFonts w:ascii="Calibri" w:hAnsi="Calibri" w:cs="Calibri"/>
            <w:sz w:val="24"/>
            <w:szCs w:val="24"/>
          </w:rPr>
          <w:t>art. 7 pkt 3</w:t>
        </w:r>
      </w:hyperlink>
      <w:r w:rsidRPr="004A5445">
        <w:rPr>
          <w:rFonts w:ascii="Calibri" w:hAnsi="Calibri" w:cs="Calibri"/>
          <w:sz w:val="24"/>
          <w:szCs w:val="24"/>
        </w:rPr>
        <w:t xml:space="preserve"> ustawy z dnia 21 listopada 2008 r. </w:t>
      </w:r>
      <w:r>
        <w:rPr>
          <w:rFonts w:ascii="Calibri" w:hAnsi="Calibri" w:cs="Calibri"/>
          <w:sz w:val="24"/>
          <w:szCs w:val="24"/>
        </w:rPr>
        <w:br/>
      </w:r>
      <w:r w:rsidRPr="004A5445">
        <w:rPr>
          <w:rFonts w:ascii="Calibri" w:hAnsi="Calibri" w:cs="Calibri"/>
          <w:sz w:val="24"/>
          <w:szCs w:val="24"/>
        </w:rPr>
        <w:t>o pr</w:t>
      </w:r>
      <w:r w:rsidRPr="004A5445">
        <w:rPr>
          <w:rFonts w:ascii="Calibri" w:hAnsi="Calibri" w:cs="Calibri"/>
          <w:sz w:val="24"/>
          <w:szCs w:val="24"/>
        </w:rPr>
        <w:t xml:space="preserve">acownikach samorządowych </w:t>
      </w:r>
      <w:r>
        <w:rPr>
          <w:rFonts w:ascii="Calibri" w:hAnsi="Calibri" w:cs="Calibri"/>
          <w:sz w:val="24"/>
          <w:szCs w:val="24"/>
        </w:rPr>
        <w:t>–</w:t>
      </w:r>
      <w:r w:rsidRPr="004A5445">
        <w:rPr>
          <w:rFonts w:ascii="Calibri" w:hAnsi="Calibri" w:cs="Calibri"/>
          <w:sz w:val="24"/>
          <w:szCs w:val="24"/>
        </w:rPr>
        <w:t xml:space="preserve"> Dz. U. </w:t>
      </w:r>
      <w:r>
        <w:rPr>
          <w:rFonts w:ascii="Calibri" w:hAnsi="Calibri" w:cs="Calibri"/>
          <w:sz w:val="24"/>
          <w:szCs w:val="24"/>
        </w:rPr>
        <w:t>z 2019 r. poz. 1282</w:t>
      </w:r>
      <w:r w:rsidRPr="004A5445">
        <w:rPr>
          <w:rFonts w:ascii="Calibri" w:hAnsi="Calibri" w:cs="Calibri"/>
          <w:sz w:val="24"/>
          <w:szCs w:val="24"/>
        </w:rPr>
        <w:t>).</w:t>
      </w:r>
      <w:r>
        <w:rPr>
          <w:rFonts w:ascii="Calibri" w:hAnsi="Calibri" w:cs="Calibri"/>
          <w:sz w:val="24"/>
          <w:szCs w:val="24"/>
        </w:rPr>
        <w:t xml:space="preserve"> W związku z powyższym,</w:t>
      </w:r>
      <w:r w:rsidRPr="004A5445">
        <w:rPr>
          <w:rFonts w:ascii="Calibri" w:hAnsi="Calibri" w:cs="Calibri"/>
          <w:sz w:val="24"/>
          <w:szCs w:val="24"/>
        </w:rPr>
        <w:t xml:space="preserve"> zamiesz</w:t>
      </w:r>
      <w:r>
        <w:rPr>
          <w:rFonts w:ascii="Calibri" w:hAnsi="Calibri" w:cs="Calibri"/>
          <w:sz w:val="24"/>
          <w:szCs w:val="24"/>
        </w:rPr>
        <w:t>cz</w:t>
      </w:r>
      <w:r w:rsidRPr="004A5445">
        <w:rPr>
          <w:rFonts w:ascii="Calibri" w:hAnsi="Calibri" w:cs="Calibri"/>
          <w:sz w:val="24"/>
          <w:szCs w:val="24"/>
        </w:rPr>
        <w:t>enie jakichkolwiek regulacji w tej materii w programie współpracy nie znajduje podstaw prawnych.</w:t>
      </w:r>
    </w:p>
    <w:p w:rsidR="007B646C" w:rsidRDefault="00CC0C96" w:rsidP="007B646C">
      <w:pPr>
        <w:spacing w:after="0" w:line="360" w:lineRule="auto"/>
        <w:ind w:firstLine="708"/>
        <w:jc w:val="both"/>
        <w:rPr>
          <w:rFonts w:cstheme="minorHAnsi"/>
          <w:b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Następnie w ust.</w:t>
      </w:r>
      <w:r>
        <w:rPr>
          <w:rFonts w:ascii="Calibri" w:hAnsi="Calibri" w:cs="Calibri"/>
          <w:sz w:val="24"/>
          <w:szCs w:val="24"/>
        </w:rPr>
        <w:t xml:space="preserve"> 3 Rozdziału </w:t>
      </w:r>
      <w:r>
        <w:rPr>
          <w:rFonts w:ascii="Calibri" w:hAnsi="Calibri" w:cs="Calibri"/>
          <w:sz w:val="24"/>
          <w:szCs w:val="24"/>
        </w:rPr>
        <w:t xml:space="preserve">XII </w:t>
      </w:r>
      <w:r>
        <w:rPr>
          <w:rFonts w:ascii="Calibri" w:hAnsi="Calibri" w:cs="Calibri"/>
          <w:sz w:val="24"/>
          <w:szCs w:val="24"/>
        </w:rPr>
        <w:t xml:space="preserve">pn. ,,Tryb powoływania i zasady działania komisji konkursowych do opiniowania ofert w otwartych konkursach ofert” Programu Rada Gminy </w:t>
      </w:r>
      <w:r>
        <w:rPr>
          <w:rFonts w:ascii="Calibri" w:hAnsi="Calibri" w:cs="Calibri"/>
          <w:sz w:val="24"/>
          <w:szCs w:val="24"/>
        </w:rPr>
        <w:br/>
        <w:t xml:space="preserve">w Nowej Suchej </w:t>
      </w:r>
      <w:r>
        <w:rPr>
          <w:rFonts w:ascii="Calibri" w:hAnsi="Calibri" w:cs="Calibri"/>
          <w:sz w:val="24"/>
          <w:szCs w:val="24"/>
        </w:rPr>
        <w:t>postanowiła, że: ,,</w:t>
      </w:r>
      <w:r w:rsidRPr="004A71CB">
        <w:rPr>
          <w:rFonts w:ascii="Calibri" w:hAnsi="Calibri" w:cs="Calibri"/>
          <w:i/>
          <w:sz w:val="24"/>
          <w:szCs w:val="24"/>
        </w:rPr>
        <w:t xml:space="preserve">W ocenie oferty nie mogą uczestniczyć osoby powiązane </w:t>
      </w:r>
      <w:r>
        <w:rPr>
          <w:rFonts w:ascii="Calibri" w:hAnsi="Calibri" w:cs="Calibri"/>
          <w:i/>
          <w:sz w:val="24"/>
          <w:szCs w:val="24"/>
        </w:rPr>
        <w:br/>
      </w:r>
      <w:r w:rsidRPr="004A71CB">
        <w:rPr>
          <w:rFonts w:ascii="Calibri" w:hAnsi="Calibri" w:cs="Calibri"/>
          <w:i/>
          <w:sz w:val="24"/>
          <w:szCs w:val="24"/>
        </w:rPr>
        <w:t xml:space="preserve">z podmiotem składającym ofertę, </w:t>
      </w:r>
      <w:r w:rsidRPr="004A71CB">
        <w:rPr>
          <w:rFonts w:ascii="Calibri" w:hAnsi="Calibri" w:cs="Calibri"/>
          <w:i/>
          <w:sz w:val="24"/>
          <w:szCs w:val="24"/>
        </w:rPr>
        <w:t>co do których mogą zaistnieć zastrzeżenia odnośnie zachowania przez nie bezstronności</w:t>
      </w:r>
      <w:r w:rsidRPr="00972D18">
        <w:rPr>
          <w:rFonts w:ascii="Calibri" w:hAnsi="Calibri" w:cs="Calibri"/>
          <w:i/>
          <w:sz w:val="24"/>
          <w:szCs w:val="24"/>
        </w:rPr>
        <w:t xml:space="preserve">”. </w:t>
      </w:r>
      <w:r w:rsidRPr="00972D18">
        <w:rPr>
          <w:rFonts w:cstheme="minorHAnsi"/>
          <w:sz w:val="24"/>
          <w:szCs w:val="24"/>
          <w:shd w:val="clear" w:color="auto" w:fill="FFFFFF"/>
        </w:rPr>
        <w:t xml:space="preserve">W ocenie organu nadzoru, </w:t>
      </w:r>
      <w:r>
        <w:rPr>
          <w:rFonts w:cstheme="minorHAnsi"/>
          <w:sz w:val="24"/>
          <w:szCs w:val="24"/>
          <w:shd w:val="clear" w:color="auto" w:fill="FFFFFF"/>
        </w:rPr>
        <w:t>uregulowanie to</w:t>
      </w:r>
      <w:r w:rsidRPr="00972D18">
        <w:rPr>
          <w:rFonts w:cstheme="minorHAnsi"/>
          <w:sz w:val="24"/>
          <w:szCs w:val="24"/>
          <w:shd w:val="clear" w:color="auto" w:fill="FFFFFF"/>
        </w:rPr>
        <w:t xml:space="preserve"> stanowi przekroczenie ustawowej kompetencji wynikającej z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14" w:anchor="/document/17030487?unitId=art(5(a))ust(4)pkt(11)&amp;cm=DOCUMENT" w:history="1">
        <w:r w:rsidRPr="00972D1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art. 5a ust. 4 pkt 11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72D18">
        <w:rPr>
          <w:rFonts w:cstheme="minorHAnsi"/>
          <w:sz w:val="24"/>
          <w:szCs w:val="24"/>
          <w:shd w:val="clear" w:color="auto" w:fill="FFFFFF"/>
        </w:rPr>
        <w:t>ustawy o działalności pożytku publicznego i o wolontariacie, gdyż nie mieści się ani w trybie powoływania komisji konkursowej, ani</w:t>
      </w:r>
      <w:r>
        <w:rPr>
          <w:rFonts w:cstheme="minorHAnsi"/>
          <w:sz w:val="24"/>
          <w:szCs w:val="24"/>
          <w:shd w:val="clear" w:color="auto" w:fill="FFFFFF"/>
        </w:rPr>
        <w:t xml:space="preserve"> w</w:t>
      </w:r>
      <w:r w:rsidRPr="00972D18">
        <w:rPr>
          <w:rFonts w:cstheme="minorHAnsi"/>
          <w:sz w:val="24"/>
          <w:szCs w:val="24"/>
          <w:shd w:val="clear" w:color="auto" w:fill="FFFFFF"/>
        </w:rPr>
        <w:t xml:space="preserve"> zasadach jej działania.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72D18">
        <w:rPr>
          <w:rFonts w:cstheme="minorHAnsi"/>
          <w:sz w:val="24"/>
          <w:szCs w:val="24"/>
          <w:shd w:val="clear" w:color="auto" w:fill="FFFFFF"/>
        </w:rPr>
        <w:t>Rada, zamieszczając w uchwale ten zapis, dok</w:t>
      </w:r>
      <w:r w:rsidRPr="00972D18">
        <w:rPr>
          <w:rFonts w:cstheme="minorHAnsi"/>
          <w:sz w:val="24"/>
          <w:szCs w:val="24"/>
          <w:shd w:val="clear" w:color="auto" w:fill="FFFFFF"/>
        </w:rPr>
        <w:t>onała regulacji materii unormowanej w art</w:t>
      </w:r>
      <w:hyperlink r:id="rId15" w:anchor="/document/17030487?unitId=art(15)ust(2(f))&amp;cm=DOCUMENT" w:history="1">
        <w:r w:rsidRPr="00972D1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. 15 ust. 2f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72D18">
        <w:rPr>
          <w:rFonts w:cstheme="minorHAnsi"/>
          <w:sz w:val="24"/>
          <w:szCs w:val="24"/>
          <w:shd w:val="clear" w:color="auto" w:fill="FFFFFF"/>
        </w:rPr>
        <w:t>ww. ustaw</w:t>
      </w:r>
      <w:r>
        <w:rPr>
          <w:rFonts w:cstheme="minorHAnsi"/>
          <w:sz w:val="24"/>
          <w:szCs w:val="24"/>
          <w:shd w:val="clear" w:color="auto" w:fill="FFFFFF"/>
        </w:rPr>
        <w:t>y, który stanowi,</w:t>
      </w:r>
      <w:r w:rsidRPr="00972D18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że</w:t>
      </w:r>
      <w:r w:rsidRPr="00972D18">
        <w:rPr>
          <w:rFonts w:cstheme="minorHAnsi"/>
          <w:sz w:val="24"/>
          <w:szCs w:val="24"/>
          <w:shd w:val="clear" w:color="auto" w:fill="FFFFFF"/>
        </w:rPr>
        <w:t xml:space="preserve"> do członków komisji konkursowej biorących udział w opiniowaniu ofert stosuje się przepisy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16" w:anchor="/document/16784712?cm=DOCUMENT" w:history="1">
        <w:r w:rsidRPr="00972D1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72D18">
        <w:rPr>
          <w:rFonts w:cstheme="minorHAnsi"/>
          <w:sz w:val="24"/>
          <w:szCs w:val="24"/>
          <w:shd w:val="clear" w:color="auto" w:fill="FFFFFF"/>
        </w:rPr>
        <w:t>z dnia 14 czerwca 1960 r. Kodeks postępowania administracyjnego (Dz. U. z 20</w:t>
      </w:r>
      <w:r>
        <w:rPr>
          <w:rFonts w:cstheme="minorHAnsi"/>
          <w:sz w:val="24"/>
          <w:szCs w:val="24"/>
          <w:shd w:val="clear" w:color="auto" w:fill="FFFFFF"/>
        </w:rPr>
        <w:t>20</w:t>
      </w:r>
      <w:r w:rsidRPr="00972D18">
        <w:rPr>
          <w:rFonts w:cstheme="minorHAnsi"/>
          <w:sz w:val="24"/>
          <w:szCs w:val="24"/>
          <w:shd w:val="clear" w:color="auto" w:fill="FFFFFF"/>
        </w:rPr>
        <w:t xml:space="preserve"> r. poz.</w:t>
      </w:r>
      <w:r w:rsidRPr="00972D18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256, </w:t>
      </w:r>
      <w:r>
        <w:rPr>
          <w:rFonts w:cstheme="minorHAnsi"/>
          <w:sz w:val="24"/>
          <w:szCs w:val="24"/>
          <w:shd w:val="clear" w:color="auto" w:fill="FFFFFF"/>
        </w:rPr>
        <w:br/>
      </w:r>
      <w:r>
        <w:rPr>
          <w:rFonts w:cstheme="minorHAnsi"/>
          <w:sz w:val="24"/>
          <w:szCs w:val="24"/>
          <w:shd w:val="clear" w:color="auto" w:fill="FFFFFF"/>
        </w:rPr>
        <w:t xml:space="preserve">z późn.zm.) </w:t>
      </w:r>
      <w:r w:rsidRPr="00972D18">
        <w:rPr>
          <w:rFonts w:cstheme="minorHAnsi"/>
          <w:sz w:val="24"/>
          <w:szCs w:val="24"/>
          <w:shd w:val="clear" w:color="auto" w:fill="FFFFFF"/>
        </w:rPr>
        <w:t>dotyczące wyłączenia pracownika. Zastosowanie będzie miał więc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17" w:anchor="/document/16784712?unitId=art(24)&amp;cm=DOCUMENT" w:history="1">
        <w:r w:rsidRPr="00972D1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art. 24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Kodeksu postepowania administracyjnego</w:t>
      </w:r>
      <w:r w:rsidRPr="00972D18">
        <w:rPr>
          <w:rFonts w:cstheme="minorHAnsi"/>
          <w:sz w:val="24"/>
          <w:szCs w:val="24"/>
          <w:shd w:val="clear" w:color="auto" w:fill="FFFFFF"/>
        </w:rPr>
        <w:t>, określający sytuacje, w których pracown</w:t>
      </w:r>
      <w:r w:rsidRPr="00972D18">
        <w:rPr>
          <w:rFonts w:cstheme="minorHAnsi"/>
          <w:sz w:val="24"/>
          <w:szCs w:val="24"/>
          <w:shd w:val="clear" w:color="auto" w:fill="FFFFFF"/>
        </w:rPr>
        <w:t xml:space="preserve">ik organu administracji publicznej podlega wyłączeniu od udziału w postępowaniu. </w:t>
      </w:r>
      <w:r>
        <w:rPr>
          <w:rFonts w:cstheme="minorHAnsi"/>
          <w:sz w:val="24"/>
          <w:szCs w:val="24"/>
          <w:shd w:val="clear" w:color="auto" w:fill="FFFFFF"/>
        </w:rPr>
        <w:t xml:space="preserve">Należy podkreślić, </w:t>
      </w:r>
      <w:r>
        <w:rPr>
          <w:rFonts w:cstheme="minorHAnsi"/>
          <w:sz w:val="24"/>
          <w:szCs w:val="24"/>
          <w:shd w:val="clear" w:color="auto" w:fill="FFFFFF"/>
        </w:rPr>
        <w:br/>
      </w:r>
      <w:r>
        <w:rPr>
          <w:rFonts w:cstheme="minorHAnsi"/>
          <w:sz w:val="24"/>
          <w:szCs w:val="24"/>
          <w:shd w:val="clear" w:color="auto" w:fill="FFFFFF"/>
        </w:rPr>
        <w:t xml:space="preserve">że 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,,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u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normowania zawarte w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hyperlink r:id="rId18" w:anchor="/document/16784712?unitId=art(24)par(1)&amp;cm=DOCUMENT" w:history="1">
        <w:r w:rsidRPr="007B646C">
          <w:rPr>
            <w:rStyle w:val="Hipercze"/>
            <w:rFonts w:cstheme="minorHAnsi"/>
            <w:i/>
            <w:color w:val="auto"/>
            <w:sz w:val="24"/>
            <w:szCs w:val="24"/>
            <w:u w:val="none"/>
            <w:shd w:val="clear" w:color="auto" w:fill="FFFFFF"/>
          </w:rPr>
          <w:t>art. 24 § 1</w:t>
        </w:r>
      </w:hyperlink>
      <w:r w:rsidRPr="007B646C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i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hyperlink r:id="rId19" w:anchor="/document/16784712?unitId=art(24)par(3)&amp;cm=DOCUMENT" w:history="1">
        <w:r w:rsidRPr="007B646C">
          <w:rPr>
            <w:rStyle w:val="Hipercze"/>
            <w:rFonts w:cstheme="minorHAnsi"/>
            <w:i/>
            <w:color w:val="auto"/>
            <w:sz w:val="24"/>
            <w:szCs w:val="24"/>
            <w:u w:val="none"/>
            <w:shd w:val="clear" w:color="auto" w:fill="FFFFFF"/>
          </w:rPr>
          <w:t>§ 3</w:t>
        </w:r>
      </w:hyperlink>
      <w:r w:rsidRPr="007B646C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Kodeksu postepowania administracyjnego mają charakter bezwzględnie obowiązujący w sytuacji, gdy zachodzi uzasadnione podejrzenie co do powiązania członka komis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ji z oferentem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 xml:space="preserve"> i 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powinny obligować wójta jako powołującego komisję konkursową, do odsunięcia takiej osoby od wszystkich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 xml:space="preserve">czynności dokonywanych </w:t>
      </w:r>
      <w:r>
        <w:rPr>
          <w:rFonts w:cstheme="minorHAnsi"/>
          <w:i/>
          <w:sz w:val="24"/>
          <w:szCs w:val="24"/>
          <w:shd w:val="clear" w:color="auto" w:fill="FFFFFF"/>
        </w:rPr>
        <w:br/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w postępowaniu ofertowym obejmującym to przedsięwzięcie</w:t>
      </w:r>
      <w:r w:rsidRPr="007B646C">
        <w:rPr>
          <w:rFonts w:cstheme="minorHAnsi"/>
          <w:i/>
          <w:sz w:val="24"/>
          <w:szCs w:val="24"/>
          <w:shd w:val="clear" w:color="auto" w:fill="FFFFFF"/>
        </w:rPr>
        <w:t>”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3206F3">
        <w:rPr>
          <w:rFonts w:cstheme="minorHAnsi"/>
          <w:sz w:val="24"/>
          <w:szCs w:val="24"/>
          <w:shd w:val="clear" w:color="auto" w:fill="FFFFFF"/>
        </w:rPr>
        <w:t>(wyrok W</w:t>
      </w:r>
      <w:r>
        <w:rPr>
          <w:rFonts w:cstheme="minorHAnsi"/>
          <w:sz w:val="24"/>
          <w:szCs w:val="24"/>
          <w:shd w:val="clear" w:color="auto" w:fill="FFFFFF"/>
        </w:rPr>
        <w:t>ojewódzkiego Sądu Administracyjnego</w:t>
      </w:r>
      <w:r w:rsidRPr="003206F3">
        <w:rPr>
          <w:rFonts w:cstheme="minorHAnsi"/>
          <w:sz w:val="24"/>
          <w:szCs w:val="24"/>
          <w:shd w:val="clear" w:color="auto" w:fill="FFFFFF"/>
        </w:rPr>
        <w:t xml:space="preserve"> we Wrocławi</w:t>
      </w:r>
      <w:r w:rsidRPr="003206F3">
        <w:rPr>
          <w:rFonts w:cstheme="minorHAnsi"/>
          <w:sz w:val="24"/>
          <w:szCs w:val="24"/>
          <w:shd w:val="clear" w:color="auto" w:fill="FFFFFF"/>
        </w:rPr>
        <w:t>u z dnia 19 marca 2014 r.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3206F3">
        <w:rPr>
          <w:rFonts w:cstheme="minorHAnsi"/>
          <w:sz w:val="24"/>
          <w:szCs w:val="24"/>
          <w:shd w:val="clear" w:color="auto" w:fill="FFFFFF"/>
        </w:rPr>
        <w:t>sygn. akt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20" w:anchor="/document/521662245?cm=DOCUMENT" w:history="1">
        <w:r w:rsidRPr="003206F3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III SA/</w:t>
        </w:r>
        <w:proofErr w:type="spellStart"/>
        <w:r w:rsidRPr="003206F3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Wr</w:t>
        </w:r>
        <w:proofErr w:type="spellEnd"/>
        <w:r w:rsidRPr="003206F3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71/14</w:t>
        </w:r>
      </w:hyperlink>
      <w:r w:rsidRPr="003206F3">
        <w:rPr>
          <w:rFonts w:cstheme="minorHAnsi"/>
          <w:sz w:val="24"/>
          <w:szCs w:val="24"/>
          <w:shd w:val="clear" w:color="auto" w:fill="FFFFFF"/>
        </w:rPr>
        <w:t>).</w:t>
      </w:r>
    </w:p>
    <w:p w:rsidR="00D40517" w:rsidRPr="007B646C" w:rsidRDefault="00CC0C96" w:rsidP="007B646C">
      <w:pPr>
        <w:spacing w:after="0" w:line="360" w:lineRule="auto"/>
        <w:ind w:firstLine="708"/>
        <w:jc w:val="both"/>
        <w:rPr>
          <w:rFonts w:cstheme="minorHAnsi"/>
          <w:b/>
          <w:i/>
          <w:sz w:val="24"/>
          <w:szCs w:val="24"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lastRenderedPageBreak/>
        <w:t>„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Zgodnie z zasadą legalności (art. 7 Konstytucji RP), organy władzy publicznej działają na podstawie i w granicach prawa. Rada gminy obowiązana jest, zatem przestrzegać zakresu upoważniania ustawowego udzielonego jej przez ustawę w zakresie tworzenia aktów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prawa miejscowego, a w ramach udzielonej jej delegacji w tych działaniach nie może wykraczać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br/>
        <w:t>w materie uregulowana ustawą. (...)."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(wyrok Wojewódzkiego Sądu Administracyjnego </w:t>
      </w:r>
      <w:r w:rsidRPr="00677AFE">
        <w:rPr>
          <w:rFonts w:eastAsia="Times New Roman" w:cstheme="minorHAnsi"/>
          <w:sz w:val="24"/>
          <w:szCs w:val="24"/>
          <w:lang w:eastAsia="pl-PL"/>
        </w:rPr>
        <w:br/>
        <w:t>w Olsztynie z dnia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pl-PL"/>
        </w:rPr>
        <w:t>12 stycznia 2016 r. sygn. akt. II SA/OI 1269/15).</w:t>
      </w:r>
    </w:p>
    <w:p w:rsidR="007B646C" w:rsidRPr="007B646C" w:rsidRDefault="00CC0C96" w:rsidP="007B646C">
      <w:pPr>
        <w:spacing w:after="0" w:line="360" w:lineRule="auto"/>
        <w:ind w:firstLine="708"/>
        <w:jc w:val="both"/>
        <w:rPr>
          <w:sz w:val="24"/>
          <w:szCs w:val="24"/>
        </w:rPr>
      </w:pPr>
      <w:r w:rsidRPr="00BC56FA">
        <w:rPr>
          <w:sz w:val="24"/>
          <w:szCs w:val="24"/>
        </w:rPr>
        <w:t>Ponadto or</w:t>
      </w:r>
      <w:r w:rsidRPr="00BC56FA">
        <w:rPr>
          <w:sz w:val="24"/>
          <w:szCs w:val="24"/>
        </w:rPr>
        <w:t>gan nadzoru wskazuje na obowiązek przestrzegania przez Radę</w:t>
      </w:r>
      <w:r>
        <w:rPr>
          <w:sz w:val="24"/>
          <w:szCs w:val="24"/>
        </w:rPr>
        <w:t xml:space="preserve"> Gminy </w:t>
      </w:r>
      <w:r>
        <w:rPr>
          <w:sz w:val="24"/>
          <w:szCs w:val="24"/>
        </w:rPr>
        <w:br/>
        <w:t>w Nowej Suchej</w:t>
      </w:r>
      <w:r w:rsidRPr="00BC56FA">
        <w:rPr>
          <w:sz w:val="24"/>
          <w:szCs w:val="24"/>
        </w:rPr>
        <w:t xml:space="preserve">, jako lokalnego prawodawcę, zasad prawidłowej legislacji, przewidzianych </w:t>
      </w:r>
      <w:r>
        <w:rPr>
          <w:sz w:val="24"/>
          <w:szCs w:val="24"/>
        </w:rPr>
        <w:br/>
      </w:r>
      <w:r w:rsidRPr="00BC56FA">
        <w:rPr>
          <w:sz w:val="24"/>
          <w:szCs w:val="24"/>
        </w:rPr>
        <w:t>we wspomnianym rozporządzeniu w sprawie zasad techniki prawodawczej. W tym kontekście należy stwierd</w:t>
      </w:r>
      <w:r w:rsidRPr="00BC56FA">
        <w:rPr>
          <w:sz w:val="24"/>
          <w:szCs w:val="24"/>
        </w:rPr>
        <w:t xml:space="preserve">zić, że redakcja kwestionowanej uchwały nie odpowiada standardom dobrego prawodawstwa. Podstawową jednostką redakcyjną aktu normatywnego (z wyjątkiem ustawy) jest paragraf. Paragrafy można dzielić na ustępy, ustępy na punkty, punkty na litery a litery </w:t>
      </w:r>
      <w:r>
        <w:rPr>
          <w:sz w:val="24"/>
          <w:szCs w:val="24"/>
        </w:rPr>
        <w:br/>
      </w:r>
      <w:r w:rsidRPr="00BC56FA">
        <w:rPr>
          <w:sz w:val="24"/>
          <w:szCs w:val="24"/>
        </w:rPr>
        <w:t xml:space="preserve">na </w:t>
      </w:r>
      <w:r w:rsidRPr="00BC56FA">
        <w:rPr>
          <w:sz w:val="24"/>
          <w:szCs w:val="24"/>
        </w:rPr>
        <w:t>tiret (-myślniki). W celu systematyzacji paragrafy można grupować w jednostki</w:t>
      </w:r>
      <w:r>
        <w:rPr>
          <w:sz w:val="24"/>
          <w:szCs w:val="24"/>
        </w:rPr>
        <w:t xml:space="preserve"> </w:t>
      </w:r>
      <w:r w:rsidRPr="00BC56FA">
        <w:rPr>
          <w:sz w:val="24"/>
          <w:szCs w:val="24"/>
        </w:rPr>
        <w:t xml:space="preserve">systematyzacyjne wyższego stopnia tj. kolejno w rozdziały i działy, jednakże rozwiązanie takie w uchwałach jednostek samorządu terytorialnego stosuje się sporadycznie, gdyż </w:t>
      </w:r>
      <w:r>
        <w:rPr>
          <w:sz w:val="24"/>
          <w:szCs w:val="24"/>
        </w:rPr>
        <w:br/>
      </w:r>
      <w:r w:rsidRPr="00BC56FA">
        <w:rPr>
          <w:sz w:val="24"/>
          <w:szCs w:val="24"/>
        </w:rPr>
        <w:t>jest</w:t>
      </w:r>
      <w:r w:rsidRPr="00BC56FA">
        <w:rPr>
          <w:sz w:val="24"/>
          <w:szCs w:val="24"/>
        </w:rPr>
        <w:t xml:space="preserve"> ono praktyczne wyłącznie w przypadku uchwał bardzo obszernych (np. statutach gmin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czy</w:t>
      </w:r>
      <w:r w:rsidRPr="00BC56FA">
        <w:rPr>
          <w:sz w:val="24"/>
          <w:szCs w:val="24"/>
        </w:rPr>
        <w:t xml:space="preserve"> uchwałach w sprawie planów zagospodarowania przestrzennego). </w:t>
      </w:r>
      <w:r>
        <w:rPr>
          <w:sz w:val="24"/>
          <w:szCs w:val="24"/>
        </w:rPr>
        <w:t xml:space="preserve">Należy podkreślić, </w:t>
      </w:r>
      <w:r>
        <w:rPr>
          <w:sz w:val="24"/>
          <w:szCs w:val="24"/>
        </w:rPr>
        <w:br/>
        <w:t>że</w:t>
      </w:r>
      <w:r w:rsidRPr="00BC56FA">
        <w:rPr>
          <w:sz w:val="24"/>
          <w:szCs w:val="24"/>
        </w:rPr>
        <w:t xml:space="preserve"> przy powoływaniu konkretnego przepisu wskazuje</w:t>
      </w:r>
      <w:r>
        <w:rPr>
          <w:sz w:val="24"/>
          <w:szCs w:val="24"/>
        </w:rPr>
        <w:t xml:space="preserve"> się</w:t>
      </w:r>
      <w:r w:rsidRPr="00BC56FA">
        <w:rPr>
          <w:sz w:val="24"/>
          <w:szCs w:val="24"/>
        </w:rPr>
        <w:t xml:space="preserve"> oznaczenie jego jednostki systema</w:t>
      </w:r>
      <w:r w:rsidRPr="00BC56FA">
        <w:rPr>
          <w:sz w:val="24"/>
          <w:szCs w:val="24"/>
        </w:rPr>
        <w:t>tyzacyjnej odpowiednio według kolejności: „§ … ust. … pkt … lit. … tiret …”</w:t>
      </w:r>
      <w:r>
        <w:rPr>
          <w:sz w:val="24"/>
          <w:szCs w:val="24"/>
        </w:rPr>
        <w:br/>
        <w:t xml:space="preserve">(bez wskazania jednostek systematyzujących wyższego rzędu). </w:t>
      </w:r>
      <w:r w:rsidRPr="00BC56FA">
        <w:rPr>
          <w:sz w:val="24"/>
          <w:szCs w:val="24"/>
        </w:rPr>
        <w:t xml:space="preserve">Konkludując, stwierdzić należy, że rada gminy, wykonując kompetencję prawodawczą przewidzianą w upoważnieniu ustawowym, </w:t>
      </w:r>
      <w:r w:rsidRPr="00BC56FA">
        <w:rPr>
          <w:sz w:val="24"/>
          <w:szCs w:val="24"/>
        </w:rPr>
        <w:t>jest zobowiązana działać ściśle w granicach tego upoważnienia, przestrzegając przy tym zasad techniki prawodawczej.</w:t>
      </w:r>
    </w:p>
    <w:p w:rsidR="007B646C" w:rsidRDefault="00CC0C96" w:rsidP="007B646C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7AFE">
        <w:rPr>
          <w:rFonts w:ascii="Calibri" w:eastAsia="Times New Roman" w:hAnsi="Calibri" w:cs="Calibri"/>
          <w:sz w:val="24"/>
          <w:szCs w:val="24"/>
          <w:lang w:eastAsia="pl-PL"/>
        </w:rPr>
        <w:t xml:space="preserve"> „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W judykaturze przyjmuje się, że tylko istotne naruszenie prawa stanowi podstawę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do stwierdzenia nieważności uchwały organu gminy, a więc uchybienie prowadzące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br/>
        <w:t>do skutków, które nie mogą być zaakceptowane w demokratycznym państwie prawnym, które wpływają na treść uchwały lub zarządzenia. Do takich naruszeń zalicza się między innymi na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ruszenie przepisów </w:t>
      </w:r>
      <w:r w:rsidRPr="0086159F">
        <w:rPr>
          <w:rFonts w:eastAsia="Times New Roman" w:cstheme="minorHAnsi"/>
          <w:i/>
          <w:sz w:val="24"/>
          <w:szCs w:val="24"/>
          <w:lang w:eastAsia="pl-PL"/>
        </w:rPr>
        <w:t>wyznaczających kompetencje do wydania aktu lub brak podstawy prawnej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>, bądź przepisów prawa ustrojowego lub przepisów prawa materialnego przez wadliwą ich wykładnię oraz przepisów regulujących procedurę podejmowania uchwał, jeżeli na skut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>ek tego naruszenia zapadła uchwała innej treści, niż gdyby naruszenie to nie wystąpiło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”. </w:t>
      </w:r>
      <w:r w:rsidRPr="00677AFE">
        <w:rPr>
          <w:rFonts w:eastAsia="Times New Roman" w:cstheme="minorHAnsi"/>
          <w:sz w:val="24"/>
          <w:szCs w:val="24"/>
          <w:lang w:eastAsia="pl-PL"/>
        </w:rPr>
        <w:lastRenderedPageBreak/>
        <w:t>(wyrok Wojewódzkiego Sądu Administracyjnego w Gorzowie Wielkopolskim z dnia 30 maja 2018 r. sygn. akt II SA/Go 271/18).</w:t>
      </w:r>
    </w:p>
    <w:p w:rsidR="00D40517" w:rsidRPr="0086159F" w:rsidRDefault="00CC0C96" w:rsidP="007B6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Mając na uwadze powyższe, stwierdzenie nieważ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ności przedmiotowej </w:t>
      </w:r>
      <w:r w:rsidRPr="00677AFE">
        <w:rPr>
          <w:rFonts w:eastAsia="Times New Roman" w:cstheme="minorHAnsi"/>
          <w:bCs/>
          <w:sz w:val="24"/>
          <w:szCs w:val="24"/>
          <w:lang w:eastAsia="pl-PL"/>
        </w:rPr>
        <w:t xml:space="preserve">uchwały 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Rady </w:t>
      </w:r>
      <w:r>
        <w:rPr>
          <w:rFonts w:eastAsia="Times New Roman" w:cstheme="minorHAnsi"/>
          <w:sz w:val="24"/>
          <w:szCs w:val="24"/>
          <w:lang w:eastAsia="pl-PL"/>
        </w:rPr>
        <w:t>Gminy w Nowej Suchej</w:t>
      </w:r>
      <w:r w:rsidRPr="00677AFE">
        <w:rPr>
          <w:rFonts w:eastAsia="Times New Roman" w:cstheme="minorHAnsi"/>
          <w:sz w:val="24"/>
          <w:szCs w:val="24"/>
          <w:lang w:eastAsia="pl-PL"/>
        </w:rPr>
        <w:t>, we wskazanej w petitum części, jest w pełni uzasadnione.</w:t>
      </w:r>
    </w:p>
    <w:p w:rsidR="00D40517" w:rsidRPr="00677AFE" w:rsidRDefault="00CC0C96" w:rsidP="00D40517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</w:t>
      </w:r>
      <w:r>
        <w:rPr>
          <w:rFonts w:eastAsia="Times New Roman" w:cstheme="minorHAnsi"/>
          <w:sz w:val="24"/>
          <w:szCs w:val="24"/>
          <w:lang w:eastAsia="pl-PL"/>
        </w:rPr>
        <w:t>Gminie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terminie 30 dni od daty jego doręczenia, wnoszona </w:t>
      </w:r>
      <w:r w:rsidRPr="00677AFE">
        <w:rPr>
          <w:rFonts w:eastAsia="Times New Roman" w:cstheme="minorHAnsi"/>
          <w:sz w:val="24"/>
          <w:szCs w:val="24"/>
          <w:lang w:eastAsia="pl-PL"/>
        </w:rPr>
        <w:br/>
        <w:t>za pośrednictwem organu, który skarżone orzeczenie wydał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D40517" w:rsidRPr="00677AFE" w:rsidRDefault="00CC0C96" w:rsidP="00D40517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</w:t>
      </w:r>
      <w:r w:rsidRPr="00677AFE">
        <w:rPr>
          <w:rFonts w:eastAsia="Times New Roman" w:cstheme="minorHAnsi"/>
          <w:sz w:val="24"/>
          <w:szCs w:val="24"/>
          <w:lang w:eastAsia="pl-PL"/>
        </w:rPr>
        <w:t>cy prawa, w części objętej orzeczeniem, z dniem jego doręczenia.</w:t>
      </w:r>
    </w:p>
    <w:p w:rsidR="00D40517" w:rsidRPr="00677AFE" w:rsidRDefault="00CC0C96" w:rsidP="00D40517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:rsidR="00D40517" w:rsidRPr="00677AFE" w:rsidRDefault="00CC0C96" w:rsidP="00D40517">
      <w:pPr>
        <w:widowControl w:val="0"/>
        <w:spacing w:after="20" w:line="240" w:lineRule="auto"/>
        <w:jc w:val="center"/>
        <w:rPr>
          <w:rFonts w:ascii="Calibri" w:hAnsi="Calibri" w:cs="Calibri"/>
          <w:i/>
          <w:sz w:val="24"/>
        </w:rPr>
      </w:pPr>
      <w:r w:rsidRPr="00677AFE">
        <w:rPr>
          <w:rFonts w:ascii="Calibri" w:hAnsi="Calibri" w:cs="Calibri"/>
          <w:i/>
          <w:sz w:val="24"/>
        </w:rPr>
        <w:t xml:space="preserve">                                                                                       Konstanty Radziwiłł</w:t>
      </w:r>
    </w:p>
    <w:p w:rsidR="00D40517" w:rsidRPr="00677AFE" w:rsidRDefault="00CC0C96" w:rsidP="00D40517">
      <w:pPr>
        <w:widowControl w:val="0"/>
        <w:spacing w:after="20" w:line="240" w:lineRule="auto"/>
        <w:jc w:val="center"/>
        <w:rPr>
          <w:rFonts w:ascii="Calibri" w:hAnsi="Calibri" w:cs="Calibri"/>
          <w:i/>
          <w:sz w:val="24"/>
        </w:rPr>
      </w:pPr>
      <w:r w:rsidRPr="00677AFE">
        <w:rPr>
          <w:rFonts w:ascii="Calibri" w:hAnsi="Calibri" w:cs="Calibri"/>
          <w:i/>
          <w:sz w:val="24"/>
        </w:rPr>
        <w:t xml:space="preserve">                                                                                      Wojewoda Mazowiecki </w:t>
      </w:r>
    </w:p>
    <w:p w:rsidR="00D40517" w:rsidRPr="00677AFE" w:rsidRDefault="00CC0C96" w:rsidP="00D4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7AFE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                                                                                /podpisano elektronicznie/</w:t>
      </w:r>
    </w:p>
    <w:p w:rsidR="00D40517" w:rsidRPr="00677AFE" w:rsidRDefault="00CC0C96" w:rsidP="00D4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D40517" w:rsidRPr="00677AFE" w:rsidRDefault="00CC0C96" w:rsidP="00D4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010BB1" w:rsidRDefault="00CC0C96"/>
    <w:sectPr w:rsidR="0001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D7D4F"/>
    <w:multiLevelType w:val="hybridMultilevel"/>
    <w:tmpl w:val="E5F6ABA6"/>
    <w:lvl w:ilvl="0" w:tplc="C0CAA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7D27F5A" w:tentative="1">
      <w:start w:val="1"/>
      <w:numFmt w:val="lowerLetter"/>
      <w:lvlText w:val="%2."/>
      <w:lvlJc w:val="left"/>
      <w:pPr>
        <w:ind w:left="1800" w:hanging="360"/>
      </w:pPr>
    </w:lvl>
    <w:lvl w:ilvl="2" w:tplc="389E567C" w:tentative="1">
      <w:start w:val="1"/>
      <w:numFmt w:val="lowerRoman"/>
      <w:lvlText w:val="%3."/>
      <w:lvlJc w:val="right"/>
      <w:pPr>
        <w:ind w:left="2520" w:hanging="180"/>
      </w:pPr>
    </w:lvl>
    <w:lvl w:ilvl="3" w:tplc="43EAD40A" w:tentative="1">
      <w:start w:val="1"/>
      <w:numFmt w:val="decimal"/>
      <w:lvlText w:val="%4."/>
      <w:lvlJc w:val="left"/>
      <w:pPr>
        <w:ind w:left="3240" w:hanging="360"/>
      </w:pPr>
    </w:lvl>
    <w:lvl w:ilvl="4" w:tplc="0D3068A2" w:tentative="1">
      <w:start w:val="1"/>
      <w:numFmt w:val="lowerLetter"/>
      <w:lvlText w:val="%5."/>
      <w:lvlJc w:val="left"/>
      <w:pPr>
        <w:ind w:left="3960" w:hanging="360"/>
      </w:pPr>
    </w:lvl>
    <w:lvl w:ilvl="5" w:tplc="A774AF94" w:tentative="1">
      <w:start w:val="1"/>
      <w:numFmt w:val="lowerRoman"/>
      <w:lvlText w:val="%6."/>
      <w:lvlJc w:val="right"/>
      <w:pPr>
        <w:ind w:left="4680" w:hanging="180"/>
      </w:pPr>
    </w:lvl>
    <w:lvl w:ilvl="6" w:tplc="3FE237E4" w:tentative="1">
      <w:start w:val="1"/>
      <w:numFmt w:val="decimal"/>
      <w:lvlText w:val="%7."/>
      <w:lvlJc w:val="left"/>
      <w:pPr>
        <w:ind w:left="5400" w:hanging="360"/>
      </w:pPr>
    </w:lvl>
    <w:lvl w:ilvl="7" w:tplc="9F783614" w:tentative="1">
      <w:start w:val="1"/>
      <w:numFmt w:val="lowerLetter"/>
      <w:lvlText w:val="%8."/>
      <w:lvlJc w:val="left"/>
      <w:pPr>
        <w:ind w:left="6120" w:hanging="360"/>
      </w:pPr>
    </w:lvl>
    <w:lvl w:ilvl="8" w:tplc="FC9802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F60EE"/>
    <w:multiLevelType w:val="hybridMultilevel"/>
    <w:tmpl w:val="DB9A1DCE"/>
    <w:lvl w:ilvl="0" w:tplc="2ACAE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A903DEC" w:tentative="1">
      <w:start w:val="1"/>
      <w:numFmt w:val="lowerLetter"/>
      <w:lvlText w:val="%2."/>
      <w:lvlJc w:val="left"/>
      <w:pPr>
        <w:ind w:left="1800" w:hanging="360"/>
      </w:pPr>
    </w:lvl>
    <w:lvl w:ilvl="2" w:tplc="09DED2BE" w:tentative="1">
      <w:start w:val="1"/>
      <w:numFmt w:val="lowerRoman"/>
      <w:lvlText w:val="%3."/>
      <w:lvlJc w:val="right"/>
      <w:pPr>
        <w:ind w:left="2520" w:hanging="180"/>
      </w:pPr>
    </w:lvl>
    <w:lvl w:ilvl="3" w:tplc="6BF29CEC" w:tentative="1">
      <w:start w:val="1"/>
      <w:numFmt w:val="decimal"/>
      <w:lvlText w:val="%4."/>
      <w:lvlJc w:val="left"/>
      <w:pPr>
        <w:ind w:left="3240" w:hanging="360"/>
      </w:pPr>
    </w:lvl>
    <w:lvl w:ilvl="4" w:tplc="B372AB90" w:tentative="1">
      <w:start w:val="1"/>
      <w:numFmt w:val="lowerLetter"/>
      <w:lvlText w:val="%5."/>
      <w:lvlJc w:val="left"/>
      <w:pPr>
        <w:ind w:left="3960" w:hanging="360"/>
      </w:pPr>
    </w:lvl>
    <w:lvl w:ilvl="5" w:tplc="591CE038" w:tentative="1">
      <w:start w:val="1"/>
      <w:numFmt w:val="lowerRoman"/>
      <w:lvlText w:val="%6."/>
      <w:lvlJc w:val="right"/>
      <w:pPr>
        <w:ind w:left="4680" w:hanging="180"/>
      </w:pPr>
    </w:lvl>
    <w:lvl w:ilvl="6" w:tplc="5268F650" w:tentative="1">
      <w:start w:val="1"/>
      <w:numFmt w:val="decimal"/>
      <w:lvlText w:val="%7."/>
      <w:lvlJc w:val="left"/>
      <w:pPr>
        <w:ind w:left="5400" w:hanging="360"/>
      </w:pPr>
    </w:lvl>
    <w:lvl w:ilvl="7" w:tplc="E49E1956" w:tentative="1">
      <w:start w:val="1"/>
      <w:numFmt w:val="lowerLetter"/>
      <w:lvlText w:val="%8."/>
      <w:lvlJc w:val="left"/>
      <w:pPr>
        <w:ind w:left="6120" w:hanging="360"/>
      </w:pPr>
    </w:lvl>
    <w:lvl w:ilvl="8" w:tplc="514A15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7410E"/>
    <w:multiLevelType w:val="hybridMultilevel"/>
    <w:tmpl w:val="F872D5F2"/>
    <w:lvl w:ilvl="0" w:tplc="2DDA5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AE886BE" w:tentative="1">
      <w:start w:val="1"/>
      <w:numFmt w:val="lowerLetter"/>
      <w:lvlText w:val="%2."/>
      <w:lvlJc w:val="left"/>
      <w:pPr>
        <w:ind w:left="1800" w:hanging="360"/>
      </w:pPr>
    </w:lvl>
    <w:lvl w:ilvl="2" w:tplc="A9E2F0F0" w:tentative="1">
      <w:start w:val="1"/>
      <w:numFmt w:val="lowerRoman"/>
      <w:lvlText w:val="%3."/>
      <w:lvlJc w:val="right"/>
      <w:pPr>
        <w:ind w:left="2520" w:hanging="180"/>
      </w:pPr>
    </w:lvl>
    <w:lvl w:ilvl="3" w:tplc="D188F902" w:tentative="1">
      <w:start w:val="1"/>
      <w:numFmt w:val="decimal"/>
      <w:lvlText w:val="%4."/>
      <w:lvlJc w:val="left"/>
      <w:pPr>
        <w:ind w:left="3240" w:hanging="360"/>
      </w:pPr>
    </w:lvl>
    <w:lvl w:ilvl="4" w:tplc="50AC254C" w:tentative="1">
      <w:start w:val="1"/>
      <w:numFmt w:val="lowerLetter"/>
      <w:lvlText w:val="%5."/>
      <w:lvlJc w:val="left"/>
      <w:pPr>
        <w:ind w:left="3960" w:hanging="360"/>
      </w:pPr>
    </w:lvl>
    <w:lvl w:ilvl="5" w:tplc="2A68607A" w:tentative="1">
      <w:start w:val="1"/>
      <w:numFmt w:val="lowerRoman"/>
      <w:lvlText w:val="%6."/>
      <w:lvlJc w:val="right"/>
      <w:pPr>
        <w:ind w:left="4680" w:hanging="180"/>
      </w:pPr>
    </w:lvl>
    <w:lvl w:ilvl="6" w:tplc="8612D00C" w:tentative="1">
      <w:start w:val="1"/>
      <w:numFmt w:val="decimal"/>
      <w:lvlText w:val="%7."/>
      <w:lvlJc w:val="left"/>
      <w:pPr>
        <w:ind w:left="5400" w:hanging="360"/>
      </w:pPr>
    </w:lvl>
    <w:lvl w:ilvl="7" w:tplc="1A42D486" w:tentative="1">
      <w:start w:val="1"/>
      <w:numFmt w:val="lowerLetter"/>
      <w:lvlText w:val="%8."/>
      <w:lvlJc w:val="left"/>
      <w:pPr>
        <w:ind w:left="6120" w:hanging="360"/>
      </w:pPr>
    </w:lvl>
    <w:lvl w:ilvl="8" w:tplc="B6ECF4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A44DBE"/>
    <w:multiLevelType w:val="hybridMultilevel"/>
    <w:tmpl w:val="22104B94"/>
    <w:lvl w:ilvl="0" w:tplc="FDDC8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E64EE" w:tentative="1">
      <w:start w:val="1"/>
      <w:numFmt w:val="lowerLetter"/>
      <w:lvlText w:val="%2."/>
      <w:lvlJc w:val="left"/>
      <w:pPr>
        <w:ind w:left="1440" w:hanging="360"/>
      </w:pPr>
    </w:lvl>
    <w:lvl w:ilvl="2" w:tplc="6A56D132" w:tentative="1">
      <w:start w:val="1"/>
      <w:numFmt w:val="lowerRoman"/>
      <w:lvlText w:val="%3."/>
      <w:lvlJc w:val="right"/>
      <w:pPr>
        <w:ind w:left="2160" w:hanging="180"/>
      </w:pPr>
    </w:lvl>
    <w:lvl w:ilvl="3" w:tplc="0ACC9690" w:tentative="1">
      <w:start w:val="1"/>
      <w:numFmt w:val="decimal"/>
      <w:lvlText w:val="%4."/>
      <w:lvlJc w:val="left"/>
      <w:pPr>
        <w:ind w:left="2880" w:hanging="360"/>
      </w:pPr>
    </w:lvl>
    <w:lvl w:ilvl="4" w:tplc="78003CB8" w:tentative="1">
      <w:start w:val="1"/>
      <w:numFmt w:val="lowerLetter"/>
      <w:lvlText w:val="%5."/>
      <w:lvlJc w:val="left"/>
      <w:pPr>
        <w:ind w:left="3600" w:hanging="360"/>
      </w:pPr>
    </w:lvl>
    <w:lvl w:ilvl="5" w:tplc="C1F8E550" w:tentative="1">
      <w:start w:val="1"/>
      <w:numFmt w:val="lowerRoman"/>
      <w:lvlText w:val="%6."/>
      <w:lvlJc w:val="right"/>
      <w:pPr>
        <w:ind w:left="4320" w:hanging="180"/>
      </w:pPr>
    </w:lvl>
    <w:lvl w:ilvl="6" w:tplc="DFA435D2" w:tentative="1">
      <w:start w:val="1"/>
      <w:numFmt w:val="decimal"/>
      <w:lvlText w:val="%7."/>
      <w:lvlJc w:val="left"/>
      <w:pPr>
        <w:ind w:left="5040" w:hanging="360"/>
      </w:pPr>
    </w:lvl>
    <w:lvl w:ilvl="7" w:tplc="33D03F46" w:tentative="1">
      <w:start w:val="1"/>
      <w:numFmt w:val="lowerLetter"/>
      <w:lvlText w:val="%8."/>
      <w:lvlJc w:val="left"/>
      <w:pPr>
        <w:ind w:left="5760" w:hanging="360"/>
      </w:pPr>
    </w:lvl>
    <w:lvl w:ilvl="8" w:tplc="B5063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7358"/>
    <w:multiLevelType w:val="hybridMultilevel"/>
    <w:tmpl w:val="2F6A3A76"/>
    <w:lvl w:ilvl="0" w:tplc="A850A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18C5F04" w:tentative="1">
      <w:start w:val="1"/>
      <w:numFmt w:val="lowerLetter"/>
      <w:lvlText w:val="%2."/>
      <w:lvlJc w:val="left"/>
      <w:pPr>
        <w:ind w:left="1800" w:hanging="360"/>
      </w:pPr>
    </w:lvl>
    <w:lvl w:ilvl="2" w:tplc="8B1C1580" w:tentative="1">
      <w:start w:val="1"/>
      <w:numFmt w:val="lowerRoman"/>
      <w:lvlText w:val="%3."/>
      <w:lvlJc w:val="right"/>
      <w:pPr>
        <w:ind w:left="2520" w:hanging="180"/>
      </w:pPr>
    </w:lvl>
    <w:lvl w:ilvl="3" w:tplc="4642C6E8" w:tentative="1">
      <w:start w:val="1"/>
      <w:numFmt w:val="decimal"/>
      <w:lvlText w:val="%4."/>
      <w:lvlJc w:val="left"/>
      <w:pPr>
        <w:ind w:left="3240" w:hanging="360"/>
      </w:pPr>
    </w:lvl>
    <w:lvl w:ilvl="4" w:tplc="50E26BC0" w:tentative="1">
      <w:start w:val="1"/>
      <w:numFmt w:val="lowerLetter"/>
      <w:lvlText w:val="%5."/>
      <w:lvlJc w:val="left"/>
      <w:pPr>
        <w:ind w:left="3960" w:hanging="360"/>
      </w:pPr>
    </w:lvl>
    <w:lvl w:ilvl="5" w:tplc="41A6DA8C" w:tentative="1">
      <w:start w:val="1"/>
      <w:numFmt w:val="lowerRoman"/>
      <w:lvlText w:val="%6."/>
      <w:lvlJc w:val="right"/>
      <w:pPr>
        <w:ind w:left="4680" w:hanging="180"/>
      </w:pPr>
    </w:lvl>
    <w:lvl w:ilvl="6" w:tplc="B644DB48" w:tentative="1">
      <w:start w:val="1"/>
      <w:numFmt w:val="decimal"/>
      <w:lvlText w:val="%7."/>
      <w:lvlJc w:val="left"/>
      <w:pPr>
        <w:ind w:left="5400" w:hanging="360"/>
      </w:pPr>
    </w:lvl>
    <w:lvl w:ilvl="7" w:tplc="E5EA07AA" w:tentative="1">
      <w:start w:val="1"/>
      <w:numFmt w:val="lowerLetter"/>
      <w:lvlText w:val="%8."/>
      <w:lvlJc w:val="left"/>
      <w:pPr>
        <w:ind w:left="6120" w:hanging="360"/>
      </w:pPr>
    </w:lvl>
    <w:lvl w:ilvl="8" w:tplc="62A2417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96"/>
    <w:rsid w:val="00C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289B1-94B3-436F-A40C-18D8173F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0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40517"/>
    <w:rPr>
      <w:i/>
      <w:iCs/>
    </w:rPr>
  </w:style>
  <w:style w:type="paragraph" w:styleId="Akapitzlist">
    <w:name w:val="List Paragraph"/>
    <w:basedOn w:val="Normalny"/>
    <w:uiPriority w:val="34"/>
    <w:qFormat/>
    <w:rsid w:val="00777A4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534B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F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F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6159-9229-4348-BA71-D93145FE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2329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Suchecka</dc:creator>
  <cp:lastModifiedBy>Beata Darnowska</cp:lastModifiedBy>
  <cp:revision>2</cp:revision>
  <dcterms:created xsi:type="dcterms:W3CDTF">2021-01-26T12:07:00Z</dcterms:created>
  <dcterms:modified xsi:type="dcterms:W3CDTF">2021-01-26T12:07:00Z</dcterms:modified>
</cp:coreProperties>
</file>