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00276" w14:textId="77777777" w:rsidR="00A6070B" w:rsidRPr="00285486" w:rsidRDefault="00A6070B" w:rsidP="00BC4744">
      <w:pPr>
        <w:autoSpaceDE w:val="0"/>
        <w:autoSpaceDN w:val="0"/>
        <w:adjustRightInd w:val="0"/>
        <w:spacing w:after="0" w:line="240" w:lineRule="auto"/>
        <w:jc w:val="center"/>
        <w:rPr>
          <w:rStyle w:val="ClinCaseTitle"/>
        </w:rPr>
      </w:pPr>
      <w:bookmarkStart w:id="0" w:name="_Toc415257909"/>
    </w:p>
    <w:p w14:paraId="7F8B70C9" w14:textId="77777777" w:rsidR="00A6070B" w:rsidRPr="00BD537A" w:rsidRDefault="00A6070B" w:rsidP="00BC4744">
      <w:pPr>
        <w:autoSpaceDE w:val="0"/>
        <w:autoSpaceDN w:val="0"/>
        <w:adjustRightInd w:val="0"/>
        <w:spacing w:after="0" w:line="240" w:lineRule="auto"/>
        <w:jc w:val="center"/>
        <w:rPr>
          <w:rFonts w:cs="Verdana"/>
          <w:b/>
          <w:bCs/>
          <w:sz w:val="24"/>
          <w:szCs w:val="24"/>
          <w:lang w:val="pl-PL"/>
        </w:rPr>
      </w:pPr>
    </w:p>
    <w:p w14:paraId="2372BC0B" w14:textId="77777777" w:rsidR="00A6070B" w:rsidRPr="00BD537A" w:rsidRDefault="00A6070B" w:rsidP="00BC4744">
      <w:pPr>
        <w:autoSpaceDE w:val="0"/>
        <w:autoSpaceDN w:val="0"/>
        <w:adjustRightInd w:val="0"/>
        <w:spacing w:after="0" w:line="240" w:lineRule="auto"/>
        <w:jc w:val="center"/>
        <w:rPr>
          <w:rFonts w:cs="Verdana"/>
          <w:b/>
          <w:bCs/>
          <w:sz w:val="24"/>
          <w:szCs w:val="24"/>
          <w:lang w:val="pl-PL"/>
        </w:rPr>
      </w:pPr>
    </w:p>
    <w:p w14:paraId="03A4B091" w14:textId="77777777" w:rsidR="00A6070B" w:rsidRPr="00BD537A" w:rsidRDefault="00A6070B" w:rsidP="00BC4744">
      <w:pPr>
        <w:autoSpaceDE w:val="0"/>
        <w:autoSpaceDN w:val="0"/>
        <w:adjustRightInd w:val="0"/>
        <w:spacing w:after="0" w:line="240" w:lineRule="auto"/>
        <w:jc w:val="center"/>
        <w:rPr>
          <w:rFonts w:cs="Verdana"/>
          <w:b/>
          <w:bCs/>
          <w:sz w:val="24"/>
          <w:szCs w:val="24"/>
          <w:lang w:val="pl-PL"/>
        </w:rPr>
      </w:pPr>
    </w:p>
    <w:p w14:paraId="6016517D" w14:textId="77777777" w:rsidR="00A6070B" w:rsidRPr="00BD537A" w:rsidRDefault="00A6070B" w:rsidP="00BC4744">
      <w:pPr>
        <w:autoSpaceDE w:val="0"/>
        <w:autoSpaceDN w:val="0"/>
        <w:adjustRightInd w:val="0"/>
        <w:spacing w:after="0" w:line="240" w:lineRule="auto"/>
        <w:jc w:val="center"/>
        <w:rPr>
          <w:rFonts w:cs="Verdana"/>
          <w:b/>
          <w:bCs/>
          <w:sz w:val="24"/>
          <w:szCs w:val="24"/>
          <w:lang w:val="pl-PL"/>
        </w:rPr>
      </w:pPr>
    </w:p>
    <w:p w14:paraId="534105B2" w14:textId="77777777" w:rsidR="00A6070B" w:rsidRPr="00BD537A" w:rsidRDefault="00A6070B" w:rsidP="00BC4744">
      <w:pPr>
        <w:autoSpaceDE w:val="0"/>
        <w:autoSpaceDN w:val="0"/>
        <w:adjustRightInd w:val="0"/>
        <w:spacing w:after="0" w:line="240" w:lineRule="auto"/>
        <w:jc w:val="center"/>
        <w:rPr>
          <w:rFonts w:cs="Verdana"/>
          <w:b/>
          <w:bCs/>
          <w:sz w:val="24"/>
          <w:szCs w:val="24"/>
          <w:lang w:val="pl-PL"/>
        </w:rPr>
      </w:pPr>
    </w:p>
    <w:p w14:paraId="02D40EBE" w14:textId="77777777" w:rsidR="00E31BB0" w:rsidRDefault="00E31BB0" w:rsidP="00E31BB0">
      <w:pPr>
        <w:autoSpaceDE w:val="0"/>
        <w:autoSpaceDN w:val="0"/>
        <w:adjustRightInd w:val="0"/>
        <w:spacing w:after="0" w:line="240" w:lineRule="auto"/>
        <w:jc w:val="center"/>
        <w:rPr>
          <w:rFonts w:cs="Verdana"/>
          <w:b/>
          <w:bCs/>
          <w:sz w:val="24"/>
          <w:szCs w:val="24"/>
          <w:lang w:val="pl-PL"/>
        </w:rPr>
      </w:pPr>
    </w:p>
    <w:p w14:paraId="401C4C65" w14:textId="77777777" w:rsidR="00E31BB0" w:rsidRDefault="00E31BB0" w:rsidP="00E31BB0">
      <w:pPr>
        <w:pStyle w:val="Tytu"/>
        <w:spacing w:after="480"/>
        <w:ind w:right="-426"/>
        <w:rPr>
          <w:lang w:val="pl-PL"/>
        </w:rPr>
      </w:pPr>
    </w:p>
    <w:p w14:paraId="1C4647D2" w14:textId="387DD3C7" w:rsidR="00E31BB0" w:rsidRDefault="00E31BB0" w:rsidP="00E31BB0">
      <w:pPr>
        <w:pStyle w:val="Tytu"/>
        <w:spacing w:after="480"/>
        <w:ind w:right="-426"/>
        <w:rPr>
          <w:lang w:val="pl-PL"/>
        </w:rPr>
      </w:pPr>
      <w:r>
        <w:rPr>
          <w:lang w:val="pl-PL"/>
        </w:rPr>
        <w:t>Przegląd orzeczeń</w:t>
      </w:r>
      <w:r>
        <w:rPr>
          <w:lang w:val="pl-PL"/>
        </w:rPr>
        <w:br/>
        <w:t>Europejskiego Trybunał</w:t>
      </w:r>
      <w:r w:rsidR="00FD6312">
        <w:rPr>
          <w:lang w:val="pl-PL"/>
        </w:rPr>
        <w:t>u Praw Człowieka</w:t>
      </w:r>
      <w:r w:rsidR="00FD6312">
        <w:rPr>
          <w:lang w:val="pl-PL"/>
        </w:rPr>
        <w:br/>
        <w:t>wydanych w 2019</w:t>
      </w:r>
      <w:r>
        <w:rPr>
          <w:lang w:val="pl-PL"/>
        </w:rPr>
        <w:t xml:space="preserve"> r.   </w:t>
      </w:r>
    </w:p>
    <w:p w14:paraId="4F3E10FE" w14:textId="787CC1FC" w:rsidR="00E31BB0" w:rsidRDefault="00E31BB0" w:rsidP="00E31BB0">
      <w:pPr>
        <w:rPr>
          <w:lang w:val="pl-PL"/>
        </w:rPr>
      </w:pPr>
      <w:r>
        <w:rPr>
          <w:lang w:val="pl-PL"/>
        </w:rPr>
        <w:t xml:space="preserve"> </w:t>
      </w:r>
      <w:r>
        <w:rPr>
          <w:noProof/>
          <w:lang w:val="pl-PL" w:eastAsia="pl-PL"/>
        </w:rPr>
        <w:drawing>
          <wp:inline distT="0" distB="0" distL="0" distR="0" wp14:anchorId="13F39627" wp14:editId="3E3453B9">
            <wp:extent cx="5760720" cy="384048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B1EB89E" w14:textId="77777777" w:rsidR="00E31BB0" w:rsidRDefault="00E31BB0" w:rsidP="00E31BB0">
      <w:pPr>
        <w:pStyle w:val="Tytu"/>
        <w:spacing w:after="480"/>
        <w:ind w:right="-426"/>
        <w:rPr>
          <w:sz w:val="46"/>
          <w:lang w:val="pl-PL"/>
        </w:rPr>
      </w:pPr>
      <w:r>
        <w:rPr>
          <w:sz w:val="46"/>
          <w:lang w:val="pl-PL"/>
        </w:rPr>
        <w:t>- wybrane sprawy z listy wiodących orzeczeń wskazanych przez Trybunał</w:t>
      </w:r>
    </w:p>
    <w:p w14:paraId="049D3ECC" w14:textId="7AC05BA0" w:rsidR="00E31BB0" w:rsidRDefault="00E31BB0" w:rsidP="00E31BB0">
      <w:pPr>
        <w:jc w:val="center"/>
        <w:rPr>
          <w:lang w:val="pl-PL"/>
        </w:rPr>
      </w:pPr>
      <w:r>
        <w:rPr>
          <w:lang w:val="pl-PL"/>
        </w:rPr>
        <w:t>Warszawa, sierpień 20</w:t>
      </w:r>
      <w:r w:rsidR="00FD6312">
        <w:rPr>
          <w:lang w:val="pl-PL"/>
        </w:rPr>
        <w:t>20</w:t>
      </w:r>
      <w:r>
        <w:rPr>
          <w:lang w:val="pl-PL"/>
        </w:rPr>
        <w:t xml:space="preserve"> r.</w:t>
      </w:r>
    </w:p>
    <w:p w14:paraId="7BF4B632" w14:textId="77777777" w:rsidR="00E31BB0" w:rsidRDefault="00E31BB0" w:rsidP="00E31BB0">
      <w:pPr>
        <w:jc w:val="center"/>
        <w:rPr>
          <w:rFonts w:cs="Verdana"/>
          <w:b/>
          <w:bCs/>
          <w:sz w:val="24"/>
          <w:szCs w:val="24"/>
          <w:lang w:val="pl-PL"/>
        </w:rPr>
      </w:pPr>
    </w:p>
    <w:p w14:paraId="003FBA86" w14:textId="77777777" w:rsidR="00950534" w:rsidRPr="00BD537A" w:rsidRDefault="00950534" w:rsidP="00950534">
      <w:pPr>
        <w:widowControl w:val="0"/>
        <w:autoSpaceDE w:val="0"/>
        <w:autoSpaceDN w:val="0"/>
        <w:adjustRightInd w:val="0"/>
        <w:spacing w:after="60" w:line="240" w:lineRule="auto"/>
        <w:jc w:val="center"/>
        <w:rPr>
          <w:rFonts w:cs="Verdana"/>
          <w:b/>
          <w:bCs/>
          <w:sz w:val="24"/>
          <w:szCs w:val="24"/>
          <w:lang w:val="pl-PL"/>
        </w:rPr>
      </w:pPr>
      <w:r w:rsidRPr="00BD537A">
        <w:rPr>
          <w:rFonts w:cs="Verdana"/>
          <w:b/>
          <w:bCs/>
          <w:sz w:val="24"/>
          <w:szCs w:val="24"/>
          <w:lang w:val="pl-PL"/>
        </w:rPr>
        <w:lastRenderedPageBreak/>
        <w:t>SPIS TREŚCI</w:t>
      </w:r>
    </w:p>
    <w:p w14:paraId="27E35536" w14:textId="77777777" w:rsidR="00950534" w:rsidRDefault="00950534" w:rsidP="00950534">
      <w:pPr>
        <w:pStyle w:val="Spistreci2"/>
        <w:tabs>
          <w:tab w:val="left" w:pos="660"/>
          <w:tab w:val="right" w:leader="dot" w:pos="9062"/>
        </w:tabs>
        <w:rPr>
          <w:rFonts w:eastAsiaTheme="minorEastAsia"/>
          <w:noProof/>
          <w:lang w:val="pl-PL" w:eastAsia="pl-PL"/>
        </w:rPr>
      </w:pPr>
      <w:r w:rsidRPr="002E4059">
        <w:rPr>
          <w:rFonts w:cs="Verdana"/>
          <w:b/>
          <w:bCs/>
          <w:sz w:val="20"/>
          <w:szCs w:val="20"/>
          <w:lang w:val="pl-PL"/>
        </w:rPr>
        <w:fldChar w:fldCharType="begin"/>
      </w:r>
      <w:r w:rsidRPr="002E4059">
        <w:rPr>
          <w:rFonts w:cs="Verdana"/>
          <w:b/>
          <w:bCs/>
          <w:sz w:val="20"/>
          <w:szCs w:val="20"/>
          <w:lang w:val="pl-PL"/>
        </w:rPr>
        <w:instrText xml:space="preserve"> TOC \o "1-2" \h \z \u </w:instrText>
      </w:r>
      <w:r w:rsidRPr="002E4059">
        <w:rPr>
          <w:rFonts w:cs="Verdana"/>
          <w:b/>
          <w:bCs/>
          <w:sz w:val="20"/>
          <w:szCs w:val="20"/>
          <w:lang w:val="pl-PL"/>
        </w:rPr>
        <w:fldChar w:fldCharType="separate"/>
      </w:r>
      <w:hyperlink w:anchor="_Toc35632465" w:history="1">
        <w:r w:rsidRPr="003D1F4C">
          <w:rPr>
            <w:rStyle w:val="Hipercze"/>
            <w:noProof/>
          </w:rPr>
          <w:t>1.</w:t>
        </w:r>
        <w:r>
          <w:rPr>
            <w:rFonts w:eastAsiaTheme="minorEastAsia"/>
            <w:noProof/>
            <w:lang w:val="pl-PL" w:eastAsia="pl-PL"/>
          </w:rPr>
          <w:tab/>
        </w:r>
        <w:r w:rsidRPr="003D1F4C">
          <w:rPr>
            <w:rStyle w:val="Hipercze"/>
            <w:i/>
            <w:noProof/>
          </w:rPr>
          <w:t>Altay p. Turcji (nr 2)</w:t>
        </w:r>
        <w:r w:rsidRPr="003D1F4C">
          <w:rPr>
            <w:rStyle w:val="Hipercze"/>
            <w:noProof/>
          </w:rPr>
          <w:t>, skarga nr 11236/09, wyrok Izby z dnia 9 kwietnia 2019 r.</w:t>
        </w:r>
        <w:r>
          <w:rPr>
            <w:noProof/>
            <w:webHidden/>
          </w:rPr>
          <w:tab/>
        </w:r>
        <w:r>
          <w:rPr>
            <w:noProof/>
            <w:webHidden/>
          </w:rPr>
          <w:fldChar w:fldCharType="begin"/>
        </w:r>
        <w:r>
          <w:rPr>
            <w:noProof/>
            <w:webHidden/>
          </w:rPr>
          <w:instrText xml:space="preserve"> PAGEREF _Toc35632465 \h </w:instrText>
        </w:r>
        <w:r>
          <w:rPr>
            <w:noProof/>
            <w:webHidden/>
          </w:rPr>
        </w:r>
        <w:r>
          <w:rPr>
            <w:noProof/>
            <w:webHidden/>
          </w:rPr>
          <w:fldChar w:fldCharType="separate"/>
        </w:r>
        <w:r w:rsidR="0057254E">
          <w:rPr>
            <w:noProof/>
            <w:webHidden/>
          </w:rPr>
          <w:t>3</w:t>
        </w:r>
        <w:r>
          <w:rPr>
            <w:noProof/>
            <w:webHidden/>
          </w:rPr>
          <w:fldChar w:fldCharType="end"/>
        </w:r>
      </w:hyperlink>
    </w:p>
    <w:p w14:paraId="5748CABD" w14:textId="77777777" w:rsidR="00950534" w:rsidRDefault="003D0D69" w:rsidP="00950534">
      <w:pPr>
        <w:pStyle w:val="Spistreci2"/>
        <w:tabs>
          <w:tab w:val="left" w:pos="660"/>
          <w:tab w:val="right" w:leader="dot" w:pos="9062"/>
        </w:tabs>
        <w:rPr>
          <w:rFonts w:eastAsiaTheme="minorEastAsia"/>
          <w:noProof/>
          <w:lang w:val="pl-PL" w:eastAsia="pl-PL"/>
        </w:rPr>
      </w:pPr>
      <w:hyperlink w:anchor="_Toc35632466" w:history="1">
        <w:r w:rsidR="00950534" w:rsidRPr="003D1F4C">
          <w:rPr>
            <w:rStyle w:val="Hipercze"/>
            <w:noProof/>
          </w:rPr>
          <w:t>2.</w:t>
        </w:r>
        <w:r w:rsidR="00950534">
          <w:rPr>
            <w:rFonts w:eastAsiaTheme="minorEastAsia"/>
            <w:noProof/>
            <w:lang w:val="pl-PL" w:eastAsia="pl-PL"/>
          </w:rPr>
          <w:tab/>
        </w:r>
        <w:r w:rsidR="00950534" w:rsidRPr="003D1F4C">
          <w:rPr>
            <w:rStyle w:val="Hipercze"/>
            <w:i/>
            <w:noProof/>
          </w:rPr>
          <w:t>Beghal p. Zjednoczonemu Królestwu</w:t>
        </w:r>
        <w:r w:rsidR="00950534" w:rsidRPr="003D1F4C">
          <w:rPr>
            <w:rStyle w:val="Hipercze"/>
            <w:noProof/>
          </w:rPr>
          <w:t>, skarga nr 4755/16, wyrok Izby z dnia 28 lutego 2019 r.</w:t>
        </w:r>
        <w:r w:rsidR="00950534">
          <w:rPr>
            <w:noProof/>
            <w:webHidden/>
          </w:rPr>
          <w:tab/>
        </w:r>
        <w:r w:rsidR="00950534">
          <w:rPr>
            <w:noProof/>
            <w:webHidden/>
          </w:rPr>
          <w:fldChar w:fldCharType="begin"/>
        </w:r>
        <w:r w:rsidR="00950534">
          <w:rPr>
            <w:noProof/>
            <w:webHidden/>
          </w:rPr>
          <w:instrText xml:space="preserve"> PAGEREF _Toc35632466 \h </w:instrText>
        </w:r>
        <w:r w:rsidR="00950534">
          <w:rPr>
            <w:noProof/>
            <w:webHidden/>
          </w:rPr>
        </w:r>
        <w:r w:rsidR="00950534">
          <w:rPr>
            <w:noProof/>
            <w:webHidden/>
          </w:rPr>
          <w:fldChar w:fldCharType="separate"/>
        </w:r>
        <w:r w:rsidR="0057254E">
          <w:rPr>
            <w:noProof/>
            <w:webHidden/>
          </w:rPr>
          <w:t>7</w:t>
        </w:r>
        <w:r w:rsidR="00950534">
          <w:rPr>
            <w:noProof/>
            <w:webHidden/>
          </w:rPr>
          <w:fldChar w:fldCharType="end"/>
        </w:r>
      </w:hyperlink>
    </w:p>
    <w:p w14:paraId="1E969FE3" w14:textId="77777777" w:rsidR="00950534" w:rsidRDefault="003D0D69" w:rsidP="00950534">
      <w:pPr>
        <w:pStyle w:val="Spistreci2"/>
        <w:tabs>
          <w:tab w:val="left" w:pos="660"/>
          <w:tab w:val="right" w:leader="dot" w:pos="9062"/>
        </w:tabs>
        <w:rPr>
          <w:rFonts w:eastAsiaTheme="minorEastAsia"/>
          <w:noProof/>
          <w:lang w:val="pl-PL" w:eastAsia="pl-PL"/>
        </w:rPr>
      </w:pPr>
      <w:hyperlink w:anchor="_Toc35632467" w:history="1">
        <w:r w:rsidR="00950534" w:rsidRPr="003D1F4C">
          <w:rPr>
            <w:rStyle w:val="Hipercze"/>
            <w:noProof/>
          </w:rPr>
          <w:t>3.</w:t>
        </w:r>
        <w:r w:rsidR="00950534">
          <w:rPr>
            <w:rFonts w:eastAsiaTheme="minorEastAsia"/>
            <w:noProof/>
            <w:lang w:val="pl-PL" w:eastAsia="pl-PL"/>
          </w:rPr>
          <w:tab/>
        </w:r>
        <w:r w:rsidR="00950534" w:rsidRPr="003D1F4C">
          <w:rPr>
            <w:rStyle w:val="Hipercze"/>
            <w:i/>
            <w:noProof/>
          </w:rPr>
          <w:t>Fernandes de Oliveira p. Portugalii</w:t>
        </w:r>
        <w:r w:rsidR="00950534" w:rsidRPr="003D1F4C">
          <w:rPr>
            <w:rStyle w:val="Hipercze"/>
            <w:noProof/>
          </w:rPr>
          <w:t>, skarga nr 78103/14, wyrok Wielkiej Izby z dnia 31 stycznia 2019 r.</w:t>
        </w:r>
        <w:r w:rsidR="00950534">
          <w:rPr>
            <w:noProof/>
            <w:webHidden/>
          </w:rPr>
          <w:tab/>
        </w:r>
        <w:r w:rsidR="00950534">
          <w:rPr>
            <w:noProof/>
            <w:webHidden/>
          </w:rPr>
          <w:fldChar w:fldCharType="begin"/>
        </w:r>
        <w:r w:rsidR="00950534">
          <w:rPr>
            <w:noProof/>
            <w:webHidden/>
          </w:rPr>
          <w:instrText xml:space="preserve"> PAGEREF _Toc35632467 \h </w:instrText>
        </w:r>
        <w:r w:rsidR="00950534">
          <w:rPr>
            <w:noProof/>
            <w:webHidden/>
          </w:rPr>
        </w:r>
        <w:r w:rsidR="00950534">
          <w:rPr>
            <w:noProof/>
            <w:webHidden/>
          </w:rPr>
          <w:fldChar w:fldCharType="separate"/>
        </w:r>
        <w:r w:rsidR="0057254E">
          <w:rPr>
            <w:noProof/>
            <w:webHidden/>
          </w:rPr>
          <w:t>11</w:t>
        </w:r>
        <w:r w:rsidR="00950534">
          <w:rPr>
            <w:noProof/>
            <w:webHidden/>
          </w:rPr>
          <w:fldChar w:fldCharType="end"/>
        </w:r>
      </w:hyperlink>
    </w:p>
    <w:p w14:paraId="1380782C" w14:textId="77777777" w:rsidR="00950534" w:rsidRDefault="003D0D69" w:rsidP="00950534">
      <w:pPr>
        <w:pStyle w:val="Spistreci2"/>
        <w:tabs>
          <w:tab w:val="left" w:pos="660"/>
          <w:tab w:val="right" w:leader="dot" w:pos="9062"/>
        </w:tabs>
        <w:rPr>
          <w:rFonts w:eastAsiaTheme="minorEastAsia"/>
          <w:noProof/>
          <w:lang w:val="pl-PL" w:eastAsia="pl-PL"/>
        </w:rPr>
      </w:pPr>
      <w:hyperlink w:anchor="_Toc35632468" w:history="1">
        <w:r w:rsidR="00950534" w:rsidRPr="003D1F4C">
          <w:rPr>
            <w:rStyle w:val="Hipercze"/>
            <w:noProof/>
          </w:rPr>
          <w:t>4.</w:t>
        </w:r>
        <w:r w:rsidR="00950534">
          <w:rPr>
            <w:rFonts w:eastAsiaTheme="minorEastAsia"/>
            <w:noProof/>
            <w:lang w:val="pl-PL" w:eastAsia="pl-PL"/>
          </w:rPr>
          <w:tab/>
        </w:r>
        <w:r w:rsidR="00950534" w:rsidRPr="003D1F4C">
          <w:rPr>
            <w:rStyle w:val="Hipercze"/>
            <w:i/>
            <w:noProof/>
          </w:rPr>
          <w:t>Gruzja p. Rosji (I) (słuszne zadośćuczynienie</w:t>
        </w:r>
        <w:r w:rsidR="00950534" w:rsidRPr="003D1F4C">
          <w:rPr>
            <w:rStyle w:val="Hipercze"/>
            <w:noProof/>
          </w:rPr>
          <w:t>), skarga nr 13255/07, wyrok Wielkiej Izby z dnia 31 stycznia 2019 r.</w:t>
        </w:r>
        <w:r w:rsidR="00950534">
          <w:rPr>
            <w:noProof/>
            <w:webHidden/>
          </w:rPr>
          <w:tab/>
        </w:r>
        <w:bookmarkStart w:id="1" w:name="_GoBack"/>
        <w:bookmarkEnd w:id="1"/>
        <w:r w:rsidR="00950534">
          <w:rPr>
            <w:noProof/>
            <w:webHidden/>
          </w:rPr>
          <w:fldChar w:fldCharType="begin"/>
        </w:r>
        <w:r w:rsidR="00950534">
          <w:rPr>
            <w:noProof/>
            <w:webHidden/>
          </w:rPr>
          <w:instrText xml:space="preserve"> PAGEREF _Toc35632468 \h </w:instrText>
        </w:r>
        <w:r w:rsidR="00950534">
          <w:rPr>
            <w:noProof/>
            <w:webHidden/>
          </w:rPr>
        </w:r>
        <w:r w:rsidR="00950534">
          <w:rPr>
            <w:noProof/>
            <w:webHidden/>
          </w:rPr>
          <w:fldChar w:fldCharType="separate"/>
        </w:r>
        <w:r w:rsidR="0057254E">
          <w:rPr>
            <w:noProof/>
            <w:webHidden/>
          </w:rPr>
          <w:t>15</w:t>
        </w:r>
        <w:r w:rsidR="00950534">
          <w:rPr>
            <w:noProof/>
            <w:webHidden/>
          </w:rPr>
          <w:fldChar w:fldCharType="end"/>
        </w:r>
      </w:hyperlink>
    </w:p>
    <w:p w14:paraId="428EE602" w14:textId="77777777" w:rsidR="00950534" w:rsidRDefault="003D0D69" w:rsidP="00950534">
      <w:pPr>
        <w:pStyle w:val="Spistreci2"/>
        <w:tabs>
          <w:tab w:val="left" w:pos="660"/>
          <w:tab w:val="right" w:leader="dot" w:pos="9062"/>
        </w:tabs>
        <w:rPr>
          <w:rFonts w:eastAsiaTheme="minorEastAsia"/>
          <w:noProof/>
          <w:lang w:val="pl-PL" w:eastAsia="pl-PL"/>
        </w:rPr>
      </w:pPr>
      <w:hyperlink w:anchor="_Toc35632469" w:history="1">
        <w:r w:rsidR="00950534" w:rsidRPr="003D1F4C">
          <w:rPr>
            <w:rStyle w:val="Hipercze"/>
            <w:noProof/>
          </w:rPr>
          <w:t>5.</w:t>
        </w:r>
        <w:r w:rsidR="00950534">
          <w:rPr>
            <w:rFonts w:eastAsiaTheme="minorEastAsia"/>
            <w:noProof/>
            <w:lang w:val="pl-PL" w:eastAsia="pl-PL"/>
          </w:rPr>
          <w:tab/>
        </w:r>
        <w:r w:rsidR="00950534" w:rsidRPr="003D1F4C">
          <w:rPr>
            <w:rStyle w:val="Hipercze"/>
            <w:i/>
            <w:noProof/>
          </w:rPr>
          <w:t>Guimon p. Francji</w:t>
        </w:r>
        <w:r w:rsidR="00950534" w:rsidRPr="003D1F4C">
          <w:rPr>
            <w:rStyle w:val="Hipercze"/>
            <w:noProof/>
          </w:rPr>
          <w:t>, skarga nr 48798/14, wyrok Izby z dnia 11 kwietnia 2019 r.</w:t>
        </w:r>
        <w:r w:rsidR="00950534">
          <w:rPr>
            <w:noProof/>
            <w:webHidden/>
          </w:rPr>
          <w:tab/>
        </w:r>
        <w:r w:rsidR="00950534">
          <w:rPr>
            <w:noProof/>
            <w:webHidden/>
          </w:rPr>
          <w:fldChar w:fldCharType="begin"/>
        </w:r>
        <w:r w:rsidR="00950534">
          <w:rPr>
            <w:noProof/>
            <w:webHidden/>
          </w:rPr>
          <w:instrText xml:space="preserve"> PAGEREF _Toc35632469 \h </w:instrText>
        </w:r>
        <w:r w:rsidR="00950534">
          <w:rPr>
            <w:noProof/>
            <w:webHidden/>
          </w:rPr>
        </w:r>
        <w:r w:rsidR="00950534">
          <w:rPr>
            <w:noProof/>
            <w:webHidden/>
          </w:rPr>
          <w:fldChar w:fldCharType="separate"/>
        </w:r>
        <w:r w:rsidR="0057254E">
          <w:rPr>
            <w:noProof/>
            <w:webHidden/>
          </w:rPr>
          <w:t>19</w:t>
        </w:r>
        <w:r w:rsidR="00950534">
          <w:rPr>
            <w:noProof/>
            <w:webHidden/>
          </w:rPr>
          <w:fldChar w:fldCharType="end"/>
        </w:r>
      </w:hyperlink>
    </w:p>
    <w:p w14:paraId="7F1AB323" w14:textId="77777777" w:rsidR="00950534" w:rsidRDefault="003D0D69" w:rsidP="00950534">
      <w:pPr>
        <w:pStyle w:val="Spistreci2"/>
        <w:tabs>
          <w:tab w:val="left" w:pos="660"/>
          <w:tab w:val="right" w:leader="dot" w:pos="9062"/>
        </w:tabs>
        <w:rPr>
          <w:rFonts w:eastAsiaTheme="minorEastAsia"/>
          <w:noProof/>
          <w:lang w:val="pl-PL" w:eastAsia="pl-PL"/>
        </w:rPr>
      </w:pPr>
      <w:hyperlink w:anchor="_Toc35632470" w:history="1">
        <w:r w:rsidR="00950534" w:rsidRPr="003D1F4C">
          <w:rPr>
            <w:rStyle w:val="Hipercze"/>
            <w:noProof/>
          </w:rPr>
          <w:t>6.</w:t>
        </w:r>
        <w:r w:rsidR="00950534">
          <w:rPr>
            <w:rFonts w:eastAsiaTheme="minorEastAsia"/>
            <w:noProof/>
            <w:lang w:val="pl-PL" w:eastAsia="pl-PL"/>
          </w:rPr>
          <w:tab/>
        </w:r>
        <w:r w:rsidR="00950534" w:rsidRPr="003D1F4C">
          <w:rPr>
            <w:rStyle w:val="Hipercze"/>
            <w:i/>
            <w:noProof/>
          </w:rPr>
          <w:t xml:space="preserve">Güzelyurtlu i Inni p. Cyprowi i Turcji, </w:t>
        </w:r>
        <w:r w:rsidR="00950534" w:rsidRPr="003D1F4C">
          <w:rPr>
            <w:rStyle w:val="Hipercze"/>
            <w:noProof/>
          </w:rPr>
          <w:t>skarga nr 36925/07, wyrok Wielkiej Izby z dnia 29 stycznia 2019 r.</w:t>
        </w:r>
        <w:r w:rsidR="00950534">
          <w:rPr>
            <w:noProof/>
            <w:webHidden/>
          </w:rPr>
          <w:tab/>
        </w:r>
        <w:r w:rsidR="00950534">
          <w:rPr>
            <w:noProof/>
            <w:webHidden/>
          </w:rPr>
          <w:fldChar w:fldCharType="begin"/>
        </w:r>
        <w:r w:rsidR="00950534">
          <w:rPr>
            <w:noProof/>
            <w:webHidden/>
          </w:rPr>
          <w:instrText xml:space="preserve"> PAGEREF _Toc35632470 \h </w:instrText>
        </w:r>
        <w:r w:rsidR="00950534">
          <w:rPr>
            <w:noProof/>
            <w:webHidden/>
          </w:rPr>
        </w:r>
        <w:r w:rsidR="00950534">
          <w:rPr>
            <w:noProof/>
            <w:webHidden/>
          </w:rPr>
          <w:fldChar w:fldCharType="separate"/>
        </w:r>
        <w:r w:rsidR="0057254E">
          <w:rPr>
            <w:noProof/>
            <w:webHidden/>
          </w:rPr>
          <w:t>21</w:t>
        </w:r>
        <w:r w:rsidR="00950534">
          <w:rPr>
            <w:noProof/>
            <w:webHidden/>
          </w:rPr>
          <w:fldChar w:fldCharType="end"/>
        </w:r>
      </w:hyperlink>
    </w:p>
    <w:p w14:paraId="3E5752CE" w14:textId="77777777" w:rsidR="00950534" w:rsidRDefault="003D0D69" w:rsidP="00950534">
      <w:pPr>
        <w:pStyle w:val="Spistreci2"/>
        <w:tabs>
          <w:tab w:val="left" w:pos="660"/>
          <w:tab w:val="right" w:leader="dot" w:pos="9062"/>
        </w:tabs>
        <w:rPr>
          <w:rFonts w:eastAsiaTheme="minorEastAsia"/>
          <w:noProof/>
          <w:lang w:val="pl-PL" w:eastAsia="pl-PL"/>
        </w:rPr>
      </w:pPr>
      <w:hyperlink w:anchor="_Toc35632471" w:history="1">
        <w:r w:rsidR="00950534" w:rsidRPr="003D1F4C">
          <w:rPr>
            <w:rStyle w:val="Hipercze"/>
            <w:noProof/>
          </w:rPr>
          <w:t>7.</w:t>
        </w:r>
        <w:r w:rsidR="00950534">
          <w:rPr>
            <w:rFonts w:eastAsiaTheme="minorEastAsia"/>
            <w:noProof/>
            <w:lang w:val="pl-PL" w:eastAsia="pl-PL"/>
          </w:rPr>
          <w:tab/>
        </w:r>
        <w:r w:rsidR="00950534" w:rsidRPr="003D1F4C">
          <w:rPr>
            <w:rStyle w:val="Hipercze"/>
            <w:i/>
            <w:noProof/>
          </w:rPr>
          <w:t>Ilgar Mammadov p. Azerbejdżanowi (postępowanie w sprawie naruszenia zobowiązania)</w:t>
        </w:r>
        <w:r w:rsidR="00950534" w:rsidRPr="003D1F4C">
          <w:rPr>
            <w:rStyle w:val="Hipercze"/>
            <w:noProof/>
          </w:rPr>
          <w:t>, skarga nr 15172/13, wyrok Wielkiej Izby z dnia 29 maja 2019 r.</w:t>
        </w:r>
        <w:r w:rsidR="00950534">
          <w:rPr>
            <w:noProof/>
            <w:webHidden/>
          </w:rPr>
          <w:tab/>
        </w:r>
        <w:r w:rsidR="00950534">
          <w:rPr>
            <w:noProof/>
            <w:webHidden/>
          </w:rPr>
          <w:fldChar w:fldCharType="begin"/>
        </w:r>
        <w:r w:rsidR="00950534">
          <w:rPr>
            <w:noProof/>
            <w:webHidden/>
          </w:rPr>
          <w:instrText xml:space="preserve"> PAGEREF _Toc35632471 \h </w:instrText>
        </w:r>
        <w:r w:rsidR="00950534">
          <w:rPr>
            <w:noProof/>
            <w:webHidden/>
          </w:rPr>
        </w:r>
        <w:r w:rsidR="00950534">
          <w:rPr>
            <w:noProof/>
            <w:webHidden/>
          </w:rPr>
          <w:fldChar w:fldCharType="separate"/>
        </w:r>
        <w:r w:rsidR="0057254E">
          <w:rPr>
            <w:noProof/>
            <w:webHidden/>
          </w:rPr>
          <w:t>26</w:t>
        </w:r>
        <w:r w:rsidR="00950534">
          <w:rPr>
            <w:noProof/>
            <w:webHidden/>
          </w:rPr>
          <w:fldChar w:fldCharType="end"/>
        </w:r>
      </w:hyperlink>
    </w:p>
    <w:p w14:paraId="371083E0" w14:textId="77777777" w:rsidR="00950534" w:rsidRDefault="003D0D69" w:rsidP="00950534">
      <w:pPr>
        <w:pStyle w:val="Spistreci2"/>
        <w:tabs>
          <w:tab w:val="left" w:pos="660"/>
          <w:tab w:val="right" w:leader="dot" w:pos="9062"/>
        </w:tabs>
        <w:rPr>
          <w:rFonts w:eastAsiaTheme="minorEastAsia"/>
          <w:noProof/>
          <w:lang w:val="pl-PL" w:eastAsia="pl-PL"/>
        </w:rPr>
      </w:pPr>
      <w:hyperlink w:anchor="_Toc35632472" w:history="1">
        <w:r w:rsidR="00950534" w:rsidRPr="003D1F4C">
          <w:rPr>
            <w:rStyle w:val="Hipercze"/>
            <w:noProof/>
          </w:rPr>
          <w:t>8.</w:t>
        </w:r>
        <w:r w:rsidR="00950534">
          <w:rPr>
            <w:rFonts w:eastAsiaTheme="minorEastAsia"/>
            <w:noProof/>
            <w:lang w:val="pl-PL" w:eastAsia="pl-PL"/>
          </w:rPr>
          <w:tab/>
        </w:r>
        <w:r w:rsidR="00950534" w:rsidRPr="003D1F4C">
          <w:rPr>
            <w:rStyle w:val="Hipercze"/>
            <w:i/>
            <w:noProof/>
          </w:rPr>
          <w:t>Ilias i Ahmed p. Węgrom</w:t>
        </w:r>
        <w:r w:rsidR="00950534" w:rsidRPr="003D1F4C">
          <w:rPr>
            <w:rStyle w:val="Hipercze"/>
            <w:noProof/>
          </w:rPr>
          <w:t>, skarga nr 47287/15, wyrok Wielkiej Izby z dnia 21 listopada 2019 r.</w:t>
        </w:r>
        <w:r w:rsidR="00950534">
          <w:rPr>
            <w:noProof/>
            <w:webHidden/>
          </w:rPr>
          <w:tab/>
        </w:r>
        <w:r w:rsidR="00950534">
          <w:rPr>
            <w:noProof/>
            <w:webHidden/>
          </w:rPr>
          <w:fldChar w:fldCharType="begin"/>
        </w:r>
        <w:r w:rsidR="00950534">
          <w:rPr>
            <w:noProof/>
            <w:webHidden/>
          </w:rPr>
          <w:instrText xml:space="preserve"> PAGEREF _Toc35632472 \h </w:instrText>
        </w:r>
        <w:r w:rsidR="00950534">
          <w:rPr>
            <w:noProof/>
            <w:webHidden/>
          </w:rPr>
        </w:r>
        <w:r w:rsidR="00950534">
          <w:rPr>
            <w:noProof/>
            <w:webHidden/>
          </w:rPr>
          <w:fldChar w:fldCharType="separate"/>
        </w:r>
        <w:r w:rsidR="0057254E">
          <w:rPr>
            <w:noProof/>
            <w:webHidden/>
          </w:rPr>
          <w:t>31</w:t>
        </w:r>
        <w:r w:rsidR="00950534">
          <w:rPr>
            <w:noProof/>
            <w:webHidden/>
          </w:rPr>
          <w:fldChar w:fldCharType="end"/>
        </w:r>
      </w:hyperlink>
    </w:p>
    <w:p w14:paraId="0F9FF674" w14:textId="77777777" w:rsidR="00950534" w:rsidRDefault="003D0D69" w:rsidP="00950534">
      <w:pPr>
        <w:pStyle w:val="Spistreci2"/>
        <w:tabs>
          <w:tab w:val="left" w:pos="660"/>
          <w:tab w:val="right" w:leader="dot" w:pos="9062"/>
        </w:tabs>
        <w:rPr>
          <w:rFonts w:eastAsiaTheme="minorEastAsia"/>
          <w:noProof/>
          <w:lang w:val="pl-PL" w:eastAsia="pl-PL"/>
        </w:rPr>
      </w:pPr>
      <w:hyperlink w:anchor="_Toc35632473" w:history="1">
        <w:r w:rsidR="00950534" w:rsidRPr="003D1F4C">
          <w:rPr>
            <w:rStyle w:val="Hipercze"/>
            <w:noProof/>
          </w:rPr>
          <w:t>9.</w:t>
        </w:r>
        <w:r w:rsidR="00950534">
          <w:rPr>
            <w:rFonts w:eastAsiaTheme="minorEastAsia"/>
            <w:noProof/>
            <w:lang w:val="pl-PL" w:eastAsia="pl-PL"/>
          </w:rPr>
          <w:tab/>
        </w:r>
        <w:r w:rsidR="00950534" w:rsidRPr="003D1F4C">
          <w:rPr>
            <w:rStyle w:val="Hipercze"/>
            <w:i/>
            <w:noProof/>
          </w:rPr>
          <w:t>J.D. i A p. Zjednoczonemu Królestwu</w:t>
        </w:r>
        <w:r w:rsidR="00950534" w:rsidRPr="003D1F4C">
          <w:rPr>
            <w:rStyle w:val="Hipercze"/>
            <w:noProof/>
          </w:rPr>
          <w:t>, skargi nr 32949/17 i 34614/17, wyrok Izby z 24.10.2019 r.</w:t>
        </w:r>
        <w:r w:rsidR="00950534">
          <w:rPr>
            <w:noProof/>
            <w:webHidden/>
          </w:rPr>
          <w:tab/>
        </w:r>
        <w:r w:rsidR="00950534">
          <w:rPr>
            <w:noProof/>
            <w:webHidden/>
          </w:rPr>
          <w:fldChar w:fldCharType="begin"/>
        </w:r>
        <w:r w:rsidR="00950534">
          <w:rPr>
            <w:noProof/>
            <w:webHidden/>
          </w:rPr>
          <w:instrText xml:space="preserve"> PAGEREF _Toc35632473 \h </w:instrText>
        </w:r>
        <w:r w:rsidR="00950534">
          <w:rPr>
            <w:noProof/>
            <w:webHidden/>
          </w:rPr>
        </w:r>
        <w:r w:rsidR="00950534">
          <w:rPr>
            <w:noProof/>
            <w:webHidden/>
          </w:rPr>
          <w:fldChar w:fldCharType="separate"/>
        </w:r>
        <w:r w:rsidR="0057254E">
          <w:rPr>
            <w:noProof/>
            <w:webHidden/>
          </w:rPr>
          <w:t>38</w:t>
        </w:r>
        <w:r w:rsidR="00950534">
          <w:rPr>
            <w:noProof/>
            <w:webHidden/>
          </w:rPr>
          <w:fldChar w:fldCharType="end"/>
        </w:r>
      </w:hyperlink>
    </w:p>
    <w:p w14:paraId="06BE7DF6"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74" w:history="1">
        <w:r w:rsidR="00950534" w:rsidRPr="003D1F4C">
          <w:rPr>
            <w:rStyle w:val="Hipercze"/>
            <w:noProof/>
          </w:rPr>
          <w:t>10.</w:t>
        </w:r>
        <w:r w:rsidR="00950534">
          <w:rPr>
            <w:rFonts w:eastAsiaTheme="minorEastAsia"/>
            <w:noProof/>
            <w:lang w:val="pl-PL" w:eastAsia="pl-PL"/>
          </w:rPr>
          <w:tab/>
        </w:r>
        <w:r w:rsidR="00950534" w:rsidRPr="003D1F4C">
          <w:rPr>
            <w:rStyle w:val="Hipercze"/>
            <w:i/>
            <w:noProof/>
          </w:rPr>
          <w:t>Khan p. Francji</w:t>
        </w:r>
        <w:r w:rsidR="00950534" w:rsidRPr="003D1F4C">
          <w:rPr>
            <w:rStyle w:val="Hipercze"/>
            <w:noProof/>
          </w:rPr>
          <w:t>, skarga nr 12267/16, wyrok Izby z dnia 28 lutego 2019 r.</w:t>
        </w:r>
        <w:r w:rsidR="00950534">
          <w:rPr>
            <w:noProof/>
            <w:webHidden/>
          </w:rPr>
          <w:tab/>
        </w:r>
        <w:r w:rsidR="00950534">
          <w:rPr>
            <w:noProof/>
            <w:webHidden/>
          </w:rPr>
          <w:fldChar w:fldCharType="begin"/>
        </w:r>
        <w:r w:rsidR="00950534">
          <w:rPr>
            <w:noProof/>
            <w:webHidden/>
          </w:rPr>
          <w:instrText xml:space="preserve"> PAGEREF _Toc35632474 \h </w:instrText>
        </w:r>
        <w:r w:rsidR="00950534">
          <w:rPr>
            <w:noProof/>
            <w:webHidden/>
          </w:rPr>
        </w:r>
        <w:r w:rsidR="00950534">
          <w:rPr>
            <w:noProof/>
            <w:webHidden/>
          </w:rPr>
          <w:fldChar w:fldCharType="separate"/>
        </w:r>
        <w:r w:rsidR="0057254E">
          <w:rPr>
            <w:noProof/>
            <w:webHidden/>
          </w:rPr>
          <w:t>42</w:t>
        </w:r>
        <w:r w:rsidR="00950534">
          <w:rPr>
            <w:noProof/>
            <w:webHidden/>
          </w:rPr>
          <w:fldChar w:fldCharType="end"/>
        </w:r>
      </w:hyperlink>
    </w:p>
    <w:p w14:paraId="54F2F439"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75" w:history="1">
        <w:r w:rsidR="00950534" w:rsidRPr="003D1F4C">
          <w:rPr>
            <w:rStyle w:val="Hipercze"/>
            <w:noProof/>
          </w:rPr>
          <w:t>11.</w:t>
        </w:r>
        <w:r w:rsidR="00950534">
          <w:rPr>
            <w:rFonts w:eastAsiaTheme="minorEastAsia"/>
            <w:noProof/>
            <w:lang w:val="pl-PL" w:eastAsia="pl-PL"/>
          </w:rPr>
          <w:tab/>
        </w:r>
        <w:r w:rsidR="00950534" w:rsidRPr="003D1F4C">
          <w:rPr>
            <w:rStyle w:val="Hipercze"/>
            <w:i/>
            <w:noProof/>
          </w:rPr>
          <w:t>López Ribalda i Inni p. Hiszpanii</w:t>
        </w:r>
        <w:r w:rsidR="00950534" w:rsidRPr="003D1F4C">
          <w:rPr>
            <w:rStyle w:val="Hipercze"/>
            <w:noProof/>
          </w:rPr>
          <w:t>, skargi nr 1874/13 i 8567/13, wyrok Wielkiej Izby z dnia 17 października 2019 r.</w:t>
        </w:r>
        <w:r w:rsidR="00950534">
          <w:rPr>
            <w:noProof/>
            <w:webHidden/>
          </w:rPr>
          <w:tab/>
        </w:r>
        <w:r w:rsidR="00950534">
          <w:rPr>
            <w:noProof/>
            <w:webHidden/>
          </w:rPr>
          <w:fldChar w:fldCharType="begin"/>
        </w:r>
        <w:r w:rsidR="00950534">
          <w:rPr>
            <w:noProof/>
            <w:webHidden/>
          </w:rPr>
          <w:instrText xml:space="preserve"> PAGEREF _Toc35632475 \h </w:instrText>
        </w:r>
        <w:r w:rsidR="00950534">
          <w:rPr>
            <w:noProof/>
            <w:webHidden/>
          </w:rPr>
        </w:r>
        <w:r w:rsidR="00950534">
          <w:rPr>
            <w:noProof/>
            <w:webHidden/>
          </w:rPr>
          <w:fldChar w:fldCharType="separate"/>
        </w:r>
        <w:r w:rsidR="0057254E">
          <w:rPr>
            <w:noProof/>
            <w:webHidden/>
          </w:rPr>
          <w:t>44</w:t>
        </w:r>
        <w:r w:rsidR="00950534">
          <w:rPr>
            <w:noProof/>
            <w:webHidden/>
          </w:rPr>
          <w:fldChar w:fldCharType="end"/>
        </w:r>
      </w:hyperlink>
    </w:p>
    <w:p w14:paraId="07900ED8"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76" w:history="1">
        <w:r w:rsidR="00950534" w:rsidRPr="003D1F4C">
          <w:rPr>
            <w:rStyle w:val="Hipercze"/>
            <w:noProof/>
          </w:rPr>
          <w:t>12.</w:t>
        </w:r>
        <w:r w:rsidR="00950534">
          <w:rPr>
            <w:rFonts w:eastAsiaTheme="minorEastAsia"/>
            <w:noProof/>
            <w:lang w:val="pl-PL" w:eastAsia="pl-PL"/>
          </w:rPr>
          <w:tab/>
        </w:r>
        <w:r w:rsidR="00950534" w:rsidRPr="003D1F4C">
          <w:rPr>
            <w:rStyle w:val="Hipercze"/>
            <w:i/>
            <w:noProof/>
          </w:rPr>
          <w:t>Marcello Viola p. Włochom (nr 2)</w:t>
        </w:r>
        <w:r w:rsidR="00950534" w:rsidRPr="003D1F4C">
          <w:rPr>
            <w:rStyle w:val="Hipercze"/>
            <w:noProof/>
          </w:rPr>
          <w:t>, skarga nr 77633/16, wyrok Izby z dnia 13 czerwca 2019 r.</w:t>
        </w:r>
        <w:r w:rsidR="00950534">
          <w:rPr>
            <w:noProof/>
            <w:webHidden/>
          </w:rPr>
          <w:tab/>
        </w:r>
        <w:r w:rsidR="00950534">
          <w:rPr>
            <w:noProof/>
            <w:webHidden/>
          </w:rPr>
          <w:fldChar w:fldCharType="begin"/>
        </w:r>
        <w:r w:rsidR="00950534">
          <w:rPr>
            <w:noProof/>
            <w:webHidden/>
          </w:rPr>
          <w:instrText xml:space="preserve"> PAGEREF _Toc35632476 \h </w:instrText>
        </w:r>
        <w:r w:rsidR="00950534">
          <w:rPr>
            <w:noProof/>
            <w:webHidden/>
          </w:rPr>
        </w:r>
        <w:r w:rsidR="00950534">
          <w:rPr>
            <w:noProof/>
            <w:webHidden/>
          </w:rPr>
          <w:fldChar w:fldCharType="separate"/>
        </w:r>
        <w:r w:rsidR="0057254E">
          <w:rPr>
            <w:noProof/>
            <w:webHidden/>
          </w:rPr>
          <w:t>48</w:t>
        </w:r>
        <w:r w:rsidR="00950534">
          <w:rPr>
            <w:noProof/>
            <w:webHidden/>
          </w:rPr>
          <w:fldChar w:fldCharType="end"/>
        </w:r>
      </w:hyperlink>
    </w:p>
    <w:p w14:paraId="3C9629AB"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77" w:history="1">
        <w:r w:rsidR="00950534" w:rsidRPr="003D1F4C">
          <w:rPr>
            <w:rStyle w:val="Hipercze"/>
            <w:noProof/>
          </w:rPr>
          <w:t>13.</w:t>
        </w:r>
        <w:r w:rsidR="00950534">
          <w:rPr>
            <w:rFonts w:eastAsiaTheme="minorEastAsia"/>
            <w:noProof/>
            <w:lang w:val="pl-PL" w:eastAsia="pl-PL"/>
          </w:rPr>
          <w:tab/>
        </w:r>
        <w:r w:rsidR="00950534" w:rsidRPr="003D1F4C">
          <w:rPr>
            <w:rStyle w:val="Hipercze"/>
            <w:i/>
            <w:noProof/>
          </w:rPr>
          <w:t>Mifsud p. Malcie</w:t>
        </w:r>
        <w:r w:rsidR="00950534" w:rsidRPr="003D1F4C">
          <w:rPr>
            <w:rStyle w:val="Hipercze"/>
            <w:noProof/>
          </w:rPr>
          <w:t>, skarga nr 62257/15, wyrok Izby z dnia 29 stycznia 2019 r.</w:t>
        </w:r>
        <w:r w:rsidR="00950534">
          <w:rPr>
            <w:noProof/>
            <w:webHidden/>
          </w:rPr>
          <w:tab/>
        </w:r>
        <w:r w:rsidR="00950534">
          <w:rPr>
            <w:noProof/>
            <w:webHidden/>
          </w:rPr>
          <w:fldChar w:fldCharType="begin"/>
        </w:r>
        <w:r w:rsidR="00950534">
          <w:rPr>
            <w:noProof/>
            <w:webHidden/>
          </w:rPr>
          <w:instrText xml:space="preserve"> PAGEREF _Toc35632477 \h </w:instrText>
        </w:r>
        <w:r w:rsidR="00950534">
          <w:rPr>
            <w:noProof/>
            <w:webHidden/>
          </w:rPr>
        </w:r>
        <w:r w:rsidR="00950534">
          <w:rPr>
            <w:noProof/>
            <w:webHidden/>
          </w:rPr>
          <w:fldChar w:fldCharType="separate"/>
        </w:r>
        <w:r w:rsidR="0057254E">
          <w:rPr>
            <w:noProof/>
            <w:webHidden/>
          </w:rPr>
          <w:t>52</w:t>
        </w:r>
        <w:r w:rsidR="00950534">
          <w:rPr>
            <w:noProof/>
            <w:webHidden/>
          </w:rPr>
          <w:fldChar w:fldCharType="end"/>
        </w:r>
      </w:hyperlink>
    </w:p>
    <w:p w14:paraId="67C95D9C"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78" w:history="1">
        <w:r w:rsidR="00950534" w:rsidRPr="003D1F4C">
          <w:rPr>
            <w:rStyle w:val="Hipercze"/>
            <w:noProof/>
          </w:rPr>
          <w:t>14.</w:t>
        </w:r>
        <w:r w:rsidR="00950534">
          <w:rPr>
            <w:rFonts w:eastAsiaTheme="minorEastAsia"/>
            <w:noProof/>
            <w:lang w:val="pl-PL" w:eastAsia="pl-PL"/>
          </w:rPr>
          <w:tab/>
        </w:r>
        <w:r w:rsidR="00950534" w:rsidRPr="003D1F4C">
          <w:rPr>
            <w:rStyle w:val="Hipercze"/>
            <w:i/>
            <w:noProof/>
          </w:rPr>
          <w:t>Mihalache p. Rumunii</w:t>
        </w:r>
        <w:r w:rsidR="00950534" w:rsidRPr="003D1F4C">
          <w:rPr>
            <w:rStyle w:val="Hipercze"/>
            <w:noProof/>
          </w:rPr>
          <w:t>, skarga nr 54012/10, wyrok Wielkiej Izby z dnia 8 lipca 2019 r.</w:t>
        </w:r>
        <w:r w:rsidR="00950534">
          <w:rPr>
            <w:noProof/>
            <w:webHidden/>
          </w:rPr>
          <w:tab/>
        </w:r>
        <w:r w:rsidR="00950534">
          <w:rPr>
            <w:noProof/>
            <w:webHidden/>
          </w:rPr>
          <w:fldChar w:fldCharType="begin"/>
        </w:r>
        <w:r w:rsidR="00950534">
          <w:rPr>
            <w:noProof/>
            <w:webHidden/>
          </w:rPr>
          <w:instrText xml:space="preserve"> PAGEREF _Toc35632478 \h </w:instrText>
        </w:r>
        <w:r w:rsidR="00950534">
          <w:rPr>
            <w:noProof/>
            <w:webHidden/>
          </w:rPr>
        </w:r>
        <w:r w:rsidR="00950534">
          <w:rPr>
            <w:noProof/>
            <w:webHidden/>
          </w:rPr>
          <w:fldChar w:fldCharType="separate"/>
        </w:r>
        <w:r w:rsidR="0057254E">
          <w:rPr>
            <w:noProof/>
            <w:webHidden/>
          </w:rPr>
          <w:t>54</w:t>
        </w:r>
        <w:r w:rsidR="00950534">
          <w:rPr>
            <w:noProof/>
            <w:webHidden/>
          </w:rPr>
          <w:fldChar w:fldCharType="end"/>
        </w:r>
      </w:hyperlink>
    </w:p>
    <w:p w14:paraId="3319175E"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79" w:history="1">
        <w:r w:rsidR="00950534" w:rsidRPr="003D1F4C">
          <w:rPr>
            <w:rStyle w:val="Hipercze"/>
            <w:noProof/>
          </w:rPr>
          <w:t>15.</w:t>
        </w:r>
        <w:r w:rsidR="00950534">
          <w:rPr>
            <w:rFonts w:eastAsiaTheme="minorEastAsia"/>
            <w:noProof/>
            <w:lang w:val="pl-PL" w:eastAsia="pl-PL"/>
          </w:rPr>
          <w:tab/>
        </w:r>
        <w:r w:rsidR="00950534" w:rsidRPr="003D1F4C">
          <w:rPr>
            <w:rStyle w:val="Hipercze"/>
            <w:i/>
            <w:noProof/>
          </w:rPr>
          <w:t>Nicolae Virgiliu Tănase p. Rumunii</w:t>
        </w:r>
        <w:r w:rsidR="00950534" w:rsidRPr="003D1F4C">
          <w:rPr>
            <w:rStyle w:val="Hipercze"/>
            <w:noProof/>
          </w:rPr>
          <w:t>, skarga nr 41720/13, wyrok Wielkiej Izby z dnia 25 czerwca 2019 r.</w:t>
        </w:r>
        <w:r w:rsidR="00950534">
          <w:rPr>
            <w:noProof/>
            <w:webHidden/>
          </w:rPr>
          <w:tab/>
        </w:r>
        <w:r w:rsidR="00950534">
          <w:rPr>
            <w:noProof/>
            <w:webHidden/>
          </w:rPr>
          <w:fldChar w:fldCharType="begin"/>
        </w:r>
        <w:r w:rsidR="00950534">
          <w:rPr>
            <w:noProof/>
            <w:webHidden/>
          </w:rPr>
          <w:instrText xml:space="preserve"> PAGEREF _Toc35632479 \h </w:instrText>
        </w:r>
        <w:r w:rsidR="00950534">
          <w:rPr>
            <w:noProof/>
            <w:webHidden/>
          </w:rPr>
        </w:r>
        <w:r w:rsidR="00950534">
          <w:rPr>
            <w:noProof/>
            <w:webHidden/>
          </w:rPr>
          <w:fldChar w:fldCharType="separate"/>
        </w:r>
        <w:r w:rsidR="0057254E">
          <w:rPr>
            <w:noProof/>
            <w:webHidden/>
          </w:rPr>
          <w:t>58</w:t>
        </w:r>
        <w:r w:rsidR="00950534">
          <w:rPr>
            <w:noProof/>
            <w:webHidden/>
          </w:rPr>
          <w:fldChar w:fldCharType="end"/>
        </w:r>
      </w:hyperlink>
    </w:p>
    <w:p w14:paraId="64A247FD"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80" w:history="1">
        <w:r w:rsidR="00950534" w:rsidRPr="003D1F4C">
          <w:rPr>
            <w:rStyle w:val="Hipercze"/>
            <w:noProof/>
          </w:rPr>
          <w:t>16.</w:t>
        </w:r>
        <w:r w:rsidR="00950534">
          <w:rPr>
            <w:rFonts w:eastAsiaTheme="minorEastAsia"/>
            <w:noProof/>
            <w:lang w:val="pl-PL" w:eastAsia="pl-PL"/>
          </w:rPr>
          <w:tab/>
        </w:r>
        <w:r w:rsidR="00950534" w:rsidRPr="003D1F4C">
          <w:rPr>
            <w:rStyle w:val="Hipercze"/>
            <w:i/>
            <w:noProof/>
          </w:rPr>
          <w:t>Romeo Castaño p. Belgii</w:t>
        </w:r>
        <w:r w:rsidR="00950534" w:rsidRPr="003D1F4C">
          <w:rPr>
            <w:rStyle w:val="Hipercze"/>
            <w:noProof/>
          </w:rPr>
          <w:t>, skarga nr 8351/17, wyrok Izby z dnia 9 lipca 2019 r.</w:t>
        </w:r>
        <w:r w:rsidR="00950534">
          <w:rPr>
            <w:noProof/>
            <w:webHidden/>
          </w:rPr>
          <w:tab/>
        </w:r>
        <w:r w:rsidR="00950534">
          <w:rPr>
            <w:noProof/>
            <w:webHidden/>
          </w:rPr>
          <w:fldChar w:fldCharType="begin"/>
        </w:r>
        <w:r w:rsidR="00950534">
          <w:rPr>
            <w:noProof/>
            <w:webHidden/>
          </w:rPr>
          <w:instrText xml:space="preserve"> PAGEREF _Toc35632480 \h </w:instrText>
        </w:r>
        <w:r w:rsidR="00950534">
          <w:rPr>
            <w:noProof/>
            <w:webHidden/>
          </w:rPr>
        </w:r>
        <w:r w:rsidR="00950534">
          <w:rPr>
            <w:noProof/>
            <w:webHidden/>
          </w:rPr>
          <w:fldChar w:fldCharType="separate"/>
        </w:r>
        <w:r w:rsidR="0057254E">
          <w:rPr>
            <w:noProof/>
            <w:webHidden/>
          </w:rPr>
          <w:t>65</w:t>
        </w:r>
        <w:r w:rsidR="00950534">
          <w:rPr>
            <w:noProof/>
            <w:webHidden/>
          </w:rPr>
          <w:fldChar w:fldCharType="end"/>
        </w:r>
      </w:hyperlink>
    </w:p>
    <w:p w14:paraId="40B0A2C1"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81" w:history="1">
        <w:r w:rsidR="00950534" w:rsidRPr="003D1F4C">
          <w:rPr>
            <w:rStyle w:val="Hipercze"/>
            <w:noProof/>
          </w:rPr>
          <w:t>17.</w:t>
        </w:r>
        <w:r w:rsidR="00950534">
          <w:rPr>
            <w:rFonts w:eastAsiaTheme="minorEastAsia"/>
            <w:noProof/>
            <w:lang w:val="pl-PL" w:eastAsia="pl-PL"/>
          </w:rPr>
          <w:tab/>
        </w:r>
        <w:r w:rsidR="00950534" w:rsidRPr="003D1F4C">
          <w:rPr>
            <w:rStyle w:val="Hipercze"/>
            <w:i/>
            <w:noProof/>
          </w:rPr>
          <w:t>Rooman p. Belgii</w:t>
        </w:r>
        <w:r w:rsidR="00950534" w:rsidRPr="003D1F4C">
          <w:rPr>
            <w:rStyle w:val="Hipercze"/>
            <w:noProof/>
          </w:rPr>
          <w:t>, skarga nr 18052/11, wyrok Wielkiej Izby z dnia 31 stycznia 2019 r.</w:t>
        </w:r>
        <w:r w:rsidR="00950534">
          <w:rPr>
            <w:noProof/>
            <w:webHidden/>
          </w:rPr>
          <w:tab/>
        </w:r>
        <w:r w:rsidR="00950534">
          <w:rPr>
            <w:noProof/>
            <w:webHidden/>
          </w:rPr>
          <w:fldChar w:fldCharType="begin"/>
        </w:r>
        <w:r w:rsidR="00950534">
          <w:rPr>
            <w:noProof/>
            <w:webHidden/>
          </w:rPr>
          <w:instrText xml:space="preserve"> PAGEREF _Toc35632481 \h </w:instrText>
        </w:r>
        <w:r w:rsidR="00950534">
          <w:rPr>
            <w:noProof/>
            <w:webHidden/>
          </w:rPr>
        </w:r>
        <w:r w:rsidR="00950534">
          <w:rPr>
            <w:noProof/>
            <w:webHidden/>
          </w:rPr>
          <w:fldChar w:fldCharType="separate"/>
        </w:r>
        <w:r w:rsidR="0057254E">
          <w:rPr>
            <w:noProof/>
            <w:webHidden/>
          </w:rPr>
          <w:t>68</w:t>
        </w:r>
        <w:r w:rsidR="00950534">
          <w:rPr>
            <w:noProof/>
            <w:webHidden/>
          </w:rPr>
          <w:fldChar w:fldCharType="end"/>
        </w:r>
      </w:hyperlink>
    </w:p>
    <w:p w14:paraId="5360AAE4"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82" w:history="1">
        <w:r w:rsidR="00950534" w:rsidRPr="003D1F4C">
          <w:rPr>
            <w:rStyle w:val="Hipercze"/>
            <w:noProof/>
          </w:rPr>
          <w:t>18.</w:t>
        </w:r>
        <w:r w:rsidR="00950534">
          <w:rPr>
            <w:rFonts w:eastAsiaTheme="minorEastAsia"/>
            <w:noProof/>
            <w:lang w:val="pl-PL" w:eastAsia="pl-PL"/>
          </w:rPr>
          <w:tab/>
        </w:r>
        <w:r w:rsidR="00950534" w:rsidRPr="003D1F4C">
          <w:rPr>
            <w:rStyle w:val="Hipercze"/>
            <w:i/>
            <w:noProof/>
          </w:rPr>
          <w:t>Sigurður Einarsson i Inni p. Islandii</w:t>
        </w:r>
        <w:r w:rsidR="00950534" w:rsidRPr="003D1F4C">
          <w:rPr>
            <w:rStyle w:val="Hipercze"/>
            <w:noProof/>
          </w:rPr>
          <w:t>, skarga nr 39757/15, wyrok Izby z dnia 4 czerwca 2019 r.</w:t>
        </w:r>
        <w:r w:rsidR="00950534">
          <w:rPr>
            <w:noProof/>
            <w:webHidden/>
          </w:rPr>
          <w:tab/>
        </w:r>
        <w:r w:rsidR="00950534">
          <w:rPr>
            <w:noProof/>
            <w:webHidden/>
          </w:rPr>
          <w:fldChar w:fldCharType="begin"/>
        </w:r>
        <w:r w:rsidR="00950534">
          <w:rPr>
            <w:noProof/>
            <w:webHidden/>
          </w:rPr>
          <w:instrText xml:space="preserve"> PAGEREF _Toc35632482 \h </w:instrText>
        </w:r>
        <w:r w:rsidR="00950534">
          <w:rPr>
            <w:noProof/>
            <w:webHidden/>
          </w:rPr>
        </w:r>
        <w:r w:rsidR="00950534">
          <w:rPr>
            <w:noProof/>
            <w:webHidden/>
          </w:rPr>
          <w:fldChar w:fldCharType="separate"/>
        </w:r>
        <w:r w:rsidR="0057254E">
          <w:rPr>
            <w:noProof/>
            <w:webHidden/>
          </w:rPr>
          <w:t>74</w:t>
        </w:r>
        <w:r w:rsidR="00950534">
          <w:rPr>
            <w:noProof/>
            <w:webHidden/>
          </w:rPr>
          <w:fldChar w:fldCharType="end"/>
        </w:r>
      </w:hyperlink>
    </w:p>
    <w:p w14:paraId="3E88D26E"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83" w:history="1">
        <w:r w:rsidR="00950534" w:rsidRPr="003D1F4C">
          <w:rPr>
            <w:rStyle w:val="Hipercze"/>
            <w:noProof/>
          </w:rPr>
          <w:t>19.</w:t>
        </w:r>
        <w:r w:rsidR="00950534">
          <w:rPr>
            <w:rFonts w:eastAsiaTheme="minorEastAsia"/>
            <w:noProof/>
            <w:lang w:val="pl-PL" w:eastAsia="pl-PL"/>
          </w:rPr>
          <w:tab/>
        </w:r>
        <w:r w:rsidR="00950534" w:rsidRPr="003D1F4C">
          <w:rPr>
            <w:rStyle w:val="Hipercze"/>
            <w:i/>
            <w:noProof/>
          </w:rPr>
          <w:t>Strand Lobben i Inni p. Norwegii</w:t>
        </w:r>
        <w:r w:rsidR="00950534" w:rsidRPr="003D1F4C">
          <w:rPr>
            <w:rStyle w:val="Hipercze"/>
            <w:noProof/>
          </w:rPr>
          <w:t>, skarga nr 37283/13, wyrok Wielkiej Izby z dnia 10 września 2019 r.</w:t>
        </w:r>
        <w:r w:rsidR="00950534">
          <w:rPr>
            <w:noProof/>
            <w:webHidden/>
          </w:rPr>
          <w:tab/>
        </w:r>
        <w:r w:rsidR="00950534">
          <w:rPr>
            <w:noProof/>
            <w:webHidden/>
          </w:rPr>
          <w:fldChar w:fldCharType="begin"/>
        </w:r>
        <w:r w:rsidR="00950534">
          <w:rPr>
            <w:noProof/>
            <w:webHidden/>
          </w:rPr>
          <w:instrText xml:space="preserve"> PAGEREF _Toc35632483 \h </w:instrText>
        </w:r>
        <w:r w:rsidR="00950534">
          <w:rPr>
            <w:noProof/>
            <w:webHidden/>
          </w:rPr>
        </w:r>
        <w:r w:rsidR="00950534">
          <w:rPr>
            <w:noProof/>
            <w:webHidden/>
          </w:rPr>
          <w:fldChar w:fldCharType="separate"/>
        </w:r>
        <w:r w:rsidR="0057254E">
          <w:rPr>
            <w:noProof/>
            <w:webHidden/>
          </w:rPr>
          <w:t>77</w:t>
        </w:r>
        <w:r w:rsidR="00950534">
          <w:rPr>
            <w:noProof/>
            <w:webHidden/>
          </w:rPr>
          <w:fldChar w:fldCharType="end"/>
        </w:r>
      </w:hyperlink>
    </w:p>
    <w:p w14:paraId="21FDAB7E"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84" w:history="1">
        <w:r w:rsidR="00950534" w:rsidRPr="003D1F4C">
          <w:rPr>
            <w:rStyle w:val="Hipercze"/>
            <w:noProof/>
          </w:rPr>
          <w:t>20.</w:t>
        </w:r>
        <w:r w:rsidR="00950534">
          <w:rPr>
            <w:rFonts w:eastAsiaTheme="minorEastAsia"/>
            <w:noProof/>
            <w:lang w:val="pl-PL" w:eastAsia="pl-PL"/>
          </w:rPr>
          <w:tab/>
        </w:r>
        <w:r w:rsidR="00950534" w:rsidRPr="003D1F4C">
          <w:rPr>
            <w:rStyle w:val="Hipercze"/>
            <w:i/>
            <w:noProof/>
          </w:rPr>
          <w:t>Taşdemir p. Turcji</w:t>
        </w:r>
        <w:r w:rsidR="00950534" w:rsidRPr="003D1F4C">
          <w:rPr>
            <w:rStyle w:val="Hipercze"/>
            <w:noProof/>
          </w:rPr>
          <w:t xml:space="preserve">, skarga nr 52538/09, decyzja Izby z dnia 12 marca 2019 r., </w:t>
        </w:r>
        <w:r w:rsidR="00950534" w:rsidRPr="003D1F4C">
          <w:rPr>
            <w:rStyle w:val="Hipercze"/>
            <w:i/>
            <w:noProof/>
          </w:rPr>
          <w:t>Kutlu i Inni p. Turcji</w:t>
        </w:r>
        <w:r w:rsidR="00950534" w:rsidRPr="003D1F4C">
          <w:rPr>
            <w:rStyle w:val="Hipercze"/>
            <w:noProof/>
          </w:rPr>
          <w:t xml:space="preserve">, nr 18357/11, oraz </w:t>
        </w:r>
        <w:r w:rsidR="00950534" w:rsidRPr="003D1F4C">
          <w:rPr>
            <w:rStyle w:val="Hipercze"/>
            <w:i/>
            <w:noProof/>
          </w:rPr>
          <w:t>Karaca p. Turcji</w:t>
        </w:r>
        <w:r w:rsidR="00950534" w:rsidRPr="003D1F4C">
          <w:rPr>
            <w:rStyle w:val="Hipercze"/>
            <w:noProof/>
          </w:rPr>
          <w:t>, nr 5809/13, 12 marca 2019 r.</w:t>
        </w:r>
        <w:r w:rsidR="00950534">
          <w:rPr>
            <w:noProof/>
            <w:webHidden/>
          </w:rPr>
          <w:tab/>
        </w:r>
        <w:r w:rsidR="00950534">
          <w:rPr>
            <w:noProof/>
            <w:webHidden/>
          </w:rPr>
          <w:fldChar w:fldCharType="begin"/>
        </w:r>
        <w:r w:rsidR="00950534">
          <w:rPr>
            <w:noProof/>
            <w:webHidden/>
          </w:rPr>
          <w:instrText xml:space="preserve"> PAGEREF _Toc35632484 \h </w:instrText>
        </w:r>
        <w:r w:rsidR="00950534">
          <w:rPr>
            <w:noProof/>
            <w:webHidden/>
          </w:rPr>
        </w:r>
        <w:r w:rsidR="00950534">
          <w:rPr>
            <w:noProof/>
            <w:webHidden/>
          </w:rPr>
          <w:fldChar w:fldCharType="separate"/>
        </w:r>
        <w:r w:rsidR="0057254E">
          <w:rPr>
            <w:noProof/>
            <w:webHidden/>
          </w:rPr>
          <w:t>80</w:t>
        </w:r>
        <w:r w:rsidR="00950534">
          <w:rPr>
            <w:noProof/>
            <w:webHidden/>
          </w:rPr>
          <w:fldChar w:fldCharType="end"/>
        </w:r>
      </w:hyperlink>
    </w:p>
    <w:p w14:paraId="1BA8B8F9"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85" w:history="1">
        <w:r w:rsidR="00950534" w:rsidRPr="003D1F4C">
          <w:rPr>
            <w:rStyle w:val="Hipercze"/>
            <w:noProof/>
          </w:rPr>
          <w:t>21.</w:t>
        </w:r>
        <w:r w:rsidR="00950534">
          <w:rPr>
            <w:rFonts w:eastAsiaTheme="minorEastAsia"/>
            <w:noProof/>
            <w:lang w:val="pl-PL" w:eastAsia="pl-PL"/>
          </w:rPr>
          <w:tab/>
        </w:r>
        <w:r w:rsidR="00950534" w:rsidRPr="003D1F4C">
          <w:rPr>
            <w:rStyle w:val="Hipercze"/>
            <w:i/>
            <w:noProof/>
          </w:rPr>
          <w:t>Z.A. i Inni p. Rosji</w:t>
        </w:r>
        <w:r w:rsidR="00950534" w:rsidRPr="003D1F4C">
          <w:rPr>
            <w:rStyle w:val="Hipercze"/>
            <w:noProof/>
          </w:rPr>
          <w:t>, skargi nr 61411/15, 61420/15, 61427/15 i in., wyrok Wielkiej Izby z dnia 21 listopada 2019 r.</w:t>
        </w:r>
        <w:r w:rsidR="00950534">
          <w:rPr>
            <w:noProof/>
            <w:webHidden/>
          </w:rPr>
          <w:tab/>
        </w:r>
        <w:r w:rsidR="00950534">
          <w:rPr>
            <w:noProof/>
            <w:webHidden/>
          </w:rPr>
          <w:fldChar w:fldCharType="begin"/>
        </w:r>
        <w:r w:rsidR="00950534">
          <w:rPr>
            <w:noProof/>
            <w:webHidden/>
          </w:rPr>
          <w:instrText xml:space="preserve"> PAGEREF _Toc35632485 \h </w:instrText>
        </w:r>
        <w:r w:rsidR="00950534">
          <w:rPr>
            <w:noProof/>
            <w:webHidden/>
          </w:rPr>
        </w:r>
        <w:r w:rsidR="00950534">
          <w:rPr>
            <w:noProof/>
            <w:webHidden/>
          </w:rPr>
          <w:fldChar w:fldCharType="separate"/>
        </w:r>
        <w:r w:rsidR="0057254E">
          <w:rPr>
            <w:noProof/>
            <w:webHidden/>
          </w:rPr>
          <w:t>83</w:t>
        </w:r>
        <w:r w:rsidR="00950534">
          <w:rPr>
            <w:noProof/>
            <w:webHidden/>
          </w:rPr>
          <w:fldChar w:fldCharType="end"/>
        </w:r>
      </w:hyperlink>
    </w:p>
    <w:p w14:paraId="32CCE4C7" w14:textId="77777777" w:rsidR="00950534" w:rsidRDefault="003D0D69" w:rsidP="00950534">
      <w:pPr>
        <w:pStyle w:val="Spistreci2"/>
        <w:tabs>
          <w:tab w:val="left" w:pos="880"/>
          <w:tab w:val="right" w:leader="dot" w:pos="9062"/>
        </w:tabs>
        <w:rPr>
          <w:rFonts w:eastAsiaTheme="minorEastAsia"/>
          <w:noProof/>
          <w:lang w:val="pl-PL" w:eastAsia="pl-PL"/>
        </w:rPr>
      </w:pPr>
      <w:hyperlink w:anchor="_Toc35632486" w:history="1">
        <w:r w:rsidR="00950534" w:rsidRPr="003D1F4C">
          <w:rPr>
            <w:rStyle w:val="Hipercze"/>
            <w:noProof/>
          </w:rPr>
          <w:t>22.</w:t>
        </w:r>
        <w:r w:rsidR="00950534">
          <w:rPr>
            <w:rFonts w:eastAsiaTheme="minorEastAsia"/>
            <w:noProof/>
            <w:lang w:val="pl-PL" w:eastAsia="pl-PL"/>
          </w:rPr>
          <w:tab/>
        </w:r>
        <w:r w:rsidR="00950534" w:rsidRPr="003D1F4C">
          <w:rPr>
            <w:rStyle w:val="Hipercze"/>
            <w:noProof/>
          </w:rPr>
          <w:t>Opinia doradcza Wielkiej Izby z dnia 10 kwietnia 2019 r. na wniosek francuskiego Sądu Kasacyjnego (nr P16-2018-001)</w:t>
        </w:r>
        <w:r w:rsidR="00950534">
          <w:rPr>
            <w:noProof/>
            <w:webHidden/>
          </w:rPr>
          <w:tab/>
        </w:r>
        <w:r w:rsidR="00950534">
          <w:rPr>
            <w:noProof/>
            <w:webHidden/>
          </w:rPr>
          <w:fldChar w:fldCharType="begin"/>
        </w:r>
        <w:r w:rsidR="00950534">
          <w:rPr>
            <w:noProof/>
            <w:webHidden/>
          </w:rPr>
          <w:instrText xml:space="preserve"> PAGEREF _Toc35632486 \h </w:instrText>
        </w:r>
        <w:r w:rsidR="00950534">
          <w:rPr>
            <w:noProof/>
            <w:webHidden/>
          </w:rPr>
        </w:r>
        <w:r w:rsidR="00950534">
          <w:rPr>
            <w:noProof/>
            <w:webHidden/>
          </w:rPr>
          <w:fldChar w:fldCharType="separate"/>
        </w:r>
        <w:r w:rsidR="0057254E">
          <w:rPr>
            <w:noProof/>
            <w:webHidden/>
          </w:rPr>
          <w:t>88</w:t>
        </w:r>
        <w:r w:rsidR="00950534">
          <w:rPr>
            <w:noProof/>
            <w:webHidden/>
          </w:rPr>
          <w:fldChar w:fldCharType="end"/>
        </w:r>
      </w:hyperlink>
    </w:p>
    <w:p w14:paraId="7971623C" w14:textId="77777777" w:rsidR="00950534" w:rsidRDefault="00950534" w:rsidP="00950534">
      <w:pPr>
        <w:pStyle w:val="Spistreci2"/>
        <w:widowControl w:val="0"/>
        <w:tabs>
          <w:tab w:val="left" w:pos="880"/>
          <w:tab w:val="right" w:leader="dot" w:pos="9062"/>
        </w:tabs>
        <w:rPr>
          <w:rFonts w:cs="Verdana"/>
          <w:b/>
          <w:bCs/>
          <w:sz w:val="20"/>
          <w:szCs w:val="20"/>
          <w:lang w:val="pl-PL"/>
        </w:rPr>
      </w:pPr>
      <w:r w:rsidRPr="002E4059">
        <w:rPr>
          <w:rFonts w:cs="Verdana"/>
          <w:b/>
          <w:bCs/>
          <w:sz w:val="20"/>
          <w:szCs w:val="20"/>
          <w:lang w:val="pl-PL"/>
        </w:rPr>
        <w:fldChar w:fldCharType="end"/>
      </w:r>
      <w:r>
        <w:rPr>
          <w:rFonts w:cs="Verdana"/>
          <w:b/>
          <w:bCs/>
          <w:sz w:val="20"/>
          <w:szCs w:val="20"/>
          <w:lang w:val="pl-PL"/>
        </w:rPr>
        <w:br w:type="page"/>
      </w:r>
    </w:p>
    <w:p w14:paraId="71972B3A" w14:textId="77777777" w:rsidR="00950534" w:rsidRDefault="00950534" w:rsidP="0095053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p>
    <w:p w14:paraId="4F62561E" w14:textId="77777777" w:rsidR="00950534" w:rsidRPr="007E0C78" w:rsidRDefault="00950534" w:rsidP="00950534">
      <w:pPr>
        <w:pStyle w:val="Akapitzlist"/>
        <w:widowControl w:val="0"/>
        <w:autoSpaceDE w:val="0"/>
        <w:autoSpaceDN w:val="0"/>
        <w:adjustRightInd w:val="0"/>
        <w:spacing w:after="0" w:line="240" w:lineRule="auto"/>
        <w:ind w:left="0"/>
        <w:contextualSpacing w:val="0"/>
        <w:jc w:val="both"/>
        <w:rPr>
          <w:rFonts w:cs="Verdana"/>
          <w:bCs/>
          <w:i/>
          <w:sz w:val="24"/>
          <w:szCs w:val="24"/>
          <w:lang w:val="pl-PL"/>
        </w:rPr>
      </w:pPr>
      <w:r w:rsidRPr="007E0C78">
        <w:rPr>
          <w:rFonts w:cs="Verdana"/>
          <w:bCs/>
          <w:i/>
          <w:sz w:val="24"/>
          <w:szCs w:val="24"/>
          <w:lang w:val="pl-PL"/>
        </w:rPr>
        <w:t>W ramach działań mających na celu zapobieganie stwierdzaniu przez Europejski Trybunał Praw Człowieka („Trybunał”) naruszenia Konwencji o ochronie praw człowieka i podstawowych wolności</w:t>
      </w:r>
      <w:r w:rsidRPr="007E0C78">
        <w:rPr>
          <w:rStyle w:val="Odwoanieprzypisudolnego"/>
          <w:rFonts w:cs="Verdana"/>
          <w:bCs/>
          <w:i/>
          <w:sz w:val="24"/>
          <w:szCs w:val="24"/>
          <w:lang w:val="pl-PL"/>
        </w:rPr>
        <w:footnoteReference w:id="2"/>
      </w:r>
      <w:r w:rsidRPr="007E0C78">
        <w:rPr>
          <w:rFonts w:cs="Verdana"/>
          <w:bCs/>
          <w:i/>
          <w:sz w:val="24"/>
          <w:szCs w:val="24"/>
          <w:lang w:val="pl-PL"/>
        </w:rPr>
        <w:t xml:space="preserve"> („Konwencji”) przez Polskę istotne jest nie tylko usuwanie stwierdzonych przez Trybunał nieprawidłowości w prawie lub praktyce jego stosowania, ale także podejmowanie działań prewencyjnych na przyszłość. Chociaż na mocy art. 46 ust. 1 Konwencji państwa są formalnie zobowiązane do przestrzegania ostatecznych wyroków Trybunału w sprawach, których są stronami, w Radzie Europy zachęca się państwa do śledzenia również orzecznictwa Trybunału wobec innych państw Rady Europy. </w:t>
      </w:r>
    </w:p>
    <w:p w14:paraId="0A8E9518" w14:textId="77777777" w:rsidR="00950534" w:rsidRPr="007E0C78" w:rsidRDefault="00950534" w:rsidP="00950534">
      <w:pPr>
        <w:pStyle w:val="Akapitzlist"/>
        <w:widowControl w:val="0"/>
        <w:autoSpaceDE w:val="0"/>
        <w:autoSpaceDN w:val="0"/>
        <w:adjustRightInd w:val="0"/>
        <w:spacing w:after="0" w:line="240" w:lineRule="auto"/>
        <w:ind w:left="0"/>
        <w:contextualSpacing w:val="0"/>
        <w:jc w:val="both"/>
        <w:rPr>
          <w:rFonts w:cs="Verdana"/>
          <w:bCs/>
          <w:i/>
          <w:sz w:val="24"/>
          <w:szCs w:val="24"/>
          <w:lang w:val="pl-PL"/>
        </w:rPr>
      </w:pPr>
    </w:p>
    <w:p w14:paraId="1AFA652E" w14:textId="51D0DD0A" w:rsidR="00950534" w:rsidRPr="007E0C78" w:rsidRDefault="00950534" w:rsidP="00950534">
      <w:pPr>
        <w:pStyle w:val="Akapitzlist"/>
        <w:widowControl w:val="0"/>
        <w:autoSpaceDE w:val="0"/>
        <w:autoSpaceDN w:val="0"/>
        <w:adjustRightInd w:val="0"/>
        <w:spacing w:after="0" w:line="240" w:lineRule="auto"/>
        <w:ind w:left="0"/>
        <w:contextualSpacing w:val="0"/>
        <w:jc w:val="both"/>
        <w:rPr>
          <w:rFonts w:cs="Verdana"/>
          <w:bCs/>
          <w:i/>
          <w:sz w:val="24"/>
          <w:szCs w:val="24"/>
          <w:lang w:val="pl-PL"/>
        </w:rPr>
      </w:pPr>
      <w:r w:rsidRPr="007E0C78">
        <w:rPr>
          <w:rFonts w:cs="Verdana"/>
          <w:bCs/>
          <w:i/>
          <w:sz w:val="24"/>
          <w:szCs w:val="24"/>
          <w:lang w:val="pl-PL"/>
        </w:rPr>
        <w:t>Z tego względu Pełnomocnik Ministra Spraw Zagranicznych ds. postępowań przed Europejskim Trybunałem Praw Człowieka przedstawia poniżej przegląd 22 orzeczeń Trybunału wydanych w 2019 r. wobec innych państw stron Konwencji, wybranych z listy 24</w:t>
      </w:r>
      <w:r w:rsidR="00CB5C18">
        <w:rPr>
          <w:rFonts w:cs="Verdana"/>
          <w:bCs/>
          <w:i/>
          <w:sz w:val="24"/>
          <w:szCs w:val="24"/>
          <w:lang w:val="pl-PL"/>
        </w:rPr>
        <w:t> </w:t>
      </w:r>
      <w:r w:rsidRPr="007E0C78">
        <w:rPr>
          <w:rFonts w:cs="Verdana"/>
          <w:bCs/>
          <w:i/>
          <w:sz w:val="24"/>
          <w:szCs w:val="24"/>
          <w:lang w:val="pl-PL"/>
        </w:rPr>
        <w:t>najważniejszych orzeczeń Trybunału za ten rok</w:t>
      </w:r>
      <w:r w:rsidRPr="007E0C78">
        <w:rPr>
          <w:rStyle w:val="Odwoanieprzypisudolnego"/>
          <w:rFonts w:cs="Verdana"/>
          <w:bCs/>
          <w:i/>
          <w:sz w:val="24"/>
          <w:szCs w:val="24"/>
          <w:lang w:val="pl-PL"/>
        </w:rPr>
        <w:footnoteReference w:id="3"/>
      </w:r>
      <w:r w:rsidRPr="007E0C78">
        <w:rPr>
          <w:rFonts w:cs="Verdana"/>
          <w:bCs/>
          <w:i/>
          <w:sz w:val="24"/>
          <w:szCs w:val="24"/>
          <w:lang w:val="pl-PL"/>
        </w:rPr>
        <w:t xml:space="preserve">. </w:t>
      </w:r>
    </w:p>
    <w:p w14:paraId="130856AD" w14:textId="77777777" w:rsidR="00950534" w:rsidRPr="007E0C78" w:rsidRDefault="00950534" w:rsidP="00950534">
      <w:pPr>
        <w:pStyle w:val="Akapitzlist"/>
        <w:widowControl w:val="0"/>
        <w:autoSpaceDE w:val="0"/>
        <w:autoSpaceDN w:val="0"/>
        <w:adjustRightInd w:val="0"/>
        <w:spacing w:after="0" w:line="240" w:lineRule="auto"/>
        <w:ind w:left="0"/>
        <w:contextualSpacing w:val="0"/>
        <w:jc w:val="both"/>
        <w:rPr>
          <w:rFonts w:cs="Verdana"/>
          <w:bCs/>
          <w:i/>
          <w:sz w:val="24"/>
          <w:szCs w:val="24"/>
          <w:lang w:val="pl-PL"/>
        </w:rPr>
      </w:pPr>
    </w:p>
    <w:p w14:paraId="41F1F0D5" w14:textId="61EE81EE" w:rsidR="00950534" w:rsidRPr="007E0C78" w:rsidRDefault="00950534" w:rsidP="00950534">
      <w:pPr>
        <w:pStyle w:val="Akapitzlist"/>
        <w:widowControl w:val="0"/>
        <w:autoSpaceDE w:val="0"/>
        <w:autoSpaceDN w:val="0"/>
        <w:adjustRightInd w:val="0"/>
        <w:spacing w:after="0" w:line="240" w:lineRule="auto"/>
        <w:ind w:left="0"/>
        <w:contextualSpacing w:val="0"/>
        <w:jc w:val="both"/>
        <w:rPr>
          <w:rFonts w:cs="Verdana"/>
          <w:bCs/>
          <w:i/>
          <w:sz w:val="24"/>
          <w:szCs w:val="24"/>
          <w:lang w:val="pl-PL"/>
        </w:rPr>
      </w:pPr>
      <w:r w:rsidRPr="007E0C78">
        <w:rPr>
          <w:rFonts w:cs="Verdana"/>
          <w:bCs/>
          <w:i/>
          <w:sz w:val="24"/>
          <w:szCs w:val="24"/>
          <w:lang w:val="pl-PL"/>
        </w:rPr>
        <w:t xml:space="preserve">Podane poniżej informacje, przygotowane z wykorzystaniem opracowań Kancelarii Trybunału przetłumaczonych przez Ministerstwo Spraw Zagranicznych, należy traktować jako jedynie </w:t>
      </w:r>
      <w:r w:rsidRPr="007E0C78">
        <w:rPr>
          <w:rFonts w:cs="Verdana"/>
          <w:b/>
          <w:bCs/>
          <w:i/>
          <w:sz w:val="24"/>
          <w:szCs w:val="24"/>
          <w:lang w:val="pl-PL"/>
        </w:rPr>
        <w:t>wstępnie sygnalizujące</w:t>
      </w:r>
      <w:r w:rsidRPr="007E0C78">
        <w:rPr>
          <w:rFonts w:cs="Verdana"/>
          <w:bCs/>
          <w:i/>
          <w:sz w:val="24"/>
          <w:szCs w:val="24"/>
          <w:lang w:val="pl-PL"/>
        </w:rPr>
        <w:t xml:space="preserve"> problematykę danego orzeczenia, nie zaś jako pełny opis faktów sprawy, argumentacji Europejskiego Trybunału Praw Człowieka i stwierdzonego naruszenia bądź braku naruszenia Konwencji. Nie odzwierciedlają one oficjalnego stanowiska Trybunału ani rządu Rzeczypospolitej Polskiej. Również wskazanie potencjalnego znaczenia wyroku dla</w:t>
      </w:r>
      <w:r w:rsidR="00CB5C18">
        <w:rPr>
          <w:rFonts w:cs="Verdana"/>
          <w:bCs/>
          <w:i/>
          <w:sz w:val="24"/>
          <w:szCs w:val="24"/>
          <w:lang w:val="pl-PL"/>
        </w:rPr>
        <w:t> </w:t>
      </w:r>
      <w:r w:rsidRPr="007E0C78">
        <w:rPr>
          <w:rFonts w:cs="Verdana"/>
          <w:bCs/>
          <w:i/>
          <w:sz w:val="24"/>
          <w:szCs w:val="24"/>
          <w:lang w:val="pl-PL"/>
        </w:rPr>
        <w:t>systemu prawa polskiego ma charakter wstępny – niezbędne jest przeprowadzenie dalszej analizy pełnego tekstu wyroku przez właściwe organy. Należy mieć na uwadze, że większość z prezentowanych tu orzeczeń Trybunału jest bardzo rozbudowana i szczegółowa, niemożliwe jest zatem pełne zaprezentowanie w obecnym, skrótowym przeglądzie wszystkich istotnych aspektów i niuansów rozstrzygnięć Trybunału.</w:t>
      </w:r>
    </w:p>
    <w:p w14:paraId="5D1C74A1" w14:textId="77777777" w:rsidR="00950534" w:rsidRDefault="00950534" w:rsidP="00950534">
      <w:pPr>
        <w:pStyle w:val="ClinContent"/>
        <w:widowControl w:val="0"/>
        <w:spacing w:before="0"/>
        <w:rPr>
          <w:rFonts w:asciiTheme="minorHAnsi" w:hAnsiTheme="minorHAnsi" w:cs="Verdana"/>
          <w:bCs/>
          <w:szCs w:val="20"/>
          <w:u w:val="single"/>
          <w:lang w:val="pl-PL"/>
        </w:rPr>
      </w:pPr>
    </w:p>
    <w:p w14:paraId="27B32466" w14:textId="77777777" w:rsidR="00950534" w:rsidRDefault="00950534" w:rsidP="00950534">
      <w:pPr>
        <w:pStyle w:val="ClinContent"/>
        <w:widowControl w:val="0"/>
        <w:spacing w:before="0"/>
        <w:rPr>
          <w:rFonts w:asciiTheme="minorHAnsi" w:hAnsiTheme="minorHAnsi" w:cs="Verdana"/>
          <w:bCs/>
          <w:szCs w:val="20"/>
          <w:lang w:val="pl-PL"/>
        </w:rPr>
      </w:pPr>
    </w:p>
    <w:p w14:paraId="1E8823B7"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2" w:name="_Toc35632465"/>
      <w:r w:rsidRPr="00A450C9">
        <w:rPr>
          <w:rFonts w:asciiTheme="minorHAnsi" w:hAnsiTheme="minorHAnsi"/>
          <w:i/>
          <w:color w:val="auto"/>
          <w:sz w:val="24"/>
          <w:szCs w:val="24"/>
        </w:rPr>
        <w:t>Altay p. Turcji (nr 2</w:t>
      </w:r>
      <w:r w:rsidRPr="001F792C">
        <w:rPr>
          <w:rFonts w:asciiTheme="minorHAnsi" w:hAnsiTheme="minorHAnsi"/>
          <w:i/>
          <w:color w:val="auto"/>
          <w:sz w:val="24"/>
          <w:szCs w:val="24"/>
        </w:rPr>
        <w:t>)</w:t>
      </w:r>
      <w:r w:rsidRPr="001F792C">
        <w:rPr>
          <w:rFonts w:asciiTheme="minorHAnsi" w:hAnsiTheme="minorHAnsi"/>
          <w:color w:val="auto"/>
          <w:sz w:val="24"/>
          <w:szCs w:val="24"/>
        </w:rPr>
        <w:t>, skarga nr 11236/09, wyrok Izby z dnia 9 kwietnia 2019 r.</w:t>
      </w:r>
      <w:bookmarkEnd w:id="2"/>
    </w:p>
    <w:p w14:paraId="67CEE1F8" w14:textId="77777777" w:rsidR="00950534" w:rsidRDefault="00950534" w:rsidP="00950534">
      <w:pPr>
        <w:pStyle w:val="Akapitzlist"/>
        <w:widowControl w:val="0"/>
        <w:numPr>
          <w:ilvl w:val="0"/>
          <w:numId w:val="17"/>
        </w:numPr>
        <w:spacing w:after="0" w:line="240" w:lineRule="auto"/>
        <w:ind w:left="426"/>
        <w:jc w:val="both"/>
        <w:outlineLvl w:val="2"/>
        <w:rPr>
          <w:b/>
          <w:color w:val="000000" w:themeColor="text1"/>
          <w:sz w:val="24"/>
          <w:szCs w:val="24"/>
          <w:lang w:val="pl-PL"/>
        </w:rPr>
      </w:pPr>
      <w:r>
        <w:rPr>
          <w:b/>
          <w:iCs/>
          <w:color w:val="000000" w:themeColor="text1"/>
          <w:sz w:val="24"/>
          <w:szCs w:val="24"/>
          <w:lang w:val="pl-PL"/>
        </w:rPr>
        <w:t>naruszenie art. 8 Konwencji (prawo do poszanowania życia prywatnego i rodzinnego – aspekt prawa do poszanowania życia prywatnego) z uwagi na o</w:t>
      </w:r>
      <w:r w:rsidRPr="00097BCF">
        <w:rPr>
          <w:b/>
          <w:iCs/>
          <w:color w:val="000000" w:themeColor="text1"/>
          <w:sz w:val="24"/>
          <w:szCs w:val="24"/>
          <w:lang w:val="pl-PL"/>
        </w:rPr>
        <w:t>becność funkcjonariusza w trakcie konsultacji między osadzonym a jego prawnikiem</w:t>
      </w:r>
      <w:r>
        <w:rPr>
          <w:b/>
          <w:iCs/>
          <w:color w:val="000000" w:themeColor="text1"/>
          <w:sz w:val="24"/>
          <w:szCs w:val="24"/>
          <w:lang w:val="pl-PL"/>
        </w:rPr>
        <w:t xml:space="preserve"> </w:t>
      </w:r>
    </w:p>
    <w:p w14:paraId="06BFD3AB" w14:textId="352934C0"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color w:val="000000" w:themeColor="text1"/>
          <w:sz w:val="24"/>
          <w:szCs w:val="24"/>
          <w:lang w:val="pl-PL"/>
        </w:rPr>
        <w:t>naruszenie art. 6 ust. 1 Konwencji (prawo do rzetelnego postępowania – aspekty postępowania cywilnego oraz publicznego rozpatrzenia sprawy i ustnego przesłuchania) z powodu faktu, że postępowanie,</w:t>
      </w:r>
      <w:r w:rsidRPr="00097BCF">
        <w:rPr>
          <w:b/>
          <w:color w:val="000000" w:themeColor="text1"/>
          <w:sz w:val="24"/>
          <w:szCs w:val="24"/>
          <w:lang w:val="pl-PL"/>
        </w:rPr>
        <w:t xml:space="preserve"> </w:t>
      </w:r>
      <w:r>
        <w:rPr>
          <w:b/>
          <w:color w:val="000000" w:themeColor="text1"/>
          <w:sz w:val="24"/>
          <w:szCs w:val="24"/>
          <w:lang w:val="pl-PL"/>
        </w:rPr>
        <w:t>wszczęte na wniosek władz więziennych, w sprawie zarządzenia</w:t>
      </w:r>
      <w:r w:rsidRPr="00097BCF">
        <w:rPr>
          <w:b/>
          <w:color w:val="000000" w:themeColor="text1"/>
          <w:sz w:val="24"/>
          <w:szCs w:val="24"/>
          <w:lang w:val="pl-PL"/>
        </w:rPr>
        <w:t xml:space="preserve"> obecności funkcjonariusza w trakcie konsultacji osadzonego z prawnikiem </w:t>
      </w:r>
      <w:r>
        <w:rPr>
          <w:b/>
          <w:color w:val="000000" w:themeColor="text1"/>
          <w:sz w:val="24"/>
          <w:szCs w:val="24"/>
          <w:lang w:val="pl-PL"/>
        </w:rPr>
        <w:t xml:space="preserve">zostało przeprowadzone </w:t>
      </w:r>
      <w:r w:rsidRPr="00097BCF">
        <w:rPr>
          <w:b/>
          <w:color w:val="000000" w:themeColor="text1"/>
          <w:sz w:val="24"/>
          <w:szCs w:val="24"/>
          <w:lang w:val="pl-PL"/>
        </w:rPr>
        <w:t>bez ustnego przesłuchania lub</w:t>
      </w:r>
      <w:r w:rsidR="00277D0F">
        <w:rPr>
          <w:b/>
          <w:color w:val="000000" w:themeColor="text1"/>
          <w:sz w:val="24"/>
          <w:szCs w:val="24"/>
          <w:lang w:val="pl-PL"/>
        </w:rPr>
        <w:t> </w:t>
      </w:r>
      <w:r w:rsidRPr="00097BCF">
        <w:rPr>
          <w:b/>
          <w:color w:val="000000" w:themeColor="text1"/>
          <w:sz w:val="24"/>
          <w:szCs w:val="24"/>
          <w:lang w:val="pl-PL"/>
        </w:rPr>
        <w:t xml:space="preserve">zwrócenia </w:t>
      </w:r>
      <w:r>
        <w:rPr>
          <w:b/>
          <w:color w:val="000000" w:themeColor="text1"/>
          <w:sz w:val="24"/>
          <w:szCs w:val="24"/>
          <w:lang w:val="pl-PL"/>
        </w:rPr>
        <w:t xml:space="preserve">się do stron </w:t>
      </w:r>
      <w:r w:rsidRPr="00097BCF">
        <w:rPr>
          <w:b/>
          <w:color w:val="000000" w:themeColor="text1"/>
          <w:sz w:val="24"/>
          <w:szCs w:val="24"/>
          <w:lang w:val="pl-PL"/>
        </w:rPr>
        <w:t>o stanowisko</w:t>
      </w:r>
    </w:p>
    <w:p w14:paraId="0828022B" w14:textId="77777777" w:rsidR="00950534" w:rsidRPr="00A80201" w:rsidRDefault="00950534" w:rsidP="00950534">
      <w:pPr>
        <w:pStyle w:val="ClinContent"/>
        <w:widowControl w:val="0"/>
        <w:spacing w:before="0"/>
        <w:rPr>
          <w:rFonts w:asciiTheme="minorHAnsi" w:hAnsiTheme="minorHAnsi"/>
          <w:sz w:val="24"/>
          <w:lang w:val="pl-PL"/>
        </w:rPr>
      </w:pPr>
    </w:p>
    <w:p w14:paraId="01E7E432" w14:textId="57D81B1E"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 xml:space="preserve">Skarżący, </w:t>
      </w:r>
      <w:r>
        <w:rPr>
          <w:rFonts w:asciiTheme="minorHAnsi" w:hAnsiTheme="minorHAnsi"/>
          <w:sz w:val="24"/>
          <w:lang w:val="pl-PL"/>
        </w:rPr>
        <w:t>który odbywał</w:t>
      </w:r>
      <w:r w:rsidRPr="00B15C52">
        <w:rPr>
          <w:rFonts w:asciiTheme="minorHAnsi" w:hAnsiTheme="minorHAnsi"/>
          <w:sz w:val="24"/>
          <w:lang w:val="pl-PL"/>
        </w:rPr>
        <w:t xml:space="preserve"> karę dożywotniego pozbawienia wolności, otrzymał od swej prawniczki paczkę zawierającą przedmioty takie jak książka i gazeta. Sądy krajowe uznały, że</w:t>
      </w:r>
      <w:r w:rsidR="00CB5C18">
        <w:rPr>
          <w:rFonts w:asciiTheme="minorHAnsi" w:hAnsiTheme="minorHAnsi"/>
          <w:sz w:val="24"/>
          <w:lang w:val="pl-PL"/>
        </w:rPr>
        <w:t> </w:t>
      </w:r>
      <w:r w:rsidRPr="00B15C52">
        <w:rPr>
          <w:rFonts w:asciiTheme="minorHAnsi" w:hAnsiTheme="minorHAnsi"/>
          <w:sz w:val="24"/>
          <w:lang w:val="pl-PL"/>
        </w:rPr>
        <w:t xml:space="preserve">przedmioty te nie odnosiły się do prawa do obrony i jako takie nie </w:t>
      </w:r>
      <w:r>
        <w:rPr>
          <w:rFonts w:asciiTheme="minorHAnsi" w:hAnsiTheme="minorHAnsi"/>
          <w:sz w:val="24"/>
          <w:lang w:val="pl-PL"/>
        </w:rPr>
        <w:t xml:space="preserve">powinny </w:t>
      </w:r>
      <w:r w:rsidRPr="00B15C52">
        <w:rPr>
          <w:rFonts w:asciiTheme="minorHAnsi" w:hAnsiTheme="minorHAnsi"/>
          <w:sz w:val="24"/>
          <w:lang w:val="pl-PL"/>
        </w:rPr>
        <w:t>mu zostać przekazane. Następnie administracja więzienna złożyła wniosek do prokuratora o</w:t>
      </w:r>
      <w:r w:rsidR="00CB5C18">
        <w:rPr>
          <w:rFonts w:asciiTheme="minorHAnsi" w:hAnsiTheme="minorHAnsi"/>
          <w:sz w:val="24"/>
          <w:lang w:val="pl-PL"/>
        </w:rPr>
        <w:t> </w:t>
      </w:r>
      <w:r w:rsidRPr="00B15C52">
        <w:rPr>
          <w:rFonts w:asciiTheme="minorHAnsi" w:hAnsiTheme="minorHAnsi"/>
          <w:sz w:val="24"/>
          <w:lang w:val="pl-PL"/>
        </w:rPr>
        <w:t xml:space="preserve">zastosowanie wobec skarżącego art. 5 ustawy nr 5351, który przewidywał obecność funkcjonariusza w trakcie konsultacji między osadzonym a jego prawnikiem. Sąd </w:t>
      </w:r>
      <w:r>
        <w:rPr>
          <w:rFonts w:asciiTheme="minorHAnsi" w:hAnsiTheme="minorHAnsi"/>
          <w:sz w:val="24"/>
          <w:lang w:val="pl-PL"/>
        </w:rPr>
        <w:t xml:space="preserve">krajowy </w:t>
      </w:r>
      <w:r w:rsidRPr="00B15C52">
        <w:rPr>
          <w:rFonts w:asciiTheme="minorHAnsi" w:hAnsiTheme="minorHAnsi"/>
          <w:sz w:val="24"/>
          <w:lang w:val="pl-PL"/>
        </w:rPr>
        <w:t>uwzględnił ten wniosek w oparciu o zbadanie akt</w:t>
      </w:r>
      <w:r>
        <w:rPr>
          <w:rFonts w:asciiTheme="minorHAnsi" w:hAnsiTheme="minorHAnsi"/>
          <w:sz w:val="24"/>
          <w:lang w:val="pl-PL"/>
        </w:rPr>
        <w:t xml:space="preserve"> sprawy</w:t>
      </w:r>
      <w:r w:rsidRPr="00B15C52">
        <w:rPr>
          <w:rFonts w:asciiTheme="minorHAnsi" w:hAnsiTheme="minorHAnsi"/>
          <w:sz w:val="24"/>
          <w:lang w:val="pl-PL"/>
        </w:rPr>
        <w:t xml:space="preserve">, nie przeprowadzając rozprawy </w:t>
      </w:r>
      <w:r>
        <w:rPr>
          <w:rFonts w:asciiTheme="minorHAnsi" w:hAnsiTheme="minorHAnsi"/>
          <w:sz w:val="24"/>
          <w:lang w:val="pl-PL"/>
        </w:rPr>
        <w:t>ani</w:t>
      </w:r>
      <w:r w:rsidR="00CB5C18">
        <w:rPr>
          <w:rFonts w:asciiTheme="minorHAnsi" w:hAnsiTheme="minorHAnsi"/>
          <w:sz w:val="24"/>
          <w:lang w:val="pl-PL"/>
        </w:rPr>
        <w:t> </w:t>
      </w:r>
      <w:r w:rsidRPr="00B15C52">
        <w:rPr>
          <w:rFonts w:asciiTheme="minorHAnsi" w:hAnsiTheme="minorHAnsi"/>
          <w:sz w:val="24"/>
          <w:lang w:val="pl-PL"/>
        </w:rPr>
        <w:t>nie zwracając się do skarżącego i jego prawniczki o stanowisko.</w:t>
      </w:r>
      <w:r>
        <w:rPr>
          <w:rFonts w:asciiTheme="minorHAnsi" w:hAnsiTheme="minorHAnsi"/>
          <w:sz w:val="24"/>
          <w:lang w:val="pl-PL"/>
        </w:rPr>
        <w:t xml:space="preserve"> </w:t>
      </w:r>
    </w:p>
    <w:p w14:paraId="382A0AF6" w14:textId="77777777" w:rsidR="00950534" w:rsidRDefault="00950534" w:rsidP="00950534">
      <w:pPr>
        <w:pStyle w:val="ClinContent"/>
        <w:widowControl w:val="0"/>
        <w:spacing w:before="0"/>
        <w:rPr>
          <w:rFonts w:asciiTheme="minorHAnsi" w:hAnsiTheme="minorHAnsi"/>
          <w:sz w:val="24"/>
          <w:lang w:val="pl-PL"/>
        </w:rPr>
      </w:pPr>
    </w:p>
    <w:p w14:paraId="3FF34D12" w14:textId="2EE59B0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 Po pierwsze Trybunał zbadał, </w:t>
      </w:r>
      <w:r w:rsidRPr="007443B8">
        <w:rPr>
          <w:rFonts w:asciiTheme="minorHAnsi" w:hAnsiTheme="minorHAnsi"/>
          <w:i/>
          <w:sz w:val="24"/>
          <w:u w:val="single"/>
          <w:lang w:val="pl-PL"/>
        </w:rPr>
        <w:t>czy ograniczenie poufności porozumienia się skarżącego ze</w:t>
      </w:r>
      <w:r w:rsidR="00CB5C18">
        <w:rPr>
          <w:rFonts w:asciiTheme="minorHAnsi" w:hAnsiTheme="minorHAnsi"/>
          <w:i/>
          <w:sz w:val="24"/>
          <w:u w:val="single"/>
          <w:lang w:val="pl-PL"/>
        </w:rPr>
        <w:t> </w:t>
      </w:r>
      <w:r w:rsidRPr="007443B8">
        <w:rPr>
          <w:rFonts w:asciiTheme="minorHAnsi" w:hAnsiTheme="minorHAnsi"/>
          <w:i/>
          <w:sz w:val="24"/>
          <w:u w:val="single"/>
          <w:lang w:val="pl-PL"/>
        </w:rPr>
        <w:t>swoją prawniczką było zgodne z prawem do poszanowania życia prywatnego gwarantowanego na podstawie art. 8 Konwencji</w:t>
      </w:r>
      <w:r>
        <w:rPr>
          <w:rFonts w:asciiTheme="minorHAnsi" w:hAnsiTheme="minorHAnsi"/>
          <w:sz w:val="24"/>
          <w:lang w:val="pl-PL"/>
        </w:rPr>
        <w:t xml:space="preserve">. </w:t>
      </w:r>
    </w:p>
    <w:p w14:paraId="73E083E0" w14:textId="77777777" w:rsidR="00950534" w:rsidRDefault="00950534" w:rsidP="00950534">
      <w:pPr>
        <w:pStyle w:val="ClinContent"/>
        <w:widowControl w:val="0"/>
        <w:spacing w:before="0"/>
        <w:rPr>
          <w:rFonts w:asciiTheme="minorHAnsi" w:hAnsiTheme="minorHAnsi"/>
          <w:sz w:val="24"/>
          <w:lang w:val="pl-PL"/>
        </w:rPr>
      </w:pPr>
    </w:p>
    <w:p w14:paraId="07302E80"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Przypomniał, że a</w:t>
      </w:r>
      <w:r w:rsidRPr="00B15C52">
        <w:rPr>
          <w:rFonts w:asciiTheme="minorHAnsi" w:hAnsiTheme="minorHAnsi"/>
          <w:sz w:val="24"/>
          <w:lang w:val="pl-PL"/>
        </w:rPr>
        <w:t xml:space="preserve">rt. 8 </w:t>
      </w:r>
      <w:r>
        <w:rPr>
          <w:rFonts w:asciiTheme="minorHAnsi" w:hAnsiTheme="minorHAnsi"/>
          <w:sz w:val="24"/>
          <w:lang w:val="pl-PL"/>
        </w:rPr>
        <w:t xml:space="preserve">Konwencji </w:t>
      </w:r>
      <w:r w:rsidRPr="00B15C52">
        <w:rPr>
          <w:rFonts w:asciiTheme="minorHAnsi" w:hAnsiTheme="minorHAnsi"/>
          <w:sz w:val="24"/>
          <w:lang w:val="pl-PL"/>
        </w:rPr>
        <w:t>obejmuje prawo każdej osoby do zwracania się do innych osób w celu nawiązywania i rozwijania relacji z nimi i ze światem zewnętrznym, czyli prawo do „prywatnego życia społecznego”, i może obejmować działa</w:t>
      </w:r>
      <w:r>
        <w:rPr>
          <w:rFonts w:asciiTheme="minorHAnsi" w:hAnsiTheme="minorHAnsi"/>
          <w:sz w:val="24"/>
          <w:lang w:val="pl-PL"/>
        </w:rPr>
        <w:t xml:space="preserve">lność zawodową </w:t>
      </w:r>
      <w:r w:rsidRPr="00B15C52">
        <w:rPr>
          <w:rFonts w:asciiTheme="minorHAnsi" w:hAnsiTheme="minorHAnsi"/>
          <w:sz w:val="24"/>
          <w:lang w:val="pl-PL"/>
        </w:rPr>
        <w:t xml:space="preserve">lub działania mające miejsce w kontekście publicznym. Istnieje zatem obszar interakcji osoby z innymi osobami, nawet w kontekście publicznym, który może wchodzić w zakres „życia prywatnego”. </w:t>
      </w:r>
      <w:r>
        <w:rPr>
          <w:rFonts w:asciiTheme="minorHAnsi" w:hAnsiTheme="minorHAnsi"/>
          <w:sz w:val="24"/>
          <w:lang w:val="pl-PL"/>
        </w:rPr>
        <w:t xml:space="preserve">Trybunał uznał, że komunikacja </w:t>
      </w:r>
      <w:r w:rsidRPr="00B15C52">
        <w:rPr>
          <w:rFonts w:asciiTheme="minorHAnsi" w:hAnsiTheme="minorHAnsi"/>
          <w:sz w:val="24"/>
          <w:lang w:val="pl-PL"/>
        </w:rPr>
        <w:t xml:space="preserve">osoby z prawnikiem w kontekście pomocy prawnej wchodzi w zakres prawa do życia prywatnego, gdyż celem takiej interakcji jest umożliwienie osobie podejmowania świadomych decyzji </w:t>
      </w:r>
      <w:r>
        <w:rPr>
          <w:rFonts w:asciiTheme="minorHAnsi" w:hAnsiTheme="minorHAnsi"/>
          <w:sz w:val="24"/>
          <w:lang w:val="pl-PL"/>
        </w:rPr>
        <w:t xml:space="preserve">dotyczących jej </w:t>
      </w:r>
      <w:r w:rsidRPr="00B15C52">
        <w:rPr>
          <w:rFonts w:asciiTheme="minorHAnsi" w:hAnsiTheme="minorHAnsi"/>
          <w:sz w:val="24"/>
          <w:lang w:val="pl-PL"/>
        </w:rPr>
        <w:t xml:space="preserve">życia. Najczęściej informacje przekazywane prawnikowi </w:t>
      </w:r>
      <w:r>
        <w:rPr>
          <w:rFonts w:asciiTheme="minorHAnsi" w:hAnsiTheme="minorHAnsi"/>
          <w:sz w:val="24"/>
          <w:lang w:val="pl-PL"/>
        </w:rPr>
        <w:t>dotyczą spraw intymnych i osobistych</w:t>
      </w:r>
      <w:r w:rsidRPr="00B15C52">
        <w:rPr>
          <w:rFonts w:asciiTheme="minorHAnsi" w:hAnsiTheme="minorHAnsi"/>
          <w:sz w:val="24"/>
          <w:lang w:val="pl-PL"/>
        </w:rPr>
        <w:t xml:space="preserve"> lub </w:t>
      </w:r>
      <w:r>
        <w:rPr>
          <w:rFonts w:asciiTheme="minorHAnsi" w:hAnsiTheme="minorHAnsi"/>
          <w:sz w:val="24"/>
          <w:lang w:val="pl-PL"/>
        </w:rPr>
        <w:t>delikatnych kwestii</w:t>
      </w:r>
      <w:r w:rsidRPr="00B15C52">
        <w:rPr>
          <w:rFonts w:asciiTheme="minorHAnsi" w:hAnsiTheme="minorHAnsi"/>
          <w:sz w:val="24"/>
          <w:lang w:val="pl-PL"/>
        </w:rPr>
        <w:t xml:space="preserve">. </w:t>
      </w:r>
      <w:r>
        <w:rPr>
          <w:rFonts w:asciiTheme="minorHAnsi" w:hAnsiTheme="minorHAnsi"/>
          <w:sz w:val="24"/>
          <w:lang w:val="pl-PL"/>
        </w:rPr>
        <w:t xml:space="preserve">Z tego względu Trybunał podkreślił, że zarówno </w:t>
      </w:r>
      <w:r w:rsidRPr="00B15C52">
        <w:rPr>
          <w:rFonts w:asciiTheme="minorHAnsi" w:hAnsiTheme="minorHAnsi"/>
          <w:sz w:val="24"/>
          <w:lang w:val="pl-PL"/>
        </w:rPr>
        <w:t xml:space="preserve">w kontekście pomocy w sporze cywilnym lub karnym, </w:t>
      </w:r>
      <w:r>
        <w:rPr>
          <w:rFonts w:asciiTheme="minorHAnsi" w:hAnsiTheme="minorHAnsi"/>
          <w:sz w:val="24"/>
          <w:lang w:val="pl-PL"/>
        </w:rPr>
        <w:t>jak i</w:t>
      </w:r>
      <w:r w:rsidRPr="00B15C52">
        <w:rPr>
          <w:rFonts w:asciiTheme="minorHAnsi" w:hAnsiTheme="minorHAnsi"/>
          <w:sz w:val="24"/>
          <w:lang w:val="pl-PL"/>
        </w:rPr>
        <w:t xml:space="preserve"> w kontekście </w:t>
      </w:r>
      <w:r>
        <w:rPr>
          <w:rFonts w:asciiTheme="minorHAnsi" w:hAnsiTheme="minorHAnsi"/>
          <w:sz w:val="24"/>
          <w:lang w:val="pl-PL"/>
        </w:rPr>
        <w:t>zasięgnięcia ogólnej porady prawnej, osoby</w:t>
      </w:r>
      <w:r w:rsidRPr="00B15C52">
        <w:rPr>
          <w:rFonts w:asciiTheme="minorHAnsi" w:hAnsiTheme="minorHAnsi"/>
          <w:sz w:val="24"/>
          <w:lang w:val="pl-PL"/>
        </w:rPr>
        <w:t xml:space="preserve"> konsultują</w:t>
      </w:r>
      <w:r>
        <w:rPr>
          <w:rFonts w:asciiTheme="minorHAnsi" w:hAnsiTheme="minorHAnsi"/>
          <w:sz w:val="24"/>
          <w:lang w:val="pl-PL"/>
        </w:rPr>
        <w:t>ce</w:t>
      </w:r>
      <w:r w:rsidRPr="00B15C52">
        <w:rPr>
          <w:rFonts w:asciiTheme="minorHAnsi" w:hAnsiTheme="minorHAnsi"/>
          <w:sz w:val="24"/>
          <w:lang w:val="pl-PL"/>
        </w:rPr>
        <w:t xml:space="preserve"> się z prawnikiem mogą w uzasadniony sposób oczekiwać, </w:t>
      </w:r>
      <w:r>
        <w:rPr>
          <w:rFonts w:asciiTheme="minorHAnsi" w:hAnsiTheme="minorHAnsi"/>
          <w:sz w:val="24"/>
          <w:lang w:val="pl-PL"/>
        </w:rPr>
        <w:t>że ich komunikacja będzie</w:t>
      </w:r>
      <w:r w:rsidRPr="00B15C52">
        <w:rPr>
          <w:rFonts w:asciiTheme="minorHAnsi" w:hAnsiTheme="minorHAnsi"/>
          <w:sz w:val="24"/>
          <w:lang w:val="pl-PL"/>
        </w:rPr>
        <w:t xml:space="preserve"> prywatna i poufna. </w:t>
      </w:r>
    </w:p>
    <w:p w14:paraId="5E749D5E" w14:textId="77777777" w:rsidR="00950534" w:rsidRDefault="00950534" w:rsidP="00950534">
      <w:pPr>
        <w:pStyle w:val="ClinContent"/>
        <w:widowControl w:val="0"/>
        <w:spacing w:before="0"/>
        <w:rPr>
          <w:rFonts w:asciiTheme="minorHAnsi" w:hAnsiTheme="minorHAnsi"/>
          <w:sz w:val="24"/>
          <w:lang w:val="pl-PL"/>
        </w:rPr>
      </w:pPr>
    </w:p>
    <w:p w14:paraId="3AC61A2E"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 xml:space="preserve">W odniesieniu do </w:t>
      </w:r>
      <w:r w:rsidRPr="0048668F">
        <w:rPr>
          <w:rFonts w:asciiTheme="minorHAnsi" w:hAnsiTheme="minorHAnsi"/>
          <w:sz w:val="24"/>
          <w:lang w:val="pl-PL"/>
        </w:rPr>
        <w:t>treści komunikacji i uprzywilejowanego statusu relacji między prawnikiem a klientem Trybunał nie dostrzegł powodów, by wyróżniać kategorie korespondencji osób pozbawionych</w:t>
      </w:r>
      <w:r>
        <w:rPr>
          <w:rFonts w:asciiTheme="minorHAnsi" w:hAnsiTheme="minorHAnsi"/>
          <w:sz w:val="24"/>
          <w:lang w:val="pl-PL"/>
        </w:rPr>
        <w:t xml:space="preserve"> wolności </w:t>
      </w:r>
      <w:r w:rsidRPr="00B15C52">
        <w:rPr>
          <w:rFonts w:asciiTheme="minorHAnsi" w:hAnsiTheme="minorHAnsi"/>
          <w:sz w:val="24"/>
          <w:lang w:val="pl-PL"/>
        </w:rPr>
        <w:t xml:space="preserve">z prawnikami, gdyż niezależnie od swego celu </w:t>
      </w:r>
      <w:r>
        <w:rPr>
          <w:rFonts w:asciiTheme="minorHAnsi" w:hAnsiTheme="minorHAnsi"/>
          <w:sz w:val="24"/>
          <w:lang w:val="pl-PL"/>
        </w:rPr>
        <w:t xml:space="preserve">korespondencja taka </w:t>
      </w:r>
      <w:r w:rsidRPr="00B15C52">
        <w:rPr>
          <w:rFonts w:asciiTheme="minorHAnsi" w:hAnsiTheme="minorHAnsi"/>
          <w:sz w:val="24"/>
          <w:lang w:val="pl-PL"/>
        </w:rPr>
        <w:t xml:space="preserve">dotyczy spraw o charakterze prywatnym i poufnym. Rozgraniczenie </w:t>
      </w:r>
      <w:r>
        <w:rPr>
          <w:rFonts w:asciiTheme="minorHAnsi" w:hAnsiTheme="minorHAnsi"/>
          <w:sz w:val="24"/>
          <w:lang w:val="pl-PL"/>
        </w:rPr>
        <w:t>między korespondencją dotyczącą</w:t>
      </w:r>
      <w:r w:rsidRPr="00B15C52">
        <w:rPr>
          <w:rFonts w:asciiTheme="minorHAnsi" w:hAnsiTheme="minorHAnsi"/>
          <w:sz w:val="24"/>
          <w:lang w:val="pl-PL"/>
        </w:rPr>
        <w:t xml:space="preserve"> rozważanego sporu sądowego </w:t>
      </w:r>
      <w:r>
        <w:rPr>
          <w:rFonts w:asciiTheme="minorHAnsi" w:hAnsiTheme="minorHAnsi"/>
          <w:sz w:val="24"/>
          <w:lang w:val="pl-PL"/>
        </w:rPr>
        <w:t>a korespondencją</w:t>
      </w:r>
      <w:r w:rsidRPr="00B15C52">
        <w:rPr>
          <w:rFonts w:asciiTheme="minorHAnsi" w:hAnsiTheme="minorHAnsi"/>
          <w:sz w:val="24"/>
          <w:lang w:val="pl-PL"/>
        </w:rPr>
        <w:t xml:space="preserve"> o charakterze ogólnym jest szczególnie trudne, a korespondencja z prawnikiem może dotyczyć spraw, które mają niewiele lub nie mają nic wspólnego ze sporami sądowymi. Zasada ta </w:t>
      </w:r>
      <w:r w:rsidRPr="00B15C52">
        <w:rPr>
          <w:rFonts w:asciiTheme="minorHAnsi" w:hAnsiTheme="minorHAnsi"/>
          <w:i/>
          <w:sz w:val="24"/>
          <w:lang w:val="pl-PL"/>
        </w:rPr>
        <w:t>a fortiori</w:t>
      </w:r>
      <w:r w:rsidRPr="00B15C52">
        <w:rPr>
          <w:rFonts w:asciiTheme="minorHAnsi" w:hAnsiTheme="minorHAnsi"/>
          <w:sz w:val="24"/>
          <w:lang w:val="pl-PL"/>
        </w:rPr>
        <w:t xml:space="preserve"> ma zastosowanie do bezpośredniej, ustnej komunikacji z prawnikiem. </w:t>
      </w:r>
      <w:r>
        <w:rPr>
          <w:rFonts w:asciiTheme="minorHAnsi" w:hAnsiTheme="minorHAnsi"/>
          <w:sz w:val="24"/>
          <w:lang w:val="pl-PL"/>
        </w:rPr>
        <w:t xml:space="preserve">Trybunał stwierdził zatem, że </w:t>
      </w:r>
      <w:r w:rsidRPr="00B15C52">
        <w:rPr>
          <w:rFonts w:asciiTheme="minorHAnsi" w:hAnsiTheme="minorHAnsi"/>
          <w:sz w:val="24"/>
          <w:lang w:val="pl-PL"/>
        </w:rPr>
        <w:t>co do zasady ustna komunikacja oraz korespondencja między prawnikiem a jego klientem ma charakter uprzywilejowany na podstawie art. 8</w:t>
      </w:r>
      <w:r>
        <w:rPr>
          <w:rFonts w:asciiTheme="minorHAnsi" w:hAnsiTheme="minorHAnsi"/>
          <w:sz w:val="24"/>
          <w:lang w:val="pl-PL"/>
        </w:rPr>
        <w:t xml:space="preserve"> Konwencji</w:t>
      </w:r>
      <w:r w:rsidRPr="00B15C52">
        <w:rPr>
          <w:rFonts w:asciiTheme="minorHAnsi" w:hAnsiTheme="minorHAnsi"/>
          <w:sz w:val="24"/>
          <w:lang w:val="pl-PL"/>
        </w:rPr>
        <w:t xml:space="preserve">. </w:t>
      </w:r>
    </w:p>
    <w:p w14:paraId="5CE73A4A" w14:textId="77777777" w:rsidR="00950534" w:rsidRDefault="00950534" w:rsidP="00950534">
      <w:pPr>
        <w:pStyle w:val="ClinContent"/>
        <w:widowControl w:val="0"/>
        <w:spacing w:before="0"/>
        <w:rPr>
          <w:rFonts w:asciiTheme="minorHAnsi" w:hAnsiTheme="minorHAnsi"/>
          <w:i/>
          <w:sz w:val="24"/>
          <w:lang w:val="pl-PL"/>
        </w:rPr>
      </w:pPr>
    </w:p>
    <w:p w14:paraId="2DB41215" w14:textId="0ECD934B" w:rsidR="00950534" w:rsidRDefault="00950534" w:rsidP="00950534">
      <w:pPr>
        <w:pStyle w:val="ClinContent"/>
        <w:widowControl w:val="0"/>
        <w:tabs>
          <w:tab w:val="left" w:pos="4678"/>
        </w:tabs>
        <w:spacing w:before="0"/>
        <w:rPr>
          <w:rFonts w:asciiTheme="minorHAnsi" w:hAnsiTheme="minorHAnsi"/>
          <w:sz w:val="24"/>
          <w:lang w:val="pl-PL"/>
        </w:rPr>
      </w:pPr>
      <w:r>
        <w:rPr>
          <w:rFonts w:asciiTheme="minorHAnsi" w:hAnsiTheme="minorHAnsi"/>
          <w:sz w:val="24"/>
          <w:lang w:val="pl-PL"/>
        </w:rPr>
        <w:t>Trybunał jednak podkreślił, że p</w:t>
      </w:r>
      <w:r w:rsidRPr="00B15C52">
        <w:rPr>
          <w:rFonts w:asciiTheme="minorHAnsi" w:hAnsiTheme="minorHAnsi"/>
          <w:sz w:val="24"/>
          <w:lang w:val="pl-PL"/>
        </w:rPr>
        <w:t xml:space="preserve">rawo do poufnego komunikowania się z prawnikiem – pomimo swego </w:t>
      </w:r>
      <w:r>
        <w:rPr>
          <w:rFonts w:asciiTheme="minorHAnsi" w:hAnsiTheme="minorHAnsi"/>
          <w:sz w:val="24"/>
          <w:lang w:val="pl-PL"/>
        </w:rPr>
        <w:t xml:space="preserve">istotnego </w:t>
      </w:r>
      <w:r w:rsidRPr="00B15C52">
        <w:rPr>
          <w:rFonts w:asciiTheme="minorHAnsi" w:hAnsiTheme="minorHAnsi"/>
          <w:sz w:val="24"/>
          <w:lang w:val="pl-PL"/>
        </w:rPr>
        <w:t xml:space="preserve">znaczenia – nie ma charakteru bezwzględnego i może podlegać ograniczeniom. Margines oceny pozwanego państwa w </w:t>
      </w:r>
      <w:r w:rsidRPr="0048668F">
        <w:rPr>
          <w:rFonts w:asciiTheme="minorHAnsi" w:hAnsiTheme="minorHAnsi"/>
          <w:sz w:val="24"/>
          <w:lang w:val="pl-PL"/>
        </w:rPr>
        <w:t>odniesieniu do dopuszczalnych granic ingerencji w prywatność konsultacji i komunikowania się z prawnikiem jest wąski i</w:t>
      </w:r>
      <w:r w:rsidR="00CB5C18">
        <w:rPr>
          <w:rFonts w:asciiTheme="minorHAnsi" w:hAnsiTheme="minorHAnsi"/>
          <w:sz w:val="24"/>
          <w:lang w:val="pl-PL"/>
        </w:rPr>
        <w:t> </w:t>
      </w:r>
      <w:r w:rsidRPr="0048668F">
        <w:rPr>
          <w:rFonts w:asciiTheme="minorHAnsi" w:hAnsiTheme="minorHAnsi"/>
          <w:sz w:val="24"/>
          <w:lang w:val="pl-PL"/>
        </w:rPr>
        <w:t>jedynie wyjątkowe okoliczności, takie jak zapobieganie</w:t>
      </w:r>
      <w:r w:rsidRPr="00B15C52">
        <w:rPr>
          <w:rFonts w:asciiTheme="minorHAnsi" w:hAnsiTheme="minorHAnsi"/>
          <w:sz w:val="24"/>
          <w:lang w:val="pl-PL"/>
        </w:rPr>
        <w:t xml:space="preserve"> popełnieniu poważnego przestępstwa lub znacznych naruszeń bezpieczeństwa więzienia, mogą uzasadniać konieczność ograniczenia tych praw. </w:t>
      </w:r>
      <w:r>
        <w:rPr>
          <w:rFonts w:asciiTheme="minorHAnsi" w:hAnsiTheme="minorHAnsi"/>
          <w:sz w:val="24"/>
          <w:lang w:val="pl-PL"/>
        </w:rPr>
        <w:t xml:space="preserve">Trybunał wskazał, że </w:t>
      </w:r>
      <w:r w:rsidRPr="00B15C52">
        <w:rPr>
          <w:rFonts w:asciiTheme="minorHAnsi" w:hAnsiTheme="minorHAnsi"/>
          <w:sz w:val="24"/>
          <w:lang w:val="pl-PL"/>
        </w:rPr>
        <w:t xml:space="preserve">Konwencja nie zakazuje nakładania na prawników pewnych obowiązków mogących dotykać ich relacji z klientami. Ma to miejsce </w:t>
      </w:r>
      <w:r>
        <w:rPr>
          <w:rFonts w:asciiTheme="minorHAnsi" w:hAnsiTheme="minorHAnsi"/>
          <w:sz w:val="24"/>
          <w:lang w:val="pl-PL"/>
        </w:rPr>
        <w:t>zwłaszcza</w:t>
      </w:r>
      <w:r w:rsidRPr="00B15C52">
        <w:rPr>
          <w:rFonts w:asciiTheme="minorHAnsi" w:hAnsiTheme="minorHAnsi"/>
          <w:sz w:val="24"/>
          <w:lang w:val="pl-PL"/>
        </w:rPr>
        <w:t xml:space="preserve"> wówczas, gdy znaleziono wiarygodne dowody udziału prawnika w</w:t>
      </w:r>
      <w:r w:rsidR="00CB5C18">
        <w:rPr>
          <w:rFonts w:asciiTheme="minorHAnsi" w:hAnsiTheme="minorHAnsi"/>
          <w:sz w:val="24"/>
          <w:lang w:val="pl-PL"/>
        </w:rPr>
        <w:t> </w:t>
      </w:r>
      <w:r w:rsidRPr="00B15C52">
        <w:rPr>
          <w:rFonts w:asciiTheme="minorHAnsi" w:hAnsiTheme="minorHAnsi"/>
          <w:sz w:val="24"/>
          <w:lang w:val="pl-PL"/>
        </w:rPr>
        <w:t xml:space="preserve">przestępstwie lub </w:t>
      </w:r>
      <w:r>
        <w:rPr>
          <w:rFonts w:asciiTheme="minorHAnsi" w:hAnsiTheme="minorHAnsi"/>
          <w:sz w:val="24"/>
          <w:lang w:val="pl-PL"/>
        </w:rPr>
        <w:t xml:space="preserve">gdy wiąże się to </w:t>
      </w:r>
      <w:r w:rsidRPr="00B15C52">
        <w:rPr>
          <w:rFonts w:asciiTheme="minorHAnsi" w:hAnsiTheme="minorHAnsi"/>
          <w:sz w:val="24"/>
          <w:lang w:val="pl-PL"/>
        </w:rPr>
        <w:t xml:space="preserve">z wysiłkami na rzecz zwalczania pewnych praktyk. </w:t>
      </w:r>
      <w:r>
        <w:rPr>
          <w:rFonts w:asciiTheme="minorHAnsi" w:hAnsiTheme="minorHAnsi"/>
          <w:sz w:val="24"/>
          <w:lang w:val="pl-PL"/>
        </w:rPr>
        <w:lastRenderedPageBreak/>
        <w:t>N</w:t>
      </w:r>
      <w:r w:rsidRPr="00B15C52">
        <w:rPr>
          <w:rFonts w:asciiTheme="minorHAnsi" w:hAnsiTheme="minorHAnsi"/>
          <w:sz w:val="24"/>
          <w:lang w:val="pl-PL"/>
        </w:rPr>
        <w:t xml:space="preserve">iezbędne jest </w:t>
      </w:r>
      <w:r w:rsidRPr="0048668F">
        <w:rPr>
          <w:rFonts w:asciiTheme="minorHAnsi" w:hAnsiTheme="minorHAnsi"/>
          <w:sz w:val="24"/>
          <w:lang w:val="pl-PL"/>
        </w:rPr>
        <w:t>jednak ustanowienie ścisłych ram dla</w:t>
      </w:r>
      <w:r w:rsidRPr="00B15C52">
        <w:rPr>
          <w:rFonts w:asciiTheme="minorHAnsi" w:hAnsiTheme="minorHAnsi"/>
          <w:sz w:val="24"/>
          <w:lang w:val="pl-PL"/>
        </w:rPr>
        <w:t xml:space="preserve"> </w:t>
      </w:r>
      <w:r>
        <w:rPr>
          <w:rFonts w:asciiTheme="minorHAnsi" w:hAnsiTheme="minorHAnsi"/>
          <w:sz w:val="24"/>
          <w:lang w:val="pl-PL"/>
        </w:rPr>
        <w:t xml:space="preserve">stosowania </w:t>
      </w:r>
      <w:r w:rsidRPr="00B15C52">
        <w:rPr>
          <w:rFonts w:asciiTheme="minorHAnsi" w:hAnsiTheme="minorHAnsi"/>
          <w:sz w:val="24"/>
          <w:lang w:val="pl-PL"/>
        </w:rPr>
        <w:t>takich środków, ponieważ prawnicy zajmują ważne miejsce w wymiarze sprawiedliwości i z racji swojej roli pośrednika między stronami a sądami mogą być określ</w:t>
      </w:r>
      <w:r>
        <w:rPr>
          <w:rFonts w:asciiTheme="minorHAnsi" w:hAnsiTheme="minorHAnsi"/>
          <w:sz w:val="24"/>
          <w:lang w:val="pl-PL"/>
        </w:rPr>
        <w:t>a</w:t>
      </w:r>
      <w:r w:rsidRPr="00B15C52">
        <w:rPr>
          <w:rFonts w:asciiTheme="minorHAnsi" w:hAnsiTheme="minorHAnsi"/>
          <w:sz w:val="24"/>
          <w:lang w:val="pl-PL"/>
        </w:rPr>
        <w:t>ni jako funkcjonariusze prawa.</w:t>
      </w:r>
    </w:p>
    <w:p w14:paraId="70268A5D" w14:textId="77777777" w:rsidR="00950534" w:rsidRDefault="00950534" w:rsidP="00950534">
      <w:pPr>
        <w:pStyle w:val="ClinContent"/>
        <w:widowControl w:val="0"/>
        <w:spacing w:before="0"/>
        <w:rPr>
          <w:rFonts w:asciiTheme="minorHAnsi" w:hAnsiTheme="minorHAnsi"/>
          <w:sz w:val="24"/>
          <w:lang w:val="pl-PL"/>
        </w:rPr>
      </w:pPr>
    </w:p>
    <w:p w14:paraId="119710B8" w14:textId="54393A78"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odnotował, że w</w:t>
      </w:r>
      <w:r w:rsidRPr="00B15C52">
        <w:rPr>
          <w:rFonts w:asciiTheme="minorHAnsi" w:hAnsiTheme="minorHAnsi"/>
          <w:sz w:val="24"/>
          <w:lang w:val="pl-PL"/>
        </w:rPr>
        <w:t xml:space="preserve"> sprawie skarżącego sądy krajowe przywołały art. 59 ustawy nr</w:t>
      </w:r>
      <w:r w:rsidR="00CB5C18">
        <w:rPr>
          <w:rFonts w:asciiTheme="minorHAnsi" w:hAnsiTheme="minorHAnsi"/>
          <w:sz w:val="24"/>
          <w:lang w:val="pl-PL"/>
        </w:rPr>
        <w:t> </w:t>
      </w:r>
      <w:r w:rsidRPr="00B15C52">
        <w:rPr>
          <w:rFonts w:asciiTheme="minorHAnsi" w:hAnsiTheme="minorHAnsi"/>
          <w:sz w:val="24"/>
          <w:lang w:val="pl-PL"/>
        </w:rPr>
        <w:t xml:space="preserve">5275 jako podstawę prawną ingerencji w poufność spotkań skarżącego z jego prawniczką. Orzekły w związku z tym, że </w:t>
      </w:r>
      <w:r>
        <w:rPr>
          <w:rFonts w:asciiTheme="minorHAnsi" w:hAnsiTheme="minorHAnsi"/>
          <w:sz w:val="24"/>
          <w:lang w:val="pl-PL"/>
        </w:rPr>
        <w:t xml:space="preserve">postępowanie </w:t>
      </w:r>
      <w:r w:rsidRPr="00B15C52">
        <w:rPr>
          <w:rFonts w:asciiTheme="minorHAnsi" w:hAnsiTheme="minorHAnsi"/>
          <w:sz w:val="24"/>
          <w:lang w:val="pl-PL"/>
        </w:rPr>
        <w:t>prawniczki było niezgodne z wymogami zawodu prawnika w zakresie, w jakim przesłała ona skarżącemu książki i czasopisma, które nie</w:t>
      </w:r>
      <w:r w:rsidR="00CB5C18">
        <w:rPr>
          <w:rFonts w:asciiTheme="minorHAnsi" w:hAnsiTheme="minorHAnsi"/>
          <w:sz w:val="24"/>
          <w:lang w:val="pl-PL"/>
        </w:rPr>
        <w:t> </w:t>
      </w:r>
      <w:r w:rsidRPr="00B15C52">
        <w:rPr>
          <w:rFonts w:asciiTheme="minorHAnsi" w:hAnsiTheme="minorHAnsi"/>
          <w:sz w:val="24"/>
          <w:lang w:val="pl-PL"/>
        </w:rPr>
        <w:t xml:space="preserve">dotyczyły kwestii obrony. </w:t>
      </w:r>
    </w:p>
    <w:p w14:paraId="6B690AEE" w14:textId="77777777" w:rsidR="00950534" w:rsidRDefault="00950534" w:rsidP="00950534">
      <w:pPr>
        <w:pStyle w:val="ClinContent"/>
        <w:widowControl w:val="0"/>
        <w:spacing w:before="0"/>
        <w:rPr>
          <w:rFonts w:asciiTheme="minorHAnsi" w:hAnsiTheme="minorHAnsi"/>
          <w:sz w:val="24"/>
          <w:lang w:val="pl-PL"/>
        </w:rPr>
      </w:pPr>
    </w:p>
    <w:p w14:paraId="37D52D1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Jak jednak przypomniał Trybunał, </w:t>
      </w:r>
      <w:r w:rsidRPr="00B15C52">
        <w:rPr>
          <w:rFonts w:asciiTheme="minorHAnsi" w:hAnsiTheme="minorHAnsi"/>
          <w:sz w:val="24"/>
          <w:lang w:val="pl-PL"/>
        </w:rPr>
        <w:t xml:space="preserve">art. 59 ustawy nr 5275 stanowił środek o charakterze wyjątkowym, który wskazywał wyczerpującą listę okoliczności, w których można było ograniczyć poufność komunikowania się między prawnikiem a klientem. Zgodnie z tym postanowieniem można było zarządzić obecność funkcjonariusza służby więziennej w trakcie spotkań między prawnikiem a jego klientem jedynie wówczas, gdy z dokumentów lub innych dowodów wynikało, że </w:t>
      </w:r>
      <w:r>
        <w:rPr>
          <w:rFonts w:asciiTheme="minorHAnsi" w:hAnsiTheme="minorHAnsi"/>
          <w:sz w:val="24"/>
          <w:lang w:val="pl-PL"/>
        </w:rPr>
        <w:t>przywilej poufności komunikowania się, z którego</w:t>
      </w:r>
      <w:r w:rsidRPr="00B15C52">
        <w:rPr>
          <w:rFonts w:asciiTheme="minorHAnsi" w:hAnsiTheme="minorHAnsi"/>
          <w:sz w:val="24"/>
          <w:lang w:val="pl-PL"/>
        </w:rPr>
        <w:t xml:space="preserve"> korzystał osadzony i jego prawnik, był</w:t>
      </w:r>
      <w:r>
        <w:rPr>
          <w:rFonts w:asciiTheme="minorHAnsi" w:hAnsiTheme="minorHAnsi"/>
          <w:sz w:val="24"/>
          <w:lang w:val="pl-PL"/>
        </w:rPr>
        <w:t xml:space="preserve"> wykorzystywany</w:t>
      </w:r>
      <w:r w:rsidRPr="00B15C52">
        <w:rPr>
          <w:rFonts w:asciiTheme="minorHAnsi" w:hAnsiTheme="minorHAnsi"/>
          <w:sz w:val="24"/>
          <w:lang w:val="pl-PL"/>
        </w:rPr>
        <w:t xml:space="preserve"> jako środek</w:t>
      </w:r>
      <w:r>
        <w:rPr>
          <w:rFonts w:asciiTheme="minorHAnsi" w:hAnsiTheme="minorHAnsi"/>
          <w:sz w:val="24"/>
          <w:lang w:val="pl-PL"/>
        </w:rPr>
        <w:t xml:space="preserve"> do </w:t>
      </w:r>
      <w:r w:rsidRPr="00B15C52">
        <w:rPr>
          <w:rFonts w:asciiTheme="minorHAnsi" w:hAnsiTheme="minorHAnsi"/>
          <w:sz w:val="24"/>
          <w:lang w:val="pl-PL"/>
        </w:rPr>
        <w:t>porozumiewania się z organizacją terrorystyczną lub do popełnienia przestęps</w:t>
      </w:r>
      <w:r>
        <w:rPr>
          <w:rFonts w:asciiTheme="minorHAnsi" w:hAnsiTheme="minorHAnsi"/>
          <w:sz w:val="24"/>
          <w:lang w:val="pl-PL"/>
        </w:rPr>
        <w:t>twa, lub w inny sposób zagrażał</w:t>
      </w:r>
      <w:r w:rsidRPr="00B15C52">
        <w:rPr>
          <w:rFonts w:asciiTheme="minorHAnsi" w:hAnsiTheme="minorHAnsi"/>
          <w:sz w:val="24"/>
          <w:lang w:val="pl-PL"/>
        </w:rPr>
        <w:t xml:space="preserve"> bezpieczeństwu zakładu. </w:t>
      </w:r>
    </w:p>
    <w:p w14:paraId="0830BE08" w14:textId="77777777" w:rsidR="00950534" w:rsidRDefault="00950534" w:rsidP="00950534">
      <w:pPr>
        <w:pStyle w:val="ClinContent"/>
        <w:widowControl w:val="0"/>
        <w:spacing w:before="0"/>
        <w:rPr>
          <w:rFonts w:asciiTheme="minorHAnsi" w:hAnsiTheme="minorHAnsi"/>
          <w:sz w:val="24"/>
          <w:lang w:val="pl-PL"/>
        </w:rPr>
      </w:pPr>
    </w:p>
    <w:p w14:paraId="50F6DC1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zauważył, że p</w:t>
      </w:r>
      <w:r w:rsidRPr="00B15C52">
        <w:rPr>
          <w:rFonts w:asciiTheme="minorHAnsi" w:hAnsiTheme="minorHAnsi"/>
          <w:sz w:val="24"/>
          <w:lang w:val="pl-PL"/>
        </w:rPr>
        <w:t xml:space="preserve">rzechwycenie korespondencji tylko dlatego, że nie dotyczyła ona prawa do obrony, nie było przewidziane w tym artykule jako podstawa do ograniczenia poufności konsultacji z prawnikiem. Przeciwny wniosek byłby sprzeczny z wyraźnym brzmieniem tekstu tego postanowienia i oznaczałby, że jakakolwiek korespondencja od prawnika, która nie dotyczy obrony, może skutkować nałożeniem </w:t>
      </w:r>
      <w:r>
        <w:rPr>
          <w:rFonts w:asciiTheme="minorHAnsi" w:hAnsiTheme="minorHAnsi"/>
          <w:sz w:val="24"/>
          <w:lang w:val="pl-PL"/>
        </w:rPr>
        <w:t xml:space="preserve">tak </w:t>
      </w:r>
      <w:r w:rsidRPr="00B15C52">
        <w:rPr>
          <w:rFonts w:asciiTheme="minorHAnsi" w:hAnsiTheme="minorHAnsi"/>
          <w:sz w:val="24"/>
          <w:lang w:val="pl-PL"/>
        </w:rPr>
        <w:t xml:space="preserve">surowego środka, </w:t>
      </w:r>
      <w:r>
        <w:rPr>
          <w:rFonts w:asciiTheme="minorHAnsi" w:hAnsiTheme="minorHAnsi"/>
          <w:sz w:val="24"/>
          <w:lang w:val="pl-PL"/>
        </w:rPr>
        <w:t xml:space="preserve">który może być stosowany </w:t>
      </w:r>
      <w:r w:rsidRPr="00B15C52">
        <w:rPr>
          <w:rFonts w:asciiTheme="minorHAnsi" w:hAnsiTheme="minorHAnsi"/>
          <w:sz w:val="24"/>
          <w:lang w:val="pl-PL"/>
        </w:rPr>
        <w:t xml:space="preserve">bez żadnych ograniczeń co do czasu jego trwania. </w:t>
      </w:r>
    </w:p>
    <w:p w14:paraId="29677957" w14:textId="77777777" w:rsidR="00950534" w:rsidRDefault="00950534" w:rsidP="00950534">
      <w:pPr>
        <w:pStyle w:val="ClinContent"/>
        <w:widowControl w:val="0"/>
        <w:spacing w:before="0"/>
        <w:rPr>
          <w:rFonts w:asciiTheme="minorHAnsi" w:hAnsiTheme="minorHAnsi"/>
          <w:sz w:val="24"/>
          <w:lang w:val="pl-PL"/>
        </w:rPr>
      </w:pPr>
    </w:p>
    <w:p w14:paraId="01A6BD8D" w14:textId="06B0B66A"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Chociaż litera i duch przepisu krajowego obowiązującego w czasie wydarzeń były wystarczająco precyzyjne – z wyjątkiem braku terminów stosowania ograniczenia – jego wykładnia i zastosowanie przez sądy krajowe do okoliczności sprawy skarżącego były</w:t>
      </w:r>
      <w:r>
        <w:rPr>
          <w:rFonts w:asciiTheme="minorHAnsi" w:hAnsiTheme="minorHAnsi"/>
          <w:sz w:val="24"/>
          <w:lang w:val="pl-PL"/>
        </w:rPr>
        <w:t>, w</w:t>
      </w:r>
      <w:r w:rsidR="00CB5C18">
        <w:rPr>
          <w:rFonts w:asciiTheme="minorHAnsi" w:hAnsiTheme="minorHAnsi"/>
          <w:sz w:val="24"/>
          <w:lang w:val="pl-PL"/>
        </w:rPr>
        <w:t> </w:t>
      </w:r>
      <w:r>
        <w:rPr>
          <w:rFonts w:asciiTheme="minorHAnsi" w:hAnsiTheme="minorHAnsi"/>
          <w:sz w:val="24"/>
          <w:lang w:val="pl-PL"/>
        </w:rPr>
        <w:t>opinii Trybunału,</w:t>
      </w:r>
      <w:r w:rsidRPr="00B15C52">
        <w:rPr>
          <w:rFonts w:asciiTheme="minorHAnsi" w:hAnsiTheme="minorHAnsi"/>
          <w:sz w:val="24"/>
          <w:lang w:val="pl-PL"/>
        </w:rPr>
        <w:t xml:space="preserve"> w sposób oczywisty nieuzasadnione, a zatem nieprzewidywalne w</w:t>
      </w:r>
      <w:r w:rsidR="00CB5C18">
        <w:rPr>
          <w:rFonts w:asciiTheme="minorHAnsi" w:hAnsiTheme="minorHAnsi"/>
          <w:sz w:val="24"/>
          <w:lang w:val="pl-PL"/>
        </w:rPr>
        <w:t> </w:t>
      </w:r>
      <w:r w:rsidRPr="00B15C52">
        <w:rPr>
          <w:rFonts w:asciiTheme="minorHAnsi" w:hAnsiTheme="minorHAnsi"/>
          <w:sz w:val="24"/>
          <w:lang w:val="pl-PL"/>
        </w:rPr>
        <w:t>rozumieniu art. 8 ust. 2</w:t>
      </w:r>
      <w:r>
        <w:rPr>
          <w:rFonts w:asciiTheme="minorHAnsi" w:hAnsiTheme="minorHAnsi"/>
          <w:sz w:val="24"/>
          <w:lang w:val="pl-PL"/>
        </w:rPr>
        <w:t xml:space="preserve"> Konwencji</w:t>
      </w:r>
      <w:r w:rsidRPr="00B15C52">
        <w:rPr>
          <w:rFonts w:asciiTheme="minorHAnsi" w:hAnsiTheme="minorHAnsi"/>
          <w:sz w:val="24"/>
          <w:lang w:val="pl-PL"/>
        </w:rPr>
        <w:t xml:space="preserve">. Wynika z tego, </w:t>
      </w:r>
      <w:r w:rsidRPr="0048668F">
        <w:rPr>
          <w:rFonts w:asciiTheme="minorHAnsi" w:hAnsiTheme="minorHAnsi"/>
          <w:sz w:val="24"/>
          <w:lang w:val="pl-PL"/>
        </w:rPr>
        <w:t>że tak szeroka wykładnia</w:t>
      </w:r>
      <w:r w:rsidRPr="00B15C52">
        <w:rPr>
          <w:rFonts w:asciiTheme="minorHAnsi" w:hAnsiTheme="minorHAnsi"/>
          <w:sz w:val="24"/>
          <w:lang w:val="pl-PL"/>
        </w:rPr>
        <w:t xml:space="preserve"> przepisu krajowego w o</w:t>
      </w:r>
      <w:r>
        <w:rPr>
          <w:rFonts w:asciiTheme="minorHAnsi" w:hAnsiTheme="minorHAnsi"/>
          <w:sz w:val="24"/>
          <w:lang w:val="pl-PL"/>
        </w:rPr>
        <w:t>mawianej</w:t>
      </w:r>
      <w:r w:rsidRPr="00B15C52">
        <w:rPr>
          <w:rFonts w:asciiTheme="minorHAnsi" w:hAnsiTheme="minorHAnsi"/>
          <w:sz w:val="24"/>
          <w:lang w:val="pl-PL"/>
        </w:rPr>
        <w:t xml:space="preserve"> sprawie nie spełniała przewidzianego Konwencją wymogu zgodności z prawem. </w:t>
      </w:r>
    </w:p>
    <w:p w14:paraId="74C26D83" w14:textId="77777777" w:rsidR="00950534" w:rsidRDefault="00950534" w:rsidP="00950534">
      <w:pPr>
        <w:pStyle w:val="ClinContent"/>
        <w:widowControl w:val="0"/>
        <w:spacing w:before="0"/>
        <w:rPr>
          <w:rFonts w:asciiTheme="minorHAnsi" w:hAnsiTheme="minorHAnsi"/>
          <w:sz w:val="24"/>
          <w:lang w:val="pl-PL"/>
        </w:rPr>
      </w:pPr>
    </w:p>
    <w:p w14:paraId="61F029A2" w14:textId="77777777" w:rsidR="00950534" w:rsidRDefault="00950534" w:rsidP="00950534">
      <w:pPr>
        <w:pStyle w:val="ClinContent"/>
        <w:widowControl w:val="0"/>
        <w:spacing w:before="0"/>
        <w:rPr>
          <w:rFonts w:asciiTheme="minorHAnsi" w:hAnsiTheme="minorHAnsi"/>
          <w:sz w:val="24"/>
          <w:lang w:val="pl-PL"/>
        </w:rPr>
      </w:pPr>
      <w:r w:rsidRPr="00B20351">
        <w:rPr>
          <w:rFonts w:asciiTheme="minorHAnsi" w:hAnsiTheme="minorHAnsi"/>
          <w:sz w:val="24"/>
          <w:lang w:val="pl-PL"/>
        </w:rPr>
        <w:t xml:space="preserve">Z powyższych względów Trybunał jednogłośnie orzekł naruszenie art. 8 Konwencji. </w:t>
      </w:r>
    </w:p>
    <w:p w14:paraId="557A1892" w14:textId="77777777" w:rsidR="00950534" w:rsidRDefault="00950534" w:rsidP="00950534">
      <w:pPr>
        <w:pStyle w:val="ClinContent"/>
        <w:widowControl w:val="0"/>
        <w:spacing w:before="0"/>
        <w:rPr>
          <w:rFonts w:asciiTheme="minorHAnsi" w:hAnsiTheme="minorHAnsi"/>
          <w:sz w:val="24"/>
          <w:lang w:val="pl-PL"/>
        </w:rPr>
      </w:pPr>
    </w:p>
    <w:p w14:paraId="480D8862" w14:textId="323D2E5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 Po drugie Trybunał zbadał, </w:t>
      </w:r>
      <w:r w:rsidRPr="007443B8">
        <w:rPr>
          <w:rFonts w:asciiTheme="minorHAnsi" w:hAnsiTheme="minorHAnsi"/>
          <w:i/>
          <w:sz w:val="24"/>
          <w:u w:val="single"/>
          <w:lang w:val="pl-PL"/>
        </w:rPr>
        <w:t>czy w sprawie skarżącego respektowane było prawo do</w:t>
      </w:r>
      <w:r w:rsidR="00CB5C18">
        <w:rPr>
          <w:rFonts w:asciiTheme="minorHAnsi" w:hAnsiTheme="minorHAnsi"/>
          <w:i/>
          <w:sz w:val="24"/>
          <w:u w:val="single"/>
          <w:lang w:val="pl-PL"/>
        </w:rPr>
        <w:t> </w:t>
      </w:r>
      <w:r w:rsidRPr="007443B8">
        <w:rPr>
          <w:rFonts w:asciiTheme="minorHAnsi" w:hAnsiTheme="minorHAnsi"/>
          <w:i/>
          <w:sz w:val="24"/>
          <w:u w:val="single"/>
          <w:lang w:val="pl-PL"/>
        </w:rPr>
        <w:t>rzetelnego procesu sądowego gwarantowane przez art. 6 ust. 1 Konwencji</w:t>
      </w:r>
      <w:r>
        <w:rPr>
          <w:rFonts w:asciiTheme="minorHAnsi" w:hAnsiTheme="minorHAnsi"/>
          <w:sz w:val="24"/>
          <w:lang w:val="pl-PL"/>
        </w:rPr>
        <w:t xml:space="preserve">. </w:t>
      </w:r>
    </w:p>
    <w:p w14:paraId="4A35EE4B" w14:textId="77777777" w:rsidR="00950534" w:rsidRDefault="00950534" w:rsidP="00950534">
      <w:pPr>
        <w:pStyle w:val="ClinContent"/>
        <w:widowControl w:val="0"/>
        <w:spacing w:before="0"/>
        <w:rPr>
          <w:rFonts w:asciiTheme="minorHAnsi" w:hAnsiTheme="minorHAnsi"/>
          <w:sz w:val="24"/>
          <w:lang w:val="pl-PL"/>
        </w:rPr>
      </w:pPr>
    </w:p>
    <w:p w14:paraId="12039328"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Na wstępie Trybunał musiał rozpatrzyć, czy art. 6 miał zastosowanie w omawianej sprawie. Oczywiste było, że postanowienie to nie miało zastosowania w swym </w:t>
      </w:r>
      <w:r w:rsidRPr="00B15C52">
        <w:rPr>
          <w:rFonts w:asciiTheme="minorHAnsi" w:hAnsiTheme="minorHAnsi"/>
          <w:sz w:val="24"/>
          <w:lang w:val="pl-PL"/>
        </w:rPr>
        <w:t>aspekcie karnym, gdyż skarżący nie był oskarżony. Pozosta</w:t>
      </w:r>
      <w:r>
        <w:rPr>
          <w:rFonts w:asciiTheme="minorHAnsi" w:hAnsiTheme="minorHAnsi"/>
          <w:sz w:val="24"/>
          <w:lang w:val="pl-PL"/>
        </w:rPr>
        <w:t>wała zatem do rozstrzygnięcia</w:t>
      </w:r>
      <w:r w:rsidRPr="00B15C52">
        <w:rPr>
          <w:rFonts w:asciiTheme="minorHAnsi" w:hAnsiTheme="minorHAnsi"/>
          <w:sz w:val="24"/>
          <w:lang w:val="pl-PL"/>
        </w:rPr>
        <w:t xml:space="preserve"> kwestia, czy art. 6 ust. 1 m</w:t>
      </w:r>
      <w:r>
        <w:rPr>
          <w:rFonts w:asciiTheme="minorHAnsi" w:hAnsiTheme="minorHAnsi"/>
          <w:sz w:val="24"/>
          <w:lang w:val="pl-PL"/>
        </w:rPr>
        <w:t>iał</w:t>
      </w:r>
      <w:r w:rsidRPr="00B15C52">
        <w:rPr>
          <w:rFonts w:asciiTheme="minorHAnsi" w:hAnsiTheme="minorHAnsi"/>
          <w:sz w:val="24"/>
          <w:lang w:val="pl-PL"/>
        </w:rPr>
        <w:t xml:space="preserve"> zastosowanie w swym aspekcie cywilnym. </w:t>
      </w:r>
    </w:p>
    <w:p w14:paraId="2E312C31" w14:textId="77777777" w:rsidR="00950534" w:rsidRDefault="00950534" w:rsidP="00950534">
      <w:pPr>
        <w:pStyle w:val="ClinContent"/>
        <w:widowControl w:val="0"/>
        <w:spacing w:before="0"/>
        <w:rPr>
          <w:rFonts w:asciiTheme="minorHAnsi" w:hAnsiTheme="minorHAnsi"/>
          <w:sz w:val="24"/>
          <w:lang w:val="pl-PL"/>
        </w:rPr>
      </w:pPr>
    </w:p>
    <w:p w14:paraId="2F79124B" w14:textId="235FC32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tym kontekście Trybunał przypomniał, że </w:t>
      </w:r>
      <w:r w:rsidRPr="00B15C52">
        <w:rPr>
          <w:rFonts w:asciiTheme="minorHAnsi" w:hAnsiTheme="minorHAnsi"/>
          <w:sz w:val="24"/>
          <w:lang w:val="pl-PL"/>
        </w:rPr>
        <w:t>zgodnie z Europejskimi Regułami Więziennymi</w:t>
      </w:r>
      <w:r>
        <w:rPr>
          <w:rFonts w:asciiTheme="minorHAnsi" w:hAnsiTheme="minorHAnsi"/>
          <w:sz w:val="24"/>
          <w:lang w:val="pl-PL"/>
        </w:rPr>
        <w:t xml:space="preserve"> w</w:t>
      </w:r>
      <w:r w:rsidRPr="00B15C52">
        <w:rPr>
          <w:rFonts w:asciiTheme="minorHAnsi" w:hAnsiTheme="minorHAnsi"/>
          <w:sz w:val="24"/>
          <w:lang w:val="pl-PL"/>
        </w:rPr>
        <w:t xml:space="preserve">łaściwe ustawodawstwo krajowe przyznało osadzonym prawo do poufnego porozumiewania się ze swymi prawnikami. Na </w:t>
      </w:r>
      <w:r>
        <w:rPr>
          <w:rFonts w:asciiTheme="minorHAnsi" w:hAnsiTheme="minorHAnsi"/>
          <w:sz w:val="24"/>
          <w:lang w:val="pl-PL"/>
        </w:rPr>
        <w:t xml:space="preserve">tej </w:t>
      </w:r>
      <w:r w:rsidRPr="00B15C52">
        <w:rPr>
          <w:rFonts w:asciiTheme="minorHAnsi" w:hAnsiTheme="minorHAnsi"/>
          <w:sz w:val="24"/>
          <w:lang w:val="pl-PL"/>
        </w:rPr>
        <w:t xml:space="preserve">podstawie można </w:t>
      </w:r>
      <w:r>
        <w:rPr>
          <w:rFonts w:asciiTheme="minorHAnsi" w:hAnsiTheme="minorHAnsi"/>
          <w:sz w:val="24"/>
          <w:lang w:val="pl-PL"/>
        </w:rPr>
        <w:t xml:space="preserve">było </w:t>
      </w:r>
      <w:r w:rsidRPr="00B15C52">
        <w:rPr>
          <w:rFonts w:asciiTheme="minorHAnsi" w:hAnsiTheme="minorHAnsi"/>
          <w:sz w:val="24"/>
          <w:lang w:val="pl-PL"/>
        </w:rPr>
        <w:t xml:space="preserve">twierdzić, że istniał </w:t>
      </w:r>
      <w:r w:rsidRPr="00B15C52">
        <w:rPr>
          <w:rFonts w:asciiTheme="minorHAnsi" w:hAnsiTheme="minorHAnsi"/>
          <w:sz w:val="24"/>
          <w:lang w:val="pl-PL"/>
        </w:rPr>
        <w:lastRenderedPageBreak/>
        <w:t>„spór co do prawa” na potrzeby art. 6 ust. 1</w:t>
      </w:r>
      <w:r>
        <w:rPr>
          <w:rFonts w:asciiTheme="minorHAnsi" w:hAnsiTheme="minorHAnsi"/>
          <w:sz w:val="24"/>
          <w:lang w:val="pl-PL"/>
        </w:rPr>
        <w:t xml:space="preserve"> Konwencji</w:t>
      </w:r>
      <w:r w:rsidRPr="00B15C52">
        <w:rPr>
          <w:rFonts w:asciiTheme="minorHAnsi" w:hAnsiTheme="minorHAnsi"/>
          <w:sz w:val="24"/>
          <w:lang w:val="pl-PL"/>
        </w:rPr>
        <w:t xml:space="preserve">. W odniesieniu do kwestii, czy dane prawo ma „charakter cywilny”, Trybunał przyjął szerokie podejście, zgodnie z którymi aspekt „cywilny” obejmuje </w:t>
      </w:r>
      <w:r>
        <w:rPr>
          <w:rFonts w:asciiTheme="minorHAnsi" w:hAnsiTheme="minorHAnsi"/>
          <w:sz w:val="24"/>
          <w:lang w:val="pl-PL"/>
        </w:rPr>
        <w:t xml:space="preserve">także </w:t>
      </w:r>
      <w:r w:rsidRPr="00B15C52">
        <w:rPr>
          <w:rFonts w:asciiTheme="minorHAnsi" w:hAnsiTheme="minorHAnsi"/>
          <w:sz w:val="24"/>
          <w:lang w:val="pl-PL"/>
        </w:rPr>
        <w:t>sprawy, któr</w:t>
      </w:r>
      <w:r>
        <w:rPr>
          <w:rFonts w:asciiTheme="minorHAnsi" w:hAnsiTheme="minorHAnsi"/>
          <w:sz w:val="24"/>
          <w:lang w:val="pl-PL"/>
        </w:rPr>
        <w:t>e</w:t>
      </w:r>
      <w:r w:rsidRPr="00B15C52">
        <w:rPr>
          <w:rFonts w:asciiTheme="minorHAnsi" w:hAnsiTheme="minorHAnsi"/>
          <w:sz w:val="24"/>
          <w:lang w:val="pl-PL"/>
        </w:rPr>
        <w:t xml:space="preserve"> początkowo </w:t>
      </w:r>
      <w:r>
        <w:rPr>
          <w:rFonts w:asciiTheme="minorHAnsi" w:hAnsiTheme="minorHAnsi"/>
          <w:sz w:val="24"/>
          <w:lang w:val="pl-PL"/>
        </w:rPr>
        <w:t xml:space="preserve">nie </w:t>
      </w:r>
      <w:r w:rsidRPr="00B15C52">
        <w:rPr>
          <w:rFonts w:asciiTheme="minorHAnsi" w:hAnsiTheme="minorHAnsi"/>
          <w:sz w:val="24"/>
          <w:lang w:val="pl-PL"/>
        </w:rPr>
        <w:t>wyda</w:t>
      </w:r>
      <w:r>
        <w:rPr>
          <w:rFonts w:asciiTheme="minorHAnsi" w:hAnsiTheme="minorHAnsi"/>
          <w:sz w:val="24"/>
          <w:lang w:val="pl-PL"/>
        </w:rPr>
        <w:t>ją się dotyczyć</w:t>
      </w:r>
      <w:r w:rsidRPr="00B15C52">
        <w:rPr>
          <w:rFonts w:asciiTheme="minorHAnsi" w:hAnsiTheme="minorHAnsi"/>
          <w:sz w:val="24"/>
          <w:lang w:val="pl-PL"/>
        </w:rPr>
        <w:t xml:space="preserve"> prawa o</w:t>
      </w:r>
      <w:r w:rsidR="00CB5C18">
        <w:rPr>
          <w:rFonts w:asciiTheme="minorHAnsi" w:hAnsiTheme="minorHAnsi"/>
          <w:sz w:val="24"/>
          <w:lang w:val="pl-PL"/>
        </w:rPr>
        <w:t> </w:t>
      </w:r>
      <w:r w:rsidRPr="00B15C52">
        <w:rPr>
          <w:rFonts w:asciiTheme="minorHAnsi" w:hAnsiTheme="minorHAnsi"/>
          <w:sz w:val="24"/>
          <w:lang w:val="pl-PL"/>
        </w:rPr>
        <w:t xml:space="preserve">charakterze cywilnym, ale które mogą mieć bezpośrednie i znaczące skutki dla prywatnego prawa majątkowego lub niemajątkowego </w:t>
      </w:r>
      <w:r>
        <w:rPr>
          <w:rFonts w:asciiTheme="minorHAnsi" w:hAnsiTheme="minorHAnsi"/>
          <w:sz w:val="24"/>
          <w:lang w:val="pl-PL"/>
        </w:rPr>
        <w:t>przysługującego jednostce</w:t>
      </w:r>
      <w:r w:rsidRPr="00B15C52">
        <w:rPr>
          <w:rFonts w:asciiTheme="minorHAnsi" w:hAnsiTheme="minorHAnsi"/>
          <w:sz w:val="24"/>
          <w:lang w:val="pl-PL"/>
        </w:rPr>
        <w:t xml:space="preserve">. </w:t>
      </w:r>
      <w:r>
        <w:rPr>
          <w:rFonts w:asciiTheme="minorHAnsi" w:hAnsiTheme="minorHAnsi"/>
          <w:sz w:val="24"/>
          <w:lang w:val="pl-PL"/>
        </w:rPr>
        <w:t xml:space="preserve">Trybunał przypomniał, że dzięki takiemu podejściu </w:t>
      </w:r>
      <w:r w:rsidRPr="00B15C52">
        <w:rPr>
          <w:rFonts w:asciiTheme="minorHAnsi" w:hAnsiTheme="minorHAnsi"/>
          <w:sz w:val="24"/>
          <w:lang w:val="pl-PL"/>
        </w:rPr>
        <w:t xml:space="preserve">art. 6 </w:t>
      </w:r>
      <w:r>
        <w:rPr>
          <w:rFonts w:asciiTheme="minorHAnsi" w:hAnsiTheme="minorHAnsi"/>
          <w:sz w:val="24"/>
          <w:lang w:val="pl-PL"/>
        </w:rPr>
        <w:t xml:space="preserve">Konwencji w </w:t>
      </w:r>
      <w:r w:rsidRPr="00B15C52">
        <w:rPr>
          <w:rFonts w:asciiTheme="minorHAnsi" w:hAnsiTheme="minorHAnsi"/>
          <w:sz w:val="24"/>
          <w:lang w:val="pl-PL"/>
        </w:rPr>
        <w:t>aspek</w:t>
      </w:r>
      <w:r>
        <w:rPr>
          <w:rFonts w:asciiTheme="minorHAnsi" w:hAnsiTheme="minorHAnsi"/>
          <w:sz w:val="24"/>
          <w:lang w:val="pl-PL"/>
        </w:rPr>
        <w:t>cie</w:t>
      </w:r>
      <w:r w:rsidRPr="00B15C52">
        <w:rPr>
          <w:rFonts w:asciiTheme="minorHAnsi" w:hAnsiTheme="minorHAnsi"/>
          <w:sz w:val="24"/>
          <w:lang w:val="pl-PL"/>
        </w:rPr>
        <w:t xml:space="preserve"> cywilny</w:t>
      </w:r>
      <w:r>
        <w:rPr>
          <w:rFonts w:asciiTheme="minorHAnsi" w:hAnsiTheme="minorHAnsi"/>
          <w:sz w:val="24"/>
          <w:lang w:val="pl-PL"/>
        </w:rPr>
        <w:t>m</w:t>
      </w:r>
      <w:r w:rsidRPr="00B15C52">
        <w:rPr>
          <w:rFonts w:asciiTheme="minorHAnsi" w:hAnsiTheme="minorHAnsi"/>
          <w:sz w:val="24"/>
          <w:lang w:val="pl-PL"/>
        </w:rPr>
        <w:t xml:space="preserve"> był stosowany do różnych sporów, które mogły być kwalifikowane w prawie krajowym jako spory z zakresu prawa publicznego. </w:t>
      </w:r>
    </w:p>
    <w:p w14:paraId="52BF8D74" w14:textId="77777777" w:rsidR="00950534" w:rsidRDefault="00950534" w:rsidP="00950534">
      <w:pPr>
        <w:pStyle w:val="ClinContent"/>
        <w:widowControl w:val="0"/>
        <w:spacing w:before="0"/>
        <w:rPr>
          <w:rFonts w:asciiTheme="minorHAnsi" w:hAnsiTheme="minorHAnsi"/>
          <w:sz w:val="24"/>
          <w:lang w:val="pl-PL"/>
        </w:rPr>
      </w:pPr>
    </w:p>
    <w:p w14:paraId="19A27C8D" w14:textId="13750E6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ponadto podkreślił, że w</w:t>
      </w:r>
      <w:r w:rsidRPr="00B15C52">
        <w:rPr>
          <w:rFonts w:asciiTheme="minorHAnsi" w:hAnsiTheme="minorHAnsi"/>
          <w:sz w:val="24"/>
          <w:lang w:val="pl-PL"/>
        </w:rPr>
        <w:t xml:space="preserve"> odniesieniu do postępowań wszczynanych w kontekście więziennym niektóre ograniczenia praw więźniów wchodzą w zakres „praw o charakterze cywilnym”. </w:t>
      </w:r>
      <w:r>
        <w:rPr>
          <w:rFonts w:asciiTheme="minorHAnsi" w:hAnsiTheme="minorHAnsi"/>
          <w:sz w:val="24"/>
          <w:lang w:val="pl-PL"/>
        </w:rPr>
        <w:t>Uznał też, że t</w:t>
      </w:r>
      <w:r w:rsidRPr="00B15C52">
        <w:rPr>
          <w:rFonts w:asciiTheme="minorHAnsi" w:hAnsiTheme="minorHAnsi"/>
          <w:sz w:val="24"/>
          <w:lang w:val="pl-PL"/>
        </w:rPr>
        <w:t xml:space="preserve">reść przedmiotowego prawa, które dotyczyło możliwości </w:t>
      </w:r>
      <w:r>
        <w:rPr>
          <w:rFonts w:asciiTheme="minorHAnsi" w:hAnsiTheme="minorHAnsi"/>
          <w:sz w:val="24"/>
          <w:lang w:val="pl-PL"/>
        </w:rPr>
        <w:t xml:space="preserve">prowadzenia przez skarżącego rozmowy </w:t>
      </w:r>
      <w:r w:rsidRPr="00B15C52">
        <w:rPr>
          <w:rFonts w:asciiTheme="minorHAnsi" w:hAnsiTheme="minorHAnsi"/>
          <w:sz w:val="24"/>
          <w:lang w:val="pl-PL"/>
        </w:rPr>
        <w:t>ze swym prawnikiem na osobności, miał</w:t>
      </w:r>
      <w:r>
        <w:rPr>
          <w:rFonts w:asciiTheme="minorHAnsi" w:hAnsiTheme="minorHAnsi"/>
          <w:sz w:val="24"/>
          <w:lang w:val="pl-PL"/>
        </w:rPr>
        <w:t>a</w:t>
      </w:r>
      <w:r w:rsidRPr="00B15C52">
        <w:rPr>
          <w:rFonts w:asciiTheme="minorHAnsi" w:hAnsiTheme="minorHAnsi"/>
          <w:sz w:val="24"/>
          <w:lang w:val="pl-PL"/>
        </w:rPr>
        <w:t xml:space="preserve"> w</w:t>
      </w:r>
      <w:r w:rsidR="00CB5C18">
        <w:rPr>
          <w:rFonts w:asciiTheme="minorHAnsi" w:hAnsiTheme="minorHAnsi"/>
          <w:sz w:val="24"/>
          <w:lang w:val="pl-PL"/>
        </w:rPr>
        <w:t> </w:t>
      </w:r>
      <w:r w:rsidRPr="00B15C52">
        <w:rPr>
          <w:rFonts w:asciiTheme="minorHAnsi" w:hAnsiTheme="minorHAnsi"/>
          <w:sz w:val="24"/>
          <w:lang w:val="pl-PL"/>
        </w:rPr>
        <w:t>przeważającym zakresie charakter osobisty i indywidualny, co sprawiało, że o</w:t>
      </w:r>
      <w:r>
        <w:rPr>
          <w:rFonts w:asciiTheme="minorHAnsi" w:hAnsiTheme="minorHAnsi"/>
          <w:sz w:val="24"/>
          <w:lang w:val="pl-PL"/>
        </w:rPr>
        <w:t>mawiany</w:t>
      </w:r>
      <w:r w:rsidRPr="00B15C52">
        <w:rPr>
          <w:rFonts w:asciiTheme="minorHAnsi" w:hAnsiTheme="minorHAnsi"/>
          <w:sz w:val="24"/>
          <w:lang w:val="pl-PL"/>
        </w:rPr>
        <w:t xml:space="preserve"> spór dotyczył bardziej sfery cywilnej. Ponieważ ograniczenie zdolności którejkolwiek ze stron do porozumiewania się z drugą stroną w sposób całkowicie poufny w dużym stopniu niweczy przydatność korzystania z tego prawa, Trybunał uznał, że prywatnoprawne aspekty sporu p</w:t>
      </w:r>
      <w:r>
        <w:rPr>
          <w:rFonts w:asciiTheme="minorHAnsi" w:hAnsiTheme="minorHAnsi"/>
          <w:sz w:val="24"/>
          <w:lang w:val="pl-PL"/>
        </w:rPr>
        <w:t>rzeważały nad publicznoprawnymi, i stwierdził, że</w:t>
      </w:r>
      <w:r w:rsidRPr="00B15C52">
        <w:rPr>
          <w:rFonts w:asciiTheme="minorHAnsi" w:hAnsiTheme="minorHAnsi"/>
          <w:sz w:val="24"/>
          <w:lang w:val="pl-PL"/>
        </w:rPr>
        <w:t xml:space="preserve"> zatem</w:t>
      </w:r>
      <w:r>
        <w:rPr>
          <w:rFonts w:asciiTheme="minorHAnsi" w:hAnsiTheme="minorHAnsi"/>
          <w:sz w:val="24"/>
          <w:lang w:val="pl-PL"/>
        </w:rPr>
        <w:t xml:space="preserve"> w omawianej sprawie a</w:t>
      </w:r>
      <w:r w:rsidRPr="00B15C52">
        <w:rPr>
          <w:rFonts w:asciiTheme="minorHAnsi" w:hAnsiTheme="minorHAnsi"/>
          <w:sz w:val="24"/>
          <w:lang w:val="pl-PL"/>
        </w:rPr>
        <w:t xml:space="preserve">rt. 6 ust. 1 miał zastosowanie w swym aspekcie cywilnym. </w:t>
      </w:r>
    </w:p>
    <w:p w14:paraId="0990E5CC" w14:textId="77777777" w:rsidR="00950534" w:rsidRDefault="00950534" w:rsidP="00950534">
      <w:pPr>
        <w:pStyle w:val="ClinContent"/>
        <w:widowControl w:val="0"/>
        <w:spacing w:before="0"/>
        <w:rPr>
          <w:rFonts w:asciiTheme="minorHAnsi" w:hAnsiTheme="minorHAnsi"/>
          <w:sz w:val="24"/>
          <w:lang w:val="pl-PL"/>
        </w:rPr>
      </w:pPr>
    </w:p>
    <w:p w14:paraId="16CC7BE8" w14:textId="1B97525C"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Odnosząc się do </w:t>
      </w:r>
      <w:r w:rsidRPr="00B20351">
        <w:rPr>
          <w:rFonts w:asciiTheme="minorHAnsi" w:hAnsiTheme="minorHAnsi"/>
          <w:sz w:val="24"/>
          <w:lang w:val="pl-PL"/>
        </w:rPr>
        <w:t>przedmiot</w:t>
      </w:r>
      <w:r>
        <w:rPr>
          <w:rFonts w:asciiTheme="minorHAnsi" w:hAnsiTheme="minorHAnsi"/>
          <w:sz w:val="24"/>
          <w:lang w:val="pl-PL"/>
        </w:rPr>
        <w:t>u</w:t>
      </w:r>
      <w:r w:rsidRPr="00B20351">
        <w:rPr>
          <w:rFonts w:asciiTheme="minorHAnsi" w:hAnsiTheme="minorHAnsi"/>
          <w:sz w:val="24"/>
          <w:lang w:val="pl-PL"/>
        </w:rPr>
        <w:t xml:space="preserve"> skargi</w:t>
      </w:r>
      <w:r>
        <w:rPr>
          <w:rFonts w:asciiTheme="minorHAnsi" w:hAnsiTheme="minorHAnsi"/>
          <w:sz w:val="24"/>
          <w:lang w:val="pl-PL"/>
        </w:rPr>
        <w:t>,</w:t>
      </w:r>
      <w:r w:rsidRPr="00B20351">
        <w:rPr>
          <w:rFonts w:asciiTheme="minorHAnsi" w:hAnsiTheme="minorHAnsi"/>
          <w:sz w:val="24"/>
          <w:lang w:val="pl-PL"/>
        </w:rPr>
        <w:t xml:space="preserve"> </w:t>
      </w:r>
      <w:r>
        <w:rPr>
          <w:rFonts w:asciiTheme="minorHAnsi" w:hAnsiTheme="minorHAnsi"/>
          <w:sz w:val="24"/>
          <w:lang w:val="pl-PL"/>
        </w:rPr>
        <w:t>Trybunał przyznał, że w postępowaniach dotyczących</w:t>
      </w:r>
      <w:r w:rsidRPr="00B15C52">
        <w:rPr>
          <w:rFonts w:asciiTheme="minorHAnsi" w:hAnsiTheme="minorHAnsi"/>
          <w:sz w:val="24"/>
          <w:lang w:val="pl-PL"/>
        </w:rPr>
        <w:t xml:space="preserve"> kontekstu więziennego mogą zachodzić powody praktyczne i dotyczące polityki </w:t>
      </w:r>
      <w:r>
        <w:rPr>
          <w:rFonts w:asciiTheme="minorHAnsi" w:hAnsiTheme="minorHAnsi"/>
          <w:sz w:val="24"/>
          <w:lang w:val="pl-PL"/>
        </w:rPr>
        <w:t>penitencjarnej</w:t>
      </w:r>
      <w:r w:rsidRPr="00B15C52">
        <w:rPr>
          <w:rFonts w:asciiTheme="minorHAnsi" w:hAnsiTheme="minorHAnsi"/>
          <w:sz w:val="24"/>
          <w:lang w:val="pl-PL"/>
        </w:rPr>
        <w:t xml:space="preserve"> </w:t>
      </w:r>
      <w:r>
        <w:rPr>
          <w:rFonts w:asciiTheme="minorHAnsi" w:hAnsiTheme="minorHAnsi"/>
          <w:sz w:val="24"/>
          <w:lang w:val="pl-PL"/>
        </w:rPr>
        <w:t>przemawiające za ustanowieniem</w:t>
      </w:r>
      <w:r w:rsidRPr="00B15C52">
        <w:rPr>
          <w:rFonts w:asciiTheme="minorHAnsi" w:hAnsiTheme="minorHAnsi"/>
          <w:sz w:val="24"/>
          <w:lang w:val="pl-PL"/>
        </w:rPr>
        <w:t xml:space="preserve"> uproszczonych procedur rozpatrywania różnych kwestii</w:t>
      </w:r>
      <w:r>
        <w:rPr>
          <w:rFonts w:asciiTheme="minorHAnsi" w:hAnsiTheme="minorHAnsi"/>
          <w:sz w:val="24"/>
          <w:lang w:val="pl-PL"/>
        </w:rPr>
        <w:t xml:space="preserve"> skierowanych</w:t>
      </w:r>
      <w:r w:rsidRPr="00B15C52">
        <w:rPr>
          <w:rFonts w:asciiTheme="minorHAnsi" w:hAnsiTheme="minorHAnsi"/>
          <w:sz w:val="24"/>
          <w:lang w:val="pl-PL"/>
        </w:rPr>
        <w:t xml:space="preserve"> do właściwych władz. </w:t>
      </w:r>
      <w:r>
        <w:rPr>
          <w:rFonts w:asciiTheme="minorHAnsi" w:hAnsiTheme="minorHAnsi"/>
          <w:sz w:val="24"/>
          <w:lang w:val="pl-PL"/>
        </w:rPr>
        <w:t>N</w:t>
      </w:r>
      <w:r w:rsidRPr="00B15C52">
        <w:rPr>
          <w:rFonts w:asciiTheme="minorHAnsi" w:hAnsiTheme="minorHAnsi"/>
          <w:sz w:val="24"/>
          <w:lang w:val="pl-PL"/>
        </w:rPr>
        <w:t xml:space="preserve">ie wykluczył możliwości prowadzenia postępowania uproszczonego w drodze procedury pisemnej, pod warunkiem że </w:t>
      </w:r>
      <w:r>
        <w:rPr>
          <w:rFonts w:asciiTheme="minorHAnsi" w:hAnsiTheme="minorHAnsi"/>
          <w:sz w:val="24"/>
          <w:lang w:val="pl-PL"/>
        </w:rPr>
        <w:t>jest ona zgodna z zasadami</w:t>
      </w:r>
      <w:r w:rsidRPr="00B15C52">
        <w:rPr>
          <w:rFonts w:asciiTheme="minorHAnsi" w:hAnsiTheme="minorHAnsi"/>
          <w:sz w:val="24"/>
          <w:lang w:val="pl-PL"/>
        </w:rPr>
        <w:t xml:space="preserve"> rzetelnego procesu gwarantowanego przez art. 6 ust. 1. Jednak nawet w</w:t>
      </w:r>
      <w:r w:rsidR="00CB5C18">
        <w:rPr>
          <w:rFonts w:asciiTheme="minorHAnsi" w:hAnsiTheme="minorHAnsi"/>
          <w:sz w:val="24"/>
          <w:lang w:val="pl-PL"/>
        </w:rPr>
        <w:t> </w:t>
      </w:r>
      <w:r w:rsidRPr="00B15C52">
        <w:rPr>
          <w:rFonts w:asciiTheme="minorHAnsi" w:hAnsiTheme="minorHAnsi"/>
          <w:sz w:val="24"/>
          <w:lang w:val="pl-PL"/>
        </w:rPr>
        <w:t>ramach takiej procedury strony powinny mieć przynajmniej możliwość wnioskowania o</w:t>
      </w:r>
      <w:r w:rsidR="00CB5C18">
        <w:rPr>
          <w:rFonts w:asciiTheme="minorHAnsi" w:hAnsiTheme="minorHAnsi"/>
          <w:sz w:val="24"/>
          <w:lang w:val="pl-PL"/>
        </w:rPr>
        <w:t> </w:t>
      </w:r>
      <w:r w:rsidRPr="00B15C52">
        <w:rPr>
          <w:rFonts w:asciiTheme="minorHAnsi" w:hAnsiTheme="minorHAnsi"/>
          <w:sz w:val="24"/>
          <w:lang w:val="pl-PL"/>
        </w:rPr>
        <w:t>publiczne rozpatrzenie, nawet jeśli sąd może odmówić uwzględnienia takiego wniosku i</w:t>
      </w:r>
      <w:r w:rsidR="00CB5C18">
        <w:rPr>
          <w:rFonts w:asciiTheme="minorHAnsi" w:hAnsiTheme="minorHAnsi"/>
          <w:sz w:val="24"/>
          <w:lang w:val="pl-PL"/>
        </w:rPr>
        <w:t> </w:t>
      </w:r>
      <w:r w:rsidRPr="00B15C52">
        <w:rPr>
          <w:rFonts w:asciiTheme="minorHAnsi" w:hAnsiTheme="minorHAnsi"/>
          <w:sz w:val="24"/>
          <w:lang w:val="pl-PL"/>
        </w:rPr>
        <w:t xml:space="preserve">rozpoznać sprawę na posiedzeniu niejawnym. </w:t>
      </w:r>
    </w:p>
    <w:p w14:paraId="3DBA40FB" w14:textId="77777777" w:rsidR="00950534" w:rsidRDefault="00950534" w:rsidP="00950534">
      <w:pPr>
        <w:pStyle w:val="ClinContent"/>
        <w:widowControl w:val="0"/>
        <w:spacing w:before="0"/>
        <w:rPr>
          <w:rFonts w:asciiTheme="minorHAnsi" w:hAnsiTheme="minorHAnsi"/>
          <w:sz w:val="24"/>
          <w:lang w:val="pl-PL"/>
        </w:rPr>
      </w:pPr>
    </w:p>
    <w:p w14:paraId="2D5BC4E3" w14:textId="1E4B413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zauważył, że w</w:t>
      </w:r>
      <w:r w:rsidRPr="00B15C52">
        <w:rPr>
          <w:rFonts w:asciiTheme="minorHAnsi" w:hAnsiTheme="minorHAnsi"/>
          <w:sz w:val="24"/>
          <w:lang w:val="pl-PL"/>
        </w:rPr>
        <w:t xml:space="preserve"> sprawie skarżącego nie przeprowadzono ustnego przesłuchania na</w:t>
      </w:r>
      <w:r w:rsidR="00CB5C18">
        <w:rPr>
          <w:rFonts w:asciiTheme="minorHAnsi" w:hAnsiTheme="minorHAnsi"/>
          <w:sz w:val="24"/>
          <w:lang w:val="pl-PL"/>
        </w:rPr>
        <w:t> </w:t>
      </w:r>
      <w:r w:rsidRPr="00B15C52">
        <w:rPr>
          <w:rFonts w:asciiTheme="minorHAnsi" w:hAnsiTheme="minorHAnsi"/>
          <w:sz w:val="24"/>
          <w:lang w:val="pl-PL"/>
        </w:rPr>
        <w:t>żadnym etapie postępowania krajowego. Na podstawie ustawodawstwa krajowego postępowanie przeprowadzono w oparciu o akta sprawy i ani skarżący, ani wybrany przez niego pełnomocnik nie mogli ucze</w:t>
      </w:r>
      <w:r>
        <w:rPr>
          <w:rFonts w:asciiTheme="minorHAnsi" w:hAnsiTheme="minorHAnsi"/>
          <w:sz w:val="24"/>
          <w:lang w:val="pl-PL"/>
        </w:rPr>
        <w:t>stniczyć w posiedzeniach. Nie miało</w:t>
      </w:r>
      <w:r w:rsidRPr="00B15C52">
        <w:rPr>
          <w:rFonts w:asciiTheme="minorHAnsi" w:hAnsiTheme="minorHAnsi"/>
          <w:sz w:val="24"/>
          <w:lang w:val="pl-PL"/>
        </w:rPr>
        <w:t xml:space="preserve"> zatem większego znaczenia, że skarżący nie wnioskował wyraźnie o rozprawę, ponieważ właściwe uregulowania proceduralne nie wymagały jej przeprowadzenia</w:t>
      </w:r>
      <w:r>
        <w:rPr>
          <w:rFonts w:asciiTheme="minorHAnsi" w:hAnsiTheme="minorHAnsi"/>
          <w:sz w:val="24"/>
          <w:lang w:val="pl-PL"/>
        </w:rPr>
        <w:t>,</w:t>
      </w:r>
      <w:r w:rsidRPr="00B15C52">
        <w:rPr>
          <w:rFonts w:asciiTheme="minorHAnsi" w:hAnsiTheme="minorHAnsi"/>
          <w:sz w:val="24"/>
          <w:lang w:val="pl-PL"/>
        </w:rPr>
        <w:t xml:space="preserve"> z wyjątkiem spraw dotyczących sankcji dyscyplinarnych. Właściwe uregulowania dotyczące postępowania przed sądami przysięgłych w tego typu sporach wskazywały, że kwestia zorganizowania rozprawy należy do spraw, w których sądy przysięgłych podejmują decyzje z urzędu. Innymi słowy, to</w:t>
      </w:r>
      <w:r w:rsidR="00CB5C18">
        <w:rPr>
          <w:rFonts w:asciiTheme="minorHAnsi" w:hAnsiTheme="minorHAnsi"/>
          <w:sz w:val="24"/>
          <w:lang w:val="pl-PL"/>
        </w:rPr>
        <w:t> </w:t>
      </w:r>
      <w:r w:rsidRPr="00B15C52">
        <w:rPr>
          <w:rFonts w:asciiTheme="minorHAnsi" w:hAnsiTheme="minorHAnsi"/>
          <w:sz w:val="24"/>
          <w:lang w:val="pl-PL"/>
        </w:rPr>
        <w:t xml:space="preserve">nie do skarżącego należało wnioskowanie o rozprawę i nie można w sposób uzasadniony stwierdzić, że zrzekł się on prawa do niej. </w:t>
      </w:r>
    </w:p>
    <w:p w14:paraId="349CFAED" w14:textId="77777777" w:rsidR="00950534" w:rsidRDefault="00950534" w:rsidP="00950534">
      <w:pPr>
        <w:pStyle w:val="ClinContent"/>
        <w:widowControl w:val="0"/>
        <w:spacing w:before="0"/>
        <w:rPr>
          <w:rFonts w:asciiTheme="minorHAnsi" w:hAnsiTheme="minorHAnsi"/>
          <w:sz w:val="24"/>
          <w:lang w:val="pl-PL"/>
        </w:rPr>
      </w:pPr>
    </w:p>
    <w:p w14:paraId="0553345D" w14:textId="0CA024B6"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uwzględnił fakt, że d</w:t>
      </w:r>
      <w:r w:rsidRPr="00B15C52">
        <w:rPr>
          <w:rFonts w:asciiTheme="minorHAnsi" w:hAnsiTheme="minorHAnsi"/>
          <w:sz w:val="24"/>
          <w:lang w:val="pl-PL"/>
        </w:rPr>
        <w:t>ecyzja o ograniczeniu prawa skarżącego do poufnych spotkań ze swym prawnikiem została podjęta przez sąd krajowy bez zachowania kontradyktoryjności i bez uzyskania stanowiska skarżącego na sw</w:t>
      </w:r>
      <w:r>
        <w:rPr>
          <w:rFonts w:asciiTheme="minorHAnsi" w:hAnsiTheme="minorHAnsi"/>
          <w:sz w:val="24"/>
          <w:lang w:val="pl-PL"/>
        </w:rPr>
        <w:t>oj</w:t>
      </w:r>
      <w:r w:rsidRPr="00B15C52">
        <w:rPr>
          <w:rFonts w:asciiTheme="minorHAnsi" w:hAnsiTheme="minorHAnsi"/>
          <w:sz w:val="24"/>
          <w:lang w:val="pl-PL"/>
        </w:rPr>
        <w:t xml:space="preserve">ą obronę. Sprzeciw skarżącego od tej decyzji, skierowany do sądu przysięgłych, został rozpoznany również na podstawie samych akt sprawy bez organizowania rozprawy, </w:t>
      </w:r>
      <w:r>
        <w:rPr>
          <w:rFonts w:asciiTheme="minorHAnsi" w:hAnsiTheme="minorHAnsi"/>
          <w:sz w:val="24"/>
          <w:lang w:val="pl-PL"/>
        </w:rPr>
        <w:t>chociaż</w:t>
      </w:r>
      <w:r w:rsidRPr="00B15C52">
        <w:rPr>
          <w:rFonts w:asciiTheme="minorHAnsi" w:hAnsiTheme="minorHAnsi"/>
          <w:sz w:val="24"/>
          <w:lang w:val="pl-PL"/>
        </w:rPr>
        <w:t xml:space="preserve"> </w:t>
      </w:r>
      <w:r>
        <w:rPr>
          <w:rFonts w:asciiTheme="minorHAnsi" w:hAnsiTheme="minorHAnsi"/>
          <w:sz w:val="24"/>
          <w:lang w:val="pl-PL"/>
        </w:rPr>
        <w:t xml:space="preserve">jego </w:t>
      </w:r>
      <w:r w:rsidRPr="00B15C52">
        <w:rPr>
          <w:rFonts w:asciiTheme="minorHAnsi" w:hAnsiTheme="minorHAnsi"/>
          <w:sz w:val="24"/>
          <w:lang w:val="pl-PL"/>
        </w:rPr>
        <w:t>sprzeciw dotyczył kwestii faktycznych i</w:t>
      </w:r>
      <w:r w:rsidR="00CB5C18">
        <w:rPr>
          <w:rFonts w:asciiTheme="minorHAnsi" w:hAnsiTheme="minorHAnsi"/>
          <w:sz w:val="24"/>
          <w:lang w:val="pl-PL"/>
        </w:rPr>
        <w:t> </w:t>
      </w:r>
      <w:r w:rsidRPr="00B15C52">
        <w:rPr>
          <w:rFonts w:asciiTheme="minorHAnsi" w:hAnsiTheme="minorHAnsi"/>
          <w:sz w:val="24"/>
          <w:lang w:val="pl-PL"/>
        </w:rPr>
        <w:t xml:space="preserve">prawnych. Sąd przysięgłych miał pełną właściwość do oceny faktów i prawa w sprawie </w:t>
      </w:r>
      <w:r w:rsidRPr="00B15C52">
        <w:rPr>
          <w:rFonts w:asciiTheme="minorHAnsi" w:hAnsiTheme="minorHAnsi"/>
          <w:sz w:val="24"/>
          <w:lang w:val="pl-PL"/>
        </w:rPr>
        <w:lastRenderedPageBreak/>
        <w:t>i</w:t>
      </w:r>
      <w:r w:rsidR="00CB5C18">
        <w:rPr>
          <w:rFonts w:asciiTheme="minorHAnsi" w:hAnsiTheme="minorHAnsi"/>
          <w:sz w:val="24"/>
          <w:lang w:val="pl-PL"/>
        </w:rPr>
        <w:t> </w:t>
      </w:r>
      <w:r w:rsidRPr="00B15C52">
        <w:rPr>
          <w:rFonts w:asciiTheme="minorHAnsi" w:hAnsiTheme="minorHAnsi"/>
          <w:sz w:val="24"/>
          <w:lang w:val="pl-PL"/>
        </w:rPr>
        <w:t>do</w:t>
      </w:r>
      <w:r w:rsidR="00CB5C18">
        <w:rPr>
          <w:rFonts w:asciiTheme="minorHAnsi" w:hAnsiTheme="minorHAnsi"/>
          <w:sz w:val="24"/>
          <w:lang w:val="pl-PL"/>
        </w:rPr>
        <w:t> </w:t>
      </w:r>
      <w:r w:rsidRPr="00B15C52">
        <w:rPr>
          <w:rFonts w:asciiTheme="minorHAnsi" w:hAnsiTheme="minorHAnsi"/>
          <w:sz w:val="24"/>
          <w:lang w:val="pl-PL"/>
        </w:rPr>
        <w:t xml:space="preserve">wydania prawomocnego orzeczenia poprzez uchylenie orzeczenia sądu pierwszej instancji w razie uwzględnienia sprzeciwu skarżącego. </w:t>
      </w:r>
      <w:r>
        <w:rPr>
          <w:rFonts w:asciiTheme="minorHAnsi" w:hAnsiTheme="minorHAnsi"/>
          <w:sz w:val="24"/>
          <w:lang w:val="pl-PL"/>
        </w:rPr>
        <w:t>Zdaniem Trybunału p</w:t>
      </w:r>
      <w:r w:rsidRPr="00B15C52">
        <w:rPr>
          <w:rFonts w:asciiTheme="minorHAnsi" w:hAnsiTheme="minorHAnsi"/>
          <w:sz w:val="24"/>
          <w:lang w:val="pl-PL"/>
        </w:rPr>
        <w:t xml:space="preserve">rzeprowadzenie rozprawy pozwoliłoby zatem sądowi przysięgłych na wyrobienie sobie własnej oceny podstawy faktycznej </w:t>
      </w:r>
      <w:r>
        <w:rPr>
          <w:rFonts w:asciiTheme="minorHAnsi" w:hAnsiTheme="minorHAnsi"/>
          <w:sz w:val="24"/>
          <w:lang w:val="pl-PL"/>
        </w:rPr>
        <w:t xml:space="preserve">niezbędnej </w:t>
      </w:r>
      <w:r w:rsidRPr="00B15C52">
        <w:rPr>
          <w:rFonts w:asciiTheme="minorHAnsi" w:hAnsiTheme="minorHAnsi"/>
          <w:sz w:val="24"/>
          <w:lang w:val="pl-PL"/>
        </w:rPr>
        <w:t>do rozpoznania sprawy</w:t>
      </w:r>
      <w:r>
        <w:rPr>
          <w:rFonts w:asciiTheme="minorHAnsi" w:hAnsiTheme="minorHAnsi"/>
          <w:sz w:val="24"/>
          <w:lang w:val="pl-PL"/>
        </w:rPr>
        <w:t>, a także</w:t>
      </w:r>
      <w:r w:rsidRPr="00B15C52">
        <w:rPr>
          <w:rFonts w:asciiTheme="minorHAnsi" w:hAnsiTheme="minorHAnsi"/>
          <w:sz w:val="24"/>
          <w:lang w:val="pl-PL"/>
        </w:rPr>
        <w:t xml:space="preserve"> kwestii prawnych podniesionych przez skarżącego. </w:t>
      </w:r>
    </w:p>
    <w:p w14:paraId="640C743A" w14:textId="77777777" w:rsidR="00950534" w:rsidRDefault="00950534" w:rsidP="00950534">
      <w:pPr>
        <w:pStyle w:val="ClinContent"/>
        <w:widowControl w:val="0"/>
        <w:spacing w:before="0"/>
        <w:rPr>
          <w:rFonts w:asciiTheme="minorHAnsi" w:hAnsiTheme="minorHAnsi"/>
          <w:sz w:val="24"/>
          <w:lang w:val="pl-PL"/>
        </w:rPr>
      </w:pPr>
    </w:p>
    <w:p w14:paraId="4CD3C7DC" w14:textId="738F7B08"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okolicznościach sprawy brak kontradyktoryjności postępowania przed sądem ds.</w:t>
      </w:r>
      <w:r w:rsidR="00CB5C18">
        <w:rPr>
          <w:rFonts w:asciiTheme="minorHAnsi" w:hAnsiTheme="minorHAnsi"/>
          <w:sz w:val="24"/>
          <w:lang w:val="pl-PL"/>
        </w:rPr>
        <w:t> </w:t>
      </w:r>
      <w:r w:rsidRPr="00B15C52">
        <w:rPr>
          <w:rFonts w:asciiTheme="minorHAnsi" w:hAnsiTheme="minorHAnsi"/>
          <w:sz w:val="24"/>
          <w:lang w:val="pl-PL"/>
        </w:rPr>
        <w:t>wykonywania kar, powaga nałożonego środka i brak rozprawy zarówno przed sądem ds.</w:t>
      </w:r>
      <w:r w:rsidR="00CB5C18">
        <w:rPr>
          <w:rFonts w:asciiTheme="minorHAnsi" w:hAnsiTheme="minorHAnsi"/>
          <w:sz w:val="24"/>
          <w:lang w:val="pl-PL"/>
        </w:rPr>
        <w:t> </w:t>
      </w:r>
      <w:r w:rsidRPr="00B15C52">
        <w:rPr>
          <w:rFonts w:asciiTheme="minorHAnsi" w:hAnsiTheme="minorHAnsi"/>
          <w:sz w:val="24"/>
          <w:lang w:val="pl-PL"/>
        </w:rPr>
        <w:t xml:space="preserve">wykonywania kar, jak i przed sądem przysięgłych na etapie rozpoznawania sprzeciwu łącznie skutkowały tym, że sprawa skarżącego nie została rozpatrzona zgodnie z wymogami art. 6 ust. 1. </w:t>
      </w:r>
    </w:p>
    <w:p w14:paraId="73A7273F" w14:textId="77777777" w:rsidR="00950534" w:rsidRDefault="00950534" w:rsidP="00950534">
      <w:pPr>
        <w:pStyle w:val="ClinContent"/>
        <w:widowControl w:val="0"/>
        <w:spacing w:before="0"/>
        <w:rPr>
          <w:rFonts w:asciiTheme="minorHAnsi" w:hAnsiTheme="minorHAnsi"/>
          <w:sz w:val="24"/>
          <w:lang w:val="pl-PL"/>
        </w:rPr>
      </w:pPr>
    </w:p>
    <w:p w14:paraId="6E99A467"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 powyższych względów Trybunał stwierdził jednogłośnie, że doszło do naruszenia art. 6 ust. 1 Konwencji</w:t>
      </w:r>
      <w:r>
        <w:rPr>
          <w:rStyle w:val="Odwoanieprzypisudolnego"/>
          <w:rFonts w:asciiTheme="minorHAnsi" w:hAnsiTheme="minorHAnsi"/>
          <w:sz w:val="24"/>
          <w:lang w:val="pl-PL"/>
        </w:rPr>
        <w:footnoteReference w:id="4"/>
      </w:r>
      <w:r>
        <w:rPr>
          <w:rFonts w:asciiTheme="minorHAnsi" w:hAnsiTheme="minorHAnsi"/>
          <w:sz w:val="24"/>
          <w:lang w:val="pl-PL"/>
        </w:rPr>
        <w:t xml:space="preserve">. </w:t>
      </w:r>
    </w:p>
    <w:p w14:paraId="174501D3" w14:textId="77777777" w:rsidR="00950534" w:rsidRDefault="00950534" w:rsidP="00950534">
      <w:pPr>
        <w:pStyle w:val="ClinContent"/>
        <w:widowControl w:val="0"/>
        <w:spacing w:before="0"/>
        <w:rPr>
          <w:rFonts w:asciiTheme="minorHAnsi" w:hAnsiTheme="minorHAnsi"/>
          <w:sz w:val="24"/>
          <w:lang w:val="pl-PL"/>
        </w:rPr>
      </w:pPr>
    </w:p>
    <w:p w14:paraId="4D63BF9D"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zasądził ponadto na rzecz skarżącego kwotę </w:t>
      </w:r>
      <w:r w:rsidRPr="00B15C52">
        <w:rPr>
          <w:rFonts w:asciiTheme="minorHAnsi" w:hAnsiTheme="minorHAnsi"/>
          <w:sz w:val="24"/>
          <w:lang w:val="pl-PL"/>
        </w:rPr>
        <w:t xml:space="preserve">2000 euro tytułem szkody niemajątkowej. </w:t>
      </w:r>
    </w:p>
    <w:p w14:paraId="06BABA36" w14:textId="77777777" w:rsidR="00950534" w:rsidRDefault="00950534" w:rsidP="00950534">
      <w:pPr>
        <w:pStyle w:val="ClinContent"/>
        <w:widowControl w:val="0"/>
        <w:spacing w:before="0"/>
        <w:rPr>
          <w:rFonts w:asciiTheme="minorHAnsi" w:hAnsiTheme="minorHAnsi" w:cs="Verdana"/>
          <w:bCs/>
          <w:sz w:val="24"/>
          <w:u w:val="single"/>
          <w:lang w:val="pl-PL"/>
        </w:rPr>
      </w:pPr>
    </w:p>
    <w:p w14:paraId="44866ABB" w14:textId="5AE42E61"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Wyrok </w:t>
      </w:r>
      <w:r>
        <w:rPr>
          <w:rFonts w:asciiTheme="minorHAnsi" w:hAnsiTheme="minorHAnsi" w:cs="Verdana"/>
          <w:bCs/>
          <w:sz w:val="24"/>
          <w:lang w:val="pl-PL"/>
        </w:rPr>
        <w:t>stwierdza, że ustne porozumiewanie się osoby ze swym prawnikiem wchodzi w zakres prawa do poszanowania życia prywatnego. Wskazuje na</w:t>
      </w:r>
      <w:r w:rsidR="00CB5C18">
        <w:rPr>
          <w:rFonts w:asciiTheme="minorHAnsi" w:hAnsiTheme="minorHAnsi" w:cs="Verdana"/>
          <w:bCs/>
          <w:sz w:val="24"/>
          <w:lang w:val="pl-PL"/>
        </w:rPr>
        <w:t> </w:t>
      </w:r>
      <w:r>
        <w:rPr>
          <w:rFonts w:asciiTheme="minorHAnsi" w:hAnsiTheme="minorHAnsi" w:cs="Verdana"/>
          <w:bCs/>
          <w:sz w:val="24"/>
          <w:lang w:val="pl-PL"/>
        </w:rPr>
        <w:t>potrzebę szerokiego respektowania poufności komunikowania się ustnie i</w:t>
      </w:r>
      <w:r w:rsidR="00CB5C18">
        <w:rPr>
          <w:rFonts w:asciiTheme="minorHAnsi" w:hAnsiTheme="minorHAnsi" w:cs="Verdana"/>
          <w:bCs/>
          <w:sz w:val="24"/>
          <w:lang w:val="pl-PL"/>
        </w:rPr>
        <w:t> </w:t>
      </w:r>
      <w:r>
        <w:rPr>
          <w:rFonts w:asciiTheme="minorHAnsi" w:hAnsiTheme="minorHAnsi" w:cs="Verdana"/>
          <w:bCs/>
          <w:sz w:val="24"/>
          <w:lang w:val="pl-PL"/>
        </w:rPr>
        <w:t>korespondencyjnie osób skazanych ze swym prawnikiem – nie tylko w kontekście realizacji prawa do obrony w postępowaniu karnym. Chociaż poufność porozumiewania się z</w:t>
      </w:r>
      <w:r w:rsidR="00CB5C18">
        <w:rPr>
          <w:rFonts w:asciiTheme="minorHAnsi" w:hAnsiTheme="minorHAnsi" w:cs="Verdana"/>
          <w:bCs/>
          <w:sz w:val="24"/>
          <w:lang w:val="pl-PL"/>
        </w:rPr>
        <w:t> </w:t>
      </w:r>
      <w:r>
        <w:rPr>
          <w:rFonts w:asciiTheme="minorHAnsi" w:hAnsiTheme="minorHAnsi" w:cs="Verdana"/>
          <w:bCs/>
          <w:sz w:val="24"/>
          <w:lang w:val="pl-PL"/>
        </w:rPr>
        <w:t xml:space="preserve">prawnikiem może wyjątkowo podlegać ograniczeniom, niezbędne jest jednak istnienie precyzyjnych podstaw prawnych do ich nakładania, interpretowanych w sposób ścisły, oraz wykazanie ważnych powodów ingerencji. Dodatkowo wyrok podkreśla konieczność rozprawy i wysłuchania osadzonego nawet w uproszczonych procedurach dotyczących spraw penitencjarnych odnoszących się do jego praw. </w:t>
      </w:r>
    </w:p>
    <w:p w14:paraId="73B95BDA" w14:textId="77777777" w:rsidR="00950534" w:rsidRDefault="00950534" w:rsidP="00950534">
      <w:pPr>
        <w:pStyle w:val="ClinContent"/>
        <w:widowControl w:val="0"/>
        <w:spacing w:before="0"/>
        <w:rPr>
          <w:rFonts w:asciiTheme="minorHAnsi" w:hAnsiTheme="minorHAnsi" w:cs="Verdana"/>
          <w:bCs/>
          <w:sz w:val="24"/>
          <w:lang w:val="pl-PL"/>
        </w:rPr>
      </w:pPr>
    </w:p>
    <w:p w14:paraId="2905A4D2"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 xml:space="preserve">Wyrok może mieć w szczególności znaczenie dla Służby Więziennej, organów wykonujących orzeczenia karne, w tym sądów penitencjarnych, sądów karnych, a także adwokatów oraz radców prawnych oraz Ministerstwa Sprawiedliwości. </w:t>
      </w:r>
    </w:p>
    <w:p w14:paraId="5890D20C" w14:textId="77777777" w:rsidR="00950534" w:rsidRDefault="00950534" w:rsidP="00950534">
      <w:pPr>
        <w:pStyle w:val="ClinContent"/>
        <w:widowControl w:val="0"/>
        <w:spacing w:before="0"/>
        <w:rPr>
          <w:rFonts w:asciiTheme="minorHAnsi" w:hAnsiTheme="minorHAnsi"/>
          <w:sz w:val="24"/>
          <w:lang w:val="pl-PL"/>
        </w:rPr>
      </w:pPr>
    </w:p>
    <w:p w14:paraId="46D6F452" w14:textId="77777777" w:rsidR="00950534" w:rsidRDefault="00950534" w:rsidP="00950534">
      <w:pPr>
        <w:pStyle w:val="ClinContent"/>
        <w:widowControl w:val="0"/>
        <w:spacing w:before="0"/>
        <w:rPr>
          <w:rFonts w:asciiTheme="minorHAnsi" w:hAnsiTheme="minorHAnsi"/>
          <w:sz w:val="24"/>
          <w:lang w:val="pl-PL"/>
        </w:rPr>
      </w:pPr>
    </w:p>
    <w:p w14:paraId="3F67BF16"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3" w:name="_Toc35632466"/>
      <w:r w:rsidRPr="00756C25">
        <w:rPr>
          <w:rFonts w:asciiTheme="minorHAnsi" w:hAnsiTheme="minorHAnsi"/>
          <w:i/>
          <w:color w:val="auto"/>
          <w:sz w:val="24"/>
          <w:szCs w:val="24"/>
        </w:rPr>
        <w:t>Beghal</w:t>
      </w:r>
      <w:r w:rsidRPr="00A450C9">
        <w:rPr>
          <w:rFonts w:asciiTheme="minorHAnsi" w:hAnsiTheme="minorHAnsi"/>
          <w:i/>
          <w:color w:val="auto"/>
          <w:sz w:val="24"/>
          <w:szCs w:val="24"/>
        </w:rPr>
        <w:t xml:space="preserve"> p. Zjednoczonemu Królestwu</w:t>
      </w:r>
      <w:r w:rsidRPr="001F792C">
        <w:rPr>
          <w:rFonts w:asciiTheme="minorHAnsi" w:hAnsiTheme="minorHAnsi"/>
          <w:color w:val="auto"/>
          <w:sz w:val="24"/>
          <w:szCs w:val="24"/>
        </w:rPr>
        <w:t>, skarga nr 4755/16, wyrok Izby z dnia 28 lutego 2019 r.</w:t>
      </w:r>
      <w:bookmarkEnd w:id="3"/>
      <w:r w:rsidRPr="001F792C">
        <w:rPr>
          <w:rFonts w:asciiTheme="minorHAnsi" w:hAnsiTheme="minorHAnsi"/>
          <w:color w:val="auto"/>
          <w:sz w:val="24"/>
          <w:szCs w:val="24"/>
        </w:rPr>
        <w:t xml:space="preserve"> </w:t>
      </w:r>
    </w:p>
    <w:p w14:paraId="0A1A8BE8" w14:textId="1BF05127" w:rsidR="00950534" w:rsidRDefault="00950534" w:rsidP="00950534">
      <w:pPr>
        <w:pStyle w:val="Akapitzlist"/>
        <w:widowControl w:val="0"/>
        <w:numPr>
          <w:ilvl w:val="0"/>
          <w:numId w:val="17"/>
        </w:numPr>
        <w:spacing w:after="0" w:line="240" w:lineRule="auto"/>
        <w:ind w:left="426"/>
        <w:jc w:val="both"/>
        <w:outlineLvl w:val="2"/>
        <w:rPr>
          <w:b/>
          <w:color w:val="000000" w:themeColor="text1"/>
          <w:sz w:val="24"/>
          <w:szCs w:val="24"/>
          <w:lang w:val="pl-PL"/>
        </w:rPr>
      </w:pPr>
      <w:r>
        <w:rPr>
          <w:b/>
          <w:iCs/>
          <w:color w:val="000000" w:themeColor="text1"/>
          <w:sz w:val="24"/>
          <w:szCs w:val="24"/>
          <w:lang w:val="pl-PL"/>
        </w:rPr>
        <w:t>naruszenie art. 8 Konwencji (prawo do poszanowania życia prywatnego i rodzinnego – aspekt prawa do poszanowania życia prywatnego) z uwagi na u</w:t>
      </w:r>
      <w:r w:rsidRPr="00097BCF">
        <w:rPr>
          <w:b/>
          <w:iCs/>
          <w:color w:val="000000" w:themeColor="text1"/>
          <w:sz w:val="24"/>
          <w:szCs w:val="24"/>
          <w:lang w:val="pl-PL"/>
        </w:rPr>
        <w:t xml:space="preserve">prawnienie funkcjonariuszy straży granicznej do zatrzymania i przesłuchania </w:t>
      </w:r>
      <w:r>
        <w:rPr>
          <w:b/>
          <w:iCs/>
          <w:color w:val="000000" w:themeColor="text1"/>
          <w:sz w:val="24"/>
          <w:szCs w:val="24"/>
          <w:lang w:val="pl-PL"/>
        </w:rPr>
        <w:t xml:space="preserve">osoby </w:t>
      </w:r>
      <w:r w:rsidRPr="00097BCF">
        <w:rPr>
          <w:b/>
          <w:iCs/>
          <w:color w:val="000000" w:themeColor="text1"/>
          <w:sz w:val="24"/>
          <w:szCs w:val="24"/>
          <w:lang w:val="pl-PL"/>
        </w:rPr>
        <w:t>bez</w:t>
      </w:r>
      <w:r w:rsidR="00277D0F">
        <w:rPr>
          <w:b/>
          <w:iCs/>
          <w:color w:val="000000" w:themeColor="text1"/>
          <w:sz w:val="24"/>
          <w:szCs w:val="24"/>
          <w:lang w:val="pl-PL"/>
        </w:rPr>
        <w:t> </w:t>
      </w:r>
      <w:r w:rsidRPr="00097BCF">
        <w:rPr>
          <w:b/>
          <w:iCs/>
          <w:color w:val="000000" w:themeColor="text1"/>
          <w:sz w:val="24"/>
          <w:szCs w:val="24"/>
          <w:lang w:val="pl-PL"/>
        </w:rPr>
        <w:t xml:space="preserve">podejrzenia popełnienia przestępstwa i </w:t>
      </w:r>
      <w:r>
        <w:rPr>
          <w:b/>
          <w:iCs/>
          <w:color w:val="000000" w:themeColor="text1"/>
          <w:sz w:val="24"/>
          <w:szCs w:val="24"/>
          <w:lang w:val="pl-PL"/>
        </w:rPr>
        <w:t xml:space="preserve">bez </w:t>
      </w:r>
      <w:r w:rsidRPr="00097BCF">
        <w:rPr>
          <w:b/>
          <w:iCs/>
          <w:color w:val="000000" w:themeColor="text1"/>
          <w:sz w:val="24"/>
          <w:szCs w:val="24"/>
          <w:lang w:val="pl-PL"/>
        </w:rPr>
        <w:t>dostępu do adwokata</w:t>
      </w:r>
    </w:p>
    <w:p w14:paraId="3775FFC0" w14:textId="77777777" w:rsidR="00950534" w:rsidRDefault="00950534" w:rsidP="00950534">
      <w:pPr>
        <w:pStyle w:val="Akapitzlist"/>
        <w:widowControl w:val="0"/>
        <w:numPr>
          <w:ilvl w:val="0"/>
          <w:numId w:val="17"/>
        </w:numPr>
        <w:spacing w:after="0" w:line="240" w:lineRule="auto"/>
        <w:ind w:left="426"/>
        <w:jc w:val="both"/>
        <w:outlineLvl w:val="2"/>
        <w:rPr>
          <w:b/>
          <w:color w:val="000000" w:themeColor="text1"/>
          <w:sz w:val="24"/>
          <w:szCs w:val="24"/>
          <w:lang w:val="pl-PL"/>
        </w:rPr>
      </w:pPr>
      <w:r>
        <w:rPr>
          <w:b/>
          <w:iCs/>
          <w:color w:val="000000" w:themeColor="text1"/>
          <w:sz w:val="24"/>
          <w:szCs w:val="24"/>
          <w:lang w:val="pl-PL"/>
        </w:rPr>
        <w:t>brak zastosowalności art. 6 Konwencji (prawo do rzetelnego procesu sądowego – aspekt postępowania karnego) w odniesieniu do wykonania przez policję uprawnień władczych celem zmuszenia skarżącej do odpowiedzi na pytania przy braku gwarancji, że zeznania nie zostaną wykorzystane w ewentualnym postępowaniu karnym</w:t>
      </w:r>
    </w:p>
    <w:p w14:paraId="44E132A1" w14:textId="77777777" w:rsidR="00950534" w:rsidRPr="00A80201" w:rsidRDefault="00950534" w:rsidP="00950534">
      <w:pPr>
        <w:pStyle w:val="ClinContent"/>
        <w:widowControl w:val="0"/>
        <w:spacing w:before="0"/>
        <w:rPr>
          <w:rFonts w:asciiTheme="minorHAnsi" w:hAnsiTheme="minorHAnsi"/>
          <w:sz w:val="24"/>
          <w:lang w:val="pl-PL"/>
        </w:rPr>
      </w:pPr>
    </w:p>
    <w:p w14:paraId="0E602814" w14:textId="7242D85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Skar</w:t>
      </w:r>
      <w:r>
        <w:rPr>
          <w:rFonts w:asciiTheme="minorHAnsi" w:hAnsiTheme="minorHAnsi"/>
          <w:sz w:val="24"/>
          <w:lang w:val="pl-PL"/>
        </w:rPr>
        <w:t>gę wniosła obywatelka francuska, która zamieszkiwała na terenie Zjednoczonego Królestwa</w:t>
      </w:r>
      <w:r w:rsidRPr="00B15C52">
        <w:rPr>
          <w:rFonts w:asciiTheme="minorHAnsi" w:hAnsiTheme="minorHAnsi"/>
          <w:sz w:val="24"/>
          <w:lang w:val="pl-PL"/>
        </w:rPr>
        <w:t>. Jej mąż, również obywatel francuski, był pozbawiony wolności we Francji w</w:t>
      </w:r>
      <w:r w:rsidR="00206CCE">
        <w:rPr>
          <w:rFonts w:asciiTheme="minorHAnsi" w:hAnsiTheme="minorHAnsi"/>
          <w:sz w:val="24"/>
          <w:lang w:val="pl-PL"/>
        </w:rPr>
        <w:t> </w:t>
      </w:r>
      <w:r w:rsidRPr="00B15C52">
        <w:rPr>
          <w:rFonts w:asciiTheme="minorHAnsi" w:hAnsiTheme="minorHAnsi"/>
          <w:sz w:val="24"/>
          <w:lang w:val="pl-PL"/>
        </w:rPr>
        <w:t xml:space="preserve">związku z przestępstwami terrorystycznymi. Po odwiedzeniu swego męża skarżąca została zatrzymana na lotnisku East Midlands i przesłuchana na podstawie Załącznika nr 7 do ustawy </w:t>
      </w:r>
      <w:r>
        <w:rPr>
          <w:rFonts w:asciiTheme="minorHAnsi" w:hAnsiTheme="minorHAnsi"/>
          <w:sz w:val="24"/>
          <w:lang w:val="pl-PL"/>
        </w:rPr>
        <w:t xml:space="preserve">o zwalczaniu terroryzmu </w:t>
      </w:r>
      <w:r w:rsidRPr="00B15C52">
        <w:rPr>
          <w:rFonts w:asciiTheme="minorHAnsi" w:hAnsiTheme="minorHAnsi"/>
          <w:sz w:val="24"/>
          <w:lang w:val="pl-PL"/>
        </w:rPr>
        <w:t>z 2000 r. Przeszukano ją oraz jej bagaż. Skarżąca odmówiła odpowiedzi na większość zadanych jej pytań. Postawiono jej następnie m.in. zarzut umyślnego niedopełnienia obowiązku na podstawie Załącznika nr 7.</w:t>
      </w:r>
      <w:r>
        <w:rPr>
          <w:rFonts w:asciiTheme="minorHAnsi" w:hAnsiTheme="minorHAnsi"/>
          <w:sz w:val="24"/>
          <w:lang w:val="pl-PL"/>
        </w:rPr>
        <w:t xml:space="preserve"> </w:t>
      </w:r>
    </w:p>
    <w:p w14:paraId="19EE35B9" w14:textId="77777777" w:rsidR="00950534" w:rsidRDefault="00950534" w:rsidP="00950534">
      <w:pPr>
        <w:pStyle w:val="ClinContent"/>
        <w:widowControl w:val="0"/>
        <w:spacing w:before="0"/>
        <w:rPr>
          <w:rFonts w:asciiTheme="minorHAnsi" w:hAnsiTheme="minorHAnsi"/>
          <w:sz w:val="24"/>
          <w:lang w:val="pl-PL"/>
        </w:rPr>
      </w:pPr>
    </w:p>
    <w:p w14:paraId="628FC55C" w14:textId="5AC74A70"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Załącznik nr 7 przyznawał policji, funkcjonariuszom imigracyjnym i </w:t>
      </w:r>
      <w:r>
        <w:rPr>
          <w:rFonts w:asciiTheme="minorHAnsi" w:hAnsiTheme="minorHAnsi"/>
          <w:sz w:val="24"/>
          <w:lang w:val="pl-PL"/>
        </w:rPr>
        <w:t xml:space="preserve">wyznaczonym </w:t>
      </w:r>
      <w:r w:rsidRPr="00B15C52">
        <w:rPr>
          <w:rFonts w:asciiTheme="minorHAnsi" w:hAnsiTheme="minorHAnsi"/>
          <w:sz w:val="24"/>
          <w:lang w:val="pl-PL"/>
        </w:rPr>
        <w:t>funkcjonariuszom służby celnej uprawnienie do zatrzymania, przesłuchania i przeszukania pasażerów w portach, na lotniskach i w międzynarodowych terminalach kolejowych. Przesłuchanie powinno mieć na celu ustalenie, czy dana osoba wydawała się zamieszana lub była zamieszana w popełnianie, przygotowanie lub podżeganie do aktów terroryzmu. Nie</w:t>
      </w:r>
      <w:r w:rsidR="00206CCE">
        <w:rPr>
          <w:rFonts w:asciiTheme="minorHAnsi" w:hAnsiTheme="minorHAnsi"/>
          <w:sz w:val="24"/>
          <w:lang w:val="pl-PL"/>
        </w:rPr>
        <w:t> </w:t>
      </w:r>
      <w:r w:rsidRPr="00B15C52">
        <w:rPr>
          <w:rFonts w:asciiTheme="minorHAnsi" w:hAnsiTheme="minorHAnsi"/>
          <w:sz w:val="24"/>
          <w:lang w:val="pl-PL"/>
        </w:rPr>
        <w:t>było wymagane uprzednie zezwolenie, a uprawnienie do zatrzymywania i</w:t>
      </w:r>
      <w:r w:rsidR="00206CCE">
        <w:rPr>
          <w:rFonts w:asciiTheme="minorHAnsi" w:hAnsiTheme="minorHAnsi"/>
          <w:sz w:val="24"/>
          <w:lang w:val="pl-PL"/>
        </w:rPr>
        <w:t> </w:t>
      </w:r>
      <w:r w:rsidRPr="00B15C52">
        <w:rPr>
          <w:rFonts w:asciiTheme="minorHAnsi" w:hAnsiTheme="minorHAnsi"/>
          <w:sz w:val="24"/>
          <w:lang w:val="pl-PL"/>
        </w:rPr>
        <w:t>przesłuchiwania mogło być wykonywane bez podejrzenia o udział w</w:t>
      </w:r>
      <w:r>
        <w:rPr>
          <w:rFonts w:asciiTheme="minorHAnsi" w:hAnsiTheme="minorHAnsi"/>
          <w:sz w:val="24"/>
          <w:lang w:val="pl-PL"/>
        </w:rPr>
        <w:t xml:space="preserve"> działalności terrorystycznej</w:t>
      </w:r>
      <w:r w:rsidRPr="00B15C52">
        <w:rPr>
          <w:rFonts w:asciiTheme="minorHAnsi" w:hAnsiTheme="minorHAnsi"/>
          <w:sz w:val="24"/>
          <w:lang w:val="pl-PL"/>
        </w:rPr>
        <w:t xml:space="preserve">. </w:t>
      </w:r>
    </w:p>
    <w:p w14:paraId="40933B61" w14:textId="77777777" w:rsidR="00950534" w:rsidRDefault="00950534" w:rsidP="00950534">
      <w:pPr>
        <w:pStyle w:val="ClinContent"/>
        <w:widowControl w:val="0"/>
        <w:spacing w:before="0"/>
        <w:rPr>
          <w:rFonts w:asciiTheme="minorHAnsi" w:hAnsiTheme="minorHAnsi"/>
          <w:sz w:val="24"/>
          <w:lang w:val="pl-PL"/>
        </w:rPr>
      </w:pPr>
    </w:p>
    <w:p w14:paraId="6B59D3B9" w14:textId="0C326D19"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zbadał sprawę w szczególności z punktu widzenia gwarancji prawa do</w:t>
      </w:r>
      <w:r w:rsidR="00206CCE">
        <w:rPr>
          <w:rFonts w:asciiTheme="minorHAnsi" w:hAnsiTheme="minorHAnsi"/>
          <w:sz w:val="24"/>
          <w:lang w:val="pl-PL"/>
        </w:rPr>
        <w:t> </w:t>
      </w:r>
      <w:r>
        <w:rPr>
          <w:rFonts w:asciiTheme="minorHAnsi" w:hAnsiTheme="minorHAnsi"/>
          <w:sz w:val="24"/>
          <w:lang w:val="pl-PL"/>
        </w:rPr>
        <w:t xml:space="preserve">poszanowania życia prywatnego w oparciu o art. 8 Konwencji. Przeanalizował, </w:t>
      </w:r>
      <w:r w:rsidRPr="00B15C52">
        <w:rPr>
          <w:rFonts w:asciiTheme="minorHAnsi" w:hAnsiTheme="minorHAnsi"/>
          <w:sz w:val="24"/>
          <w:lang w:val="pl-PL"/>
        </w:rPr>
        <w:t>czy</w:t>
      </w:r>
      <w:r w:rsidR="00206CCE">
        <w:rPr>
          <w:rFonts w:asciiTheme="minorHAnsi" w:hAnsiTheme="minorHAnsi"/>
          <w:sz w:val="24"/>
          <w:lang w:val="pl-PL"/>
        </w:rPr>
        <w:t> </w:t>
      </w:r>
      <w:r w:rsidRPr="00B15C52">
        <w:rPr>
          <w:rFonts w:asciiTheme="minorHAnsi" w:hAnsiTheme="minorHAnsi"/>
          <w:sz w:val="24"/>
          <w:lang w:val="pl-PL"/>
        </w:rPr>
        <w:t>gwarancje przewidziane przez prawo krajowe</w:t>
      </w:r>
      <w:r>
        <w:rPr>
          <w:rFonts w:asciiTheme="minorHAnsi" w:hAnsiTheme="minorHAnsi"/>
          <w:sz w:val="24"/>
          <w:lang w:val="pl-PL"/>
        </w:rPr>
        <w:t xml:space="preserve"> w wystarczającym stopniu</w:t>
      </w:r>
      <w:r w:rsidRPr="00B15C52">
        <w:rPr>
          <w:rFonts w:asciiTheme="minorHAnsi" w:hAnsiTheme="minorHAnsi"/>
          <w:sz w:val="24"/>
          <w:lang w:val="pl-PL"/>
        </w:rPr>
        <w:t xml:space="preserve"> ograniczały uprawnienia przyznane </w:t>
      </w:r>
      <w:r>
        <w:rPr>
          <w:rFonts w:asciiTheme="minorHAnsi" w:hAnsiTheme="minorHAnsi"/>
          <w:sz w:val="24"/>
          <w:lang w:val="pl-PL"/>
        </w:rPr>
        <w:t xml:space="preserve">organom </w:t>
      </w:r>
      <w:r w:rsidRPr="00B15C52">
        <w:rPr>
          <w:rFonts w:asciiTheme="minorHAnsi" w:hAnsiTheme="minorHAnsi"/>
          <w:sz w:val="24"/>
          <w:lang w:val="pl-PL"/>
        </w:rPr>
        <w:t xml:space="preserve">na podstawie Załącznika nr 7, </w:t>
      </w:r>
      <w:r>
        <w:rPr>
          <w:rFonts w:asciiTheme="minorHAnsi" w:hAnsiTheme="minorHAnsi"/>
          <w:sz w:val="24"/>
          <w:lang w:val="pl-PL"/>
        </w:rPr>
        <w:t xml:space="preserve">tak </w:t>
      </w:r>
      <w:r w:rsidRPr="00B15C52">
        <w:rPr>
          <w:rFonts w:asciiTheme="minorHAnsi" w:hAnsiTheme="minorHAnsi"/>
          <w:sz w:val="24"/>
          <w:lang w:val="pl-PL"/>
        </w:rPr>
        <w:t xml:space="preserve">by zapewnić skarżącej odpowiednią ochronę przed arbitralną ingerencją w jej prawo do poszanowania życia prywatnego. </w:t>
      </w:r>
      <w:r>
        <w:rPr>
          <w:rFonts w:asciiTheme="minorHAnsi" w:hAnsiTheme="minorHAnsi"/>
          <w:sz w:val="24"/>
          <w:lang w:val="pl-PL"/>
        </w:rPr>
        <w:t>W swej ocenie Trybunał uwzględnił następujące trzy aspekty:</w:t>
      </w:r>
    </w:p>
    <w:p w14:paraId="701C5817" w14:textId="77777777" w:rsidR="00950534" w:rsidRDefault="00950534" w:rsidP="00950534">
      <w:pPr>
        <w:pStyle w:val="ClinContent"/>
        <w:widowControl w:val="0"/>
        <w:spacing w:before="0"/>
        <w:rPr>
          <w:rFonts w:asciiTheme="minorHAnsi" w:hAnsiTheme="minorHAnsi"/>
          <w:sz w:val="24"/>
          <w:lang w:val="pl-PL"/>
        </w:rPr>
      </w:pPr>
    </w:p>
    <w:p w14:paraId="0A6C5C2D"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 xml:space="preserve">a) </w:t>
      </w:r>
      <w:r w:rsidRPr="00B15C52">
        <w:rPr>
          <w:rFonts w:asciiTheme="minorHAnsi" w:hAnsiTheme="minorHAnsi"/>
          <w:i/>
          <w:sz w:val="24"/>
          <w:lang w:val="pl-PL"/>
        </w:rPr>
        <w:t>Geograficzny i cza</w:t>
      </w:r>
      <w:r>
        <w:rPr>
          <w:rFonts w:asciiTheme="minorHAnsi" w:hAnsiTheme="minorHAnsi"/>
          <w:i/>
          <w:sz w:val="24"/>
          <w:lang w:val="pl-PL"/>
        </w:rPr>
        <w:t>sowy zakres uprawnień władz</w:t>
      </w:r>
    </w:p>
    <w:p w14:paraId="7A18DA86" w14:textId="77777777" w:rsidR="00950534" w:rsidRDefault="00950534" w:rsidP="00950534">
      <w:pPr>
        <w:pStyle w:val="ClinContent"/>
        <w:widowControl w:val="0"/>
        <w:spacing w:before="0"/>
        <w:rPr>
          <w:rFonts w:asciiTheme="minorHAnsi" w:hAnsiTheme="minorHAnsi"/>
          <w:i/>
          <w:sz w:val="24"/>
          <w:lang w:val="pl-PL"/>
        </w:rPr>
      </w:pPr>
    </w:p>
    <w:p w14:paraId="26843F04" w14:textId="5AC9D788"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odnotował, że u</w:t>
      </w:r>
      <w:r w:rsidRPr="00B15C52">
        <w:rPr>
          <w:rFonts w:asciiTheme="minorHAnsi" w:hAnsiTheme="minorHAnsi"/>
          <w:sz w:val="24"/>
          <w:lang w:val="pl-PL"/>
        </w:rPr>
        <w:t xml:space="preserve">prawnienia przyznane </w:t>
      </w:r>
      <w:r>
        <w:rPr>
          <w:rFonts w:asciiTheme="minorHAnsi" w:hAnsiTheme="minorHAnsi"/>
          <w:sz w:val="24"/>
          <w:lang w:val="pl-PL"/>
        </w:rPr>
        <w:t xml:space="preserve">organom </w:t>
      </w:r>
      <w:r w:rsidRPr="00B15C52">
        <w:rPr>
          <w:rFonts w:asciiTheme="minorHAnsi" w:hAnsiTheme="minorHAnsi"/>
          <w:sz w:val="24"/>
          <w:lang w:val="pl-PL"/>
        </w:rPr>
        <w:t xml:space="preserve">na podstawie Załącznika nr 7 miały szeroki zakres, jako że </w:t>
      </w:r>
      <w:r>
        <w:rPr>
          <w:rFonts w:asciiTheme="minorHAnsi" w:hAnsiTheme="minorHAnsi"/>
          <w:sz w:val="24"/>
          <w:lang w:val="pl-PL"/>
        </w:rPr>
        <w:t xml:space="preserve">miały stałe zastosowanie </w:t>
      </w:r>
      <w:r w:rsidRPr="00B15C52">
        <w:rPr>
          <w:rFonts w:asciiTheme="minorHAnsi" w:hAnsiTheme="minorHAnsi"/>
          <w:sz w:val="24"/>
          <w:lang w:val="pl-PL"/>
        </w:rPr>
        <w:t xml:space="preserve">we wszystkich portach i punktach kontroli granicznej. Samo w sobie nie było to sprzeczne z zasadą legalności. </w:t>
      </w:r>
      <w:r>
        <w:rPr>
          <w:rFonts w:asciiTheme="minorHAnsi" w:hAnsiTheme="minorHAnsi"/>
          <w:sz w:val="24"/>
          <w:lang w:val="pl-PL"/>
        </w:rPr>
        <w:t>Trybunał przyznał, że</w:t>
      </w:r>
      <w:r w:rsidR="00206CCE">
        <w:rPr>
          <w:rFonts w:asciiTheme="minorHAnsi" w:hAnsiTheme="minorHAnsi"/>
          <w:sz w:val="24"/>
          <w:lang w:val="pl-PL"/>
        </w:rPr>
        <w:t> </w:t>
      </w:r>
      <w:r>
        <w:rPr>
          <w:rFonts w:asciiTheme="minorHAnsi" w:hAnsiTheme="minorHAnsi"/>
          <w:sz w:val="24"/>
          <w:lang w:val="pl-PL"/>
        </w:rPr>
        <w:t>p</w:t>
      </w:r>
      <w:r w:rsidRPr="00B15C52">
        <w:rPr>
          <w:rFonts w:asciiTheme="minorHAnsi" w:hAnsiTheme="minorHAnsi"/>
          <w:sz w:val="24"/>
          <w:lang w:val="pl-PL"/>
        </w:rPr>
        <w:t xml:space="preserve">orty i punkty kontroli granicznej w sposób nieunikniony stanowią kluczowe punkty kontaktowe na potrzeby wykrywania </w:t>
      </w:r>
      <w:r>
        <w:rPr>
          <w:rFonts w:asciiTheme="minorHAnsi" w:hAnsiTheme="minorHAnsi"/>
          <w:sz w:val="24"/>
          <w:lang w:val="pl-PL"/>
        </w:rPr>
        <w:t>i zapobiegania przemieszczaniu</w:t>
      </w:r>
      <w:r w:rsidRPr="00B15C52">
        <w:rPr>
          <w:rFonts w:asciiTheme="minorHAnsi" w:hAnsiTheme="minorHAnsi"/>
          <w:sz w:val="24"/>
          <w:lang w:val="pl-PL"/>
        </w:rPr>
        <w:t xml:space="preserve"> się terrorystów lub</w:t>
      </w:r>
      <w:r w:rsidR="00206CCE">
        <w:rPr>
          <w:rFonts w:asciiTheme="minorHAnsi" w:hAnsiTheme="minorHAnsi"/>
          <w:sz w:val="24"/>
          <w:lang w:val="pl-PL"/>
        </w:rPr>
        <w:t> </w:t>
      </w:r>
      <w:r w:rsidRPr="00B15C52">
        <w:rPr>
          <w:rFonts w:asciiTheme="minorHAnsi" w:hAnsiTheme="minorHAnsi"/>
          <w:sz w:val="24"/>
          <w:lang w:val="pl-PL"/>
        </w:rPr>
        <w:t xml:space="preserve">udaremniania ataków terrorystycznych. </w:t>
      </w:r>
      <w:r>
        <w:rPr>
          <w:rFonts w:asciiTheme="minorHAnsi" w:hAnsiTheme="minorHAnsi"/>
          <w:sz w:val="24"/>
          <w:lang w:val="pl-PL"/>
        </w:rPr>
        <w:t>Przypomniał też, że w</w:t>
      </w:r>
      <w:r w:rsidRPr="00B15C52">
        <w:rPr>
          <w:rFonts w:asciiTheme="minorHAnsi" w:hAnsiTheme="minorHAnsi"/>
          <w:sz w:val="24"/>
          <w:lang w:val="pl-PL"/>
        </w:rPr>
        <w:t xml:space="preserve"> istocie wszystkie państwa prowadzą systemy kontroli imigracyjnej i celnej w swych portach i na granicach</w:t>
      </w:r>
      <w:r>
        <w:rPr>
          <w:rFonts w:asciiTheme="minorHAnsi" w:hAnsiTheme="minorHAnsi"/>
          <w:sz w:val="24"/>
          <w:lang w:val="pl-PL"/>
        </w:rPr>
        <w:t>. C</w:t>
      </w:r>
      <w:r w:rsidRPr="00B15C52">
        <w:rPr>
          <w:rFonts w:asciiTheme="minorHAnsi" w:hAnsiTheme="minorHAnsi"/>
          <w:sz w:val="24"/>
          <w:lang w:val="pl-PL"/>
        </w:rPr>
        <w:t>ho</w:t>
      </w:r>
      <w:r>
        <w:rPr>
          <w:rFonts w:asciiTheme="minorHAnsi" w:hAnsiTheme="minorHAnsi"/>
          <w:sz w:val="24"/>
          <w:lang w:val="pl-PL"/>
        </w:rPr>
        <w:t>ciaż</w:t>
      </w:r>
      <w:r w:rsidRPr="00B15C52">
        <w:rPr>
          <w:rFonts w:asciiTheme="minorHAnsi" w:hAnsiTheme="minorHAnsi"/>
          <w:sz w:val="24"/>
          <w:lang w:val="pl-PL"/>
        </w:rPr>
        <w:t xml:space="preserve"> kontrole te różnią się swym charakterem od uprawnień przyznanych na podstawie Załącznika nr 7, niemniej jednak wszystkie osoby przekraczające granice międzynarodowe mogą się spodziewać, że będą podlegały pewnej formie kontroli. </w:t>
      </w:r>
    </w:p>
    <w:p w14:paraId="3A724B81" w14:textId="77777777" w:rsidR="00950534" w:rsidRDefault="00950534" w:rsidP="00950534">
      <w:pPr>
        <w:pStyle w:val="ClinContent"/>
        <w:widowControl w:val="0"/>
        <w:spacing w:before="0"/>
        <w:rPr>
          <w:rFonts w:asciiTheme="minorHAnsi" w:hAnsiTheme="minorHAnsi"/>
          <w:sz w:val="24"/>
          <w:lang w:val="pl-PL"/>
        </w:rPr>
      </w:pPr>
    </w:p>
    <w:p w14:paraId="4DC75F8A"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b) </w:t>
      </w:r>
      <w:r w:rsidRPr="00B15C52">
        <w:rPr>
          <w:rFonts w:asciiTheme="minorHAnsi" w:hAnsiTheme="minorHAnsi"/>
          <w:i/>
          <w:sz w:val="24"/>
          <w:lang w:val="pl-PL"/>
        </w:rPr>
        <w:t>Uprawnienia uznaniowe przyznane władzom w odniesieniu do decyzji, czy i kiedy wykonywać uprawnienia</w:t>
      </w:r>
      <w:r>
        <w:rPr>
          <w:rFonts w:asciiTheme="minorHAnsi" w:hAnsiTheme="minorHAnsi"/>
          <w:sz w:val="24"/>
          <w:lang w:val="pl-PL"/>
        </w:rPr>
        <w:t xml:space="preserve"> </w:t>
      </w:r>
    </w:p>
    <w:p w14:paraId="74A91C81" w14:textId="77777777" w:rsidR="00950534" w:rsidRDefault="00950534" w:rsidP="00950534">
      <w:pPr>
        <w:pStyle w:val="ClinContent"/>
        <w:widowControl w:val="0"/>
        <w:spacing w:before="0"/>
        <w:rPr>
          <w:rFonts w:asciiTheme="minorHAnsi" w:hAnsiTheme="minorHAnsi"/>
          <w:sz w:val="24"/>
          <w:lang w:val="pl-PL"/>
        </w:rPr>
      </w:pPr>
    </w:p>
    <w:p w14:paraId="16B765DF" w14:textId="6560C98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miał na uwadze, że p</w:t>
      </w:r>
      <w:r w:rsidRPr="00B15C52">
        <w:rPr>
          <w:rFonts w:asciiTheme="minorHAnsi" w:hAnsiTheme="minorHAnsi"/>
          <w:sz w:val="24"/>
          <w:lang w:val="pl-PL"/>
        </w:rPr>
        <w:t>rzesłuchujący funkcjonariusze korzystali z bardzo szerokiej uznaniowości, gdyż pojęcie „terroryzmu” zostało zdefiniowane bardzo szeroko, a</w:t>
      </w:r>
      <w:r w:rsidR="00206CCE">
        <w:rPr>
          <w:rFonts w:asciiTheme="minorHAnsi" w:hAnsiTheme="minorHAnsi"/>
          <w:sz w:val="24"/>
          <w:lang w:val="pl-PL"/>
        </w:rPr>
        <w:t> </w:t>
      </w:r>
      <w:r w:rsidRPr="00B15C52">
        <w:rPr>
          <w:rFonts w:asciiTheme="minorHAnsi" w:hAnsiTheme="minorHAnsi"/>
          <w:sz w:val="24"/>
          <w:lang w:val="pl-PL"/>
        </w:rPr>
        <w:t>uprawnienia</w:t>
      </w:r>
      <w:r>
        <w:rPr>
          <w:rFonts w:asciiTheme="minorHAnsi" w:hAnsiTheme="minorHAnsi"/>
          <w:sz w:val="24"/>
          <w:lang w:val="pl-PL"/>
        </w:rPr>
        <w:t xml:space="preserve"> wynikające</w:t>
      </w:r>
      <w:r w:rsidRPr="00B15C52">
        <w:rPr>
          <w:rFonts w:asciiTheme="minorHAnsi" w:hAnsiTheme="minorHAnsi"/>
          <w:sz w:val="24"/>
          <w:lang w:val="pl-PL"/>
        </w:rPr>
        <w:t xml:space="preserve"> z Załącznika nr 7 mogły być wykonywane niezależnie od tego, czy</w:t>
      </w:r>
      <w:r w:rsidR="00206CCE">
        <w:rPr>
          <w:rFonts w:asciiTheme="minorHAnsi" w:hAnsiTheme="minorHAnsi"/>
          <w:sz w:val="24"/>
          <w:lang w:val="pl-PL"/>
        </w:rPr>
        <w:t> </w:t>
      </w:r>
      <w:r w:rsidRPr="00B15C52">
        <w:rPr>
          <w:rFonts w:asciiTheme="minorHAnsi" w:hAnsiTheme="minorHAnsi"/>
          <w:sz w:val="24"/>
          <w:lang w:val="pl-PL"/>
        </w:rPr>
        <w:t xml:space="preserve">funkcjonariusz miał obiektywne lub subiektywne podstawy do podejrzenia. </w:t>
      </w:r>
      <w:r>
        <w:rPr>
          <w:rFonts w:asciiTheme="minorHAnsi" w:hAnsiTheme="minorHAnsi"/>
          <w:sz w:val="24"/>
          <w:lang w:val="pl-PL"/>
        </w:rPr>
        <w:t>W tym kontekście Trybunał podkreślił, że w</w:t>
      </w:r>
      <w:r w:rsidRPr="00B15C52">
        <w:rPr>
          <w:rFonts w:asciiTheme="minorHAnsi" w:hAnsiTheme="minorHAnsi"/>
          <w:sz w:val="24"/>
          <w:lang w:val="pl-PL"/>
        </w:rPr>
        <w:t>ymóg uzasadnionego podejrzenia stanowi istotną przesłankę przy ocenie zgodności z prawem uprawnienia do zatrzymywania i</w:t>
      </w:r>
      <w:r w:rsidR="00206CCE">
        <w:rPr>
          <w:rFonts w:asciiTheme="minorHAnsi" w:hAnsiTheme="minorHAnsi"/>
          <w:sz w:val="24"/>
          <w:lang w:val="pl-PL"/>
        </w:rPr>
        <w:t> </w:t>
      </w:r>
      <w:r w:rsidRPr="00B15C52">
        <w:rPr>
          <w:rFonts w:asciiTheme="minorHAnsi" w:hAnsiTheme="minorHAnsi"/>
          <w:sz w:val="24"/>
          <w:lang w:val="pl-PL"/>
        </w:rPr>
        <w:t xml:space="preserve">przesłuchiwania lub przeszukiwania osoby. Niemniej jednak nic nie wskazuje, że istnienie </w:t>
      </w:r>
      <w:r w:rsidRPr="00B15C52">
        <w:rPr>
          <w:rFonts w:asciiTheme="minorHAnsi" w:hAnsiTheme="minorHAnsi"/>
          <w:sz w:val="24"/>
          <w:lang w:val="pl-PL"/>
        </w:rPr>
        <w:lastRenderedPageBreak/>
        <w:t>uzasadnionego podejrzenia jest samo w sobie konieczne</w:t>
      </w:r>
      <w:r>
        <w:rPr>
          <w:rFonts w:asciiTheme="minorHAnsi" w:hAnsiTheme="minorHAnsi"/>
          <w:sz w:val="24"/>
          <w:lang w:val="pl-PL"/>
        </w:rPr>
        <w:t xml:space="preserve"> dla uniknięcia</w:t>
      </w:r>
      <w:r w:rsidRPr="00B15C52">
        <w:rPr>
          <w:rFonts w:asciiTheme="minorHAnsi" w:hAnsiTheme="minorHAnsi"/>
          <w:sz w:val="24"/>
          <w:lang w:val="pl-PL"/>
        </w:rPr>
        <w:t xml:space="preserve"> arbitralności. </w:t>
      </w:r>
      <w:r>
        <w:rPr>
          <w:rFonts w:asciiTheme="minorHAnsi" w:hAnsiTheme="minorHAnsi"/>
          <w:sz w:val="24"/>
          <w:lang w:val="pl-PL"/>
        </w:rPr>
        <w:t>Ocenę tę n</w:t>
      </w:r>
      <w:r w:rsidRPr="00B15C52">
        <w:rPr>
          <w:rFonts w:asciiTheme="minorHAnsi" w:hAnsiTheme="minorHAnsi"/>
          <w:sz w:val="24"/>
          <w:lang w:val="pl-PL"/>
        </w:rPr>
        <w:t xml:space="preserve">ależy raczej </w:t>
      </w:r>
      <w:r>
        <w:rPr>
          <w:rFonts w:asciiTheme="minorHAnsi" w:hAnsiTheme="minorHAnsi"/>
          <w:sz w:val="24"/>
          <w:lang w:val="pl-PL"/>
        </w:rPr>
        <w:t>przeprowadzić</w:t>
      </w:r>
      <w:r w:rsidRPr="00B15C52">
        <w:rPr>
          <w:rFonts w:asciiTheme="minorHAnsi" w:hAnsiTheme="minorHAnsi"/>
          <w:sz w:val="24"/>
          <w:lang w:val="pl-PL"/>
        </w:rPr>
        <w:t>, biorąc pod uwagę działanie systemu jako całości, a brak wymogu uzasadnionego podejrzenia nie spowodował sam w sobie, że wykonywanie uprawnień w sprawie skarżącej było niezgodne z prawem.</w:t>
      </w:r>
    </w:p>
    <w:p w14:paraId="14CBC9CC" w14:textId="77777777" w:rsidR="00950534" w:rsidRDefault="00950534" w:rsidP="00950534">
      <w:pPr>
        <w:pStyle w:val="ClinContent"/>
        <w:widowControl w:val="0"/>
        <w:spacing w:before="0"/>
        <w:rPr>
          <w:rFonts w:asciiTheme="minorHAnsi" w:hAnsiTheme="minorHAnsi"/>
          <w:sz w:val="24"/>
          <w:lang w:val="pl-PL"/>
        </w:rPr>
      </w:pPr>
    </w:p>
    <w:p w14:paraId="690949E9"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 drugiej strony Trybunał przyznał, że i</w:t>
      </w:r>
      <w:r w:rsidRPr="00B15C52">
        <w:rPr>
          <w:rFonts w:asciiTheme="minorHAnsi" w:hAnsiTheme="minorHAnsi"/>
          <w:sz w:val="24"/>
          <w:lang w:val="pl-PL"/>
        </w:rPr>
        <w:t xml:space="preserve">stniały wyraźne dowody wskazujące, że uprawnienia </w:t>
      </w:r>
      <w:r>
        <w:rPr>
          <w:rFonts w:asciiTheme="minorHAnsi" w:hAnsiTheme="minorHAnsi"/>
          <w:sz w:val="24"/>
          <w:lang w:val="pl-PL"/>
        </w:rPr>
        <w:t xml:space="preserve">wynikające </w:t>
      </w:r>
      <w:r w:rsidRPr="00B15C52">
        <w:rPr>
          <w:rFonts w:asciiTheme="minorHAnsi" w:hAnsiTheme="minorHAnsi"/>
          <w:sz w:val="24"/>
          <w:lang w:val="pl-PL"/>
        </w:rPr>
        <w:t xml:space="preserve">z Załącznika nr 7 rzeczywiście przyczyniały się do ochrony bezpieczeństwa narodowego. Gdyby </w:t>
      </w:r>
      <w:r>
        <w:rPr>
          <w:rFonts w:asciiTheme="minorHAnsi" w:hAnsiTheme="minorHAnsi"/>
          <w:sz w:val="24"/>
          <w:lang w:val="pl-PL"/>
        </w:rPr>
        <w:t xml:space="preserve">istniał wymóg </w:t>
      </w:r>
      <w:r w:rsidRPr="00B15C52">
        <w:rPr>
          <w:rFonts w:asciiTheme="minorHAnsi" w:hAnsiTheme="minorHAnsi"/>
          <w:sz w:val="24"/>
          <w:lang w:val="pl-PL"/>
        </w:rPr>
        <w:t>„uzasadnionego podejrzenia”, terroryści mogliby unikać zagrożenia</w:t>
      </w:r>
      <w:r>
        <w:rPr>
          <w:rFonts w:asciiTheme="minorHAnsi" w:hAnsiTheme="minorHAnsi"/>
          <w:sz w:val="24"/>
          <w:lang w:val="pl-PL"/>
        </w:rPr>
        <w:t>, jakie stanowi dla nich Załącznik</w:t>
      </w:r>
      <w:r w:rsidRPr="00B15C52">
        <w:rPr>
          <w:rFonts w:asciiTheme="minorHAnsi" w:hAnsiTheme="minorHAnsi"/>
          <w:sz w:val="24"/>
          <w:lang w:val="pl-PL"/>
        </w:rPr>
        <w:t xml:space="preserve"> nr 7, wykorzystując ludzi, którzy nie byli wcześniej obiektem zainteresowania policji</w:t>
      </w:r>
      <w:r>
        <w:rPr>
          <w:rFonts w:asciiTheme="minorHAnsi" w:hAnsiTheme="minorHAnsi"/>
          <w:sz w:val="24"/>
          <w:lang w:val="pl-PL"/>
        </w:rPr>
        <w:t xml:space="preserve">. Co więcej </w:t>
      </w:r>
      <w:r w:rsidRPr="00B15C52">
        <w:rPr>
          <w:rFonts w:asciiTheme="minorHAnsi" w:hAnsiTheme="minorHAnsi"/>
          <w:sz w:val="24"/>
          <w:lang w:val="pl-PL"/>
        </w:rPr>
        <w:t xml:space="preserve">sam fakt zatrzymania mógłby </w:t>
      </w:r>
      <w:r>
        <w:rPr>
          <w:rFonts w:asciiTheme="minorHAnsi" w:hAnsiTheme="minorHAnsi"/>
          <w:sz w:val="24"/>
          <w:lang w:val="pl-PL"/>
        </w:rPr>
        <w:t xml:space="preserve">uświadomić </w:t>
      </w:r>
      <w:r w:rsidRPr="00B15C52">
        <w:rPr>
          <w:rFonts w:asciiTheme="minorHAnsi" w:hAnsiTheme="minorHAnsi"/>
          <w:sz w:val="24"/>
          <w:lang w:val="pl-PL"/>
        </w:rPr>
        <w:t>osobie</w:t>
      </w:r>
      <w:r>
        <w:rPr>
          <w:rFonts w:asciiTheme="minorHAnsi" w:hAnsiTheme="minorHAnsi"/>
          <w:sz w:val="24"/>
          <w:lang w:val="pl-PL"/>
        </w:rPr>
        <w:t>, że jest prowadzony nadzór</w:t>
      </w:r>
      <w:r w:rsidRPr="00B15C52">
        <w:rPr>
          <w:rFonts w:asciiTheme="minorHAnsi" w:hAnsiTheme="minorHAnsi"/>
          <w:sz w:val="24"/>
          <w:lang w:val="pl-PL"/>
        </w:rPr>
        <w:t xml:space="preserve">. </w:t>
      </w:r>
    </w:p>
    <w:p w14:paraId="24654F54" w14:textId="77777777" w:rsidR="00950534" w:rsidRDefault="00950534" w:rsidP="00950534">
      <w:pPr>
        <w:pStyle w:val="ClinContent"/>
        <w:widowControl w:val="0"/>
        <w:spacing w:before="0"/>
        <w:rPr>
          <w:rFonts w:asciiTheme="minorHAnsi" w:hAnsiTheme="minorHAnsi"/>
          <w:sz w:val="24"/>
          <w:lang w:val="pl-PL"/>
        </w:rPr>
      </w:pPr>
    </w:p>
    <w:p w14:paraId="5DA121A1" w14:textId="03CD71F6"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w:t>
      </w:r>
      <w:r w:rsidRPr="00B15C52">
        <w:rPr>
          <w:rFonts w:asciiTheme="minorHAnsi" w:hAnsiTheme="minorHAnsi"/>
          <w:sz w:val="24"/>
          <w:lang w:val="pl-PL"/>
        </w:rPr>
        <w:t xml:space="preserve"> Załącznika nr 7</w:t>
      </w:r>
      <w:r>
        <w:rPr>
          <w:rFonts w:asciiTheme="minorHAnsi" w:hAnsiTheme="minorHAnsi"/>
          <w:sz w:val="24"/>
          <w:lang w:val="pl-PL"/>
        </w:rPr>
        <w:t xml:space="preserve"> wynikały dwa różne uprawnienia</w:t>
      </w:r>
      <w:r w:rsidRPr="00B15C52">
        <w:rPr>
          <w:rFonts w:asciiTheme="minorHAnsi" w:hAnsiTheme="minorHAnsi"/>
          <w:sz w:val="24"/>
          <w:lang w:val="pl-PL"/>
        </w:rPr>
        <w:t>, to jest uprawnienie do przesłuchania i</w:t>
      </w:r>
      <w:r w:rsidR="00206CCE">
        <w:rPr>
          <w:rFonts w:asciiTheme="minorHAnsi" w:hAnsiTheme="minorHAnsi"/>
          <w:sz w:val="24"/>
          <w:lang w:val="pl-PL"/>
        </w:rPr>
        <w:t> </w:t>
      </w:r>
      <w:r w:rsidRPr="00B15C52">
        <w:rPr>
          <w:rFonts w:asciiTheme="minorHAnsi" w:hAnsiTheme="minorHAnsi"/>
          <w:sz w:val="24"/>
          <w:lang w:val="pl-PL"/>
        </w:rPr>
        <w:t xml:space="preserve">przeszukania osoby oraz uprawnienie do </w:t>
      </w:r>
      <w:r>
        <w:rPr>
          <w:rFonts w:asciiTheme="minorHAnsi" w:hAnsiTheme="minorHAnsi"/>
          <w:sz w:val="24"/>
          <w:lang w:val="pl-PL"/>
        </w:rPr>
        <w:t>zatrzymania osoby</w:t>
      </w:r>
      <w:r w:rsidRPr="00B15C52">
        <w:rPr>
          <w:rFonts w:asciiTheme="minorHAnsi" w:hAnsiTheme="minorHAnsi"/>
          <w:sz w:val="24"/>
          <w:lang w:val="pl-PL"/>
        </w:rPr>
        <w:t xml:space="preserve">. Ponieważ skarżąca nie została formalnie aresztowana, </w:t>
      </w:r>
      <w:r>
        <w:rPr>
          <w:rFonts w:asciiTheme="minorHAnsi" w:hAnsiTheme="minorHAnsi"/>
          <w:sz w:val="24"/>
          <w:lang w:val="pl-PL"/>
        </w:rPr>
        <w:t>Trybunał ograniczył</w:t>
      </w:r>
      <w:r w:rsidRPr="00B15C52">
        <w:rPr>
          <w:rFonts w:asciiTheme="minorHAnsi" w:hAnsiTheme="minorHAnsi"/>
          <w:sz w:val="24"/>
          <w:lang w:val="pl-PL"/>
        </w:rPr>
        <w:t xml:space="preserve"> się do </w:t>
      </w:r>
      <w:r>
        <w:rPr>
          <w:rFonts w:asciiTheme="minorHAnsi" w:hAnsiTheme="minorHAnsi"/>
          <w:sz w:val="24"/>
          <w:lang w:val="pl-PL"/>
        </w:rPr>
        <w:t xml:space="preserve">badania </w:t>
      </w:r>
      <w:r w:rsidRPr="00B15C52">
        <w:rPr>
          <w:rFonts w:asciiTheme="minorHAnsi" w:hAnsiTheme="minorHAnsi"/>
          <w:sz w:val="24"/>
          <w:lang w:val="pl-PL"/>
        </w:rPr>
        <w:t xml:space="preserve">zgodności z prawem </w:t>
      </w:r>
      <w:r>
        <w:rPr>
          <w:rFonts w:asciiTheme="minorHAnsi" w:hAnsiTheme="minorHAnsi"/>
          <w:sz w:val="24"/>
          <w:lang w:val="pl-PL"/>
        </w:rPr>
        <w:t>jej</w:t>
      </w:r>
      <w:r w:rsidR="00206CCE">
        <w:rPr>
          <w:rFonts w:asciiTheme="minorHAnsi" w:hAnsiTheme="minorHAnsi"/>
          <w:sz w:val="24"/>
          <w:lang w:val="pl-PL"/>
        </w:rPr>
        <w:t> </w:t>
      </w:r>
      <w:r w:rsidRPr="00B15C52">
        <w:rPr>
          <w:rFonts w:asciiTheme="minorHAnsi" w:hAnsiTheme="minorHAnsi"/>
          <w:sz w:val="24"/>
          <w:lang w:val="pl-PL"/>
        </w:rPr>
        <w:t xml:space="preserve">przesłuchania i przeszukania. </w:t>
      </w:r>
      <w:r>
        <w:rPr>
          <w:rFonts w:asciiTheme="minorHAnsi" w:hAnsiTheme="minorHAnsi"/>
          <w:sz w:val="24"/>
          <w:lang w:val="pl-PL"/>
        </w:rPr>
        <w:t xml:space="preserve">Za istotne uznał, że </w:t>
      </w:r>
      <w:r w:rsidRPr="00B15C52">
        <w:rPr>
          <w:rFonts w:asciiTheme="minorHAnsi" w:hAnsiTheme="minorHAnsi"/>
          <w:sz w:val="24"/>
          <w:lang w:val="pl-PL"/>
        </w:rPr>
        <w:t xml:space="preserve">uprawnienie </w:t>
      </w:r>
      <w:r>
        <w:rPr>
          <w:rFonts w:asciiTheme="minorHAnsi" w:hAnsiTheme="minorHAnsi"/>
          <w:sz w:val="24"/>
          <w:lang w:val="pl-PL"/>
        </w:rPr>
        <w:t>nadane na podstawie</w:t>
      </w:r>
      <w:r w:rsidRPr="00B15C52">
        <w:rPr>
          <w:rFonts w:asciiTheme="minorHAnsi" w:hAnsiTheme="minorHAnsi"/>
          <w:sz w:val="24"/>
          <w:lang w:val="pl-PL"/>
        </w:rPr>
        <w:t xml:space="preserve"> Załącznika nr 7, a w szczególności uprawnienie do przesłuchania i przeszukania, stanowiło wstępne uprawnienie dochodzeniowe wyraźnie przewidziane w celu wsparcia funkcjonariuszy stacjonujących w portach i na granicach </w:t>
      </w:r>
      <w:r w:rsidRPr="00E65B36">
        <w:rPr>
          <w:rFonts w:asciiTheme="minorHAnsi" w:hAnsiTheme="minorHAnsi"/>
          <w:sz w:val="24"/>
          <w:lang w:val="pl-PL"/>
        </w:rPr>
        <w:t>w przesłuchiwaniu</w:t>
      </w:r>
      <w:r w:rsidRPr="00B15C52">
        <w:rPr>
          <w:rFonts w:asciiTheme="minorHAnsi" w:hAnsiTheme="minorHAnsi"/>
          <w:sz w:val="24"/>
          <w:lang w:val="pl-PL"/>
        </w:rPr>
        <w:t xml:space="preserve"> </w:t>
      </w:r>
      <w:r>
        <w:rPr>
          <w:rFonts w:asciiTheme="minorHAnsi" w:hAnsiTheme="minorHAnsi"/>
          <w:sz w:val="24"/>
          <w:lang w:val="pl-PL"/>
        </w:rPr>
        <w:t xml:space="preserve">w celach antyterrorystycznych </w:t>
      </w:r>
      <w:r w:rsidRPr="00B15C52">
        <w:rPr>
          <w:rFonts w:asciiTheme="minorHAnsi" w:hAnsiTheme="minorHAnsi"/>
          <w:sz w:val="24"/>
          <w:lang w:val="pl-PL"/>
        </w:rPr>
        <w:t xml:space="preserve">jakichkolwiek osób wjeżdżających do kraju lub go opuszczających. </w:t>
      </w:r>
      <w:r>
        <w:rPr>
          <w:rFonts w:asciiTheme="minorHAnsi" w:hAnsiTheme="minorHAnsi"/>
          <w:sz w:val="24"/>
          <w:lang w:val="pl-PL"/>
        </w:rPr>
        <w:t>Mimo że</w:t>
      </w:r>
      <w:r w:rsidRPr="00B15C52">
        <w:rPr>
          <w:rFonts w:asciiTheme="minorHAnsi" w:hAnsiTheme="minorHAnsi"/>
          <w:sz w:val="24"/>
          <w:lang w:val="pl-PL"/>
        </w:rPr>
        <w:t xml:space="preserve"> nie było wymogu „uzasadnionego podejrzenia”, wydano jednak wskazówki dla</w:t>
      </w:r>
      <w:r w:rsidR="00206CCE">
        <w:rPr>
          <w:rFonts w:asciiTheme="minorHAnsi" w:hAnsiTheme="minorHAnsi"/>
          <w:sz w:val="24"/>
          <w:lang w:val="pl-PL"/>
        </w:rPr>
        <w:t> </w:t>
      </w:r>
      <w:r w:rsidRPr="00B15C52">
        <w:rPr>
          <w:rFonts w:asciiTheme="minorHAnsi" w:hAnsiTheme="minorHAnsi"/>
          <w:sz w:val="24"/>
          <w:lang w:val="pl-PL"/>
        </w:rPr>
        <w:t>funkcjonariuszy</w:t>
      </w:r>
      <w:r>
        <w:rPr>
          <w:rFonts w:asciiTheme="minorHAnsi" w:hAnsiTheme="minorHAnsi"/>
          <w:sz w:val="24"/>
          <w:lang w:val="pl-PL"/>
        </w:rPr>
        <w:t xml:space="preserve"> prowadzących przesłuchania</w:t>
      </w:r>
      <w:r w:rsidRPr="00B15C52">
        <w:rPr>
          <w:rFonts w:asciiTheme="minorHAnsi" w:hAnsiTheme="minorHAnsi"/>
          <w:sz w:val="24"/>
          <w:lang w:val="pl-PL"/>
        </w:rPr>
        <w:t xml:space="preserve">. </w:t>
      </w:r>
      <w:r>
        <w:rPr>
          <w:rFonts w:asciiTheme="minorHAnsi" w:hAnsiTheme="minorHAnsi"/>
          <w:sz w:val="24"/>
          <w:lang w:val="pl-PL"/>
        </w:rPr>
        <w:t>Trybunał wziął też pod uwagę, że d</w:t>
      </w:r>
      <w:r w:rsidRPr="00B15C52">
        <w:rPr>
          <w:rFonts w:asciiTheme="minorHAnsi" w:hAnsiTheme="minorHAnsi"/>
          <w:sz w:val="24"/>
          <w:lang w:val="pl-PL"/>
        </w:rPr>
        <w:t>ecyzja o</w:t>
      </w:r>
      <w:r w:rsidR="00206CCE">
        <w:rPr>
          <w:rFonts w:asciiTheme="minorHAnsi" w:hAnsiTheme="minorHAnsi"/>
          <w:sz w:val="24"/>
          <w:lang w:val="pl-PL"/>
        </w:rPr>
        <w:t> </w:t>
      </w:r>
      <w:r w:rsidRPr="00B15C52">
        <w:rPr>
          <w:rFonts w:asciiTheme="minorHAnsi" w:hAnsiTheme="minorHAnsi"/>
          <w:sz w:val="24"/>
          <w:lang w:val="pl-PL"/>
        </w:rPr>
        <w:t xml:space="preserve">wykonaniu uprawnień </w:t>
      </w:r>
      <w:r>
        <w:rPr>
          <w:rFonts w:asciiTheme="minorHAnsi" w:hAnsiTheme="minorHAnsi"/>
          <w:sz w:val="24"/>
          <w:lang w:val="pl-PL"/>
        </w:rPr>
        <w:t xml:space="preserve">wynikających </w:t>
      </w:r>
      <w:r w:rsidRPr="00B15C52">
        <w:rPr>
          <w:rFonts w:asciiTheme="minorHAnsi" w:hAnsiTheme="minorHAnsi"/>
          <w:sz w:val="24"/>
          <w:lang w:val="pl-PL"/>
        </w:rPr>
        <w:t xml:space="preserve">z Załącznika nr 7 musiała </w:t>
      </w:r>
      <w:r>
        <w:rPr>
          <w:rFonts w:asciiTheme="minorHAnsi" w:hAnsiTheme="minorHAnsi"/>
          <w:sz w:val="24"/>
          <w:lang w:val="pl-PL"/>
        </w:rPr>
        <w:t xml:space="preserve">być oparta </w:t>
      </w:r>
      <w:r w:rsidRPr="00B15C52">
        <w:rPr>
          <w:rFonts w:asciiTheme="minorHAnsi" w:hAnsiTheme="minorHAnsi"/>
          <w:sz w:val="24"/>
          <w:lang w:val="pl-PL"/>
        </w:rPr>
        <w:t xml:space="preserve">na zagrożeniu stwarzanym przez różne aktywne grupy terrorystyczne i na szeregu innych czynników, takich jak, na przykład, znane źródła terroryzmu </w:t>
      </w:r>
      <w:r>
        <w:rPr>
          <w:rFonts w:asciiTheme="minorHAnsi" w:hAnsiTheme="minorHAnsi"/>
          <w:sz w:val="24"/>
          <w:lang w:val="pl-PL"/>
        </w:rPr>
        <w:t xml:space="preserve">lub źródła podejrzewane o terroryzm </w:t>
      </w:r>
      <w:r w:rsidRPr="00B15C52">
        <w:rPr>
          <w:rFonts w:asciiTheme="minorHAnsi" w:hAnsiTheme="minorHAnsi"/>
          <w:sz w:val="24"/>
          <w:lang w:val="pl-PL"/>
        </w:rPr>
        <w:t>oraz możliwa</w:t>
      </w:r>
      <w:r>
        <w:rPr>
          <w:rFonts w:asciiTheme="minorHAnsi" w:hAnsiTheme="minorHAnsi"/>
          <w:sz w:val="24"/>
          <w:lang w:val="pl-PL"/>
        </w:rPr>
        <w:t xml:space="preserve"> trwająca</w:t>
      </w:r>
      <w:r w:rsidRPr="00B15C52">
        <w:rPr>
          <w:rFonts w:asciiTheme="minorHAnsi" w:hAnsiTheme="minorHAnsi"/>
          <w:sz w:val="24"/>
          <w:lang w:val="pl-PL"/>
        </w:rPr>
        <w:t>, roz</w:t>
      </w:r>
      <w:r>
        <w:rPr>
          <w:rFonts w:asciiTheme="minorHAnsi" w:hAnsiTheme="minorHAnsi"/>
          <w:sz w:val="24"/>
          <w:lang w:val="pl-PL"/>
        </w:rPr>
        <w:t xml:space="preserve">wijająca </w:t>
      </w:r>
      <w:r w:rsidRPr="00B15C52">
        <w:rPr>
          <w:rFonts w:asciiTheme="minorHAnsi" w:hAnsiTheme="minorHAnsi"/>
          <w:sz w:val="24"/>
          <w:lang w:val="pl-PL"/>
        </w:rPr>
        <w:t xml:space="preserve">się lub przyszła działalność terrorystyczna. </w:t>
      </w:r>
    </w:p>
    <w:p w14:paraId="09940EB5" w14:textId="77777777" w:rsidR="00950534" w:rsidRDefault="00950534" w:rsidP="00950534">
      <w:pPr>
        <w:pStyle w:val="ClinContent"/>
        <w:widowControl w:val="0"/>
        <w:spacing w:before="0"/>
        <w:rPr>
          <w:rFonts w:asciiTheme="minorHAnsi" w:hAnsiTheme="minorHAnsi"/>
          <w:sz w:val="24"/>
          <w:lang w:val="pl-PL"/>
        </w:rPr>
      </w:pPr>
    </w:p>
    <w:p w14:paraId="1004FAD7"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 xml:space="preserve">c) </w:t>
      </w:r>
      <w:r w:rsidRPr="00B15C52">
        <w:rPr>
          <w:rFonts w:asciiTheme="minorHAnsi" w:hAnsiTheme="minorHAnsi"/>
          <w:i/>
          <w:sz w:val="24"/>
          <w:lang w:val="pl-PL"/>
        </w:rPr>
        <w:t xml:space="preserve">Ewentualne ograniczenia ingerencji wynikającej z wykonywania uprawnień </w:t>
      </w:r>
    </w:p>
    <w:p w14:paraId="2A17CFB7" w14:textId="77777777" w:rsidR="00950534" w:rsidRDefault="00950534" w:rsidP="00950534">
      <w:pPr>
        <w:pStyle w:val="ClinContent"/>
        <w:widowControl w:val="0"/>
        <w:spacing w:before="0"/>
        <w:rPr>
          <w:rFonts w:asciiTheme="minorHAnsi" w:hAnsiTheme="minorHAnsi"/>
          <w:i/>
          <w:sz w:val="24"/>
          <w:lang w:val="pl-PL"/>
        </w:rPr>
      </w:pPr>
    </w:p>
    <w:p w14:paraId="6E886F80" w14:textId="3245C96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odnotował z jednej strony, że w</w:t>
      </w:r>
      <w:r w:rsidRPr="00B15C52">
        <w:rPr>
          <w:rFonts w:asciiTheme="minorHAnsi" w:hAnsiTheme="minorHAnsi"/>
          <w:sz w:val="24"/>
          <w:lang w:val="pl-PL"/>
        </w:rPr>
        <w:t xml:space="preserve"> czasie, w którym przesłuchano skarżącą, Załącznik nr 7 przewidywał, że osoba pozbawiona wolności na podstawie tego uprawnienia musi zostać zwolniona nie później niż po upływie 9 godzin od rozpoczęcia przesłuchania. Na</w:t>
      </w:r>
      <w:r w:rsidR="00206CCE">
        <w:rPr>
          <w:rFonts w:asciiTheme="minorHAnsi" w:hAnsiTheme="minorHAnsi"/>
          <w:sz w:val="24"/>
          <w:lang w:val="pl-PL"/>
        </w:rPr>
        <w:t> </w:t>
      </w:r>
      <w:r w:rsidRPr="00B15C52">
        <w:rPr>
          <w:rFonts w:asciiTheme="minorHAnsi" w:hAnsiTheme="minorHAnsi"/>
          <w:sz w:val="24"/>
          <w:lang w:val="pl-PL"/>
        </w:rPr>
        <w:t xml:space="preserve">początku przesłuchania funkcjonariusz musiał wyjaśnić </w:t>
      </w:r>
      <w:r>
        <w:rPr>
          <w:rFonts w:asciiTheme="minorHAnsi" w:hAnsiTheme="minorHAnsi"/>
          <w:sz w:val="24"/>
          <w:lang w:val="pl-PL"/>
        </w:rPr>
        <w:t xml:space="preserve">przesłuchiwanej </w:t>
      </w:r>
      <w:r w:rsidRPr="00B15C52">
        <w:rPr>
          <w:rFonts w:asciiTheme="minorHAnsi" w:hAnsiTheme="minorHAnsi"/>
          <w:sz w:val="24"/>
          <w:lang w:val="pl-PL"/>
        </w:rPr>
        <w:t>osobie, ustnie lub</w:t>
      </w:r>
      <w:r w:rsidR="00206CCE">
        <w:rPr>
          <w:rFonts w:asciiTheme="minorHAnsi" w:hAnsiTheme="minorHAnsi"/>
          <w:sz w:val="24"/>
          <w:lang w:val="pl-PL"/>
        </w:rPr>
        <w:t> </w:t>
      </w:r>
      <w:r w:rsidRPr="00B15C52">
        <w:rPr>
          <w:rFonts w:asciiTheme="minorHAnsi" w:hAnsiTheme="minorHAnsi"/>
          <w:sz w:val="24"/>
          <w:lang w:val="pl-PL"/>
        </w:rPr>
        <w:t>na piśmie, że jest ona przesłuchiwana na podstawie Załącznika nr 7 i że funkcjonariusze mają uprawnienie do pozbawienia jej wolności, jeśli odmówi współpracy lub będzie domagać się wypuszczenia. Przesłuchanie należało protokołować: w porcie</w:t>
      </w:r>
      <w:r>
        <w:rPr>
          <w:rFonts w:asciiTheme="minorHAnsi" w:hAnsiTheme="minorHAnsi"/>
          <w:sz w:val="24"/>
          <w:lang w:val="pl-PL"/>
        </w:rPr>
        <w:t xml:space="preserve">, </w:t>
      </w:r>
      <w:r w:rsidRPr="00B15C52">
        <w:rPr>
          <w:rFonts w:asciiTheme="minorHAnsi" w:hAnsiTheme="minorHAnsi"/>
          <w:sz w:val="24"/>
          <w:lang w:val="pl-PL"/>
        </w:rPr>
        <w:t>gdy trwało krócej niż</w:t>
      </w:r>
      <w:r w:rsidR="00206CCE">
        <w:rPr>
          <w:rFonts w:asciiTheme="minorHAnsi" w:hAnsiTheme="minorHAnsi"/>
          <w:sz w:val="24"/>
          <w:lang w:val="pl-PL"/>
        </w:rPr>
        <w:t> </w:t>
      </w:r>
      <w:r w:rsidRPr="00B15C52">
        <w:rPr>
          <w:rFonts w:asciiTheme="minorHAnsi" w:hAnsiTheme="minorHAnsi"/>
          <w:sz w:val="24"/>
          <w:lang w:val="pl-PL"/>
        </w:rPr>
        <w:t xml:space="preserve">godzinę, a </w:t>
      </w:r>
      <w:r>
        <w:rPr>
          <w:rFonts w:asciiTheme="minorHAnsi" w:hAnsiTheme="minorHAnsi"/>
          <w:sz w:val="24"/>
          <w:lang w:val="pl-PL"/>
        </w:rPr>
        <w:t>w centrali</w:t>
      </w:r>
      <w:r w:rsidRPr="00B15C52">
        <w:rPr>
          <w:rFonts w:asciiTheme="minorHAnsi" w:hAnsiTheme="minorHAnsi"/>
          <w:sz w:val="24"/>
          <w:lang w:val="pl-PL"/>
        </w:rPr>
        <w:t xml:space="preserve">, jeśli trwało dłużej. </w:t>
      </w:r>
    </w:p>
    <w:p w14:paraId="032A8168" w14:textId="77777777" w:rsidR="00950534" w:rsidRDefault="00950534" w:rsidP="00950534">
      <w:pPr>
        <w:pStyle w:val="ClinContent"/>
        <w:widowControl w:val="0"/>
        <w:spacing w:before="0"/>
        <w:rPr>
          <w:rFonts w:asciiTheme="minorHAnsi" w:hAnsiTheme="minorHAnsi"/>
          <w:sz w:val="24"/>
          <w:lang w:val="pl-PL"/>
        </w:rPr>
      </w:pPr>
    </w:p>
    <w:p w14:paraId="10B328A8" w14:textId="71B6B1C9"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Z drugiej jednak strony Trybunał wytknął, że chociaż </w:t>
      </w:r>
      <w:r w:rsidRPr="00B15C52">
        <w:rPr>
          <w:rFonts w:asciiTheme="minorHAnsi" w:hAnsiTheme="minorHAnsi"/>
          <w:sz w:val="24"/>
          <w:lang w:val="pl-PL"/>
        </w:rPr>
        <w:t xml:space="preserve">osoby przesłuchiwane były zobowiązane do odpowiadania na zadane pytania, ani ustawa </w:t>
      </w:r>
      <w:r>
        <w:rPr>
          <w:rFonts w:asciiTheme="minorHAnsi" w:hAnsiTheme="minorHAnsi"/>
          <w:sz w:val="24"/>
          <w:lang w:val="pl-PL"/>
        </w:rPr>
        <w:t>o przeciwdziałaniu terroryzmowi</w:t>
      </w:r>
      <w:r w:rsidRPr="00B15C52">
        <w:rPr>
          <w:rFonts w:asciiTheme="minorHAnsi" w:hAnsiTheme="minorHAnsi"/>
          <w:sz w:val="24"/>
          <w:lang w:val="pl-PL"/>
        </w:rPr>
        <w:t>, ani</w:t>
      </w:r>
      <w:r w:rsidR="00206CCE">
        <w:rPr>
          <w:rFonts w:asciiTheme="minorHAnsi" w:hAnsiTheme="minorHAnsi"/>
          <w:sz w:val="24"/>
          <w:lang w:val="pl-PL"/>
        </w:rPr>
        <w:t> </w:t>
      </w:r>
      <w:r w:rsidRPr="00B15C52">
        <w:rPr>
          <w:rFonts w:asciiTheme="minorHAnsi" w:hAnsiTheme="minorHAnsi"/>
          <w:sz w:val="24"/>
          <w:lang w:val="pl-PL"/>
        </w:rPr>
        <w:t>obowiązujący w przedmiotowym czasie kodeks praktyki nie przewidywały możliwości zapewnienia osobie przesłuchiwanej (która nie</w:t>
      </w:r>
      <w:r>
        <w:rPr>
          <w:rFonts w:asciiTheme="minorHAnsi" w:hAnsiTheme="minorHAnsi"/>
          <w:sz w:val="24"/>
          <w:lang w:val="pl-PL"/>
        </w:rPr>
        <w:t xml:space="preserve"> była pozbawiona wolności) obecności</w:t>
      </w:r>
      <w:r w:rsidRPr="00B15C52">
        <w:rPr>
          <w:rFonts w:asciiTheme="minorHAnsi" w:hAnsiTheme="minorHAnsi"/>
          <w:sz w:val="24"/>
          <w:lang w:val="pl-PL"/>
        </w:rPr>
        <w:t xml:space="preserve"> adwokata. W konsekwencji, osoby mogły </w:t>
      </w:r>
      <w:r>
        <w:rPr>
          <w:rFonts w:asciiTheme="minorHAnsi" w:hAnsiTheme="minorHAnsi"/>
          <w:sz w:val="24"/>
          <w:lang w:val="pl-PL"/>
        </w:rPr>
        <w:t xml:space="preserve">być poddawane </w:t>
      </w:r>
      <w:r w:rsidRPr="00B15C52">
        <w:rPr>
          <w:rFonts w:asciiTheme="minorHAnsi" w:hAnsiTheme="minorHAnsi"/>
          <w:sz w:val="24"/>
          <w:lang w:val="pl-PL"/>
        </w:rPr>
        <w:t>przesłuchaniu trwającemu do</w:t>
      </w:r>
      <w:r w:rsidR="00206CCE">
        <w:rPr>
          <w:rFonts w:asciiTheme="minorHAnsi" w:hAnsiTheme="minorHAnsi"/>
          <w:sz w:val="24"/>
          <w:lang w:val="pl-PL"/>
        </w:rPr>
        <w:t> </w:t>
      </w:r>
      <w:r w:rsidRPr="00B15C52">
        <w:rPr>
          <w:rFonts w:asciiTheme="minorHAnsi" w:hAnsiTheme="minorHAnsi"/>
          <w:sz w:val="24"/>
          <w:lang w:val="pl-PL"/>
        </w:rPr>
        <w:t xml:space="preserve">dziewięciu godzin bez wymogu istnienia uzasadnionego podejrzenia </w:t>
      </w:r>
      <w:r>
        <w:rPr>
          <w:rFonts w:asciiTheme="minorHAnsi" w:hAnsiTheme="minorHAnsi"/>
          <w:sz w:val="24"/>
          <w:lang w:val="pl-PL"/>
        </w:rPr>
        <w:t>popełnienia przestępstwa</w:t>
      </w:r>
      <w:r w:rsidRPr="00B15C52">
        <w:rPr>
          <w:rFonts w:asciiTheme="minorHAnsi" w:hAnsiTheme="minorHAnsi"/>
          <w:sz w:val="24"/>
          <w:lang w:val="pl-PL"/>
        </w:rPr>
        <w:t xml:space="preserve">, bez formalnego pozbawienia wolności i bez dostępu do adwokata. </w:t>
      </w:r>
    </w:p>
    <w:p w14:paraId="442B7F83" w14:textId="77777777" w:rsidR="00950534" w:rsidRDefault="00950534" w:rsidP="00950534">
      <w:pPr>
        <w:pStyle w:val="ClinContent"/>
        <w:widowControl w:val="0"/>
        <w:spacing w:before="0"/>
        <w:rPr>
          <w:rFonts w:asciiTheme="minorHAnsi" w:hAnsiTheme="minorHAnsi"/>
          <w:sz w:val="24"/>
          <w:lang w:val="pl-PL"/>
        </w:rPr>
      </w:pPr>
    </w:p>
    <w:p w14:paraId="3BF36340" w14:textId="77777777" w:rsidR="008F71FD" w:rsidRDefault="008F71FD" w:rsidP="00950534">
      <w:pPr>
        <w:pStyle w:val="ClinContent"/>
        <w:widowControl w:val="0"/>
        <w:spacing w:before="0"/>
        <w:rPr>
          <w:rFonts w:asciiTheme="minorHAnsi" w:hAnsiTheme="minorHAnsi"/>
          <w:sz w:val="24"/>
          <w:lang w:val="pl-PL"/>
        </w:rPr>
      </w:pPr>
    </w:p>
    <w:p w14:paraId="03335882" w14:textId="77777777" w:rsidR="008F71FD" w:rsidRDefault="008F71FD" w:rsidP="00950534">
      <w:pPr>
        <w:pStyle w:val="ClinContent"/>
        <w:widowControl w:val="0"/>
        <w:spacing w:before="0"/>
        <w:rPr>
          <w:rFonts w:asciiTheme="minorHAnsi" w:hAnsiTheme="minorHAnsi"/>
          <w:sz w:val="24"/>
          <w:lang w:val="pl-PL"/>
        </w:rPr>
      </w:pPr>
    </w:p>
    <w:p w14:paraId="63D726ED" w14:textId="77777777" w:rsidR="008F71FD" w:rsidRDefault="008F71FD" w:rsidP="00950534">
      <w:pPr>
        <w:pStyle w:val="ClinContent"/>
        <w:widowControl w:val="0"/>
        <w:spacing w:before="0"/>
        <w:rPr>
          <w:rFonts w:asciiTheme="minorHAnsi" w:hAnsiTheme="minorHAnsi"/>
          <w:sz w:val="24"/>
          <w:lang w:val="pl-PL"/>
        </w:rPr>
      </w:pPr>
    </w:p>
    <w:p w14:paraId="53C7A433"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 xml:space="preserve">d) </w:t>
      </w:r>
      <w:r w:rsidRPr="00B15C52">
        <w:rPr>
          <w:rFonts w:asciiTheme="minorHAnsi" w:hAnsiTheme="minorHAnsi"/>
          <w:i/>
          <w:sz w:val="24"/>
          <w:lang w:val="pl-PL"/>
        </w:rPr>
        <w:t xml:space="preserve">Możliwość kontroli sądowej nad wykonywaniem uprawnień </w:t>
      </w:r>
      <w:r>
        <w:rPr>
          <w:rFonts w:asciiTheme="minorHAnsi" w:hAnsiTheme="minorHAnsi"/>
          <w:i/>
          <w:sz w:val="24"/>
          <w:lang w:val="pl-PL"/>
        </w:rPr>
        <w:t>władz</w:t>
      </w:r>
    </w:p>
    <w:p w14:paraId="2CF309AD" w14:textId="77777777" w:rsidR="00950534" w:rsidRDefault="00950534" w:rsidP="00950534">
      <w:pPr>
        <w:pStyle w:val="ClinContent"/>
        <w:widowControl w:val="0"/>
        <w:spacing w:before="0"/>
        <w:rPr>
          <w:rFonts w:asciiTheme="minorHAnsi" w:hAnsiTheme="minorHAnsi"/>
          <w:i/>
          <w:sz w:val="24"/>
          <w:lang w:val="pl-PL"/>
        </w:rPr>
      </w:pPr>
    </w:p>
    <w:p w14:paraId="02C700D3" w14:textId="18329B8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Chociaż</w:t>
      </w:r>
      <w:r w:rsidRPr="00B15C52">
        <w:rPr>
          <w:rFonts w:asciiTheme="minorHAnsi" w:hAnsiTheme="minorHAnsi"/>
          <w:sz w:val="24"/>
          <w:lang w:val="pl-PL"/>
        </w:rPr>
        <w:t xml:space="preserve"> możliwe było ubieganie się o kontrolę sądową </w:t>
      </w:r>
      <w:r>
        <w:rPr>
          <w:rFonts w:asciiTheme="minorHAnsi" w:hAnsiTheme="minorHAnsi"/>
          <w:sz w:val="24"/>
          <w:lang w:val="pl-PL"/>
        </w:rPr>
        <w:t xml:space="preserve">w sprawie </w:t>
      </w:r>
      <w:r w:rsidRPr="00B15C52">
        <w:rPr>
          <w:rFonts w:asciiTheme="minorHAnsi" w:hAnsiTheme="minorHAnsi"/>
          <w:sz w:val="24"/>
          <w:lang w:val="pl-PL"/>
        </w:rPr>
        <w:t xml:space="preserve">wykonywania </w:t>
      </w:r>
      <w:r>
        <w:rPr>
          <w:rFonts w:asciiTheme="minorHAnsi" w:hAnsiTheme="minorHAnsi"/>
          <w:sz w:val="24"/>
          <w:lang w:val="pl-PL"/>
        </w:rPr>
        <w:t>przez organy</w:t>
      </w:r>
      <w:r w:rsidRPr="00B15C52">
        <w:rPr>
          <w:rFonts w:asciiTheme="minorHAnsi" w:hAnsiTheme="minorHAnsi"/>
          <w:sz w:val="24"/>
          <w:lang w:val="pl-PL"/>
        </w:rPr>
        <w:t xml:space="preserve"> uprawnień </w:t>
      </w:r>
      <w:r>
        <w:rPr>
          <w:rFonts w:asciiTheme="minorHAnsi" w:hAnsiTheme="minorHAnsi"/>
          <w:sz w:val="24"/>
          <w:lang w:val="pl-PL"/>
        </w:rPr>
        <w:t xml:space="preserve">wynikających </w:t>
      </w:r>
      <w:r w:rsidRPr="00B15C52">
        <w:rPr>
          <w:rFonts w:asciiTheme="minorHAnsi" w:hAnsiTheme="minorHAnsi"/>
          <w:sz w:val="24"/>
          <w:lang w:val="pl-PL"/>
        </w:rPr>
        <w:t xml:space="preserve">z Załącznika nr 7, </w:t>
      </w:r>
      <w:r>
        <w:rPr>
          <w:rFonts w:asciiTheme="minorHAnsi" w:hAnsiTheme="minorHAnsi"/>
          <w:sz w:val="24"/>
          <w:lang w:val="pl-PL"/>
        </w:rPr>
        <w:t>Trybunał zauważył na podstawie spraw krajowych</w:t>
      </w:r>
      <w:r w:rsidRPr="00B15C52">
        <w:rPr>
          <w:rFonts w:asciiTheme="minorHAnsi" w:hAnsiTheme="minorHAnsi"/>
          <w:sz w:val="24"/>
          <w:lang w:val="pl-PL"/>
        </w:rPr>
        <w:t>, że brak jakiegokolwiek obowiązku wykazania „uzasadnionego podejrzenia” przez przesłuchującego funkcjonariusza utrudniał osobom uzyskanie sądowej kontroli zgodności z</w:t>
      </w:r>
      <w:r w:rsidR="00206CCE">
        <w:rPr>
          <w:rFonts w:asciiTheme="minorHAnsi" w:hAnsiTheme="minorHAnsi"/>
          <w:sz w:val="24"/>
          <w:lang w:val="pl-PL"/>
        </w:rPr>
        <w:t> </w:t>
      </w:r>
      <w:r w:rsidRPr="00B15C52">
        <w:rPr>
          <w:rFonts w:asciiTheme="minorHAnsi" w:hAnsiTheme="minorHAnsi"/>
          <w:sz w:val="24"/>
          <w:lang w:val="pl-PL"/>
        </w:rPr>
        <w:t xml:space="preserve">prawem decyzji o wykonaniu uprawnienia. </w:t>
      </w:r>
    </w:p>
    <w:p w14:paraId="2777635D" w14:textId="77777777" w:rsidR="00950534" w:rsidRDefault="00950534" w:rsidP="00950534">
      <w:pPr>
        <w:pStyle w:val="ClinContent"/>
        <w:widowControl w:val="0"/>
        <w:spacing w:before="0"/>
        <w:rPr>
          <w:rFonts w:asciiTheme="minorHAnsi" w:hAnsiTheme="minorHAnsi"/>
          <w:sz w:val="24"/>
          <w:lang w:val="pl-PL"/>
        </w:rPr>
      </w:pPr>
    </w:p>
    <w:p w14:paraId="2A2BAFEB"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 xml:space="preserve">e) </w:t>
      </w:r>
      <w:r w:rsidRPr="00B15C52">
        <w:rPr>
          <w:rFonts w:asciiTheme="minorHAnsi" w:hAnsiTheme="minorHAnsi"/>
          <w:i/>
          <w:sz w:val="24"/>
          <w:lang w:val="pl-PL"/>
        </w:rPr>
        <w:t xml:space="preserve">Ewentualny niezależny nadzór nad wykonywaniem uprawnień </w:t>
      </w:r>
      <w:r>
        <w:rPr>
          <w:rFonts w:asciiTheme="minorHAnsi" w:hAnsiTheme="minorHAnsi"/>
          <w:i/>
          <w:sz w:val="24"/>
          <w:lang w:val="pl-PL"/>
        </w:rPr>
        <w:t>władz</w:t>
      </w:r>
    </w:p>
    <w:p w14:paraId="69089FA3" w14:textId="77777777" w:rsidR="00950534" w:rsidRDefault="00950534" w:rsidP="00950534">
      <w:pPr>
        <w:pStyle w:val="ClinContent"/>
        <w:widowControl w:val="0"/>
        <w:spacing w:before="0"/>
        <w:rPr>
          <w:rFonts w:asciiTheme="minorHAnsi" w:hAnsiTheme="minorHAnsi"/>
          <w:i/>
          <w:sz w:val="24"/>
          <w:lang w:val="pl-PL"/>
        </w:rPr>
      </w:pPr>
    </w:p>
    <w:p w14:paraId="0AE1252E" w14:textId="1DA59364"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wskazał, że w</w:t>
      </w:r>
      <w:r w:rsidRPr="00B15C52">
        <w:rPr>
          <w:rFonts w:asciiTheme="minorHAnsi" w:hAnsiTheme="minorHAnsi"/>
          <w:sz w:val="24"/>
          <w:lang w:val="pl-PL"/>
        </w:rPr>
        <w:t xml:space="preserve">ykonywanie uprawnień </w:t>
      </w:r>
      <w:r>
        <w:rPr>
          <w:rFonts w:asciiTheme="minorHAnsi" w:hAnsiTheme="minorHAnsi"/>
          <w:sz w:val="24"/>
          <w:lang w:val="pl-PL"/>
        </w:rPr>
        <w:t xml:space="preserve">przez organy </w:t>
      </w:r>
      <w:r w:rsidRPr="00B15C52">
        <w:rPr>
          <w:rFonts w:asciiTheme="minorHAnsi" w:hAnsiTheme="minorHAnsi"/>
          <w:sz w:val="24"/>
          <w:lang w:val="pl-PL"/>
        </w:rPr>
        <w:t xml:space="preserve">podlegało niezależnemu nadzorowi ze strony niezależnego </w:t>
      </w:r>
      <w:r>
        <w:rPr>
          <w:rFonts w:asciiTheme="minorHAnsi" w:hAnsiTheme="minorHAnsi"/>
          <w:sz w:val="24"/>
          <w:lang w:val="pl-PL"/>
        </w:rPr>
        <w:t xml:space="preserve">organu nadzorującego ds. </w:t>
      </w:r>
      <w:r w:rsidRPr="00B15C52">
        <w:rPr>
          <w:rFonts w:asciiTheme="minorHAnsi" w:hAnsiTheme="minorHAnsi"/>
          <w:sz w:val="24"/>
          <w:lang w:val="pl-PL"/>
        </w:rPr>
        <w:t>ustawodawstwa antyterrorystycznego. Znaczenie tej funkcji polega na jej całkowitej niezależności od rządu i</w:t>
      </w:r>
      <w:r w:rsidR="00206CCE">
        <w:rPr>
          <w:rFonts w:asciiTheme="minorHAnsi" w:hAnsiTheme="minorHAnsi"/>
          <w:sz w:val="24"/>
          <w:lang w:val="pl-PL"/>
        </w:rPr>
        <w:t> </w:t>
      </w:r>
      <w:r w:rsidRPr="00B15C52">
        <w:rPr>
          <w:rFonts w:asciiTheme="minorHAnsi" w:hAnsiTheme="minorHAnsi"/>
          <w:sz w:val="24"/>
          <w:lang w:val="pl-PL"/>
        </w:rPr>
        <w:t xml:space="preserve">dostępie do tajnych i wrażliwych informacji z zakresu bezpieczeństwa narodowego oraz personelu – w oparciu o </w:t>
      </w:r>
      <w:r>
        <w:rPr>
          <w:rFonts w:asciiTheme="minorHAnsi" w:hAnsiTheme="minorHAnsi"/>
          <w:sz w:val="24"/>
          <w:lang w:val="pl-PL"/>
        </w:rPr>
        <w:t>poświadczenie bezpieczeństwa dające dostęp do materiałów</w:t>
      </w:r>
      <w:r w:rsidRPr="00B15C52">
        <w:rPr>
          <w:rFonts w:asciiTheme="minorHAnsi" w:hAnsiTheme="minorHAnsi"/>
          <w:sz w:val="24"/>
          <w:lang w:val="pl-PL"/>
        </w:rPr>
        <w:t xml:space="preserve"> o</w:t>
      </w:r>
      <w:r w:rsidR="00206CCE">
        <w:rPr>
          <w:rFonts w:asciiTheme="minorHAnsi" w:hAnsiTheme="minorHAnsi"/>
          <w:sz w:val="24"/>
          <w:lang w:val="pl-PL"/>
        </w:rPr>
        <w:t> </w:t>
      </w:r>
      <w:r w:rsidRPr="00B15C52">
        <w:rPr>
          <w:rFonts w:asciiTheme="minorHAnsi" w:hAnsiTheme="minorHAnsi"/>
          <w:sz w:val="24"/>
          <w:lang w:val="pl-PL"/>
        </w:rPr>
        <w:t xml:space="preserve">bardzo wysokiej klauzuli. </w:t>
      </w:r>
    </w:p>
    <w:p w14:paraId="7A5C1DF0" w14:textId="77777777" w:rsidR="00950534" w:rsidRDefault="00950534" w:rsidP="00950534">
      <w:pPr>
        <w:pStyle w:val="ClinContent"/>
        <w:widowControl w:val="0"/>
        <w:spacing w:before="0"/>
        <w:rPr>
          <w:rFonts w:asciiTheme="minorHAnsi" w:hAnsiTheme="minorHAnsi"/>
          <w:sz w:val="24"/>
          <w:lang w:val="pl-PL"/>
        </w:rPr>
      </w:pPr>
    </w:p>
    <w:p w14:paraId="3AF58449" w14:textId="1F162C30"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Niemniej jednak </w:t>
      </w:r>
      <w:r>
        <w:rPr>
          <w:rFonts w:asciiTheme="minorHAnsi" w:hAnsiTheme="minorHAnsi"/>
          <w:sz w:val="24"/>
          <w:lang w:val="pl-PL"/>
        </w:rPr>
        <w:t xml:space="preserve">Trybunał zauważył, że </w:t>
      </w:r>
      <w:r w:rsidRPr="00B15C52">
        <w:rPr>
          <w:rFonts w:asciiTheme="minorHAnsi" w:hAnsiTheme="minorHAnsi"/>
          <w:sz w:val="24"/>
          <w:lang w:val="pl-PL"/>
        </w:rPr>
        <w:t xml:space="preserve">jego kontrole miały niezmiennie charakter </w:t>
      </w:r>
      <w:r w:rsidRPr="00B15C52">
        <w:rPr>
          <w:rFonts w:asciiTheme="minorHAnsi" w:hAnsiTheme="minorHAnsi"/>
          <w:i/>
          <w:sz w:val="24"/>
          <w:lang w:val="pl-PL"/>
        </w:rPr>
        <w:t xml:space="preserve">ad hoc </w:t>
      </w:r>
      <w:r w:rsidRPr="00B15C52">
        <w:rPr>
          <w:rFonts w:asciiTheme="minorHAnsi" w:hAnsiTheme="minorHAnsi"/>
          <w:sz w:val="24"/>
          <w:lang w:val="pl-PL"/>
        </w:rPr>
        <w:t>i</w:t>
      </w:r>
      <w:r w:rsidR="00206CCE">
        <w:rPr>
          <w:rFonts w:asciiTheme="minorHAnsi" w:hAnsiTheme="minorHAnsi"/>
          <w:sz w:val="24"/>
          <w:lang w:val="pl-PL"/>
        </w:rPr>
        <w:t> </w:t>
      </w:r>
      <w:r w:rsidRPr="00B15C52">
        <w:rPr>
          <w:rFonts w:asciiTheme="minorHAnsi" w:hAnsiTheme="minorHAnsi"/>
          <w:sz w:val="24"/>
          <w:lang w:val="pl-PL"/>
        </w:rPr>
        <w:t>w</w:t>
      </w:r>
      <w:r w:rsidR="00206CCE">
        <w:rPr>
          <w:rFonts w:asciiTheme="minorHAnsi" w:hAnsiTheme="minorHAnsi"/>
          <w:sz w:val="24"/>
          <w:lang w:val="pl-PL"/>
        </w:rPr>
        <w:t> </w:t>
      </w:r>
      <w:r w:rsidRPr="00B15C52">
        <w:rPr>
          <w:rFonts w:asciiTheme="minorHAnsi" w:hAnsiTheme="minorHAnsi"/>
          <w:sz w:val="24"/>
          <w:lang w:val="pl-PL"/>
        </w:rPr>
        <w:t xml:space="preserve">zakresie, w jakim </w:t>
      </w:r>
      <w:r>
        <w:rPr>
          <w:rFonts w:asciiTheme="minorHAnsi" w:hAnsiTheme="minorHAnsi"/>
          <w:sz w:val="24"/>
          <w:lang w:val="pl-PL"/>
        </w:rPr>
        <w:t xml:space="preserve">organ ten </w:t>
      </w:r>
      <w:r w:rsidRPr="00B15C52">
        <w:rPr>
          <w:rFonts w:asciiTheme="minorHAnsi" w:hAnsiTheme="minorHAnsi"/>
          <w:sz w:val="24"/>
          <w:lang w:val="pl-PL"/>
        </w:rPr>
        <w:t xml:space="preserve">był w stanie zbadać wybrane protokoły przesłuchania, nie był on w stanie przeprowadzić oceny legalności celu zatrzymania. Ponadto, </w:t>
      </w:r>
      <w:r>
        <w:rPr>
          <w:rFonts w:asciiTheme="minorHAnsi" w:hAnsiTheme="minorHAnsi"/>
          <w:sz w:val="24"/>
          <w:lang w:val="pl-PL"/>
        </w:rPr>
        <w:t>chociaż</w:t>
      </w:r>
      <w:r w:rsidRPr="00B15C52">
        <w:rPr>
          <w:rFonts w:asciiTheme="minorHAnsi" w:hAnsiTheme="minorHAnsi"/>
          <w:sz w:val="24"/>
          <w:lang w:val="pl-PL"/>
        </w:rPr>
        <w:t xml:space="preserve"> jego raporty podlegały analizie na najwyższym szczeblu, wiele ważnych zaleceń </w:t>
      </w:r>
      <w:r>
        <w:rPr>
          <w:rFonts w:asciiTheme="minorHAnsi" w:hAnsiTheme="minorHAnsi"/>
          <w:sz w:val="24"/>
          <w:lang w:val="pl-PL"/>
        </w:rPr>
        <w:t xml:space="preserve">niezależnego organu nadzorującego </w:t>
      </w:r>
      <w:r w:rsidRPr="00B15C52">
        <w:rPr>
          <w:rFonts w:asciiTheme="minorHAnsi" w:hAnsiTheme="minorHAnsi"/>
          <w:sz w:val="24"/>
          <w:lang w:val="pl-PL"/>
        </w:rPr>
        <w:t xml:space="preserve">nie zostało wdrożonych. W szczególności wielokrotnie wzywał </w:t>
      </w:r>
      <w:r>
        <w:rPr>
          <w:rFonts w:asciiTheme="minorHAnsi" w:hAnsiTheme="minorHAnsi"/>
          <w:sz w:val="24"/>
          <w:lang w:val="pl-PL"/>
        </w:rPr>
        <w:t xml:space="preserve">on </w:t>
      </w:r>
      <w:r w:rsidRPr="00B15C52">
        <w:rPr>
          <w:rFonts w:asciiTheme="minorHAnsi" w:hAnsiTheme="minorHAnsi"/>
          <w:sz w:val="24"/>
          <w:lang w:val="pl-PL"/>
        </w:rPr>
        <w:t>do</w:t>
      </w:r>
      <w:r w:rsidR="00206CCE">
        <w:rPr>
          <w:rFonts w:asciiTheme="minorHAnsi" w:hAnsiTheme="minorHAnsi"/>
          <w:sz w:val="24"/>
          <w:lang w:val="pl-PL"/>
        </w:rPr>
        <w:t> </w:t>
      </w:r>
      <w:r w:rsidRPr="00B15C52">
        <w:rPr>
          <w:rFonts w:asciiTheme="minorHAnsi" w:hAnsiTheme="minorHAnsi"/>
          <w:sz w:val="24"/>
          <w:lang w:val="pl-PL"/>
        </w:rPr>
        <w:t xml:space="preserve">wprowadzenia wymogu </w:t>
      </w:r>
      <w:r>
        <w:rPr>
          <w:rFonts w:asciiTheme="minorHAnsi" w:hAnsiTheme="minorHAnsi"/>
          <w:sz w:val="24"/>
          <w:lang w:val="pl-PL"/>
        </w:rPr>
        <w:t xml:space="preserve">istnienia </w:t>
      </w:r>
      <w:r w:rsidRPr="00B15C52">
        <w:rPr>
          <w:rFonts w:asciiTheme="minorHAnsi" w:hAnsiTheme="minorHAnsi"/>
          <w:sz w:val="24"/>
          <w:lang w:val="pl-PL"/>
        </w:rPr>
        <w:t>podejrzenia dla wykonywania pewnych uprawnień</w:t>
      </w:r>
      <w:r>
        <w:rPr>
          <w:rFonts w:asciiTheme="minorHAnsi" w:hAnsiTheme="minorHAnsi"/>
          <w:sz w:val="24"/>
          <w:lang w:val="pl-PL"/>
        </w:rPr>
        <w:t xml:space="preserve"> wynikających</w:t>
      </w:r>
      <w:r w:rsidRPr="00B15C52">
        <w:rPr>
          <w:rFonts w:asciiTheme="minorHAnsi" w:hAnsiTheme="minorHAnsi"/>
          <w:sz w:val="24"/>
          <w:lang w:val="pl-PL"/>
        </w:rPr>
        <w:t xml:space="preserve"> z Załącznika nr 7, w tym uprawnienia do pozbawienia wolności oraz pobrani</w:t>
      </w:r>
      <w:r>
        <w:rPr>
          <w:rFonts w:asciiTheme="minorHAnsi" w:hAnsiTheme="minorHAnsi"/>
          <w:sz w:val="24"/>
          <w:lang w:val="pl-PL"/>
        </w:rPr>
        <w:t>a zawartości telefonu i laptopa.</w:t>
      </w:r>
      <w:r w:rsidRPr="00B15C52">
        <w:rPr>
          <w:rFonts w:asciiTheme="minorHAnsi" w:hAnsiTheme="minorHAnsi"/>
          <w:sz w:val="24"/>
          <w:lang w:val="pl-PL"/>
        </w:rPr>
        <w:t xml:space="preserve"> </w:t>
      </w:r>
      <w:r>
        <w:rPr>
          <w:rFonts w:asciiTheme="minorHAnsi" w:hAnsiTheme="minorHAnsi"/>
          <w:sz w:val="24"/>
          <w:lang w:val="pl-PL"/>
        </w:rPr>
        <w:t>Kontroler k</w:t>
      </w:r>
      <w:r w:rsidRPr="00B15C52">
        <w:rPr>
          <w:rFonts w:asciiTheme="minorHAnsi" w:hAnsiTheme="minorHAnsi"/>
          <w:sz w:val="24"/>
          <w:lang w:val="pl-PL"/>
        </w:rPr>
        <w:t xml:space="preserve">rytykował </w:t>
      </w:r>
      <w:r>
        <w:rPr>
          <w:rFonts w:asciiTheme="minorHAnsi" w:hAnsiTheme="minorHAnsi"/>
          <w:sz w:val="24"/>
          <w:lang w:val="pl-PL"/>
        </w:rPr>
        <w:t xml:space="preserve">też </w:t>
      </w:r>
      <w:r w:rsidRPr="00B15C52">
        <w:rPr>
          <w:rFonts w:asciiTheme="minorHAnsi" w:hAnsiTheme="minorHAnsi"/>
          <w:sz w:val="24"/>
          <w:lang w:val="pl-PL"/>
        </w:rPr>
        <w:t xml:space="preserve">fakt, że odpowiedzi </w:t>
      </w:r>
      <w:r>
        <w:rPr>
          <w:rFonts w:asciiTheme="minorHAnsi" w:hAnsiTheme="minorHAnsi"/>
          <w:sz w:val="24"/>
          <w:lang w:val="pl-PL"/>
        </w:rPr>
        <w:t>udzielone</w:t>
      </w:r>
      <w:r w:rsidRPr="00B15C52">
        <w:rPr>
          <w:rFonts w:asciiTheme="minorHAnsi" w:hAnsiTheme="minorHAnsi"/>
          <w:sz w:val="24"/>
          <w:lang w:val="pl-PL"/>
        </w:rPr>
        <w:t xml:space="preserve"> pod przymusem nie zostały wyraźnie uznane za niedopuszczalne w postępowaniu karnym. </w:t>
      </w:r>
      <w:r>
        <w:rPr>
          <w:rFonts w:asciiTheme="minorHAnsi" w:hAnsiTheme="minorHAnsi"/>
          <w:sz w:val="24"/>
          <w:lang w:val="pl-PL"/>
        </w:rPr>
        <w:t>Trybunał uznał w tej sytuacji, że</w:t>
      </w:r>
      <w:r w:rsidRPr="00B15C52">
        <w:rPr>
          <w:rFonts w:asciiTheme="minorHAnsi" w:hAnsiTheme="minorHAnsi"/>
          <w:sz w:val="24"/>
          <w:lang w:val="pl-PL"/>
        </w:rPr>
        <w:t xml:space="preserve"> </w:t>
      </w:r>
      <w:r>
        <w:rPr>
          <w:rFonts w:asciiTheme="minorHAnsi" w:hAnsiTheme="minorHAnsi"/>
          <w:sz w:val="24"/>
          <w:lang w:val="pl-PL"/>
        </w:rPr>
        <w:t>chociaż</w:t>
      </w:r>
      <w:r w:rsidRPr="00B15C52">
        <w:rPr>
          <w:rFonts w:asciiTheme="minorHAnsi" w:hAnsiTheme="minorHAnsi"/>
          <w:sz w:val="24"/>
          <w:lang w:val="pl-PL"/>
        </w:rPr>
        <w:t xml:space="preserve"> kontrola niezależnego </w:t>
      </w:r>
      <w:r>
        <w:rPr>
          <w:rFonts w:asciiTheme="minorHAnsi" w:hAnsiTheme="minorHAnsi"/>
          <w:sz w:val="24"/>
          <w:lang w:val="pl-PL"/>
        </w:rPr>
        <w:t xml:space="preserve">organu nadzorującego </w:t>
      </w:r>
      <w:r w:rsidRPr="00B15C52">
        <w:rPr>
          <w:rFonts w:asciiTheme="minorHAnsi" w:hAnsiTheme="minorHAnsi"/>
          <w:sz w:val="24"/>
          <w:lang w:val="pl-PL"/>
        </w:rPr>
        <w:t xml:space="preserve">miała </w:t>
      </w:r>
      <w:r>
        <w:rPr>
          <w:rFonts w:asciiTheme="minorHAnsi" w:hAnsiTheme="minorHAnsi"/>
          <w:sz w:val="24"/>
          <w:lang w:val="pl-PL"/>
        </w:rPr>
        <w:t>duże znaczenie</w:t>
      </w:r>
      <w:r w:rsidRPr="00B15C52">
        <w:rPr>
          <w:rFonts w:asciiTheme="minorHAnsi" w:hAnsiTheme="minorHAnsi"/>
          <w:sz w:val="24"/>
          <w:lang w:val="pl-PL"/>
        </w:rPr>
        <w:t xml:space="preserve">, nie była w stanie skompensować niewystarczających gwarancji mających zastosowanie do reżimu przewidzianego Załącznikiem nr 7. </w:t>
      </w:r>
    </w:p>
    <w:p w14:paraId="77E0C759" w14:textId="77777777" w:rsidR="00950534" w:rsidRDefault="00950534" w:rsidP="00950534">
      <w:pPr>
        <w:pStyle w:val="ClinContent"/>
        <w:widowControl w:val="0"/>
        <w:spacing w:before="0"/>
        <w:rPr>
          <w:rFonts w:asciiTheme="minorHAnsi" w:hAnsiTheme="minorHAnsi"/>
          <w:sz w:val="24"/>
          <w:lang w:val="pl-PL"/>
        </w:rPr>
      </w:pPr>
    </w:p>
    <w:p w14:paraId="054C9194"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f) </w:t>
      </w:r>
      <w:r w:rsidRPr="00B15C52">
        <w:rPr>
          <w:rFonts w:asciiTheme="minorHAnsi" w:hAnsiTheme="minorHAnsi"/>
          <w:i/>
          <w:sz w:val="24"/>
          <w:lang w:val="pl-PL"/>
        </w:rPr>
        <w:t>Wniosek</w:t>
      </w:r>
      <w:r w:rsidRPr="00B15C52">
        <w:rPr>
          <w:rFonts w:asciiTheme="minorHAnsi" w:hAnsiTheme="minorHAnsi"/>
          <w:sz w:val="24"/>
          <w:lang w:val="pl-PL"/>
        </w:rPr>
        <w:t xml:space="preserve"> </w:t>
      </w:r>
    </w:p>
    <w:p w14:paraId="65799223" w14:textId="77777777" w:rsidR="00950534" w:rsidRDefault="00950534" w:rsidP="00950534">
      <w:pPr>
        <w:pStyle w:val="ClinContent"/>
        <w:widowControl w:val="0"/>
        <w:spacing w:before="0"/>
        <w:rPr>
          <w:rFonts w:asciiTheme="minorHAnsi" w:hAnsiTheme="minorHAnsi"/>
          <w:sz w:val="24"/>
          <w:lang w:val="pl-PL"/>
        </w:rPr>
      </w:pPr>
    </w:p>
    <w:p w14:paraId="03E82B79" w14:textId="285B44A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uznał, że </w:t>
      </w:r>
      <w:r w:rsidRPr="00B15C52">
        <w:rPr>
          <w:rFonts w:asciiTheme="minorHAnsi" w:hAnsiTheme="minorHAnsi"/>
          <w:sz w:val="24"/>
          <w:lang w:val="pl-PL"/>
        </w:rPr>
        <w:t xml:space="preserve">w czasie, gdy zatrzymano skarżącą, </w:t>
      </w:r>
      <w:r>
        <w:rPr>
          <w:rFonts w:asciiTheme="minorHAnsi" w:hAnsiTheme="minorHAnsi"/>
          <w:sz w:val="24"/>
          <w:lang w:val="pl-PL"/>
        </w:rPr>
        <w:t xml:space="preserve">uprawnienie </w:t>
      </w:r>
      <w:r w:rsidRPr="00B15C52">
        <w:rPr>
          <w:rFonts w:asciiTheme="minorHAnsi" w:hAnsiTheme="minorHAnsi"/>
          <w:sz w:val="24"/>
          <w:lang w:val="pl-PL"/>
        </w:rPr>
        <w:t xml:space="preserve">do przesłuchania osób na podstawie Załącznika nr 7 nie było wystarczająco ograniczone ani nie podlegało odpowiednim gwarancjom prawnym chroniącym przed nadużyciem. </w:t>
      </w:r>
      <w:r>
        <w:rPr>
          <w:rFonts w:asciiTheme="minorHAnsi" w:hAnsiTheme="minorHAnsi"/>
          <w:sz w:val="24"/>
          <w:lang w:val="pl-PL"/>
        </w:rPr>
        <w:t>Chociaż</w:t>
      </w:r>
      <w:r w:rsidRPr="00B15C52">
        <w:rPr>
          <w:rFonts w:asciiTheme="minorHAnsi" w:hAnsiTheme="minorHAnsi"/>
          <w:sz w:val="24"/>
          <w:lang w:val="pl-PL"/>
        </w:rPr>
        <w:t xml:space="preserve"> brak wymogu „uzasadnionego podejrzenia” sam w sobie nie przesądzał o bezprawności tego reżimu, to</w:t>
      </w:r>
      <w:r w:rsidR="00206CCE">
        <w:rPr>
          <w:rFonts w:asciiTheme="minorHAnsi" w:hAnsiTheme="minorHAnsi"/>
          <w:sz w:val="24"/>
          <w:lang w:val="pl-PL"/>
        </w:rPr>
        <w:t> </w:t>
      </w:r>
      <w:r>
        <w:rPr>
          <w:rFonts w:asciiTheme="minorHAnsi" w:hAnsiTheme="minorHAnsi"/>
          <w:sz w:val="24"/>
          <w:lang w:val="pl-PL"/>
        </w:rPr>
        <w:t xml:space="preserve">jednak, jeśli wziąć pod uwagę też </w:t>
      </w:r>
      <w:r w:rsidRPr="00B15C52">
        <w:rPr>
          <w:rFonts w:asciiTheme="minorHAnsi" w:hAnsiTheme="minorHAnsi"/>
          <w:sz w:val="24"/>
          <w:lang w:val="pl-PL"/>
        </w:rPr>
        <w:t>fakt, że przesłuchanie mogło trwać do 9 godzin, w</w:t>
      </w:r>
      <w:r w:rsidR="00206CCE">
        <w:rPr>
          <w:rFonts w:asciiTheme="minorHAnsi" w:hAnsiTheme="minorHAnsi"/>
          <w:sz w:val="24"/>
          <w:lang w:val="pl-PL"/>
        </w:rPr>
        <w:t> </w:t>
      </w:r>
      <w:r w:rsidRPr="00B15C52">
        <w:rPr>
          <w:rFonts w:asciiTheme="minorHAnsi" w:hAnsiTheme="minorHAnsi"/>
          <w:sz w:val="24"/>
          <w:lang w:val="pl-PL"/>
        </w:rPr>
        <w:t xml:space="preserve">trakcie których osoba była zmuszona do odpowiadania na pytania bez prawa do obecności adwokata, przy ograniczonej możliwości sądowej kontroli </w:t>
      </w:r>
      <w:r>
        <w:rPr>
          <w:rFonts w:asciiTheme="minorHAnsi" w:hAnsiTheme="minorHAnsi"/>
          <w:sz w:val="24"/>
          <w:lang w:val="pl-PL"/>
        </w:rPr>
        <w:t>nad wykonywaniem</w:t>
      </w:r>
      <w:r w:rsidRPr="00B15C52">
        <w:rPr>
          <w:rFonts w:asciiTheme="minorHAnsi" w:hAnsiTheme="minorHAnsi"/>
          <w:sz w:val="24"/>
          <w:lang w:val="pl-PL"/>
        </w:rPr>
        <w:t xml:space="preserve"> tego uprawnienia, sprawiał</w:t>
      </w:r>
      <w:r>
        <w:rPr>
          <w:rFonts w:asciiTheme="minorHAnsi" w:hAnsiTheme="minorHAnsi"/>
          <w:sz w:val="24"/>
          <w:lang w:val="pl-PL"/>
        </w:rPr>
        <w:t xml:space="preserve"> on</w:t>
      </w:r>
      <w:r w:rsidRPr="00B15C52">
        <w:rPr>
          <w:rFonts w:asciiTheme="minorHAnsi" w:hAnsiTheme="minorHAnsi"/>
          <w:sz w:val="24"/>
          <w:lang w:val="pl-PL"/>
        </w:rPr>
        <w:t xml:space="preserve">, że uprawnienia </w:t>
      </w:r>
      <w:r>
        <w:rPr>
          <w:rFonts w:asciiTheme="minorHAnsi" w:hAnsiTheme="minorHAnsi"/>
          <w:sz w:val="24"/>
          <w:lang w:val="pl-PL"/>
        </w:rPr>
        <w:t xml:space="preserve">wynikające </w:t>
      </w:r>
      <w:r w:rsidRPr="00B15C52">
        <w:rPr>
          <w:rFonts w:asciiTheme="minorHAnsi" w:hAnsiTheme="minorHAnsi"/>
          <w:sz w:val="24"/>
          <w:lang w:val="pl-PL"/>
        </w:rPr>
        <w:t>z Załącznika nr 7 nie „były przewidziane przez ustawę”.</w:t>
      </w:r>
    </w:p>
    <w:p w14:paraId="7CD883DD" w14:textId="77777777" w:rsidR="00950534" w:rsidRDefault="00950534" w:rsidP="00950534">
      <w:pPr>
        <w:pStyle w:val="ClinContent"/>
        <w:widowControl w:val="0"/>
        <w:spacing w:before="0"/>
        <w:rPr>
          <w:rFonts w:asciiTheme="minorHAnsi" w:hAnsiTheme="minorHAnsi"/>
          <w:sz w:val="24"/>
          <w:lang w:val="pl-PL"/>
        </w:rPr>
      </w:pPr>
    </w:p>
    <w:p w14:paraId="1947BD5C"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 powyższych względów Trybunał jednogłośnie stwierdził naruszenie art. 8 Konwencji</w:t>
      </w:r>
      <w:r>
        <w:rPr>
          <w:rStyle w:val="Odwoanieprzypisudolnego"/>
          <w:rFonts w:asciiTheme="minorHAnsi" w:hAnsiTheme="minorHAnsi"/>
          <w:sz w:val="24"/>
          <w:lang w:val="pl-PL"/>
        </w:rPr>
        <w:footnoteReference w:id="5"/>
      </w:r>
      <w:r>
        <w:rPr>
          <w:rStyle w:val="Odwoanieprzypisudolnego"/>
          <w:rFonts w:asciiTheme="minorHAnsi" w:hAnsiTheme="minorHAnsi"/>
          <w:sz w:val="24"/>
          <w:lang w:val="pl-PL"/>
        </w:rPr>
        <w:footnoteReference w:id="6"/>
      </w:r>
      <w:r>
        <w:rPr>
          <w:rFonts w:asciiTheme="minorHAnsi" w:hAnsiTheme="minorHAnsi"/>
          <w:sz w:val="24"/>
          <w:lang w:val="pl-PL"/>
        </w:rPr>
        <w:t xml:space="preserve">. </w:t>
      </w:r>
    </w:p>
    <w:p w14:paraId="3443C38A"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lastRenderedPageBreak/>
        <w:t xml:space="preserve">Trybunał uznał też, że samo stwierdzenie </w:t>
      </w:r>
      <w:r w:rsidRPr="00B15C52">
        <w:rPr>
          <w:rFonts w:asciiTheme="minorHAnsi" w:hAnsiTheme="minorHAnsi"/>
          <w:sz w:val="24"/>
          <w:lang w:val="pl-PL"/>
        </w:rPr>
        <w:t xml:space="preserve">naruszenia stanowi wystarczające słuszne zadośćuczynienie ewentualnej szkody niemajątkowej. </w:t>
      </w:r>
    </w:p>
    <w:p w14:paraId="26B1547C" w14:textId="77777777" w:rsidR="00950534" w:rsidRDefault="00950534" w:rsidP="00950534">
      <w:pPr>
        <w:pStyle w:val="ClinContent"/>
        <w:widowControl w:val="0"/>
        <w:spacing w:before="0"/>
        <w:rPr>
          <w:rFonts w:asciiTheme="minorHAnsi" w:hAnsiTheme="minorHAnsi"/>
          <w:sz w:val="24"/>
          <w:lang w:val="pl-PL"/>
        </w:rPr>
      </w:pPr>
    </w:p>
    <w:p w14:paraId="7C02DA3B" w14:textId="1E08E1FE" w:rsidR="00950534" w:rsidRDefault="00950534" w:rsidP="00950534">
      <w:pPr>
        <w:pStyle w:val="ClinContent"/>
        <w:widowControl w:val="0"/>
        <w:spacing w:before="0"/>
        <w:rPr>
          <w:rFonts w:asciiTheme="minorHAnsi" w:hAnsiTheme="minorHAnsi" w:cs="Verdana"/>
          <w:bCs/>
          <w:sz w:val="24"/>
          <w:lang w:val="pl-PL"/>
        </w:rPr>
      </w:pPr>
      <w:r w:rsidRPr="00D85DD2">
        <w:rPr>
          <w:rFonts w:asciiTheme="minorHAnsi" w:hAnsiTheme="minorHAnsi" w:cs="Verdana"/>
          <w:bCs/>
          <w:sz w:val="24"/>
          <w:u w:val="single"/>
          <w:lang w:val="pl-PL"/>
        </w:rPr>
        <w:t>Znaczenie wyroku dla Polski</w:t>
      </w:r>
      <w:r w:rsidRPr="00D85DD2">
        <w:rPr>
          <w:rFonts w:asciiTheme="minorHAnsi" w:hAnsiTheme="minorHAnsi" w:cs="Verdana"/>
          <w:bCs/>
          <w:sz w:val="24"/>
          <w:lang w:val="pl-PL"/>
        </w:rPr>
        <w:t xml:space="preserve"> – Wyrok</w:t>
      </w:r>
      <w:r w:rsidRPr="00490945">
        <w:rPr>
          <w:rFonts w:asciiTheme="minorHAnsi" w:hAnsiTheme="minorHAnsi" w:cs="Verdana"/>
          <w:bCs/>
          <w:sz w:val="24"/>
          <w:lang w:val="pl-PL"/>
        </w:rPr>
        <w:t xml:space="preserve"> </w:t>
      </w:r>
      <w:r>
        <w:rPr>
          <w:rFonts w:asciiTheme="minorHAnsi" w:hAnsiTheme="minorHAnsi" w:cs="Verdana"/>
          <w:bCs/>
          <w:sz w:val="24"/>
          <w:lang w:val="pl-PL"/>
        </w:rPr>
        <w:t>dotyczy możliwości zatrzymywania, przeszukiwania (w</w:t>
      </w:r>
      <w:r w:rsidR="00206CCE">
        <w:rPr>
          <w:rFonts w:asciiTheme="minorHAnsi" w:hAnsiTheme="minorHAnsi" w:cs="Verdana"/>
          <w:bCs/>
          <w:sz w:val="24"/>
          <w:lang w:val="pl-PL"/>
        </w:rPr>
        <w:t> </w:t>
      </w:r>
      <w:r>
        <w:rPr>
          <w:rFonts w:asciiTheme="minorHAnsi" w:hAnsiTheme="minorHAnsi" w:cs="Verdana"/>
          <w:bCs/>
          <w:sz w:val="24"/>
          <w:lang w:val="pl-PL"/>
        </w:rPr>
        <w:t>szerszym zakresie niż podczas kontroli bezpieczeństwa) i przesłuchiwania pasażerów na</w:t>
      </w:r>
      <w:r w:rsidR="00206CCE">
        <w:rPr>
          <w:rFonts w:asciiTheme="minorHAnsi" w:hAnsiTheme="minorHAnsi" w:cs="Verdana"/>
          <w:bCs/>
          <w:sz w:val="24"/>
          <w:lang w:val="pl-PL"/>
        </w:rPr>
        <w:t> </w:t>
      </w:r>
      <w:r>
        <w:rPr>
          <w:rFonts w:asciiTheme="minorHAnsi" w:hAnsiTheme="minorHAnsi" w:cs="Verdana"/>
          <w:bCs/>
          <w:sz w:val="24"/>
          <w:lang w:val="pl-PL"/>
        </w:rPr>
        <w:t>lotniskach – w ramach uregulowań mających na celu ułatwienie walki z terroryzmem. Trybunał uznał, że takie uprawnienia stanowią ingerencję w prawo do poszanowania życia prywatnego jednostki. Niemniej jednak nie zakwestionował trwającej do 9 godzin możliwości przesłuchiwania osób na lotniskach bez istnienia uzasadnionego podejrzenia popełnienia przestępstwa, wskazał jednak na konieczność wprowadzenia gwarancji chroniących jednostkę przed arbitralnością, w szczególności poprzez zapewnienie dostępu do adwokata i</w:t>
      </w:r>
      <w:r w:rsidR="00206CCE">
        <w:rPr>
          <w:rFonts w:asciiTheme="minorHAnsi" w:hAnsiTheme="minorHAnsi" w:cs="Verdana"/>
          <w:bCs/>
          <w:sz w:val="24"/>
          <w:lang w:val="pl-PL"/>
        </w:rPr>
        <w:t> </w:t>
      </w:r>
      <w:r>
        <w:rPr>
          <w:rFonts w:asciiTheme="minorHAnsi" w:hAnsiTheme="minorHAnsi" w:cs="Verdana"/>
          <w:bCs/>
          <w:sz w:val="24"/>
          <w:lang w:val="pl-PL"/>
        </w:rPr>
        <w:t>odpowiedniej niezależnej kontroli nad wykonywaniem uprawnień przez funkcjonariuszy.</w:t>
      </w:r>
    </w:p>
    <w:p w14:paraId="147B0AB0" w14:textId="77777777" w:rsidR="00950534" w:rsidRDefault="00950534" w:rsidP="00950534">
      <w:pPr>
        <w:pStyle w:val="ClinContent"/>
        <w:widowControl w:val="0"/>
        <w:spacing w:before="0"/>
        <w:rPr>
          <w:rFonts w:asciiTheme="minorHAnsi" w:hAnsiTheme="minorHAnsi" w:cs="Verdana"/>
          <w:bCs/>
          <w:sz w:val="24"/>
          <w:lang w:val="pl-PL"/>
        </w:rPr>
      </w:pPr>
    </w:p>
    <w:p w14:paraId="4F55C227" w14:textId="08FDF347"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Wyrok może mieć w szczególności znaczenie dla Ministerstwa Spraw Wewnętrznych i</w:t>
      </w:r>
      <w:r w:rsidR="00206CCE">
        <w:rPr>
          <w:rFonts w:asciiTheme="minorHAnsi" w:hAnsiTheme="minorHAnsi" w:cs="Verdana"/>
          <w:bCs/>
          <w:sz w:val="24"/>
          <w:lang w:val="pl-PL"/>
        </w:rPr>
        <w:t> </w:t>
      </w:r>
      <w:r>
        <w:rPr>
          <w:rFonts w:asciiTheme="minorHAnsi" w:hAnsiTheme="minorHAnsi" w:cs="Verdana"/>
          <w:bCs/>
          <w:sz w:val="24"/>
          <w:lang w:val="pl-PL"/>
        </w:rPr>
        <w:t xml:space="preserve">Administracji, Ministra – Koordynatora Służb Specjalnych i podległych mu służb, policji, prokuratury i Ministerstwa Sprawiedliwości, a także Trybunału Konstytucyjnego, sądów karnych i Sądu Najwyższego. </w:t>
      </w:r>
    </w:p>
    <w:p w14:paraId="28061F32" w14:textId="77777777" w:rsidR="00950534" w:rsidRDefault="00950534" w:rsidP="00950534">
      <w:pPr>
        <w:pStyle w:val="ClinContent"/>
        <w:widowControl w:val="0"/>
        <w:spacing w:before="0"/>
        <w:rPr>
          <w:rFonts w:asciiTheme="minorHAnsi" w:hAnsiTheme="minorHAnsi"/>
          <w:sz w:val="24"/>
          <w:lang w:val="pl-PL"/>
        </w:rPr>
      </w:pPr>
    </w:p>
    <w:p w14:paraId="0DE79084" w14:textId="77777777" w:rsidR="00950534" w:rsidRDefault="00950534" w:rsidP="00950534">
      <w:pPr>
        <w:pStyle w:val="ClinContent"/>
        <w:widowControl w:val="0"/>
        <w:spacing w:before="0"/>
        <w:rPr>
          <w:rFonts w:asciiTheme="minorHAnsi" w:hAnsiTheme="minorHAnsi"/>
          <w:sz w:val="24"/>
          <w:lang w:val="pl-PL"/>
        </w:rPr>
      </w:pPr>
    </w:p>
    <w:p w14:paraId="079FD925" w14:textId="446B9609"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4" w:name="_Toc35632467"/>
      <w:r w:rsidRPr="00E63D7D">
        <w:rPr>
          <w:rFonts w:asciiTheme="minorHAnsi" w:hAnsiTheme="minorHAnsi"/>
          <w:i/>
          <w:color w:val="auto"/>
          <w:sz w:val="24"/>
          <w:szCs w:val="24"/>
        </w:rPr>
        <w:t>Fernandes de</w:t>
      </w:r>
      <w:r w:rsidRPr="00A450C9">
        <w:rPr>
          <w:rFonts w:asciiTheme="minorHAnsi" w:hAnsiTheme="minorHAnsi"/>
          <w:i/>
          <w:color w:val="auto"/>
          <w:sz w:val="24"/>
          <w:szCs w:val="24"/>
        </w:rPr>
        <w:t xml:space="preserve"> Oliveira p. Portugalii</w:t>
      </w:r>
      <w:r w:rsidRPr="001F792C">
        <w:rPr>
          <w:rFonts w:asciiTheme="minorHAnsi" w:hAnsiTheme="minorHAnsi"/>
          <w:color w:val="auto"/>
          <w:sz w:val="24"/>
          <w:szCs w:val="24"/>
        </w:rPr>
        <w:t>, skarga nr 78103/14, wyrok Wielkiej Izby z dnia 31</w:t>
      </w:r>
      <w:r w:rsidR="00206CCE">
        <w:rPr>
          <w:rFonts w:asciiTheme="minorHAnsi" w:hAnsiTheme="minorHAnsi"/>
          <w:color w:val="auto"/>
          <w:sz w:val="24"/>
          <w:szCs w:val="24"/>
        </w:rPr>
        <w:t> </w:t>
      </w:r>
      <w:r w:rsidRPr="001F792C">
        <w:rPr>
          <w:rFonts w:asciiTheme="minorHAnsi" w:hAnsiTheme="minorHAnsi"/>
          <w:color w:val="auto"/>
          <w:sz w:val="24"/>
          <w:szCs w:val="24"/>
        </w:rPr>
        <w:t>stycznia 2019</w:t>
      </w:r>
      <w:r>
        <w:rPr>
          <w:rFonts w:asciiTheme="minorHAnsi" w:hAnsiTheme="minorHAnsi"/>
          <w:color w:val="auto"/>
          <w:sz w:val="24"/>
          <w:szCs w:val="24"/>
        </w:rPr>
        <w:t xml:space="preserve"> r.</w:t>
      </w:r>
      <w:bookmarkEnd w:id="4"/>
    </w:p>
    <w:p w14:paraId="1A5A14F8" w14:textId="77777777"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brak naruszenia art. 2 ust. 1 Konwencji (prawo do życia – aspekt materialny obowiązków pozytywnych) w odniesieniu do samobójstwa</w:t>
      </w:r>
      <w:r w:rsidRPr="00097BCF">
        <w:rPr>
          <w:b/>
          <w:iCs/>
          <w:color w:val="000000" w:themeColor="text1"/>
          <w:sz w:val="24"/>
          <w:szCs w:val="24"/>
          <w:lang w:val="pl-PL"/>
        </w:rPr>
        <w:t xml:space="preserve"> chorego psychicznie mężczyzny przyjętego do państwowego szpitala psychiatrycznego </w:t>
      </w:r>
      <w:r>
        <w:rPr>
          <w:b/>
          <w:iCs/>
          <w:color w:val="000000" w:themeColor="text1"/>
          <w:sz w:val="24"/>
          <w:szCs w:val="24"/>
          <w:lang w:val="pl-PL"/>
        </w:rPr>
        <w:t xml:space="preserve">za swoją zgodą </w:t>
      </w:r>
      <w:r w:rsidRPr="00097BCF">
        <w:rPr>
          <w:b/>
          <w:iCs/>
          <w:color w:val="000000" w:themeColor="text1"/>
          <w:sz w:val="24"/>
          <w:szCs w:val="24"/>
          <w:lang w:val="pl-PL"/>
        </w:rPr>
        <w:t>celem leczenia po próbie samobójczej</w:t>
      </w:r>
      <w:r>
        <w:rPr>
          <w:b/>
          <w:iCs/>
          <w:color w:val="000000" w:themeColor="text1"/>
          <w:sz w:val="24"/>
          <w:szCs w:val="24"/>
          <w:lang w:val="pl-PL"/>
        </w:rPr>
        <w:t xml:space="preserve"> </w:t>
      </w:r>
    </w:p>
    <w:p w14:paraId="0CE32E3C" w14:textId="1DB711AE"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09007E">
        <w:rPr>
          <w:b/>
          <w:iCs/>
          <w:color w:val="000000" w:themeColor="text1"/>
          <w:sz w:val="24"/>
          <w:szCs w:val="24"/>
          <w:lang w:val="pl-PL"/>
        </w:rPr>
        <w:t>naruszenie art. 2 ust. 1 Konwencji (prawo do życia – aspekt skutecznego śledztwa) w</w:t>
      </w:r>
      <w:r w:rsidR="00206CCE">
        <w:rPr>
          <w:b/>
          <w:iCs/>
          <w:color w:val="000000" w:themeColor="text1"/>
          <w:sz w:val="24"/>
          <w:szCs w:val="24"/>
          <w:lang w:val="pl-PL"/>
        </w:rPr>
        <w:t> </w:t>
      </w:r>
      <w:r w:rsidRPr="0009007E">
        <w:rPr>
          <w:b/>
          <w:iCs/>
          <w:color w:val="000000" w:themeColor="text1"/>
          <w:sz w:val="24"/>
          <w:szCs w:val="24"/>
          <w:lang w:val="pl-PL"/>
        </w:rPr>
        <w:t>odniesieniu do postępowania dotyczącego samobójstwa chorego psychicznie mężczyzny przyjętego dobrowolnie do państwowego szpitala psychiatrycznego celem leczenia po próbie samobójczej</w:t>
      </w:r>
      <w:r>
        <w:rPr>
          <w:b/>
          <w:iCs/>
          <w:color w:val="000000" w:themeColor="text1"/>
          <w:sz w:val="24"/>
          <w:szCs w:val="24"/>
          <w:lang w:val="pl-PL"/>
        </w:rPr>
        <w:t xml:space="preserve"> </w:t>
      </w:r>
    </w:p>
    <w:p w14:paraId="027179DC" w14:textId="77777777" w:rsidR="00950534" w:rsidRPr="00A80201" w:rsidRDefault="00950534" w:rsidP="00950534">
      <w:pPr>
        <w:pStyle w:val="ClinContent"/>
        <w:widowControl w:val="0"/>
        <w:spacing w:before="0"/>
        <w:rPr>
          <w:rFonts w:asciiTheme="minorHAnsi" w:hAnsiTheme="minorHAnsi"/>
          <w:sz w:val="24"/>
          <w:lang w:val="pl-PL"/>
        </w:rPr>
      </w:pPr>
    </w:p>
    <w:p w14:paraId="565C9A07" w14:textId="6204C894"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w:t>
      </w:r>
      <w:r w:rsidRPr="00B15C52">
        <w:rPr>
          <w:rFonts w:asciiTheme="minorHAnsi" w:hAnsiTheme="minorHAnsi"/>
          <w:sz w:val="24"/>
          <w:lang w:val="pl-PL"/>
        </w:rPr>
        <w:t xml:space="preserve"> dniu 1 kwietnia 2000 r.</w:t>
      </w:r>
      <w:r>
        <w:rPr>
          <w:rFonts w:asciiTheme="minorHAnsi" w:hAnsiTheme="minorHAnsi"/>
          <w:sz w:val="24"/>
          <w:lang w:val="pl-PL"/>
        </w:rPr>
        <w:t>, p</w:t>
      </w:r>
      <w:r w:rsidRPr="00B15C52">
        <w:rPr>
          <w:rFonts w:asciiTheme="minorHAnsi" w:hAnsiTheme="minorHAnsi"/>
          <w:sz w:val="24"/>
          <w:lang w:val="pl-PL"/>
        </w:rPr>
        <w:t>o próbie popełnienia samobójstwa</w:t>
      </w:r>
      <w:r>
        <w:rPr>
          <w:rFonts w:asciiTheme="minorHAnsi" w:hAnsiTheme="minorHAnsi"/>
          <w:sz w:val="24"/>
          <w:lang w:val="pl-PL"/>
        </w:rPr>
        <w:t>, A.J., syn skarżącego, został</w:t>
      </w:r>
      <w:r w:rsidRPr="00B15C52">
        <w:rPr>
          <w:rFonts w:asciiTheme="minorHAnsi" w:hAnsiTheme="minorHAnsi"/>
          <w:sz w:val="24"/>
          <w:lang w:val="pl-PL"/>
        </w:rPr>
        <w:t xml:space="preserve"> przyjęty do państwowego szpitala psychiatrycznego (</w:t>
      </w:r>
      <w:r w:rsidRPr="00B15C52">
        <w:rPr>
          <w:rFonts w:asciiTheme="minorHAnsi" w:hAnsiTheme="minorHAnsi"/>
          <w:i/>
          <w:sz w:val="24"/>
          <w:lang w:val="pl-PL"/>
        </w:rPr>
        <w:t>Hospital Psiquiátrico Sobral Cid</w:t>
      </w:r>
      <w:r w:rsidRPr="00B15C52">
        <w:rPr>
          <w:rFonts w:asciiTheme="minorHAnsi" w:hAnsiTheme="minorHAnsi"/>
          <w:sz w:val="24"/>
          <w:lang w:val="pl-PL"/>
        </w:rPr>
        <w:t xml:space="preserve">, „HSC”) </w:t>
      </w:r>
      <w:r>
        <w:rPr>
          <w:rFonts w:asciiTheme="minorHAnsi" w:hAnsiTheme="minorHAnsi"/>
          <w:sz w:val="24"/>
          <w:lang w:val="pl-PL"/>
        </w:rPr>
        <w:t xml:space="preserve">za swoją zgodą </w:t>
      </w:r>
      <w:r w:rsidRPr="00B15C52">
        <w:rPr>
          <w:rFonts w:asciiTheme="minorHAnsi" w:hAnsiTheme="minorHAnsi"/>
          <w:sz w:val="24"/>
          <w:lang w:val="pl-PL"/>
        </w:rPr>
        <w:t xml:space="preserve">celem leczenia. W dniu 27 kwietnia 2000 r. uciekł on z </w:t>
      </w:r>
      <w:r>
        <w:rPr>
          <w:rFonts w:asciiTheme="minorHAnsi" w:hAnsiTheme="minorHAnsi"/>
          <w:sz w:val="24"/>
          <w:lang w:val="pl-PL"/>
        </w:rPr>
        <w:t>terenu</w:t>
      </w:r>
      <w:r w:rsidRPr="00B15C52">
        <w:rPr>
          <w:rFonts w:asciiTheme="minorHAnsi" w:hAnsiTheme="minorHAnsi"/>
          <w:sz w:val="24"/>
          <w:lang w:val="pl-PL"/>
        </w:rPr>
        <w:t xml:space="preserve"> szpitala i rzucił się pod nadjeżdżający pociąg. Wcześniej był kilkakrotnie przyjmowany do tego samego szpitala z powodu zaburzeń psychicznych, które pog</w:t>
      </w:r>
      <w:r>
        <w:rPr>
          <w:rFonts w:asciiTheme="minorHAnsi" w:hAnsiTheme="minorHAnsi"/>
          <w:sz w:val="24"/>
          <w:lang w:val="pl-PL"/>
        </w:rPr>
        <w:t>łębiał</w:t>
      </w:r>
      <w:r w:rsidRPr="00B15C52">
        <w:rPr>
          <w:rFonts w:asciiTheme="minorHAnsi" w:hAnsiTheme="minorHAnsi"/>
          <w:sz w:val="24"/>
          <w:lang w:val="pl-PL"/>
        </w:rPr>
        <w:t xml:space="preserve"> nałóg alkoholowy i narkotyki. W</w:t>
      </w:r>
      <w:r w:rsidR="00206CCE">
        <w:rPr>
          <w:rFonts w:asciiTheme="minorHAnsi" w:hAnsiTheme="minorHAnsi"/>
          <w:sz w:val="24"/>
          <w:lang w:val="pl-PL"/>
        </w:rPr>
        <w:t> </w:t>
      </w:r>
      <w:r w:rsidRPr="00B15C52">
        <w:rPr>
          <w:rFonts w:asciiTheme="minorHAnsi" w:hAnsiTheme="minorHAnsi"/>
          <w:sz w:val="24"/>
          <w:lang w:val="pl-PL"/>
        </w:rPr>
        <w:t>świetle jego dokumentacji medycznej szpital był świadomy wcześniejszych prób samobójczych</w:t>
      </w:r>
      <w:r>
        <w:rPr>
          <w:rFonts w:asciiTheme="minorHAnsi" w:hAnsiTheme="minorHAnsi"/>
          <w:sz w:val="24"/>
          <w:lang w:val="pl-PL"/>
        </w:rPr>
        <w:t xml:space="preserve"> A.J.</w:t>
      </w:r>
      <w:r w:rsidRPr="00B15C52">
        <w:rPr>
          <w:rFonts w:asciiTheme="minorHAnsi" w:hAnsiTheme="minorHAnsi"/>
          <w:sz w:val="24"/>
          <w:lang w:val="pl-PL"/>
        </w:rPr>
        <w:t xml:space="preserve"> Skarżący złożył </w:t>
      </w:r>
      <w:r>
        <w:rPr>
          <w:rFonts w:asciiTheme="minorHAnsi" w:hAnsiTheme="minorHAnsi"/>
          <w:sz w:val="24"/>
          <w:lang w:val="pl-PL"/>
        </w:rPr>
        <w:t xml:space="preserve">do sądów portugalskich </w:t>
      </w:r>
      <w:r w:rsidRPr="00B15C52">
        <w:rPr>
          <w:rFonts w:asciiTheme="minorHAnsi" w:hAnsiTheme="minorHAnsi"/>
          <w:sz w:val="24"/>
          <w:lang w:val="pl-PL"/>
        </w:rPr>
        <w:t>powództwo przeciwko HSC o</w:t>
      </w:r>
      <w:r w:rsidR="00206CCE">
        <w:rPr>
          <w:rFonts w:asciiTheme="minorHAnsi" w:hAnsiTheme="minorHAnsi"/>
          <w:sz w:val="24"/>
          <w:lang w:val="pl-PL"/>
        </w:rPr>
        <w:t> </w:t>
      </w:r>
      <w:r w:rsidRPr="00B15C52">
        <w:rPr>
          <w:rFonts w:asciiTheme="minorHAnsi" w:hAnsiTheme="minorHAnsi"/>
          <w:sz w:val="24"/>
          <w:lang w:val="pl-PL"/>
        </w:rPr>
        <w:t xml:space="preserve">odszkodowanie za śmierć syna, ale </w:t>
      </w:r>
      <w:r>
        <w:rPr>
          <w:rFonts w:asciiTheme="minorHAnsi" w:hAnsiTheme="minorHAnsi"/>
          <w:sz w:val="24"/>
          <w:lang w:val="pl-PL"/>
        </w:rPr>
        <w:t>zostało ono oddalone</w:t>
      </w:r>
      <w:r w:rsidRPr="00B15C52">
        <w:rPr>
          <w:rFonts w:asciiTheme="minorHAnsi" w:hAnsiTheme="minorHAnsi"/>
          <w:sz w:val="24"/>
          <w:lang w:val="pl-PL"/>
        </w:rPr>
        <w:t xml:space="preserve">. </w:t>
      </w:r>
    </w:p>
    <w:p w14:paraId="398DE5B9" w14:textId="77777777" w:rsidR="00950534" w:rsidRDefault="00950534" w:rsidP="00950534">
      <w:pPr>
        <w:pStyle w:val="ClinContent"/>
        <w:widowControl w:val="0"/>
        <w:spacing w:before="0"/>
        <w:rPr>
          <w:rFonts w:asciiTheme="minorHAnsi" w:hAnsiTheme="minorHAnsi"/>
          <w:sz w:val="24"/>
          <w:lang w:val="pl-PL"/>
        </w:rPr>
      </w:pPr>
    </w:p>
    <w:p w14:paraId="13B2B942" w14:textId="6441661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Wyrokiem z </w:t>
      </w:r>
      <w:r>
        <w:rPr>
          <w:rFonts w:asciiTheme="minorHAnsi" w:hAnsiTheme="minorHAnsi"/>
          <w:sz w:val="24"/>
          <w:lang w:val="pl-PL"/>
        </w:rPr>
        <w:t xml:space="preserve">dnia </w:t>
      </w:r>
      <w:r w:rsidRPr="00B15C52">
        <w:rPr>
          <w:rFonts w:asciiTheme="minorHAnsi" w:hAnsiTheme="minorHAnsi"/>
          <w:sz w:val="24"/>
          <w:lang w:val="pl-PL"/>
        </w:rPr>
        <w:t>28 marca 2017 r. Izba Trybunału orzekła jednogłośnie, że doszło do</w:t>
      </w:r>
      <w:r w:rsidR="00206CCE">
        <w:rPr>
          <w:rFonts w:asciiTheme="minorHAnsi" w:hAnsiTheme="minorHAnsi"/>
          <w:sz w:val="24"/>
          <w:lang w:val="pl-PL"/>
        </w:rPr>
        <w:t> </w:t>
      </w:r>
      <w:r w:rsidRPr="00B15C52">
        <w:rPr>
          <w:rFonts w:asciiTheme="minorHAnsi" w:hAnsiTheme="minorHAnsi"/>
          <w:sz w:val="24"/>
          <w:lang w:val="pl-PL"/>
        </w:rPr>
        <w:t xml:space="preserve">naruszenia art. 2 w jego aspekcie materialnym. W dniu 18 września 2017 r. sprawa </w:t>
      </w:r>
      <w:r w:rsidRPr="00B15C52">
        <w:rPr>
          <w:rFonts w:asciiTheme="minorHAnsi" w:hAnsiTheme="minorHAnsi"/>
          <w:sz w:val="24"/>
          <w:lang w:val="pl-PL"/>
        </w:rPr>
        <w:lastRenderedPageBreak/>
        <w:t xml:space="preserve">została przekazana do Wielkiej Izby na wniosek rządu. </w:t>
      </w:r>
    </w:p>
    <w:p w14:paraId="4A79E4A7" w14:textId="77777777" w:rsidR="00950534" w:rsidRDefault="00950534" w:rsidP="00950534">
      <w:pPr>
        <w:pStyle w:val="ClinContent"/>
        <w:widowControl w:val="0"/>
        <w:spacing w:before="0"/>
        <w:rPr>
          <w:rFonts w:asciiTheme="minorHAnsi" w:hAnsiTheme="minorHAnsi"/>
          <w:sz w:val="24"/>
          <w:lang w:val="pl-PL"/>
        </w:rPr>
      </w:pPr>
    </w:p>
    <w:p w14:paraId="4145C60A" w14:textId="77777777" w:rsidR="00950534" w:rsidRPr="00E63D7D" w:rsidRDefault="00950534" w:rsidP="00950534">
      <w:pPr>
        <w:pStyle w:val="ClinContent"/>
        <w:widowControl w:val="0"/>
        <w:spacing w:before="0"/>
        <w:rPr>
          <w:rFonts w:asciiTheme="minorHAnsi" w:hAnsiTheme="minorHAnsi"/>
          <w:sz w:val="24"/>
          <w:u w:val="single"/>
          <w:lang w:val="pl-PL"/>
        </w:rPr>
      </w:pPr>
      <w:r>
        <w:rPr>
          <w:rFonts w:asciiTheme="minorHAnsi" w:hAnsiTheme="minorHAnsi"/>
          <w:sz w:val="24"/>
          <w:lang w:val="pl-PL"/>
        </w:rPr>
        <w:t xml:space="preserve">I. W pierwszej kolejności Wielka Izba Trybunału zbadała, </w:t>
      </w:r>
      <w:r w:rsidRPr="00E63D7D">
        <w:rPr>
          <w:rFonts w:asciiTheme="minorHAnsi" w:hAnsiTheme="minorHAnsi"/>
          <w:sz w:val="24"/>
          <w:u w:val="single"/>
          <w:lang w:val="pl-PL"/>
        </w:rPr>
        <w:t xml:space="preserve">czy państwo wypełniło swe obowiązki pozytywne dotyczące ochrony prawa do życia zgodnie z art. 2 Konwencji. </w:t>
      </w:r>
    </w:p>
    <w:p w14:paraId="2CCB52A3" w14:textId="77777777" w:rsidR="00950534" w:rsidRDefault="00950534" w:rsidP="00950534">
      <w:pPr>
        <w:pStyle w:val="ClinContent"/>
        <w:widowControl w:val="0"/>
        <w:spacing w:before="0"/>
        <w:rPr>
          <w:rFonts w:asciiTheme="minorHAnsi" w:hAnsiTheme="minorHAnsi"/>
          <w:sz w:val="24"/>
          <w:lang w:val="pl-PL"/>
        </w:rPr>
      </w:pPr>
    </w:p>
    <w:p w14:paraId="0F2E0B5D" w14:textId="09745A5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wskazał, że niniejsza </w:t>
      </w:r>
      <w:r w:rsidRPr="00B15C52">
        <w:rPr>
          <w:rFonts w:asciiTheme="minorHAnsi" w:hAnsiTheme="minorHAnsi"/>
          <w:sz w:val="24"/>
          <w:lang w:val="pl-PL"/>
        </w:rPr>
        <w:t>sprawa dotyczyła zarzutów zaniedbania medycznego w</w:t>
      </w:r>
      <w:r w:rsidR="00206CCE">
        <w:rPr>
          <w:rFonts w:asciiTheme="minorHAnsi" w:hAnsiTheme="minorHAnsi"/>
          <w:sz w:val="24"/>
          <w:lang w:val="pl-PL"/>
        </w:rPr>
        <w:t> </w:t>
      </w:r>
      <w:r w:rsidRPr="00B15C52">
        <w:rPr>
          <w:rFonts w:asciiTheme="minorHAnsi" w:hAnsiTheme="minorHAnsi"/>
          <w:sz w:val="24"/>
          <w:lang w:val="pl-PL"/>
        </w:rPr>
        <w:t xml:space="preserve">kontekście samobójstwa pacjenta, który dobrowolnie </w:t>
      </w:r>
      <w:r>
        <w:rPr>
          <w:rFonts w:asciiTheme="minorHAnsi" w:hAnsiTheme="minorHAnsi"/>
          <w:sz w:val="24"/>
          <w:lang w:val="pl-PL"/>
        </w:rPr>
        <w:t xml:space="preserve">zgłosił się </w:t>
      </w:r>
      <w:r w:rsidRPr="00B15C52">
        <w:rPr>
          <w:rFonts w:asciiTheme="minorHAnsi" w:hAnsiTheme="minorHAnsi"/>
          <w:sz w:val="24"/>
          <w:lang w:val="pl-PL"/>
        </w:rPr>
        <w:t xml:space="preserve">do państwowej instytucji psychiatrycznej. </w:t>
      </w:r>
      <w:r>
        <w:rPr>
          <w:rFonts w:asciiTheme="minorHAnsi" w:hAnsiTheme="minorHAnsi"/>
          <w:sz w:val="24"/>
          <w:lang w:val="pl-PL"/>
        </w:rPr>
        <w:t>W tym kontekście Trybunał zbadał, czy państwo wypełniło następujące obowiązki pozytywne związane z ochroną prawa do życia syna skarżącego:</w:t>
      </w:r>
    </w:p>
    <w:p w14:paraId="7476A195" w14:textId="77777777" w:rsidR="00950534" w:rsidRDefault="00950534" w:rsidP="00950534">
      <w:pPr>
        <w:pStyle w:val="ClinContent"/>
        <w:widowControl w:val="0"/>
        <w:spacing w:before="0"/>
        <w:rPr>
          <w:rFonts w:asciiTheme="minorHAnsi" w:hAnsiTheme="minorHAnsi"/>
          <w:sz w:val="24"/>
          <w:lang w:val="pl-PL"/>
        </w:rPr>
      </w:pPr>
    </w:p>
    <w:p w14:paraId="0621D72E" w14:textId="77777777" w:rsidR="00950534" w:rsidRPr="00E63D7D" w:rsidRDefault="00950534" w:rsidP="00950534">
      <w:pPr>
        <w:pStyle w:val="ClinContent"/>
        <w:widowControl w:val="0"/>
        <w:spacing w:before="0"/>
        <w:rPr>
          <w:rFonts w:asciiTheme="minorHAnsi" w:hAnsiTheme="minorHAnsi"/>
          <w:sz w:val="24"/>
          <w:u w:val="single"/>
          <w:lang w:val="pl-PL"/>
        </w:rPr>
      </w:pPr>
      <w:r w:rsidRPr="00E63D7D">
        <w:rPr>
          <w:rFonts w:asciiTheme="minorHAnsi" w:hAnsiTheme="minorHAnsi"/>
          <w:sz w:val="24"/>
          <w:u w:val="single"/>
          <w:lang w:val="pl-PL"/>
        </w:rPr>
        <w:t>a)</w:t>
      </w:r>
      <w:r w:rsidRPr="00E63D7D">
        <w:rPr>
          <w:rFonts w:asciiTheme="minorHAnsi" w:hAnsiTheme="minorHAnsi"/>
          <w:i/>
          <w:sz w:val="24"/>
          <w:u w:val="single"/>
          <w:lang w:val="pl-PL"/>
        </w:rPr>
        <w:t xml:space="preserve"> Obowiązek pozytywny wdrożenia ram regulacyjnych </w:t>
      </w:r>
    </w:p>
    <w:p w14:paraId="5B48B189" w14:textId="77777777" w:rsidR="00950534" w:rsidRDefault="00950534" w:rsidP="00950534">
      <w:pPr>
        <w:pStyle w:val="ClinContent"/>
        <w:widowControl w:val="0"/>
        <w:spacing w:before="0"/>
        <w:rPr>
          <w:rFonts w:asciiTheme="minorHAnsi" w:hAnsiTheme="minorHAnsi"/>
          <w:sz w:val="24"/>
          <w:lang w:val="pl-PL"/>
        </w:rPr>
      </w:pPr>
    </w:p>
    <w:p w14:paraId="0ECFCCF5" w14:textId="653B8C8A"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zauważył, że </w:t>
      </w:r>
      <w:r w:rsidRPr="00B15C52">
        <w:rPr>
          <w:rFonts w:asciiTheme="minorHAnsi" w:hAnsiTheme="minorHAnsi"/>
          <w:sz w:val="24"/>
          <w:lang w:val="pl-PL"/>
        </w:rPr>
        <w:t xml:space="preserve">brak ogrodzeń i murów </w:t>
      </w:r>
      <w:r>
        <w:rPr>
          <w:rFonts w:asciiTheme="minorHAnsi" w:hAnsiTheme="minorHAnsi"/>
          <w:sz w:val="24"/>
          <w:lang w:val="pl-PL"/>
        </w:rPr>
        <w:t xml:space="preserve">ochronnych </w:t>
      </w:r>
      <w:r w:rsidRPr="00B15C52">
        <w:rPr>
          <w:rFonts w:asciiTheme="minorHAnsi" w:hAnsiTheme="minorHAnsi"/>
          <w:sz w:val="24"/>
          <w:lang w:val="pl-PL"/>
        </w:rPr>
        <w:t>wokół HSC był zgodny z ustawą o</w:t>
      </w:r>
      <w:r w:rsidR="00206CCE">
        <w:rPr>
          <w:rFonts w:asciiTheme="minorHAnsi" w:hAnsiTheme="minorHAnsi"/>
          <w:sz w:val="24"/>
          <w:lang w:val="pl-PL"/>
        </w:rPr>
        <w:t> </w:t>
      </w:r>
      <w:r w:rsidRPr="00B15C52">
        <w:rPr>
          <w:rFonts w:asciiTheme="minorHAnsi" w:hAnsiTheme="minorHAnsi"/>
          <w:sz w:val="24"/>
          <w:lang w:val="pl-PL"/>
        </w:rPr>
        <w:t xml:space="preserve">zdrowiu psychicznym i standardami międzynarodowymi, które dążą do tworzenia otwartego reżimu </w:t>
      </w:r>
      <w:r>
        <w:rPr>
          <w:rFonts w:asciiTheme="minorHAnsi" w:hAnsiTheme="minorHAnsi"/>
          <w:sz w:val="24"/>
          <w:lang w:val="pl-PL"/>
        </w:rPr>
        <w:t xml:space="preserve">leczenia </w:t>
      </w:r>
      <w:r w:rsidRPr="00B15C52">
        <w:rPr>
          <w:rFonts w:asciiTheme="minorHAnsi" w:hAnsiTheme="minorHAnsi"/>
          <w:sz w:val="24"/>
          <w:lang w:val="pl-PL"/>
        </w:rPr>
        <w:t xml:space="preserve">szpitalnego, w którym pacjenci zachowują prawo do swobodnego poruszania się. Ponadto ustawodawstwo krajowe przewidywało możliwość </w:t>
      </w:r>
      <w:r>
        <w:rPr>
          <w:rFonts w:asciiTheme="minorHAnsi" w:hAnsiTheme="minorHAnsi"/>
          <w:sz w:val="24"/>
          <w:lang w:val="pl-PL"/>
        </w:rPr>
        <w:t>przymusow</w:t>
      </w:r>
      <w:r w:rsidRPr="00B15C52">
        <w:rPr>
          <w:rFonts w:asciiTheme="minorHAnsi" w:hAnsiTheme="minorHAnsi"/>
          <w:sz w:val="24"/>
          <w:lang w:val="pl-PL"/>
        </w:rPr>
        <w:t xml:space="preserve">ej hospitalizacji, gdy było to uzasadnione szczególnymi potrzebami pacjenta, a zatem wyraźnie </w:t>
      </w:r>
      <w:r>
        <w:rPr>
          <w:rFonts w:asciiTheme="minorHAnsi" w:hAnsiTheme="minorHAnsi"/>
          <w:sz w:val="24"/>
          <w:lang w:val="pl-PL"/>
        </w:rPr>
        <w:t xml:space="preserve">dawało </w:t>
      </w:r>
      <w:r w:rsidRPr="00B15C52">
        <w:rPr>
          <w:rFonts w:asciiTheme="minorHAnsi" w:hAnsiTheme="minorHAnsi"/>
          <w:sz w:val="24"/>
          <w:lang w:val="pl-PL"/>
        </w:rPr>
        <w:t>HSC niezbędne środki leczenia odpowiadające na potrzeby medyczne i</w:t>
      </w:r>
      <w:r w:rsidR="00206CCE">
        <w:rPr>
          <w:rFonts w:asciiTheme="minorHAnsi" w:hAnsiTheme="minorHAnsi"/>
          <w:sz w:val="24"/>
          <w:lang w:val="pl-PL"/>
        </w:rPr>
        <w:t> </w:t>
      </w:r>
      <w:r w:rsidRPr="00B15C52">
        <w:rPr>
          <w:rFonts w:asciiTheme="minorHAnsi" w:hAnsiTheme="minorHAnsi"/>
          <w:sz w:val="24"/>
          <w:lang w:val="pl-PL"/>
        </w:rPr>
        <w:t xml:space="preserve">psychiatryczne A.J. </w:t>
      </w:r>
    </w:p>
    <w:p w14:paraId="54F693F7" w14:textId="77777777" w:rsidR="00950534" w:rsidRDefault="00950534" w:rsidP="00950534">
      <w:pPr>
        <w:pStyle w:val="ClinContent"/>
        <w:widowControl w:val="0"/>
        <w:spacing w:before="0"/>
        <w:rPr>
          <w:rFonts w:asciiTheme="minorHAnsi" w:hAnsiTheme="minorHAnsi"/>
          <w:sz w:val="24"/>
          <w:lang w:val="pl-PL"/>
        </w:rPr>
      </w:pPr>
    </w:p>
    <w:p w14:paraId="12975714"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Ponadto personel dyżurny </w:t>
      </w:r>
      <w:r>
        <w:rPr>
          <w:rFonts w:asciiTheme="minorHAnsi" w:hAnsiTheme="minorHAnsi"/>
          <w:sz w:val="24"/>
          <w:lang w:val="pl-PL"/>
        </w:rPr>
        <w:t>przestrzegał ogólnych i indywidualnych procedur monitorowania przewidzianych</w:t>
      </w:r>
      <w:r w:rsidRPr="00B15C52">
        <w:rPr>
          <w:rFonts w:asciiTheme="minorHAnsi" w:hAnsiTheme="minorHAnsi"/>
          <w:sz w:val="24"/>
          <w:lang w:val="pl-PL"/>
        </w:rPr>
        <w:t xml:space="preserve"> dla pacjentów </w:t>
      </w:r>
      <w:r>
        <w:rPr>
          <w:rFonts w:asciiTheme="minorHAnsi" w:hAnsiTheme="minorHAnsi"/>
          <w:sz w:val="24"/>
          <w:lang w:val="pl-PL"/>
        </w:rPr>
        <w:t>poddających się dobrowolnej hospitalizacji</w:t>
      </w:r>
      <w:r w:rsidRPr="00B15C52">
        <w:rPr>
          <w:rFonts w:asciiTheme="minorHAnsi" w:hAnsiTheme="minorHAnsi"/>
          <w:sz w:val="24"/>
          <w:lang w:val="pl-PL"/>
        </w:rPr>
        <w:t xml:space="preserve">, </w:t>
      </w:r>
      <w:r>
        <w:rPr>
          <w:rFonts w:asciiTheme="minorHAnsi" w:hAnsiTheme="minorHAnsi"/>
          <w:sz w:val="24"/>
          <w:lang w:val="pl-PL"/>
        </w:rPr>
        <w:t>które zapewniały</w:t>
      </w:r>
      <w:r w:rsidRPr="00B15C52">
        <w:rPr>
          <w:rFonts w:asciiTheme="minorHAnsi" w:hAnsiTheme="minorHAnsi"/>
          <w:sz w:val="24"/>
          <w:lang w:val="pl-PL"/>
        </w:rPr>
        <w:t xml:space="preserve"> przestrzeganie przez pacjentów określonego harmonogramu i </w:t>
      </w:r>
      <w:r>
        <w:rPr>
          <w:rFonts w:asciiTheme="minorHAnsi" w:hAnsiTheme="minorHAnsi"/>
          <w:sz w:val="24"/>
          <w:lang w:val="pl-PL"/>
        </w:rPr>
        <w:t xml:space="preserve">weryfikowanie ich </w:t>
      </w:r>
      <w:r w:rsidRPr="00B15C52">
        <w:rPr>
          <w:rFonts w:asciiTheme="minorHAnsi" w:hAnsiTheme="minorHAnsi"/>
          <w:sz w:val="24"/>
          <w:lang w:val="pl-PL"/>
        </w:rPr>
        <w:t xml:space="preserve">obecności w czasie podawania wszystkich posiłków i leków. Dostępna była także bardziej rygorystyczna procedura nadzoru, stosowana na początku pobytu pacjenta i zawsze, gdy lekarz prowadzący uznawał to za konieczne. Wreszcie w sytuacjach nagłych HFC mógł zastosować inne formy przymusu, w tym izolatkę. </w:t>
      </w:r>
      <w:r>
        <w:rPr>
          <w:rFonts w:asciiTheme="minorHAnsi" w:hAnsiTheme="minorHAnsi"/>
          <w:sz w:val="24"/>
          <w:lang w:val="pl-PL"/>
        </w:rPr>
        <w:t>Zdaniem Trybunału i</w:t>
      </w:r>
      <w:r w:rsidRPr="00B15C52">
        <w:rPr>
          <w:rFonts w:asciiTheme="minorHAnsi" w:hAnsiTheme="minorHAnsi"/>
          <w:sz w:val="24"/>
          <w:lang w:val="pl-PL"/>
        </w:rPr>
        <w:t xml:space="preserve">stniejąca procedura nadzoru i dostępne środki przymusu zapewniały zatem HSC niezbędne </w:t>
      </w:r>
      <w:r>
        <w:rPr>
          <w:rFonts w:asciiTheme="minorHAnsi" w:hAnsiTheme="minorHAnsi"/>
          <w:sz w:val="24"/>
          <w:lang w:val="pl-PL"/>
        </w:rPr>
        <w:t>narzędzia</w:t>
      </w:r>
      <w:r w:rsidRPr="00B15C52">
        <w:rPr>
          <w:rFonts w:asciiTheme="minorHAnsi" w:hAnsiTheme="minorHAnsi"/>
          <w:sz w:val="24"/>
          <w:lang w:val="pl-PL"/>
        </w:rPr>
        <w:t xml:space="preserve"> leczenia A.J. </w:t>
      </w:r>
    </w:p>
    <w:p w14:paraId="52F466C4" w14:textId="77777777" w:rsidR="00950534" w:rsidRDefault="00950534" w:rsidP="00950534">
      <w:pPr>
        <w:pStyle w:val="ClinContent"/>
        <w:widowControl w:val="0"/>
        <w:spacing w:before="0"/>
        <w:rPr>
          <w:rFonts w:asciiTheme="minorHAnsi" w:hAnsiTheme="minorHAnsi"/>
          <w:sz w:val="24"/>
          <w:lang w:val="pl-PL"/>
        </w:rPr>
      </w:pPr>
    </w:p>
    <w:p w14:paraId="05175881" w14:textId="57E5C95A"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przyjął również ustalenie sądów krajowych, że p</w:t>
      </w:r>
      <w:r w:rsidRPr="00B15C52">
        <w:rPr>
          <w:rFonts w:asciiTheme="minorHAnsi" w:hAnsiTheme="minorHAnsi"/>
          <w:sz w:val="24"/>
          <w:lang w:val="pl-PL"/>
        </w:rPr>
        <w:t>rocedura nadzoru zastosowana wobec A.J. miała na celu poszanowanie jego prywatności i była zgodna z zasadą leczenia pacjentów w oparciu o możliwie najmniej restrykcyjny reżim</w:t>
      </w:r>
      <w:r>
        <w:rPr>
          <w:rFonts w:asciiTheme="minorHAnsi" w:hAnsiTheme="minorHAnsi"/>
          <w:sz w:val="24"/>
          <w:lang w:val="pl-PL"/>
        </w:rPr>
        <w:t xml:space="preserve"> leczenia</w:t>
      </w:r>
      <w:r w:rsidRPr="00B15C52">
        <w:rPr>
          <w:rFonts w:asciiTheme="minorHAnsi" w:hAnsiTheme="minorHAnsi"/>
          <w:sz w:val="24"/>
          <w:lang w:val="pl-PL"/>
        </w:rPr>
        <w:t xml:space="preserve">. </w:t>
      </w:r>
      <w:r>
        <w:rPr>
          <w:rFonts w:asciiTheme="minorHAnsi" w:hAnsiTheme="minorHAnsi"/>
          <w:sz w:val="24"/>
          <w:lang w:val="pl-PL"/>
        </w:rPr>
        <w:t xml:space="preserve">Trybunał przypomniał, że system </w:t>
      </w:r>
      <w:r w:rsidRPr="00B15C52">
        <w:rPr>
          <w:rFonts w:asciiTheme="minorHAnsi" w:hAnsiTheme="minorHAnsi"/>
          <w:sz w:val="24"/>
          <w:lang w:val="pl-PL"/>
        </w:rPr>
        <w:t>nadzoru</w:t>
      </w:r>
      <w:r>
        <w:rPr>
          <w:rFonts w:asciiTheme="minorHAnsi" w:hAnsiTheme="minorHAnsi"/>
          <w:sz w:val="24"/>
          <w:lang w:val="pl-PL"/>
        </w:rPr>
        <w:t>, który bardziej ingerowałby w prywatność pacjenta,</w:t>
      </w:r>
      <w:r w:rsidRPr="00B15C52">
        <w:rPr>
          <w:rFonts w:asciiTheme="minorHAnsi" w:hAnsiTheme="minorHAnsi"/>
          <w:sz w:val="24"/>
          <w:lang w:val="pl-PL"/>
        </w:rPr>
        <w:t xml:space="preserve"> mógł</w:t>
      </w:r>
      <w:r>
        <w:rPr>
          <w:rFonts w:asciiTheme="minorHAnsi" w:hAnsiTheme="minorHAnsi"/>
          <w:sz w:val="24"/>
          <w:lang w:val="pl-PL"/>
        </w:rPr>
        <w:t>by</w:t>
      </w:r>
      <w:r w:rsidRPr="00B15C52">
        <w:rPr>
          <w:rFonts w:asciiTheme="minorHAnsi" w:hAnsiTheme="minorHAnsi"/>
          <w:sz w:val="24"/>
          <w:lang w:val="pl-PL"/>
        </w:rPr>
        <w:t xml:space="preserve"> również być kwestionowany jako niezgodny z prawami chronionymi przez art. 3, 5 i 8 Konwencji, w</w:t>
      </w:r>
      <w:r w:rsidR="00206CCE">
        <w:rPr>
          <w:rFonts w:asciiTheme="minorHAnsi" w:hAnsiTheme="minorHAnsi"/>
          <w:sz w:val="24"/>
          <w:lang w:val="pl-PL"/>
        </w:rPr>
        <w:t> </w:t>
      </w:r>
      <w:r w:rsidRPr="00B15C52">
        <w:rPr>
          <w:rFonts w:asciiTheme="minorHAnsi" w:hAnsiTheme="minorHAnsi"/>
          <w:sz w:val="24"/>
          <w:lang w:val="pl-PL"/>
        </w:rPr>
        <w:t>szczególności mając na uwadze status A.J. jako pacjenta</w:t>
      </w:r>
      <w:r>
        <w:rPr>
          <w:rFonts w:asciiTheme="minorHAnsi" w:hAnsiTheme="minorHAnsi"/>
          <w:sz w:val="24"/>
          <w:lang w:val="pl-PL"/>
        </w:rPr>
        <w:t xml:space="preserve">, który </w:t>
      </w:r>
      <w:r w:rsidRPr="00B15C52">
        <w:rPr>
          <w:rFonts w:asciiTheme="minorHAnsi" w:hAnsiTheme="minorHAnsi"/>
          <w:sz w:val="24"/>
          <w:lang w:val="pl-PL"/>
        </w:rPr>
        <w:t>dobrowoln</w:t>
      </w:r>
      <w:r>
        <w:rPr>
          <w:rFonts w:asciiTheme="minorHAnsi" w:hAnsiTheme="minorHAnsi"/>
          <w:sz w:val="24"/>
          <w:lang w:val="pl-PL"/>
        </w:rPr>
        <w:t>ie poddał się leczeniu</w:t>
      </w:r>
      <w:r w:rsidRPr="00B15C52">
        <w:rPr>
          <w:rFonts w:asciiTheme="minorHAnsi" w:hAnsiTheme="minorHAnsi"/>
          <w:sz w:val="24"/>
          <w:lang w:val="pl-PL"/>
        </w:rPr>
        <w:t xml:space="preserve">. </w:t>
      </w:r>
    </w:p>
    <w:p w14:paraId="6BAB0488" w14:textId="77777777" w:rsidR="00950534" w:rsidRDefault="00950534" w:rsidP="00950534">
      <w:pPr>
        <w:pStyle w:val="ClinContent"/>
        <w:widowControl w:val="0"/>
        <w:spacing w:before="0"/>
        <w:rPr>
          <w:rFonts w:asciiTheme="minorHAnsi" w:hAnsiTheme="minorHAnsi"/>
          <w:sz w:val="24"/>
          <w:lang w:val="pl-PL"/>
        </w:rPr>
      </w:pPr>
    </w:p>
    <w:p w14:paraId="1AD9D40A" w14:textId="7B99F03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dniu zaginięcia A.J., między godziną 19.00 a 20.00 została uruchomiona procedura dotycząca sytuacji nagłej, polegająca na zaalarmowaniu lekarza dyżurnego, policji i rodziny pacjenta. </w:t>
      </w:r>
      <w:r>
        <w:rPr>
          <w:rFonts w:asciiTheme="minorHAnsi" w:hAnsiTheme="minorHAnsi"/>
          <w:sz w:val="24"/>
          <w:lang w:val="pl-PL"/>
        </w:rPr>
        <w:t>Trybunał uwzględnił stwierdzenie sądów krajowych, że p</w:t>
      </w:r>
      <w:r w:rsidRPr="00B15C52">
        <w:rPr>
          <w:rFonts w:asciiTheme="minorHAnsi" w:hAnsiTheme="minorHAnsi"/>
          <w:sz w:val="24"/>
          <w:lang w:val="pl-PL"/>
        </w:rPr>
        <w:t xml:space="preserve">rocedura ta była odpowiednia i nie było związku przyczynowego między rzekomymi </w:t>
      </w:r>
      <w:r>
        <w:rPr>
          <w:rFonts w:asciiTheme="minorHAnsi" w:hAnsiTheme="minorHAnsi"/>
          <w:sz w:val="24"/>
          <w:lang w:val="pl-PL"/>
        </w:rPr>
        <w:t xml:space="preserve">nieprawidłowościami </w:t>
      </w:r>
      <w:r w:rsidRPr="00B15C52">
        <w:rPr>
          <w:rFonts w:asciiTheme="minorHAnsi" w:hAnsiTheme="minorHAnsi"/>
          <w:sz w:val="24"/>
          <w:lang w:val="pl-PL"/>
        </w:rPr>
        <w:t>w</w:t>
      </w:r>
      <w:r w:rsidR="00206CCE">
        <w:rPr>
          <w:rFonts w:asciiTheme="minorHAnsi" w:hAnsiTheme="minorHAnsi"/>
          <w:sz w:val="24"/>
          <w:lang w:val="pl-PL"/>
        </w:rPr>
        <w:t> </w:t>
      </w:r>
      <w:r w:rsidRPr="00B15C52">
        <w:rPr>
          <w:rFonts w:asciiTheme="minorHAnsi" w:hAnsiTheme="minorHAnsi"/>
          <w:sz w:val="24"/>
          <w:lang w:val="pl-PL"/>
        </w:rPr>
        <w:t xml:space="preserve">procedurach dotyczących sytuacji nagłych a śmiercią A.J. </w:t>
      </w:r>
    </w:p>
    <w:p w14:paraId="31A83636" w14:textId="77777777" w:rsidR="00950534" w:rsidRDefault="00950534" w:rsidP="00950534">
      <w:pPr>
        <w:pStyle w:val="ClinContent"/>
        <w:widowControl w:val="0"/>
        <w:spacing w:before="0"/>
        <w:rPr>
          <w:rFonts w:asciiTheme="minorHAnsi" w:hAnsiTheme="minorHAnsi"/>
          <w:sz w:val="24"/>
          <w:lang w:val="pl-PL"/>
        </w:rPr>
      </w:pPr>
    </w:p>
    <w:p w14:paraId="1D348066"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Wreszcie, skarżący miał dostęp do </w:t>
      </w:r>
      <w:r>
        <w:rPr>
          <w:rFonts w:asciiTheme="minorHAnsi" w:hAnsiTheme="minorHAnsi"/>
          <w:sz w:val="24"/>
          <w:lang w:val="pl-PL"/>
        </w:rPr>
        <w:t>postępowania cywilnego</w:t>
      </w:r>
      <w:r w:rsidRPr="00B15C52">
        <w:rPr>
          <w:rFonts w:asciiTheme="minorHAnsi" w:hAnsiTheme="minorHAnsi"/>
          <w:sz w:val="24"/>
          <w:lang w:val="pl-PL"/>
        </w:rPr>
        <w:t>, które</w:t>
      </w:r>
      <w:r>
        <w:rPr>
          <w:rFonts w:asciiTheme="minorHAnsi" w:hAnsiTheme="minorHAnsi"/>
          <w:sz w:val="24"/>
          <w:lang w:val="pl-PL"/>
        </w:rPr>
        <w:t xml:space="preserve"> pomimo długiego czasu trwania było skuteczne i umożliwiło</w:t>
      </w:r>
      <w:r w:rsidRPr="00B15C52">
        <w:rPr>
          <w:rFonts w:asciiTheme="minorHAnsi" w:hAnsiTheme="minorHAnsi"/>
          <w:sz w:val="24"/>
          <w:lang w:val="pl-PL"/>
        </w:rPr>
        <w:t xml:space="preserve"> ustalenie odpowiedzialności za śmierć A.J. </w:t>
      </w:r>
    </w:p>
    <w:p w14:paraId="022E872D" w14:textId="77777777" w:rsidR="00950534" w:rsidRDefault="00950534" w:rsidP="00950534">
      <w:pPr>
        <w:pStyle w:val="ClinContent"/>
        <w:widowControl w:val="0"/>
        <w:spacing w:before="0"/>
        <w:rPr>
          <w:rFonts w:asciiTheme="minorHAnsi" w:hAnsiTheme="minorHAnsi"/>
          <w:sz w:val="24"/>
          <w:lang w:val="pl-PL"/>
        </w:rPr>
      </w:pPr>
    </w:p>
    <w:p w14:paraId="4E046CB7" w14:textId="40CC412F" w:rsidR="00950534" w:rsidRDefault="00950534" w:rsidP="00950534">
      <w:pPr>
        <w:pStyle w:val="ClinContent"/>
        <w:widowControl w:val="0"/>
        <w:spacing w:before="0"/>
        <w:rPr>
          <w:rFonts w:asciiTheme="minorHAnsi" w:hAnsiTheme="minorHAnsi"/>
          <w:sz w:val="24"/>
          <w:lang w:val="pl-PL"/>
        </w:rPr>
      </w:pPr>
      <w:r w:rsidRPr="001C6222">
        <w:rPr>
          <w:rFonts w:asciiTheme="minorHAnsi" w:hAnsiTheme="minorHAnsi"/>
          <w:sz w:val="24"/>
          <w:lang w:val="pl-PL"/>
        </w:rPr>
        <w:t>W związku z powyższym Trybunał uznał, że w okolicznościach niniejszej sprawy nie doszło do</w:t>
      </w:r>
      <w:r w:rsidR="00206CCE">
        <w:rPr>
          <w:rFonts w:asciiTheme="minorHAnsi" w:hAnsiTheme="minorHAnsi"/>
          <w:sz w:val="24"/>
          <w:lang w:val="pl-PL"/>
        </w:rPr>
        <w:t> </w:t>
      </w:r>
      <w:r w:rsidRPr="001C6222">
        <w:rPr>
          <w:rFonts w:asciiTheme="minorHAnsi" w:hAnsiTheme="minorHAnsi"/>
          <w:sz w:val="24"/>
          <w:lang w:val="pl-PL"/>
        </w:rPr>
        <w:t xml:space="preserve">naruszenia art. 2 Konwencji w zakresie dotyczącym obowiązku wdrożenia odpowiednich </w:t>
      </w:r>
      <w:r w:rsidRPr="001C6222">
        <w:rPr>
          <w:rFonts w:asciiTheme="minorHAnsi" w:hAnsiTheme="minorHAnsi"/>
          <w:sz w:val="24"/>
          <w:lang w:val="pl-PL"/>
        </w:rPr>
        <w:lastRenderedPageBreak/>
        <w:t>ram regulacyjnych.</w:t>
      </w:r>
      <w:r w:rsidRPr="00B15C52">
        <w:rPr>
          <w:rFonts w:asciiTheme="minorHAnsi" w:hAnsiTheme="minorHAnsi"/>
          <w:sz w:val="24"/>
          <w:lang w:val="pl-PL"/>
        </w:rPr>
        <w:t xml:space="preserve"> </w:t>
      </w:r>
    </w:p>
    <w:p w14:paraId="1ACB7822" w14:textId="77777777" w:rsidR="00950534" w:rsidRDefault="00950534" w:rsidP="00950534">
      <w:pPr>
        <w:pStyle w:val="ClinContent"/>
        <w:widowControl w:val="0"/>
        <w:spacing w:before="0"/>
        <w:rPr>
          <w:rFonts w:asciiTheme="minorHAnsi" w:hAnsiTheme="minorHAnsi"/>
          <w:sz w:val="24"/>
          <w:lang w:val="pl-PL"/>
        </w:rPr>
      </w:pPr>
    </w:p>
    <w:p w14:paraId="0ACC7E0E" w14:textId="77777777" w:rsidR="00950534" w:rsidRPr="00E63D7D" w:rsidRDefault="00950534" w:rsidP="00950534">
      <w:pPr>
        <w:pStyle w:val="ClinContent"/>
        <w:widowControl w:val="0"/>
        <w:spacing w:before="0"/>
        <w:rPr>
          <w:rFonts w:asciiTheme="minorHAnsi" w:hAnsiTheme="minorHAnsi"/>
          <w:i/>
          <w:sz w:val="24"/>
          <w:u w:val="single"/>
          <w:lang w:val="pl-PL"/>
        </w:rPr>
      </w:pPr>
      <w:r w:rsidRPr="00E63D7D">
        <w:rPr>
          <w:rFonts w:asciiTheme="minorHAnsi" w:hAnsiTheme="minorHAnsi"/>
          <w:sz w:val="24"/>
          <w:u w:val="single"/>
          <w:lang w:val="pl-PL"/>
        </w:rPr>
        <w:t xml:space="preserve">b) </w:t>
      </w:r>
      <w:r w:rsidRPr="00E63D7D">
        <w:rPr>
          <w:rFonts w:asciiTheme="minorHAnsi" w:hAnsiTheme="minorHAnsi"/>
          <w:i/>
          <w:sz w:val="24"/>
          <w:u w:val="single"/>
          <w:lang w:val="pl-PL"/>
        </w:rPr>
        <w:t xml:space="preserve">Obowiązek pozytywny podjęcia operacyjnych środków zapobiegawczych </w:t>
      </w:r>
    </w:p>
    <w:p w14:paraId="620CA06C" w14:textId="77777777" w:rsidR="00950534" w:rsidRDefault="00950534" w:rsidP="00950534">
      <w:pPr>
        <w:pStyle w:val="ClinContent"/>
        <w:widowControl w:val="0"/>
        <w:spacing w:before="0"/>
        <w:rPr>
          <w:rFonts w:asciiTheme="minorHAnsi" w:hAnsiTheme="minorHAnsi"/>
          <w:i/>
          <w:sz w:val="24"/>
          <w:lang w:val="pl-PL"/>
        </w:rPr>
      </w:pPr>
    </w:p>
    <w:p w14:paraId="19733810" w14:textId="6260267F"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Trybunał </w:t>
      </w:r>
      <w:r>
        <w:rPr>
          <w:rFonts w:asciiTheme="minorHAnsi" w:hAnsiTheme="minorHAnsi"/>
          <w:sz w:val="24"/>
          <w:lang w:val="pl-PL"/>
        </w:rPr>
        <w:t xml:space="preserve">przypomniał, że w swym wcześniejszym orzecznictwie </w:t>
      </w:r>
      <w:r w:rsidRPr="00B15C52">
        <w:rPr>
          <w:rFonts w:asciiTheme="minorHAnsi" w:hAnsiTheme="minorHAnsi"/>
          <w:sz w:val="24"/>
          <w:lang w:val="pl-PL"/>
        </w:rPr>
        <w:t xml:space="preserve">ustalił, że w niektórych ściśle określonych okolicznościach art. 2 </w:t>
      </w:r>
      <w:r>
        <w:rPr>
          <w:rFonts w:asciiTheme="minorHAnsi" w:hAnsiTheme="minorHAnsi"/>
          <w:sz w:val="24"/>
          <w:lang w:val="pl-PL"/>
        </w:rPr>
        <w:t xml:space="preserve">Konwencji </w:t>
      </w:r>
      <w:r w:rsidRPr="00B15C52">
        <w:rPr>
          <w:rFonts w:asciiTheme="minorHAnsi" w:hAnsiTheme="minorHAnsi"/>
          <w:sz w:val="24"/>
          <w:lang w:val="pl-PL"/>
        </w:rPr>
        <w:t xml:space="preserve">może nakładać na władze </w:t>
      </w:r>
      <w:r>
        <w:rPr>
          <w:rFonts w:asciiTheme="minorHAnsi" w:hAnsiTheme="minorHAnsi"/>
          <w:sz w:val="24"/>
          <w:lang w:val="pl-PL"/>
        </w:rPr>
        <w:t xml:space="preserve">krajowe </w:t>
      </w:r>
      <w:r w:rsidRPr="00B15C52">
        <w:rPr>
          <w:rFonts w:asciiTheme="minorHAnsi" w:hAnsiTheme="minorHAnsi"/>
          <w:sz w:val="24"/>
          <w:lang w:val="pl-PL"/>
        </w:rPr>
        <w:t>obowiązek pozytywny podjęcia operacyjnych środków zapobiegawczych celem ochrony osoby przed innymi osobami lub przed nią samą, gdy władze wiedz</w:t>
      </w:r>
      <w:r>
        <w:rPr>
          <w:rFonts w:asciiTheme="minorHAnsi" w:hAnsiTheme="minorHAnsi"/>
          <w:sz w:val="24"/>
          <w:lang w:val="pl-PL"/>
        </w:rPr>
        <w:t>ą</w:t>
      </w:r>
      <w:r w:rsidRPr="00B15C52">
        <w:rPr>
          <w:rFonts w:asciiTheme="minorHAnsi" w:hAnsiTheme="minorHAnsi"/>
          <w:sz w:val="24"/>
          <w:lang w:val="pl-PL"/>
        </w:rPr>
        <w:t xml:space="preserve"> lub powinny wiedzieć o istnieniu realnego i bezpośredniego zagrożenia życia osoby. Trybunał stwierdził,</w:t>
      </w:r>
      <w:r>
        <w:rPr>
          <w:rFonts w:asciiTheme="minorHAnsi" w:hAnsiTheme="minorHAnsi"/>
          <w:sz w:val="24"/>
          <w:lang w:val="pl-PL"/>
        </w:rPr>
        <w:t xml:space="preserve"> że w odniesieniu do</w:t>
      </w:r>
      <w:r w:rsidR="00206CCE">
        <w:rPr>
          <w:rFonts w:asciiTheme="minorHAnsi" w:hAnsiTheme="minorHAnsi"/>
          <w:sz w:val="24"/>
          <w:lang w:val="pl-PL"/>
        </w:rPr>
        <w:t> </w:t>
      </w:r>
      <w:r w:rsidRPr="00B15C52">
        <w:rPr>
          <w:rFonts w:asciiTheme="minorHAnsi" w:hAnsiTheme="minorHAnsi"/>
          <w:sz w:val="24"/>
          <w:lang w:val="pl-PL"/>
        </w:rPr>
        <w:t>pacjentów</w:t>
      </w:r>
      <w:r>
        <w:rPr>
          <w:rFonts w:asciiTheme="minorHAnsi" w:hAnsiTheme="minorHAnsi"/>
          <w:sz w:val="24"/>
          <w:lang w:val="pl-PL"/>
        </w:rPr>
        <w:t>, którzy dobrowolnie poddali się leczeniu psychiatrycznemu,</w:t>
      </w:r>
      <w:r w:rsidRPr="00B15C52">
        <w:rPr>
          <w:rFonts w:asciiTheme="minorHAnsi" w:hAnsiTheme="minorHAnsi"/>
          <w:sz w:val="24"/>
          <w:lang w:val="pl-PL"/>
        </w:rPr>
        <w:t xml:space="preserve"> władze mają </w:t>
      </w:r>
      <w:r>
        <w:rPr>
          <w:rFonts w:asciiTheme="minorHAnsi" w:hAnsiTheme="minorHAnsi"/>
          <w:sz w:val="24"/>
          <w:lang w:val="pl-PL"/>
        </w:rPr>
        <w:t xml:space="preserve">ogólny </w:t>
      </w:r>
      <w:r w:rsidRPr="00B15C52">
        <w:rPr>
          <w:rFonts w:asciiTheme="minorHAnsi" w:hAnsiTheme="minorHAnsi"/>
          <w:sz w:val="24"/>
          <w:lang w:val="pl-PL"/>
        </w:rPr>
        <w:t>obowiązek podjęcia uzasadnionych środków celem ich ochrony przed realnym i</w:t>
      </w:r>
      <w:r w:rsidR="00206CCE">
        <w:rPr>
          <w:rFonts w:asciiTheme="minorHAnsi" w:hAnsiTheme="minorHAnsi"/>
          <w:sz w:val="24"/>
          <w:lang w:val="pl-PL"/>
        </w:rPr>
        <w:t> </w:t>
      </w:r>
      <w:r w:rsidRPr="00B15C52">
        <w:rPr>
          <w:rFonts w:asciiTheme="minorHAnsi" w:hAnsiTheme="minorHAnsi"/>
          <w:sz w:val="24"/>
          <w:lang w:val="pl-PL"/>
        </w:rPr>
        <w:t xml:space="preserve">bezpośrednim ryzykiem </w:t>
      </w:r>
      <w:r>
        <w:rPr>
          <w:rFonts w:asciiTheme="minorHAnsi" w:hAnsiTheme="minorHAnsi"/>
          <w:sz w:val="24"/>
          <w:lang w:val="pl-PL"/>
        </w:rPr>
        <w:t xml:space="preserve">popełnienia </w:t>
      </w:r>
      <w:r w:rsidRPr="00B15C52">
        <w:rPr>
          <w:rFonts w:asciiTheme="minorHAnsi" w:hAnsiTheme="minorHAnsi"/>
          <w:sz w:val="24"/>
          <w:lang w:val="pl-PL"/>
        </w:rPr>
        <w:t xml:space="preserve">samobójstwa. </w:t>
      </w:r>
    </w:p>
    <w:p w14:paraId="743A75B5" w14:textId="77777777" w:rsidR="00950534" w:rsidRDefault="00950534" w:rsidP="00950534">
      <w:pPr>
        <w:pStyle w:val="ClinContent"/>
        <w:widowControl w:val="0"/>
        <w:spacing w:before="0"/>
        <w:rPr>
          <w:rFonts w:asciiTheme="minorHAnsi" w:hAnsiTheme="minorHAnsi"/>
          <w:sz w:val="24"/>
          <w:lang w:val="pl-PL"/>
        </w:rPr>
      </w:pPr>
    </w:p>
    <w:p w14:paraId="01C28DEE"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w:t>
      </w:r>
      <w:r w:rsidRPr="00B15C52">
        <w:rPr>
          <w:rFonts w:asciiTheme="minorHAnsi" w:hAnsiTheme="minorHAnsi"/>
          <w:sz w:val="24"/>
          <w:lang w:val="pl-PL"/>
        </w:rPr>
        <w:t xml:space="preserve"> celu ustalenia, czy władze wiedziały lub powinny były wiedzieć, że życie danego pacjenta </w:t>
      </w:r>
      <w:r>
        <w:rPr>
          <w:rFonts w:asciiTheme="minorHAnsi" w:hAnsiTheme="minorHAnsi"/>
          <w:sz w:val="24"/>
          <w:lang w:val="pl-PL"/>
        </w:rPr>
        <w:t>było realnie i bezpośrednio</w:t>
      </w:r>
      <w:r w:rsidRPr="00B15C52">
        <w:rPr>
          <w:rFonts w:asciiTheme="minorHAnsi" w:hAnsiTheme="minorHAnsi"/>
          <w:sz w:val="24"/>
          <w:lang w:val="pl-PL"/>
        </w:rPr>
        <w:t xml:space="preserve"> zagroż</w:t>
      </w:r>
      <w:r>
        <w:rPr>
          <w:rFonts w:asciiTheme="minorHAnsi" w:hAnsiTheme="minorHAnsi"/>
          <w:sz w:val="24"/>
          <w:lang w:val="pl-PL"/>
        </w:rPr>
        <w:t>one</w:t>
      </w:r>
      <w:r w:rsidRPr="00B15C52">
        <w:rPr>
          <w:rFonts w:asciiTheme="minorHAnsi" w:hAnsiTheme="minorHAnsi"/>
          <w:sz w:val="24"/>
          <w:lang w:val="pl-PL"/>
        </w:rPr>
        <w:t xml:space="preserve">, </w:t>
      </w:r>
      <w:r>
        <w:rPr>
          <w:rFonts w:asciiTheme="minorHAnsi" w:hAnsiTheme="minorHAnsi"/>
          <w:sz w:val="24"/>
          <w:lang w:val="pl-PL"/>
        </w:rPr>
        <w:t xml:space="preserve">co </w:t>
      </w:r>
      <w:r w:rsidRPr="00B15C52">
        <w:rPr>
          <w:rFonts w:asciiTheme="minorHAnsi" w:hAnsiTheme="minorHAnsi"/>
          <w:sz w:val="24"/>
          <w:lang w:val="pl-PL"/>
        </w:rPr>
        <w:t>pociąga</w:t>
      </w:r>
      <w:r>
        <w:rPr>
          <w:rFonts w:asciiTheme="minorHAnsi" w:hAnsiTheme="minorHAnsi"/>
          <w:sz w:val="24"/>
          <w:lang w:val="pl-PL"/>
        </w:rPr>
        <w:t>łoby</w:t>
      </w:r>
      <w:r w:rsidRPr="00B15C52">
        <w:rPr>
          <w:rFonts w:asciiTheme="minorHAnsi" w:hAnsiTheme="minorHAnsi"/>
          <w:sz w:val="24"/>
          <w:lang w:val="pl-PL"/>
        </w:rPr>
        <w:t xml:space="preserve"> za sobą obowiązek podjęcia odpowiednich środków zapobiegawczych</w:t>
      </w:r>
      <w:r>
        <w:rPr>
          <w:rFonts w:asciiTheme="minorHAnsi" w:hAnsiTheme="minorHAnsi"/>
          <w:sz w:val="24"/>
          <w:lang w:val="pl-PL"/>
        </w:rPr>
        <w:t xml:space="preserve">, Trybunał </w:t>
      </w:r>
      <w:r w:rsidRPr="00B15C52">
        <w:rPr>
          <w:rFonts w:asciiTheme="minorHAnsi" w:hAnsiTheme="minorHAnsi"/>
          <w:sz w:val="24"/>
          <w:lang w:val="pl-PL"/>
        </w:rPr>
        <w:t xml:space="preserve">uwzględniał </w:t>
      </w:r>
      <w:r>
        <w:rPr>
          <w:rFonts w:asciiTheme="minorHAnsi" w:hAnsiTheme="minorHAnsi"/>
          <w:sz w:val="24"/>
          <w:lang w:val="pl-PL"/>
        </w:rPr>
        <w:t xml:space="preserve">w swym wcześniejszym orzecznictwie </w:t>
      </w:r>
      <w:r w:rsidRPr="00B15C52">
        <w:rPr>
          <w:rFonts w:asciiTheme="minorHAnsi" w:hAnsiTheme="minorHAnsi"/>
          <w:sz w:val="24"/>
          <w:lang w:val="pl-PL"/>
        </w:rPr>
        <w:t>szereg czynników, w szczególności</w:t>
      </w:r>
      <w:r>
        <w:rPr>
          <w:rFonts w:asciiTheme="minorHAnsi" w:hAnsiTheme="minorHAnsi"/>
          <w:sz w:val="24"/>
          <w:lang w:val="pl-PL"/>
        </w:rPr>
        <w:t>:</w:t>
      </w:r>
    </w:p>
    <w:p w14:paraId="1FCB899A"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historię problemów psychicznych</w:t>
      </w:r>
      <w:r>
        <w:rPr>
          <w:rFonts w:asciiTheme="minorHAnsi" w:hAnsiTheme="minorHAnsi"/>
          <w:sz w:val="24"/>
          <w:lang w:val="pl-PL"/>
        </w:rPr>
        <w:t>,</w:t>
      </w:r>
    </w:p>
    <w:p w14:paraId="5E6A9DE1"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powagę stanu psychicznego, </w:t>
      </w:r>
    </w:p>
    <w:p w14:paraId="3B37B5C7" w14:textId="77777777" w:rsidR="00950534" w:rsidRDefault="00950534" w:rsidP="00950534">
      <w:pPr>
        <w:pStyle w:val="ClinContent"/>
        <w:widowControl w:val="0"/>
        <w:numPr>
          <w:ilvl w:val="0"/>
          <w:numId w:val="37"/>
        </w:numPr>
        <w:spacing w:before="0"/>
        <w:rPr>
          <w:rFonts w:asciiTheme="minorHAnsi" w:hAnsiTheme="minorHAnsi"/>
          <w:sz w:val="24"/>
          <w:lang w:val="pl-PL"/>
        </w:rPr>
      </w:pPr>
      <w:r>
        <w:rPr>
          <w:rFonts w:asciiTheme="minorHAnsi" w:hAnsiTheme="minorHAnsi"/>
          <w:sz w:val="24"/>
          <w:lang w:val="pl-PL"/>
        </w:rPr>
        <w:t>poprzednie próby samobójcze lub samookaleczenia,</w:t>
      </w:r>
    </w:p>
    <w:p w14:paraId="6345627E"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myśli lub groźby samobójcze oraz </w:t>
      </w:r>
    </w:p>
    <w:p w14:paraId="77E05562"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oznaki niepok</w:t>
      </w:r>
      <w:r>
        <w:rPr>
          <w:rFonts w:asciiTheme="minorHAnsi" w:hAnsiTheme="minorHAnsi"/>
          <w:sz w:val="24"/>
          <w:lang w:val="pl-PL"/>
        </w:rPr>
        <w:t>oju fizycznego lub psychicznego</w:t>
      </w:r>
      <w:r w:rsidRPr="00B15C52">
        <w:rPr>
          <w:rFonts w:asciiTheme="minorHAnsi" w:hAnsiTheme="minorHAnsi"/>
          <w:sz w:val="24"/>
          <w:lang w:val="pl-PL"/>
        </w:rPr>
        <w:t xml:space="preserve">. </w:t>
      </w:r>
    </w:p>
    <w:p w14:paraId="74389A18" w14:textId="77777777" w:rsidR="00950534" w:rsidRDefault="00950534" w:rsidP="00950534">
      <w:pPr>
        <w:pStyle w:val="ClinContent"/>
        <w:widowControl w:val="0"/>
        <w:spacing w:before="0"/>
        <w:rPr>
          <w:rFonts w:asciiTheme="minorHAnsi" w:hAnsiTheme="minorHAnsi"/>
          <w:sz w:val="24"/>
          <w:lang w:val="pl-PL"/>
        </w:rPr>
      </w:pPr>
    </w:p>
    <w:p w14:paraId="3A7C708C"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zauważył, że w</w:t>
      </w:r>
      <w:r w:rsidRPr="00B15C52">
        <w:rPr>
          <w:rFonts w:asciiTheme="minorHAnsi" w:hAnsiTheme="minorHAnsi"/>
          <w:sz w:val="24"/>
          <w:lang w:val="pl-PL"/>
        </w:rPr>
        <w:t xml:space="preserve"> </w:t>
      </w:r>
      <w:r>
        <w:rPr>
          <w:rFonts w:asciiTheme="minorHAnsi" w:hAnsiTheme="minorHAnsi"/>
          <w:sz w:val="24"/>
          <w:lang w:val="pl-PL"/>
        </w:rPr>
        <w:t>omawianej</w:t>
      </w:r>
      <w:r w:rsidRPr="00B15C52">
        <w:rPr>
          <w:rFonts w:asciiTheme="minorHAnsi" w:hAnsiTheme="minorHAnsi"/>
          <w:sz w:val="24"/>
          <w:lang w:val="pl-PL"/>
        </w:rPr>
        <w:t xml:space="preserve"> sprawie HSC od dawna wiedział o zaburzeniach psychicznych A.J. oraz o ryzyku </w:t>
      </w:r>
      <w:r>
        <w:rPr>
          <w:rFonts w:asciiTheme="minorHAnsi" w:hAnsiTheme="minorHAnsi"/>
          <w:sz w:val="24"/>
          <w:lang w:val="pl-PL"/>
        </w:rPr>
        <w:t xml:space="preserve">popełnienia przez niego </w:t>
      </w:r>
      <w:r w:rsidRPr="00B15C52">
        <w:rPr>
          <w:rFonts w:asciiTheme="minorHAnsi" w:hAnsiTheme="minorHAnsi"/>
          <w:sz w:val="24"/>
          <w:lang w:val="pl-PL"/>
        </w:rPr>
        <w:t xml:space="preserve">samobójstwa. Historia poważnych problemów zdrowia psychicznego A.J. była długa, a między 1984 r. a 2000 r. </w:t>
      </w:r>
      <w:r>
        <w:rPr>
          <w:rFonts w:asciiTheme="minorHAnsi" w:hAnsiTheme="minorHAnsi"/>
          <w:sz w:val="24"/>
          <w:lang w:val="pl-PL"/>
        </w:rPr>
        <w:t xml:space="preserve">dobrowolnie poddał się on hospitalizacji </w:t>
      </w:r>
      <w:r w:rsidRPr="00B15C52">
        <w:rPr>
          <w:rFonts w:asciiTheme="minorHAnsi" w:hAnsiTheme="minorHAnsi"/>
          <w:sz w:val="24"/>
          <w:lang w:val="pl-PL"/>
        </w:rPr>
        <w:t xml:space="preserve">w HSC osiem razy. </w:t>
      </w:r>
    </w:p>
    <w:p w14:paraId="52F67F01" w14:textId="77777777" w:rsidR="00950534" w:rsidRDefault="00950534" w:rsidP="00950534">
      <w:pPr>
        <w:pStyle w:val="ClinContent"/>
        <w:widowControl w:val="0"/>
        <w:spacing w:before="0"/>
        <w:rPr>
          <w:rFonts w:asciiTheme="minorHAnsi" w:hAnsiTheme="minorHAnsi"/>
          <w:sz w:val="24"/>
          <w:lang w:val="pl-PL"/>
        </w:rPr>
      </w:pPr>
    </w:p>
    <w:p w14:paraId="55732287" w14:textId="7F03C2D1"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Jedynie ostatni pobyt miał miejsce po próbie samobójstwa. Sądy krajowe ustaliły, że</w:t>
      </w:r>
      <w:r w:rsidR="00206CCE">
        <w:rPr>
          <w:rFonts w:asciiTheme="minorHAnsi" w:hAnsiTheme="minorHAnsi"/>
          <w:sz w:val="24"/>
          <w:lang w:val="pl-PL"/>
        </w:rPr>
        <w:t> </w:t>
      </w:r>
      <w:r w:rsidRPr="00B15C52">
        <w:rPr>
          <w:rFonts w:asciiTheme="minorHAnsi" w:hAnsiTheme="minorHAnsi"/>
          <w:sz w:val="24"/>
          <w:lang w:val="pl-PL"/>
        </w:rPr>
        <w:t>w</w:t>
      </w:r>
      <w:r w:rsidR="00206CCE">
        <w:rPr>
          <w:rFonts w:asciiTheme="minorHAnsi" w:hAnsiTheme="minorHAnsi"/>
          <w:sz w:val="24"/>
          <w:lang w:val="pl-PL"/>
        </w:rPr>
        <w:t> </w:t>
      </w:r>
      <w:r w:rsidRPr="00B15C52">
        <w:rPr>
          <w:rFonts w:asciiTheme="minorHAnsi" w:hAnsiTheme="minorHAnsi"/>
          <w:sz w:val="24"/>
          <w:lang w:val="pl-PL"/>
        </w:rPr>
        <w:t>trakcie swego 25-dniowego pobytu w HSC A.J. nie wykazywał żadnych oznak myśli samobójczych. W dniach bezpośrednio poprzedzających samobójstwo nie było</w:t>
      </w:r>
      <w:r>
        <w:rPr>
          <w:rFonts w:asciiTheme="minorHAnsi" w:hAnsiTheme="minorHAnsi"/>
          <w:sz w:val="24"/>
          <w:lang w:val="pl-PL"/>
        </w:rPr>
        <w:t xml:space="preserve"> żadnych</w:t>
      </w:r>
      <w:r w:rsidRPr="00B15C52">
        <w:rPr>
          <w:rFonts w:asciiTheme="minorHAnsi" w:hAnsiTheme="minorHAnsi"/>
          <w:sz w:val="24"/>
          <w:lang w:val="pl-PL"/>
        </w:rPr>
        <w:t xml:space="preserve"> niepokojących sygnałów w zachowaniu A.J.</w:t>
      </w:r>
    </w:p>
    <w:p w14:paraId="3D0074BA" w14:textId="77777777" w:rsidR="00950534" w:rsidRDefault="00950534" w:rsidP="00950534">
      <w:pPr>
        <w:pStyle w:val="ClinContent"/>
        <w:widowControl w:val="0"/>
        <w:spacing w:before="0"/>
        <w:rPr>
          <w:rFonts w:asciiTheme="minorHAnsi" w:hAnsiTheme="minorHAnsi"/>
          <w:sz w:val="24"/>
          <w:lang w:val="pl-PL"/>
        </w:rPr>
      </w:pPr>
    </w:p>
    <w:p w14:paraId="558ADBAF" w14:textId="75F937E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Chociaż</w:t>
      </w:r>
      <w:r w:rsidRPr="00B15C52">
        <w:rPr>
          <w:rFonts w:asciiTheme="minorHAnsi" w:hAnsiTheme="minorHAnsi"/>
          <w:sz w:val="24"/>
          <w:lang w:val="pl-PL"/>
        </w:rPr>
        <w:t xml:space="preserve"> A.J. </w:t>
      </w:r>
      <w:r>
        <w:rPr>
          <w:rFonts w:asciiTheme="minorHAnsi" w:hAnsiTheme="minorHAnsi"/>
          <w:sz w:val="24"/>
          <w:lang w:val="pl-PL"/>
        </w:rPr>
        <w:t xml:space="preserve">– jako osoba z poważnymi zaburzeniami psychiatrycznymi – </w:t>
      </w:r>
      <w:r w:rsidRPr="00B15C52">
        <w:rPr>
          <w:rFonts w:asciiTheme="minorHAnsi" w:hAnsiTheme="minorHAnsi"/>
          <w:sz w:val="24"/>
          <w:lang w:val="pl-PL"/>
        </w:rPr>
        <w:t xml:space="preserve">był osobą </w:t>
      </w:r>
      <w:r>
        <w:rPr>
          <w:rFonts w:asciiTheme="minorHAnsi" w:hAnsiTheme="minorHAnsi"/>
          <w:sz w:val="24"/>
          <w:lang w:val="pl-PL"/>
        </w:rPr>
        <w:t xml:space="preserve">szczególnie </w:t>
      </w:r>
      <w:r w:rsidRPr="00B15C52">
        <w:rPr>
          <w:rFonts w:asciiTheme="minorHAnsi" w:hAnsiTheme="minorHAnsi"/>
          <w:sz w:val="24"/>
          <w:lang w:val="pl-PL"/>
        </w:rPr>
        <w:t xml:space="preserve">wrażliwą, </w:t>
      </w:r>
      <w:r>
        <w:rPr>
          <w:rFonts w:asciiTheme="minorHAnsi" w:hAnsiTheme="minorHAnsi"/>
          <w:sz w:val="24"/>
          <w:lang w:val="pl-PL"/>
        </w:rPr>
        <w:t xml:space="preserve">znajdował się w </w:t>
      </w:r>
      <w:r w:rsidRPr="00B15C52">
        <w:rPr>
          <w:rFonts w:asciiTheme="minorHAnsi" w:hAnsiTheme="minorHAnsi"/>
          <w:sz w:val="24"/>
          <w:lang w:val="pl-PL"/>
        </w:rPr>
        <w:t xml:space="preserve">dobrze </w:t>
      </w:r>
      <w:r>
        <w:rPr>
          <w:rFonts w:asciiTheme="minorHAnsi" w:hAnsiTheme="minorHAnsi"/>
          <w:sz w:val="24"/>
          <w:lang w:val="pl-PL"/>
        </w:rPr>
        <w:t xml:space="preserve">sobie </w:t>
      </w:r>
      <w:r w:rsidRPr="00B15C52">
        <w:rPr>
          <w:rFonts w:asciiTheme="minorHAnsi" w:hAnsiTheme="minorHAnsi"/>
          <w:sz w:val="24"/>
          <w:lang w:val="pl-PL"/>
        </w:rPr>
        <w:t>zna</w:t>
      </w:r>
      <w:r>
        <w:rPr>
          <w:rFonts w:asciiTheme="minorHAnsi" w:hAnsiTheme="minorHAnsi"/>
          <w:sz w:val="24"/>
          <w:lang w:val="pl-PL"/>
        </w:rPr>
        <w:t>nym</w:t>
      </w:r>
      <w:r w:rsidRPr="00B15C52">
        <w:rPr>
          <w:rFonts w:asciiTheme="minorHAnsi" w:hAnsiTheme="minorHAnsi"/>
          <w:sz w:val="24"/>
          <w:lang w:val="pl-PL"/>
        </w:rPr>
        <w:t xml:space="preserve"> </w:t>
      </w:r>
      <w:r>
        <w:rPr>
          <w:rFonts w:asciiTheme="minorHAnsi" w:hAnsiTheme="minorHAnsi"/>
          <w:sz w:val="24"/>
          <w:lang w:val="pl-PL"/>
        </w:rPr>
        <w:t>środowisku i znał</w:t>
      </w:r>
      <w:r w:rsidRPr="00B15C52">
        <w:rPr>
          <w:rFonts w:asciiTheme="minorHAnsi" w:hAnsiTheme="minorHAnsi"/>
          <w:sz w:val="24"/>
          <w:lang w:val="pl-PL"/>
        </w:rPr>
        <w:t xml:space="preserve"> personel HSC. W czasie pierwszego tygodnia pobytu i w trakcie wcześniejszych pobytów, gdy był hospitalizowany, podlegał </w:t>
      </w:r>
      <w:r>
        <w:rPr>
          <w:rFonts w:asciiTheme="minorHAnsi" w:hAnsiTheme="minorHAnsi"/>
          <w:sz w:val="24"/>
          <w:lang w:val="pl-PL"/>
        </w:rPr>
        <w:t xml:space="preserve">on </w:t>
      </w:r>
      <w:r w:rsidRPr="00B15C52">
        <w:rPr>
          <w:rFonts w:asciiTheme="minorHAnsi" w:hAnsiTheme="minorHAnsi"/>
          <w:sz w:val="24"/>
          <w:lang w:val="pl-PL"/>
        </w:rPr>
        <w:t>restrykcyjnemu reżimowi</w:t>
      </w:r>
      <w:r>
        <w:rPr>
          <w:rFonts w:asciiTheme="minorHAnsi" w:hAnsiTheme="minorHAnsi"/>
          <w:sz w:val="24"/>
          <w:lang w:val="pl-PL"/>
        </w:rPr>
        <w:t xml:space="preserve"> leczenia</w:t>
      </w:r>
      <w:r w:rsidRPr="00B15C52">
        <w:rPr>
          <w:rFonts w:asciiTheme="minorHAnsi" w:hAnsiTheme="minorHAnsi"/>
          <w:sz w:val="24"/>
          <w:lang w:val="pl-PL"/>
        </w:rPr>
        <w:t>, zamknięty w pawilonie w</w:t>
      </w:r>
      <w:r w:rsidR="00206CCE">
        <w:rPr>
          <w:rFonts w:asciiTheme="minorHAnsi" w:hAnsiTheme="minorHAnsi"/>
          <w:sz w:val="24"/>
          <w:lang w:val="pl-PL"/>
        </w:rPr>
        <w:t> </w:t>
      </w:r>
      <w:r w:rsidRPr="00B15C52">
        <w:rPr>
          <w:rFonts w:asciiTheme="minorHAnsi" w:hAnsiTheme="minorHAnsi"/>
          <w:sz w:val="24"/>
          <w:lang w:val="pl-PL"/>
        </w:rPr>
        <w:t xml:space="preserve">piżamie. Gdy HSC uznał, że jego objawy się poprawiają, przyznano mu swobodę poruszania się po budynkach i terenach szpitalnych, a także </w:t>
      </w:r>
      <w:r>
        <w:rPr>
          <w:rFonts w:asciiTheme="minorHAnsi" w:hAnsiTheme="minorHAnsi"/>
          <w:sz w:val="24"/>
          <w:lang w:val="pl-PL"/>
        </w:rPr>
        <w:t xml:space="preserve">możliwość </w:t>
      </w:r>
      <w:r w:rsidRPr="00B15C52">
        <w:rPr>
          <w:rFonts w:asciiTheme="minorHAnsi" w:hAnsiTheme="minorHAnsi"/>
          <w:sz w:val="24"/>
          <w:lang w:val="pl-PL"/>
        </w:rPr>
        <w:t>powrotów do domu w celu spędzania weekendów z rodziną. Ten znaczący sto</w:t>
      </w:r>
      <w:r>
        <w:rPr>
          <w:rFonts w:asciiTheme="minorHAnsi" w:hAnsiTheme="minorHAnsi"/>
          <w:sz w:val="24"/>
          <w:lang w:val="pl-PL"/>
        </w:rPr>
        <w:t>pień swobody poruszania się przyznawany był</w:t>
      </w:r>
      <w:r w:rsidRPr="00B15C52">
        <w:rPr>
          <w:rFonts w:asciiTheme="minorHAnsi" w:hAnsiTheme="minorHAnsi"/>
          <w:sz w:val="24"/>
          <w:lang w:val="pl-PL"/>
        </w:rPr>
        <w:t xml:space="preserve"> pacjentom w celu zwiększania ich odpowiedzialności i stworzenia </w:t>
      </w:r>
      <w:r>
        <w:rPr>
          <w:rFonts w:asciiTheme="minorHAnsi" w:hAnsiTheme="minorHAnsi"/>
          <w:sz w:val="24"/>
          <w:lang w:val="pl-PL"/>
        </w:rPr>
        <w:t xml:space="preserve">optymalnych </w:t>
      </w:r>
      <w:r w:rsidRPr="00B15C52">
        <w:rPr>
          <w:rFonts w:asciiTheme="minorHAnsi" w:hAnsiTheme="minorHAnsi"/>
          <w:sz w:val="24"/>
          <w:lang w:val="pl-PL"/>
        </w:rPr>
        <w:t xml:space="preserve">warunków dla ich powrotu do rodziny i społeczeństwa. Ponadto lekarz-psychiatra </w:t>
      </w:r>
      <w:r>
        <w:rPr>
          <w:rFonts w:asciiTheme="minorHAnsi" w:hAnsiTheme="minorHAnsi"/>
          <w:sz w:val="24"/>
          <w:lang w:val="pl-PL"/>
        </w:rPr>
        <w:t xml:space="preserve">prowadzący </w:t>
      </w:r>
      <w:r w:rsidRPr="00B15C52">
        <w:rPr>
          <w:rFonts w:asciiTheme="minorHAnsi" w:hAnsiTheme="minorHAnsi"/>
          <w:sz w:val="24"/>
          <w:lang w:val="pl-PL"/>
        </w:rPr>
        <w:t xml:space="preserve">A.J. uznał, że leczenie, które polegało na </w:t>
      </w:r>
      <w:r>
        <w:rPr>
          <w:rFonts w:asciiTheme="minorHAnsi" w:hAnsiTheme="minorHAnsi"/>
          <w:sz w:val="24"/>
          <w:lang w:val="pl-PL"/>
        </w:rPr>
        <w:t>dopilnow</w:t>
      </w:r>
      <w:r w:rsidRPr="00B15C52">
        <w:rPr>
          <w:rFonts w:asciiTheme="minorHAnsi" w:hAnsiTheme="minorHAnsi"/>
          <w:sz w:val="24"/>
          <w:lang w:val="pl-PL"/>
        </w:rPr>
        <w:t>aniu, by brał on</w:t>
      </w:r>
      <w:r w:rsidR="00206CCE">
        <w:rPr>
          <w:rFonts w:asciiTheme="minorHAnsi" w:hAnsiTheme="minorHAnsi"/>
          <w:sz w:val="24"/>
          <w:lang w:val="pl-PL"/>
        </w:rPr>
        <w:t> </w:t>
      </w:r>
      <w:r w:rsidRPr="00B15C52">
        <w:rPr>
          <w:rFonts w:asciiTheme="minorHAnsi" w:hAnsiTheme="minorHAnsi"/>
          <w:sz w:val="24"/>
          <w:lang w:val="pl-PL"/>
        </w:rPr>
        <w:t xml:space="preserve">przepisane leki i </w:t>
      </w:r>
      <w:r>
        <w:rPr>
          <w:rFonts w:asciiTheme="minorHAnsi" w:hAnsiTheme="minorHAnsi"/>
          <w:sz w:val="24"/>
          <w:lang w:val="pl-PL"/>
        </w:rPr>
        <w:t xml:space="preserve">poddawał się </w:t>
      </w:r>
      <w:r w:rsidRPr="00B15C52">
        <w:rPr>
          <w:rFonts w:asciiTheme="minorHAnsi" w:hAnsiTheme="minorHAnsi"/>
          <w:sz w:val="24"/>
          <w:lang w:val="pl-PL"/>
        </w:rPr>
        <w:t>do</w:t>
      </w:r>
      <w:r>
        <w:rPr>
          <w:rFonts w:asciiTheme="minorHAnsi" w:hAnsiTheme="minorHAnsi"/>
          <w:sz w:val="24"/>
          <w:lang w:val="pl-PL"/>
        </w:rPr>
        <w:t>browolnej terapii, oraz budowaniu</w:t>
      </w:r>
      <w:r w:rsidRPr="00B15C52">
        <w:rPr>
          <w:rFonts w:asciiTheme="minorHAnsi" w:hAnsiTheme="minorHAnsi"/>
          <w:sz w:val="24"/>
          <w:lang w:val="pl-PL"/>
        </w:rPr>
        <w:t xml:space="preserve"> z nim relacji zaufania był</w:t>
      </w:r>
      <w:r>
        <w:rPr>
          <w:rFonts w:asciiTheme="minorHAnsi" w:hAnsiTheme="minorHAnsi"/>
          <w:sz w:val="24"/>
          <w:lang w:val="pl-PL"/>
        </w:rPr>
        <w:t>o</w:t>
      </w:r>
      <w:r w:rsidRPr="00B15C52">
        <w:rPr>
          <w:rFonts w:asciiTheme="minorHAnsi" w:hAnsiTheme="minorHAnsi"/>
          <w:sz w:val="24"/>
          <w:lang w:val="pl-PL"/>
        </w:rPr>
        <w:t xml:space="preserve"> odpowiednie i proporcjonalne w tych okolicznościach.</w:t>
      </w:r>
      <w:r>
        <w:rPr>
          <w:rFonts w:asciiTheme="minorHAnsi" w:hAnsiTheme="minorHAnsi"/>
          <w:sz w:val="24"/>
          <w:lang w:val="pl-PL"/>
        </w:rPr>
        <w:t xml:space="preserve"> </w:t>
      </w:r>
    </w:p>
    <w:p w14:paraId="4B1AB9CA" w14:textId="77777777" w:rsidR="00950534" w:rsidRDefault="00950534" w:rsidP="00950534">
      <w:pPr>
        <w:pStyle w:val="ClinContent"/>
        <w:widowControl w:val="0"/>
        <w:spacing w:before="0"/>
        <w:rPr>
          <w:rFonts w:asciiTheme="minorHAnsi" w:hAnsiTheme="minorHAnsi"/>
          <w:sz w:val="24"/>
          <w:lang w:val="pl-PL"/>
        </w:rPr>
      </w:pPr>
    </w:p>
    <w:p w14:paraId="5B5665D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Chociaż</w:t>
      </w:r>
      <w:r w:rsidRPr="00B15C52">
        <w:rPr>
          <w:rFonts w:asciiTheme="minorHAnsi" w:hAnsiTheme="minorHAnsi"/>
          <w:sz w:val="24"/>
          <w:lang w:val="pl-PL"/>
        </w:rPr>
        <w:t xml:space="preserve"> w odniesieniu do A.J.</w:t>
      </w:r>
      <w:r>
        <w:rPr>
          <w:rFonts w:asciiTheme="minorHAnsi" w:hAnsiTheme="minorHAnsi"/>
          <w:sz w:val="24"/>
          <w:lang w:val="pl-PL"/>
        </w:rPr>
        <w:t xml:space="preserve"> </w:t>
      </w:r>
      <w:r w:rsidRPr="00B15C52">
        <w:rPr>
          <w:rFonts w:asciiTheme="minorHAnsi" w:hAnsiTheme="minorHAnsi"/>
          <w:sz w:val="24"/>
          <w:lang w:val="pl-PL"/>
        </w:rPr>
        <w:t xml:space="preserve">nie można było wykluczyć ryzyka </w:t>
      </w:r>
      <w:r>
        <w:rPr>
          <w:rFonts w:asciiTheme="minorHAnsi" w:hAnsiTheme="minorHAnsi"/>
          <w:sz w:val="24"/>
          <w:lang w:val="pl-PL"/>
        </w:rPr>
        <w:t xml:space="preserve">popełnienia </w:t>
      </w:r>
      <w:r w:rsidRPr="00B15C52">
        <w:rPr>
          <w:rFonts w:asciiTheme="minorHAnsi" w:hAnsiTheme="minorHAnsi"/>
          <w:sz w:val="24"/>
          <w:lang w:val="pl-PL"/>
        </w:rPr>
        <w:t>samobójstwa, HSC dążył do</w:t>
      </w:r>
      <w:r>
        <w:rPr>
          <w:rFonts w:asciiTheme="minorHAnsi" w:hAnsiTheme="minorHAnsi"/>
          <w:sz w:val="24"/>
          <w:lang w:val="pl-PL"/>
        </w:rPr>
        <w:t xml:space="preserve"> </w:t>
      </w:r>
      <w:r w:rsidRPr="00B15C52">
        <w:rPr>
          <w:rFonts w:asciiTheme="minorHAnsi" w:hAnsiTheme="minorHAnsi"/>
          <w:sz w:val="24"/>
          <w:lang w:val="pl-PL"/>
        </w:rPr>
        <w:t xml:space="preserve">dostosowania się do zagrożenia stwarzanego przez jego zmieniający się stan </w:t>
      </w:r>
      <w:r w:rsidRPr="00B15C52">
        <w:rPr>
          <w:rFonts w:asciiTheme="minorHAnsi" w:hAnsiTheme="minorHAnsi"/>
          <w:sz w:val="24"/>
          <w:lang w:val="pl-PL"/>
        </w:rPr>
        <w:lastRenderedPageBreak/>
        <w:t xml:space="preserve">psychiczny poprzez zwiększanie lub zmniejszanie stosowanego reżimu monitorowania. Decyzja w tej sprawie należała do zespołu lekarskiego odpowiedzialnego za A.J. Trybunał uwzględnił fakt, że zgodnie z dowodami z opinii biegłych całkowite zapobieżenie samobójstwom pacjentów takich jak A.J. </w:t>
      </w:r>
      <w:r>
        <w:rPr>
          <w:rFonts w:asciiTheme="minorHAnsi" w:hAnsiTheme="minorHAnsi"/>
          <w:sz w:val="24"/>
          <w:lang w:val="pl-PL"/>
        </w:rPr>
        <w:t xml:space="preserve">jest </w:t>
      </w:r>
      <w:r w:rsidRPr="00B15C52">
        <w:rPr>
          <w:rFonts w:asciiTheme="minorHAnsi" w:hAnsiTheme="minorHAnsi"/>
          <w:sz w:val="24"/>
          <w:lang w:val="pl-PL"/>
        </w:rPr>
        <w:t xml:space="preserve">zadaniem niemożliwym, oraz wniosek Sądu Administracyjnego, że samobójstwo A.J. nie było możliwe do przewidzenia. </w:t>
      </w:r>
    </w:p>
    <w:p w14:paraId="1C8D61FD" w14:textId="77777777" w:rsidR="00950534" w:rsidRDefault="00950534" w:rsidP="00950534">
      <w:pPr>
        <w:pStyle w:val="ClinContent"/>
        <w:widowControl w:val="0"/>
        <w:spacing w:before="0"/>
        <w:rPr>
          <w:rFonts w:asciiTheme="minorHAnsi" w:hAnsiTheme="minorHAnsi"/>
          <w:sz w:val="24"/>
          <w:lang w:val="pl-PL"/>
        </w:rPr>
      </w:pPr>
    </w:p>
    <w:p w14:paraId="76F4F6EE" w14:textId="31EC3C7B"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Ponadto Trybunał</w:t>
      </w:r>
      <w:r>
        <w:rPr>
          <w:rFonts w:asciiTheme="minorHAnsi" w:hAnsiTheme="minorHAnsi"/>
          <w:sz w:val="24"/>
          <w:lang w:val="pl-PL"/>
        </w:rPr>
        <w:t xml:space="preserve"> wyjaśnił swe podejście do oceny, czy ryzyko samobójstwa pacjenta jest </w:t>
      </w:r>
      <w:r w:rsidRPr="00B15C52">
        <w:rPr>
          <w:rFonts w:asciiTheme="minorHAnsi" w:hAnsiTheme="minorHAnsi"/>
          <w:sz w:val="24"/>
          <w:lang w:val="pl-PL"/>
        </w:rPr>
        <w:t xml:space="preserve">zarówno realne, jak i bezpośrednie, i </w:t>
      </w:r>
      <w:r>
        <w:rPr>
          <w:rFonts w:asciiTheme="minorHAnsi" w:hAnsiTheme="minorHAnsi"/>
          <w:sz w:val="24"/>
          <w:lang w:val="pl-PL"/>
        </w:rPr>
        <w:t>wskazał</w:t>
      </w:r>
      <w:r w:rsidRPr="00B15C52">
        <w:rPr>
          <w:rFonts w:asciiTheme="minorHAnsi" w:hAnsiTheme="minorHAnsi"/>
          <w:sz w:val="24"/>
          <w:lang w:val="pl-PL"/>
        </w:rPr>
        <w:t>, że obowiązek pozytywny spoczywający na</w:t>
      </w:r>
      <w:r w:rsidR="00206CCE">
        <w:rPr>
          <w:rFonts w:asciiTheme="minorHAnsi" w:hAnsiTheme="minorHAnsi"/>
          <w:sz w:val="24"/>
          <w:lang w:val="pl-PL"/>
        </w:rPr>
        <w:t> </w:t>
      </w:r>
      <w:r w:rsidRPr="00B15C52">
        <w:rPr>
          <w:rFonts w:asciiTheme="minorHAnsi" w:hAnsiTheme="minorHAnsi"/>
          <w:sz w:val="24"/>
          <w:lang w:val="pl-PL"/>
        </w:rPr>
        <w:t>państwie należy interpretować w sposób, który nie nakłada na władze niemożliwego lub</w:t>
      </w:r>
      <w:r w:rsidR="00206CCE">
        <w:rPr>
          <w:rFonts w:asciiTheme="minorHAnsi" w:hAnsiTheme="minorHAnsi"/>
          <w:sz w:val="24"/>
          <w:lang w:val="pl-PL"/>
        </w:rPr>
        <w:t> </w:t>
      </w:r>
      <w:r w:rsidRPr="00B15C52">
        <w:rPr>
          <w:rFonts w:asciiTheme="minorHAnsi" w:hAnsiTheme="minorHAnsi"/>
          <w:sz w:val="24"/>
          <w:lang w:val="pl-PL"/>
        </w:rPr>
        <w:t xml:space="preserve">nieproporcjonalnego ciężaru. W świetle tych czynników </w:t>
      </w:r>
      <w:r>
        <w:rPr>
          <w:rFonts w:asciiTheme="minorHAnsi" w:hAnsiTheme="minorHAnsi"/>
          <w:sz w:val="24"/>
          <w:lang w:val="pl-PL"/>
        </w:rPr>
        <w:t xml:space="preserve">Trybunał stwierdził, że </w:t>
      </w:r>
      <w:r w:rsidRPr="00B15C52">
        <w:rPr>
          <w:rFonts w:asciiTheme="minorHAnsi" w:hAnsiTheme="minorHAnsi"/>
          <w:sz w:val="24"/>
          <w:lang w:val="pl-PL"/>
        </w:rPr>
        <w:t xml:space="preserve">nie ustalono, </w:t>
      </w:r>
      <w:r>
        <w:rPr>
          <w:rFonts w:asciiTheme="minorHAnsi" w:hAnsiTheme="minorHAnsi"/>
          <w:sz w:val="24"/>
          <w:lang w:val="pl-PL"/>
        </w:rPr>
        <w:t>iż</w:t>
      </w:r>
      <w:r w:rsidRPr="00B15C52">
        <w:rPr>
          <w:rFonts w:asciiTheme="minorHAnsi" w:hAnsiTheme="minorHAnsi"/>
          <w:sz w:val="24"/>
          <w:lang w:val="pl-PL"/>
        </w:rPr>
        <w:t xml:space="preserve"> władze wiedziały lub powinny były wiedzieć</w:t>
      </w:r>
      <w:r>
        <w:rPr>
          <w:rFonts w:asciiTheme="minorHAnsi" w:hAnsiTheme="minorHAnsi"/>
          <w:sz w:val="24"/>
          <w:lang w:val="pl-PL"/>
        </w:rPr>
        <w:t xml:space="preserve"> o istnieniu </w:t>
      </w:r>
      <w:r w:rsidRPr="00B15C52">
        <w:rPr>
          <w:rFonts w:asciiTheme="minorHAnsi" w:hAnsiTheme="minorHAnsi"/>
          <w:sz w:val="24"/>
          <w:lang w:val="pl-PL"/>
        </w:rPr>
        <w:t>zarówno realne</w:t>
      </w:r>
      <w:r>
        <w:rPr>
          <w:rFonts w:asciiTheme="minorHAnsi" w:hAnsiTheme="minorHAnsi"/>
          <w:sz w:val="24"/>
          <w:lang w:val="pl-PL"/>
        </w:rPr>
        <w:t>go</w:t>
      </w:r>
      <w:r w:rsidRPr="00B15C52">
        <w:rPr>
          <w:rFonts w:asciiTheme="minorHAnsi" w:hAnsiTheme="minorHAnsi"/>
          <w:sz w:val="24"/>
          <w:lang w:val="pl-PL"/>
        </w:rPr>
        <w:t>, jak</w:t>
      </w:r>
      <w:r w:rsidR="00206CCE">
        <w:rPr>
          <w:rFonts w:asciiTheme="minorHAnsi" w:hAnsiTheme="minorHAnsi"/>
          <w:sz w:val="24"/>
          <w:lang w:val="pl-PL"/>
        </w:rPr>
        <w:t> </w:t>
      </w:r>
      <w:r w:rsidRPr="00B15C52">
        <w:rPr>
          <w:rFonts w:asciiTheme="minorHAnsi" w:hAnsiTheme="minorHAnsi"/>
          <w:sz w:val="24"/>
          <w:lang w:val="pl-PL"/>
        </w:rPr>
        <w:t>i</w:t>
      </w:r>
      <w:r w:rsidR="00206CCE">
        <w:rPr>
          <w:rFonts w:asciiTheme="minorHAnsi" w:hAnsiTheme="minorHAnsi"/>
          <w:sz w:val="24"/>
          <w:lang w:val="pl-PL"/>
        </w:rPr>
        <w:t> </w:t>
      </w:r>
      <w:r w:rsidRPr="00B15C52">
        <w:rPr>
          <w:rFonts w:asciiTheme="minorHAnsi" w:hAnsiTheme="minorHAnsi"/>
          <w:sz w:val="24"/>
          <w:lang w:val="pl-PL"/>
        </w:rPr>
        <w:t>bezpośrednie</w:t>
      </w:r>
      <w:r>
        <w:rPr>
          <w:rFonts w:asciiTheme="minorHAnsi" w:hAnsiTheme="minorHAnsi"/>
          <w:sz w:val="24"/>
          <w:lang w:val="pl-PL"/>
        </w:rPr>
        <w:t>go zagrożenia</w:t>
      </w:r>
      <w:r w:rsidRPr="00B15C52">
        <w:rPr>
          <w:rFonts w:asciiTheme="minorHAnsi" w:hAnsiTheme="minorHAnsi"/>
          <w:sz w:val="24"/>
          <w:lang w:val="pl-PL"/>
        </w:rPr>
        <w:t xml:space="preserve"> życia A.J. w dniach poprzedzających 27 kwietnia 2000 r.</w:t>
      </w:r>
      <w:r>
        <w:rPr>
          <w:rFonts w:asciiTheme="minorHAnsi" w:hAnsiTheme="minorHAnsi"/>
          <w:sz w:val="24"/>
          <w:lang w:val="pl-PL"/>
        </w:rPr>
        <w:t xml:space="preserve"> </w:t>
      </w:r>
    </w:p>
    <w:p w14:paraId="2EB2085D" w14:textId="77777777" w:rsidR="00950534" w:rsidRDefault="00950534" w:rsidP="00950534">
      <w:pPr>
        <w:pStyle w:val="ClinContent"/>
        <w:widowControl w:val="0"/>
        <w:spacing w:before="0"/>
        <w:rPr>
          <w:rFonts w:asciiTheme="minorHAnsi" w:hAnsiTheme="minorHAnsi"/>
          <w:sz w:val="24"/>
          <w:lang w:val="pl-PL"/>
        </w:rPr>
      </w:pPr>
    </w:p>
    <w:p w14:paraId="7EF7B40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związku z powyższym nie było potrzeby, by Trybunał ocenił, czy władze podjęły środki, których można było od nich w uzasadniony sposó</w:t>
      </w:r>
      <w:r>
        <w:rPr>
          <w:rFonts w:asciiTheme="minorHAnsi" w:hAnsiTheme="minorHAnsi"/>
          <w:sz w:val="24"/>
          <w:lang w:val="pl-PL"/>
        </w:rPr>
        <w:t xml:space="preserve">b oczekiwać, i uznał, </w:t>
      </w:r>
      <w:r w:rsidRPr="00B15C52">
        <w:rPr>
          <w:rFonts w:asciiTheme="minorHAnsi" w:hAnsiTheme="minorHAnsi"/>
          <w:sz w:val="24"/>
          <w:lang w:val="pl-PL"/>
        </w:rPr>
        <w:t>piętnastoma głosami do dwóch</w:t>
      </w:r>
      <w:r>
        <w:rPr>
          <w:rFonts w:asciiTheme="minorHAnsi" w:hAnsiTheme="minorHAnsi"/>
          <w:sz w:val="24"/>
          <w:lang w:val="pl-PL"/>
        </w:rPr>
        <w:t>, że nie doszło do naruszenia art. 2 Konwencji</w:t>
      </w:r>
      <w:r>
        <w:rPr>
          <w:rStyle w:val="Odwoanieprzypisudolnego"/>
          <w:rFonts w:asciiTheme="minorHAnsi" w:hAnsiTheme="minorHAnsi"/>
          <w:sz w:val="24"/>
          <w:lang w:val="pl-PL"/>
        </w:rPr>
        <w:footnoteReference w:id="7"/>
      </w:r>
      <w:r>
        <w:rPr>
          <w:rFonts w:asciiTheme="minorHAnsi" w:hAnsiTheme="minorHAnsi"/>
          <w:sz w:val="24"/>
          <w:lang w:val="pl-PL"/>
        </w:rPr>
        <w:t xml:space="preserve">. </w:t>
      </w:r>
    </w:p>
    <w:p w14:paraId="7FC214A8" w14:textId="77777777" w:rsidR="00950534" w:rsidRDefault="00950534" w:rsidP="00950534">
      <w:pPr>
        <w:pStyle w:val="ClinContent"/>
        <w:widowControl w:val="0"/>
        <w:spacing w:before="0"/>
        <w:rPr>
          <w:rFonts w:asciiTheme="minorHAnsi" w:hAnsiTheme="minorHAnsi"/>
          <w:sz w:val="24"/>
          <w:lang w:val="pl-PL"/>
        </w:rPr>
      </w:pPr>
    </w:p>
    <w:p w14:paraId="539F6026" w14:textId="7643496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 </w:t>
      </w:r>
      <w:r w:rsidRPr="00B15C52">
        <w:rPr>
          <w:rFonts w:asciiTheme="minorHAnsi" w:hAnsiTheme="minorHAnsi"/>
          <w:sz w:val="24"/>
          <w:lang w:val="pl-PL"/>
        </w:rPr>
        <w:t xml:space="preserve">Trybunał </w:t>
      </w:r>
      <w:r>
        <w:rPr>
          <w:rFonts w:asciiTheme="minorHAnsi" w:hAnsiTheme="minorHAnsi"/>
          <w:sz w:val="24"/>
          <w:lang w:val="pl-PL"/>
        </w:rPr>
        <w:t>orzekł</w:t>
      </w:r>
      <w:r w:rsidRPr="00B15C52">
        <w:rPr>
          <w:rFonts w:asciiTheme="minorHAnsi" w:hAnsiTheme="minorHAnsi"/>
          <w:sz w:val="24"/>
          <w:lang w:val="pl-PL"/>
        </w:rPr>
        <w:t xml:space="preserve"> również, jednogłośnie, że </w:t>
      </w:r>
      <w:r w:rsidRPr="007C0C17">
        <w:rPr>
          <w:rFonts w:asciiTheme="minorHAnsi" w:hAnsiTheme="minorHAnsi"/>
          <w:sz w:val="24"/>
          <w:u w:val="single"/>
          <w:lang w:val="pl-PL"/>
        </w:rPr>
        <w:t>doszło do naruszenia art. 2 (prawo do życia) w</w:t>
      </w:r>
      <w:r w:rsidR="00206CCE">
        <w:rPr>
          <w:rFonts w:asciiTheme="minorHAnsi" w:hAnsiTheme="minorHAnsi"/>
          <w:sz w:val="24"/>
          <w:u w:val="single"/>
          <w:lang w:val="pl-PL"/>
        </w:rPr>
        <w:t> </w:t>
      </w:r>
      <w:r w:rsidRPr="007C0C17">
        <w:rPr>
          <w:rFonts w:asciiTheme="minorHAnsi" w:hAnsiTheme="minorHAnsi"/>
          <w:sz w:val="24"/>
          <w:u w:val="single"/>
          <w:lang w:val="pl-PL"/>
        </w:rPr>
        <w:t>jego aspekcie proceduralnym</w:t>
      </w:r>
      <w:r w:rsidRPr="00B15C52">
        <w:rPr>
          <w:rFonts w:asciiTheme="minorHAnsi" w:hAnsiTheme="minorHAnsi"/>
          <w:sz w:val="24"/>
          <w:lang w:val="pl-PL"/>
        </w:rPr>
        <w:t xml:space="preserve">, ponieważ postępowanie </w:t>
      </w:r>
      <w:r>
        <w:rPr>
          <w:rFonts w:asciiTheme="minorHAnsi" w:hAnsiTheme="minorHAnsi"/>
          <w:sz w:val="24"/>
          <w:lang w:val="pl-PL"/>
        </w:rPr>
        <w:t xml:space="preserve">krajowe w sprawie okoliczności śmierci A.J. </w:t>
      </w:r>
      <w:r w:rsidRPr="00B15C52">
        <w:rPr>
          <w:rFonts w:asciiTheme="minorHAnsi" w:hAnsiTheme="minorHAnsi"/>
          <w:sz w:val="24"/>
          <w:lang w:val="pl-PL"/>
        </w:rPr>
        <w:t xml:space="preserve">trwało ponad 11 lat w dwóch instancjach. </w:t>
      </w:r>
    </w:p>
    <w:p w14:paraId="24387A08" w14:textId="77777777" w:rsidR="00950534" w:rsidRDefault="00950534" w:rsidP="00950534">
      <w:pPr>
        <w:pStyle w:val="ClinContent"/>
        <w:widowControl w:val="0"/>
        <w:spacing w:before="0"/>
        <w:rPr>
          <w:rFonts w:asciiTheme="minorHAnsi" w:hAnsiTheme="minorHAnsi"/>
          <w:sz w:val="24"/>
          <w:lang w:val="pl-PL"/>
        </w:rPr>
      </w:pPr>
    </w:p>
    <w:p w14:paraId="25AE51C9"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zasądził na tej podstawie na rzecz skarżącego kwotę </w:t>
      </w:r>
      <w:r w:rsidRPr="00B15C52">
        <w:rPr>
          <w:rFonts w:asciiTheme="minorHAnsi" w:hAnsiTheme="minorHAnsi"/>
          <w:sz w:val="24"/>
          <w:lang w:val="pl-PL"/>
        </w:rPr>
        <w:t xml:space="preserve">10 000 euro </w:t>
      </w:r>
      <w:r>
        <w:rPr>
          <w:rFonts w:asciiTheme="minorHAnsi" w:hAnsiTheme="minorHAnsi"/>
          <w:sz w:val="24"/>
          <w:lang w:val="pl-PL"/>
        </w:rPr>
        <w:t>tytułem szkody niemajątkowej, oddalając jednocześnie</w:t>
      </w:r>
      <w:r w:rsidRPr="00B15C52">
        <w:rPr>
          <w:rFonts w:asciiTheme="minorHAnsi" w:hAnsiTheme="minorHAnsi"/>
          <w:sz w:val="24"/>
          <w:lang w:val="pl-PL"/>
        </w:rPr>
        <w:t xml:space="preserve"> </w:t>
      </w:r>
      <w:r>
        <w:rPr>
          <w:rFonts w:asciiTheme="minorHAnsi" w:hAnsiTheme="minorHAnsi"/>
          <w:sz w:val="24"/>
          <w:lang w:val="pl-PL"/>
        </w:rPr>
        <w:t xml:space="preserve">jego </w:t>
      </w:r>
      <w:r w:rsidRPr="00B15C52">
        <w:rPr>
          <w:rFonts w:asciiTheme="minorHAnsi" w:hAnsiTheme="minorHAnsi"/>
          <w:sz w:val="24"/>
          <w:lang w:val="pl-PL"/>
        </w:rPr>
        <w:t xml:space="preserve">roszczenie tytułem szkody majątkowej. </w:t>
      </w:r>
    </w:p>
    <w:p w14:paraId="2B844D6F" w14:textId="77777777" w:rsidR="00950534" w:rsidRDefault="00950534" w:rsidP="00950534">
      <w:pPr>
        <w:pStyle w:val="ClinContent"/>
        <w:widowControl w:val="0"/>
        <w:spacing w:before="0"/>
        <w:rPr>
          <w:rFonts w:asciiTheme="minorHAnsi" w:hAnsiTheme="minorHAnsi" w:cs="Verdana"/>
          <w:bCs/>
          <w:sz w:val="24"/>
          <w:u w:val="single"/>
          <w:lang w:val="pl-PL"/>
        </w:rPr>
      </w:pPr>
    </w:p>
    <w:p w14:paraId="0D9B64C2" w14:textId="3002F039"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t>
      </w:r>
      <w:r>
        <w:rPr>
          <w:rFonts w:asciiTheme="minorHAnsi" w:hAnsiTheme="minorHAnsi" w:cs="Verdana"/>
          <w:bCs/>
          <w:sz w:val="24"/>
          <w:lang w:val="pl-PL"/>
        </w:rPr>
        <w:t>Wyrok dotyczy zakresu obowiązku monitorowania hospitalizowanych pacjentów z zaburzeniami psychiatrycznymi w razie zagrożenia samobójstwem i zakresu odpowiedzialności państwa za utratę życia pacjenta publicznej służby zdrowia na skutek samobójstwa. Zgodnie z zasadami określonymi w swym wcześniejszym orzecznictwie Trybunał zbadał sprawę z punktu widzenia wywiązania się przez państwo z obowiązku wdrożenia ram regulacyjnych mających na celu zapewnienie odpowiednich standardów opieki medycznej i chronienia prawa do życia pacjentów oraz z</w:t>
      </w:r>
      <w:r w:rsidR="00206CCE">
        <w:rPr>
          <w:rFonts w:asciiTheme="minorHAnsi" w:hAnsiTheme="minorHAnsi" w:cs="Verdana"/>
          <w:bCs/>
          <w:sz w:val="24"/>
          <w:lang w:val="pl-PL"/>
        </w:rPr>
        <w:t> </w:t>
      </w:r>
      <w:r>
        <w:rPr>
          <w:rFonts w:asciiTheme="minorHAnsi" w:hAnsiTheme="minorHAnsi" w:cs="Verdana"/>
          <w:bCs/>
          <w:sz w:val="24"/>
          <w:lang w:val="pl-PL"/>
        </w:rPr>
        <w:t>punktu widzenia obowiązku podjęcia przez personel szpitalny uzasadnionych działań mających na celu zapobieżenie śmierci pacjenta. Trybunał wyliczył czynniki świadczące o</w:t>
      </w:r>
      <w:r w:rsidR="00206CCE">
        <w:rPr>
          <w:rFonts w:asciiTheme="minorHAnsi" w:hAnsiTheme="minorHAnsi" w:cs="Verdana"/>
          <w:bCs/>
          <w:sz w:val="24"/>
          <w:lang w:val="pl-PL"/>
        </w:rPr>
        <w:t> </w:t>
      </w:r>
      <w:r>
        <w:rPr>
          <w:rFonts w:asciiTheme="minorHAnsi" w:hAnsiTheme="minorHAnsi" w:cs="Verdana"/>
          <w:bCs/>
          <w:sz w:val="24"/>
          <w:lang w:val="pl-PL"/>
        </w:rPr>
        <w:t>ryzyku samobójstwa, które mogą wymagać podejmowania takich działań zapobiegawczych, potwierdził też, że działania takie mogą mieć zastosowanie również do</w:t>
      </w:r>
      <w:r w:rsidR="00206CCE">
        <w:rPr>
          <w:rFonts w:asciiTheme="minorHAnsi" w:hAnsiTheme="minorHAnsi" w:cs="Verdana"/>
          <w:bCs/>
          <w:sz w:val="24"/>
          <w:lang w:val="pl-PL"/>
        </w:rPr>
        <w:t> </w:t>
      </w:r>
      <w:r>
        <w:rPr>
          <w:rFonts w:asciiTheme="minorHAnsi" w:hAnsiTheme="minorHAnsi" w:cs="Verdana"/>
          <w:bCs/>
          <w:sz w:val="24"/>
          <w:lang w:val="pl-PL"/>
        </w:rPr>
        <w:t xml:space="preserve">pacjentów zgłaszających się dobrowolnie. Określając zakres obowiązków władz, Trybunał uwzględnił także standardy wynikające z Konwencji NZ o prawach osób niepełnosprawnych, nakazujące poszanowanie autonomii pacjenta i stosowanie możliwie najmniej ingerujących środków, zwłaszcza w przypadku, gdy dobrowolnie zgłosił się na terapię. </w:t>
      </w:r>
    </w:p>
    <w:p w14:paraId="1D751A41" w14:textId="77777777" w:rsidR="00950534" w:rsidRDefault="00950534" w:rsidP="00950534">
      <w:pPr>
        <w:pStyle w:val="ClinContent"/>
        <w:widowControl w:val="0"/>
        <w:spacing w:before="0"/>
        <w:rPr>
          <w:rFonts w:asciiTheme="minorHAnsi" w:hAnsiTheme="minorHAnsi" w:cs="Verdana"/>
          <w:bCs/>
          <w:sz w:val="24"/>
          <w:lang w:val="pl-PL"/>
        </w:rPr>
      </w:pPr>
    </w:p>
    <w:p w14:paraId="307CF6CC" w14:textId="77777777" w:rsidR="00950534" w:rsidRDefault="00950534" w:rsidP="00950534">
      <w:pPr>
        <w:pStyle w:val="ClinContent"/>
        <w:widowControl w:val="0"/>
        <w:spacing w:before="0"/>
        <w:rPr>
          <w:rFonts w:asciiTheme="minorHAnsi" w:hAnsiTheme="minorHAnsi"/>
          <w:sz w:val="22"/>
          <w:lang w:val="pl-PL"/>
        </w:rPr>
      </w:pPr>
      <w:r>
        <w:rPr>
          <w:rFonts w:asciiTheme="minorHAnsi" w:hAnsiTheme="minorHAnsi" w:cs="Verdana"/>
          <w:bCs/>
          <w:sz w:val="24"/>
          <w:lang w:val="pl-PL"/>
        </w:rPr>
        <w:lastRenderedPageBreak/>
        <w:t xml:space="preserve">Wyrok może mieć w szczególności znaczenie dla lekarzy i personelu szpitali psychiatrycznych, Rzecznika Praw Pacjenta, organów odpowiedzialności zawodowej służby zdrowia, sądów karnych i cywilnych, prokuratury, Ministerstwa Zdrowia, a posiłkowo także dla Sądu Najwyższego i Ministerstwa Sprawiedliwości. </w:t>
      </w:r>
    </w:p>
    <w:p w14:paraId="4514B904" w14:textId="77777777" w:rsidR="00950534" w:rsidRDefault="00950534" w:rsidP="00950534">
      <w:pPr>
        <w:pStyle w:val="ClinContent"/>
        <w:widowControl w:val="0"/>
        <w:spacing w:before="0"/>
        <w:rPr>
          <w:rFonts w:asciiTheme="minorHAnsi" w:hAnsiTheme="minorHAnsi"/>
          <w:sz w:val="22"/>
          <w:lang w:val="pl-PL"/>
        </w:rPr>
      </w:pPr>
    </w:p>
    <w:p w14:paraId="470A9E2D" w14:textId="77777777" w:rsidR="00950534" w:rsidRDefault="00950534" w:rsidP="00950534">
      <w:pPr>
        <w:pStyle w:val="ClinContent"/>
        <w:widowControl w:val="0"/>
        <w:spacing w:before="0"/>
        <w:rPr>
          <w:rFonts w:asciiTheme="minorHAnsi" w:hAnsiTheme="minorHAnsi"/>
          <w:sz w:val="22"/>
          <w:lang w:val="pl-PL"/>
        </w:rPr>
      </w:pPr>
    </w:p>
    <w:p w14:paraId="7D630860" w14:textId="0B93F82A"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5" w:name="_Toc35632468"/>
      <w:r w:rsidRPr="000C5018">
        <w:rPr>
          <w:rFonts w:asciiTheme="minorHAnsi" w:hAnsiTheme="minorHAnsi"/>
          <w:i/>
          <w:color w:val="auto"/>
          <w:sz w:val="24"/>
          <w:szCs w:val="24"/>
        </w:rPr>
        <w:t>Gruzja</w:t>
      </w:r>
      <w:r w:rsidRPr="00A450C9">
        <w:rPr>
          <w:rFonts w:asciiTheme="minorHAnsi" w:hAnsiTheme="minorHAnsi"/>
          <w:i/>
          <w:color w:val="auto"/>
          <w:sz w:val="24"/>
          <w:szCs w:val="24"/>
        </w:rPr>
        <w:t xml:space="preserve"> p. Rosji (I) (słuszne zadośćuczynienie</w:t>
      </w:r>
      <w:r w:rsidRPr="001F792C">
        <w:rPr>
          <w:rFonts w:asciiTheme="minorHAnsi" w:hAnsiTheme="minorHAnsi"/>
          <w:color w:val="auto"/>
          <w:sz w:val="24"/>
          <w:szCs w:val="24"/>
        </w:rPr>
        <w:t>), skarga nr 13255/07, wyrok Wielkiej Izby z</w:t>
      </w:r>
      <w:r w:rsidR="00206CCE">
        <w:rPr>
          <w:rFonts w:asciiTheme="minorHAnsi" w:hAnsiTheme="minorHAnsi"/>
          <w:color w:val="auto"/>
          <w:sz w:val="24"/>
          <w:szCs w:val="24"/>
        </w:rPr>
        <w:t> </w:t>
      </w:r>
      <w:r w:rsidRPr="001F792C">
        <w:rPr>
          <w:rFonts w:asciiTheme="minorHAnsi" w:hAnsiTheme="minorHAnsi"/>
          <w:color w:val="auto"/>
          <w:sz w:val="24"/>
          <w:szCs w:val="24"/>
        </w:rPr>
        <w:t>dnia 31 stycznia 2019 r.</w:t>
      </w:r>
      <w:bookmarkEnd w:id="5"/>
      <w:r w:rsidRPr="001F792C">
        <w:rPr>
          <w:rFonts w:asciiTheme="minorHAnsi" w:hAnsiTheme="minorHAnsi"/>
          <w:color w:val="auto"/>
          <w:sz w:val="24"/>
          <w:szCs w:val="24"/>
        </w:rPr>
        <w:t xml:space="preserve"> </w:t>
      </w:r>
    </w:p>
    <w:p w14:paraId="5B453785" w14:textId="77777777"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u</w:t>
      </w:r>
      <w:r w:rsidRPr="00097BCF">
        <w:rPr>
          <w:b/>
          <w:iCs/>
          <w:color w:val="000000" w:themeColor="text1"/>
          <w:sz w:val="24"/>
          <w:szCs w:val="24"/>
          <w:lang w:val="pl-PL"/>
        </w:rPr>
        <w:t xml:space="preserve">stalenie liczby i identyfikacja ofiar kwalifikujących się do odszkodowania z tytułu szkody niemajątkowej w sprawie międzypaństwowej </w:t>
      </w:r>
      <w:r>
        <w:rPr>
          <w:b/>
          <w:iCs/>
          <w:color w:val="000000" w:themeColor="text1"/>
          <w:sz w:val="24"/>
          <w:szCs w:val="24"/>
          <w:lang w:val="pl-PL"/>
        </w:rPr>
        <w:t xml:space="preserve">wniesionej na podstawie art. 33 Konwencji (skarga międzypaństwowa) </w:t>
      </w:r>
    </w:p>
    <w:p w14:paraId="096FD1D8" w14:textId="76DAF955"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09007E">
        <w:rPr>
          <w:b/>
          <w:iCs/>
          <w:color w:val="000000" w:themeColor="text1"/>
          <w:sz w:val="24"/>
          <w:szCs w:val="24"/>
          <w:lang w:val="pl-PL"/>
        </w:rPr>
        <w:t>zasądzenie 10 000 000 euro od pozwanego państwa na rzecz rządu Gruzji na</w:t>
      </w:r>
      <w:r w:rsidR="00206CCE">
        <w:rPr>
          <w:b/>
          <w:iCs/>
          <w:color w:val="000000" w:themeColor="text1"/>
          <w:sz w:val="24"/>
          <w:szCs w:val="24"/>
          <w:lang w:val="pl-PL"/>
        </w:rPr>
        <w:t> </w:t>
      </w:r>
      <w:r w:rsidRPr="0009007E">
        <w:rPr>
          <w:b/>
          <w:iCs/>
          <w:color w:val="000000" w:themeColor="text1"/>
          <w:sz w:val="24"/>
          <w:szCs w:val="24"/>
          <w:lang w:val="pl-PL"/>
        </w:rPr>
        <w:t>podstawie art. 41 Konwencji (słuszne zadośćuczynienie) tytułem szkody niemajątkowej doznanej przez grupę co najmniej 1500 obywateli gruzińskich</w:t>
      </w:r>
      <w:r>
        <w:rPr>
          <w:b/>
          <w:iCs/>
          <w:color w:val="000000" w:themeColor="text1"/>
          <w:sz w:val="24"/>
          <w:szCs w:val="24"/>
          <w:lang w:val="pl-PL"/>
        </w:rPr>
        <w:t xml:space="preserve"> na skutek naruszenia art. 4 Protokołu nr 4 do Konwencji (zakaz zbiorowego wydalania cudzoziemców) i ewentualnie również art. 5 ust. 1 (prawo do wolności i</w:t>
      </w:r>
      <w:r w:rsidR="00206CCE">
        <w:rPr>
          <w:b/>
          <w:iCs/>
          <w:color w:val="000000" w:themeColor="text1"/>
          <w:sz w:val="24"/>
          <w:szCs w:val="24"/>
          <w:lang w:val="pl-PL"/>
        </w:rPr>
        <w:t> </w:t>
      </w:r>
      <w:r>
        <w:rPr>
          <w:b/>
          <w:iCs/>
          <w:color w:val="000000" w:themeColor="text1"/>
          <w:sz w:val="24"/>
          <w:szCs w:val="24"/>
          <w:lang w:val="pl-PL"/>
        </w:rPr>
        <w:t>bezpieczeństwa osobistego) oraz art. 3 Konwencji (zakaz tortur – aspekt warunków pozbawienia wolności)</w:t>
      </w:r>
      <w:r w:rsidRPr="0009007E">
        <w:rPr>
          <w:b/>
          <w:iCs/>
          <w:color w:val="000000" w:themeColor="text1"/>
          <w:sz w:val="24"/>
          <w:szCs w:val="24"/>
          <w:lang w:val="pl-PL"/>
        </w:rPr>
        <w:t xml:space="preserve">, która </w:t>
      </w:r>
      <w:r>
        <w:rPr>
          <w:b/>
          <w:iCs/>
          <w:color w:val="000000" w:themeColor="text1"/>
          <w:sz w:val="24"/>
          <w:szCs w:val="24"/>
          <w:lang w:val="pl-PL"/>
        </w:rPr>
        <w:t xml:space="preserve">to kwota </w:t>
      </w:r>
      <w:r w:rsidRPr="0009007E">
        <w:rPr>
          <w:b/>
          <w:iCs/>
          <w:color w:val="000000" w:themeColor="text1"/>
          <w:sz w:val="24"/>
          <w:szCs w:val="24"/>
          <w:lang w:val="pl-PL"/>
        </w:rPr>
        <w:t xml:space="preserve">powinna być rozdzielona </w:t>
      </w:r>
      <w:r>
        <w:rPr>
          <w:b/>
          <w:iCs/>
          <w:color w:val="000000" w:themeColor="text1"/>
          <w:sz w:val="24"/>
          <w:szCs w:val="24"/>
          <w:lang w:val="pl-PL"/>
        </w:rPr>
        <w:t xml:space="preserve">przez rząd Gruzji </w:t>
      </w:r>
      <w:r w:rsidRPr="0009007E">
        <w:rPr>
          <w:b/>
          <w:iCs/>
          <w:color w:val="000000" w:themeColor="text1"/>
          <w:sz w:val="24"/>
          <w:szCs w:val="24"/>
          <w:lang w:val="pl-PL"/>
        </w:rPr>
        <w:t>pod</w:t>
      </w:r>
      <w:r w:rsidR="00206CCE">
        <w:rPr>
          <w:b/>
          <w:iCs/>
          <w:color w:val="000000" w:themeColor="text1"/>
          <w:sz w:val="24"/>
          <w:szCs w:val="24"/>
          <w:lang w:val="pl-PL"/>
        </w:rPr>
        <w:t> </w:t>
      </w:r>
      <w:r w:rsidRPr="0009007E">
        <w:rPr>
          <w:b/>
          <w:iCs/>
          <w:color w:val="000000" w:themeColor="text1"/>
          <w:sz w:val="24"/>
          <w:szCs w:val="24"/>
          <w:lang w:val="pl-PL"/>
        </w:rPr>
        <w:t xml:space="preserve">nadzorem Komitetu Ministrów Rady Europy pomiędzy indywidualne ofiary </w:t>
      </w:r>
      <w:r>
        <w:rPr>
          <w:b/>
          <w:iCs/>
          <w:color w:val="000000" w:themeColor="text1"/>
          <w:sz w:val="24"/>
          <w:szCs w:val="24"/>
          <w:lang w:val="pl-PL"/>
        </w:rPr>
        <w:t xml:space="preserve">stwierdzonych </w:t>
      </w:r>
      <w:r w:rsidRPr="0009007E">
        <w:rPr>
          <w:b/>
          <w:iCs/>
          <w:color w:val="000000" w:themeColor="text1"/>
          <w:sz w:val="24"/>
          <w:szCs w:val="24"/>
          <w:lang w:val="pl-PL"/>
        </w:rPr>
        <w:t xml:space="preserve">naruszeń według stawek i kryteriów wskazanych przez Trybunał </w:t>
      </w:r>
    </w:p>
    <w:p w14:paraId="21D20DDB" w14:textId="77777777" w:rsidR="00950534" w:rsidRPr="00A80201" w:rsidRDefault="00950534" w:rsidP="00950534">
      <w:pPr>
        <w:pStyle w:val="ClinContent"/>
        <w:widowControl w:val="0"/>
        <w:spacing w:before="0"/>
        <w:rPr>
          <w:rFonts w:asciiTheme="minorHAnsi" w:hAnsiTheme="minorHAnsi"/>
          <w:sz w:val="24"/>
          <w:lang w:val="pl-PL"/>
        </w:rPr>
      </w:pPr>
    </w:p>
    <w:p w14:paraId="126A61DA" w14:textId="7CD9A9D9"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w:t>
      </w:r>
      <w:r w:rsidRPr="00B15C52">
        <w:rPr>
          <w:rFonts w:asciiTheme="minorHAnsi" w:hAnsiTheme="minorHAnsi"/>
          <w:sz w:val="24"/>
          <w:lang w:val="pl-PL"/>
        </w:rPr>
        <w:t xml:space="preserve"> wyroku z </w:t>
      </w:r>
      <w:r>
        <w:rPr>
          <w:rFonts w:asciiTheme="minorHAnsi" w:hAnsiTheme="minorHAnsi"/>
          <w:sz w:val="24"/>
          <w:lang w:val="pl-PL"/>
        </w:rPr>
        <w:t xml:space="preserve">dnia </w:t>
      </w:r>
      <w:r w:rsidRPr="00B15C52">
        <w:rPr>
          <w:rFonts w:asciiTheme="minorHAnsi" w:hAnsiTheme="minorHAnsi"/>
          <w:sz w:val="24"/>
          <w:lang w:val="pl-PL"/>
        </w:rPr>
        <w:t>3 lipca 2014 r.</w:t>
      </w:r>
      <w:r>
        <w:rPr>
          <w:rFonts w:asciiTheme="minorHAnsi" w:hAnsiTheme="minorHAnsi"/>
          <w:sz w:val="24"/>
          <w:lang w:val="pl-PL"/>
        </w:rPr>
        <w:t xml:space="preserve"> dotyczącym przedmiotu skargi</w:t>
      </w:r>
      <w:r w:rsidRPr="00B15C52">
        <w:rPr>
          <w:rFonts w:asciiTheme="minorHAnsi" w:hAnsiTheme="minorHAnsi"/>
          <w:sz w:val="24"/>
          <w:lang w:val="pl-PL"/>
        </w:rPr>
        <w:t xml:space="preserve"> (zob. </w:t>
      </w:r>
      <w:hyperlink r:id="rId9" w:history="1">
        <w:r w:rsidRPr="00B15C52">
          <w:rPr>
            <w:rStyle w:val="Hipercze"/>
            <w:rFonts w:asciiTheme="minorHAnsi" w:hAnsiTheme="minorHAnsi"/>
            <w:sz w:val="24"/>
            <w:lang w:val="pl-PL"/>
          </w:rPr>
          <w:t>Nota informacyjna nr</w:t>
        </w:r>
        <w:r w:rsidR="00206CCE">
          <w:rPr>
            <w:rStyle w:val="Hipercze"/>
            <w:rFonts w:asciiTheme="minorHAnsi" w:hAnsiTheme="minorHAnsi"/>
            <w:sz w:val="24"/>
            <w:lang w:val="pl-PL"/>
          </w:rPr>
          <w:t> </w:t>
        </w:r>
        <w:r w:rsidRPr="00B15C52">
          <w:rPr>
            <w:rStyle w:val="Hipercze"/>
            <w:rFonts w:asciiTheme="minorHAnsi" w:hAnsiTheme="minorHAnsi"/>
            <w:sz w:val="24"/>
            <w:lang w:val="pl-PL"/>
          </w:rPr>
          <w:t>176</w:t>
        </w:r>
      </w:hyperlink>
      <w:r w:rsidRPr="00B15C52">
        <w:rPr>
          <w:rFonts w:asciiTheme="minorHAnsi" w:hAnsiTheme="minorHAnsi"/>
          <w:sz w:val="24"/>
          <w:lang w:val="pl-PL"/>
        </w:rPr>
        <w:t xml:space="preserve">) Trybunał orzekł, że </w:t>
      </w:r>
      <w:r>
        <w:rPr>
          <w:rFonts w:asciiTheme="minorHAnsi" w:hAnsiTheme="minorHAnsi"/>
          <w:sz w:val="24"/>
          <w:lang w:val="pl-PL"/>
        </w:rPr>
        <w:t>jesienią</w:t>
      </w:r>
      <w:r w:rsidRPr="00B15C52">
        <w:rPr>
          <w:rFonts w:asciiTheme="minorHAnsi" w:hAnsiTheme="minorHAnsi"/>
          <w:sz w:val="24"/>
          <w:lang w:val="pl-PL"/>
        </w:rPr>
        <w:t xml:space="preserve"> 2006 r. na terytorium Federacji Rosyjskiej wdrożona została „skoordynowana polityka zatrzymywania, aresztowania oraz wydalania obywateli gruzińskich” mająca charakter „praktyki administracyjnej” stanowiącej zbiorowe wydalanie cudzoziemców sprzeczne z art. 4 Protokołu nr 4. Trybunał stwierdził również, że praktyka ta</w:t>
      </w:r>
      <w:r w:rsidR="00206CCE">
        <w:rPr>
          <w:rFonts w:asciiTheme="minorHAnsi" w:hAnsiTheme="minorHAnsi"/>
          <w:sz w:val="24"/>
          <w:lang w:val="pl-PL"/>
        </w:rPr>
        <w:t> </w:t>
      </w:r>
      <w:r w:rsidRPr="00B15C52">
        <w:rPr>
          <w:rFonts w:asciiTheme="minorHAnsi" w:hAnsiTheme="minorHAnsi"/>
          <w:sz w:val="24"/>
          <w:lang w:val="pl-PL"/>
        </w:rPr>
        <w:t>naruszała art. 5 ust. 1 i 4, art. 3 oraz art. 13 Konwencji, w szczególności z uwagi na</w:t>
      </w:r>
      <w:r w:rsidR="00277D0F">
        <w:rPr>
          <w:rFonts w:asciiTheme="minorHAnsi" w:hAnsiTheme="minorHAnsi"/>
          <w:sz w:val="24"/>
          <w:lang w:val="pl-PL"/>
        </w:rPr>
        <w:t> </w:t>
      </w:r>
      <w:r w:rsidRPr="00B15C52">
        <w:rPr>
          <w:rFonts w:asciiTheme="minorHAnsi" w:hAnsiTheme="minorHAnsi"/>
          <w:sz w:val="24"/>
          <w:lang w:val="pl-PL"/>
        </w:rPr>
        <w:t>arbitralny charakter pozbawienia wolności osób zatrzymanych</w:t>
      </w:r>
      <w:r>
        <w:rPr>
          <w:rFonts w:asciiTheme="minorHAnsi" w:hAnsiTheme="minorHAnsi"/>
          <w:sz w:val="24"/>
          <w:lang w:val="pl-PL"/>
        </w:rPr>
        <w:t xml:space="preserve"> oraz z uwagi na warunki tego pozbawienia wolności</w:t>
      </w:r>
      <w:r w:rsidRPr="00B15C52">
        <w:rPr>
          <w:rFonts w:asciiTheme="minorHAnsi" w:hAnsiTheme="minorHAnsi"/>
          <w:sz w:val="24"/>
          <w:lang w:val="pl-PL"/>
        </w:rPr>
        <w:t xml:space="preserve">. </w:t>
      </w:r>
    </w:p>
    <w:p w14:paraId="1638B320" w14:textId="77777777" w:rsidR="00950534" w:rsidRDefault="00950534" w:rsidP="00950534">
      <w:pPr>
        <w:pStyle w:val="ClinContent"/>
        <w:widowControl w:val="0"/>
        <w:spacing w:before="0"/>
        <w:rPr>
          <w:rFonts w:asciiTheme="minorHAnsi" w:hAnsiTheme="minorHAnsi"/>
          <w:sz w:val="24"/>
          <w:lang w:val="pl-PL"/>
        </w:rPr>
      </w:pPr>
    </w:p>
    <w:p w14:paraId="183C9EAE"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omawianym wyroku Trybunał rozstrzygnął na podstawie art. 41 Konwencji kwestię słusznego zadośćuczynienia za stwierdzone naruszenia Konwencji, którego dochodził rząd Gruzji. </w:t>
      </w:r>
    </w:p>
    <w:p w14:paraId="68A03AB2" w14:textId="77777777" w:rsidR="00950534" w:rsidRDefault="00950534" w:rsidP="00950534">
      <w:pPr>
        <w:pStyle w:val="ClinContent"/>
        <w:widowControl w:val="0"/>
        <w:spacing w:before="0"/>
        <w:rPr>
          <w:rFonts w:asciiTheme="minorHAnsi" w:hAnsiTheme="minorHAnsi"/>
          <w:sz w:val="24"/>
          <w:lang w:val="pl-PL"/>
        </w:rPr>
      </w:pPr>
    </w:p>
    <w:p w14:paraId="65F8B56C" w14:textId="77777777" w:rsidR="00950534" w:rsidRPr="000C5018" w:rsidRDefault="00950534" w:rsidP="00950534">
      <w:pPr>
        <w:pStyle w:val="ClinContent"/>
        <w:widowControl w:val="0"/>
        <w:spacing w:before="0"/>
        <w:rPr>
          <w:rFonts w:asciiTheme="minorHAnsi" w:hAnsiTheme="minorHAnsi"/>
          <w:sz w:val="24"/>
          <w:u w:val="single"/>
          <w:lang w:val="pl-PL"/>
        </w:rPr>
      </w:pPr>
      <w:r>
        <w:rPr>
          <w:rFonts w:asciiTheme="minorHAnsi" w:hAnsiTheme="minorHAnsi"/>
          <w:sz w:val="24"/>
          <w:lang w:val="pl-PL"/>
        </w:rPr>
        <w:t xml:space="preserve">W pierwszej kolejności Trybunał zbadał, </w:t>
      </w:r>
      <w:r w:rsidRPr="000C5018">
        <w:rPr>
          <w:rFonts w:asciiTheme="minorHAnsi" w:hAnsiTheme="minorHAnsi"/>
          <w:sz w:val="24"/>
          <w:u w:val="single"/>
          <w:lang w:val="pl-PL"/>
        </w:rPr>
        <w:t xml:space="preserve">czy art. 41 ma zastosowanie do </w:t>
      </w:r>
      <w:r>
        <w:rPr>
          <w:rFonts w:asciiTheme="minorHAnsi" w:hAnsiTheme="minorHAnsi"/>
          <w:sz w:val="24"/>
          <w:u w:val="single"/>
          <w:lang w:val="pl-PL"/>
        </w:rPr>
        <w:t xml:space="preserve">roszczenia </w:t>
      </w:r>
      <w:r w:rsidRPr="000C5018">
        <w:rPr>
          <w:rFonts w:asciiTheme="minorHAnsi" w:hAnsiTheme="minorHAnsi"/>
          <w:sz w:val="24"/>
          <w:u w:val="single"/>
          <w:lang w:val="pl-PL"/>
        </w:rPr>
        <w:t xml:space="preserve">wysuniętego </w:t>
      </w:r>
      <w:r>
        <w:rPr>
          <w:rFonts w:asciiTheme="minorHAnsi" w:hAnsiTheme="minorHAnsi"/>
          <w:sz w:val="24"/>
          <w:u w:val="single"/>
          <w:lang w:val="pl-PL"/>
        </w:rPr>
        <w:t>przez rząd Gruzji</w:t>
      </w:r>
      <w:r w:rsidRPr="000C5018">
        <w:rPr>
          <w:rFonts w:asciiTheme="minorHAnsi" w:hAnsiTheme="minorHAnsi"/>
          <w:sz w:val="24"/>
          <w:u w:val="single"/>
          <w:lang w:val="pl-PL"/>
        </w:rPr>
        <w:t xml:space="preserve">. </w:t>
      </w:r>
    </w:p>
    <w:p w14:paraId="1154EC9E" w14:textId="77777777" w:rsidR="00950534" w:rsidRDefault="00950534" w:rsidP="00950534">
      <w:pPr>
        <w:pStyle w:val="ClinContent"/>
        <w:widowControl w:val="0"/>
        <w:spacing w:before="0"/>
        <w:rPr>
          <w:rFonts w:asciiTheme="minorHAnsi" w:hAnsiTheme="minorHAnsi"/>
          <w:sz w:val="24"/>
          <w:lang w:val="pl-PL"/>
        </w:rPr>
      </w:pPr>
    </w:p>
    <w:p w14:paraId="020630F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przypomniał w tym względzie, że w</w:t>
      </w:r>
      <w:r w:rsidRPr="00B15C52">
        <w:rPr>
          <w:rFonts w:asciiTheme="minorHAnsi" w:hAnsiTheme="minorHAnsi"/>
          <w:sz w:val="24"/>
          <w:lang w:val="pl-PL"/>
        </w:rPr>
        <w:t xml:space="preserve"> </w:t>
      </w:r>
      <w:r>
        <w:rPr>
          <w:rFonts w:asciiTheme="minorHAnsi" w:hAnsiTheme="minorHAnsi"/>
          <w:sz w:val="24"/>
          <w:lang w:val="pl-PL"/>
        </w:rPr>
        <w:t xml:space="preserve">swym </w:t>
      </w:r>
      <w:r w:rsidRPr="00B15C52">
        <w:rPr>
          <w:rFonts w:asciiTheme="minorHAnsi" w:hAnsiTheme="minorHAnsi"/>
          <w:sz w:val="24"/>
          <w:lang w:val="pl-PL"/>
        </w:rPr>
        <w:t xml:space="preserve">wyroku w sprawie </w:t>
      </w:r>
      <w:r w:rsidRPr="00B15C52">
        <w:rPr>
          <w:rFonts w:asciiTheme="minorHAnsi" w:hAnsiTheme="minorHAnsi"/>
          <w:i/>
          <w:sz w:val="24"/>
          <w:lang w:val="pl-PL"/>
        </w:rPr>
        <w:t>Cypr p. Turcji</w:t>
      </w:r>
      <w:r w:rsidRPr="000C5018">
        <w:rPr>
          <w:rStyle w:val="Odwoanieprzypisudolnego"/>
          <w:rFonts w:asciiTheme="minorHAnsi" w:hAnsiTheme="minorHAnsi"/>
          <w:sz w:val="24"/>
          <w:lang w:val="pl-PL"/>
        </w:rPr>
        <w:footnoteReference w:id="8"/>
      </w:r>
      <w:r w:rsidRPr="00B15C52">
        <w:rPr>
          <w:rFonts w:asciiTheme="minorHAnsi" w:hAnsiTheme="minorHAnsi"/>
          <w:sz w:val="24"/>
          <w:lang w:val="pl-PL"/>
        </w:rPr>
        <w:t xml:space="preserve"> określ</w:t>
      </w:r>
      <w:r>
        <w:rPr>
          <w:rFonts w:asciiTheme="minorHAnsi" w:hAnsiTheme="minorHAnsi"/>
          <w:sz w:val="24"/>
          <w:lang w:val="pl-PL"/>
        </w:rPr>
        <w:t>ił</w:t>
      </w:r>
      <w:r w:rsidRPr="00B15C52">
        <w:rPr>
          <w:rFonts w:asciiTheme="minorHAnsi" w:hAnsiTheme="minorHAnsi"/>
          <w:sz w:val="24"/>
          <w:lang w:val="pl-PL"/>
        </w:rPr>
        <w:t xml:space="preserve"> trzy kryteria </w:t>
      </w:r>
      <w:r>
        <w:rPr>
          <w:rFonts w:asciiTheme="minorHAnsi" w:hAnsiTheme="minorHAnsi"/>
          <w:sz w:val="24"/>
          <w:lang w:val="pl-PL"/>
        </w:rPr>
        <w:t xml:space="preserve">celem </w:t>
      </w:r>
      <w:r w:rsidRPr="00B15C52">
        <w:rPr>
          <w:rFonts w:asciiTheme="minorHAnsi" w:hAnsiTheme="minorHAnsi"/>
          <w:sz w:val="24"/>
          <w:lang w:val="pl-PL"/>
        </w:rPr>
        <w:t>ustalenia, czy można ubiegać się o słuszne zadośćuczynienie w sprawie międzypaństwowej:</w:t>
      </w:r>
    </w:p>
    <w:p w14:paraId="4290EC63"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rodzaj skargi wnoszonej przez skarżący rząd</w:t>
      </w:r>
      <w:r>
        <w:rPr>
          <w:rFonts w:asciiTheme="minorHAnsi" w:hAnsiTheme="minorHAnsi"/>
          <w:sz w:val="24"/>
          <w:lang w:val="pl-PL"/>
        </w:rPr>
        <w:t xml:space="preserve"> –</w:t>
      </w:r>
      <w:r w:rsidRPr="00B15C52">
        <w:rPr>
          <w:rFonts w:asciiTheme="minorHAnsi" w:hAnsiTheme="minorHAnsi"/>
          <w:sz w:val="24"/>
          <w:lang w:val="pl-PL"/>
        </w:rPr>
        <w:t xml:space="preserve"> powinna</w:t>
      </w:r>
      <w:r>
        <w:rPr>
          <w:rFonts w:asciiTheme="minorHAnsi" w:hAnsiTheme="minorHAnsi"/>
          <w:sz w:val="24"/>
          <w:lang w:val="pl-PL"/>
        </w:rPr>
        <w:t xml:space="preserve"> ona </w:t>
      </w:r>
      <w:r w:rsidRPr="00B15C52">
        <w:rPr>
          <w:rFonts w:asciiTheme="minorHAnsi" w:hAnsiTheme="minorHAnsi"/>
          <w:sz w:val="24"/>
          <w:lang w:val="pl-PL"/>
        </w:rPr>
        <w:t>dotyczyć naruszenia podstawowych praw człowieka jego obywateli (lub innych ofiar);</w:t>
      </w:r>
    </w:p>
    <w:p w14:paraId="4CC97373"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czy możliwe jest zidentyfikowanie ofiar;</w:t>
      </w:r>
    </w:p>
    <w:p w14:paraId="675ED951"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główn</w:t>
      </w:r>
      <w:r>
        <w:rPr>
          <w:rFonts w:asciiTheme="minorHAnsi" w:hAnsiTheme="minorHAnsi"/>
          <w:sz w:val="24"/>
          <w:lang w:val="pl-PL"/>
        </w:rPr>
        <w:t>y cel wszczęcia postępowania –</w:t>
      </w:r>
      <w:r w:rsidRPr="00B15C52">
        <w:rPr>
          <w:rFonts w:asciiTheme="minorHAnsi" w:hAnsiTheme="minorHAnsi"/>
          <w:sz w:val="24"/>
          <w:lang w:val="pl-PL"/>
        </w:rPr>
        <w:t xml:space="preserve"> nie może mieć </w:t>
      </w:r>
      <w:r>
        <w:rPr>
          <w:rFonts w:asciiTheme="minorHAnsi" w:hAnsiTheme="minorHAnsi"/>
          <w:sz w:val="24"/>
          <w:lang w:val="pl-PL"/>
        </w:rPr>
        <w:t xml:space="preserve">ono </w:t>
      </w:r>
      <w:r w:rsidRPr="00B15C52">
        <w:rPr>
          <w:rFonts w:asciiTheme="minorHAnsi" w:hAnsiTheme="minorHAnsi"/>
          <w:sz w:val="24"/>
          <w:lang w:val="pl-PL"/>
        </w:rPr>
        <w:t xml:space="preserve">na celu </w:t>
      </w:r>
      <w:r>
        <w:rPr>
          <w:rFonts w:asciiTheme="minorHAnsi" w:hAnsiTheme="minorHAnsi"/>
          <w:sz w:val="24"/>
          <w:lang w:val="pl-PL"/>
        </w:rPr>
        <w:t xml:space="preserve">uzyskania </w:t>
      </w:r>
      <w:r w:rsidRPr="00B15C52">
        <w:rPr>
          <w:rFonts w:asciiTheme="minorHAnsi" w:hAnsiTheme="minorHAnsi"/>
          <w:sz w:val="24"/>
          <w:lang w:val="pl-PL"/>
        </w:rPr>
        <w:lastRenderedPageBreak/>
        <w:t xml:space="preserve">odszkodowania na rzecz państwa za naruszenie jego praw, a na rzecz indywidualnych ofiar. </w:t>
      </w:r>
    </w:p>
    <w:p w14:paraId="3CC3F0C3" w14:textId="77777777" w:rsidR="00950534" w:rsidRDefault="00950534" w:rsidP="00950534">
      <w:pPr>
        <w:pStyle w:val="ClinContent"/>
        <w:widowControl w:val="0"/>
        <w:spacing w:before="0"/>
        <w:rPr>
          <w:rFonts w:asciiTheme="minorHAnsi" w:hAnsiTheme="minorHAnsi"/>
          <w:sz w:val="24"/>
          <w:lang w:val="pl-PL"/>
        </w:rPr>
      </w:pPr>
    </w:p>
    <w:p w14:paraId="43F837BD"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uznał, że t</w:t>
      </w:r>
      <w:r w:rsidRPr="00B15C52">
        <w:rPr>
          <w:rFonts w:asciiTheme="minorHAnsi" w:hAnsiTheme="minorHAnsi"/>
          <w:sz w:val="24"/>
          <w:lang w:val="pl-PL"/>
        </w:rPr>
        <w:t xml:space="preserve">e trzy kryteria zostały </w:t>
      </w:r>
      <w:r>
        <w:rPr>
          <w:rFonts w:asciiTheme="minorHAnsi" w:hAnsiTheme="minorHAnsi"/>
          <w:sz w:val="24"/>
          <w:lang w:val="pl-PL"/>
        </w:rPr>
        <w:t>spełnione w niniejszej sprawie, i orzekł, szesnastoma głosami do jednego, że art. 41 ma</w:t>
      </w:r>
      <w:r w:rsidRPr="00B15C52">
        <w:rPr>
          <w:rFonts w:asciiTheme="minorHAnsi" w:hAnsiTheme="minorHAnsi"/>
          <w:sz w:val="24"/>
          <w:lang w:val="pl-PL"/>
        </w:rPr>
        <w:t xml:space="preserve"> zastosowanie.</w:t>
      </w:r>
    </w:p>
    <w:p w14:paraId="247F31C4" w14:textId="77777777" w:rsidR="00950534" w:rsidRDefault="00950534" w:rsidP="00950534">
      <w:pPr>
        <w:pStyle w:val="ClinContent"/>
        <w:widowControl w:val="0"/>
        <w:spacing w:before="0"/>
        <w:rPr>
          <w:rFonts w:asciiTheme="minorHAnsi" w:hAnsiTheme="minorHAnsi"/>
          <w:sz w:val="24"/>
          <w:lang w:val="pl-PL"/>
        </w:rPr>
      </w:pPr>
    </w:p>
    <w:p w14:paraId="3EA4F974" w14:textId="77777777" w:rsidR="00950534" w:rsidRPr="003211F5" w:rsidRDefault="00950534" w:rsidP="00950534">
      <w:pPr>
        <w:pStyle w:val="ClinContent"/>
        <w:widowControl w:val="0"/>
        <w:spacing w:before="0"/>
        <w:rPr>
          <w:rFonts w:asciiTheme="minorHAnsi" w:hAnsiTheme="minorHAnsi"/>
          <w:sz w:val="24"/>
          <w:u w:val="single"/>
          <w:lang w:val="pl-PL"/>
        </w:rPr>
      </w:pPr>
      <w:r>
        <w:rPr>
          <w:rFonts w:asciiTheme="minorHAnsi" w:hAnsiTheme="minorHAnsi"/>
          <w:sz w:val="24"/>
          <w:lang w:val="pl-PL"/>
        </w:rPr>
        <w:t xml:space="preserve">Następnie Trybunał </w:t>
      </w:r>
      <w:r w:rsidRPr="003211F5">
        <w:rPr>
          <w:rFonts w:asciiTheme="minorHAnsi" w:hAnsiTheme="minorHAnsi"/>
          <w:sz w:val="24"/>
          <w:u w:val="single"/>
          <w:lang w:val="pl-PL"/>
        </w:rPr>
        <w:t xml:space="preserve">ocenił kwestię słusznego zadośćuczynienia z punktu widzenia art. 41 Konwencji. </w:t>
      </w:r>
    </w:p>
    <w:p w14:paraId="5A02BB65" w14:textId="77777777" w:rsidR="00950534" w:rsidRDefault="00950534" w:rsidP="00950534">
      <w:pPr>
        <w:pStyle w:val="ClinContent"/>
        <w:widowControl w:val="0"/>
        <w:spacing w:before="0"/>
        <w:rPr>
          <w:rFonts w:asciiTheme="minorHAnsi" w:hAnsiTheme="minorHAnsi"/>
          <w:sz w:val="24"/>
          <w:lang w:val="pl-PL"/>
        </w:rPr>
      </w:pPr>
    </w:p>
    <w:p w14:paraId="35DBECE1"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 W tym celu Trybunał musiał po pierwsze określić </w:t>
      </w:r>
      <w:r w:rsidRPr="0091450C">
        <w:rPr>
          <w:rFonts w:asciiTheme="minorHAnsi" w:hAnsiTheme="minorHAnsi"/>
          <w:i/>
          <w:sz w:val="24"/>
          <w:u w:val="single"/>
          <w:lang w:val="pl-PL"/>
        </w:rPr>
        <w:t>„wystarczająco precyzyjną i obiektywnie możliwą do zidentyfikowania” grupę osób</w:t>
      </w:r>
      <w:r w:rsidRPr="00A428FC">
        <w:rPr>
          <w:rFonts w:asciiTheme="minorHAnsi" w:hAnsiTheme="minorHAnsi"/>
          <w:sz w:val="24"/>
          <w:lang w:val="pl-PL"/>
        </w:rPr>
        <w:t xml:space="preserve">, którym należy przyznać słuszne zadośćuczynienie. </w:t>
      </w:r>
    </w:p>
    <w:p w14:paraId="511B4FC0" w14:textId="77777777" w:rsidR="00950534" w:rsidRDefault="00950534" w:rsidP="00950534">
      <w:pPr>
        <w:pStyle w:val="ClinContent"/>
        <w:widowControl w:val="0"/>
        <w:spacing w:before="0"/>
        <w:rPr>
          <w:rFonts w:asciiTheme="minorHAnsi" w:hAnsiTheme="minorHAnsi"/>
          <w:sz w:val="24"/>
          <w:lang w:val="pl-PL"/>
        </w:rPr>
      </w:pPr>
    </w:p>
    <w:p w14:paraId="1FCF54B0" w14:textId="23B9E4F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na wstępie wyjaśnił, że </w:t>
      </w:r>
      <w:r w:rsidRPr="00B15C52">
        <w:rPr>
          <w:rFonts w:asciiTheme="minorHAnsi" w:hAnsiTheme="minorHAnsi"/>
          <w:sz w:val="24"/>
          <w:lang w:val="pl-PL"/>
        </w:rPr>
        <w:t xml:space="preserve">stwierdzenie zawarte w paragrafie 135 głównego wyroku, </w:t>
      </w:r>
      <w:r>
        <w:rPr>
          <w:rFonts w:asciiTheme="minorHAnsi" w:hAnsiTheme="minorHAnsi"/>
          <w:sz w:val="24"/>
          <w:lang w:val="pl-PL"/>
        </w:rPr>
        <w:t>i</w:t>
      </w:r>
      <w:r w:rsidRPr="00B15C52">
        <w:rPr>
          <w:rFonts w:asciiTheme="minorHAnsi" w:hAnsiTheme="minorHAnsi"/>
          <w:sz w:val="24"/>
          <w:lang w:val="pl-PL"/>
        </w:rPr>
        <w:t>ż</w:t>
      </w:r>
      <w:r w:rsidR="00206CCE">
        <w:rPr>
          <w:rFonts w:asciiTheme="minorHAnsi" w:hAnsiTheme="minorHAnsi"/>
          <w:sz w:val="24"/>
          <w:lang w:val="pl-PL"/>
        </w:rPr>
        <w:t> </w:t>
      </w:r>
      <w:r>
        <w:rPr>
          <w:rFonts w:asciiTheme="minorHAnsi" w:hAnsiTheme="minorHAnsi"/>
          <w:sz w:val="24"/>
          <w:lang w:val="pl-PL"/>
        </w:rPr>
        <w:t>nie ma przesłanek do uznania domniemanej</w:t>
      </w:r>
      <w:r w:rsidRPr="00B15C52">
        <w:rPr>
          <w:rFonts w:asciiTheme="minorHAnsi" w:hAnsiTheme="minorHAnsi"/>
          <w:sz w:val="24"/>
          <w:lang w:val="pl-PL"/>
        </w:rPr>
        <w:t xml:space="preserve"> </w:t>
      </w:r>
      <w:r>
        <w:rPr>
          <w:rFonts w:asciiTheme="minorHAnsi" w:hAnsiTheme="minorHAnsi"/>
          <w:sz w:val="24"/>
          <w:lang w:val="pl-PL"/>
        </w:rPr>
        <w:t>liczby ofiar za niewiarygodną</w:t>
      </w:r>
      <w:r w:rsidRPr="00B15C52">
        <w:rPr>
          <w:rFonts w:asciiTheme="minorHAnsi" w:hAnsiTheme="minorHAnsi"/>
          <w:sz w:val="24"/>
          <w:lang w:val="pl-PL"/>
        </w:rPr>
        <w:t xml:space="preserve"> i </w:t>
      </w:r>
      <w:r>
        <w:rPr>
          <w:rFonts w:asciiTheme="minorHAnsi" w:hAnsiTheme="minorHAnsi"/>
          <w:sz w:val="24"/>
          <w:lang w:val="pl-PL"/>
        </w:rPr>
        <w:t>przyjęcie przez niego założenia</w:t>
      </w:r>
      <w:r w:rsidRPr="00B15C52">
        <w:rPr>
          <w:rFonts w:asciiTheme="minorHAnsi" w:hAnsiTheme="minorHAnsi"/>
          <w:sz w:val="24"/>
          <w:lang w:val="pl-PL"/>
        </w:rPr>
        <w:t>, że wydano ponad 4600 nakazów wydalenia wobec obywateli gruzińskich, z</w:t>
      </w:r>
      <w:r w:rsidR="00206CCE">
        <w:rPr>
          <w:rFonts w:asciiTheme="minorHAnsi" w:hAnsiTheme="minorHAnsi"/>
          <w:sz w:val="24"/>
          <w:lang w:val="pl-PL"/>
        </w:rPr>
        <w:t> </w:t>
      </w:r>
      <w:r w:rsidRPr="00B15C52">
        <w:rPr>
          <w:rFonts w:asciiTheme="minorHAnsi" w:hAnsiTheme="minorHAnsi"/>
          <w:sz w:val="24"/>
          <w:lang w:val="pl-PL"/>
        </w:rPr>
        <w:t xml:space="preserve">których </w:t>
      </w:r>
      <w:r>
        <w:rPr>
          <w:rFonts w:asciiTheme="minorHAnsi" w:hAnsiTheme="minorHAnsi"/>
          <w:sz w:val="24"/>
          <w:lang w:val="pl-PL"/>
        </w:rPr>
        <w:t xml:space="preserve">około </w:t>
      </w:r>
      <w:r w:rsidRPr="00B15C52">
        <w:rPr>
          <w:rFonts w:asciiTheme="minorHAnsi" w:hAnsiTheme="minorHAnsi"/>
          <w:sz w:val="24"/>
          <w:lang w:val="pl-PL"/>
        </w:rPr>
        <w:t xml:space="preserve">2380 osób aresztowano i przymusowo wydalono, </w:t>
      </w:r>
      <w:r>
        <w:rPr>
          <w:rFonts w:asciiTheme="minorHAnsi" w:hAnsiTheme="minorHAnsi"/>
          <w:sz w:val="24"/>
          <w:lang w:val="pl-PL"/>
        </w:rPr>
        <w:t xml:space="preserve">wskazywało </w:t>
      </w:r>
      <w:r w:rsidRPr="00B15C52">
        <w:rPr>
          <w:rFonts w:asciiTheme="minorHAnsi" w:hAnsiTheme="minorHAnsi"/>
          <w:sz w:val="24"/>
          <w:lang w:val="pl-PL"/>
        </w:rPr>
        <w:t>jedynie ramy liczbowe</w:t>
      </w:r>
      <w:r>
        <w:rPr>
          <w:rFonts w:asciiTheme="minorHAnsi" w:hAnsiTheme="minorHAnsi"/>
          <w:sz w:val="24"/>
          <w:lang w:val="pl-PL"/>
        </w:rPr>
        <w:t xml:space="preserve">, które Trybunał uwzględnił </w:t>
      </w:r>
      <w:r w:rsidRPr="00B15C52">
        <w:rPr>
          <w:rFonts w:asciiTheme="minorHAnsi" w:hAnsiTheme="minorHAnsi"/>
          <w:sz w:val="24"/>
          <w:lang w:val="pl-PL"/>
        </w:rPr>
        <w:t>jako punkt wyjścia do ustalenia, w kontekście badania sprawy w głównym wyroku, czy istniała praktyka administracyjna. Było to czymś zupełnie innym niż ustalenie tożsamości ofiar na potrzeby art. 41</w:t>
      </w:r>
      <w:r>
        <w:rPr>
          <w:rFonts w:asciiTheme="minorHAnsi" w:hAnsiTheme="minorHAnsi"/>
          <w:sz w:val="24"/>
          <w:lang w:val="pl-PL"/>
        </w:rPr>
        <w:t xml:space="preserve"> Konwencji</w:t>
      </w:r>
      <w:r w:rsidRPr="00B15C52">
        <w:rPr>
          <w:rFonts w:asciiTheme="minorHAnsi" w:hAnsiTheme="minorHAnsi"/>
          <w:sz w:val="24"/>
          <w:lang w:val="pl-PL"/>
        </w:rPr>
        <w:t xml:space="preserve">. </w:t>
      </w:r>
    </w:p>
    <w:p w14:paraId="6FF0B8E7" w14:textId="77777777" w:rsidR="00950534" w:rsidRDefault="00950534" w:rsidP="00950534">
      <w:pPr>
        <w:pStyle w:val="ClinContent"/>
        <w:widowControl w:val="0"/>
        <w:spacing w:before="0"/>
        <w:rPr>
          <w:rFonts w:asciiTheme="minorHAnsi" w:hAnsiTheme="minorHAnsi"/>
          <w:sz w:val="24"/>
          <w:lang w:val="pl-PL"/>
        </w:rPr>
      </w:pPr>
    </w:p>
    <w:p w14:paraId="00F27560"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zauważył też, że w odróżnieniu od sprawy</w:t>
      </w:r>
      <w:r w:rsidRPr="00B15C52">
        <w:rPr>
          <w:rFonts w:asciiTheme="minorHAnsi" w:hAnsiTheme="minorHAnsi"/>
          <w:sz w:val="24"/>
          <w:lang w:val="pl-PL"/>
        </w:rPr>
        <w:t xml:space="preserve"> </w:t>
      </w:r>
      <w:r w:rsidRPr="00B15C52">
        <w:rPr>
          <w:rFonts w:asciiTheme="minorHAnsi" w:hAnsiTheme="minorHAnsi"/>
          <w:i/>
          <w:sz w:val="24"/>
          <w:lang w:val="pl-PL"/>
        </w:rPr>
        <w:t xml:space="preserve">Cypr p. Turcji, </w:t>
      </w:r>
      <w:r w:rsidRPr="00B15C52">
        <w:rPr>
          <w:rFonts w:asciiTheme="minorHAnsi" w:hAnsiTheme="minorHAnsi"/>
          <w:sz w:val="24"/>
          <w:lang w:val="pl-PL"/>
        </w:rPr>
        <w:t xml:space="preserve">która dotyczyła wielorakich naruszeń Konwencji </w:t>
      </w:r>
      <w:r>
        <w:rPr>
          <w:rFonts w:asciiTheme="minorHAnsi" w:hAnsiTheme="minorHAnsi"/>
          <w:sz w:val="24"/>
          <w:lang w:val="pl-PL"/>
        </w:rPr>
        <w:t xml:space="preserve">w następstwie </w:t>
      </w:r>
      <w:r w:rsidRPr="00B15C52">
        <w:rPr>
          <w:rFonts w:asciiTheme="minorHAnsi" w:hAnsiTheme="minorHAnsi"/>
          <w:sz w:val="24"/>
          <w:lang w:val="pl-PL"/>
        </w:rPr>
        <w:t>operacj</w:t>
      </w:r>
      <w:r>
        <w:rPr>
          <w:rFonts w:asciiTheme="minorHAnsi" w:hAnsiTheme="minorHAnsi"/>
          <w:sz w:val="24"/>
          <w:lang w:val="pl-PL"/>
        </w:rPr>
        <w:t>i</w:t>
      </w:r>
      <w:r w:rsidRPr="00B15C52">
        <w:rPr>
          <w:rFonts w:asciiTheme="minorHAnsi" w:hAnsiTheme="minorHAnsi"/>
          <w:sz w:val="24"/>
          <w:lang w:val="pl-PL"/>
        </w:rPr>
        <w:t xml:space="preserve"> wojskowych przeprowadzonych przez Turcję w północnym Cyprze latem 1974 r., które nie opierały się na indywidualnych decyzjach, w </w:t>
      </w:r>
      <w:r>
        <w:rPr>
          <w:rFonts w:asciiTheme="minorHAnsi" w:hAnsiTheme="minorHAnsi"/>
          <w:sz w:val="24"/>
          <w:lang w:val="pl-PL"/>
        </w:rPr>
        <w:t>niniejszej</w:t>
      </w:r>
      <w:r w:rsidRPr="00B15C52">
        <w:rPr>
          <w:rFonts w:asciiTheme="minorHAnsi" w:hAnsiTheme="minorHAnsi"/>
          <w:sz w:val="24"/>
          <w:lang w:val="pl-PL"/>
        </w:rPr>
        <w:t xml:space="preserve"> sprawie </w:t>
      </w:r>
      <w:r>
        <w:rPr>
          <w:rFonts w:asciiTheme="minorHAnsi" w:hAnsiTheme="minorHAnsi"/>
          <w:sz w:val="24"/>
          <w:lang w:val="pl-PL"/>
        </w:rPr>
        <w:t xml:space="preserve">zakwestionowana </w:t>
      </w:r>
      <w:r w:rsidRPr="00B15C52">
        <w:rPr>
          <w:rFonts w:asciiTheme="minorHAnsi" w:hAnsiTheme="minorHAnsi"/>
          <w:sz w:val="24"/>
          <w:lang w:val="pl-PL"/>
        </w:rPr>
        <w:t xml:space="preserve">praktyka administracyjna </w:t>
      </w:r>
      <w:r>
        <w:rPr>
          <w:rFonts w:asciiTheme="minorHAnsi" w:hAnsiTheme="minorHAnsi"/>
          <w:sz w:val="24"/>
          <w:lang w:val="pl-PL"/>
        </w:rPr>
        <w:t xml:space="preserve">pozwanego państwa </w:t>
      </w:r>
      <w:r w:rsidRPr="00B15C52">
        <w:rPr>
          <w:rFonts w:asciiTheme="minorHAnsi" w:hAnsiTheme="minorHAnsi"/>
          <w:sz w:val="24"/>
          <w:lang w:val="pl-PL"/>
        </w:rPr>
        <w:t xml:space="preserve">opierała się na indywidualnych decyzjach administracyjnych dotyczących wydalenia obywateli gruzińskich z </w:t>
      </w:r>
      <w:r>
        <w:rPr>
          <w:rFonts w:asciiTheme="minorHAnsi" w:hAnsiTheme="minorHAnsi"/>
          <w:sz w:val="24"/>
          <w:lang w:val="pl-PL"/>
        </w:rPr>
        <w:t xml:space="preserve">terytorium </w:t>
      </w:r>
      <w:r w:rsidRPr="00B15C52">
        <w:rPr>
          <w:rFonts w:asciiTheme="minorHAnsi" w:hAnsiTheme="minorHAnsi"/>
          <w:sz w:val="24"/>
          <w:lang w:val="pl-PL"/>
        </w:rPr>
        <w:t xml:space="preserve">Federacji Rosyjskiej jesienią 2006 r. </w:t>
      </w:r>
    </w:p>
    <w:p w14:paraId="708D964D" w14:textId="77777777" w:rsidR="00950534" w:rsidRDefault="00950534" w:rsidP="00950534">
      <w:pPr>
        <w:pStyle w:val="ClinContent"/>
        <w:widowControl w:val="0"/>
        <w:spacing w:before="0"/>
        <w:rPr>
          <w:rFonts w:asciiTheme="minorHAnsi" w:hAnsiTheme="minorHAnsi"/>
          <w:sz w:val="24"/>
          <w:lang w:val="pl-PL"/>
        </w:rPr>
      </w:pPr>
    </w:p>
    <w:p w14:paraId="02CBEB2F" w14:textId="2802B198"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 xml:space="preserve">W związku z powyższym </w:t>
      </w:r>
      <w:r>
        <w:rPr>
          <w:rFonts w:asciiTheme="minorHAnsi" w:hAnsiTheme="minorHAnsi"/>
          <w:sz w:val="24"/>
          <w:lang w:val="pl-PL"/>
        </w:rPr>
        <w:t xml:space="preserve">Trybunał uznał, że państwa </w:t>
      </w:r>
      <w:r w:rsidRPr="00B15C52">
        <w:rPr>
          <w:rFonts w:asciiTheme="minorHAnsi" w:hAnsiTheme="minorHAnsi"/>
          <w:sz w:val="24"/>
          <w:lang w:val="pl-PL"/>
        </w:rPr>
        <w:t>strony powinny być w stanie zidentyfikować osoby zainteresowane i d</w:t>
      </w:r>
      <w:r>
        <w:rPr>
          <w:rFonts w:asciiTheme="minorHAnsi" w:hAnsiTheme="minorHAnsi"/>
          <w:sz w:val="24"/>
          <w:lang w:val="pl-PL"/>
        </w:rPr>
        <w:t>ostarczyć Trybunałowi właściwe informacje</w:t>
      </w:r>
      <w:r w:rsidRPr="00B15C52">
        <w:rPr>
          <w:rFonts w:asciiTheme="minorHAnsi" w:hAnsiTheme="minorHAnsi"/>
          <w:sz w:val="24"/>
          <w:lang w:val="pl-PL"/>
        </w:rPr>
        <w:t>. W</w:t>
      </w:r>
      <w:r w:rsidR="00206CCE">
        <w:rPr>
          <w:rFonts w:asciiTheme="minorHAnsi" w:hAnsiTheme="minorHAnsi"/>
          <w:sz w:val="24"/>
          <w:lang w:val="pl-PL"/>
        </w:rPr>
        <w:t> </w:t>
      </w:r>
      <w:r w:rsidRPr="00B15C52">
        <w:rPr>
          <w:rFonts w:asciiTheme="minorHAnsi" w:hAnsiTheme="minorHAnsi"/>
          <w:sz w:val="24"/>
          <w:lang w:val="pl-PL"/>
        </w:rPr>
        <w:t>związku z tym obowiązek współpracy, przewidziany przez art. 38 Konwencji, ma</w:t>
      </w:r>
      <w:r w:rsidR="00206CCE">
        <w:rPr>
          <w:rFonts w:asciiTheme="minorHAnsi" w:hAnsiTheme="minorHAnsi"/>
          <w:sz w:val="24"/>
          <w:lang w:val="pl-PL"/>
        </w:rPr>
        <w:t> </w:t>
      </w:r>
      <w:r w:rsidRPr="00B15C52">
        <w:rPr>
          <w:rFonts w:asciiTheme="minorHAnsi" w:hAnsiTheme="minorHAnsi"/>
          <w:sz w:val="24"/>
          <w:lang w:val="pl-PL"/>
        </w:rPr>
        <w:t xml:space="preserve">zastosowanie do obu </w:t>
      </w:r>
      <w:r>
        <w:rPr>
          <w:rFonts w:asciiTheme="minorHAnsi" w:hAnsiTheme="minorHAnsi"/>
          <w:sz w:val="24"/>
          <w:lang w:val="pl-PL"/>
        </w:rPr>
        <w:t xml:space="preserve">państw </w:t>
      </w:r>
      <w:r w:rsidRPr="00B15C52">
        <w:rPr>
          <w:rFonts w:asciiTheme="minorHAnsi" w:hAnsiTheme="minorHAnsi"/>
          <w:sz w:val="24"/>
          <w:lang w:val="pl-PL"/>
        </w:rPr>
        <w:t>stron</w:t>
      </w:r>
      <w:r>
        <w:rPr>
          <w:rFonts w:asciiTheme="minorHAnsi" w:hAnsiTheme="minorHAnsi"/>
          <w:sz w:val="24"/>
          <w:lang w:val="pl-PL"/>
        </w:rPr>
        <w:t xml:space="preserve"> Konwencji.</w:t>
      </w:r>
      <w:r w:rsidRPr="00B15C52">
        <w:rPr>
          <w:rFonts w:asciiTheme="minorHAnsi" w:hAnsiTheme="minorHAnsi"/>
          <w:sz w:val="24"/>
          <w:lang w:val="pl-PL"/>
        </w:rPr>
        <w:t xml:space="preserve"> </w:t>
      </w:r>
      <w:r>
        <w:rPr>
          <w:rFonts w:asciiTheme="minorHAnsi" w:hAnsiTheme="minorHAnsi"/>
          <w:sz w:val="24"/>
          <w:lang w:val="pl-PL"/>
        </w:rPr>
        <w:t>N</w:t>
      </w:r>
      <w:r w:rsidRPr="00B15C52">
        <w:rPr>
          <w:rFonts w:asciiTheme="minorHAnsi" w:hAnsiTheme="minorHAnsi"/>
          <w:sz w:val="24"/>
          <w:lang w:val="pl-PL"/>
        </w:rPr>
        <w:t>iezależnie od trudności związanych z</w:t>
      </w:r>
      <w:r w:rsidR="00206CCE">
        <w:rPr>
          <w:rFonts w:asciiTheme="minorHAnsi" w:hAnsiTheme="minorHAnsi"/>
          <w:sz w:val="24"/>
          <w:lang w:val="pl-PL"/>
        </w:rPr>
        <w:t> </w:t>
      </w:r>
      <w:r w:rsidRPr="00B15C52">
        <w:rPr>
          <w:rFonts w:asciiTheme="minorHAnsi" w:hAnsiTheme="minorHAnsi"/>
          <w:sz w:val="24"/>
          <w:lang w:val="pl-PL"/>
        </w:rPr>
        <w:t>upływem czasu i koniecznością zebrania znaczącej ilości danych</w:t>
      </w:r>
      <w:r>
        <w:rPr>
          <w:rFonts w:asciiTheme="minorHAnsi" w:hAnsiTheme="minorHAnsi"/>
          <w:sz w:val="24"/>
          <w:lang w:val="pl-PL"/>
        </w:rPr>
        <w:t>,</w:t>
      </w:r>
      <w:r w:rsidRPr="00B15C52">
        <w:rPr>
          <w:rFonts w:asciiTheme="minorHAnsi" w:hAnsiTheme="minorHAnsi"/>
          <w:sz w:val="24"/>
          <w:lang w:val="pl-PL"/>
        </w:rPr>
        <w:t xml:space="preserve"> skarżący rząd ma obowiązek uzasadnienia swych roszczeń, a pozwany rząd – przedstawienia wszelkich istotnych informacji i dokumentów </w:t>
      </w:r>
      <w:r>
        <w:rPr>
          <w:rFonts w:asciiTheme="minorHAnsi" w:hAnsiTheme="minorHAnsi"/>
          <w:sz w:val="24"/>
          <w:lang w:val="pl-PL"/>
        </w:rPr>
        <w:t xml:space="preserve">będących </w:t>
      </w:r>
      <w:r w:rsidRPr="00B15C52">
        <w:rPr>
          <w:rFonts w:asciiTheme="minorHAnsi" w:hAnsiTheme="minorHAnsi"/>
          <w:sz w:val="24"/>
          <w:lang w:val="pl-PL"/>
        </w:rPr>
        <w:t xml:space="preserve">w jego posiadaniu. </w:t>
      </w:r>
    </w:p>
    <w:p w14:paraId="640A159B" w14:textId="77777777" w:rsidR="00950534" w:rsidRDefault="00950534" w:rsidP="00950534">
      <w:pPr>
        <w:pStyle w:val="ClinContent"/>
        <w:widowControl w:val="0"/>
        <w:spacing w:before="0"/>
        <w:rPr>
          <w:rFonts w:asciiTheme="minorHAnsi" w:hAnsiTheme="minorHAnsi"/>
          <w:i/>
          <w:sz w:val="24"/>
          <w:lang w:val="pl-PL"/>
        </w:rPr>
      </w:pPr>
    </w:p>
    <w:p w14:paraId="71EBC99A" w14:textId="369F47E6"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rezultacie ponawianych wniosków Trybunału skarżący rząd przedłożył </w:t>
      </w:r>
      <w:r>
        <w:rPr>
          <w:rFonts w:asciiTheme="minorHAnsi" w:hAnsiTheme="minorHAnsi"/>
          <w:sz w:val="24"/>
          <w:lang w:val="pl-PL"/>
        </w:rPr>
        <w:t>listę 1795</w:t>
      </w:r>
      <w:r w:rsidR="00206CCE">
        <w:rPr>
          <w:rFonts w:asciiTheme="minorHAnsi" w:hAnsiTheme="minorHAnsi"/>
          <w:sz w:val="24"/>
          <w:lang w:val="pl-PL"/>
        </w:rPr>
        <w:t> </w:t>
      </w:r>
      <w:r>
        <w:rPr>
          <w:rFonts w:asciiTheme="minorHAnsi" w:hAnsiTheme="minorHAnsi"/>
          <w:sz w:val="24"/>
          <w:lang w:val="pl-PL"/>
        </w:rPr>
        <w:t>indywidualnych ofiar</w:t>
      </w:r>
      <w:r w:rsidRPr="00B15C52">
        <w:rPr>
          <w:rFonts w:asciiTheme="minorHAnsi" w:hAnsiTheme="minorHAnsi"/>
          <w:sz w:val="24"/>
          <w:lang w:val="pl-PL"/>
        </w:rPr>
        <w:t xml:space="preserve"> wraz z załącznikami, a pozwany rząd przesłał do Trybunału swoje uwagi, również z załącznikami. </w:t>
      </w:r>
    </w:p>
    <w:p w14:paraId="7DA2182C" w14:textId="77777777" w:rsidR="00950534" w:rsidRDefault="00950534" w:rsidP="00950534">
      <w:pPr>
        <w:pStyle w:val="ClinContent"/>
        <w:widowControl w:val="0"/>
        <w:spacing w:before="0"/>
        <w:rPr>
          <w:rFonts w:asciiTheme="minorHAnsi" w:hAnsiTheme="minorHAnsi"/>
          <w:sz w:val="24"/>
          <w:lang w:val="pl-PL"/>
        </w:rPr>
      </w:pPr>
    </w:p>
    <w:p w14:paraId="4E863A4F" w14:textId="72AFB8AC"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przeprowadził wstępne badanie tej listy, chociaż pozwany rząd nie przedłożył wszystkich istotnych informacji i dokumentów (w szczególności nakazów wydalenia i</w:t>
      </w:r>
      <w:r w:rsidR="00206CCE">
        <w:rPr>
          <w:rFonts w:asciiTheme="minorHAnsi" w:hAnsiTheme="minorHAnsi"/>
          <w:sz w:val="24"/>
          <w:lang w:val="pl-PL"/>
        </w:rPr>
        <w:t> </w:t>
      </w:r>
      <w:r w:rsidRPr="00B15C52">
        <w:rPr>
          <w:rFonts w:asciiTheme="minorHAnsi" w:hAnsiTheme="minorHAnsi"/>
          <w:sz w:val="24"/>
          <w:lang w:val="pl-PL"/>
        </w:rPr>
        <w:t xml:space="preserve">orzeczeń sądowych). </w:t>
      </w:r>
    </w:p>
    <w:p w14:paraId="0E77B8F3" w14:textId="77777777" w:rsidR="00950534" w:rsidRDefault="00950534" w:rsidP="00950534">
      <w:pPr>
        <w:pStyle w:val="ClinContent"/>
        <w:widowControl w:val="0"/>
        <w:spacing w:before="0"/>
        <w:rPr>
          <w:rFonts w:asciiTheme="minorHAnsi" w:hAnsiTheme="minorHAnsi"/>
          <w:sz w:val="24"/>
          <w:lang w:val="pl-PL"/>
        </w:rPr>
      </w:pPr>
    </w:p>
    <w:p w14:paraId="21FF0A5C" w14:textId="497ECB8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nie miał jednak możliwości wydania zasądzeń w odniesieniu do dużej liczby spraw wymagających ustalenia szczegółowych faktów lub wylic</w:t>
      </w:r>
      <w:r>
        <w:rPr>
          <w:rFonts w:asciiTheme="minorHAnsi" w:hAnsiTheme="minorHAnsi"/>
          <w:sz w:val="24"/>
          <w:lang w:val="pl-PL"/>
        </w:rPr>
        <w:t>zenia odszkodowania pieniężnego. Uznał też, że</w:t>
      </w:r>
      <w:r w:rsidRPr="00B15C52">
        <w:rPr>
          <w:rFonts w:asciiTheme="minorHAnsi" w:hAnsiTheme="minorHAnsi"/>
          <w:sz w:val="24"/>
          <w:lang w:val="pl-PL"/>
        </w:rPr>
        <w:t xml:space="preserve"> nie było</w:t>
      </w:r>
      <w:r>
        <w:rPr>
          <w:rFonts w:asciiTheme="minorHAnsi" w:hAnsiTheme="minorHAnsi"/>
          <w:sz w:val="24"/>
          <w:lang w:val="pl-PL"/>
        </w:rPr>
        <w:t>by</w:t>
      </w:r>
      <w:r w:rsidRPr="00B15C52">
        <w:rPr>
          <w:rFonts w:asciiTheme="minorHAnsi" w:hAnsiTheme="minorHAnsi"/>
          <w:sz w:val="24"/>
          <w:lang w:val="pl-PL"/>
        </w:rPr>
        <w:t xml:space="preserve"> to właściwe z punktu widzenia jego </w:t>
      </w:r>
      <w:r>
        <w:rPr>
          <w:rFonts w:asciiTheme="minorHAnsi" w:hAnsiTheme="minorHAnsi"/>
          <w:sz w:val="24"/>
          <w:lang w:val="pl-PL"/>
        </w:rPr>
        <w:t xml:space="preserve">roli jako sądu międzynarodowego. Trybunał podkreślił, że </w:t>
      </w:r>
      <w:r w:rsidRPr="00B15C52">
        <w:rPr>
          <w:rFonts w:asciiTheme="minorHAnsi" w:hAnsiTheme="minorHAnsi"/>
          <w:sz w:val="24"/>
          <w:lang w:val="pl-PL"/>
        </w:rPr>
        <w:t xml:space="preserve">obie te kwestie co do zasady i </w:t>
      </w:r>
      <w:r>
        <w:rPr>
          <w:rFonts w:asciiTheme="minorHAnsi" w:hAnsiTheme="minorHAnsi"/>
          <w:sz w:val="24"/>
          <w:lang w:val="pl-PL"/>
        </w:rPr>
        <w:t xml:space="preserve">z punktu widzenia </w:t>
      </w:r>
      <w:r w:rsidRPr="00B15C52">
        <w:rPr>
          <w:rFonts w:asciiTheme="minorHAnsi" w:hAnsiTheme="minorHAnsi"/>
          <w:sz w:val="24"/>
          <w:lang w:val="pl-PL"/>
        </w:rPr>
        <w:t>skuteczn</w:t>
      </w:r>
      <w:r>
        <w:rPr>
          <w:rFonts w:asciiTheme="minorHAnsi" w:hAnsiTheme="minorHAnsi"/>
          <w:sz w:val="24"/>
          <w:lang w:val="pl-PL"/>
        </w:rPr>
        <w:t>ości działania</w:t>
      </w:r>
      <w:r w:rsidRPr="00B15C52">
        <w:rPr>
          <w:rFonts w:asciiTheme="minorHAnsi" w:hAnsiTheme="minorHAnsi"/>
          <w:sz w:val="24"/>
          <w:lang w:val="pl-PL"/>
        </w:rPr>
        <w:t xml:space="preserve"> powinny należeć do jurysdykcji krajowych. Dotyczy to szczególnie </w:t>
      </w:r>
      <w:r>
        <w:rPr>
          <w:rFonts w:asciiTheme="minorHAnsi" w:hAnsiTheme="minorHAnsi"/>
          <w:sz w:val="24"/>
          <w:lang w:val="pl-PL"/>
        </w:rPr>
        <w:lastRenderedPageBreak/>
        <w:t>sprawy międzypaństwowej, która</w:t>
      </w:r>
      <w:r w:rsidRPr="00B15C52">
        <w:rPr>
          <w:rFonts w:asciiTheme="minorHAnsi" w:hAnsiTheme="minorHAnsi"/>
          <w:sz w:val="24"/>
          <w:lang w:val="pl-PL"/>
        </w:rPr>
        <w:t xml:space="preserve"> zasadniczo różni się od sprawy dotyczącej grupy kilku skarg indywidualnych, w których konkretne okoliczności dotyczące każdej sprawy są określone w</w:t>
      </w:r>
      <w:r w:rsidR="00206CCE">
        <w:rPr>
          <w:rFonts w:asciiTheme="minorHAnsi" w:hAnsiTheme="minorHAnsi"/>
          <w:sz w:val="24"/>
          <w:lang w:val="pl-PL"/>
        </w:rPr>
        <w:t> </w:t>
      </w:r>
      <w:r w:rsidRPr="00B15C52">
        <w:rPr>
          <w:rFonts w:asciiTheme="minorHAnsi" w:hAnsiTheme="minorHAnsi"/>
          <w:sz w:val="24"/>
          <w:lang w:val="pl-PL"/>
        </w:rPr>
        <w:t xml:space="preserve">wyroku. </w:t>
      </w:r>
    </w:p>
    <w:p w14:paraId="503D3B38" w14:textId="77777777" w:rsidR="00950534" w:rsidRDefault="00950534" w:rsidP="00950534">
      <w:pPr>
        <w:pStyle w:val="ClinContent"/>
        <w:widowControl w:val="0"/>
        <w:spacing w:before="0"/>
        <w:rPr>
          <w:rFonts w:asciiTheme="minorHAnsi" w:hAnsiTheme="minorHAnsi"/>
          <w:sz w:val="24"/>
          <w:lang w:val="pl-PL"/>
        </w:rPr>
      </w:pPr>
    </w:p>
    <w:p w14:paraId="5815BE57" w14:textId="62A18684"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Mając na uwadze ramy liczbowe, na których Trybunał opierał się w swym głównym wyroku, oraz fakt, że stwierdzone naruszenia dotyczyły ofiar indywidualnych i opierały się na</w:t>
      </w:r>
      <w:r w:rsidR="00206CCE">
        <w:rPr>
          <w:rFonts w:asciiTheme="minorHAnsi" w:hAnsiTheme="minorHAnsi"/>
          <w:sz w:val="24"/>
          <w:lang w:val="pl-PL"/>
        </w:rPr>
        <w:t> </w:t>
      </w:r>
      <w:r w:rsidRPr="00B15C52">
        <w:rPr>
          <w:rFonts w:asciiTheme="minorHAnsi" w:hAnsiTheme="minorHAnsi"/>
          <w:sz w:val="24"/>
          <w:lang w:val="pl-PL"/>
        </w:rPr>
        <w:t xml:space="preserve">wydarzeniach, które miały miejsce na terytorium pozwanego </w:t>
      </w:r>
      <w:r>
        <w:rPr>
          <w:rFonts w:asciiTheme="minorHAnsi" w:hAnsiTheme="minorHAnsi"/>
          <w:sz w:val="24"/>
          <w:lang w:val="pl-PL"/>
        </w:rPr>
        <w:t>p</w:t>
      </w:r>
      <w:r w:rsidRPr="00B15C52">
        <w:rPr>
          <w:rFonts w:asciiTheme="minorHAnsi" w:hAnsiTheme="minorHAnsi"/>
          <w:sz w:val="24"/>
          <w:lang w:val="pl-PL"/>
        </w:rPr>
        <w:t>aństwa, Trybunał przyjął domniemanie, że osoby wymienione na liście przedłożonej przez skarżący rząd mogą być uznane za ofiary stwierdzonych naruszeń, a ciężar dowodu przeciwnego spoczywa na</w:t>
      </w:r>
      <w:r w:rsidR="00206CCE">
        <w:rPr>
          <w:rFonts w:asciiTheme="minorHAnsi" w:hAnsiTheme="minorHAnsi"/>
          <w:sz w:val="24"/>
          <w:lang w:val="pl-PL"/>
        </w:rPr>
        <w:t> </w:t>
      </w:r>
      <w:r w:rsidRPr="00B15C52">
        <w:rPr>
          <w:rFonts w:asciiTheme="minorHAnsi" w:hAnsiTheme="minorHAnsi"/>
          <w:sz w:val="24"/>
          <w:lang w:val="pl-PL"/>
        </w:rPr>
        <w:t xml:space="preserve">pozwanym rządzie. </w:t>
      </w:r>
    </w:p>
    <w:p w14:paraId="5533F821" w14:textId="77777777" w:rsidR="00950534" w:rsidRDefault="00950534" w:rsidP="00950534">
      <w:pPr>
        <w:pStyle w:val="ClinContent"/>
        <w:widowControl w:val="0"/>
        <w:spacing w:before="0"/>
        <w:rPr>
          <w:rFonts w:asciiTheme="minorHAnsi" w:hAnsiTheme="minorHAnsi"/>
          <w:sz w:val="24"/>
          <w:lang w:val="pl-PL"/>
        </w:rPr>
      </w:pPr>
    </w:p>
    <w:p w14:paraId="45C2F2BD" w14:textId="76979F2F"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w:t>
      </w:r>
      <w:r>
        <w:rPr>
          <w:rFonts w:asciiTheme="minorHAnsi" w:hAnsiTheme="minorHAnsi"/>
          <w:sz w:val="24"/>
          <w:lang w:val="pl-PL"/>
        </w:rPr>
        <w:t>omawianej</w:t>
      </w:r>
      <w:r w:rsidRPr="00B15C52">
        <w:rPr>
          <w:rFonts w:asciiTheme="minorHAnsi" w:hAnsiTheme="minorHAnsi"/>
          <w:sz w:val="24"/>
          <w:lang w:val="pl-PL"/>
        </w:rPr>
        <w:t xml:space="preserve"> sprawie </w:t>
      </w:r>
      <w:r>
        <w:rPr>
          <w:rFonts w:asciiTheme="minorHAnsi" w:hAnsiTheme="minorHAnsi"/>
          <w:sz w:val="24"/>
          <w:lang w:val="pl-PL"/>
        </w:rPr>
        <w:t xml:space="preserve">Trybunał uznał, że </w:t>
      </w:r>
      <w:r w:rsidRPr="00B15C52">
        <w:rPr>
          <w:rFonts w:asciiTheme="minorHAnsi" w:hAnsiTheme="minorHAnsi"/>
          <w:sz w:val="24"/>
          <w:lang w:val="pl-PL"/>
        </w:rPr>
        <w:t xml:space="preserve">informacja przedłożona przez pozwany rząd uzasadniała usunięcie </w:t>
      </w:r>
      <w:r>
        <w:rPr>
          <w:rFonts w:asciiTheme="minorHAnsi" w:hAnsiTheme="minorHAnsi"/>
          <w:sz w:val="24"/>
          <w:lang w:val="pl-PL"/>
        </w:rPr>
        <w:t xml:space="preserve">z listy </w:t>
      </w:r>
      <w:r w:rsidRPr="00B15C52">
        <w:rPr>
          <w:rFonts w:asciiTheme="minorHAnsi" w:hAnsiTheme="minorHAnsi"/>
          <w:sz w:val="24"/>
          <w:lang w:val="pl-PL"/>
        </w:rPr>
        <w:t>290 osób z jednego lub kilku następujących powodów: osoby te</w:t>
      </w:r>
      <w:r w:rsidR="00206CCE">
        <w:rPr>
          <w:rFonts w:asciiTheme="minorHAnsi" w:hAnsiTheme="minorHAnsi"/>
          <w:sz w:val="24"/>
          <w:lang w:val="pl-PL"/>
        </w:rPr>
        <w:t> </w:t>
      </w:r>
      <w:r>
        <w:rPr>
          <w:rFonts w:asciiTheme="minorHAnsi" w:hAnsiTheme="minorHAnsi"/>
          <w:sz w:val="24"/>
          <w:lang w:val="pl-PL"/>
        </w:rPr>
        <w:t xml:space="preserve">były wymienione </w:t>
      </w:r>
      <w:r w:rsidRPr="00B15C52">
        <w:rPr>
          <w:rFonts w:asciiTheme="minorHAnsi" w:hAnsiTheme="minorHAnsi"/>
          <w:sz w:val="24"/>
          <w:lang w:val="pl-PL"/>
        </w:rPr>
        <w:t xml:space="preserve">na liście więcej niż jeden raz; złożyły skargi indywidualne do Trybunału; </w:t>
      </w:r>
      <w:r>
        <w:rPr>
          <w:rFonts w:asciiTheme="minorHAnsi" w:hAnsiTheme="minorHAnsi"/>
          <w:sz w:val="24"/>
          <w:lang w:val="pl-PL"/>
        </w:rPr>
        <w:t xml:space="preserve">uzyskały </w:t>
      </w:r>
      <w:r w:rsidRPr="00B15C52">
        <w:rPr>
          <w:rFonts w:asciiTheme="minorHAnsi" w:hAnsiTheme="minorHAnsi"/>
          <w:sz w:val="24"/>
          <w:lang w:val="pl-PL"/>
        </w:rPr>
        <w:t>obywatelstwo rosyjskie lub od początku posiadały obywatelstwo inne niż gruzińskie; nakazy wydalenia wydane zostały wobec nich przed lub po rozpatrywanym okresie; z</w:t>
      </w:r>
      <w:r w:rsidR="00206CCE">
        <w:rPr>
          <w:rFonts w:asciiTheme="minorHAnsi" w:hAnsiTheme="minorHAnsi"/>
          <w:sz w:val="24"/>
          <w:lang w:val="pl-PL"/>
        </w:rPr>
        <w:t> </w:t>
      </w:r>
      <w:r w:rsidRPr="00B15C52">
        <w:rPr>
          <w:rFonts w:asciiTheme="minorHAnsi" w:hAnsiTheme="minorHAnsi"/>
          <w:sz w:val="24"/>
          <w:lang w:val="pl-PL"/>
        </w:rPr>
        <w:t>powodzeniem wykorzystały one dostępne środki odwoławcze; nie było możliwe ich</w:t>
      </w:r>
      <w:r w:rsidR="00277D0F">
        <w:rPr>
          <w:rFonts w:asciiTheme="minorHAnsi" w:hAnsiTheme="minorHAnsi"/>
          <w:sz w:val="24"/>
          <w:lang w:val="pl-PL"/>
        </w:rPr>
        <w:t> </w:t>
      </w:r>
      <w:r w:rsidRPr="00B15C52">
        <w:rPr>
          <w:rFonts w:asciiTheme="minorHAnsi" w:hAnsiTheme="minorHAnsi"/>
          <w:sz w:val="24"/>
          <w:lang w:val="pl-PL"/>
        </w:rPr>
        <w:t xml:space="preserve">zidentyfikowanie lub skarżący rząd nie przedstawił w odniesieniu do nich wystarczająco uzasadnionych roszczeń. </w:t>
      </w:r>
    </w:p>
    <w:p w14:paraId="62E713F3" w14:textId="77777777" w:rsidR="00950534" w:rsidRDefault="00950534" w:rsidP="00950534">
      <w:pPr>
        <w:pStyle w:val="ClinContent"/>
        <w:widowControl w:val="0"/>
        <w:spacing w:before="0"/>
        <w:rPr>
          <w:rFonts w:asciiTheme="minorHAnsi" w:hAnsiTheme="minorHAnsi"/>
          <w:sz w:val="24"/>
          <w:lang w:val="pl-PL"/>
        </w:rPr>
      </w:pPr>
    </w:p>
    <w:p w14:paraId="55F54291" w14:textId="6F1919C0"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związku z powyższym</w:t>
      </w:r>
      <w:r>
        <w:rPr>
          <w:rFonts w:asciiTheme="minorHAnsi" w:hAnsiTheme="minorHAnsi"/>
          <w:sz w:val="24"/>
          <w:lang w:val="pl-PL"/>
        </w:rPr>
        <w:t xml:space="preserve"> Trybunał za „wystarczająco precyzyjną i obiektywnie możliwą</w:t>
      </w:r>
      <w:r w:rsidRPr="00B15C52">
        <w:rPr>
          <w:rFonts w:asciiTheme="minorHAnsi" w:hAnsiTheme="minorHAnsi"/>
          <w:sz w:val="24"/>
          <w:lang w:val="pl-PL"/>
        </w:rPr>
        <w:t xml:space="preserve"> do</w:t>
      </w:r>
      <w:r w:rsidR="00206CCE">
        <w:rPr>
          <w:rFonts w:asciiTheme="minorHAnsi" w:hAnsiTheme="minorHAnsi"/>
          <w:sz w:val="24"/>
          <w:lang w:val="pl-PL"/>
        </w:rPr>
        <w:t> </w:t>
      </w:r>
      <w:r w:rsidRPr="00B15C52">
        <w:rPr>
          <w:rFonts w:asciiTheme="minorHAnsi" w:hAnsiTheme="minorHAnsi"/>
          <w:sz w:val="24"/>
          <w:lang w:val="pl-PL"/>
        </w:rPr>
        <w:t xml:space="preserve">zidentyfikowania” </w:t>
      </w:r>
      <w:r>
        <w:rPr>
          <w:rFonts w:asciiTheme="minorHAnsi" w:hAnsiTheme="minorHAnsi"/>
          <w:sz w:val="24"/>
          <w:lang w:val="pl-PL"/>
        </w:rPr>
        <w:t>uznał grupę</w:t>
      </w:r>
      <w:r w:rsidRPr="00B15C52">
        <w:rPr>
          <w:rFonts w:asciiTheme="minorHAnsi" w:hAnsiTheme="minorHAnsi"/>
          <w:sz w:val="24"/>
          <w:lang w:val="pl-PL"/>
        </w:rPr>
        <w:t xml:space="preserve"> co najmniej 1500 obywateli gruzińskich, którzy byli ofiarami zbiorowego wydalania cudzoziemców, spośród których pewna liczba osób była również bezprawnie pozbawiona wolności oraz ucierpiała na skutek nieludzkich i</w:t>
      </w:r>
      <w:r w:rsidR="00206CCE">
        <w:rPr>
          <w:rFonts w:asciiTheme="minorHAnsi" w:hAnsiTheme="minorHAnsi"/>
          <w:sz w:val="24"/>
          <w:lang w:val="pl-PL"/>
        </w:rPr>
        <w:t> </w:t>
      </w:r>
      <w:r w:rsidRPr="00B15C52">
        <w:rPr>
          <w:rFonts w:asciiTheme="minorHAnsi" w:hAnsiTheme="minorHAnsi"/>
          <w:sz w:val="24"/>
          <w:lang w:val="pl-PL"/>
        </w:rPr>
        <w:t xml:space="preserve">poniżających warunków pozbawienia wolności. </w:t>
      </w:r>
    </w:p>
    <w:p w14:paraId="3D07A717" w14:textId="77777777" w:rsidR="00950534" w:rsidRDefault="00950534" w:rsidP="00950534">
      <w:pPr>
        <w:pStyle w:val="ClinContent"/>
        <w:widowControl w:val="0"/>
        <w:spacing w:before="0"/>
        <w:rPr>
          <w:rFonts w:asciiTheme="minorHAnsi" w:hAnsiTheme="minorHAnsi"/>
          <w:sz w:val="24"/>
          <w:lang w:val="pl-PL"/>
        </w:rPr>
      </w:pPr>
    </w:p>
    <w:p w14:paraId="69A20534" w14:textId="086E1625"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Przypominając, że w Konwencji brak jest wyraźnego postanowienia dotyczącego zasądzania odszkodowań tytułem szkody niemajątkowej, Trybunał odwołał się do zasad wyrażonych w</w:t>
      </w:r>
      <w:r w:rsidR="00206CCE">
        <w:rPr>
          <w:rFonts w:asciiTheme="minorHAnsi" w:hAnsiTheme="minorHAnsi"/>
          <w:sz w:val="24"/>
          <w:lang w:val="pl-PL"/>
        </w:rPr>
        <w:t> </w:t>
      </w:r>
      <w:r w:rsidRPr="00B15C52">
        <w:rPr>
          <w:rFonts w:asciiTheme="minorHAnsi" w:hAnsiTheme="minorHAnsi"/>
          <w:sz w:val="24"/>
          <w:lang w:val="pl-PL"/>
        </w:rPr>
        <w:t xml:space="preserve">licznych wyrokach dotyczących naruszeń </w:t>
      </w:r>
      <w:r>
        <w:rPr>
          <w:rFonts w:asciiTheme="minorHAnsi" w:hAnsiTheme="minorHAnsi"/>
          <w:sz w:val="24"/>
          <w:lang w:val="pl-PL"/>
        </w:rPr>
        <w:t xml:space="preserve">Konwencji </w:t>
      </w:r>
      <w:r w:rsidRPr="00B15C52">
        <w:rPr>
          <w:rFonts w:asciiTheme="minorHAnsi" w:hAnsiTheme="minorHAnsi"/>
          <w:sz w:val="24"/>
          <w:lang w:val="pl-PL"/>
        </w:rPr>
        <w:t>na masową skalę</w:t>
      </w:r>
      <w:r>
        <w:rPr>
          <w:rFonts w:asciiTheme="minorHAnsi" w:hAnsiTheme="minorHAnsi"/>
          <w:sz w:val="24"/>
          <w:lang w:val="pl-PL"/>
        </w:rPr>
        <w:t>.</w:t>
      </w:r>
      <w:r w:rsidRPr="00B15C52">
        <w:rPr>
          <w:rFonts w:asciiTheme="minorHAnsi" w:hAnsiTheme="minorHAnsi"/>
          <w:sz w:val="24"/>
          <w:lang w:val="pl-PL"/>
        </w:rPr>
        <w:t xml:space="preserve"> </w:t>
      </w:r>
      <w:r>
        <w:rPr>
          <w:rFonts w:asciiTheme="minorHAnsi" w:hAnsiTheme="minorHAnsi"/>
          <w:sz w:val="24"/>
          <w:lang w:val="pl-PL"/>
        </w:rPr>
        <w:t>P</w:t>
      </w:r>
      <w:r w:rsidRPr="00B15C52">
        <w:rPr>
          <w:rFonts w:asciiTheme="minorHAnsi" w:hAnsiTheme="minorHAnsi"/>
          <w:sz w:val="24"/>
          <w:lang w:val="pl-PL"/>
        </w:rPr>
        <w:t>rzy ocenie, czy</w:t>
      </w:r>
      <w:r w:rsidR="00206CCE">
        <w:rPr>
          <w:rFonts w:asciiTheme="minorHAnsi" w:hAnsiTheme="minorHAnsi"/>
          <w:sz w:val="24"/>
          <w:lang w:val="pl-PL"/>
        </w:rPr>
        <w:t> </w:t>
      </w:r>
      <w:r w:rsidRPr="00B15C52">
        <w:rPr>
          <w:rFonts w:asciiTheme="minorHAnsi" w:hAnsiTheme="minorHAnsi"/>
          <w:sz w:val="24"/>
          <w:lang w:val="pl-PL"/>
        </w:rPr>
        <w:t>należy przyznać odszkodowanie z tego tytułu, uwzględni</w:t>
      </w:r>
      <w:r>
        <w:rPr>
          <w:rFonts w:asciiTheme="minorHAnsi" w:hAnsiTheme="minorHAnsi"/>
          <w:sz w:val="24"/>
          <w:lang w:val="pl-PL"/>
        </w:rPr>
        <w:t>ał</w:t>
      </w:r>
      <w:r w:rsidRPr="00B15C52">
        <w:rPr>
          <w:rFonts w:asciiTheme="minorHAnsi" w:hAnsiTheme="minorHAnsi"/>
          <w:sz w:val="24"/>
          <w:lang w:val="pl-PL"/>
        </w:rPr>
        <w:t xml:space="preserve"> nie tylko sytuację skarżącego, ale także całościowy kontekst, w którym nastąpiło naruszenie. </w:t>
      </w:r>
      <w:r>
        <w:rPr>
          <w:rFonts w:asciiTheme="minorHAnsi" w:hAnsiTheme="minorHAnsi"/>
          <w:sz w:val="24"/>
          <w:lang w:val="pl-PL"/>
        </w:rPr>
        <w:t>Trybunał podkreślił, że</w:t>
      </w:r>
      <w:r w:rsidR="00206CCE">
        <w:rPr>
          <w:rFonts w:asciiTheme="minorHAnsi" w:hAnsiTheme="minorHAnsi"/>
          <w:sz w:val="24"/>
          <w:lang w:val="pl-PL"/>
        </w:rPr>
        <w:t> </w:t>
      </w:r>
      <w:r>
        <w:rPr>
          <w:rFonts w:asciiTheme="minorHAnsi" w:hAnsiTheme="minorHAnsi"/>
          <w:sz w:val="24"/>
          <w:lang w:val="pl-PL"/>
        </w:rPr>
        <w:t xml:space="preserve">zasądzane przez niego kwoty z </w:t>
      </w:r>
      <w:r w:rsidRPr="00B15C52">
        <w:rPr>
          <w:rFonts w:asciiTheme="minorHAnsi" w:hAnsiTheme="minorHAnsi"/>
          <w:sz w:val="24"/>
          <w:lang w:val="pl-PL"/>
        </w:rPr>
        <w:t xml:space="preserve">tytułu szkody niemajątkowej </w:t>
      </w:r>
      <w:r>
        <w:rPr>
          <w:rFonts w:asciiTheme="minorHAnsi" w:hAnsiTheme="minorHAnsi"/>
          <w:sz w:val="24"/>
          <w:lang w:val="pl-PL"/>
        </w:rPr>
        <w:t>były</w:t>
      </w:r>
      <w:r w:rsidRPr="00B15C52">
        <w:rPr>
          <w:rFonts w:asciiTheme="minorHAnsi" w:hAnsiTheme="minorHAnsi"/>
          <w:sz w:val="24"/>
          <w:lang w:val="pl-PL"/>
        </w:rPr>
        <w:t xml:space="preserve"> ustalane tak, by</w:t>
      </w:r>
      <w:r w:rsidR="00277D0F">
        <w:rPr>
          <w:rFonts w:asciiTheme="minorHAnsi" w:hAnsiTheme="minorHAnsi"/>
          <w:sz w:val="24"/>
          <w:lang w:val="pl-PL"/>
        </w:rPr>
        <w:t> </w:t>
      </w:r>
      <w:r w:rsidRPr="00B15C52">
        <w:rPr>
          <w:rFonts w:asciiTheme="minorHAnsi" w:hAnsiTheme="minorHAnsi"/>
          <w:sz w:val="24"/>
          <w:lang w:val="pl-PL"/>
        </w:rPr>
        <w:t>w</w:t>
      </w:r>
      <w:r w:rsidR="00206CCE">
        <w:rPr>
          <w:rFonts w:asciiTheme="minorHAnsi" w:hAnsiTheme="minorHAnsi"/>
          <w:sz w:val="24"/>
          <w:lang w:val="pl-PL"/>
        </w:rPr>
        <w:t> </w:t>
      </w:r>
      <w:r w:rsidRPr="00B15C52">
        <w:rPr>
          <w:rFonts w:asciiTheme="minorHAnsi" w:hAnsiTheme="minorHAnsi"/>
          <w:sz w:val="24"/>
          <w:lang w:val="pl-PL"/>
        </w:rPr>
        <w:t xml:space="preserve">najszerszym zakresie odzwierciedlały powagę poniesionej szkody. </w:t>
      </w:r>
    </w:p>
    <w:p w14:paraId="07AE92A8" w14:textId="77777777" w:rsidR="00950534" w:rsidRDefault="00950534" w:rsidP="00950534">
      <w:pPr>
        <w:pStyle w:val="ClinContent"/>
        <w:widowControl w:val="0"/>
        <w:spacing w:before="0"/>
        <w:rPr>
          <w:rFonts w:asciiTheme="minorHAnsi" w:hAnsiTheme="minorHAnsi"/>
          <w:sz w:val="24"/>
          <w:lang w:val="pl-PL"/>
        </w:rPr>
      </w:pPr>
    </w:p>
    <w:p w14:paraId="4F3CE6A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 Następnie Trybunał dokonał </w:t>
      </w:r>
      <w:r w:rsidRPr="00D9624A">
        <w:rPr>
          <w:rFonts w:asciiTheme="minorHAnsi" w:hAnsiTheme="minorHAnsi"/>
          <w:sz w:val="24"/>
          <w:u w:val="single"/>
          <w:lang w:val="pl-PL"/>
        </w:rPr>
        <w:t>oceny szkody niemajątkowej</w:t>
      </w:r>
      <w:r>
        <w:rPr>
          <w:rFonts w:asciiTheme="minorHAnsi" w:hAnsiTheme="minorHAnsi"/>
          <w:sz w:val="24"/>
          <w:lang w:val="pl-PL"/>
        </w:rPr>
        <w:t xml:space="preserve"> w omawianej sprawie. </w:t>
      </w:r>
    </w:p>
    <w:p w14:paraId="6E6AB57E" w14:textId="77777777" w:rsidR="00950534" w:rsidRDefault="00950534" w:rsidP="00950534">
      <w:pPr>
        <w:pStyle w:val="ClinContent"/>
        <w:widowControl w:val="0"/>
        <w:spacing w:before="0"/>
        <w:rPr>
          <w:rFonts w:asciiTheme="minorHAnsi" w:hAnsiTheme="minorHAnsi"/>
          <w:sz w:val="24"/>
          <w:lang w:val="pl-PL"/>
        </w:rPr>
      </w:pPr>
    </w:p>
    <w:p w14:paraId="0EC18E86" w14:textId="6F3A27CF"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Pomimo dużej liczby niemożliwych do oszacowania czynników wchodzących w grę</w:t>
      </w:r>
      <w:r>
        <w:rPr>
          <w:rFonts w:asciiTheme="minorHAnsi" w:hAnsiTheme="minorHAnsi"/>
          <w:sz w:val="24"/>
          <w:lang w:val="pl-PL"/>
        </w:rPr>
        <w:t xml:space="preserve"> w</w:t>
      </w:r>
      <w:r w:rsidR="00206CCE">
        <w:rPr>
          <w:rFonts w:asciiTheme="minorHAnsi" w:hAnsiTheme="minorHAnsi"/>
          <w:sz w:val="24"/>
          <w:lang w:val="pl-PL"/>
        </w:rPr>
        <w:t> </w:t>
      </w:r>
      <w:r>
        <w:rPr>
          <w:rFonts w:asciiTheme="minorHAnsi" w:hAnsiTheme="minorHAnsi"/>
          <w:sz w:val="24"/>
          <w:lang w:val="pl-PL"/>
        </w:rPr>
        <w:t>omawianej sprawie</w:t>
      </w:r>
      <w:r w:rsidRPr="00B15C52">
        <w:rPr>
          <w:rFonts w:asciiTheme="minorHAnsi" w:hAnsiTheme="minorHAnsi"/>
          <w:sz w:val="24"/>
          <w:lang w:val="pl-PL"/>
        </w:rPr>
        <w:t>,</w:t>
      </w:r>
      <w:r>
        <w:rPr>
          <w:rFonts w:asciiTheme="minorHAnsi" w:hAnsiTheme="minorHAnsi"/>
          <w:sz w:val="24"/>
          <w:lang w:val="pl-PL"/>
        </w:rPr>
        <w:t xml:space="preserve"> </w:t>
      </w:r>
      <w:r w:rsidRPr="00B15C52">
        <w:rPr>
          <w:rFonts w:asciiTheme="minorHAnsi" w:hAnsiTheme="minorHAnsi"/>
          <w:sz w:val="24"/>
          <w:lang w:val="pl-PL"/>
        </w:rPr>
        <w:t>co wynika</w:t>
      </w:r>
      <w:r>
        <w:rPr>
          <w:rFonts w:asciiTheme="minorHAnsi" w:hAnsiTheme="minorHAnsi"/>
          <w:sz w:val="24"/>
          <w:lang w:val="pl-PL"/>
        </w:rPr>
        <w:t>ło</w:t>
      </w:r>
      <w:r w:rsidRPr="00B15C52">
        <w:rPr>
          <w:rFonts w:asciiTheme="minorHAnsi" w:hAnsiTheme="minorHAnsi"/>
          <w:sz w:val="24"/>
          <w:lang w:val="pl-PL"/>
        </w:rPr>
        <w:t xml:space="preserve"> m.in. z upływu czasu, </w:t>
      </w:r>
      <w:r>
        <w:rPr>
          <w:rFonts w:asciiTheme="minorHAnsi" w:hAnsiTheme="minorHAnsi"/>
          <w:sz w:val="24"/>
          <w:lang w:val="pl-PL"/>
        </w:rPr>
        <w:t>Trybunał nie miał</w:t>
      </w:r>
      <w:r w:rsidRPr="00B15C52">
        <w:rPr>
          <w:rFonts w:asciiTheme="minorHAnsi" w:hAnsiTheme="minorHAnsi"/>
          <w:sz w:val="24"/>
          <w:lang w:val="pl-PL"/>
        </w:rPr>
        <w:t xml:space="preserve"> wątpliwości, że</w:t>
      </w:r>
      <w:r w:rsidR="00206CCE">
        <w:rPr>
          <w:rFonts w:asciiTheme="minorHAnsi" w:hAnsiTheme="minorHAnsi"/>
          <w:sz w:val="24"/>
          <w:lang w:val="pl-PL"/>
        </w:rPr>
        <w:t> </w:t>
      </w:r>
      <w:r w:rsidRPr="00B15C52">
        <w:rPr>
          <w:rFonts w:asciiTheme="minorHAnsi" w:hAnsiTheme="minorHAnsi"/>
          <w:sz w:val="24"/>
          <w:lang w:val="pl-PL"/>
        </w:rPr>
        <w:t>ofiary doznały traumy i doświadczyły uczuć udręki, niepokoju i upokorzenia w czasie, gdy</w:t>
      </w:r>
      <w:r w:rsidR="00206CCE">
        <w:rPr>
          <w:rFonts w:asciiTheme="minorHAnsi" w:hAnsiTheme="minorHAnsi"/>
          <w:sz w:val="24"/>
          <w:lang w:val="pl-PL"/>
        </w:rPr>
        <w:t> </w:t>
      </w:r>
      <w:r w:rsidRPr="00B15C52">
        <w:rPr>
          <w:rFonts w:asciiTheme="minorHAnsi" w:hAnsiTheme="minorHAnsi"/>
          <w:sz w:val="24"/>
          <w:lang w:val="pl-PL"/>
        </w:rPr>
        <w:t xml:space="preserve">stosowano przedmiotową praktykę administracyjną. </w:t>
      </w:r>
      <w:r>
        <w:rPr>
          <w:rFonts w:asciiTheme="minorHAnsi" w:hAnsiTheme="minorHAnsi"/>
          <w:sz w:val="24"/>
          <w:lang w:val="pl-PL"/>
        </w:rPr>
        <w:t>Uznał, że same s</w:t>
      </w:r>
      <w:r w:rsidRPr="00B15C52">
        <w:rPr>
          <w:rFonts w:asciiTheme="minorHAnsi" w:hAnsiTheme="minorHAnsi"/>
          <w:sz w:val="24"/>
          <w:lang w:val="pl-PL"/>
        </w:rPr>
        <w:t xml:space="preserve">twierdzenia naruszeń nie </w:t>
      </w:r>
      <w:r>
        <w:rPr>
          <w:rFonts w:asciiTheme="minorHAnsi" w:hAnsiTheme="minorHAnsi"/>
          <w:sz w:val="24"/>
          <w:lang w:val="pl-PL"/>
        </w:rPr>
        <w:t xml:space="preserve">są </w:t>
      </w:r>
      <w:r w:rsidRPr="00B15C52">
        <w:rPr>
          <w:rFonts w:asciiTheme="minorHAnsi" w:hAnsiTheme="minorHAnsi"/>
          <w:sz w:val="24"/>
          <w:lang w:val="pl-PL"/>
        </w:rPr>
        <w:t>wystarczające do zapewnienia odpowiedniego odszkodowania</w:t>
      </w:r>
      <w:r>
        <w:rPr>
          <w:rFonts w:asciiTheme="minorHAnsi" w:hAnsiTheme="minorHAnsi"/>
          <w:sz w:val="24"/>
          <w:lang w:val="pl-PL"/>
        </w:rPr>
        <w:t xml:space="preserve">, i zdecydował o zasądzeniu kwot tytułem szkody niemajątkowej. </w:t>
      </w:r>
    </w:p>
    <w:p w14:paraId="328565F3" w14:textId="77777777" w:rsidR="00950534" w:rsidRDefault="00950534" w:rsidP="00950534">
      <w:pPr>
        <w:pStyle w:val="ClinContent"/>
        <w:widowControl w:val="0"/>
        <w:spacing w:before="0"/>
        <w:rPr>
          <w:rFonts w:asciiTheme="minorHAnsi" w:hAnsiTheme="minorHAnsi"/>
          <w:sz w:val="24"/>
          <w:lang w:val="pl-PL"/>
        </w:rPr>
      </w:pPr>
    </w:p>
    <w:p w14:paraId="42A4E8C1"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przypomniał, że kwestia </w:t>
      </w:r>
      <w:r w:rsidRPr="00B15C52">
        <w:rPr>
          <w:rFonts w:asciiTheme="minorHAnsi" w:hAnsiTheme="minorHAnsi"/>
          <w:sz w:val="24"/>
          <w:lang w:val="pl-PL"/>
        </w:rPr>
        <w:t>obliczenia poziomu słusznego zadośćuczynienia, jaki należy zasądzić, należy do uznania Trybunału</w:t>
      </w:r>
      <w:r>
        <w:rPr>
          <w:rFonts w:asciiTheme="minorHAnsi" w:hAnsiTheme="minorHAnsi"/>
          <w:sz w:val="24"/>
          <w:lang w:val="pl-PL"/>
        </w:rPr>
        <w:t>. Wyjaśnił jednak, że</w:t>
      </w:r>
      <w:r w:rsidRPr="00B15C52">
        <w:rPr>
          <w:rFonts w:asciiTheme="minorHAnsi" w:hAnsiTheme="minorHAnsi"/>
          <w:sz w:val="24"/>
          <w:lang w:val="pl-PL"/>
        </w:rPr>
        <w:t xml:space="preserve"> zawsze odmawiał zasądzania odszkodowań o charakterze karnym lub przykładowym</w:t>
      </w:r>
      <w:r>
        <w:rPr>
          <w:rFonts w:asciiTheme="minorHAnsi" w:hAnsiTheme="minorHAnsi"/>
          <w:sz w:val="24"/>
          <w:lang w:val="pl-PL"/>
        </w:rPr>
        <w:t>,</w:t>
      </w:r>
      <w:r w:rsidRPr="00B15C52">
        <w:rPr>
          <w:rFonts w:asciiTheme="minorHAnsi" w:hAnsiTheme="minorHAnsi"/>
          <w:sz w:val="24"/>
          <w:lang w:val="pl-PL"/>
        </w:rPr>
        <w:t xml:space="preserve"> nawet w odniesieniu do roszczeń zgłaszanych przez indywidualne ofiary praktyki administracyjnej. </w:t>
      </w:r>
      <w:r>
        <w:rPr>
          <w:rFonts w:asciiTheme="minorHAnsi" w:hAnsiTheme="minorHAnsi"/>
          <w:sz w:val="24"/>
          <w:lang w:val="pl-PL"/>
        </w:rPr>
        <w:t>W omawianej sprawie, o</w:t>
      </w:r>
      <w:r w:rsidRPr="00B15C52">
        <w:rPr>
          <w:rFonts w:asciiTheme="minorHAnsi" w:hAnsiTheme="minorHAnsi"/>
          <w:sz w:val="24"/>
          <w:lang w:val="pl-PL"/>
        </w:rPr>
        <w:t xml:space="preserve">rzekając na zasadzie słuszności, Trybunał uznał za uzasadnione zasądzić </w:t>
      </w:r>
      <w:r w:rsidRPr="00982684">
        <w:rPr>
          <w:rFonts w:asciiTheme="minorHAnsi" w:hAnsiTheme="minorHAnsi"/>
          <w:sz w:val="24"/>
          <w:lang w:val="pl-PL"/>
        </w:rPr>
        <w:t xml:space="preserve">wskazane poniżej </w:t>
      </w:r>
      <w:r>
        <w:rPr>
          <w:rFonts w:asciiTheme="minorHAnsi" w:hAnsiTheme="minorHAnsi"/>
          <w:sz w:val="24"/>
          <w:lang w:val="pl-PL"/>
        </w:rPr>
        <w:lastRenderedPageBreak/>
        <w:t>kwoty:</w:t>
      </w:r>
    </w:p>
    <w:p w14:paraId="4B8206E9"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2000 euro dla każdej ofiary naruszenia samego art. 4 Protokołu nr 4;</w:t>
      </w:r>
    </w:p>
    <w:p w14:paraId="564FE778" w14:textId="5C26D560"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od 10 000 do 15 000 euro dla osób, które były ofiarami naruszenia także art. 5 ust. 1 i</w:t>
      </w:r>
      <w:r w:rsidR="00206CCE">
        <w:rPr>
          <w:rFonts w:asciiTheme="minorHAnsi" w:hAnsiTheme="minorHAnsi"/>
          <w:sz w:val="24"/>
          <w:lang w:val="pl-PL"/>
        </w:rPr>
        <w:t> </w:t>
      </w:r>
      <w:r w:rsidRPr="00B15C52">
        <w:rPr>
          <w:rFonts w:asciiTheme="minorHAnsi" w:hAnsiTheme="minorHAnsi"/>
          <w:sz w:val="24"/>
          <w:lang w:val="pl-PL"/>
        </w:rPr>
        <w:t>art. 3 Konwencji, uwzględniając długość pozbawienia wolności poszczególnych osób.</w:t>
      </w:r>
    </w:p>
    <w:p w14:paraId="526FC3BB" w14:textId="77777777" w:rsidR="00950534" w:rsidRDefault="00950534" w:rsidP="00950534">
      <w:pPr>
        <w:pStyle w:val="ClinContent"/>
        <w:widowControl w:val="0"/>
        <w:spacing w:before="0"/>
        <w:rPr>
          <w:rFonts w:asciiTheme="minorHAnsi" w:hAnsiTheme="minorHAnsi"/>
          <w:sz w:val="24"/>
          <w:lang w:val="pl-PL"/>
        </w:rPr>
      </w:pPr>
    </w:p>
    <w:p w14:paraId="24B4AE4F" w14:textId="712056BA" w:rsidR="00950534" w:rsidRDefault="00950534" w:rsidP="00950534">
      <w:pPr>
        <w:pStyle w:val="ClinContent"/>
        <w:widowControl w:val="0"/>
        <w:spacing w:before="0"/>
        <w:rPr>
          <w:rFonts w:asciiTheme="minorHAnsi" w:hAnsiTheme="minorHAnsi"/>
          <w:i/>
          <w:sz w:val="24"/>
          <w:lang w:val="pl-PL"/>
        </w:rPr>
      </w:pPr>
      <w:r>
        <w:rPr>
          <w:rFonts w:asciiTheme="minorHAnsi" w:hAnsiTheme="minorHAnsi"/>
          <w:sz w:val="24"/>
          <w:lang w:val="pl-PL"/>
        </w:rPr>
        <w:t xml:space="preserve">Trybunał postanowił, szesnastoma głosami do jednego, zasądzić kwotę </w:t>
      </w:r>
      <w:r w:rsidRPr="00B15C52">
        <w:rPr>
          <w:rFonts w:asciiTheme="minorHAnsi" w:hAnsiTheme="minorHAnsi"/>
          <w:sz w:val="24"/>
          <w:lang w:val="pl-PL"/>
        </w:rPr>
        <w:t>10 000 000 euro tytułem szkody</w:t>
      </w:r>
      <w:r w:rsidRPr="00B15C52">
        <w:rPr>
          <w:rFonts w:asciiTheme="minorHAnsi" w:hAnsiTheme="minorHAnsi"/>
          <w:i/>
          <w:sz w:val="24"/>
          <w:lang w:val="pl-PL"/>
        </w:rPr>
        <w:t xml:space="preserve"> </w:t>
      </w:r>
      <w:r w:rsidRPr="00B15C52">
        <w:rPr>
          <w:rFonts w:asciiTheme="minorHAnsi" w:hAnsiTheme="minorHAnsi"/>
          <w:sz w:val="24"/>
          <w:lang w:val="pl-PL"/>
        </w:rPr>
        <w:t xml:space="preserve">niemajątkowej, które </w:t>
      </w:r>
      <w:r>
        <w:rPr>
          <w:rFonts w:asciiTheme="minorHAnsi" w:hAnsiTheme="minorHAnsi"/>
          <w:sz w:val="24"/>
          <w:lang w:val="pl-PL"/>
        </w:rPr>
        <w:t xml:space="preserve">pozwany rząd ma </w:t>
      </w:r>
      <w:r w:rsidRPr="00B15C52">
        <w:rPr>
          <w:rFonts w:asciiTheme="minorHAnsi" w:hAnsiTheme="minorHAnsi"/>
          <w:sz w:val="24"/>
          <w:lang w:val="pl-PL"/>
        </w:rPr>
        <w:t xml:space="preserve">wypłacić skarżącemu rządowi i które mają być rozdzielone wśród ofiar (grupy co najmniej 1500 obywateli gruzińskich) w terminie 18 miesięcy (lub w innym terminie uznanym za właściwy przez Komitet Ministrów) </w:t>
      </w:r>
      <w:r>
        <w:rPr>
          <w:rFonts w:asciiTheme="minorHAnsi" w:hAnsiTheme="minorHAnsi"/>
          <w:sz w:val="24"/>
          <w:lang w:val="pl-PL"/>
        </w:rPr>
        <w:t>zgodnie z</w:t>
      </w:r>
      <w:r w:rsidR="00206CCE">
        <w:rPr>
          <w:rFonts w:asciiTheme="minorHAnsi" w:hAnsiTheme="minorHAnsi"/>
          <w:sz w:val="24"/>
          <w:lang w:val="pl-PL"/>
        </w:rPr>
        <w:t> </w:t>
      </w:r>
      <w:r>
        <w:rPr>
          <w:rFonts w:asciiTheme="minorHAnsi" w:hAnsiTheme="minorHAnsi"/>
          <w:sz w:val="24"/>
          <w:lang w:val="pl-PL"/>
        </w:rPr>
        <w:t>powyższymi wskazaniami</w:t>
      </w:r>
      <w:r w:rsidRPr="00B15C52">
        <w:rPr>
          <w:rFonts w:asciiTheme="minorHAnsi" w:hAnsiTheme="minorHAnsi"/>
          <w:sz w:val="24"/>
          <w:lang w:val="pl-PL"/>
        </w:rPr>
        <w:t xml:space="preserve">. </w:t>
      </w:r>
    </w:p>
    <w:p w14:paraId="428FCA37" w14:textId="77777777" w:rsidR="00950534" w:rsidRDefault="00950534" w:rsidP="00950534">
      <w:pPr>
        <w:pStyle w:val="ClinContent"/>
        <w:widowControl w:val="0"/>
        <w:spacing w:before="0"/>
        <w:rPr>
          <w:rFonts w:asciiTheme="minorHAnsi" w:hAnsiTheme="minorHAnsi"/>
          <w:sz w:val="24"/>
          <w:lang w:val="pl-PL"/>
        </w:rPr>
      </w:pPr>
    </w:p>
    <w:p w14:paraId="214D7EB1"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iii) Trybunał ponadto orzekł, </w:t>
      </w:r>
      <w:r w:rsidRPr="003253FE">
        <w:rPr>
          <w:rFonts w:asciiTheme="minorHAnsi" w:hAnsiTheme="minorHAnsi"/>
          <w:sz w:val="24"/>
          <w:u w:val="single"/>
          <w:lang w:val="pl-PL"/>
        </w:rPr>
        <w:t>w odniesieniu do art. 46</w:t>
      </w:r>
      <w:r>
        <w:rPr>
          <w:rFonts w:asciiTheme="minorHAnsi" w:hAnsiTheme="minorHAnsi"/>
          <w:sz w:val="24"/>
          <w:u w:val="single"/>
          <w:lang w:val="pl-PL"/>
        </w:rPr>
        <w:t xml:space="preserve"> (moc obowiązująca i wykonanie wyroków)</w:t>
      </w:r>
      <w:r w:rsidRPr="003253FE">
        <w:rPr>
          <w:rFonts w:asciiTheme="minorHAnsi" w:hAnsiTheme="minorHAnsi"/>
          <w:sz w:val="24"/>
          <w:u w:val="single"/>
          <w:lang w:val="pl-PL"/>
        </w:rPr>
        <w:t xml:space="preserve"> interpretowanego w świetle art. 1</w:t>
      </w:r>
      <w:r>
        <w:rPr>
          <w:rFonts w:asciiTheme="minorHAnsi" w:hAnsiTheme="minorHAnsi"/>
          <w:sz w:val="24"/>
          <w:u w:val="single"/>
          <w:lang w:val="pl-PL"/>
        </w:rPr>
        <w:t xml:space="preserve"> </w:t>
      </w:r>
      <w:r w:rsidRPr="003253FE">
        <w:rPr>
          <w:rFonts w:asciiTheme="minorHAnsi" w:hAnsiTheme="minorHAnsi"/>
          <w:sz w:val="24"/>
          <w:u w:val="single"/>
          <w:lang w:val="pl-PL"/>
        </w:rPr>
        <w:t>Konwencji</w:t>
      </w:r>
      <w:r w:rsidRPr="00B15C52">
        <w:rPr>
          <w:rFonts w:asciiTheme="minorHAnsi" w:hAnsiTheme="minorHAnsi"/>
          <w:sz w:val="24"/>
          <w:lang w:val="pl-PL"/>
        </w:rPr>
        <w:t xml:space="preserve">, </w:t>
      </w:r>
      <w:r>
        <w:rPr>
          <w:rFonts w:asciiTheme="minorHAnsi" w:hAnsiTheme="minorHAnsi"/>
          <w:sz w:val="24"/>
          <w:lang w:val="pl-PL"/>
        </w:rPr>
        <w:t xml:space="preserve">że skarżący </w:t>
      </w:r>
      <w:r w:rsidRPr="00B15C52">
        <w:rPr>
          <w:rFonts w:asciiTheme="minorHAnsi" w:hAnsiTheme="minorHAnsi"/>
          <w:sz w:val="24"/>
          <w:lang w:val="pl-PL"/>
        </w:rPr>
        <w:t xml:space="preserve">rząd powinien ustanowić skuteczny mechanizm dystrybucji przedmiotowych kwot wśród indywidualnych ofiar, mając na względzie wskazane wyżej wskazówki i wyłączenia. Mechanizm powinien być </w:t>
      </w:r>
      <w:r>
        <w:rPr>
          <w:rFonts w:asciiTheme="minorHAnsi" w:hAnsiTheme="minorHAnsi"/>
          <w:sz w:val="24"/>
          <w:lang w:val="pl-PL"/>
        </w:rPr>
        <w:t>wprowadzony</w:t>
      </w:r>
      <w:r w:rsidRPr="00B15C52">
        <w:rPr>
          <w:rFonts w:asciiTheme="minorHAnsi" w:hAnsiTheme="minorHAnsi"/>
          <w:sz w:val="24"/>
          <w:lang w:val="pl-PL"/>
        </w:rPr>
        <w:t xml:space="preserve"> pod nadzorem </w:t>
      </w:r>
      <w:hyperlink r:id="rId10" w:history="1">
        <w:r w:rsidRPr="00B15C52">
          <w:rPr>
            <w:rStyle w:val="Hipercze"/>
            <w:rFonts w:asciiTheme="minorHAnsi" w:hAnsiTheme="minorHAnsi"/>
            <w:sz w:val="24"/>
            <w:lang w:val="pl-PL"/>
          </w:rPr>
          <w:t>Komitetu Ministrów</w:t>
        </w:r>
      </w:hyperlink>
      <w:r w:rsidRPr="00B15C52">
        <w:rPr>
          <w:rFonts w:asciiTheme="minorHAnsi" w:hAnsiTheme="minorHAnsi"/>
          <w:sz w:val="24"/>
          <w:lang w:val="pl-PL"/>
        </w:rPr>
        <w:t xml:space="preserve"> i zgodnie z wszelkimi określonymi przez niego rozwiązaniami praktycznymi.</w:t>
      </w:r>
      <w:r>
        <w:rPr>
          <w:rFonts w:asciiTheme="minorHAnsi" w:hAnsiTheme="minorHAnsi"/>
          <w:sz w:val="24"/>
          <w:lang w:val="pl-PL"/>
        </w:rPr>
        <w:t xml:space="preserve"> </w:t>
      </w:r>
    </w:p>
    <w:p w14:paraId="3502168E" w14:textId="77777777" w:rsidR="00950534" w:rsidRDefault="00950534" w:rsidP="00950534">
      <w:pPr>
        <w:pStyle w:val="ClinContent"/>
        <w:widowControl w:val="0"/>
        <w:spacing w:before="0"/>
        <w:rPr>
          <w:rFonts w:asciiTheme="minorHAnsi" w:hAnsiTheme="minorHAnsi"/>
          <w:sz w:val="24"/>
          <w:lang w:val="pl-PL"/>
        </w:rPr>
      </w:pPr>
    </w:p>
    <w:p w14:paraId="2C281FA7" w14:textId="623C11ED" w:rsidR="00950534" w:rsidRDefault="00950534" w:rsidP="00950534">
      <w:pPr>
        <w:pStyle w:val="ClinContent"/>
        <w:widowControl w:val="0"/>
        <w:spacing w:before="0"/>
        <w:rPr>
          <w:rFonts w:asciiTheme="minorHAnsi" w:hAnsiTheme="minorHAnsi"/>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w:t>
      </w:r>
      <w:r>
        <w:rPr>
          <w:rFonts w:asciiTheme="minorHAnsi" w:hAnsiTheme="minorHAnsi" w:cs="Verdana"/>
          <w:bCs/>
          <w:sz w:val="24"/>
          <w:lang w:val="pl-PL"/>
        </w:rPr>
        <w:t xml:space="preserve"> Z uwagi na brak podobnych okoliczności prawnych i</w:t>
      </w:r>
      <w:r w:rsidR="00206CCE">
        <w:rPr>
          <w:rFonts w:asciiTheme="minorHAnsi" w:hAnsiTheme="minorHAnsi" w:cs="Verdana"/>
          <w:bCs/>
          <w:sz w:val="24"/>
          <w:lang w:val="pl-PL"/>
        </w:rPr>
        <w:t> </w:t>
      </w:r>
      <w:r>
        <w:rPr>
          <w:rFonts w:asciiTheme="minorHAnsi" w:hAnsiTheme="minorHAnsi" w:cs="Verdana"/>
          <w:bCs/>
          <w:sz w:val="24"/>
          <w:lang w:val="pl-PL"/>
        </w:rPr>
        <w:t xml:space="preserve">faktycznych, wyrok ma dla Polski znaczenie pośrednie jako przykład rozwoju praktyki orzeczniczej Trybunału w odniesieniu do skarg międzypaństwowych. Wyrok przypomina zasady prawa międzynarodowego dotyczące naprawienia szkody przez państwo, które dopuściło się naruszenia prawa międzynarodowego. </w:t>
      </w:r>
      <w:r>
        <w:rPr>
          <w:rFonts w:asciiTheme="minorHAnsi" w:hAnsiTheme="minorHAnsi"/>
          <w:sz w:val="24"/>
          <w:lang w:val="pl-PL"/>
        </w:rPr>
        <w:t>Przypomina także zasady wypracowane w orzecznictwie Trybunału w odniesieniu do sposobów naprawiania szkody niemajątkowej wynikającej z naruszeń Konwencji.</w:t>
      </w:r>
    </w:p>
    <w:p w14:paraId="1A5309E2" w14:textId="77777777" w:rsidR="00950534" w:rsidRDefault="00950534" w:rsidP="00950534">
      <w:pPr>
        <w:pStyle w:val="ClinContent"/>
        <w:widowControl w:val="0"/>
        <w:spacing w:before="0"/>
        <w:rPr>
          <w:rFonts w:asciiTheme="minorHAnsi" w:hAnsiTheme="minorHAnsi"/>
          <w:sz w:val="24"/>
          <w:lang w:val="pl-PL"/>
        </w:rPr>
      </w:pPr>
    </w:p>
    <w:p w14:paraId="7EAEF020" w14:textId="089EB2BB"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Trybunał zastosował w omawianej sprawie zasady sformułowane w przełomowym wyroku w</w:t>
      </w:r>
      <w:r w:rsidR="00206CCE">
        <w:rPr>
          <w:rFonts w:asciiTheme="minorHAnsi" w:hAnsiTheme="minorHAnsi" w:cs="Verdana"/>
          <w:bCs/>
          <w:sz w:val="24"/>
          <w:lang w:val="pl-PL"/>
        </w:rPr>
        <w:t> </w:t>
      </w:r>
      <w:r>
        <w:rPr>
          <w:rFonts w:asciiTheme="minorHAnsi" w:hAnsiTheme="minorHAnsi" w:cs="Verdana"/>
          <w:bCs/>
          <w:sz w:val="24"/>
          <w:lang w:val="pl-PL"/>
        </w:rPr>
        <w:t xml:space="preserve">sprawie </w:t>
      </w:r>
      <w:r w:rsidRPr="00B15C52">
        <w:rPr>
          <w:rFonts w:asciiTheme="minorHAnsi" w:hAnsiTheme="minorHAnsi"/>
          <w:i/>
          <w:sz w:val="24"/>
          <w:lang w:val="pl-PL"/>
        </w:rPr>
        <w:t>Cypr p. Turcji</w:t>
      </w:r>
      <w:r w:rsidRPr="00B15C52">
        <w:rPr>
          <w:rFonts w:asciiTheme="minorHAnsi" w:hAnsiTheme="minorHAnsi"/>
          <w:sz w:val="24"/>
          <w:lang w:val="pl-PL"/>
        </w:rPr>
        <w:t xml:space="preserve"> </w:t>
      </w:r>
      <w:r>
        <w:rPr>
          <w:rFonts w:asciiTheme="minorHAnsi" w:hAnsiTheme="minorHAnsi"/>
          <w:sz w:val="24"/>
          <w:lang w:val="pl-PL"/>
        </w:rPr>
        <w:t>(</w:t>
      </w:r>
      <w:r w:rsidRPr="00B15C52">
        <w:rPr>
          <w:rFonts w:asciiTheme="minorHAnsi" w:hAnsiTheme="minorHAnsi"/>
          <w:sz w:val="24"/>
          <w:lang w:val="pl-PL"/>
        </w:rPr>
        <w:t>słuszne zadośćuczynienie [WI], nr 25781/94, 12 maja 2014 r.</w:t>
      </w:r>
      <w:r>
        <w:rPr>
          <w:rFonts w:asciiTheme="minorHAnsi" w:hAnsiTheme="minorHAnsi"/>
          <w:sz w:val="24"/>
          <w:lang w:val="pl-PL"/>
        </w:rPr>
        <w:t xml:space="preserve">). Wskazał też kryteria do ustalania grupy osób uprawnionych do słusznego zadośćuczynienia. Jednak odmiennie niż w sprawie </w:t>
      </w:r>
      <w:r w:rsidRPr="002E189D">
        <w:rPr>
          <w:rFonts w:asciiTheme="minorHAnsi" w:hAnsiTheme="minorHAnsi"/>
          <w:i/>
          <w:sz w:val="24"/>
          <w:lang w:val="pl-PL"/>
        </w:rPr>
        <w:t>Cypr p. Turcji</w:t>
      </w:r>
      <w:r>
        <w:rPr>
          <w:rFonts w:asciiTheme="minorHAnsi" w:hAnsiTheme="minorHAnsi"/>
          <w:sz w:val="24"/>
          <w:lang w:val="pl-PL"/>
        </w:rPr>
        <w:t xml:space="preserve"> Trybunał sformułował także szczegółowe wytyczne dotyczące sposobu wyliczania kwot słusznego zadośćuczynienia dla</w:t>
      </w:r>
      <w:r w:rsidR="00206CCE">
        <w:rPr>
          <w:rFonts w:asciiTheme="minorHAnsi" w:hAnsiTheme="minorHAnsi"/>
          <w:sz w:val="24"/>
          <w:lang w:val="pl-PL"/>
        </w:rPr>
        <w:t> </w:t>
      </w:r>
      <w:r>
        <w:rPr>
          <w:rFonts w:asciiTheme="minorHAnsi" w:hAnsiTheme="minorHAnsi"/>
          <w:sz w:val="24"/>
          <w:lang w:val="pl-PL"/>
        </w:rPr>
        <w:t>poszczególnych osób poszkodowanych naruszeniem Konwencji. Jednocześnie Trybunał nie uwzględnił argumentu pozwanego państwa, iż ustalenie faktów sprawy każdego poszkodowanego i określenie wysokości zadośćuczynienia powinno być dokonane przez Trybunał. Trybunał po raz kolejny potwierdził, że jego rolą jako międzynarodowego sądu praw człowieka nie jest zajmowanie się szczegółowym wyliczaniem kwot zadośćuczynień dla</w:t>
      </w:r>
      <w:r w:rsidR="00206CCE">
        <w:rPr>
          <w:rFonts w:asciiTheme="minorHAnsi" w:hAnsiTheme="minorHAnsi"/>
          <w:sz w:val="24"/>
          <w:lang w:val="pl-PL"/>
        </w:rPr>
        <w:t> </w:t>
      </w:r>
      <w:r>
        <w:rPr>
          <w:rFonts w:asciiTheme="minorHAnsi" w:hAnsiTheme="minorHAnsi"/>
          <w:sz w:val="24"/>
          <w:lang w:val="pl-PL"/>
        </w:rPr>
        <w:t>dużych grup indywidualnych ofiar, szczególnie w kontekście skarg międzypaństwowych, i</w:t>
      </w:r>
      <w:r w:rsidR="00206CCE">
        <w:rPr>
          <w:rFonts w:asciiTheme="minorHAnsi" w:hAnsiTheme="minorHAnsi"/>
          <w:sz w:val="24"/>
          <w:lang w:val="pl-PL"/>
        </w:rPr>
        <w:t> </w:t>
      </w:r>
      <w:r>
        <w:rPr>
          <w:rFonts w:asciiTheme="minorHAnsi" w:hAnsiTheme="minorHAnsi"/>
          <w:sz w:val="24"/>
          <w:lang w:val="pl-PL"/>
        </w:rPr>
        <w:t xml:space="preserve">przekazał to zadanie skarżącemu rządowi działającemu pod nadzorem Komitetu Ministrów RE, traktując to jako </w:t>
      </w:r>
      <w:r w:rsidRPr="009C4DA1">
        <w:rPr>
          <w:rFonts w:asciiTheme="minorHAnsi" w:hAnsiTheme="minorHAnsi"/>
          <w:i/>
          <w:sz w:val="24"/>
          <w:lang w:val="pl-PL"/>
        </w:rPr>
        <w:t>sui generis</w:t>
      </w:r>
      <w:r>
        <w:rPr>
          <w:rFonts w:asciiTheme="minorHAnsi" w:hAnsiTheme="minorHAnsi"/>
          <w:sz w:val="24"/>
          <w:lang w:val="pl-PL"/>
        </w:rPr>
        <w:t xml:space="preserve"> etap wykonania wyroku. </w:t>
      </w:r>
    </w:p>
    <w:p w14:paraId="183EF157" w14:textId="77777777" w:rsidR="00950534" w:rsidRDefault="00950534" w:rsidP="00950534">
      <w:pPr>
        <w:pStyle w:val="ClinContent"/>
        <w:widowControl w:val="0"/>
        <w:spacing w:before="0"/>
        <w:rPr>
          <w:rFonts w:asciiTheme="minorHAnsi" w:hAnsiTheme="minorHAnsi"/>
          <w:sz w:val="24"/>
          <w:lang w:val="pl-PL"/>
        </w:rPr>
      </w:pPr>
    </w:p>
    <w:p w14:paraId="41BD57DE" w14:textId="3DF4A0C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 uwagi na dużą liczbę rozpatrywanych skarg i swe ograniczone zasoby Trybunał w ostatnich latach często bowiem podkreśla, że jego główną rolą powinno być rozstrzyganie zagadnień prawnych na podstawie Konwencji, a nie jedynie szczegółowych kwestii dotyczących wyliczania zadośćuczynień w odniesieniu do indywidualnych okoliczności poszczególnych skarżących. Z tego względu kwestię zadośćuczynień w odniesieniu do tzw. spraw powtarzalnych (w przypadku których wszystkie zagadnienia prawne na podstawie Konwencji zostały rozstrzygnięte we wcześniejszych wyrokach) Trybunał rozpatruje najczęściej w</w:t>
      </w:r>
      <w:r w:rsidR="00206CCE">
        <w:rPr>
          <w:rFonts w:asciiTheme="minorHAnsi" w:hAnsiTheme="minorHAnsi"/>
          <w:sz w:val="24"/>
          <w:lang w:val="pl-PL"/>
        </w:rPr>
        <w:t> </w:t>
      </w:r>
      <w:r>
        <w:rPr>
          <w:rFonts w:asciiTheme="minorHAnsi" w:hAnsiTheme="minorHAnsi"/>
          <w:sz w:val="24"/>
          <w:lang w:val="pl-PL"/>
        </w:rPr>
        <w:t xml:space="preserve">uproszczonych procedurach komitetowych, a niekiedy przekazuje pod nadzór Komitetu </w:t>
      </w:r>
      <w:r>
        <w:rPr>
          <w:rFonts w:asciiTheme="minorHAnsi" w:hAnsiTheme="minorHAnsi"/>
          <w:sz w:val="24"/>
          <w:lang w:val="pl-PL"/>
        </w:rPr>
        <w:lastRenderedPageBreak/>
        <w:t xml:space="preserve">Ministrów RE (por. wyrok w sprawie </w:t>
      </w:r>
      <w:hyperlink r:id="rId11" w:history="1">
        <w:r w:rsidRPr="00404457">
          <w:rPr>
            <w:rStyle w:val="Hipercze"/>
            <w:rFonts w:asciiTheme="minorHAnsi" w:hAnsiTheme="minorHAnsi"/>
            <w:i/>
            <w:sz w:val="24"/>
            <w:lang w:val="pl-PL"/>
          </w:rPr>
          <w:t>Burmych i Inni p. Ukrainie</w:t>
        </w:r>
      </w:hyperlink>
      <w:r w:rsidRPr="00BD0BA9">
        <w:rPr>
          <w:rFonts w:asciiTheme="minorHAnsi" w:hAnsiTheme="minorHAnsi"/>
          <w:sz w:val="24"/>
          <w:lang w:val="pl-PL"/>
        </w:rPr>
        <w:t>, skargi nr 46852/13, 47786/13, 54125/13 i in., wyrok Wielkiej Izby z 12 października 2017 r.</w:t>
      </w:r>
      <w:r>
        <w:rPr>
          <w:rFonts w:asciiTheme="minorHAnsi" w:hAnsiTheme="minorHAnsi"/>
          <w:sz w:val="24"/>
          <w:lang w:val="pl-PL"/>
        </w:rPr>
        <w:t>, którym Trybunał skreślił</w:t>
      </w:r>
      <w:r w:rsidRPr="00BD0BA9">
        <w:rPr>
          <w:rFonts w:asciiTheme="minorHAnsi" w:hAnsiTheme="minorHAnsi"/>
          <w:sz w:val="24"/>
          <w:lang w:val="pl-PL"/>
        </w:rPr>
        <w:t xml:space="preserve"> z listy </w:t>
      </w:r>
      <w:r>
        <w:rPr>
          <w:rFonts w:asciiTheme="minorHAnsi" w:hAnsiTheme="minorHAnsi"/>
          <w:sz w:val="24"/>
          <w:lang w:val="pl-PL"/>
        </w:rPr>
        <w:t xml:space="preserve">ponad 12 tysięcy skarg dotyczących problemu systemowego na Ukrainie, stwierdzonego już wcześniej w wyroku pilotażowym, i przekazał kwestię słusznego zadośćuczynienia dla skarżących do załatwienia w ramach wykonania wyroku pilotażowego pod nadzorem Komitetu Ministrów RE). </w:t>
      </w:r>
    </w:p>
    <w:p w14:paraId="17E0C182" w14:textId="77777777" w:rsidR="00950534" w:rsidRDefault="00950534" w:rsidP="00950534">
      <w:pPr>
        <w:pStyle w:val="ClinContent"/>
        <w:widowControl w:val="0"/>
        <w:spacing w:before="0"/>
        <w:rPr>
          <w:rFonts w:asciiTheme="minorHAnsi" w:hAnsiTheme="minorHAnsi" w:cs="Verdana"/>
          <w:bCs/>
          <w:sz w:val="24"/>
          <w:lang w:val="pl-PL"/>
        </w:rPr>
      </w:pPr>
    </w:p>
    <w:p w14:paraId="246C543F"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sz w:val="24"/>
          <w:lang w:val="pl-PL"/>
        </w:rPr>
        <w:t xml:space="preserve">Wyrok podkreśla ponadto obowiązek współpracy państw stron Konwencji z Trybunałem także w kontekście skarg międzypaństwowych. Wyjaśnia, że obowiązek ten dotyczy zarówno państwa skarżącego, jak i pozwanego. </w:t>
      </w:r>
    </w:p>
    <w:p w14:paraId="6AE8BB51" w14:textId="77777777" w:rsidR="00950534" w:rsidRDefault="00950534" w:rsidP="00950534">
      <w:pPr>
        <w:pStyle w:val="ClinContent"/>
        <w:widowControl w:val="0"/>
        <w:spacing w:before="0"/>
        <w:rPr>
          <w:rFonts w:asciiTheme="minorHAnsi" w:hAnsiTheme="minorHAnsi" w:cs="Verdana"/>
          <w:bCs/>
          <w:sz w:val="24"/>
          <w:lang w:val="pl-PL"/>
        </w:rPr>
      </w:pPr>
    </w:p>
    <w:p w14:paraId="7D6708BC"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 xml:space="preserve">Wyrok może mieć znaczenie informacyjne dla wszystkich podmiotów zajmujących się problematyką wykonywania wyroków Trybunału. </w:t>
      </w:r>
    </w:p>
    <w:p w14:paraId="74C70D4E" w14:textId="77777777" w:rsidR="00950534" w:rsidRDefault="00950534" w:rsidP="00950534">
      <w:pPr>
        <w:pStyle w:val="ClinContent"/>
        <w:widowControl w:val="0"/>
        <w:spacing w:before="0"/>
        <w:rPr>
          <w:rFonts w:asciiTheme="minorHAnsi" w:hAnsiTheme="minorHAnsi" w:cs="Verdana"/>
          <w:bCs/>
          <w:sz w:val="24"/>
          <w:lang w:val="pl-PL"/>
        </w:rPr>
      </w:pPr>
    </w:p>
    <w:p w14:paraId="135650AA" w14:textId="77777777" w:rsidR="00950534" w:rsidRDefault="00950534" w:rsidP="00950534">
      <w:pPr>
        <w:pStyle w:val="ClinContent"/>
        <w:widowControl w:val="0"/>
        <w:spacing w:before="0"/>
        <w:rPr>
          <w:rFonts w:asciiTheme="minorHAnsi" w:hAnsiTheme="minorHAnsi" w:cs="Verdana"/>
          <w:bCs/>
          <w:sz w:val="24"/>
          <w:lang w:val="pl-PL"/>
        </w:rPr>
      </w:pPr>
    </w:p>
    <w:p w14:paraId="71614FD0"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6" w:name="_Toc35632469"/>
      <w:r w:rsidRPr="00A450C9">
        <w:rPr>
          <w:rFonts w:asciiTheme="minorHAnsi" w:hAnsiTheme="minorHAnsi"/>
          <w:i/>
          <w:color w:val="auto"/>
          <w:sz w:val="24"/>
          <w:szCs w:val="24"/>
        </w:rPr>
        <w:t>Guimon p. Francji</w:t>
      </w:r>
      <w:r w:rsidRPr="00077E55">
        <w:rPr>
          <w:rFonts w:asciiTheme="minorHAnsi" w:hAnsiTheme="minorHAnsi"/>
          <w:color w:val="auto"/>
          <w:sz w:val="24"/>
          <w:szCs w:val="24"/>
        </w:rPr>
        <w:t>, skarga nr 48798/14, wyrok Izby z dnia 11 kwietnia 2019 r.</w:t>
      </w:r>
      <w:bookmarkEnd w:id="6"/>
    </w:p>
    <w:p w14:paraId="3D3FD865" w14:textId="09C2D4A2"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097BCF">
        <w:rPr>
          <w:b/>
          <w:iCs/>
          <w:color w:val="000000" w:themeColor="text1"/>
          <w:sz w:val="24"/>
          <w:szCs w:val="24"/>
          <w:lang w:val="pl-PL"/>
        </w:rPr>
        <w:t>brak naruszenia</w:t>
      </w:r>
      <w:r>
        <w:rPr>
          <w:b/>
          <w:iCs/>
          <w:color w:val="000000" w:themeColor="text1"/>
          <w:sz w:val="24"/>
          <w:szCs w:val="24"/>
          <w:lang w:val="pl-PL"/>
        </w:rPr>
        <w:t xml:space="preserve"> art. 8 Konwencji (prawo do poszanowania życia prywatnego i</w:t>
      </w:r>
      <w:r w:rsidR="00206CCE">
        <w:rPr>
          <w:b/>
          <w:iCs/>
          <w:color w:val="000000" w:themeColor="text1"/>
          <w:sz w:val="24"/>
          <w:szCs w:val="24"/>
          <w:lang w:val="pl-PL"/>
        </w:rPr>
        <w:t> </w:t>
      </w:r>
      <w:r>
        <w:rPr>
          <w:b/>
          <w:iCs/>
          <w:color w:val="000000" w:themeColor="text1"/>
          <w:sz w:val="24"/>
          <w:szCs w:val="24"/>
          <w:lang w:val="pl-PL"/>
        </w:rPr>
        <w:t>rodzinnego – aspekt prawa do poszanowania życia rodzinnego) w odniesieniu do</w:t>
      </w:r>
      <w:r w:rsidR="00206CCE">
        <w:rPr>
          <w:b/>
          <w:iCs/>
          <w:color w:val="000000" w:themeColor="text1"/>
          <w:sz w:val="24"/>
          <w:szCs w:val="24"/>
          <w:lang w:val="pl-PL"/>
        </w:rPr>
        <w:t> </w:t>
      </w:r>
      <w:r>
        <w:rPr>
          <w:b/>
          <w:iCs/>
          <w:color w:val="000000" w:themeColor="text1"/>
          <w:sz w:val="24"/>
          <w:szCs w:val="24"/>
          <w:lang w:val="pl-PL"/>
        </w:rPr>
        <w:t>odmowy</w:t>
      </w:r>
      <w:r w:rsidRPr="00097BCF">
        <w:rPr>
          <w:b/>
          <w:iCs/>
          <w:color w:val="000000" w:themeColor="text1"/>
          <w:sz w:val="24"/>
          <w:szCs w:val="24"/>
          <w:lang w:val="pl-PL"/>
        </w:rPr>
        <w:t xml:space="preserve"> udzielenia zgody osobie skazanej za przestępstwa terrorystyczne </w:t>
      </w:r>
      <w:r>
        <w:rPr>
          <w:b/>
          <w:iCs/>
          <w:color w:val="000000" w:themeColor="text1"/>
          <w:sz w:val="24"/>
          <w:szCs w:val="24"/>
          <w:lang w:val="pl-PL"/>
        </w:rPr>
        <w:t>i</w:t>
      </w:r>
      <w:r w:rsidR="00206CCE">
        <w:rPr>
          <w:b/>
          <w:iCs/>
          <w:color w:val="000000" w:themeColor="text1"/>
          <w:sz w:val="24"/>
          <w:szCs w:val="24"/>
          <w:lang w:val="pl-PL"/>
        </w:rPr>
        <w:t> </w:t>
      </w:r>
      <w:r>
        <w:rPr>
          <w:b/>
          <w:iCs/>
          <w:color w:val="000000" w:themeColor="text1"/>
          <w:sz w:val="24"/>
          <w:szCs w:val="24"/>
          <w:lang w:val="pl-PL"/>
        </w:rPr>
        <w:t xml:space="preserve">przebywającej w zakładzie karnym </w:t>
      </w:r>
      <w:r w:rsidRPr="00097BCF">
        <w:rPr>
          <w:b/>
          <w:iCs/>
          <w:color w:val="000000" w:themeColor="text1"/>
          <w:sz w:val="24"/>
          <w:szCs w:val="24"/>
          <w:lang w:val="pl-PL"/>
        </w:rPr>
        <w:t xml:space="preserve">na opuszczenie więzienia pod eskortą </w:t>
      </w:r>
      <w:r>
        <w:rPr>
          <w:b/>
          <w:iCs/>
          <w:color w:val="000000" w:themeColor="text1"/>
          <w:sz w:val="24"/>
          <w:szCs w:val="24"/>
          <w:lang w:val="pl-PL"/>
        </w:rPr>
        <w:t>w celu pożegnania zmarłego ojca</w:t>
      </w:r>
      <w:r w:rsidRPr="00097BCF">
        <w:rPr>
          <w:b/>
          <w:iCs/>
          <w:color w:val="000000" w:themeColor="text1"/>
          <w:sz w:val="24"/>
          <w:szCs w:val="24"/>
          <w:lang w:val="pl-PL"/>
        </w:rPr>
        <w:t xml:space="preserve"> </w:t>
      </w:r>
    </w:p>
    <w:p w14:paraId="555D8204" w14:textId="77777777" w:rsidR="00950534" w:rsidRPr="00A80201" w:rsidRDefault="00950534" w:rsidP="00950534">
      <w:pPr>
        <w:pStyle w:val="ClinContent"/>
        <w:widowControl w:val="0"/>
        <w:spacing w:before="0"/>
        <w:rPr>
          <w:rFonts w:asciiTheme="minorHAnsi" w:hAnsiTheme="minorHAnsi"/>
          <w:sz w:val="24"/>
          <w:lang w:val="pl-PL"/>
        </w:rPr>
      </w:pPr>
    </w:p>
    <w:p w14:paraId="7F51BFCC" w14:textId="20F2B042" w:rsidR="00950534" w:rsidRDefault="00950534" w:rsidP="00950534">
      <w:pPr>
        <w:pStyle w:val="ClinContent"/>
        <w:widowControl w:val="0"/>
        <w:spacing w:before="0"/>
        <w:rPr>
          <w:rFonts w:asciiTheme="minorHAnsi" w:hAnsiTheme="minorHAnsi"/>
          <w:sz w:val="24"/>
          <w:lang w:val="pl-PL"/>
        </w:rPr>
      </w:pPr>
      <w:r w:rsidRPr="00CF54A5">
        <w:rPr>
          <w:rFonts w:asciiTheme="minorHAnsi" w:hAnsiTheme="minorHAnsi"/>
          <w:sz w:val="24"/>
          <w:lang w:val="pl-PL"/>
        </w:rPr>
        <w:t xml:space="preserve">Skargę </w:t>
      </w:r>
      <w:r>
        <w:rPr>
          <w:rFonts w:asciiTheme="minorHAnsi" w:hAnsiTheme="minorHAnsi"/>
          <w:sz w:val="24"/>
          <w:lang w:val="pl-PL"/>
        </w:rPr>
        <w:t xml:space="preserve">wniosła </w:t>
      </w:r>
      <w:r w:rsidRPr="00B15C52">
        <w:rPr>
          <w:rFonts w:asciiTheme="minorHAnsi" w:hAnsiTheme="minorHAnsi"/>
          <w:sz w:val="24"/>
          <w:lang w:val="pl-PL"/>
        </w:rPr>
        <w:t xml:space="preserve">członkini </w:t>
      </w:r>
      <w:r>
        <w:rPr>
          <w:rFonts w:asciiTheme="minorHAnsi" w:hAnsiTheme="minorHAnsi"/>
          <w:sz w:val="24"/>
          <w:lang w:val="pl-PL"/>
        </w:rPr>
        <w:t>organizacji terrorystycznej ETA, która</w:t>
      </w:r>
      <w:r w:rsidRPr="00B15C52">
        <w:rPr>
          <w:rFonts w:asciiTheme="minorHAnsi" w:hAnsiTheme="minorHAnsi"/>
          <w:sz w:val="24"/>
          <w:lang w:val="pl-PL"/>
        </w:rPr>
        <w:t xml:space="preserve"> </w:t>
      </w:r>
      <w:r>
        <w:rPr>
          <w:rFonts w:asciiTheme="minorHAnsi" w:hAnsiTheme="minorHAnsi"/>
          <w:sz w:val="24"/>
          <w:lang w:val="pl-PL"/>
        </w:rPr>
        <w:t xml:space="preserve">odbywała karę pozbawienia wolności </w:t>
      </w:r>
      <w:r w:rsidRPr="00B15C52">
        <w:rPr>
          <w:rFonts w:asciiTheme="minorHAnsi" w:hAnsiTheme="minorHAnsi"/>
          <w:sz w:val="24"/>
          <w:lang w:val="pl-PL"/>
        </w:rPr>
        <w:t>za poważne przestępstwa terrorystyczne</w:t>
      </w:r>
      <w:r>
        <w:rPr>
          <w:rFonts w:asciiTheme="minorHAnsi" w:hAnsiTheme="minorHAnsi"/>
          <w:sz w:val="24"/>
          <w:lang w:val="pl-PL"/>
        </w:rPr>
        <w:t xml:space="preserve">. Wniosła ona </w:t>
      </w:r>
      <w:r w:rsidRPr="00B15C52">
        <w:rPr>
          <w:rFonts w:asciiTheme="minorHAnsi" w:hAnsiTheme="minorHAnsi"/>
          <w:sz w:val="24"/>
          <w:lang w:val="pl-PL"/>
        </w:rPr>
        <w:t>o wydanie przepustki pod eskortą w celu</w:t>
      </w:r>
      <w:r>
        <w:rPr>
          <w:rFonts w:asciiTheme="minorHAnsi" w:hAnsiTheme="minorHAnsi"/>
          <w:sz w:val="24"/>
          <w:lang w:val="pl-PL"/>
        </w:rPr>
        <w:t xml:space="preserve"> pojechania </w:t>
      </w:r>
      <w:r w:rsidRPr="00B15C52">
        <w:rPr>
          <w:rFonts w:asciiTheme="minorHAnsi" w:hAnsiTheme="minorHAnsi"/>
          <w:sz w:val="24"/>
          <w:lang w:val="pl-PL"/>
        </w:rPr>
        <w:t>do domu pogrzebowego, by pożegnać swego zmarłego ojca. W</w:t>
      </w:r>
      <w:r w:rsidR="00206CCE">
        <w:rPr>
          <w:rFonts w:asciiTheme="minorHAnsi" w:hAnsiTheme="minorHAnsi"/>
          <w:sz w:val="24"/>
          <w:lang w:val="pl-PL"/>
        </w:rPr>
        <w:t> </w:t>
      </w:r>
      <w:r w:rsidRPr="00B15C52">
        <w:rPr>
          <w:rFonts w:asciiTheme="minorHAnsi" w:hAnsiTheme="minorHAnsi"/>
          <w:sz w:val="24"/>
          <w:lang w:val="pl-PL"/>
        </w:rPr>
        <w:t>odpowiedzi na jej wniosek wydano decyzję od</w:t>
      </w:r>
      <w:r>
        <w:rPr>
          <w:rFonts w:asciiTheme="minorHAnsi" w:hAnsiTheme="minorHAnsi"/>
          <w:sz w:val="24"/>
          <w:lang w:val="pl-PL"/>
        </w:rPr>
        <w:t>mowną uzasadnioną względami logistycznymi. Decyzję tę</w:t>
      </w:r>
      <w:r w:rsidRPr="00B15C52">
        <w:rPr>
          <w:rFonts w:asciiTheme="minorHAnsi" w:hAnsiTheme="minorHAnsi"/>
          <w:sz w:val="24"/>
          <w:lang w:val="pl-PL"/>
        </w:rPr>
        <w:t xml:space="preserve"> podtrzymano we wszystkich postępowaniach odwoławczych. </w:t>
      </w:r>
    </w:p>
    <w:p w14:paraId="7E37E7F9" w14:textId="77777777" w:rsidR="00950534" w:rsidRDefault="00950534" w:rsidP="00950534">
      <w:pPr>
        <w:pStyle w:val="ClinContent"/>
        <w:widowControl w:val="0"/>
        <w:spacing w:before="0"/>
        <w:rPr>
          <w:rFonts w:asciiTheme="minorHAnsi" w:hAnsiTheme="minorHAnsi"/>
          <w:sz w:val="24"/>
          <w:lang w:val="pl-PL"/>
        </w:rPr>
      </w:pPr>
    </w:p>
    <w:p w14:paraId="41CB26D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zbadał skargę z punktu widzenia gwarancji prawa do poszanowania życia rodzinnego na podstawie art. 8 Konwencji. </w:t>
      </w:r>
    </w:p>
    <w:p w14:paraId="299D7818" w14:textId="77777777" w:rsidR="00950534" w:rsidRDefault="00950534" w:rsidP="00950534">
      <w:pPr>
        <w:pStyle w:val="ClinContent"/>
        <w:widowControl w:val="0"/>
        <w:spacing w:before="0"/>
        <w:rPr>
          <w:rFonts w:asciiTheme="minorHAnsi" w:hAnsiTheme="minorHAnsi"/>
          <w:sz w:val="24"/>
          <w:lang w:val="pl-PL"/>
        </w:rPr>
      </w:pPr>
    </w:p>
    <w:p w14:paraId="19150BD6" w14:textId="24A5279B"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Uznał, że o</w:t>
      </w:r>
      <w:r w:rsidRPr="00B15C52">
        <w:rPr>
          <w:rFonts w:asciiTheme="minorHAnsi" w:hAnsiTheme="minorHAnsi"/>
          <w:sz w:val="24"/>
          <w:lang w:val="pl-PL"/>
        </w:rPr>
        <w:t>dmowa przyznania skarżącej przepustki pod eskortą w celu udania się do domu pogrzebowego i pożegnania zmarłego ojca stanowiła ingerencję w jej prawo do</w:t>
      </w:r>
      <w:r w:rsidR="00206CCE">
        <w:rPr>
          <w:rFonts w:asciiTheme="minorHAnsi" w:hAnsiTheme="minorHAnsi"/>
          <w:sz w:val="24"/>
          <w:lang w:val="pl-PL"/>
        </w:rPr>
        <w:t> </w:t>
      </w:r>
      <w:r w:rsidRPr="00B15C52">
        <w:rPr>
          <w:rFonts w:asciiTheme="minorHAnsi" w:hAnsiTheme="minorHAnsi"/>
          <w:sz w:val="24"/>
          <w:lang w:val="pl-PL"/>
        </w:rPr>
        <w:t xml:space="preserve">poszanowania życia rodzinnego. </w:t>
      </w:r>
      <w:r>
        <w:rPr>
          <w:rFonts w:asciiTheme="minorHAnsi" w:hAnsiTheme="minorHAnsi"/>
          <w:sz w:val="24"/>
          <w:lang w:val="pl-PL"/>
        </w:rPr>
        <w:t>Stwierdził też, że i</w:t>
      </w:r>
      <w:r w:rsidRPr="00B15C52">
        <w:rPr>
          <w:rFonts w:asciiTheme="minorHAnsi" w:hAnsiTheme="minorHAnsi"/>
          <w:sz w:val="24"/>
          <w:lang w:val="pl-PL"/>
        </w:rPr>
        <w:t xml:space="preserve">ngerencja </w:t>
      </w:r>
      <w:r>
        <w:rPr>
          <w:rFonts w:asciiTheme="minorHAnsi" w:hAnsiTheme="minorHAnsi"/>
          <w:sz w:val="24"/>
          <w:lang w:val="pl-PL"/>
        </w:rPr>
        <w:t xml:space="preserve">ta </w:t>
      </w:r>
      <w:r w:rsidRPr="00B15C52">
        <w:rPr>
          <w:rFonts w:asciiTheme="minorHAnsi" w:hAnsiTheme="minorHAnsi"/>
          <w:sz w:val="24"/>
          <w:lang w:val="pl-PL"/>
        </w:rPr>
        <w:t>była przewidziana przez ustawę i miała na celu zapobieganie ryzyku ucieczki i zakłóceniu porządku publicznego</w:t>
      </w:r>
      <w:r>
        <w:rPr>
          <w:rFonts w:asciiTheme="minorHAnsi" w:hAnsiTheme="minorHAnsi"/>
          <w:sz w:val="24"/>
          <w:lang w:val="pl-PL"/>
        </w:rPr>
        <w:t>. Jej</w:t>
      </w:r>
      <w:r w:rsidR="00206CCE">
        <w:rPr>
          <w:rFonts w:asciiTheme="minorHAnsi" w:hAnsiTheme="minorHAnsi"/>
          <w:sz w:val="24"/>
          <w:lang w:val="pl-PL"/>
        </w:rPr>
        <w:t> </w:t>
      </w:r>
      <w:r>
        <w:rPr>
          <w:rFonts w:asciiTheme="minorHAnsi" w:hAnsiTheme="minorHAnsi"/>
          <w:sz w:val="24"/>
          <w:lang w:val="pl-PL"/>
        </w:rPr>
        <w:t>celem było</w:t>
      </w:r>
      <w:r w:rsidRPr="00B15C52">
        <w:rPr>
          <w:rFonts w:asciiTheme="minorHAnsi" w:hAnsiTheme="minorHAnsi"/>
          <w:sz w:val="24"/>
          <w:lang w:val="pl-PL"/>
        </w:rPr>
        <w:t xml:space="preserve"> także zapewnienie bez</w:t>
      </w:r>
      <w:r>
        <w:rPr>
          <w:rFonts w:asciiTheme="minorHAnsi" w:hAnsiTheme="minorHAnsi"/>
          <w:sz w:val="24"/>
          <w:lang w:val="pl-PL"/>
        </w:rPr>
        <w:t>pieczeństwa publicznego, ochrona</w:t>
      </w:r>
      <w:r w:rsidRPr="00B15C52">
        <w:rPr>
          <w:rFonts w:asciiTheme="minorHAnsi" w:hAnsiTheme="minorHAnsi"/>
          <w:sz w:val="24"/>
          <w:lang w:val="pl-PL"/>
        </w:rPr>
        <w:t xml:space="preserve"> porządku i</w:t>
      </w:r>
      <w:r w:rsidR="00206CCE">
        <w:rPr>
          <w:rFonts w:asciiTheme="minorHAnsi" w:hAnsiTheme="minorHAnsi"/>
          <w:sz w:val="24"/>
          <w:lang w:val="pl-PL"/>
        </w:rPr>
        <w:t> </w:t>
      </w:r>
      <w:r w:rsidRPr="00B15C52">
        <w:rPr>
          <w:rFonts w:asciiTheme="minorHAnsi" w:hAnsiTheme="minorHAnsi"/>
          <w:sz w:val="24"/>
          <w:lang w:val="pl-PL"/>
        </w:rPr>
        <w:t xml:space="preserve">zapobieganie przestępstwom. </w:t>
      </w:r>
    </w:p>
    <w:p w14:paraId="5773BF6C" w14:textId="77777777" w:rsidR="00950534" w:rsidRDefault="00950534" w:rsidP="00950534">
      <w:pPr>
        <w:pStyle w:val="ClinContent"/>
        <w:widowControl w:val="0"/>
        <w:spacing w:before="0"/>
        <w:rPr>
          <w:rFonts w:asciiTheme="minorHAnsi" w:hAnsiTheme="minorHAnsi"/>
          <w:sz w:val="24"/>
          <w:lang w:val="pl-PL"/>
        </w:rPr>
      </w:pPr>
    </w:p>
    <w:p w14:paraId="0E83724C" w14:textId="191905FA"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Badając, czy ingerencja była „konieczna w społeczeństwie demokratycznym”, Trybunał odnotował, że w</w:t>
      </w:r>
      <w:r w:rsidRPr="00B15C52">
        <w:rPr>
          <w:rFonts w:asciiTheme="minorHAnsi" w:hAnsiTheme="minorHAnsi"/>
          <w:sz w:val="24"/>
          <w:lang w:val="pl-PL"/>
        </w:rPr>
        <w:t xml:space="preserve">ładze sądowe </w:t>
      </w:r>
      <w:r>
        <w:rPr>
          <w:rFonts w:asciiTheme="minorHAnsi" w:hAnsiTheme="minorHAnsi"/>
          <w:sz w:val="24"/>
          <w:lang w:val="pl-PL"/>
        </w:rPr>
        <w:t>dokładnie rozpatrzyły</w:t>
      </w:r>
      <w:r w:rsidRPr="00B15C52">
        <w:rPr>
          <w:rFonts w:asciiTheme="minorHAnsi" w:hAnsiTheme="minorHAnsi"/>
          <w:sz w:val="24"/>
          <w:lang w:val="pl-PL"/>
        </w:rPr>
        <w:t xml:space="preserve"> wniosek skarżącej i stwierdziły, że</w:t>
      </w:r>
      <w:r w:rsidR="00206CCE">
        <w:rPr>
          <w:rFonts w:asciiTheme="minorHAnsi" w:hAnsiTheme="minorHAnsi"/>
          <w:sz w:val="24"/>
          <w:lang w:val="pl-PL"/>
        </w:rPr>
        <w:t> </w:t>
      </w:r>
      <w:r w:rsidRPr="00B15C52">
        <w:rPr>
          <w:rFonts w:asciiTheme="minorHAnsi" w:hAnsiTheme="minorHAnsi"/>
          <w:sz w:val="24"/>
          <w:lang w:val="pl-PL"/>
        </w:rPr>
        <w:t xml:space="preserve">śmierć jej ojca stanowiła wyjątkową przesłankę, która mogła uzasadnić przyznanie przepustki pod eskortą. Niemniej jednak oddaliły ten wniosek. </w:t>
      </w:r>
    </w:p>
    <w:p w14:paraId="63C47BD7" w14:textId="77777777" w:rsidR="00950534" w:rsidRDefault="00950534" w:rsidP="00950534">
      <w:pPr>
        <w:pStyle w:val="ClinContent"/>
        <w:widowControl w:val="0"/>
        <w:spacing w:before="0"/>
        <w:rPr>
          <w:rFonts w:asciiTheme="minorHAnsi" w:hAnsiTheme="minorHAnsi"/>
          <w:sz w:val="24"/>
          <w:lang w:val="pl-PL"/>
        </w:rPr>
      </w:pPr>
    </w:p>
    <w:p w14:paraId="03CFC3B9" w14:textId="5B1C33A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nie znalazł powodów, by kwestionować ocenę sądów, że o</w:t>
      </w:r>
      <w:r w:rsidRPr="00B15C52">
        <w:rPr>
          <w:rFonts w:asciiTheme="minorHAnsi" w:hAnsiTheme="minorHAnsi"/>
          <w:sz w:val="24"/>
          <w:lang w:val="pl-PL"/>
        </w:rPr>
        <w:t>rganizacja eskorty musiałaby być szczególnie</w:t>
      </w:r>
      <w:r>
        <w:rPr>
          <w:rFonts w:asciiTheme="minorHAnsi" w:hAnsiTheme="minorHAnsi"/>
          <w:sz w:val="24"/>
          <w:lang w:val="pl-PL"/>
        </w:rPr>
        <w:t xml:space="preserve"> staranna</w:t>
      </w:r>
      <w:r w:rsidRPr="00B15C52">
        <w:rPr>
          <w:rFonts w:asciiTheme="minorHAnsi" w:hAnsiTheme="minorHAnsi"/>
          <w:sz w:val="24"/>
          <w:lang w:val="pl-PL"/>
        </w:rPr>
        <w:t>, mając na względzie wszystkie okoliczności</w:t>
      </w:r>
      <w:r>
        <w:rPr>
          <w:rFonts w:asciiTheme="minorHAnsi" w:hAnsiTheme="minorHAnsi"/>
          <w:sz w:val="24"/>
          <w:lang w:val="pl-PL"/>
        </w:rPr>
        <w:t xml:space="preserve"> sprawy</w:t>
      </w:r>
      <w:r w:rsidRPr="00B15C52">
        <w:rPr>
          <w:rFonts w:asciiTheme="minorHAnsi" w:hAnsiTheme="minorHAnsi"/>
          <w:sz w:val="24"/>
          <w:lang w:val="pl-PL"/>
        </w:rPr>
        <w:t>, w</w:t>
      </w:r>
      <w:r w:rsidR="00206CCE">
        <w:rPr>
          <w:rFonts w:asciiTheme="minorHAnsi" w:hAnsiTheme="minorHAnsi"/>
          <w:sz w:val="24"/>
          <w:lang w:val="pl-PL"/>
        </w:rPr>
        <w:t> </w:t>
      </w:r>
      <w:r w:rsidRPr="00B15C52">
        <w:rPr>
          <w:rFonts w:asciiTheme="minorHAnsi" w:hAnsiTheme="minorHAnsi"/>
          <w:sz w:val="24"/>
          <w:lang w:val="pl-PL"/>
        </w:rPr>
        <w:t xml:space="preserve">tym profil karny skarżącej </w:t>
      </w:r>
      <w:r>
        <w:rPr>
          <w:rFonts w:asciiTheme="minorHAnsi" w:hAnsiTheme="minorHAnsi"/>
          <w:sz w:val="24"/>
          <w:lang w:val="pl-PL"/>
        </w:rPr>
        <w:t>(</w:t>
      </w:r>
      <w:r w:rsidRPr="00B15C52">
        <w:rPr>
          <w:rFonts w:asciiTheme="minorHAnsi" w:hAnsiTheme="minorHAnsi"/>
          <w:sz w:val="24"/>
          <w:lang w:val="pl-PL"/>
        </w:rPr>
        <w:t>która odbywała kilka kar za akty terroryzmu i nadal potwierdzała swe członkostwo w ETA</w:t>
      </w:r>
      <w:r>
        <w:rPr>
          <w:rFonts w:asciiTheme="minorHAnsi" w:hAnsiTheme="minorHAnsi"/>
          <w:sz w:val="24"/>
          <w:lang w:val="pl-PL"/>
        </w:rPr>
        <w:t>). Do tego dochodził kontekst</w:t>
      </w:r>
      <w:r w:rsidRPr="00B15C52">
        <w:rPr>
          <w:rFonts w:asciiTheme="minorHAnsi" w:hAnsiTheme="minorHAnsi"/>
          <w:sz w:val="24"/>
          <w:lang w:val="pl-PL"/>
        </w:rPr>
        <w:t xml:space="preserve">, w jakim należałoby zorganizować </w:t>
      </w:r>
      <w:r>
        <w:rPr>
          <w:rFonts w:asciiTheme="minorHAnsi" w:hAnsiTheme="minorHAnsi"/>
          <w:sz w:val="24"/>
          <w:lang w:val="pl-PL"/>
        </w:rPr>
        <w:t>przepustkę, oraz okoliczności faktyczne, takie</w:t>
      </w:r>
      <w:r w:rsidRPr="00B15C52">
        <w:rPr>
          <w:rFonts w:asciiTheme="minorHAnsi" w:hAnsiTheme="minorHAnsi"/>
          <w:sz w:val="24"/>
          <w:lang w:val="pl-PL"/>
        </w:rPr>
        <w:t xml:space="preserve"> jak odległość prawie 650 km.</w:t>
      </w:r>
    </w:p>
    <w:p w14:paraId="549430CD" w14:textId="77777777" w:rsidR="00950534" w:rsidRDefault="00950534" w:rsidP="00950534">
      <w:pPr>
        <w:pStyle w:val="ClinContent"/>
        <w:widowControl w:val="0"/>
        <w:spacing w:before="0"/>
        <w:rPr>
          <w:rFonts w:asciiTheme="minorHAnsi" w:hAnsiTheme="minorHAnsi"/>
          <w:sz w:val="24"/>
          <w:lang w:val="pl-PL"/>
        </w:rPr>
      </w:pPr>
    </w:p>
    <w:p w14:paraId="542102D6" w14:textId="2438AF31"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Skarżąca złożyła </w:t>
      </w:r>
      <w:r>
        <w:rPr>
          <w:rFonts w:asciiTheme="minorHAnsi" w:hAnsiTheme="minorHAnsi"/>
          <w:sz w:val="24"/>
          <w:lang w:val="pl-PL"/>
        </w:rPr>
        <w:t xml:space="preserve">co prawda </w:t>
      </w:r>
      <w:r w:rsidRPr="00B15C52">
        <w:rPr>
          <w:rFonts w:asciiTheme="minorHAnsi" w:hAnsiTheme="minorHAnsi"/>
          <w:sz w:val="24"/>
          <w:lang w:val="pl-PL"/>
        </w:rPr>
        <w:t xml:space="preserve">swój wniosek bezzwłocznie, </w:t>
      </w:r>
      <w:r>
        <w:rPr>
          <w:rFonts w:asciiTheme="minorHAnsi" w:hAnsiTheme="minorHAnsi"/>
          <w:sz w:val="24"/>
          <w:lang w:val="pl-PL"/>
        </w:rPr>
        <w:t>co dało</w:t>
      </w:r>
      <w:r w:rsidRPr="00B15C52">
        <w:rPr>
          <w:rFonts w:asciiTheme="minorHAnsi" w:hAnsiTheme="minorHAnsi"/>
          <w:sz w:val="24"/>
          <w:lang w:val="pl-PL"/>
        </w:rPr>
        <w:t xml:space="preserve"> władzom 6 dni na</w:t>
      </w:r>
      <w:r w:rsidR="00206CCE">
        <w:rPr>
          <w:rFonts w:asciiTheme="minorHAnsi" w:hAnsiTheme="minorHAnsi"/>
          <w:sz w:val="24"/>
          <w:lang w:val="pl-PL"/>
        </w:rPr>
        <w:t> </w:t>
      </w:r>
      <w:r w:rsidRPr="00B15C52">
        <w:rPr>
          <w:rFonts w:asciiTheme="minorHAnsi" w:hAnsiTheme="minorHAnsi"/>
          <w:sz w:val="24"/>
          <w:lang w:val="pl-PL"/>
        </w:rPr>
        <w:t>z</w:t>
      </w:r>
      <w:r>
        <w:rPr>
          <w:rFonts w:asciiTheme="minorHAnsi" w:hAnsiTheme="minorHAnsi"/>
          <w:sz w:val="24"/>
          <w:lang w:val="pl-PL"/>
        </w:rPr>
        <w:t>organizowanie eskorty.</w:t>
      </w:r>
      <w:r w:rsidRPr="00B15C52">
        <w:rPr>
          <w:rFonts w:asciiTheme="minorHAnsi" w:hAnsiTheme="minorHAnsi"/>
          <w:sz w:val="24"/>
          <w:lang w:val="pl-PL"/>
        </w:rPr>
        <w:t xml:space="preserve"> </w:t>
      </w:r>
      <w:r>
        <w:rPr>
          <w:rFonts w:asciiTheme="minorHAnsi" w:hAnsiTheme="minorHAnsi"/>
          <w:sz w:val="24"/>
          <w:lang w:val="pl-PL"/>
        </w:rPr>
        <w:t xml:space="preserve">Jednak </w:t>
      </w:r>
      <w:r w:rsidRPr="00B15C52">
        <w:rPr>
          <w:rFonts w:asciiTheme="minorHAnsi" w:hAnsiTheme="minorHAnsi"/>
          <w:sz w:val="24"/>
          <w:lang w:val="pl-PL"/>
        </w:rPr>
        <w:t xml:space="preserve">od ostatecznego udzielenia przepustki z eskortą </w:t>
      </w:r>
      <w:r>
        <w:rPr>
          <w:rFonts w:asciiTheme="minorHAnsi" w:hAnsiTheme="minorHAnsi"/>
          <w:sz w:val="24"/>
          <w:lang w:val="pl-PL"/>
        </w:rPr>
        <w:t xml:space="preserve">władze nie miały do dyspozycji wystarczająco dużo czasu </w:t>
      </w:r>
      <w:r w:rsidRPr="00B15C52">
        <w:rPr>
          <w:rFonts w:asciiTheme="minorHAnsi" w:hAnsiTheme="minorHAnsi"/>
          <w:sz w:val="24"/>
          <w:lang w:val="pl-PL"/>
        </w:rPr>
        <w:t>na zorganizowanie eskorty złożonej z</w:t>
      </w:r>
      <w:r w:rsidR="00206CCE">
        <w:rPr>
          <w:rFonts w:asciiTheme="minorHAnsi" w:hAnsiTheme="minorHAnsi"/>
          <w:sz w:val="24"/>
          <w:lang w:val="pl-PL"/>
        </w:rPr>
        <w:t> </w:t>
      </w:r>
      <w:r w:rsidRPr="00B15C52">
        <w:rPr>
          <w:rFonts w:asciiTheme="minorHAnsi" w:hAnsiTheme="minorHAnsi"/>
          <w:sz w:val="24"/>
          <w:lang w:val="pl-PL"/>
        </w:rPr>
        <w:t>funkcjonariuszy specjalnie przeszkolonych do przewożenia i nadzorowania więźniów skazanych za przestępstwa terrorystyczne, a także na</w:t>
      </w:r>
      <w:r>
        <w:rPr>
          <w:rFonts w:asciiTheme="minorHAnsi" w:hAnsiTheme="minorHAnsi"/>
          <w:sz w:val="24"/>
          <w:lang w:val="pl-PL"/>
        </w:rPr>
        <w:t xml:space="preserve"> wcześniejsze</w:t>
      </w:r>
      <w:r w:rsidRPr="00B15C52">
        <w:rPr>
          <w:rFonts w:asciiTheme="minorHAnsi" w:hAnsiTheme="minorHAnsi"/>
          <w:sz w:val="24"/>
          <w:lang w:val="pl-PL"/>
        </w:rPr>
        <w:t xml:space="preserve"> przeprowadzenie inspekcji pomieszczeń.</w:t>
      </w:r>
    </w:p>
    <w:p w14:paraId="1176A7D5" w14:textId="77777777" w:rsidR="00950534" w:rsidRDefault="00950534" w:rsidP="00950534">
      <w:pPr>
        <w:pStyle w:val="ClinContent"/>
        <w:widowControl w:val="0"/>
        <w:spacing w:before="0"/>
        <w:rPr>
          <w:rFonts w:asciiTheme="minorHAnsi" w:hAnsiTheme="minorHAnsi"/>
          <w:sz w:val="24"/>
          <w:lang w:val="pl-PL"/>
        </w:rPr>
      </w:pPr>
    </w:p>
    <w:p w14:paraId="101152ED"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zauważył, że w</w:t>
      </w:r>
      <w:r w:rsidRPr="00B15C52">
        <w:rPr>
          <w:rFonts w:asciiTheme="minorHAnsi" w:hAnsiTheme="minorHAnsi"/>
          <w:sz w:val="24"/>
          <w:lang w:val="pl-PL"/>
        </w:rPr>
        <w:t xml:space="preserve"> okolicznościach sprawy nie istniały w praktyce środki umożliwiające uwzględnienie wniosku skarżącej w inny sposób niż poprzez przyznanie przepustki z eskortą. </w:t>
      </w:r>
    </w:p>
    <w:p w14:paraId="03A6F896" w14:textId="77777777" w:rsidR="00950534" w:rsidRDefault="00950534" w:rsidP="00950534">
      <w:pPr>
        <w:pStyle w:val="ClinContent"/>
        <w:widowControl w:val="0"/>
        <w:spacing w:before="0"/>
        <w:rPr>
          <w:rFonts w:asciiTheme="minorHAnsi" w:hAnsiTheme="minorHAnsi"/>
          <w:sz w:val="24"/>
          <w:lang w:val="pl-PL"/>
        </w:rPr>
      </w:pPr>
    </w:p>
    <w:p w14:paraId="379B4598"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Ponadto, </w:t>
      </w:r>
      <w:r>
        <w:rPr>
          <w:rFonts w:asciiTheme="minorHAnsi" w:hAnsiTheme="minorHAnsi"/>
          <w:sz w:val="24"/>
          <w:lang w:val="pl-PL"/>
        </w:rPr>
        <w:t>chociaż</w:t>
      </w:r>
      <w:r w:rsidRPr="00B15C52">
        <w:rPr>
          <w:rFonts w:asciiTheme="minorHAnsi" w:hAnsiTheme="minorHAnsi"/>
          <w:sz w:val="24"/>
          <w:lang w:val="pl-PL"/>
        </w:rPr>
        <w:t xml:space="preserve"> skarżąca nie widziała swego ojca od 2009 r., była regularnie odwiedzana przez członków rodziny i przyjaciół.</w:t>
      </w:r>
    </w:p>
    <w:p w14:paraId="5AC9AD69" w14:textId="77777777" w:rsidR="00950534" w:rsidRDefault="00950534" w:rsidP="00950534">
      <w:pPr>
        <w:pStyle w:val="ClinContent"/>
        <w:widowControl w:val="0"/>
        <w:spacing w:before="0"/>
        <w:rPr>
          <w:rFonts w:asciiTheme="minorHAnsi" w:hAnsiTheme="minorHAnsi"/>
          <w:sz w:val="24"/>
          <w:lang w:val="pl-PL"/>
        </w:rPr>
      </w:pPr>
    </w:p>
    <w:p w14:paraId="060E8325" w14:textId="4687B206"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związku z powyższym </w:t>
      </w:r>
      <w:r>
        <w:rPr>
          <w:rFonts w:asciiTheme="minorHAnsi" w:hAnsiTheme="minorHAnsi"/>
          <w:sz w:val="24"/>
          <w:lang w:val="pl-PL"/>
        </w:rPr>
        <w:t xml:space="preserve">Trybunał uznał, że </w:t>
      </w:r>
      <w:r w:rsidRPr="00B15C52">
        <w:rPr>
          <w:rFonts w:asciiTheme="minorHAnsi" w:hAnsiTheme="minorHAnsi"/>
          <w:sz w:val="24"/>
          <w:lang w:val="pl-PL"/>
        </w:rPr>
        <w:t xml:space="preserve">władze </w:t>
      </w:r>
      <w:r>
        <w:rPr>
          <w:rFonts w:asciiTheme="minorHAnsi" w:hAnsiTheme="minorHAnsi"/>
          <w:sz w:val="24"/>
          <w:lang w:val="pl-PL"/>
        </w:rPr>
        <w:t xml:space="preserve">sądowe </w:t>
      </w:r>
      <w:r w:rsidRPr="00B15C52">
        <w:rPr>
          <w:rFonts w:asciiTheme="minorHAnsi" w:hAnsiTheme="minorHAnsi"/>
          <w:sz w:val="24"/>
          <w:lang w:val="pl-PL"/>
        </w:rPr>
        <w:t>dokonały wyważenia wchodzących w grę interesów, a mianowicie prawa skarżącej do poszanowania życia rodzinnego z jednej strony oraz bezpieczeństwa publicznego, ochrony porządku i</w:t>
      </w:r>
      <w:r w:rsidR="00206CCE">
        <w:rPr>
          <w:rFonts w:asciiTheme="minorHAnsi" w:hAnsiTheme="minorHAnsi"/>
          <w:sz w:val="24"/>
          <w:lang w:val="pl-PL"/>
        </w:rPr>
        <w:t> </w:t>
      </w:r>
      <w:r>
        <w:rPr>
          <w:rFonts w:asciiTheme="minorHAnsi" w:hAnsiTheme="minorHAnsi"/>
          <w:sz w:val="24"/>
          <w:lang w:val="pl-PL"/>
        </w:rPr>
        <w:t>konieczności</w:t>
      </w:r>
      <w:r w:rsidRPr="00B15C52">
        <w:rPr>
          <w:rFonts w:asciiTheme="minorHAnsi" w:hAnsiTheme="minorHAnsi"/>
          <w:sz w:val="24"/>
          <w:lang w:val="pl-PL"/>
        </w:rPr>
        <w:t xml:space="preserve"> zapobiegania przestępstwom z drugiej strony. </w:t>
      </w:r>
      <w:r>
        <w:rPr>
          <w:rFonts w:asciiTheme="minorHAnsi" w:hAnsiTheme="minorHAnsi"/>
          <w:sz w:val="24"/>
          <w:lang w:val="pl-PL"/>
        </w:rPr>
        <w:t>Stwierdził, że p</w:t>
      </w:r>
      <w:r w:rsidRPr="00B15C52">
        <w:rPr>
          <w:rFonts w:asciiTheme="minorHAnsi" w:hAnsiTheme="minorHAnsi"/>
          <w:sz w:val="24"/>
          <w:lang w:val="pl-PL"/>
        </w:rPr>
        <w:t xml:space="preserve">ozwane państwo nie przekroczyło przysługującego mu w tym obszarze marginesu oceny. </w:t>
      </w:r>
    </w:p>
    <w:p w14:paraId="75C9C86D" w14:textId="77777777" w:rsidR="00950534" w:rsidRDefault="00950534" w:rsidP="00950534">
      <w:pPr>
        <w:pStyle w:val="ClinContent"/>
        <w:widowControl w:val="0"/>
        <w:spacing w:before="0"/>
        <w:rPr>
          <w:rFonts w:asciiTheme="minorHAnsi" w:hAnsiTheme="minorHAnsi"/>
          <w:sz w:val="24"/>
          <w:lang w:val="pl-PL"/>
        </w:rPr>
      </w:pPr>
    </w:p>
    <w:p w14:paraId="591B0152" w14:textId="5758A9CA"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Odmowa uwzględnienia wniosku skarżącej o przepustkę z eskortą w celu udania się do domu pogrzebowego i pożegnania swego zmarłego ojca nie była zatem nieproporcjonalna </w:t>
      </w:r>
      <w:r>
        <w:rPr>
          <w:rFonts w:asciiTheme="minorHAnsi" w:hAnsiTheme="minorHAnsi"/>
          <w:sz w:val="24"/>
          <w:lang w:val="pl-PL"/>
        </w:rPr>
        <w:t>w</w:t>
      </w:r>
      <w:r w:rsidR="00206CCE">
        <w:rPr>
          <w:rFonts w:asciiTheme="minorHAnsi" w:hAnsiTheme="minorHAnsi"/>
          <w:sz w:val="24"/>
          <w:lang w:val="pl-PL"/>
        </w:rPr>
        <w:t> </w:t>
      </w:r>
      <w:r>
        <w:rPr>
          <w:rFonts w:asciiTheme="minorHAnsi" w:hAnsiTheme="minorHAnsi"/>
          <w:sz w:val="24"/>
          <w:lang w:val="pl-PL"/>
        </w:rPr>
        <w:t xml:space="preserve">stosunku </w:t>
      </w:r>
      <w:r w:rsidRPr="00B15C52">
        <w:rPr>
          <w:rFonts w:asciiTheme="minorHAnsi" w:hAnsiTheme="minorHAnsi"/>
          <w:sz w:val="24"/>
          <w:lang w:val="pl-PL"/>
        </w:rPr>
        <w:t xml:space="preserve">do uprawnionych celów, które realizowała. </w:t>
      </w:r>
    </w:p>
    <w:p w14:paraId="7C0E8D36" w14:textId="77777777" w:rsidR="00950534" w:rsidRDefault="00950534" w:rsidP="00950534">
      <w:pPr>
        <w:pStyle w:val="ClinContent"/>
        <w:widowControl w:val="0"/>
        <w:spacing w:before="0"/>
        <w:rPr>
          <w:rFonts w:asciiTheme="minorHAnsi" w:hAnsiTheme="minorHAnsi"/>
          <w:sz w:val="24"/>
          <w:lang w:val="pl-PL"/>
        </w:rPr>
      </w:pPr>
    </w:p>
    <w:p w14:paraId="554C5C6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 tej sytuacji Trybunał jednogłośnie stwierdził, że w sprawie nie doszło do naruszenia art. 8 Konwencji</w:t>
      </w:r>
      <w:r>
        <w:rPr>
          <w:rStyle w:val="Odwoanieprzypisudolnego"/>
          <w:rFonts w:asciiTheme="minorHAnsi" w:hAnsiTheme="minorHAnsi"/>
          <w:sz w:val="24"/>
          <w:lang w:val="pl-PL"/>
        </w:rPr>
        <w:footnoteReference w:id="9"/>
      </w:r>
      <w:r>
        <w:rPr>
          <w:rFonts w:asciiTheme="minorHAnsi" w:hAnsiTheme="minorHAnsi"/>
          <w:sz w:val="24"/>
          <w:lang w:val="pl-PL"/>
        </w:rPr>
        <w:t xml:space="preserve">. </w:t>
      </w:r>
    </w:p>
    <w:p w14:paraId="6D82E610" w14:textId="77777777" w:rsidR="00950534" w:rsidRDefault="00950534" w:rsidP="00950534">
      <w:pPr>
        <w:pStyle w:val="ClinContent"/>
        <w:widowControl w:val="0"/>
        <w:spacing w:before="0"/>
        <w:rPr>
          <w:rFonts w:asciiTheme="minorHAnsi" w:hAnsiTheme="minorHAnsi" w:cs="Verdana"/>
          <w:bCs/>
          <w:sz w:val="24"/>
          <w:u w:val="single"/>
          <w:lang w:val="pl-PL"/>
        </w:rPr>
      </w:pPr>
    </w:p>
    <w:p w14:paraId="51C0E88D" w14:textId="0056B4E9"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Wyrok </w:t>
      </w:r>
      <w:r>
        <w:rPr>
          <w:rFonts w:asciiTheme="minorHAnsi" w:hAnsiTheme="minorHAnsi" w:cs="Verdana"/>
          <w:bCs/>
          <w:sz w:val="24"/>
          <w:lang w:val="pl-PL"/>
        </w:rPr>
        <w:t>dotyczy odmowy udzielenia osadzonemu przepustki losowej pod eskortą na pogrzeb członka rodziny. Rozwija orzecznictwo ukształtowane m.in. w sprawach dotyczących Polski. Wskazuje wyjątkowe okoliczności, w których taka odmowa jest zgodna z Konwencją ze względów związanych z wymogami bezpieczeństwa. Trybunał wyjątkowo dopuścił możliwość odmówienia przepustki w sytuacji, w której zapewnienie bezpieczeństwa wiązałoby się z koniecznością podjęcia daleko idących środków organizacyjnych. Warunkiem uznania przez Trybunał takiej odmowy za zgodną z Konwencją jest jednak przeprowadzenie przez organy krajowe, w tym zwłaszcza sądy, szczegółowej analizy sprawy, dokonanie wyważenia interesów jednostki względem interesów publicznych i</w:t>
      </w:r>
      <w:r w:rsidR="00206CCE">
        <w:rPr>
          <w:rFonts w:asciiTheme="minorHAnsi" w:hAnsiTheme="minorHAnsi" w:cs="Verdana"/>
          <w:bCs/>
          <w:sz w:val="24"/>
          <w:lang w:val="pl-PL"/>
        </w:rPr>
        <w:t> </w:t>
      </w:r>
      <w:r>
        <w:rPr>
          <w:rFonts w:asciiTheme="minorHAnsi" w:hAnsiTheme="minorHAnsi" w:cs="Verdana"/>
          <w:bCs/>
          <w:sz w:val="24"/>
          <w:lang w:val="pl-PL"/>
        </w:rPr>
        <w:t xml:space="preserve">przedstawienie przekonującego uzasadnienia. </w:t>
      </w:r>
    </w:p>
    <w:p w14:paraId="70A6430F" w14:textId="77777777" w:rsidR="00950534" w:rsidRDefault="00950534" w:rsidP="00950534">
      <w:pPr>
        <w:pStyle w:val="ClinContent"/>
        <w:widowControl w:val="0"/>
        <w:spacing w:before="0"/>
        <w:rPr>
          <w:rFonts w:asciiTheme="minorHAnsi" w:hAnsiTheme="minorHAnsi" w:cs="Verdana"/>
          <w:bCs/>
          <w:sz w:val="24"/>
          <w:lang w:val="pl-PL"/>
        </w:rPr>
      </w:pPr>
    </w:p>
    <w:p w14:paraId="35678E7C"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 xml:space="preserve">Wyrok może mieć w szczególności znaczenie dla Służby Więziennej, sądów penitencjarnych, sądów karnych, pełnomocników procesowych osób osadzonych, a także Ministerstwa Sprawiedliwości. </w:t>
      </w:r>
    </w:p>
    <w:p w14:paraId="60D20496" w14:textId="77777777" w:rsidR="00950534" w:rsidRDefault="00950534" w:rsidP="00950534">
      <w:pPr>
        <w:pStyle w:val="ClinContent"/>
        <w:widowControl w:val="0"/>
        <w:spacing w:before="0"/>
        <w:rPr>
          <w:rFonts w:asciiTheme="minorHAnsi" w:hAnsiTheme="minorHAnsi"/>
          <w:sz w:val="24"/>
          <w:lang w:val="pl-PL"/>
        </w:rPr>
      </w:pPr>
    </w:p>
    <w:p w14:paraId="31C2C7E9" w14:textId="77777777" w:rsidR="00277D0F" w:rsidRDefault="00277D0F" w:rsidP="00950534">
      <w:pPr>
        <w:pStyle w:val="ClinContent"/>
        <w:widowControl w:val="0"/>
        <w:spacing w:before="0"/>
        <w:rPr>
          <w:rFonts w:asciiTheme="minorHAnsi" w:hAnsiTheme="minorHAnsi"/>
          <w:sz w:val="24"/>
          <w:lang w:val="pl-PL"/>
        </w:rPr>
      </w:pPr>
    </w:p>
    <w:p w14:paraId="7406CAA7" w14:textId="77777777" w:rsidR="00950534" w:rsidRDefault="00950534" w:rsidP="00950534">
      <w:pPr>
        <w:pStyle w:val="ClinContent"/>
        <w:widowControl w:val="0"/>
        <w:spacing w:before="0"/>
        <w:rPr>
          <w:rFonts w:asciiTheme="minorHAnsi" w:hAnsiTheme="minorHAnsi"/>
          <w:sz w:val="24"/>
          <w:lang w:val="pl-PL"/>
        </w:rPr>
      </w:pPr>
    </w:p>
    <w:p w14:paraId="4399528B" w14:textId="5E649378"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7" w:name="_Toc35632470"/>
      <w:r w:rsidRPr="00A450C9">
        <w:rPr>
          <w:rFonts w:asciiTheme="minorHAnsi" w:hAnsiTheme="minorHAnsi"/>
          <w:i/>
          <w:color w:val="auto"/>
          <w:sz w:val="24"/>
          <w:szCs w:val="24"/>
        </w:rPr>
        <w:lastRenderedPageBreak/>
        <w:t>Güzelyur</w:t>
      </w:r>
      <w:r>
        <w:rPr>
          <w:rFonts w:asciiTheme="minorHAnsi" w:hAnsiTheme="minorHAnsi"/>
          <w:i/>
          <w:color w:val="auto"/>
          <w:sz w:val="24"/>
          <w:szCs w:val="24"/>
        </w:rPr>
        <w:t xml:space="preserve">tlu i Inni p. Cyprowi i Turcji, </w:t>
      </w:r>
      <w:r w:rsidRPr="00077E55">
        <w:rPr>
          <w:rFonts w:asciiTheme="minorHAnsi" w:hAnsiTheme="minorHAnsi"/>
          <w:color w:val="auto"/>
          <w:sz w:val="24"/>
          <w:szCs w:val="24"/>
        </w:rPr>
        <w:t>skarga nr 36925/07, wyrok Wielkiej Izby z dnia 29</w:t>
      </w:r>
      <w:r w:rsidR="00206CCE">
        <w:rPr>
          <w:rFonts w:asciiTheme="minorHAnsi" w:hAnsiTheme="minorHAnsi"/>
          <w:color w:val="auto"/>
          <w:sz w:val="24"/>
          <w:szCs w:val="24"/>
        </w:rPr>
        <w:t> </w:t>
      </w:r>
      <w:r w:rsidRPr="00077E55">
        <w:rPr>
          <w:rFonts w:asciiTheme="minorHAnsi" w:hAnsiTheme="minorHAnsi"/>
          <w:color w:val="auto"/>
          <w:sz w:val="24"/>
          <w:szCs w:val="24"/>
        </w:rPr>
        <w:t>stycznia 2019</w:t>
      </w:r>
      <w:r>
        <w:rPr>
          <w:rFonts w:asciiTheme="minorHAnsi" w:hAnsiTheme="minorHAnsi"/>
          <w:color w:val="auto"/>
          <w:sz w:val="24"/>
          <w:szCs w:val="24"/>
        </w:rPr>
        <w:t xml:space="preserve"> r.</w:t>
      </w:r>
      <w:bookmarkEnd w:id="7"/>
    </w:p>
    <w:p w14:paraId="6C006B4C" w14:textId="1832E909"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AD64AD">
        <w:rPr>
          <w:b/>
          <w:iCs/>
          <w:color w:val="000000" w:themeColor="text1"/>
          <w:sz w:val="24"/>
          <w:szCs w:val="24"/>
          <w:lang w:val="pl-PL"/>
        </w:rPr>
        <w:t>stwierdzenie jurysdykcji Turcji na podstawie art. 1 Konwencji (</w:t>
      </w:r>
      <w:r>
        <w:rPr>
          <w:b/>
          <w:iCs/>
          <w:color w:val="000000" w:themeColor="text1"/>
          <w:sz w:val="24"/>
          <w:szCs w:val="24"/>
          <w:lang w:val="pl-PL"/>
        </w:rPr>
        <w:t>obowiązek przestrzegania praw człowieka</w:t>
      </w:r>
      <w:r w:rsidRPr="00AD64AD">
        <w:rPr>
          <w:b/>
          <w:iCs/>
          <w:color w:val="000000" w:themeColor="text1"/>
          <w:sz w:val="24"/>
          <w:szCs w:val="24"/>
          <w:lang w:val="pl-PL"/>
        </w:rPr>
        <w:t>) w odniesieniu do obowiązk</w:t>
      </w:r>
      <w:r>
        <w:rPr>
          <w:b/>
          <w:iCs/>
          <w:color w:val="000000" w:themeColor="text1"/>
          <w:sz w:val="24"/>
          <w:szCs w:val="24"/>
          <w:lang w:val="pl-PL"/>
        </w:rPr>
        <w:t>u proceduralnego</w:t>
      </w:r>
      <w:r w:rsidRPr="00AD64AD">
        <w:rPr>
          <w:b/>
          <w:iCs/>
          <w:color w:val="000000" w:themeColor="text1"/>
          <w:sz w:val="24"/>
          <w:szCs w:val="24"/>
          <w:lang w:val="pl-PL"/>
        </w:rPr>
        <w:t xml:space="preserve"> na</w:t>
      </w:r>
      <w:r w:rsidR="00206CCE">
        <w:rPr>
          <w:b/>
          <w:iCs/>
          <w:color w:val="000000" w:themeColor="text1"/>
          <w:sz w:val="24"/>
          <w:szCs w:val="24"/>
          <w:lang w:val="pl-PL"/>
        </w:rPr>
        <w:t> </w:t>
      </w:r>
      <w:r w:rsidRPr="00AD64AD">
        <w:rPr>
          <w:b/>
          <w:iCs/>
          <w:color w:val="000000" w:themeColor="text1"/>
          <w:sz w:val="24"/>
          <w:szCs w:val="24"/>
          <w:lang w:val="pl-PL"/>
        </w:rPr>
        <w:t xml:space="preserve">gruncie art. 2 </w:t>
      </w:r>
      <w:r>
        <w:rPr>
          <w:b/>
          <w:iCs/>
          <w:color w:val="000000" w:themeColor="text1"/>
          <w:sz w:val="24"/>
          <w:szCs w:val="24"/>
          <w:lang w:val="pl-PL"/>
        </w:rPr>
        <w:t>Konwencji (prawo do życia) powstałego w wyniku zabójstw dokonanych</w:t>
      </w:r>
      <w:r w:rsidRPr="00AD64AD">
        <w:rPr>
          <w:b/>
          <w:iCs/>
          <w:color w:val="000000" w:themeColor="text1"/>
          <w:sz w:val="24"/>
          <w:szCs w:val="24"/>
          <w:lang w:val="pl-PL"/>
        </w:rPr>
        <w:t xml:space="preserve"> na obszarze Cypru kontrolowanym przez rząd cypryjski</w:t>
      </w:r>
    </w:p>
    <w:p w14:paraId="6721236A" w14:textId="73F547F1"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AD64AD">
        <w:rPr>
          <w:b/>
          <w:iCs/>
          <w:color w:val="000000" w:themeColor="text1"/>
          <w:sz w:val="24"/>
          <w:szCs w:val="24"/>
          <w:lang w:val="pl-PL"/>
        </w:rPr>
        <w:t xml:space="preserve">brak naruszenia art. </w:t>
      </w:r>
      <w:r>
        <w:rPr>
          <w:b/>
          <w:iCs/>
          <w:color w:val="000000" w:themeColor="text1"/>
          <w:sz w:val="24"/>
          <w:szCs w:val="24"/>
          <w:lang w:val="pl-PL"/>
        </w:rPr>
        <w:t>2 Konwencji (prawo do życia – aspekt obowiązków pozytywnych i</w:t>
      </w:r>
      <w:r w:rsidR="00206CCE">
        <w:rPr>
          <w:b/>
          <w:iCs/>
          <w:color w:val="000000" w:themeColor="text1"/>
          <w:sz w:val="24"/>
          <w:szCs w:val="24"/>
          <w:lang w:val="pl-PL"/>
        </w:rPr>
        <w:t> </w:t>
      </w:r>
      <w:r>
        <w:rPr>
          <w:b/>
          <w:iCs/>
          <w:color w:val="000000" w:themeColor="text1"/>
          <w:sz w:val="24"/>
          <w:szCs w:val="24"/>
          <w:lang w:val="pl-PL"/>
        </w:rPr>
        <w:t>skutecznego śledztwa) w odniesieni do</w:t>
      </w:r>
      <w:r w:rsidRPr="00AD64AD">
        <w:rPr>
          <w:b/>
          <w:iCs/>
          <w:color w:val="000000" w:themeColor="text1"/>
          <w:sz w:val="24"/>
          <w:szCs w:val="24"/>
          <w:lang w:val="pl-PL"/>
        </w:rPr>
        <w:t xml:space="preserve"> odmowy zrzeczenia się przez Cypr jurysdykcji karnej na rzecz sądów „Tureckiej Republiki Północnego Cypru”</w:t>
      </w:r>
    </w:p>
    <w:p w14:paraId="7D588D6B" w14:textId="5E215EF3"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AD64AD">
        <w:rPr>
          <w:b/>
          <w:iCs/>
          <w:color w:val="000000" w:themeColor="text1"/>
          <w:sz w:val="24"/>
          <w:szCs w:val="24"/>
          <w:lang w:val="pl-PL"/>
        </w:rPr>
        <w:t xml:space="preserve">naruszenia art. </w:t>
      </w:r>
      <w:r>
        <w:rPr>
          <w:b/>
          <w:iCs/>
          <w:color w:val="000000" w:themeColor="text1"/>
          <w:sz w:val="24"/>
          <w:szCs w:val="24"/>
          <w:lang w:val="pl-PL"/>
        </w:rPr>
        <w:t>2 Konwencji (prawo do życia – aspekt obowiązków pozytywnych i</w:t>
      </w:r>
      <w:r w:rsidR="00206CCE">
        <w:rPr>
          <w:b/>
          <w:iCs/>
          <w:color w:val="000000" w:themeColor="text1"/>
          <w:sz w:val="24"/>
          <w:szCs w:val="24"/>
          <w:lang w:val="pl-PL"/>
        </w:rPr>
        <w:t> </w:t>
      </w:r>
      <w:r>
        <w:rPr>
          <w:b/>
          <w:iCs/>
          <w:color w:val="000000" w:themeColor="text1"/>
          <w:sz w:val="24"/>
          <w:szCs w:val="24"/>
          <w:lang w:val="pl-PL"/>
        </w:rPr>
        <w:t>skutecznego śledztwa) z uwagi na b</w:t>
      </w:r>
      <w:r w:rsidRPr="00AD64AD">
        <w:rPr>
          <w:b/>
          <w:iCs/>
          <w:color w:val="000000" w:themeColor="text1"/>
          <w:sz w:val="24"/>
          <w:szCs w:val="24"/>
          <w:lang w:val="pl-PL"/>
        </w:rPr>
        <w:t xml:space="preserve">rak współpracy Turcji z Cyprem w śledztwie dotyczącym zabójstwa </w:t>
      </w:r>
    </w:p>
    <w:p w14:paraId="49364200" w14:textId="77777777" w:rsidR="00950534" w:rsidRPr="00A80201" w:rsidRDefault="00950534" w:rsidP="00950534">
      <w:pPr>
        <w:pStyle w:val="ClinContent"/>
        <w:widowControl w:val="0"/>
        <w:spacing w:before="0"/>
        <w:rPr>
          <w:rFonts w:asciiTheme="minorHAnsi" w:hAnsiTheme="minorHAnsi"/>
          <w:sz w:val="24"/>
          <w:lang w:val="pl-PL"/>
        </w:rPr>
      </w:pPr>
    </w:p>
    <w:p w14:paraId="418EC4DB"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Skar</w:t>
      </w:r>
      <w:r>
        <w:rPr>
          <w:rFonts w:asciiTheme="minorHAnsi" w:hAnsiTheme="minorHAnsi"/>
          <w:sz w:val="24"/>
          <w:lang w:val="pl-PL"/>
        </w:rPr>
        <w:t xml:space="preserve">gę wnieśli </w:t>
      </w:r>
      <w:r w:rsidRPr="00B15C52">
        <w:rPr>
          <w:rFonts w:asciiTheme="minorHAnsi" w:hAnsiTheme="minorHAnsi"/>
          <w:sz w:val="24"/>
          <w:lang w:val="pl-PL"/>
        </w:rPr>
        <w:t>trzej bliscy krewni trojga obywateli cypryjskich pochodzenia turecko-cypryjskiego, których w 2005 r. znaleziono martwych z ranami postrzałowymi na obszarze wyspy kontrolowanym przez rząd cypryjski. Zarówno władze cypryjskie, jak i tureckie (w tym władze tzw. „Tureckiej Republiki Północnego Cypru” – „TRPC”) bezzwłocznie wszczęły śledztw</w:t>
      </w:r>
      <w:r>
        <w:rPr>
          <w:rFonts w:asciiTheme="minorHAnsi" w:hAnsiTheme="minorHAnsi"/>
          <w:sz w:val="24"/>
          <w:lang w:val="pl-PL"/>
        </w:rPr>
        <w:t>a</w:t>
      </w:r>
      <w:r w:rsidRPr="00B15C52">
        <w:rPr>
          <w:rFonts w:asciiTheme="minorHAnsi" w:hAnsiTheme="minorHAnsi"/>
          <w:sz w:val="24"/>
          <w:lang w:val="pl-PL"/>
        </w:rPr>
        <w:t>. Chociaż władze cypryjskie zidentyfikowały ośmiu podejrzanych</w:t>
      </w:r>
      <w:r>
        <w:rPr>
          <w:rFonts w:asciiTheme="minorHAnsi" w:hAnsiTheme="minorHAnsi"/>
          <w:sz w:val="24"/>
          <w:lang w:val="pl-PL"/>
        </w:rPr>
        <w:t>, których władze „TRPC” zatrzymały i przesłuchały</w:t>
      </w:r>
      <w:r w:rsidRPr="00B15C52">
        <w:rPr>
          <w:rFonts w:asciiTheme="minorHAnsi" w:hAnsiTheme="minorHAnsi"/>
          <w:sz w:val="24"/>
          <w:lang w:val="pl-PL"/>
        </w:rPr>
        <w:t xml:space="preserve">, oba śledztwa znalazły się w impasie, a sprawy pozostawały w zawieszeniu, oczekując na dalsze wydarzenia. </w:t>
      </w:r>
      <w:r>
        <w:rPr>
          <w:rFonts w:asciiTheme="minorHAnsi" w:hAnsiTheme="minorHAnsi"/>
          <w:sz w:val="24"/>
          <w:lang w:val="pl-PL"/>
        </w:rPr>
        <w:t>Chociaż</w:t>
      </w:r>
      <w:r w:rsidRPr="00B15C52">
        <w:rPr>
          <w:rFonts w:asciiTheme="minorHAnsi" w:hAnsiTheme="minorHAnsi"/>
          <w:sz w:val="24"/>
          <w:lang w:val="pl-PL"/>
        </w:rPr>
        <w:t xml:space="preserve"> śledztwa się toczyły, po 2008 r. nie doszło do żadnych konkretnych działań. Rząd Turcji wciąż oczekiwał na przekazanie wszystkich dowodów w sprawie, by móc osądzić podejrzanych, podczas gdy śledztwo Cypru całkowicie się zatrzymało po zwróceniu przez Turcję wniosków o ekstradycję złożonych przez władze cypryjskie. Wysiłki podejmowane przy pomocy Sił Pokojowych Organizacji Narodów Zjednoczonych na Cyprze (UNFICYP) nie przyniosły powodzenia. </w:t>
      </w:r>
    </w:p>
    <w:p w14:paraId="1D22CAA5" w14:textId="77777777" w:rsidR="00950534" w:rsidRDefault="00950534" w:rsidP="00950534">
      <w:pPr>
        <w:pStyle w:val="ClinContent"/>
        <w:widowControl w:val="0"/>
        <w:spacing w:before="0"/>
        <w:rPr>
          <w:rFonts w:asciiTheme="minorHAnsi" w:hAnsiTheme="minorHAnsi"/>
          <w:sz w:val="24"/>
          <w:lang w:val="pl-PL"/>
        </w:rPr>
      </w:pPr>
    </w:p>
    <w:p w14:paraId="5AC4E18C" w14:textId="78B631EC"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wyroku z </w:t>
      </w:r>
      <w:r>
        <w:rPr>
          <w:rFonts w:asciiTheme="minorHAnsi" w:hAnsiTheme="minorHAnsi"/>
          <w:sz w:val="24"/>
          <w:lang w:val="pl-PL"/>
        </w:rPr>
        <w:t xml:space="preserve">dnia </w:t>
      </w:r>
      <w:r w:rsidRPr="00B15C52">
        <w:rPr>
          <w:rFonts w:asciiTheme="minorHAnsi" w:hAnsiTheme="minorHAnsi"/>
          <w:sz w:val="24"/>
          <w:lang w:val="pl-PL"/>
        </w:rPr>
        <w:t xml:space="preserve">4 kwietnia 2017 r. (zobacz </w:t>
      </w:r>
      <w:hyperlink r:id="rId12" w:history="1">
        <w:r w:rsidRPr="00B15C52">
          <w:rPr>
            <w:rStyle w:val="Hipercze"/>
            <w:rFonts w:asciiTheme="minorHAnsi" w:hAnsiTheme="minorHAnsi"/>
            <w:sz w:val="24"/>
            <w:lang w:val="pl-PL"/>
          </w:rPr>
          <w:t>Nota informacyjna nr 206</w:t>
        </w:r>
      </w:hyperlink>
      <w:r w:rsidRPr="00B15C52">
        <w:rPr>
          <w:rFonts w:asciiTheme="minorHAnsi" w:hAnsiTheme="minorHAnsi"/>
          <w:sz w:val="24"/>
          <w:lang w:val="pl-PL"/>
        </w:rPr>
        <w:t>) Izba Trybunału orzekła, że doszło do naruszenia art. 2 w aspekcie proceduralnym przez Turcję (jednogłośnie) i przez Cypr (pięcioma głosami do dwóch) z uwagi na brak skutecznej współpracy obu państw i niepodjęcie koniecznych</w:t>
      </w:r>
      <w:r>
        <w:rPr>
          <w:rFonts w:asciiTheme="minorHAnsi" w:hAnsiTheme="minorHAnsi"/>
          <w:sz w:val="24"/>
          <w:lang w:val="pl-PL"/>
        </w:rPr>
        <w:t xml:space="preserve"> uzasadnionych działań</w:t>
      </w:r>
      <w:r w:rsidRPr="00B15C52">
        <w:rPr>
          <w:rFonts w:asciiTheme="minorHAnsi" w:hAnsiTheme="minorHAnsi"/>
          <w:sz w:val="24"/>
          <w:lang w:val="pl-PL"/>
        </w:rPr>
        <w:t xml:space="preserve"> </w:t>
      </w:r>
      <w:r>
        <w:rPr>
          <w:rFonts w:asciiTheme="minorHAnsi" w:hAnsiTheme="minorHAnsi"/>
          <w:sz w:val="24"/>
          <w:lang w:val="pl-PL"/>
        </w:rPr>
        <w:t>mających na celu ułatwienie i</w:t>
      </w:r>
      <w:r w:rsidR="00206CCE">
        <w:rPr>
          <w:rFonts w:asciiTheme="minorHAnsi" w:hAnsiTheme="minorHAnsi"/>
          <w:sz w:val="24"/>
          <w:lang w:val="pl-PL"/>
        </w:rPr>
        <w:t> </w:t>
      </w:r>
      <w:r>
        <w:rPr>
          <w:rFonts w:asciiTheme="minorHAnsi" w:hAnsiTheme="minorHAnsi"/>
          <w:sz w:val="24"/>
          <w:lang w:val="pl-PL"/>
        </w:rPr>
        <w:t>przeprowadzenie</w:t>
      </w:r>
      <w:r w:rsidRPr="00B15C52">
        <w:rPr>
          <w:rFonts w:asciiTheme="minorHAnsi" w:hAnsiTheme="minorHAnsi"/>
          <w:sz w:val="24"/>
          <w:lang w:val="pl-PL"/>
        </w:rPr>
        <w:t xml:space="preserve"> skutecznego śledztwa w sprawie. W dniu 18 września 2017 r. sprawa została przekazana do Wielkiej Izby na wniosek rządów obu pozwanych państw. </w:t>
      </w:r>
    </w:p>
    <w:p w14:paraId="4E0DAE3F" w14:textId="77777777" w:rsidR="00950534" w:rsidRDefault="00950534" w:rsidP="00950534">
      <w:pPr>
        <w:pStyle w:val="ClinContent"/>
        <w:widowControl w:val="0"/>
        <w:spacing w:before="0"/>
        <w:rPr>
          <w:rFonts w:asciiTheme="minorHAnsi" w:hAnsiTheme="minorHAnsi"/>
          <w:sz w:val="24"/>
          <w:lang w:val="pl-PL"/>
        </w:rPr>
      </w:pPr>
    </w:p>
    <w:p w14:paraId="7DE2806C"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 W pierwszej kolejności Wielka Izba Trybunału musiała rozstrzygnąć, </w:t>
      </w:r>
      <w:r w:rsidRPr="00BD51FD">
        <w:rPr>
          <w:rFonts w:asciiTheme="minorHAnsi" w:hAnsiTheme="minorHAnsi"/>
          <w:sz w:val="24"/>
          <w:u w:val="single"/>
          <w:lang w:val="pl-PL"/>
        </w:rPr>
        <w:t xml:space="preserve">czy w </w:t>
      </w:r>
      <w:r>
        <w:rPr>
          <w:rFonts w:asciiTheme="minorHAnsi" w:hAnsiTheme="minorHAnsi"/>
          <w:sz w:val="24"/>
          <w:u w:val="single"/>
          <w:lang w:val="pl-PL"/>
        </w:rPr>
        <w:t>omawianej sp</w:t>
      </w:r>
      <w:r w:rsidRPr="00BD51FD">
        <w:rPr>
          <w:rFonts w:asciiTheme="minorHAnsi" w:hAnsiTheme="minorHAnsi"/>
          <w:sz w:val="24"/>
          <w:u w:val="single"/>
          <w:lang w:val="pl-PL"/>
        </w:rPr>
        <w:t>rawie można przypisać Turcji jurysdykcję terytorialną w rozumieniu art. 1 Konwencji</w:t>
      </w:r>
      <w:r>
        <w:rPr>
          <w:rFonts w:asciiTheme="minorHAnsi" w:hAnsiTheme="minorHAnsi"/>
          <w:sz w:val="24"/>
          <w:lang w:val="pl-PL"/>
        </w:rPr>
        <w:t xml:space="preserve">. </w:t>
      </w:r>
    </w:p>
    <w:p w14:paraId="7565B1C2" w14:textId="77777777" w:rsidR="00950534" w:rsidRDefault="00950534" w:rsidP="00950534">
      <w:pPr>
        <w:pStyle w:val="ClinContent"/>
        <w:widowControl w:val="0"/>
        <w:spacing w:before="0"/>
        <w:rPr>
          <w:rFonts w:asciiTheme="minorHAnsi" w:hAnsiTheme="minorHAnsi"/>
          <w:sz w:val="24"/>
          <w:lang w:val="pl-PL"/>
        </w:rPr>
      </w:pPr>
    </w:p>
    <w:p w14:paraId="59614980" w14:textId="53DE424C"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przypomniał, że dotychczas w</w:t>
      </w:r>
      <w:r w:rsidRPr="00B15C52">
        <w:rPr>
          <w:rFonts w:asciiTheme="minorHAnsi" w:hAnsiTheme="minorHAnsi"/>
          <w:sz w:val="24"/>
          <w:lang w:val="pl-PL"/>
        </w:rPr>
        <w:t xml:space="preserve"> </w:t>
      </w:r>
      <w:r>
        <w:rPr>
          <w:rFonts w:asciiTheme="minorHAnsi" w:hAnsiTheme="minorHAnsi"/>
          <w:sz w:val="24"/>
          <w:lang w:val="pl-PL"/>
        </w:rPr>
        <w:t xml:space="preserve">bardzo </w:t>
      </w:r>
      <w:r w:rsidRPr="00B15C52">
        <w:rPr>
          <w:rFonts w:asciiTheme="minorHAnsi" w:hAnsiTheme="minorHAnsi"/>
          <w:sz w:val="24"/>
          <w:lang w:val="pl-PL"/>
        </w:rPr>
        <w:t>niewielu sprawach musiał rozpatrywać skargi na podstawie proceduralnego aspektu art. 2</w:t>
      </w:r>
      <w:r>
        <w:rPr>
          <w:rFonts w:asciiTheme="minorHAnsi" w:hAnsiTheme="minorHAnsi"/>
          <w:sz w:val="24"/>
          <w:lang w:val="pl-PL"/>
        </w:rPr>
        <w:t xml:space="preserve"> Konwencji (prawo do życia)</w:t>
      </w:r>
      <w:r w:rsidRPr="00B15C52">
        <w:rPr>
          <w:rFonts w:asciiTheme="minorHAnsi" w:hAnsiTheme="minorHAnsi"/>
          <w:sz w:val="24"/>
          <w:lang w:val="pl-PL"/>
        </w:rPr>
        <w:t>, w których śmierć nastąpiła pod inną jurysdykcją niż jurysdykcja państwa, co do którego tw</w:t>
      </w:r>
      <w:r>
        <w:rPr>
          <w:rFonts w:asciiTheme="minorHAnsi" w:hAnsiTheme="minorHAnsi"/>
          <w:sz w:val="24"/>
          <w:lang w:val="pl-PL"/>
        </w:rPr>
        <w:t>ierdzono, że ponosi proceduralny obowiązek pozytywny</w:t>
      </w:r>
      <w:r w:rsidRPr="00B15C52">
        <w:rPr>
          <w:rFonts w:asciiTheme="minorHAnsi" w:hAnsiTheme="minorHAnsi"/>
          <w:sz w:val="24"/>
          <w:lang w:val="pl-PL"/>
        </w:rPr>
        <w:t>. Z orzecznictwa Trybunału wyni</w:t>
      </w:r>
      <w:r>
        <w:rPr>
          <w:rFonts w:asciiTheme="minorHAnsi" w:hAnsiTheme="minorHAnsi"/>
          <w:sz w:val="24"/>
          <w:lang w:val="pl-PL"/>
        </w:rPr>
        <w:t>ka, że w takich okolicznościach wystarczy, by</w:t>
      </w:r>
      <w:r w:rsidRPr="00B15C52">
        <w:rPr>
          <w:rFonts w:asciiTheme="minorHAnsi" w:hAnsiTheme="minorHAnsi"/>
          <w:sz w:val="24"/>
          <w:lang w:val="pl-PL"/>
        </w:rPr>
        <w:t xml:space="preserve"> organy śledcze lub sądowe państwa </w:t>
      </w:r>
      <w:r>
        <w:rPr>
          <w:rFonts w:asciiTheme="minorHAnsi" w:hAnsiTheme="minorHAnsi"/>
          <w:sz w:val="24"/>
          <w:lang w:val="pl-PL"/>
        </w:rPr>
        <w:t xml:space="preserve">strony Konwencji </w:t>
      </w:r>
      <w:r w:rsidRPr="00B15C52">
        <w:rPr>
          <w:rFonts w:asciiTheme="minorHAnsi" w:hAnsiTheme="minorHAnsi"/>
          <w:sz w:val="24"/>
          <w:lang w:val="pl-PL"/>
        </w:rPr>
        <w:t>wszczęły własne śledztwo lub postępowanie karne,</w:t>
      </w:r>
      <w:r>
        <w:rPr>
          <w:rFonts w:asciiTheme="minorHAnsi" w:hAnsiTheme="minorHAnsi"/>
          <w:sz w:val="24"/>
          <w:lang w:val="pl-PL"/>
        </w:rPr>
        <w:t xml:space="preserve"> aby powstał związek jurysdykcyjny</w:t>
      </w:r>
      <w:r w:rsidRPr="00B15C52">
        <w:rPr>
          <w:rFonts w:asciiTheme="minorHAnsi" w:hAnsiTheme="minorHAnsi"/>
          <w:sz w:val="24"/>
          <w:lang w:val="pl-PL"/>
        </w:rPr>
        <w:t xml:space="preserve"> na potrzeby art. 1 </w:t>
      </w:r>
      <w:r>
        <w:rPr>
          <w:rFonts w:asciiTheme="minorHAnsi" w:hAnsiTheme="minorHAnsi"/>
          <w:sz w:val="24"/>
          <w:lang w:val="pl-PL"/>
        </w:rPr>
        <w:t xml:space="preserve">Konwencji </w:t>
      </w:r>
      <w:r w:rsidRPr="00B15C52">
        <w:rPr>
          <w:rFonts w:asciiTheme="minorHAnsi" w:hAnsiTheme="minorHAnsi"/>
          <w:sz w:val="24"/>
          <w:lang w:val="pl-PL"/>
        </w:rPr>
        <w:t xml:space="preserve">między tym państwem a krewnymi ofiary, którzy następnie wszczęli postępowanie przed Trybunałem. </w:t>
      </w:r>
    </w:p>
    <w:p w14:paraId="044D8E3E" w14:textId="77777777" w:rsidR="00950534" w:rsidRDefault="00950534" w:rsidP="00950534">
      <w:pPr>
        <w:pStyle w:val="ClinContent"/>
        <w:widowControl w:val="0"/>
        <w:spacing w:before="0"/>
        <w:rPr>
          <w:rFonts w:asciiTheme="minorHAnsi" w:hAnsiTheme="minorHAnsi"/>
          <w:sz w:val="24"/>
          <w:lang w:val="pl-PL"/>
        </w:rPr>
      </w:pPr>
    </w:p>
    <w:p w14:paraId="2E5692BA" w14:textId="7EA24F32"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w:t>
      </w:r>
      <w:r>
        <w:rPr>
          <w:rFonts w:asciiTheme="minorHAnsi" w:hAnsiTheme="minorHAnsi"/>
          <w:sz w:val="24"/>
          <w:lang w:val="pl-PL"/>
        </w:rPr>
        <w:t xml:space="preserve">niniejszej </w:t>
      </w:r>
      <w:r w:rsidRPr="00B15C52">
        <w:rPr>
          <w:rFonts w:asciiTheme="minorHAnsi" w:hAnsiTheme="minorHAnsi"/>
          <w:sz w:val="24"/>
          <w:lang w:val="pl-PL"/>
        </w:rPr>
        <w:t>sprawie władze „TRPC” wszczęły własne śledztwo w sprawie zabójstwa i w tych okolicznościach istniał „związek jurysdykcyjny” między skarżącymi a Turcją, która na</w:t>
      </w:r>
      <w:r w:rsidR="00206CCE">
        <w:rPr>
          <w:rFonts w:asciiTheme="minorHAnsi" w:hAnsiTheme="minorHAnsi"/>
          <w:sz w:val="24"/>
          <w:lang w:val="pl-PL"/>
        </w:rPr>
        <w:t> </w:t>
      </w:r>
      <w:r w:rsidRPr="00B15C52">
        <w:rPr>
          <w:rFonts w:asciiTheme="minorHAnsi" w:hAnsiTheme="minorHAnsi"/>
          <w:sz w:val="24"/>
          <w:lang w:val="pl-PL"/>
        </w:rPr>
        <w:t xml:space="preserve">podstawie Konwencji ponosi odpowiedzialność </w:t>
      </w:r>
      <w:r>
        <w:rPr>
          <w:rFonts w:asciiTheme="minorHAnsi" w:hAnsiTheme="minorHAnsi"/>
          <w:sz w:val="24"/>
          <w:lang w:val="pl-PL"/>
        </w:rPr>
        <w:t>za działania i zaniechania</w:t>
      </w:r>
      <w:r w:rsidRPr="00B15C52">
        <w:rPr>
          <w:rFonts w:asciiTheme="minorHAnsi" w:hAnsiTheme="minorHAnsi"/>
          <w:sz w:val="24"/>
          <w:lang w:val="pl-PL"/>
        </w:rPr>
        <w:t xml:space="preserve"> władz „TRPC”. </w:t>
      </w:r>
    </w:p>
    <w:p w14:paraId="4A47B7DF" w14:textId="77777777" w:rsidR="00950534" w:rsidRDefault="00950534" w:rsidP="00950534">
      <w:pPr>
        <w:pStyle w:val="ClinContent"/>
        <w:widowControl w:val="0"/>
        <w:spacing w:before="0"/>
        <w:rPr>
          <w:rFonts w:asciiTheme="minorHAnsi" w:hAnsiTheme="minorHAnsi"/>
          <w:sz w:val="24"/>
          <w:lang w:val="pl-PL"/>
        </w:rPr>
      </w:pPr>
    </w:p>
    <w:p w14:paraId="3C65B8BC"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że s</w:t>
      </w:r>
      <w:r w:rsidRPr="00B15C52">
        <w:rPr>
          <w:rFonts w:asciiTheme="minorHAnsi" w:hAnsiTheme="minorHAnsi"/>
          <w:sz w:val="24"/>
          <w:lang w:val="pl-PL"/>
        </w:rPr>
        <w:t xml:space="preserve">ytuacja na Cyprze wykazuje ponadto szczególne cechy. Po pierwsze, wspólnota międzynarodowa uważa, że Turcja okupuje północną część Cypru, i nie uznaje „TRPC” za państwo w świetle prawa międzynarodowego. Na potrzeby Konwencji Cypr Północny znajduje się pod skuteczną kontrolą Turcji. Po drugie, podejrzani o zabójstwo zbiegli na obszar „TRPC”, w wyniku czego Cypr nie był w stanie kontynuować własnego śledztwa w odniesieniu do tych podejrzanych, a zatem </w:t>
      </w:r>
      <w:r>
        <w:rPr>
          <w:rFonts w:asciiTheme="minorHAnsi" w:hAnsiTheme="minorHAnsi"/>
          <w:sz w:val="24"/>
          <w:lang w:val="pl-PL"/>
        </w:rPr>
        <w:t xml:space="preserve">nie mógł </w:t>
      </w:r>
      <w:r w:rsidRPr="00B15C52">
        <w:rPr>
          <w:rFonts w:asciiTheme="minorHAnsi" w:hAnsiTheme="minorHAnsi"/>
          <w:sz w:val="24"/>
          <w:lang w:val="pl-PL"/>
        </w:rPr>
        <w:t xml:space="preserve">wypełnić swych obowiązków </w:t>
      </w:r>
      <w:r>
        <w:rPr>
          <w:rFonts w:asciiTheme="minorHAnsi" w:hAnsiTheme="minorHAnsi"/>
          <w:sz w:val="24"/>
          <w:lang w:val="pl-PL"/>
        </w:rPr>
        <w:t xml:space="preserve">wynikających z </w:t>
      </w:r>
      <w:r w:rsidRPr="00B15C52">
        <w:rPr>
          <w:rFonts w:asciiTheme="minorHAnsi" w:hAnsiTheme="minorHAnsi"/>
          <w:sz w:val="24"/>
          <w:lang w:val="pl-PL"/>
        </w:rPr>
        <w:t>Konwencji.</w:t>
      </w:r>
      <w:r>
        <w:rPr>
          <w:rFonts w:asciiTheme="minorHAnsi" w:hAnsiTheme="minorHAnsi"/>
          <w:sz w:val="24"/>
          <w:lang w:val="pl-PL"/>
        </w:rPr>
        <w:t xml:space="preserve"> </w:t>
      </w:r>
    </w:p>
    <w:p w14:paraId="256CCC28" w14:textId="77777777" w:rsidR="00950534" w:rsidRDefault="00950534" w:rsidP="00950534">
      <w:pPr>
        <w:pStyle w:val="ClinContent"/>
        <w:widowControl w:val="0"/>
        <w:spacing w:before="0"/>
        <w:rPr>
          <w:rFonts w:asciiTheme="minorHAnsi" w:hAnsiTheme="minorHAnsi"/>
          <w:sz w:val="24"/>
          <w:lang w:val="pl-PL"/>
        </w:rPr>
      </w:pPr>
    </w:p>
    <w:p w14:paraId="59E0D56C"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Na podstawie tych dwóch elementów</w:t>
      </w:r>
      <w:r w:rsidRPr="00B15C52">
        <w:rPr>
          <w:rFonts w:asciiTheme="minorHAnsi" w:hAnsiTheme="minorHAnsi"/>
          <w:sz w:val="24"/>
          <w:lang w:val="pl-PL"/>
        </w:rPr>
        <w:t xml:space="preserve">, z których każdy </w:t>
      </w:r>
      <w:r>
        <w:rPr>
          <w:rFonts w:asciiTheme="minorHAnsi" w:hAnsiTheme="minorHAnsi"/>
          <w:sz w:val="24"/>
          <w:lang w:val="pl-PL"/>
        </w:rPr>
        <w:t xml:space="preserve">rozpatrywany osobno </w:t>
      </w:r>
      <w:r w:rsidRPr="00B15C52">
        <w:rPr>
          <w:rFonts w:asciiTheme="minorHAnsi" w:hAnsiTheme="minorHAnsi"/>
          <w:sz w:val="24"/>
          <w:lang w:val="pl-PL"/>
        </w:rPr>
        <w:t xml:space="preserve">wystarczyłby do ustanowienia związku jurysdykcyjnego, </w:t>
      </w:r>
      <w:r>
        <w:rPr>
          <w:rFonts w:asciiTheme="minorHAnsi" w:hAnsiTheme="minorHAnsi"/>
          <w:sz w:val="24"/>
          <w:lang w:val="pl-PL"/>
        </w:rPr>
        <w:t>Trybunał uznał jednogłośnie, że ustalono</w:t>
      </w:r>
      <w:r w:rsidRPr="00B15C52">
        <w:rPr>
          <w:rFonts w:asciiTheme="minorHAnsi" w:hAnsiTheme="minorHAnsi"/>
          <w:sz w:val="24"/>
          <w:lang w:val="pl-PL"/>
        </w:rPr>
        <w:t xml:space="preserve"> jurysdykcję Turcji. </w:t>
      </w:r>
    </w:p>
    <w:p w14:paraId="21688799" w14:textId="77777777" w:rsidR="00950534" w:rsidRDefault="00950534" w:rsidP="00950534">
      <w:pPr>
        <w:pStyle w:val="ClinContent"/>
        <w:widowControl w:val="0"/>
        <w:spacing w:before="0"/>
        <w:rPr>
          <w:rFonts w:asciiTheme="minorHAnsi" w:hAnsiTheme="minorHAnsi"/>
          <w:sz w:val="24"/>
          <w:lang w:val="pl-PL"/>
        </w:rPr>
      </w:pPr>
    </w:p>
    <w:p w14:paraId="4226B99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Dodał też, że j</w:t>
      </w:r>
      <w:r w:rsidRPr="00B15C52">
        <w:rPr>
          <w:rFonts w:asciiTheme="minorHAnsi" w:hAnsiTheme="minorHAnsi"/>
          <w:sz w:val="24"/>
          <w:lang w:val="pl-PL"/>
        </w:rPr>
        <w:t>akiekolwiek inne stwierdzenie skutkowałoby powstaniem luki w systemie ochrony praw człowieka na terytorium Cypru, co niosłoby ryzyko powstania bezpiecznego schronienia w „TRPC” dla zabójców uciekających z terytorium kon</w:t>
      </w:r>
      <w:r>
        <w:rPr>
          <w:rFonts w:asciiTheme="minorHAnsi" w:hAnsiTheme="minorHAnsi"/>
          <w:sz w:val="24"/>
          <w:lang w:val="pl-PL"/>
        </w:rPr>
        <w:t xml:space="preserve">trolowanego przez Cypr. To z kolei niosłoby ryzyko </w:t>
      </w:r>
      <w:r w:rsidRPr="00B15C52">
        <w:rPr>
          <w:rFonts w:asciiTheme="minorHAnsi" w:hAnsiTheme="minorHAnsi"/>
          <w:sz w:val="24"/>
          <w:lang w:val="pl-PL"/>
        </w:rPr>
        <w:t xml:space="preserve">utrudnienia stosowania </w:t>
      </w:r>
      <w:r>
        <w:rPr>
          <w:rFonts w:asciiTheme="minorHAnsi" w:hAnsiTheme="minorHAnsi"/>
          <w:sz w:val="24"/>
          <w:lang w:val="pl-PL"/>
        </w:rPr>
        <w:t xml:space="preserve">przepisów </w:t>
      </w:r>
      <w:r w:rsidRPr="00B15C52">
        <w:rPr>
          <w:rFonts w:asciiTheme="minorHAnsi" w:hAnsiTheme="minorHAnsi"/>
          <w:sz w:val="24"/>
          <w:lang w:val="pl-PL"/>
        </w:rPr>
        <w:t xml:space="preserve">karnych przyjętych przez rząd Cypru w celu ochrony prawa do życia swych obywateli, a w istocie wszystkich osób </w:t>
      </w:r>
      <w:r>
        <w:rPr>
          <w:rFonts w:asciiTheme="minorHAnsi" w:hAnsiTheme="minorHAnsi"/>
          <w:sz w:val="24"/>
          <w:lang w:val="pl-PL"/>
        </w:rPr>
        <w:t xml:space="preserve">pozostających </w:t>
      </w:r>
      <w:r w:rsidRPr="00B15C52">
        <w:rPr>
          <w:rFonts w:asciiTheme="minorHAnsi" w:hAnsiTheme="minorHAnsi"/>
          <w:sz w:val="24"/>
          <w:lang w:val="pl-PL"/>
        </w:rPr>
        <w:t xml:space="preserve">w jego jurysdykcji. </w:t>
      </w:r>
    </w:p>
    <w:p w14:paraId="62ABD5B6" w14:textId="77777777" w:rsidR="00950534" w:rsidRDefault="00950534" w:rsidP="00950534">
      <w:pPr>
        <w:pStyle w:val="ClinContent"/>
        <w:widowControl w:val="0"/>
        <w:spacing w:before="0"/>
        <w:rPr>
          <w:rFonts w:asciiTheme="minorHAnsi" w:hAnsiTheme="minorHAnsi"/>
          <w:sz w:val="24"/>
          <w:lang w:val="pl-PL"/>
        </w:rPr>
      </w:pPr>
    </w:p>
    <w:p w14:paraId="753295DC" w14:textId="77777777" w:rsidR="00950534" w:rsidRPr="00177EE7" w:rsidRDefault="00950534" w:rsidP="00950534">
      <w:pPr>
        <w:pStyle w:val="ClinContent"/>
        <w:widowControl w:val="0"/>
        <w:spacing w:before="0"/>
        <w:rPr>
          <w:rFonts w:asciiTheme="minorHAnsi" w:hAnsiTheme="minorHAnsi"/>
          <w:sz w:val="24"/>
          <w:u w:val="single"/>
          <w:lang w:val="pl-PL"/>
        </w:rPr>
      </w:pPr>
      <w:r>
        <w:rPr>
          <w:rFonts w:asciiTheme="minorHAnsi" w:hAnsiTheme="minorHAnsi"/>
          <w:sz w:val="24"/>
          <w:lang w:val="pl-PL"/>
        </w:rPr>
        <w:t xml:space="preserve">II. Trybunał zbadał następnie, </w:t>
      </w:r>
      <w:r w:rsidRPr="00177EE7">
        <w:rPr>
          <w:rFonts w:asciiTheme="minorHAnsi" w:hAnsiTheme="minorHAnsi"/>
          <w:sz w:val="24"/>
          <w:u w:val="single"/>
          <w:lang w:val="pl-PL"/>
        </w:rPr>
        <w:t xml:space="preserve">czy oba pozwane państwa, tj. Turcja i Cypr, wypełniły swe obowiązki proceduralne na podstawie art. 2 Konwencji chroniącego prawo do życia. </w:t>
      </w:r>
    </w:p>
    <w:p w14:paraId="30AC0498" w14:textId="77777777" w:rsidR="00950534" w:rsidRDefault="00950534" w:rsidP="00950534">
      <w:pPr>
        <w:pStyle w:val="ClinContent"/>
        <w:widowControl w:val="0"/>
        <w:spacing w:before="0"/>
        <w:rPr>
          <w:rFonts w:asciiTheme="minorHAnsi" w:hAnsiTheme="minorHAnsi"/>
          <w:sz w:val="24"/>
          <w:lang w:val="pl-PL"/>
        </w:rPr>
      </w:pPr>
    </w:p>
    <w:p w14:paraId="523915CE" w14:textId="300394DA"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Podkreślił, że o</w:t>
      </w:r>
      <w:r w:rsidRPr="00B15C52">
        <w:rPr>
          <w:rFonts w:asciiTheme="minorHAnsi" w:hAnsiTheme="minorHAnsi"/>
          <w:sz w:val="24"/>
          <w:lang w:val="pl-PL"/>
        </w:rPr>
        <w:t xml:space="preserve">bowiązek proceduralny przeprowadzenia śledztwa </w:t>
      </w:r>
      <w:r>
        <w:rPr>
          <w:rFonts w:asciiTheme="minorHAnsi" w:hAnsiTheme="minorHAnsi"/>
          <w:sz w:val="24"/>
          <w:lang w:val="pl-PL"/>
        </w:rPr>
        <w:t xml:space="preserve">w sprawie zabójstwa </w:t>
      </w:r>
      <w:r w:rsidRPr="00B15C52">
        <w:rPr>
          <w:rFonts w:asciiTheme="minorHAnsi" w:hAnsiTheme="minorHAnsi"/>
          <w:sz w:val="24"/>
          <w:lang w:val="pl-PL"/>
        </w:rPr>
        <w:t xml:space="preserve">powstał wobec obu pozwanych państw. </w:t>
      </w:r>
      <w:r>
        <w:rPr>
          <w:rFonts w:asciiTheme="minorHAnsi" w:hAnsiTheme="minorHAnsi"/>
          <w:sz w:val="24"/>
          <w:lang w:val="pl-PL"/>
        </w:rPr>
        <w:t>Odnotował też, że o</w:t>
      </w:r>
      <w:r w:rsidRPr="00B15C52">
        <w:rPr>
          <w:rFonts w:asciiTheme="minorHAnsi" w:hAnsiTheme="minorHAnsi"/>
          <w:sz w:val="24"/>
          <w:lang w:val="pl-PL"/>
        </w:rPr>
        <w:t xml:space="preserve">ba państwa podjęły niezwłocznie znaczną liczbę działań dochodzeniowych i </w:t>
      </w:r>
      <w:r>
        <w:rPr>
          <w:rFonts w:asciiTheme="minorHAnsi" w:hAnsiTheme="minorHAnsi"/>
          <w:sz w:val="24"/>
          <w:lang w:val="pl-PL"/>
        </w:rPr>
        <w:t xml:space="preserve">nie znalazł </w:t>
      </w:r>
      <w:r w:rsidRPr="00B15C52">
        <w:rPr>
          <w:rFonts w:asciiTheme="minorHAnsi" w:hAnsiTheme="minorHAnsi"/>
          <w:sz w:val="24"/>
          <w:lang w:val="pl-PL"/>
        </w:rPr>
        <w:t>podstaw do</w:t>
      </w:r>
      <w:r w:rsidR="00206CCE">
        <w:rPr>
          <w:rFonts w:asciiTheme="minorHAnsi" w:hAnsiTheme="minorHAnsi"/>
          <w:sz w:val="24"/>
          <w:lang w:val="pl-PL"/>
        </w:rPr>
        <w:t> </w:t>
      </w:r>
      <w:r w:rsidRPr="00B15C52">
        <w:rPr>
          <w:rFonts w:asciiTheme="minorHAnsi" w:hAnsiTheme="minorHAnsi"/>
          <w:sz w:val="24"/>
          <w:lang w:val="pl-PL"/>
        </w:rPr>
        <w:t xml:space="preserve">kwestionowania adekwatności tych śledztw. </w:t>
      </w:r>
    </w:p>
    <w:p w14:paraId="730670D3" w14:textId="77777777" w:rsidR="00950534" w:rsidRDefault="00950534" w:rsidP="00950534">
      <w:pPr>
        <w:pStyle w:val="ClinContent"/>
        <w:widowControl w:val="0"/>
        <w:spacing w:before="0"/>
        <w:rPr>
          <w:rFonts w:asciiTheme="minorHAnsi" w:hAnsiTheme="minorHAnsi"/>
          <w:sz w:val="24"/>
          <w:lang w:val="pl-PL"/>
        </w:rPr>
      </w:pPr>
    </w:p>
    <w:p w14:paraId="59234B8E" w14:textId="2F5E828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wskazał, że i</w:t>
      </w:r>
      <w:r w:rsidRPr="00B15C52">
        <w:rPr>
          <w:rFonts w:asciiTheme="minorHAnsi" w:hAnsiTheme="minorHAnsi"/>
          <w:sz w:val="24"/>
          <w:lang w:val="pl-PL"/>
        </w:rPr>
        <w:t xml:space="preserve">stotą problemu </w:t>
      </w:r>
      <w:r>
        <w:rPr>
          <w:rFonts w:asciiTheme="minorHAnsi" w:hAnsiTheme="minorHAnsi"/>
          <w:sz w:val="24"/>
          <w:lang w:val="pl-PL"/>
        </w:rPr>
        <w:t>podniesionego w obecnej skardze było to, czy</w:t>
      </w:r>
      <w:r w:rsidR="00206CCE">
        <w:rPr>
          <w:rFonts w:asciiTheme="minorHAnsi" w:hAnsiTheme="minorHAnsi"/>
          <w:sz w:val="24"/>
          <w:lang w:val="pl-PL"/>
        </w:rPr>
        <w:t> </w:t>
      </w:r>
      <w:r>
        <w:rPr>
          <w:rFonts w:asciiTheme="minorHAnsi" w:hAnsiTheme="minorHAnsi"/>
          <w:sz w:val="24"/>
          <w:lang w:val="pl-PL"/>
        </w:rPr>
        <w:t>w</w:t>
      </w:r>
      <w:r w:rsidR="00206CCE">
        <w:rPr>
          <w:rFonts w:asciiTheme="minorHAnsi" w:hAnsiTheme="minorHAnsi"/>
          <w:sz w:val="24"/>
          <w:lang w:val="pl-PL"/>
        </w:rPr>
        <w:t> </w:t>
      </w:r>
      <w:r>
        <w:rPr>
          <w:rFonts w:asciiTheme="minorHAnsi" w:hAnsiTheme="minorHAnsi"/>
          <w:sz w:val="24"/>
          <w:lang w:val="pl-PL"/>
        </w:rPr>
        <w:t xml:space="preserve">ramach </w:t>
      </w:r>
      <w:r w:rsidRPr="00B15C52">
        <w:rPr>
          <w:rFonts w:asciiTheme="minorHAnsi" w:hAnsiTheme="minorHAnsi"/>
          <w:sz w:val="24"/>
          <w:lang w:val="pl-PL"/>
        </w:rPr>
        <w:t>obowiązku proceduralnego na podstawie art. 2 Konwencji</w:t>
      </w:r>
      <w:r>
        <w:rPr>
          <w:rFonts w:asciiTheme="minorHAnsi" w:hAnsiTheme="minorHAnsi"/>
          <w:sz w:val="24"/>
          <w:lang w:val="pl-PL"/>
        </w:rPr>
        <w:t xml:space="preserve"> pozwane państwa mają obowiązek współpracy i w jakim zakresie</w:t>
      </w:r>
      <w:r w:rsidRPr="00B15C52">
        <w:rPr>
          <w:rFonts w:asciiTheme="minorHAnsi" w:hAnsiTheme="minorHAnsi"/>
          <w:sz w:val="24"/>
          <w:lang w:val="pl-PL"/>
        </w:rPr>
        <w:t>.</w:t>
      </w:r>
    </w:p>
    <w:p w14:paraId="3A167EFF" w14:textId="77777777" w:rsidR="00950534" w:rsidRDefault="00950534" w:rsidP="00950534">
      <w:pPr>
        <w:pStyle w:val="ClinContent"/>
        <w:widowControl w:val="0"/>
        <w:spacing w:before="0"/>
        <w:rPr>
          <w:rFonts w:asciiTheme="minorHAnsi" w:hAnsiTheme="minorHAnsi"/>
          <w:sz w:val="24"/>
          <w:lang w:val="pl-PL"/>
        </w:rPr>
      </w:pPr>
    </w:p>
    <w:p w14:paraId="0C12D282" w14:textId="3D8D92C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Uznał, że a</w:t>
      </w:r>
      <w:r w:rsidRPr="00B15C52">
        <w:rPr>
          <w:rFonts w:asciiTheme="minorHAnsi" w:hAnsiTheme="minorHAnsi"/>
          <w:sz w:val="24"/>
          <w:lang w:val="pl-PL"/>
        </w:rPr>
        <w:t xml:space="preserve">rt. 2 </w:t>
      </w:r>
      <w:r>
        <w:rPr>
          <w:rFonts w:asciiTheme="minorHAnsi" w:hAnsiTheme="minorHAnsi"/>
          <w:sz w:val="24"/>
          <w:lang w:val="pl-PL"/>
        </w:rPr>
        <w:t xml:space="preserve">Konwencji </w:t>
      </w:r>
      <w:r w:rsidRPr="00B15C52">
        <w:rPr>
          <w:rFonts w:asciiTheme="minorHAnsi" w:hAnsiTheme="minorHAnsi"/>
          <w:sz w:val="24"/>
          <w:lang w:val="pl-PL"/>
        </w:rPr>
        <w:t xml:space="preserve">może </w:t>
      </w:r>
      <w:r>
        <w:rPr>
          <w:rFonts w:asciiTheme="minorHAnsi" w:hAnsiTheme="minorHAnsi"/>
          <w:sz w:val="24"/>
          <w:lang w:val="pl-PL"/>
        </w:rPr>
        <w:t>nakładać na obydwa państw dwukierunkowy</w:t>
      </w:r>
      <w:r w:rsidRPr="00B15C52">
        <w:rPr>
          <w:rFonts w:asciiTheme="minorHAnsi" w:hAnsiTheme="minorHAnsi"/>
          <w:sz w:val="24"/>
          <w:lang w:val="pl-PL"/>
        </w:rPr>
        <w:t xml:space="preserve"> obowiąz</w:t>
      </w:r>
      <w:r>
        <w:rPr>
          <w:rFonts w:asciiTheme="minorHAnsi" w:hAnsiTheme="minorHAnsi"/>
          <w:sz w:val="24"/>
          <w:lang w:val="pl-PL"/>
        </w:rPr>
        <w:t>e</w:t>
      </w:r>
      <w:r w:rsidRPr="00B15C52">
        <w:rPr>
          <w:rFonts w:asciiTheme="minorHAnsi" w:hAnsiTheme="minorHAnsi"/>
          <w:sz w:val="24"/>
          <w:lang w:val="pl-PL"/>
        </w:rPr>
        <w:t>k wzajemnej współp</w:t>
      </w:r>
      <w:r>
        <w:rPr>
          <w:rFonts w:asciiTheme="minorHAnsi" w:hAnsiTheme="minorHAnsi"/>
          <w:sz w:val="24"/>
          <w:lang w:val="pl-PL"/>
        </w:rPr>
        <w:t>racy, zakładający jednoczesny</w:t>
      </w:r>
      <w:r w:rsidRPr="00B15C52">
        <w:rPr>
          <w:rFonts w:asciiTheme="minorHAnsi" w:hAnsiTheme="minorHAnsi"/>
          <w:sz w:val="24"/>
          <w:lang w:val="pl-PL"/>
        </w:rPr>
        <w:t xml:space="preserve"> obowiązek ubiegania się o pomoc i</w:t>
      </w:r>
      <w:r w:rsidR="00206CCE">
        <w:rPr>
          <w:rFonts w:asciiTheme="minorHAnsi" w:hAnsiTheme="minorHAnsi"/>
          <w:sz w:val="24"/>
          <w:lang w:val="pl-PL"/>
        </w:rPr>
        <w:t> </w:t>
      </w:r>
      <w:r w:rsidRPr="00B15C52">
        <w:rPr>
          <w:rFonts w:asciiTheme="minorHAnsi" w:hAnsiTheme="minorHAnsi"/>
          <w:sz w:val="24"/>
          <w:lang w:val="pl-PL"/>
        </w:rPr>
        <w:t>obowiązek udzielania pomocy. Taki obowiązek jest zgodny ze skuteczną ochroną prawa do</w:t>
      </w:r>
      <w:r w:rsidR="00206CCE">
        <w:rPr>
          <w:rFonts w:asciiTheme="minorHAnsi" w:hAnsiTheme="minorHAnsi"/>
          <w:sz w:val="24"/>
          <w:lang w:val="pl-PL"/>
        </w:rPr>
        <w:t> </w:t>
      </w:r>
      <w:r w:rsidRPr="00B15C52">
        <w:rPr>
          <w:rFonts w:asciiTheme="minorHAnsi" w:hAnsiTheme="minorHAnsi"/>
          <w:sz w:val="24"/>
          <w:lang w:val="pl-PL"/>
        </w:rPr>
        <w:t xml:space="preserve">życia, gwarantowanego przez art. 2. Zainteresowane państwa powinny podjąć wszelkie uzasadnione działania </w:t>
      </w:r>
      <w:r>
        <w:rPr>
          <w:rFonts w:asciiTheme="minorHAnsi" w:hAnsiTheme="minorHAnsi"/>
          <w:sz w:val="24"/>
          <w:lang w:val="pl-PL"/>
        </w:rPr>
        <w:t>mające na celu wzajemną współpracę</w:t>
      </w:r>
      <w:r w:rsidRPr="00B15C52">
        <w:rPr>
          <w:rFonts w:asciiTheme="minorHAnsi" w:hAnsiTheme="minorHAnsi"/>
          <w:sz w:val="24"/>
          <w:lang w:val="pl-PL"/>
        </w:rPr>
        <w:t>, wykorzystując w dobrej wierze możliwości</w:t>
      </w:r>
      <w:r>
        <w:rPr>
          <w:rFonts w:asciiTheme="minorHAnsi" w:hAnsiTheme="minorHAnsi"/>
          <w:sz w:val="24"/>
          <w:lang w:val="pl-PL"/>
        </w:rPr>
        <w:t>, jakie mają do dyspozycji</w:t>
      </w:r>
      <w:r w:rsidRPr="00B15C52">
        <w:rPr>
          <w:rFonts w:asciiTheme="minorHAnsi" w:hAnsiTheme="minorHAnsi"/>
          <w:sz w:val="24"/>
          <w:lang w:val="pl-PL"/>
        </w:rPr>
        <w:t xml:space="preserve"> na podstawie mających zastosowanie instrumentów międzynarodowych </w:t>
      </w:r>
      <w:r>
        <w:rPr>
          <w:rFonts w:asciiTheme="minorHAnsi" w:hAnsiTheme="minorHAnsi"/>
          <w:sz w:val="24"/>
          <w:lang w:val="pl-PL"/>
        </w:rPr>
        <w:t xml:space="preserve">w zakresie </w:t>
      </w:r>
      <w:r w:rsidRPr="00B15C52">
        <w:rPr>
          <w:rFonts w:asciiTheme="minorHAnsi" w:hAnsiTheme="minorHAnsi"/>
          <w:sz w:val="24"/>
          <w:lang w:val="pl-PL"/>
        </w:rPr>
        <w:t xml:space="preserve">wzajemnej pomocy prawnej i współpracy w sprawach karnych. </w:t>
      </w:r>
    </w:p>
    <w:p w14:paraId="49227ED9" w14:textId="77777777" w:rsidR="00950534" w:rsidRDefault="00950534" w:rsidP="00950534">
      <w:pPr>
        <w:pStyle w:val="ClinContent"/>
        <w:widowControl w:val="0"/>
        <w:spacing w:before="0"/>
        <w:rPr>
          <w:rFonts w:asciiTheme="minorHAnsi" w:hAnsiTheme="minorHAnsi"/>
          <w:sz w:val="24"/>
          <w:lang w:val="pl-PL"/>
        </w:rPr>
      </w:pPr>
    </w:p>
    <w:p w14:paraId="4B691875" w14:textId="77777777" w:rsidR="00950534" w:rsidRDefault="00950534" w:rsidP="00950534">
      <w:pPr>
        <w:pStyle w:val="ClinContent"/>
        <w:widowControl w:val="0"/>
        <w:spacing w:before="0"/>
        <w:rPr>
          <w:rFonts w:asciiTheme="minorHAnsi" w:hAnsiTheme="minorHAnsi"/>
          <w:sz w:val="24"/>
          <w:lang w:val="pl-PL"/>
        </w:rPr>
      </w:pPr>
      <w:r w:rsidRPr="007F5EAC">
        <w:rPr>
          <w:rFonts w:asciiTheme="minorHAnsi" w:hAnsiTheme="minorHAnsi"/>
          <w:sz w:val="24"/>
          <w:lang w:val="pl-PL"/>
        </w:rPr>
        <w:t>Jednocześnie Trybunał uznał, że proceduralny obowiązek współpracy na podstawie art. 2 Konwencji należy interpretować w świetle traktatów i porozumień międzynarodowych stosujących się między zainteresowanymi</w:t>
      </w:r>
      <w:r w:rsidRPr="00B15C52">
        <w:rPr>
          <w:rFonts w:asciiTheme="minorHAnsi" w:hAnsiTheme="minorHAnsi"/>
          <w:sz w:val="24"/>
          <w:lang w:val="pl-PL"/>
        </w:rPr>
        <w:t xml:space="preserve"> </w:t>
      </w:r>
      <w:r>
        <w:rPr>
          <w:rFonts w:asciiTheme="minorHAnsi" w:hAnsiTheme="minorHAnsi"/>
          <w:sz w:val="24"/>
          <w:lang w:val="pl-PL"/>
        </w:rPr>
        <w:t xml:space="preserve">państwami stronami Konwencji. Należy przy tym stosować </w:t>
      </w:r>
      <w:r w:rsidRPr="00B15C52">
        <w:rPr>
          <w:rFonts w:asciiTheme="minorHAnsi" w:hAnsiTheme="minorHAnsi"/>
          <w:sz w:val="24"/>
          <w:lang w:val="pl-PL"/>
        </w:rPr>
        <w:t>w możliwie najszerszym zakresie</w:t>
      </w:r>
      <w:r>
        <w:rPr>
          <w:rFonts w:asciiTheme="minorHAnsi" w:hAnsiTheme="minorHAnsi"/>
          <w:sz w:val="24"/>
          <w:lang w:val="pl-PL"/>
        </w:rPr>
        <w:t>,</w:t>
      </w:r>
      <w:r w:rsidRPr="00B15C52">
        <w:rPr>
          <w:rFonts w:asciiTheme="minorHAnsi" w:hAnsiTheme="minorHAnsi"/>
          <w:sz w:val="24"/>
          <w:lang w:val="pl-PL"/>
        </w:rPr>
        <w:t xml:space="preserve"> łączn</w:t>
      </w:r>
      <w:r>
        <w:rPr>
          <w:rFonts w:asciiTheme="minorHAnsi" w:hAnsiTheme="minorHAnsi"/>
          <w:sz w:val="24"/>
          <w:lang w:val="pl-PL"/>
        </w:rPr>
        <w:t>i</w:t>
      </w:r>
      <w:r w:rsidRPr="00B15C52">
        <w:rPr>
          <w:rFonts w:asciiTheme="minorHAnsi" w:hAnsiTheme="minorHAnsi"/>
          <w:sz w:val="24"/>
          <w:lang w:val="pl-PL"/>
        </w:rPr>
        <w:t>e i harmonijn</w:t>
      </w:r>
      <w:r>
        <w:rPr>
          <w:rFonts w:asciiTheme="minorHAnsi" w:hAnsiTheme="minorHAnsi"/>
          <w:sz w:val="24"/>
          <w:lang w:val="pl-PL"/>
        </w:rPr>
        <w:t>i</w:t>
      </w:r>
      <w:r w:rsidRPr="00B15C52">
        <w:rPr>
          <w:rFonts w:asciiTheme="minorHAnsi" w:hAnsiTheme="minorHAnsi"/>
          <w:sz w:val="24"/>
          <w:lang w:val="pl-PL"/>
        </w:rPr>
        <w:t>e</w:t>
      </w:r>
      <w:r>
        <w:rPr>
          <w:rFonts w:asciiTheme="minorHAnsi" w:hAnsiTheme="minorHAnsi"/>
          <w:sz w:val="24"/>
          <w:lang w:val="pl-PL"/>
        </w:rPr>
        <w:t xml:space="preserve"> Konwencję</w:t>
      </w:r>
      <w:r w:rsidRPr="00B15C52">
        <w:rPr>
          <w:rFonts w:asciiTheme="minorHAnsi" w:hAnsiTheme="minorHAnsi"/>
          <w:sz w:val="24"/>
          <w:lang w:val="pl-PL"/>
        </w:rPr>
        <w:t xml:space="preserve"> i t</w:t>
      </w:r>
      <w:r>
        <w:rPr>
          <w:rFonts w:asciiTheme="minorHAnsi" w:hAnsiTheme="minorHAnsi"/>
          <w:sz w:val="24"/>
          <w:lang w:val="pl-PL"/>
        </w:rPr>
        <w:t xml:space="preserve">e instrumenty, unikając powstania </w:t>
      </w:r>
      <w:r w:rsidRPr="00B15C52">
        <w:rPr>
          <w:rFonts w:asciiTheme="minorHAnsi" w:hAnsiTheme="minorHAnsi"/>
          <w:sz w:val="24"/>
          <w:lang w:val="pl-PL"/>
        </w:rPr>
        <w:t>konflikt</w:t>
      </w:r>
      <w:r>
        <w:rPr>
          <w:rFonts w:asciiTheme="minorHAnsi" w:hAnsiTheme="minorHAnsi"/>
          <w:sz w:val="24"/>
          <w:lang w:val="pl-PL"/>
        </w:rPr>
        <w:t>u</w:t>
      </w:r>
      <w:r w:rsidRPr="00B15C52">
        <w:rPr>
          <w:rFonts w:asciiTheme="minorHAnsi" w:hAnsiTheme="minorHAnsi"/>
          <w:sz w:val="24"/>
          <w:lang w:val="pl-PL"/>
        </w:rPr>
        <w:t xml:space="preserve"> lub </w:t>
      </w:r>
      <w:r>
        <w:rPr>
          <w:rFonts w:asciiTheme="minorHAnsi" w:hAnsiTheme="minorHAnsi"/>
          <w:sz w:val="24"/>
          <w:lang w:val="pl-PL"/>
        </w:rPr>
        <w:t xml:space="preserve">sprzeczności </w:t>
      </w:r>
      <w:r w:rsidRPr="00B15C52">
        <w:rPr>
          <w:rFonts w:asciiTheme="minorHAnsi" w:hAnsiTheme="minorHAnsi"/>
          <w:sz w:val="24"/>
          <w:lang w:val="pl-PL"/>
        </w:rPr>
        <w:t xml:space="preserve">między nimi. </w:t>
      </w:r>
    </w:p>
    <w:p w14:paraId="19DC213D" w14:textId="77777777" w:rsidR="00950534" w:rsidRDefault="00950534" w:rsidP="00950534">
      <w:pPr>
        <w:pStyle w:val="ClinContent"/>
        <w:widowControl w:val="0"/>
        <w:spacing w:before="0"/>
        <w:rPr>
          <w:rFonts w:asciiTheme="minorHAnsi" w:hAnsiTheme="minorHAnsi"/>
          <w:sz w:val="24"/>
          <w:lang w:val="pl-PL"/>
        </w:rPr>
      </w:pPr>
    </w:p>
    <w:p w14:paraId="187C0D8A" w14:textId="77777777" w:rsidR="00277D0F" w:rsidRDefault="00277D0F" w:rsidP="00950534">
      <w:pPr>
        <w:pStyle w:val="ClinContent"/>
        <w:widowControl w:val="0"/>
        <w:spacing w:before="0"/>
        <w:rPr>
          <w:rFonts w:asciiTheme="minorHAnsi" w:hAnsiTheme="minorHAnsi"/>
          <w:sz w:val="24"/>
          <w:lang w:val="pl-PL"/>
        </w:rPr>
      </w:pPr>
    </w:p>
    <w:p w14:paraId="2CF3E7BE" w14:textId="4B6A1832"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 xml:space="preserve">W tym kontekście </w:t>
      </w:r>
      <w:r>
        <w:rPr>
          <w:rFonts w:asciiTheme="minorHAnsi" w:hAnsiTheme="minorHAnsi"/>
          <w:sz w:val="24"/>
          <w:lang w:val="pl-PL"/>
        </w:rPr>
        <w:t>państwo</w:t>
      </w:r>
      <w:r w:rsidRPr="00B15C52">
        <w:rPr>
          <w:rFonts w:asciiTheme="minorHAnsi" w:hAnsiTheme="minorHAnsi"/>
          <w:sz w:val="24"/>
          <w:lang w:val="pl-PL"/>
        </w:rPr>
        <w:t>, które powinno wystąpić o współpracę</w:t>
      </w:r>
      <w:r>
        <w:rPr>
          <w:rFonts w:asciiTheme="minorHAnsi" w:hAnsiTheme="minorHAnsi"/>
          <w:sz w:val="24"/>
          <w:lang w:val="pl-PL"/>
        </w:rPr>
        <w:t xml:space="preserve">, dopuszcza się </w:t>
      </w:r>
      <w:r w:rsidRPr="00B15C52">
        <w:rPr>
          <w:rFonts w:asciiTheme="minorHAnsi" w:hAnsiTheme="minorHAnsi"/>
          <w:sz w:val="24"/>
          <w:lang w:val="pl-PL"/>
        </w:rPr>
        <w:t xml:space="preserve">naruszenia </w:t>
      </w:r>
      <w:r>
        <w:rPr>
          <w:rFonts w:asciiTheme="minorHAnsi" w:hAnsiTheme="minorHAnsi"/>
          <w:sz w:val="24"/>
          <w:lang w:val="pl-PL"/>
        </w:rPr>
        <w:t xml:space="preserve">proceduralnego </w:t>
      </w:r>
      <w:r w:rsidRPr="00B15C52">
        <w:rPr>
          <w:rFonts w:asciiTheme="minorHAnsi" w:hAnsiTheme="minorHAnsi"/>
          <w:sz w:val="24"/>
          <w:lang w:val="pl-PL"/>
        </w:rPr>
        <w:t>obowiązku współpracy jedynie</w:t>
      </w:r>
      <w:r>
        <w:rPr>
          <w:rFonts w:asciiTheme="minorHAnsi" w:hAnsiTheme="minorHAnsi"/>
          <w:sz w:val="24"/>
          <w:lang w:val="pl-PL"/>
        </w:rPr>
        <w:t xml:space="preserve">, </w:t>
      </w:r>
      <w:r w:rsidRPr="00B15C52">
        <w:rPr>
          <w:rFonts w:asciiTheme="minorHAnsi" w:hAnsiTheme="minorHAnsi"/>
          <w:sz w:val="24"/>
          <w:lang w:val="pl-PL"/>
        </w:rPr>
        <w:t>jeśli nie uruc</w:t>
      </w:r>
      <w:r>
        <w:rPr>
          <w:rFonts w:asciiTheme="minorHAnsi" w:hAnsiTheme="minorHAnsi"/>
          <w:sz w:val="24"/>
          <w:lang w:val="pl-PL"/>
        </w:rPr>
        <w:t>hamia</w:t>
      </w:r>
      <w:r w:rsidRPr="00B15C52">
        <w:rPr>
          <w:rFonts w:asciiTheme="minorHAnsi" w:hAnsiTheme="minorHAnsi"/>
          <w:sz w:val="24"/>
          <w:lang w:val="pl-PL"/>
        </w:rPr>
        <w:t xml:space="preserve"> właściwych mechanizmów współpracy na podstawie odpowiednich traktatów międzynarodowych</w:t>
      </w:r>
      <w:r>
        <w:rPr>
          <w:rFonts w:asciiTheme="minorHAnsi" w:hAnsiTheme="minorHAnsi"/>
          <w:sz w:val="24"/>
          <w:lang w:val="pl-PL"/>
        </w:rPr>
        <w:t>. Natomiast państwo wezwane dopuszcza się</w:t>
      </w:r>
      <w:r w:rsidRPr="00B15C52">
        <w:rPr>
          <w:rFonts w:asciiTheme="minorHAnsi" w:hAnsiTheme="minorHAnsi"/>
          <w:sz w:val="24"/>
          <w:lang w:val="pl-PL"/>
        </w:rPr>
        <w:t xml:space="preserve"> </w:t>
      </w:r>
      <w:r>
        <w:rPr>
          <w:rFonts w:asciiTheme="minorHAnsi" w:hAnsiTheme="minorHAnsi"/>
          <w:sz w:val="24"/>
          <w:lang w:val="pl-PL"/>
        </w:rPr>
        <w:t>naruszenia proceduralnego obowiązku współpracy jednie</w:t>
      </w:r>
      <w:r w:rsidRPr="00B15C52">
        <w:rPr>
          <w:rFonts w:asciiTheme="minorHAnsi" w:hAnsiTheme="minorHAnsi"/>
          <w:sz w:val="24"/>
          <w:lang w:val="pl-PL"/>
        </w:rPr>
        <w:t>, jeśli nie odpowi</w:t>
      </w:r>
      <w:r>
        <w:rPr>
          <w:rFonts w:asciiTheme="minorHAnsi" w:hAnsiTheme="minorHAnsi"/>
          <w:sz w:val="24"/>
          <w:lang w:val="pl-PL"/>
        </w:rPr>
        <w:t>ada</w:t>
      </w:r>
      <w:r w:rsidRPr="00B15C52">
        <w:rPr>
          <w:rFonts w:asciiTheme="minorHAnsi" w:hAnsiTheme="minorHAnsi"/>
          <w:sz w:val="24"/>
          <w:lang w:val="pl-PL"/>
        </w:rPr>
        <w:t xml:space="preserve"> ono </w:t>
      </w:r>
      <w:r>
        <w:rPr>
          <w:rFonts w:asciiTheme="minorHAnsi" w:hAnsiTheme="minorHAnsi"/>
          <w:sz w:val="24"/>
          <w:lang w:val="pl-PL"/>
        </w:rPr>
        <w:t xml:space="preserve">stosownie </w:t>
      </w:r>
      <w:r w:rsidRPr="00B15C52">
        <w:rPr>
          <w:rFonts w:asciiTheme="minorHAnsi" w:hAnsiTheme="minorHAnsi"/>
          <w:sz w:val="24"/>
          <w:lang w:val="pl-PL"/>
        </w:rPr>
        <w:t xml:space="preserve">na ten wniosek lub </w:t>
      </w:r>
      <w:r>
        <w:rPr>
          <w:rFonts w:asciiTheme="minorHAnsi" w:hAnsiTheme="minorHAnsi"/>
          <w:sz w:val="24"/>
          <w:lang w:val="pl-PL"/>
        </w:rPr>
        <w:t xml:space="preserve">jeśli </w:t>
      </w:r>
      <w:r w:rsidRPr="00B15C52">
        <w:rPr>
          <w:rFonts w:asciiTheme="minorHAnsi" w:hAnsiTheme="minorHAnsi"/>
          <w:sz w:val="24"/>
          <w:lang w:val="pl-PL"/>
        </w:rPr>
        <w:t xml:space="preserve">nie </w:t>
      </w:r>
      <w:r>
        <w:rPr>
          <w:rFonts w:asciiTheme="minorHAnsi" w:hAnsiTheme="minorHAnsi"/>
          <w:sz w:val="24"/>
          <w:lang w:val="pl-PL"/>
        </w:rPr>
        <w:t xml:space="preserve">jest </w:t>
      </w:r>
      <w:r w:rsidRPr="00B15C52">
        <w:rPr>
          <w:rFonts w:asciiTheme="minorHAnsi" w:hAnsiTheme="minorHAnsi"/>
          <w:sz w:val="24"/>
          <w:lang w:val="pl-PL"/>
        </w:rPr>
        <w:t>w</w:t>
      </w:r>
      <w:r w:rsidR="00206CCE">
        <w:rPr>
          <w:rFonts w:asciiTheme="minorHAnsi" w:hAnsiTheme="minorHAnsi"/>
          <w:sz w:val="24"/>
          <w:lang w:val="pl-PL"/>
        </w:rPr>
        <w:t> </w:t>
      </w:r>
      <w:r w:rsidRPr="00B15C52">
        <w:rPr>
          <w:rFonts w:asciiTheme="minorHAnsi" w:hAnsiTheme="minorHAnsi"/>
          <w:sz w:val="24"/>
          <w:lang w:val="pl-PL"/>
        </w:rPr>
        <w:t>stanie powołać się na uprawnioną podstawę do odmowy współpracy wnioskowanej na</w:t>
      </w:r>
      <w:r w:rsidR="00206CCE">
        <w:rPr>
          <w:rFonts w:asciiTheme="minorHAnsi" w:hAnsiTheme="minorHAnsi"/>
          <w:sz w:val="24"/>
          <w:lang w:val="pl-PL"/>
        </w:rPr>
        <w:t> </w:t>
      </w:r>
      <w:r w:rsidRPr="00B15C52">
        <w:rPr>
          <w:rFonts w:asciiTheme="minorHAnsi" w:hAnsiTheme="minorHAnsi"/>
          <w:sz w:val="24"/>
          <w:lang w:val="pl-PL"/>
        </w:rPr>
        <w:t xml:space="preserve">podstawie tych instrumentów. </w:t>
      </w:r>
    </w:p>
    <w:p w14:paraId="240E41E9" w14:textId="77777777" w:rsidR="00950534" w:rsidRDefault="00950534" w:rsidP="00950534">
      <w:pPr>
        <w:pStyle w:val="ClinContent"/>
        <w:widowControl w:val="0"/>
        <w:spacing w:before="0"/>
        <w:rPr>
          <w:rFonts w:asciiTheme="minorHAnsi" w:hAnsiTheme="minorHAnsi"/>
          <w:sz w:val="24"/>
          <w:lang w:val="pl-PL"/>
        </w:rPr>
      </w:pPr>
    </w:p>
    <w:p w14:paraId="520351F9"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Szczególną cechą sprawy skarżących było to, że zarzucany brak współpracy </w:t>
      </w:r>
      <w:r>
        <w:rPr>
          <w:rFonts w:asciiTheme="minorHAnsi" w:hAnsiTheme="minorHAnsi"/>
          <w:sz w:val="24"/>
          <w:lang w:val="pl-PL"/>
        </w:rPr>
        <w:t xml:space="preserve">dotyczył </w:t>
      </w:r>
      <w:r w:rsidRPr="00B15C52">
        <w:rPr>
          <w:rFonts w:asciiTheme="minorHAnsi" w:hAnsiTheme="minorHAnsi"/>
          <w:sz w:val="24"/>
          <w:lang w:val="pl-PL"/>
        </w:rPr>
        <w:t>podmiot</w:t>
      </w:r>
      <w:r>
        <w:rPr>
          <w:rFonts w:asciiTheme="minorHAnsi" w:hAnsiTheme="minorHAnsi"/>
          <w:sz w:val="24"/>
          <w:lang w:val="pl-PL"/>
        </w:rPr>
        <w:t>u</w:t>
      </w:r>
      <w:r w:rsidRPr="00B15C52">
        <w:rPr>
          <w:rFonts w:asciiTheme="minorHAnsi" w:hAnsiTheme="minorHAnsi"/>
          <w:sz w:val="24"/>
          <w:lang w:val="pl-PL"/>
        </w:rPr>
        <w:t xml:space="preserve"> o charakterze </w:t>
      </w:r>
      <w:r w:rsidRPr="00B15C52">
        <w:rPr>
          <w:rFonts w:asciiTheme="minorHAnsi" w:hAnsiTheme="minorHAnsi"/>
          <w:i/>
          <w:sz w:val="24"/>
          <w:lang w:val="pl-PL"/>
        </w:rPr>
        <w:t xml:space="preserve">de facto, </w:t>
      </w:r>
      <w:r>
        <w:rPr>
          <w:rFonts w:asciiTheme="minorHAnsi" w:hAnsiTheme="minorHAnsi"/>
          <w:sz w:val="24"/>
          <w:lang w:val="pl-PL"/>
        </w:rPr>
        <w:t>ustanowionego</w:t>
      </w:r>
      <w:r w:rsidRPr="00B15C52">
        <w:rPr>
          <w:rFonts w:asciiTheme="minorHAnsi" w:hAnsiTheme="minorHAnsi"/>
          <w:sz w:val="24"/>
          <w:lang w:val="pl-PL"/>
        </w:rPr>
        <w:t xml:space="preserve"> na międzynarodowo uznanym terytorium Cypru, który </w:t>
      </w:r>
      <w:r>
        <w:rPr>
          <w:rFonts w:asciiTheme="minorHAnsi" w:hAnsiTheme="minorHAnsi"/>
          <w:sz w:val="24"/>
          <w:lang w:val="pl-PL"/>
        </w:rPr>
        <w:t xml:space="preserve">jednak </w:t>
      </w:r>
      <w:r w:rsidRPr="00B15C52">
        <w:rPr>
          <w:rFonts w:asciiTheme="minorHAnsi" w:hAnsiTheme="minorHAnsi"/>
          <w:sz w:val="24"/>
          <w:lang w:val="pl-PL"/>
        </w:rPr>
        <w:t xml:space="preserve">na potrzeby Konwencji znajdował się pod skuteczną kontrolą Turcji. </w:t>
      </w:r>
    </w:p>
    <w:p w14:paraId="646C9E7D" w14:textId="77777777" w:rsidR="00950534" w:rsidRDefault="00950534" w:rsidP="00950534">
      <w:pPr>
        <w:pStyle w:val="ClinContent"/>
        <w:widowControl w:val="0"/>
        <w:spacing w:before="0"/>
        <w:rPr>
          <w:rFonts w:asciiTheme="minorHAnsi" w:hAnsiTheme="minorHAnsi"/>
          <w:sz w:val="24"/>
          <w:lang w:val="pl-PL"/>
        </w:rPr>
      </w:pPr>
    </w:p>
    <w:p w14:paraId="360903DE" w14:textId="690CE1F4"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że p</w:t>
      </w:r>
      <w:r w:rsidRPr="00B15C52">
        <w:rPr>
          <w:rFonts w:asciiTheme="minorHAnsi" w:hAnsiTheme="minorHAnsi"/>
          <w:sz w:val="24"/>
          <w:lang w:val="pl-PL"/>
        </w:rPr>
        <w:t xml:space="preserve">onieważ oba pozwane państwa formalnie nie utrzymują stosunków dyplomatycznych, traktaty międzynarodowe, których oba państwa są stronami, nie mogą stanowić jedynych ram odniesienia </w:t>
      </w:r>
      <w:r>
        <w:rPr>
          <w:rFonts w:asciiTheme="minorHAnsi" w:hAnsiTheme="minorHAnsi"/>
          <w:sz w:val="24"/>
          <w:lang w:val="pl-PL"/>
        </w:rPr>
        <w:t>przy ustalaniu</w:t>
      </w:r>
      <w:r w:rsidRPr="00B15C52">
        <w:rPr>
          <w:rFonts w:asciiTheme="minorHAnsi" w:hAnsiTheme="minorHAnsi"/>
          <w:sz w:val="24"/>
          <w:lang w:val="pl-PL"/>
        </w:rPr>
        <w:t xml:space="preserve">, czy oba państwa wykorzystały wszystkie dostępne im możliwości wzajemnej współpracy. Przy braku formalnych stosunków dyplomatycznych </w:t>
      </w:r>
      <w:r>
        <w:rPr>
          <w:rFonts w:asciiTheme="minorHAnsi" w:hAnsiTheme="minorHAnsi"/>
          <w:sz w:val="24"/>
          <w:lang w:val="pl-PL"/>
        </w:rPr>
        <w:t xml:space="preserve">istnieje większe prawdopodobieństwo, że </w:t>
      </w:r>
      <w:r w:rsidRPr="00B15C52">
        <w:rPr>
          <w:rFonts w:asciiTheme="minorHAnsi" w:hAnsiTheme="minorHAnsi"/>
          <w:sz w:val="24"/>
          <w:lang w:val="pl-PL"/>
        </w:rPr>
        <w:t xml:space="preserve">sformalizowane środki współpracy </w:t>
      </w:r>
      <w:r>
        <w:rPr>
          <w:rFonts w:asciiTheme="minorHAnsi" w:hAnsiTheme="minorHAnsi"/>
          <w:sz w:val="24"/>
          <w:lang w:val="pl-PL"/>
        </w:rPr>
        <w:t>nie przyniosą oczekiwanego efektu</w:t>
      </w:r>
      <w:r w:rsidRPr="00B15C52">
        <w:rPr>
          <w:rFonts w:asciiTheme="minorHAnsi" w:hAnsiTheme="minorHAnsi"/>
          <w:sz w:val="24"/>
          <w:lang w:val="pl-PL"/>
        </w:rPr>
        <w:t>, a od państw można wymagać wykorzystania innych</w:t>
      </w:r>
      <w:r>
        <w:rPr>
          <w:rFonts w:asciiTheme="minorHAnsi" w:hAnsiTheme="minorHAnsi"/>
          <w:sz w:val="24"/>
          <w:lang w:val="pl-PL"/>
        </w:rPr>
        <w:t>,</w:t>
      </w:r>
      <w:r w:rsidRPr="00B15C52">
        <w:rPr>
          <w:rFonts w:asciiTheme="minorHAnsi" w:hAnsiTheme="minorHAnsi"/>
          <w:sz w:val="24"/>
          <w:lang w:val="pl-PL"/>
        </w:rPr>
        <w:t xml:space="preserve"> bardziej nieformalnych lub niebezpośrednich kanałów współpracy, na przykład </w:t>
      </w:r>
      <w:r>
        <w:rPr>
          <w:rFonts w:asciiTheme="minorHAnsi" w:hAnsiTheme="minorHAnsi"/>
          <w:sz w:val="24"/>
          <w:lang w:val="pl-PL"/>
        </w:rPr>
        <w:t>za</w:t>
      </w:r>
      <w:r w:rsidR="00206CCE">
        <w:rPr>
          <w:rFonts w:asciiTheme="minorHAnsi" w:hAnsiTheme="minorHAnsi"/>
          <w:sz w:val="24"/>
          <w:lang w:val="pl-PL"/>
        </w:rPr>
        <w:t> </w:t>
      </w:r>
      <w:r>
        <w:rPr>
          <w:rFonts w:asciiTheme="minorHAnsi" w:hAnsiTheme="minorHAnsi"/>
          <w:sz w:val="24"/>
          <w:lang w:val="pl-PL"/>
        </w:rPr>
        <w:t>pośrednictwem państw trzecich</w:t>
      </w:r>
      <w:r w:rsidRPr="00B15C52">
        <w:rPr>
          <w:rFonts w:asciiTheme="minorHAnsi" w:hAnsiTheme="minorHAnsi"/>
          <w:sz w:val="24"/>
          <w:lang w:val="pl-PL"/>
        </w:rPr>
        <w:t xml:space="preserve"> lub organizacj</w:t>
      </w:r>
      <w:r>
        <w:rPr>
          <w:rFonts w:asciiTheme="minorHAnsi" w:hAnsiTheme="minorHAnsi"/>
          <w:sz w:val="24"/>
          <w:lang w:val="pl-PL"/>
        </w:rPr>
        <w:t>i międzynarodowych</w:t>
      </w:r>
      <w:r w:rsidRPr="00B15C52">
        <w:rPr>
          <w:rFonts w:asciiTheme="minorHAnsi" w:hAnsiTheme="minorHAnsi"/>
          <w:sz w:val="24"/>
          <w:lang w:val="pl-PL"/>
        </w:rPr>
        <w:t xml:space="preserve">. </w:t>
      </w:r>
    </w:p>
    <w:p w14:paraId="12E6290D" w14:textId="77777777" w:rsidR="00950534" w:rsidRDefault="00950534" w:rsidP="00950534">
      <w:pPr>
        <w:pStyle w:val="ClinContent"/>
        <w:widowControl w:val="0"/>
        <w:spacing w:before="0"/>
        <w:rPr>
          <w:rFonts w:asciiTheme="minorHAnsi" w:hAnsiTheme="minorHAnsi"/>
          <w:sz w:val="24"/>
          <w:lang w:val="pl-PL"/>
        </w:rPr>
      </w:pPr>
    </w:p>
    <w:p w14:paraId="22C1A38D" w14:textId="336F0D2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świetle </w:t>
      </w:r>
      <w:r>
        <w:rPr>
          <w:rFonts w:asciiTheme="minorHAnsi" w:hAnsiTheme="minorHAnsi"/>
          <w:sz w:val="24"/>
          <w:lang w:val="pl-PL"/>
        </w:rPr>
        <w:t xml:space="preserve">powyższego </w:t>
      </w:r>
      <w:r w:rsidRPr="00B15C52">
        <w:rPr>
          <w:rFonts w:asciiTheme="minorHAnsi" w:hAnsiTheme="minorHAnsi"/>
          <w:sz w:val="24"/>
          <w:lang w:val="pl-PL"/>
        </w:rPr>
        <w:t xml:space="preserve">Trybunał </w:t>
      </w:r>
      <w:r>
        <w:rPr>
          <w:rFonts w:asciiTheme="minorHAnsi" w:hAnsiTheme="minorHAnsi"/>
          <w:sz w:val="24"/>
          <w:lang w:val="pl-PL"/>
        </w:rPr>
        <w:t>musiał rozstrzygnąć, czy w takiej</w:t>
      </w:r>
      <w:r w:rsidRPr="00B15C52">
        <w:rPr>
          <w:rFonts w:asciiTheme="minorHAnsi" w:hAnsiTheme="minorHAnsi"/>
          <w:sz w:val="24"/>
          <w:lang w:val="pl-PL"/>
        </w:rPr>
        <w:t xml:space="preserve"> </w:t>
      </w:r>
      <w:r>
        <w:rPr>
          <w:rFonts w:asciiTheme="minorHAnsi" w:hAnsiTheme="minorHAnsi"/>
          <w:sz w:val="24"/>
          <w:lang w:val="pl-PL"/>
        </w:rPr>
        <w:t>sytuacji</w:t>
      </w:r>
      <w:r w:rsidRPr="00B15C52">
        <w:rPr>
          <w:rFonts w:asciiTheme="minorHAnsi" w:hAnsiTheme="minorHAnsi"/>
          <w:sz w:val="24"/>
          <w:lang w:val="pl-PL"/>
        </w:rPr>
        <w:t xml:space="preserve"> </w:t>
      </w:r>
      <w:r>
        <w:rPr>
          <w:rFonts w:asciiTheme="minorHAnsi" w:hAnsiTheme="minorHAnsi"/>
          <w:sz w:val="24"/>
          <w:lang w:val="pl-PL"/>
        </w:rPr>
        <w:t xml:space="preserve">oba </w:t>
      </w:r>
      <w:r w:rsidRPr="00B15C52">
        <w:rPr>
          <w:rFonts w:asciiTheme="minorHAnsi" w:hAnsiTheme="minorHAnsi"/>
          <w:sz w:val="24"/>
          <w:lang w:val="pl-PL"/>
        </w:rPr>
        <w:t>zainteresowane państwa wykorzystały wszystkie dostępne</w:t>
      </w:r>
      <w:r>
        <w:rPr>
          <w:rFonts w:asciiTheme="minorHAnsi" w:hAnsiTheme="minorHAnsi"/>
          <w:sz w:val="24"/>
          <w:lang w:val="pl-PL"/>
        </w:rPr>
        <w:t xml:space="preserve"> im</w:t>
      </w:r>
      <w:r w:rsidRPr="00B15C52">
        <w:rPr>
          <w:rFonts w:asciiTheme="minorHAnsi" w:hAnsiTheme="minorHAnsi"/>
          <w:sz w:val="24"/>
          <w:lang w:val="pl-PL"/>
        </w:rPr>
        <w:t xml:space="preserve"> </w:t>
      </w:r>
      <w:r>
        <w:rPr>
          <w:rFonts w:asciiTheme="minorHAnsi" w:hAnsiTheme="minorHAnsi"/>
          <w:sz w:val="24"/>
          <w:lang w:val="pl-PL"/>
        </w:rPr>
        <w:t>uzasadnione sposoby, by</w:t>
      </w:r>
      <w:r w:rsidR="00206CCE">
        <w:rPr>
          <w:rFonts w:asciiTheme="minorHAnsi" w:hAnsiTheme="minorHAnsi"/>
          <w:sz w:val="24"/>
          <w:lang w:val="pl-PL"/>
        </w:rPr>
        <w:t> </w:t>
      </w:r>
      <w:r>
        <w:rPr>
          <w:rFonts w:asciiTheme="minorHAnsi" w:hAnsiTheme="minorHAnsi"/>
          <w:sz w:val="24"/>
          <w:lang w:val="pl-PL"/>
        </w:rPr>
        <w:t xml:space="preserve">wnioskować o podjęcie współpracy </w:t>
      </w:r>
      <w:r w:rsidRPr="00B15C52">
        <w:rPr>
          <w:rFonts w:asciiTheme="minorHAnsi" w:hAnsiTheme="minorHAnsi"/>
          <w:sz w:val="24"/>
          <w:lang w:val="pl-PL"/>
        </w:rPr>
        <w:t xml:space="preserve">i </w:t>
      </w:r>
      <w:r>
        <w:rPr>
          <w:rFonts w:asciiTheme="minorHAnsi" w:hAnsiTheme="minorHAnsi"/>
          <w:sz w:val="24"/>
          <w:lang w:val="pl-PL"/>
        </w:rPr>
        <w:t>jej udzielić</w:t>
      </w:r>
      <w:r w:rsidRPr="00B15C52">
        <w:rPr>
          <w:rFonts w:asciiTheme="minorHAnsi" w:hAnsiTheme="minorHAnsi"/>
          <w:sz w:val="24"/>
          <w:lang w:val="pl-PL"/>
        </w:rPr>
        <w:t xml:space="preserve">, </w:t>
      </w:r>
      <w:r>
        <w:rPr>
          <w:rFonts w:asciiTheme="minorHAnsi" w:hAnsiTheme="minorHAnsi"/>
          <w:sz w:val="24"/>
          <w:lang w:val="pl-PL"/>
        </w:rPr>
        <w:t>co było niezbędnym warunkiem skuteczności</w:t>
      </w:r>
      <w:r w:rsidRPr="00B15C52">
        <w:rPr>
          <w:rFonts w:asciiTheme="minorHAnsi" w:hAnsiTheme="minorHAnsi"/>
          <w:sz w:val="24"/>
          <w:lang w:val="pl-PL"/>
        </w:rPr>
        <w:t xml:space="preserve"> śledztwa i całego postępowania</w:t>
      </w:r>
      <w:r>
        <w:rPr>
          <w:rStyle w:val="Odwoanieprzypisudolnego"/>
          <w:rFonts w:asciiTheme="minorHAnsi" w:hAnsiTheme="minorHAnsi"/>
          <w:sz w:val="24"/>
          <w:lang w:val="pl-PL"/>
        </w:rPr>
        <w:footnoteReference w:id="10"/>
      </w:r>
      <w:r w:rsidRPr="00B15C52">
        <w:rPr>
          <w:rFonts w:asciiTheme="minorHAnsi" w:hAnsiTheme="minorHAnsi"/>
          <w:sz w:val="24"/>
          <w:lang w:val="pl-PL"/>
        </w:rPr>
        <w:t xml:space="preserve">. </w:t>
      </w:r>
    </w:p>
    <w:p w14:paraId="79AC2B2A" w14:textId="77777777" w:rsidR="00950534" w:rsidRDefault="00950534" w:rsidP="00950534">
      <w:pPr>
        <w:pStyle w:val="ClinContent"/>
        <w:widowControl w:val="0"/>
        <w:spacing w:before="0"/>
        <w:rPr>
          <w:rFonts w:asciiTheme="minorHAnsi" w:hAnsiTheme="minorHAnsi"/>
          <w:sz w:val="24"/>
          <w:lang w:val="pl-PL"/>
        </w:rPr>
      </w:pPr>
    </w:p>
    <w:p w14:paraId="5D00ED62" w14:textId="77777777" w:rsidR="00950534" w:rsidRDefault="00950534" w:rsidP="00950534">
      <w:pPr>
        <w:pStyle w:val="ClinContent"/>
        <w:widowControl w:val="0"/>
        <w:spacing w:before="0"/>
        <w:rPr>
          <w:rFonts w:asciiTheme="minorHAnsi" w:hAnsiTheme="minorHAnsi"/>
          <w:i/>
          <w:sz w:val="24"/>
          <w:lang w:val="pl-PL"/>
        </w:rPr>
      </w:pPr>
      <w:r w:rsidRPr="005171D3">
        <w:rPr>
          <w:rFonts w:asciiTheme="minorHAnsi" w:hAnsiTheme="minorHAnsi"/>
          <w:sz w:val="24"/>
          <w:lang w:val="pl-PL"/>
        </w:rPr>
        <w:t>a)</w:t>
      </w:r>
      <w:r>
        <w:rPr>
          <w:rFonts w:asciiTheme="minorHAnsi" w:hAnsiTheme="minorHAnsi"/>
          <w:sz w:val="24"/>
          <w:lang w:val="pl-PL"/>
        </w:rPr>
        <w:t xml:space="preserve"> </w:t>
      </w:r>
      <w:r w:rsidRPr="005171D3">
        <w:rPr>
          <w:rFonts w:asciiTheme="minorHAnsi" w:hAnsiTheme="minorHAnsi"/>
          <w:i/>
          <w:sz w:val="24"/>
          <w:lang w:val="pl-PL"/>
        </w:rPr>
        <w:t>Cypr</w:t>
      </w:r>
    </w:p>
    <w:p w14:paraId="079F9DA6" w14:textId="77777777" w:rsidR="00950534" w:rsidRDefault="00950534" w:rsidP="00950534">
      <w:pPr>
        <w:pStyle w:val="ClinContent"/>
        <w:widowControl w:val="0"/>
        <w:spacing w:before="0"/>
        <w:rPr>
          <w:rFonts w:asciiTheme="minorHAnsi" w:hAnsiTheme="minorHAnsi"/>
          <w:i/>
          <w:sz w:val="24"/>
          <w:lang w:val="pl-PL"/>
        </w:rPr>
      </w:pPr>
    </w:p>
    <w:p w14:paraId="116FA301" w14:textId="77777777" w:rsidR="00950534" w:rsidRPr="00A17B1A" w:rsidRDefault="00950534" w:rsidP="00950534">
      <w:pPr>
        <w:pStyle w:val="ClinContent"/>
        <w:widowControl w:val="0"/>
        <w:spacing w:before="0"/>
        <w:rPr>
          <w:rFonts w:asciiTheme="minorHAnsi" w:hAnsiTheme="minorHAnsi"/>
          <w:i/>
          <w:sz w:val="24"/>
          <w:u w:val="single"/>
          <w:lang w:val="pl-PL"/>
        </w:rPr>
      </w:pPr>
      <w:r w:rsidRPr="00B15C52">
        <w:rPr>
          <w:rFonts w:asciiTheme="minorHAnsi" w:hAnsiTheme="minorHAnsi"/>
          <w:sz w:val="24"/>
          <w:lang w:val="pl-PL"/>
        </w:rPr>
        <w:t xml:space="preserve">i) </w:t>
      </w:r>
      <w:r w:rsidRPr="00A17B1A">
        <w:rPr>
          <w:rFonts w:asciiTheme="minorHAnsi" w:hAnsiTheme="minorHAnsi"/>
          <w:i/>
          <w:sz w:val="24"/>
          <w:u w:val="single"/>
          <w:lang w:val="pl-PL"/>
        </w:rPr>
        <w:t xml:space="preserve">Czy Cypr wykorzystał wszystkie </w:t>
      </w:r>
      <w:r>
        <w:rPr>
          <w:rFonts w:asciiTheme="minorHAnsi" w:hAnsiTheme="minorHAnsi"/>
          <w:i/>
          <w:sz w:val="24"/>
          <w:u w:val="single"/>
          <w:lang w:val="pl-PL"/>
        </w:rPr>
        <w:t xml:space="preserve">uzasadnione </w:t>
      </w:r>
      <w:r w:rsidRPr="00A17B1A">
        <w:rPr>
          <w:rFonts w:asciiTheme="minorHAnsi" w:hAnsiTheme="minorHAnsi"/>
          <w:i/>
          <w:sz w:val="24"/>
          <w:u w:val="single"/>
          <w:lang w:val="pl-PL"/>
        </w:rPr>
        <w:t>środki</w:t>
      </w:r>
      <w:r>
        <w:rPr>
          <w:rFonts w:asciiTheme="minorHAnsi" w:hAnsiTheme="minorHAnsi"/>
          <w:i/>
          <w:sz w:val="24"/>
          <w:u w:val="single"/>
          <w:lang w:val="pl-PL"/>
        </w:rPr>
        <w:t>, które były w jego dyspozycji,</w:t>
      </w:r>
      <w:r w:rsidRPr="00A17B1A">
        <w:rPr>
          <w:rFonts w:asciiTheme="minorHAnsi" w:hAnsiTheme="minorHAnsi"/>
          <w:i/>
          <w:sz w:val="24"/>
          <w:u w:val="single"/>
          <w:lang w:val="pl-PL"/>
        </w:rPr>
        <w:t xml:space="preserve"> w celu </w:t>
      </w:r>
      <w:r>
        <w:rPr>
          <w:rFonts w:asciiTheme="minorHAnsi" w:hAnsiTheme="minorHAnsi"/>
          <w:i/>
          <w:sz w:val="24"/>
          <w:u w:val="single"/>
          <w:lang w:val="pl-PL"/>
        </w:rPr>
        <w:t xml:space="preserve">wystąpienia do Turcji o </w:t>
      </w:r>
      <w:r w:rsidRPr="00A17B1A">
        <w:rPr>
          <w:rFonts w:asciiTheme="minorHAnsi" w:hAnsiTheme="minorHAnsi"/>
          <w:i/>
          <w:sz w:val="24"/>
          <w:u w:val="single"/>
          <w:lang w:val="pl-PL"/>
        </w:rPr>
        <w:t>wydanie/ekstradycję p</w:t>
      </w:r>
      <w:r>
        <w:rPr>
          <w:rFonts w:asciiTheme="minorHAnsi" w:hAnsiTheme="minorHAnsi"/>
          <w:i/>
          <w:sz w:val="24"/>
          <w:u w:val="single"/>
          <w:lang w:val="pl-PL"/>
        </w:rPr>
        <w:t>odejrzanych.</w:t>
      </w:r>
    </w:p>
    <w:p w14:paraId="02CD0B99" w14:textId="77777777" w:rsidR="00950534" w:rsidRDefault="00950534" w:rsidP="00950534">
      <w:pPr>
        <w:pStyle w:val="ClinContent"/>
        <w:widowControl w:val="0"/>
        <w:spacing w:before="0"/>
        <w:rPr>
          <w:rFonts w:asciiTheme="minorHAnsi" w:hAnsiTheme="minorHAnsi"/>
          <w:i/>
          <w:sz w:val="24"/>
          <w:lang w:val="pl-PL"/>
        </w:rPr>
      </w:pPr>
    </w:p>
    <w:p w14:paraId="0F42A2D5" w14:textId="75BF478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odnotował, że gdy władze Cypru zidentyfikowały</w:t>
      </w:r>
      <w:r w:rsidRPr="00B15C52">
        <w:rPr>
          <w:rFonts w:asciiTheme="minorHAnsi" w:hAnsiTheme="minorHAnsi"/>
          <w:sz w:val="24"/>
          <w:lang w:val="pl-PL"/>
        </w:rPr>
        <w:t xml:space="preserve"> potencjalnych podejrzanyc</w:t>
      </w:r>
      <w:r>
        <w:rPr>
          <w:rFonts w:asciiTheme="minorHAnsi" w:hAnsiTheme="minorHAnsi"/>
          <w:sz w:val="24"/>
          <w:lang w:val="pl-PL"/>
        </w:rPr>
        <w:t>h na</w:t>
      </w:r>
      <w:r w:rsidR="00206CCE">
        <w:rPr>
          <w:rFonts w:asciiTheme="minorHAnsi" w:hAnsiTheme="minorHAnsi"/>
          <w:sz w:val="24"/>
          <w:lang w:val="pl-PL"/>
        </w:rPr>
        <w:t> </w:t>
      </w:r>
      <w:r>
        <w:rPr>
          <w:rFonts w:asciiTheme="minorHAnsi" w:hAnsiTheme="minorHAnsi"/>
          <w:sz w:val="24"/>
          <w:lang w:val="pl-PL"/>
        </w:rPr>
        <w:t xml:space="preserve">wczesnych etapach śledztwa, </w:t>
      </w:r>
      <w:r w:rsidRPr="00B15C52">
        <w:rPr>
          <w:rFonts w:asciiTheme="minorHAnsi" w:hAnsiTheme="minorHAnsi"/>
          <w:sz w:val="24"/>
          <w:lang w:val="pl-PL"/>
        </w:rPr>
        <w:t>złożyły wnioski do Interpolu o rozesłanie listów gończych, tzw. „czerwonych powiadomień” (</w:t>
      </w:r>
      <w:r w:rsidRPr="00B15C52">
        <w:rPr>
          <w:rFonts w:asciiTheme="minorHAnsi" w:hAnsiTheme="minorHAnsi"/>
          <w:i/>
          <w:sz w:val="24"/>
          <w:lang w:val="pl-PL"/>
        </w:rPr>
        <w:t>Red Notice</w:t>
      </w:r>
      <w:r w:rsidRPr="00B15C52">
        <w:rPr>
          <w:rFonts w:asciiTheme="minorHAnsi" w:hAnsiTheme="minorHAnsi"/>
          <w:sz w:val="24"/>
          <w:lang w:val="pl-PL"/>
        </w:rPr>
        <w:t>), aby zlokalizować i zatrzymać podejrzanych w</w:t>
      </w:r>
      <w:r w:rsidR="00206CCE">
        <w:rPr>
          <w:rFonts w:asciiTheme="minorHAnsi" w:hAnsiTheme="minorHAnsi"/>
          <w:sz w:val="24"/>
          <w:lang w:val="pl-PL"/>
        </w:rPr>
        <w:t> </w:t>
      </w:r>
      <w:r w:rsidRPr="00B15C52">
        <w:rPr>
          <w:rFonts w:asciiTheme="minorHAnsi" w:hAnsiTheme="minorHAnsi"/>
          <w:sz w:val="24"/>
          <w:lang w:val="pl-PL"/>
        </w:rPr>
        <w:t xml:space="preserve">celu ich ekstradycji. </w:t>
      </w:r>
      <w:r>
        <w:rPr>
          <w:rFonts w:asciiTheme="minorHAnsi" w:hAnsiTheme="minorHAnsi"/>
          <w:sz w:val="24"/>
          <w:lang w:val="pl-PL"/>
        </w:rPr>
        <w:t>Interpol opublikował t</w:t>
      </w:r>
      <w:r w:rsidRPr="00B15C52">
        <w:rPr>
          <w:rFonts w:asciiTheme="minorHAnsi" w:hAnsiTheme="minorHAnsi"/>
          <w:sz w:val="24"/>
          <w:lang w:val="pl-PL"/>
        </w:rPr>
        <w:t xml:space="preserve">e powiadomienia. Cypryjskie biuro Interpolu wysłało również e-maile do tureckiego Ministerstwa Spraw Wewnętrznych, </w:t>
      </w:r>
      <w:r>
        <w:rPr>
          <w:rFonts w:asciiTheme="minorHAnsi" w:hAnsiTheme="minorHAnsi"/>
          <w:sz w:val="24"/>
          <w:lang w:val="pl-PL"/>
        </w:rPr>
        <w:t>informując</w:t>
      </w:r>
      <w:r w:rsidRPr="00B15C52">
        <w:rPr>
          <w:rFonts w:asciiTheme="minorHAnsi" w:hAnsiTheme="minorHAnsi"/>
          <w:sz w:val="24"/>
          <w:lang w:val="pl-PL"/>
        </w:rPr>
        <w:t>, że</w:t>
      </w:r>
      <w:r w:rsidR="00206CCE">
        <w:rPr>
          <w:rFonts w:asciiTheme="minorHAnsi" w:hAnsiTheme="minorHAnsi"/>
          <w:sz w:val="24"/>
          <w:lang w:val="pl-PL"/>
        </w:rPr>
        <w:t> </w:t>
      </w:r>
      <w:r w:rsidRPr="00B15C52">
        <w:rPr>
          <w:rFonts w:asciiTheme="minorHAnsi" w:hAnsiTheme="minorHAnsi"/>
          <w:sz w:val="24"/>
          <w:lang w:val="pl-PL"/>
        </w:rPr>
        <w:t>poszukuje podejrzanych, i wnioskując o ich zatrzymanie w razie wjazdu do Turcji.</w:t>
      </w:r>
      <w:r>
        <w:rPr>
          <w:rFonts w:asciiTheme="minorHAnsi" w:hAnsiTheme="minorHAnsi"/>
          <w:sz w:val="24"/>
          <w:lang w:val="pl-PL"/>
        </w:rPr>
        <w:t xml:space="preserve"> </w:t>
      </w:r>
    </w:p>
    <w:p w14:paraId="0A6D8C58" w14:textId="77777777" w:rsidR="00950534" w:rsidRDefault="00950534" w:rsidP="00950534">
      <w:pPr>
        <w:pStyle w:val="ClinContent"/>
        <w:widowControl w:val="0"/>
        <w:spacing w:before="0"/>
        <w:rPr>
          <w:rFonts w:asciiTheme="minorHAnsi" w:hAnsiTheme="minorHAnsi"/>
          <w:sz w:val="24"/>
          <w:lang w:val="pl-PL"/>
        </w:rPr>
      </w:pPr>
    </w:p>
    <w:p w14:paraId="27ADB09C"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Już na wczesnych etapach</w:t>
      </w:r>
      <w:r w:rsidRPr="00B15C52">
        <w:rPr>
          <w:rFonts w:asciiTheme="minorHAnsi" w:hAnsiTheme="minorHAnsi"/>
          <w:sz w:val="24"/>
          <w:lang w:val="pl-PL"/>
        </w:rPr>
        <w:t xml:space="preserve"> śledztwa Cypr próbował wynegocjować </w:t>
      </w:r>
      <w:r>
        <w:rPr>
          <w:rFonts w:asciiTheme="minorHAnsi" w:hAnsiTheme="minorHAnsi"/>
          <w:sz w:val="24"/>
          <w:lang w:val="pl-PL"/>
        </w:rPr>
        <w:t xml:space="preserve">z pomocą </w:t>
      </w:r>
      <w:r w:rsidRPr="00B15C52">
        <w:rPr>
          <w:rFonts w:asciiTheme="minorHAnsi" w:hAnsiTheme="minorHAnsi"/>
          <w:sz w:val="24"/>
          <w:lang w:val="pl-PL"/>
        </w:rPr>
        <w:t xml:space="preserve">UNFICYP wydanie podejrzanych przez </w:t>
      </w:r>
      <w:r>
        <w:rPr>
          <w:rFonts w:asciiTheme="minorHAnsi" w:hAnsiTheme="minorHAnsi"/>
          <w:sz w:val="24"/>
          <w:lang w:val="pl-PL"/>
        </w:rPr>
        <w:t>„</w:t>
      </w:r>
      <w:r w:rsidRPr="00B15C52">
        <w:rPr>
          <w:rFonts w:asciiTheme="minorHAnsi" w:hAnsiTheme="minorHAnsi"/>
          <w:sz w:val="24"/>
          <w:lang w:val="pl-PL"/>
        </w:rPr>
        <w:t xml:space="preserve">TRPC”. Od początku było jednak </w:t>
      </w:r>
      <w:r>
        <w:rPr>
          <w:rFonts w:asciiTheme="minorHAnsi" w:hAnsiTheme="minorHAnsi"/>
          <w:sz w:val="24"/>
          <w:lang w:val="pl-PL"/>
        </w:rPr>
        <w:t xml:space="preserve">całkiem </w:t>
      </w:r>
      <w:r w:rsidRPr="00B15C52">
        <w:rPr>
          <w:rFonts w:asciiTheme="minorHAnsi" w:hAnsiTheme="minorHAnsi"/>
          <w:sz w:val="24"/>
          <w:lang w:val="pl-PL"/>
        </w:rPr>
        <w:t xml:space="preserve">jasne, że ani władze Turcji, ani „TRPC” nie zamierzają wydać podejrzanych. W tych okolicznościach </w:t>
      </w:r>
      <w:r>
        <w:rPr>
          <w:rFonts w:asciiTheme="minorHAnsi" w:hAnsiTheme="minorHAnsi"/>
          <w:sz w:val="24"/>
          <w:lang w:val="pl-PL"/>
        </w:rPr>
        <w:t xml:space="preserve">zdaniem </w:t>
      </w:r>
      <w:r>
        <w:rPr>
          <w:rFonts w:asciiTheme="minorHAnsi" w:hAnsiTheme="minorHAnsi"/>
          <w:sz w:val="24"/>
          <w:lang w:val="pl-PL"/>
        </w:rPr>
        <w:lastRenderedPageBreak/>
        <w:t xml:space="preserve">Trybunału </w:t>
      </w:r>
      <w:r w:rsidRPr="00B15C52">
        <w:rPr>
          <w:rFonts w:asciiTheme="minorHAnsi" w:hAnsiTheme="minorHAnsi"/>
          <w:sz w:val="24"/>
          <w:lang w:val="pl-PL"/>
        </w:rPr>
        <w:t xml:space="preserve">nie można krytykować Cypru za to, że najpierw próbował uzyskać wydanie podejrzanych </w:t>
      </w:r>
      <w:r>
        <w:rPr>
          <w:rFonts w:asciiTheme="minorHAnsi" w:hAnsiTheme="minorHAnsi"/>
          <w:sz w:val="24"/>
          <w:lang w:val="pl-PL"/>
        </w:rPr>
        <w:t xml:space="preserve">za pośrednictwem </w:t>
      </w:r>
      <w:r w:rsidRPr="00B15C52">
        <w:rPr>
          <w:rFonts w:asciiTheme="minorHAnsi" w:hAnsiTheme="minorHAnsi"/>
          <w:sz w:val="24"/>
          <w:lang w:val="pl-PL"/>
        </w:rPr>
        <w:t xml:space="preserve">UNFICYP, a dopiero gdy próby te okazały się nieskuteczne, </w:t>
      </w:r>
      <w:r>
        <w:rPr>
          <w:rFonts w:asciiTheme="minorHAnsi" w:hAnsiTheme="minorHAnsi"/>
          <w:sz w:val="24"/>
          <w:lang w:val="pl-PL"/>
        </w:rPr>
        <w:t xml:space="preserve">przekazał Turcji </w:t>
      </w:r>
      <w:r w:rsidRPr="00B15C52">
        <w:rPr>
          <w:rFonts w:asciiTheme="minorHAnsi" w:hAnsiTheme="minorHAnsi"/>
          <w:sz w:val="24"/>
          <w:lang w:val="pl-PL"/>
        </w:rPr>
        <w:t xml:space="preserve">wniosek o ekstradycję. </w:t>
      </w:r>
    </w:p>
    <w:p w14:paraId="4D5D23B1" w14:textId="77777777" w:rsidR="00950534" w:rsidRDefault="00950534" w:rsidP="00950534">
      <w:pPr>
        <w:pStyle w:val="ClinContent"/>
        <w:widowControl w:val="0"/>
        <w:spacing w:before="0"/>
        <w:rPr>
          <w:rFonts w:asciiTheme="minorHAnsi" w:hAnsiTheme="minorHAnsi"/>
          <w:sz w:val="24"/>
          <w:lang w:val="pl-PL"/>
        </w:rPr>
      </w:pPr>
    </w:p>
    <w:p w14:paraId="092F2109" w14:textId="70C402BB"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Wnioski o ekstradycję zostały doręczone Turcji poprzez ambasadę turecką w Atenach. Z</w:t>
      </w:r>
      <w:r w:rsidR="00206CCE">
        <w:rPr>
          <w:rFonts w:asciiTheme="minorHAnsi" w:hAnsiTheme="minorHAnsi"/>
          <w:sz w:val="24"/>
          <w:lang w:val="pl-PL"/>
        </w:rPr>
        <w:t> </w:t>
      </w:r>
      <w:r w:rsidRPr="00B15C52">
        <w:rPr>
          <w:rFonts w:asciiTheme="minorHAnsi" w:hAnsiTheme="minorHAnsi"/>
          <w:sz w:val="24"/>
          <w:lang w:val="pl-PL"/>
        </w:rPr>
        <w:t>uwagi na brak stosunków dyplomatycznych między Cyprem a Turcją można w szczególnych okolicznościach sprawy uznać, że doręczenie wniosku za pośrednictwem personelu właściwych ambasad w Atenach było dla Cypru</w:t>
      </w:r>
      <w:r>
        <w:rPr>
          <w:rFonts w:asciiTheme="minorHAnsi" w:hAnsiTheme="minorHAnsi"/>
          <w:sz w:val="24"/>
          <w:lang w:val="pl-PL"/>
        </w:rPr>
        <w:t xml:space="preserve"> jedynym sposobem wykonania tego</w:t>
      </w:r>
      <w:r w:rsidRPr="00B15C52">
        <w:rPr>
          <w:rFonts w:asciiTheme="minorHAnsi" w:hAnsiTheme="minorHAnsi"/>
          <w:sz w:val="24"/>
          <w:lang w:val="pl-PL"/>
        </w:rPr>
        <w:t>.</w:t>
      </w:r>
      <w:r>
        <w:rPr>
          <w:rFonts w:asciiTheme="minorHAnsi" w:hAnsiTheme="minorHAnsi"/>
          <w:sz w:val="24"/>
          <w:lang w:val="pl-PL"/>
        </w:rPr>
        <w:t xml:space="preserve"> </w:t>
      </w:r>
    </w:p>
    <w:p w14:paraId="701300AD" w14:textId="77777777" w:rsidR="00950534" w:rsidRDefault="00950534" w:rsidP="00950534">
      <w:pPr>
        <w:pStyle w:val="ClinContent"/>
        <w:widowControl w:val="0"/>
        <w:spacing w:before="0"/>
        <w:rPr>
          <w:rFonts w:asciiTheme="minorHAnsi" w:hAnsiTheme="minorHAnsi"/>
          <w:sz w:val="24"/>
          <w:lang w:val="pl-PL"/>
        </w:rPr>
      </w:pPr>
    </w:p>
    <w:p w14:paraId="240DE5B6"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 xml:space="preserve">ii) </w:t>
      </w:r>
      <w:r w:rsidRPr="00A17B1A">
        <w:rPr>
          <w:rFonts w:asciiTheme="minorHAnsi" w:hAnsiTheme="minorHAnsi"/>
          <w:i/>
          <w:sz w:val="24"/>
          <w:u w:val="single"/>
          <w:lang w:val="pl-PL"/>
        </w:rPr>
        <w:t xml:space="preserve">Czy Cypr miał obowiązek </w:t>
      </w:r>
      <w:r>
        <w:rPr>
          <w:rFonts w:asciiTheme="minorHAnsi" w:hAnsiTheme="minorHAnsi"/>
          <w:i/>
          <w:sz w:val="24"/>
          <w:u w:val="single"/>
          <w:lang w:val="pl-PL"/>
        </w:rPr>
        <w:t xml:space="preserve">przekazania </w:t>
      </w:r>
      <w:r w:rsidRPr="00A17B1A">
        <w:rPr>
          <w:rFonts w:asciiTheme="minorHAnsi" w:hAnsiTheme="minorHAnsi"/>
          <w:i/>
          <w:sz w:val="24"/>
          <w:u w:val="single"/>
          <w:lang w:val="pl-PL"/>
        </w:rPr>
        <w:t>wszystkich dowodów władzom „TRPC” lub Turcji</w:t>
      </w:r>
      <w:r w:rsidRPr="00B15C52">
        <w:rPr>
          <w:rFonts w:asciiTheme="minorHAnsi" w:hAnsiTheme="minorHAnsi"/>
          <w:i/>
          <w:sz w:val="24"/>
          <w:lang w:val="pl-PL"/>
        </w:rPr>
        <w:t xml:space="preserve"> </w:t>
      </w:r>
    </w:p>
    <w:p w14:paraId="44322A25" w14:textId="77777777" w:rsidR="00950534" w:rsidRDefault="00950534" w:rsidP="00950534">
      <w:pPr>
        <w:pStyle w:val="ClinContent"/>
        <w:widowControl w:val="0"/>
        <w:spacing w:before="0"/>
        <w:rPr>
          <w:rFonts w:asciiTheme="minorHAnsi" w:hAnsiTheme="minorHAnsi"/>
          <w:i/>
          <w:sz w:val="24"/>
          <w:lang w:val="pl-PL"/>
        </w:rPr>
      </w:pPr>
    </w:p>
    <w:p w14:paraId="53879BAA" w14:textId="2D5F105A"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że s</w:t>
      </w:r>
      <w:r w:rsidRPr="00B15C52">
        <w:rPr>
          <w:rFonts w:asciiTheme="minorHAnsi" w:hAnsiTheme="minorHAnsi"/>
          <w:sz w:val="24"/>
          <w:lang w:val="pl-PL"/>
        </w:rPr>
        <w:t>prawę skarżących należy odróżnić od wcześniejszych spraw, w</w:t>
      </w:r>
      <w:r w:rsidR="00206CCE">
        <w:rPr>
          <w:rFonts w:asciiTheme="minorHAnsi" w:hAnsiTheme="minorHAnsi"/>
          <w:sz w:val="24"/>
          <w:lang w:val="pl-PL"/>
        </w:rPr>
        <w:t> </w:t>
      </w:r>
      <w:r w:rsidRPr="00B15C52">
        <w:rPr>
          <w:rFonts w:asciiTheme="minorHAnsi" w:hAnsiTheme="minorHAnsi"/>
          <w:sz w:val="24"/>
          <w:lang w:val="pl-PL"/>
        </w:rPr>
        <w:t>których Trybunał przyjął na potrzeby Konwencji ważność środków prawnych lub środków przyjętych przez władze „TRPC” w odniesieniu do mieszkańców „TRPC” lub osób dotkniętych ich działaniami. W tamtych sprawach Trybunał uznał ważność tych środków i czynności w</w:t>
      </w:r>
      <w:r w:rsidR="00206CCE">
        <w:rPr>
          <w:rFonts w:asciiTheme="minorHAnsi" w:hAnsiTheme="minorHAnsi"/>
          <w:sz w:val="24"/>
          <w:lang w:val="pl-PL"/>
        </w:rPr>
        <w:t> </w:t>
      </w:r>
      <w:r w:rsidRPr="00B15C52">
        <w:rPr>
          <w:rFonts w:asciiTheme="minorHAnsi" w:hAnsiTheme="minorHAnsi"/>
          <w:sz w:val="24"/>
          <w:lang w:val="pl-PL"/>
        </w:rPr>
        <w:t>zakresie</w:t>
      </w:r>
      <w:r>
        <w:rPr>
          <w:rFonts w:asciiTheme="minorHAnsi" w:hAnsiTheme="minorHAnsi"/>
          <w:sz w:val="24"/>
          <w:lang w:val="pl-PL"/>
        </w:rPr>
        <w:t>, jaki był konieczny</w:t>
      </w:r>
      <w:r w:rsidRPr="00B15C52">
        <w:rPr>
          <w:rFonts w:asciiTheme="minorHAnsi" w:hAnsiTheme="minorHAnsi"/>
          <w:sz w:val="24"/>
          <w:lang w:val="pl-PL"/>
        </w:rPr>
        <w:t xml:space="preserve">, </w:t>
      </w:r>
      <w:r>
        <w:rPr>
          <w:rFonts w:asciiTheme="minorHAnsi" w:hAnsiTheme="minorHAnsi"/>
          <w:sz w:val="24"/>
          <w:lang w:val="pl-PL"/>
        </w:rPr>
        <w:t>a</w:t>
      </w:r>
      <w:r w:rsidRPr="00B15C52">
        <w:rPr>
          <w:rFonts w:asciiTheme="minorHAnsi" w:hAnsiTheme="minorHAnsi"/>
          <w:sz w:val="24"/>
          <w:lang w:val="pl-PL"/>
        </w:rPr>
        <w:t xml:space="preserve">by Turcja była w stanie zapewnić wszystkie prawa wynikające z Konwencji na Cyprze Północnym i naprawić wszelkie przypisywane jej naruszenia. </w:t>
      </w:r>
    </w:p>
    <w:p w14:paraId="146BBAE0" w14:textId="77777777" w:rsidR="00950534" w:rsidRDefault="00950534" w:rsidP="00950534">
      <w:pPr>
        <w:pStyle w:val="ClinContent"/>
        <w:widowControl w:val="0"/>
        <w:spacing w:before="0"/>
        <w:rPr>
          <w:rFonts w:asciiTheme="minorHAnsi" w:hAnsiTheme="minorHAnsi"/>
          <w:sz w:val="24"/>
          <w:lang w:val="pl-PL"/>
        </w:rPr>
      </w:pPr>
    </w:p>
    <w:p w14:paraId="03ECEF5B"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sprawie skarżących zagadnieniem, które należ</w:t>
      </w:r>
      <w:r>
        <w:rPr>
          <w:rFonts w:asciiTheme="minorHAnsi" w:hAnsiTheme="minorHAnsi"/>
          <w:sz w:val="24"/>
          <w:lang w:val="pl-PL"/>
        </w:rPr>
        <w:t>ało</w:t>
      </w:r>
      <w:r w:rsidRPr="00B15C52">
        <w:rPr>
          <w:rFonts w:asciiTheme="minorHAnsi" w:hAnsiTheme="minorHAnsi"/>
          <w:sz w:val="24"/>
          <w:lang w:val="pl-PL"/>
        </w:rPr>
        <w:t xml:space="preserve"> rozstrzygnąć, </w:t>
      </w:r>
      <w:r>
        <w:rPr>
          <w:rFonts w:asciiTheme="minorHAnsi" w:hAnsiTheme="minorHAnsi"/>
          <w:sz w:val="24"/>
          <w:lang w:val="pl-PL"/>
        </w:rPr>
        <w:t xml:space="preserve">było </w:t>
      </w:r>
      <w:r w:rsidRPr="00B15C52">
        <w:rPr>
          <w:rFonts w:asciiTheme="minorHAnsi" w:hAnsiTheme="minorHAnsi"/>
          <w:sz w:val="24"/>
          <w:lang w:val="pl-PL"/>
        </w:rPr>
        <w:t xml:space="preserve">to, czy Cypr miał obowiązek dostarczenia wszystkich dowodów z akt swego śledztwa władzom </w:t>
      </w:r>
      <w:r>
        <w:rPr>
          <w:rFonts w:asciiTheme="minorHAnsi" w:hAnsiTheme="minorHAnsi"/>
          <w:sz w:val="24"/>
          <w:lang w:val="pl-PL"/>
        </w:rPr>
        <w:t>„</w:t>
      </w:r>
      <w:r w:rsidRPr="00B15C52">
        <w:rPr>
          <w:rFonts w:asciiTheme="minorHAnsi" w:hAnsiTheme="minorHAnsi"/>
          <w:sz w:val="24"/>
          <w:lang w:val="pl-PL"/>
        </w:rPr>
        <w:t xml:space="preserve">TRPC”, które prowadziły równoległe śledztwo w sprawie zabójstwa na podstawie </w:t>
      </w:r>
      <w:r>
        <w:rPr>
          <w:rFonts w:asciiTheme="minorHAnsi" w:hAnsiTheme="minorHAnsi"/>
          <w:sz w:val="24"/>
          <w:lang w:val="pl-PL"/>
        </w:rPr>
        <w:t xml:space="preserve">swego </w:t>
      </w:r>
      <w:r w:rsidRPr="00B15C52">
        <w:rPr>
          <w:rFonts w:asciiTheme="minorHAnsi" w:hAnsiTheme="minorHAnsi"/>
          <w:sz w:val="24"/>
          <w:lang w:val="pl-PL"/>
        </w:rPr>
        <w:t xml:space="preserve">prawa krajowego. Cypr był gotów przekazać wszystkie dowody Siłom Pokojowym UNFICYP, tak by mogły one sprawdzić, czy istnieją </w:t>
      </w:r>
      <w:r w:rsidRPr="00B15C52">
        <w:rPr>
          <w:rFonts w:asciiTheme="minorHAnsi" w:hAnsiTheme="minorHAnsi"/>
          <w:i/>
          <w:sz w:val="24"/>
          <w:lang w:val="pl-PL"/>
        </w:rPr>
        <w:t>prima facie</w:t>
      </w:r>
      <w:r>
        <w:rPr>
          <w:rFonts w:asciiTheme="minorHAnsi" w:hAnsiTheme="minorHAnsi"/>
          <w:sz w:val="24"/>
          <w:lang w:val="pl-PL"/>
        </w:rPr>
        <w:t xml:space="preserve"> dowody przeciwko podejrzanym –</w:t>
      </w:r>
      <w:r w:rsidRPr="00B15C52">
        <w:rPr>
          <w:rFonts w:asciiTheme="minorHAnsi" w:hAnsiTheme="minorHAnsi"/>
          <w:sz w:val="24"/>
          <w:lang w:val="pl-PL"/>
        </w:rPr>
        <w:t xml:space="preserve"> pod warunkiem zobowiązania się przez władze „TRPC” do wydania w takiej sytuacji podejrzanych Cyprowi. Ponieważ władz</w:t>
      </w:r>
      <w:r>
        <w:rPr>
          <w:rFonts w:asciiTheme="minorHAnsi" w:hAnsiTheme="minorHAnsi"/>
          <w:sz w:val="24"/>
          <w:lang w:val="pl-PL"/>
        </w:rPr>
        <w:t>e</w:t>
      </w:r>
      <w:r w:rsidRPr="00B15C52">
        <w:rPr>
          <w:rFonts w:asciiTheme="minorHAnsi" w:hAnsiTheme="minorHAnsi"/>
          <w:sz w:val="24"/>
          <w:lang w:val="pl-PL"/>
        </w:rPr>
        <w:t xml:space="preserve"> „TRPC”</w:t>
      </w:r>
      <w:r>
        <w:rPr>
          <w:rFonts w:asciiTheme="minorHAnsi" w:hAnsiTheme="minorHAnsi"/>
          <w:sz w:val="24"/>
          <w:lang w:val="pl-PL"/>
        </w:rPr>
        <w:t xml:space="preserve"> nie podjęły takiego zobowiązania</w:t>
      </w:r>
      <w:r w:rsidRPr="00B15C52">
        <w:rPr>
          <w:rFonts w:asciiTheme="minorHAnsi" w:hAnsiTheme="minorHAnsi"/>
          <w:sz w:val="24"/>
          <w:lang w:val="pl-PL"/>
        </w:rPr>
        <w:t xml:space="preserve">, Cypr odmówił przekazania dalszych dowodów. </w:t>
      </w:r>
    </w:p>
    <w:p w14:paraId="33A73094" w14:textId="77777777" w:rsidR="00950534" w:rsidRDefault="00950534" w:rsidP="00950534">
      <w:pPr>
        <w:pStyle w:val="ClinContent"/>
        <w:widowControl w:val="0"/>
        <w:spacing w:before="0"/>
        <w:rPr>
          <w:rFonts w:asciiTheme="minorHAnsi" w:hAnsiTheme="minorHAnsi"/>
          <w:sz w:val="24"/>
          <w:lang w:val="pl-PL"/>
        </w:rPr>
      </w:pPr>
    </w:p>
    <w:p w14:paraId="2FFF7249" w14:textId="1432AE4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Zdaniem Trybunału przekazanie „TRPC” całości akt śledztwa, po to aby dowody mogły być wykorzystane</w:t>
      </w:r>
      <w:r w:rsidRPr="00B15C52">
        <w:rPr>
          <w:rFonts w:asciiTheme="minorHAnsi" w:hAnsiTheme="minorHAnsi"/>
          <w:sz w:val="24"/>
          <w:lang w:val="pl-PL"/>
        </w:rPr>
        <w:t xml:space="preserve"> </w:t>
      </w:r>
      <w:r>
        <w:rPr>
          <w:rFonts w:asciiTheme="minorHAnsi" w:hAnsiTheme="minorHAnsi"/>
          <w:sz w:val="24"/>
          <w:lang w:val="pl-PL"/>
        </w:rPr>
        <w:t xml:space="preserve">do </w:t>
      </w:r>
      <w:r w:rsidRPr="00B15C52">
        <w:rPr>
          <w:rFonts w:asciiTheme="minorHAnsi" w:hAnsiTheme="minorHAnsi"/>
          <w:sz w:val="24"/>
          <w:lang w:val="pl-PL"/>
        </w:rPr>
        <w:t>osądzenia tam podejrzanych i bez żadnej gwarancji, że zostaną oni wydani władzom Cypru, wykraczałoby poza zwykłą współpracę między organami policji i</w:t>
      </w:r>
      <w:r w:rsidR="00206CCE">
        <w:rPr>
          <w:rFonts w:asciiTheme="minorHAnsi" w:hAnsiTheme="minorHAnsi"/>
          <w:sz w:val="24"/>
          <w:lang w:val="pl-PL"/>
        </w:rPr>
        <w:t> </w:t>
      </w:r>
      <w:r w:rsidRPr="00B15C52">
        <w:rPr>
          <w:rFonts w:asciiTheme="minorHAnsi" w:hAnsiTheme="minorHAnsi"/>
          <w:sz w:val="24"/>
          <w:lang w:val="pl-PL"/>
        </w:rPr>
        <w:t xml:space="preserve">prokuratury. W istocie stanowiłoby to przekazanie sprawy karnej przez Cypr sądom „TRPC”, </w:t>
      </w:r>
      <w:r>
        <w:rPr>
          <w:rFonts w:asciiTheme="minorHAnsi" w:hAnsiTheme="minorHAnsi"/>
          <w:sz w:val="24"/>
          <w:lang w:val="pl-PL"/>
        </w:rPr>
        <w:t>przy czym</w:t>
      </w:r>
      <w:r w:rsidRPr="00B15C52">
        <w:rPr>
          <w:rFonts w:asciiTheme="minorHAnsi" w:hAnsiTheme="minorHAnsi"/>
          <w:sz w:val="24"/>
          <w:lang w:val="pl-PL"/>
        </w:rPr>
        <w:t xml:space="preserve"> Cypr zrzekałby się w ten sposób swej jurysdykcji karnej w odniesieniu do</w:t>
      </w:r>
      <w:r w:rsidR="00206CCE">
        <w:rPr>
          <w:rFonts w:asciiTheme="minorHAnsi" w:hAnsiTheme="minorHAnsi"/>
          <w:sz w:val="24"/>
          <w:lang w:val="pl-PL"/>
        </w:rPr>
        <w:t> </w:t>
      </w:r>
      <w:r w:rsidRPr="00B15C52">
        <w:rPr>
          <w:rFonts w:asciiTheme="minorHAnsi" w:hAnsiTheme="minorHAnsi"/>
          <w:sz w:val="24"/>
          <w:lang w:val="pl-PL"/>
        </w:rPr>
        <w:t xml:space="preserve">zabójstwa popełnionego na kontrolowanym przez niego terytorium na rzecz sądów nieuznanego podmiotu utworzonego na jego terytorium. </w:t>
      </w:r>
      <w:r>
        <w:rPr>
          <w:rFonts w:asciiTheme="minorHAnsi" w:hAnsiTheme="minorHAnsi"/>
          <w:sz w:val="24"/>
          <w:lang w:val="pl-PL"/>
        </w:rPr>
        <w:t>Trybunał przypomniał, że</w:t>
      </w:r>
      <w:r w:rsidR="00206CCE">
        <w:rPr>
          <w:rFonts w:asciiTheme="minorHAnsi" w:hAnsiTheme="minorHAnsi"/>
          <w:sz w:val="24"/>
          <w:lang w:val="pl-PL"/>
        </w:rPr>
        <w:t> </w:t>
      </w:r>
      <w:r>
        <w:rPr>
          <w:rFonts w:asciiTheme="minorHAnsi" w:hAnsiTheme="minorHAnsi"/>
          <w:sz w:val="24"/>
          <w:lang w:val="pl-PL"/>
        </w:rPr>
        <w:t>w</w:t>
      </w:r>
      <w:r w:rsidRPr="00B15C52">
        <w:rPr>
          <w:rFonts w:asciiTheme="minorHAnsi" w:hAnsiTheme="minorHAnsi"/>
          <w:sz w:val="24"/>
          <w:lang w:val="pl-PL"/>
        </w:rPr>
        <w:t>ykonywanie jurysdykcji karnej stanowi jedną z głównych cech suwerenności państwa. W</w:t>
      </w:r>
      <w:r w:rsidR="00206CCE">
        <w:rPr>
          <w:rFonts w:asciiTheme="minorHAnsi" w:hAnsiTheme="minorHAnsi"/>
          <w:sz w:val="24"/>
          <w:lang w:val="pl-PL"/>
        </w:rPr>
        <w:t> </w:t>
      </w:r>
      <w:r w:rsidRPr="00B15C52">
        <w:rPr>
          <w:rFonts w:asciiTheme="minorHAnsi" w:hAnsiTheme="minorHAnsi"/>
          <w:sz w:val="24"/>
          <w:lang w:val="pl-PL"/>
        </w:rPr>
        <w:t xml:space="preserve">tak szczególnej sytuacji odmowa zrzeczenia się </w:t>
      </w:r>
      <w:r>
        <w:rPr>
          <w:rFonts w:asciiTheme="minorHAnsi" w:hAnsiTheme="minorHAnsi"/>
          <w:sz w:val="24"/>
          <w:lang w:val="pl-PL"/>
        </w:rPr>
        <w:t xml:space="preserve">przez Cypr </w:t>
      </w:r>
      <w:r w:rsidRPr="00B15C52">
        <w:rPr>
          <w:rFonts w:asciiTheme="minorHAnsi" w:hAnsiTheme="minorHAnsi"/>
          <w:sz w:val="24"/>
          <w:lang w:val="pl-PL"/>
        </w:rPr>
        <w:t xml:space="preserve">jurysdykcji karnej na rzecz sądów „TRPC” nie była nieuzasadniona. </w:t>
      </w:r>
    </w:p>
    <w:p w14:paraId="75D03029" w14:textId="77777777" w:rsidR="00950534" w:rsidRDefault="00950534" w:rsidP="00950534">
      <w:pPr>
        <w:pStyle w:val="ClinContent"/>
        <w:widowControl w:val="0"/>
        <w:spacing w:before="0"/>
        <w:rPr>
          <w:rFonts w:asciiTheme="minorHAnsi" w:hAnsiTheme="minorHAnsi"/>
          <w:sz w:val="24"/>
          <w:lang w:val="pl-PL"/>
        </w:rPr>
      </w:pPr>
    </w:p>
    <w:p w14:paraId="4ED48656" w14:textId="77777777" w:rsidR="00950534" w:rsidRPr="00A17B1A" w:rsidRDefault="00950534" w:rsidP="00950534">
      <w:pPr>
        <w:pStyle w:val="ClinContent"/>
        <w:widowControl w:val="0"/>
        <w:spacing w:before="0"/>
        <w:rPr>
          <w:rFonts w:asciiTheme="minorHAnsi" w:hAnsiTheme="minorHAnsi"/>
          <w:i/>
          <w:sz w:val="24"/>
          <w:u w:val="single"/>
          <w:lang w:val="pl-PL"/>
        </w:rPr>
      </w:pPr>
      <w:r w:rsidRPr="00B15C52">
        <w:rPr>
          <w:rFonts w:asciiTheme="minorHAnsi" w:hAnsiTheme="minorHAnsi"/>
          <w:sz w:val="24"/>
          <w:lang w:val="pl-PL"/>
        </w:rPr>
        <w:t xml:space="preserve">iii) </w:t>
      </w:r>
      <w:r w:rsidRPr="00A17B1A">
        <w:rPr>
          <w:rFonts w:asciiTheme="minorHAnsi" w:hAnsiTheme="minorHAnsi"/>
          <w:i/>
          <w:sz w:val="24"/>
          <w:u w:val="single"/>
          <w:lang w:val="pl-PL"/>
        </w:rPr>
        <w:t xml:space="preserve">Czy Cypr miał obowiązek podjęcia innych form współpracy sugerowanych przez UNFICYP </w:t>
      </w:r>
    </w:p>
    <w:p w14:paraId="4A326B61" w14:textId="77777777" w:rsidR="00950534" w:rsidRDefault="00950534" w:rsidP="00950534">
      <w:pPr>
        <w:pStyle w:val="ClinContent"/>
        <w:widowControl w:val="0"/>
        <w:spacing w:before="0"/>
        <w:rPr>
          <w:rFonts w:asciiTheme="minorHAnsi" w:hAnsiTheme="minorHAnsi"/>
          <w:i/>
          <w:sz w:val="24"/>
          <w:lang w:val="pl-PL"/>
        </w:rPr>
      </w:pPr>
    </w:p>
    <w:p w14:paraId="0B4E55C9" w14:textId="6043834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odnotował, że przy okazji </w:t>
      </w:r>
      <w:r w:rsidRPr="00B15C52">
        <w:rPr>
          <w:rFonts w:asciiTheme="minorHAnsi" w:hAnsiTheme="minorHAnsi"/>
          <w:sz w:val="24"/>
          <w:lang w:val="pl-PL"/>
        </w:rPr>
        <w:t>prób mediacji p</w:t>
      </w:r>
      <w:r>
        <w:rPr>
          <w:rFonts w:asciiTheme="minorHAnsi" w:hAnsiTheme="minorHAnsi"/>
          <w:sz w:val="24"/>
          <w:lang w:val="pl-PL"/>
        </w:rPr>
        <w:t>odejmowanych</w:t>
      </w:r>
      <w:r w:rsidRPr="00B15C52">
        <w:rPr>
          <w:rFonts w:asciiTheme="minorHAnsi" w:hAnsiTheme="minorHAnsi"/>
          <w:sz w:val="24"/>
          <w:lang w:val="pl-PL"/>
        </w:rPr>
        <w:t xml:space="preserve"> przez UNFICYP </w:t>
      </w:r>
      <w:r>
        <w:rPr>
          <w:rFonts w:asciiTheme="minorHAnsi" w:hAnsiTheme="minorHAnsi"/>
          <w:sz w:val="24"/>
          <w:lang w:val="pl-PL"/>
        </w:rPr>
        <w:t xml:space="preserve">proponowane </w:t>
      </w:r>
      <w:r w:rsidRPr="00B15C52">
        <w:rPr>
          <w:rFonts w:asciiTheme="minorHAnsi" w:hAnsiTheme="minorHAnsi"/>
          <w:sz w:val="24"/>
          <w:lang w:val="pl-PL"/>
        </w:rPr>
        <w:t xml:space="preserve">były różne formy współpracy w celu znalezienia rozwiązania kompromisowego dla władz Cypru i „TRPC”. Jednakże </w:t>
      </w:r>
      <w:r>
        <w:rPr>
          <w:rFonts w:asciiTheme="minorHAnsi" w:hAnsiTheme="minorHAnsi"/>
          <w:sz w:val="24"/>
          <w:lang w:val="pl-PL"/>
        </w:rPr>
        <w:t xml:space="preserve">w opinii Trybunału </w:t>
      </w:r>
      <w:r w:rsidRPr="00B15C52">
        <w:rPr>
          <w:rFonts w:asciiTheme="minorHAnsi" w:hAnsiTheme="minorHAnsi"/>
          <w:sz w:val="24"/>
          <w:lang w:val="pl-PL"/>
        </w:rPr>
        <w:t>te inne formy współpracy nie mogły same w sobie ułatwić ścigania i osądzenia podejrzanych. Nie</w:t>
      </w:r>
      <w:r>
        <w:rPr>
          <w:rFonts w:asciiTheme="minorHAnsi" w:hAnsiTheme="minorHAnsi"/>
          <w:sz w:val="24"/>
          <w:lang w:val="pl-PL"/>
        </w:rPr>
        <w:t xml:space="preserve"> zostało potwierdzone, że te alternatywne rozwiązania</w:t>
      </w:r>
      <w:r w:rsidRPr="00B15C52">
        <w:rPr>
          <w:rFonts w:asciiTheme="minorHAnsi" w:hAnsiTheme="minorHAnsi"/>
          <w:sz w:val="24"/>
          <w:lang w:val="pl-PL"/>
        </w:rPr>
        <w:t>, w szczególności możliwość zorganizowania doraźnego procesu na neutralnym terenie, miałyby wystarczająco mocne podstawy w</w:t>
      </w:r>
      <w:r w:rsidR="00206CCE">
        <w:rPr>
          <w:rFonts w:asciiTheme="minorHAnsi" w:hAnsiTheme="minorHAnsi"/>
          <w:sz w:val="24"/>
          <w:lang w:val="pl-PL"/>
        </w:rPr>
        <w:t> </w:t>
      </w:r>
      <w:r w:rsidRPr="00B15C52">
        <w:rPr>
          <w:rFonts w:asciiTheme="minorHAnsi" w:hAnsiTheme="minorHAnsi"/>
          <w:sz w:val="24"/>
          <w:lang w:val="pl-PL"/>
        </w:rPr>
        <w:t xml:space="preserve">prawie krajowym lub międzynarodowym. W tych okolicznościach </w:t>
      </w:r>
      <w:r>
        <w:rPr>
          <w:rFonts w:asciiTheme="minorHAnsi" w:hAnsiTheme="minorHAnsi"/>
          <w:sz w:val="24"/>
          <w:lang w:val="pl-PL"/>
        </w:rPr>
        <w:t xml:space="preserve">Trybunał uznał, że </w:t>
      </w:r>
      <w:r w:rsidRPr="00B15C52">
        <w:rPr>
          <w:rFonts w:asciiTheme="minorHAnsi" w:hAnsiTheme="minorHAnsi"/>
          <w:sz w:val="24"/>
          <w:lang w:val="pl-PL"/>
        </w:rPr>
        <w:t>Cypr nie był zobow</w:t>
      </w:r>
      <w:r>
        <w:rPr>
          <w:rFonts w:asciiTheme="minorHAnsi" w:hAnsiTheme="minorHAnsi"/>
          <w:sz w:val="24"/>
          <w:lang w:val="pl-PL"/>
        </w:rPr>
        <w:t>iązany, aby się w nie angażować.</w:t>
      </w:r>
    </w:p>
    <w:p w14:paraId="573DC8EC" w14:textId="77777777" w:rsidR="00950534" w:rsidRDefault="00950534" w:rsidP="00950534">
      <w:pPr>
        <w:pStyle w:val="ClinContent"/>
        <w:widowControl w:val="0"/>
        <w:spacing w:before="0"/>
        <w:rPr>
          <w:rFonts w:asciiTheme="minorHAnsi" w:hAnsiTheme="minorHAnsi"/>
          <w:sz w:val="24"/>
          <w:lang w:val="pl-PL"/>
        </w:rPr>
      </w:pPr>
    </w:p>
    <w:p w14:paraId="7851FBD1"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świetle powyższych okoliczności Trybunał uznał piętnastoma głosami do dwóch, że Cypr nie naruszył art. 2 Konwencji. </w:t>
      </w:r>
    </w:p>
    <w:p w14:paraId="7C368B51" w14:textId="77777777" w:rsidR="00950534" w:rsidRDefault="00950534" w:rsidP="00950534">
      <w:pPr>
        <w:pStyle w:val="ClinContent"/>
        <w:widowControl w:val="0"/>
        <w:spacing w:before="0"/>
        <w:rPr>
          <w:rFonts w:asciiTheme="minorHAnsi" w:hAnsiTheme="minorHAnsi"/>
          <w:sz w:val="24"/>
          <w:lang w:val="pl-PL"/>
        </w:rPr>
      </w:pPr>
    </w:p>
    <w:p w14:paraId="538B8F2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b)</w:t>
      </w:r>
      <w:r>
        <w:rPr>
          <w:rFonts w:asciiTheme="minorHAnsi" w:hAnsiTheme="minorHAnsi"/>
          <w:sz w:val="24"/>
          <w:lang w:val="pl-PL"/>
        </w:rPr>
        <w:t xml:space="preserve"> </w:t>
      </w:r>
      <w:r w:rsidRPr="00B15C52">
        <w:rPr>
          <w:rFonts w:asciiTheme="minorHAnsi" w:hAnsiTheme="minorHAnsi"/>
          <w:i/>
          <w:sz w:val="24"/>
          <w:lang w:val="pl-PL"/>
        </w:rPr>
        <w:t>Turcja</w:t>
      </w:r>
    </w:p>
    <w:p w14:paraId="2BFF6DDC" w14:textId="77777777" w:rsidR="00950534" w:rsidRDefault="00950534" w:rsidP="00950534">
      <w:pPr>
        <w:pStyle w:val="ClinContent"/>
        <w:widowControl w:val="0"/>
        <w:spacing w:before="0"/>
        <w:rPr>
          <w:rFonts w:asciiTheme="minorHAnsi" w:hAnsiTheme="minorHAnsi"/>
          <w:sz w:val="24"/>
          <w:lang w:val="pl-PL"/>
        </w:rPr>
      </w:pPr>
    </w:p>
    <w:p w14:paraId="01266E96" w14:textId="7D71D95E"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zauważył, że </w:t>
      </w:r>
      <w:r w:rsidRPr="00B15C52">
        <w:rPr>
          <w:rFonts w:asciiTheme="minorHAnsi" w:hAnsiTheme="minorHAnsi"/>
          <w:sz w:val="24"/>
          <w:lang w:val="pl-PL"/>
        </w:rPr>
        <w:t xml:space="preserve">Turcja zignorowała wnioski </w:t>
      </w:r>
      <w:r>
        <w:rPr>
          <w:rFonts w:asciiTheme="minorHAnsi" w:hAnsiTheme="minorHAnsi"/>
          <w:sz w:val="24"/>
          <w:lang w:val="pl-PL"/>
        </w:rPr>
        <w:t xml:space="preserve">Cypru </w:t>
      </w:r>
      <w:r w:rsidRPr="00B15C52">
        <w:rPr>
          <w:rFonts w:asciiTheme="minorHAnsi" w:hAnsiTheme="minorHAnsi"/>
          <w:sz w:val="24"/>
          <w:lang w:val="pl-PL"/>
        </w:rPr>
        <w:t>o ekstradycję i zwróciła je bez</w:t>
      </w:r>
      <w:r w:rsidR="00206CCE">
        <w:rPr>
          <w:rFonts w:asciiTheme="minorHAnsi" w:hAnsiTheme="minorHAnsi"/>
          <w:sz w:val="24"/>
          <w:lang w:val="pl-PL"/>
        </w:rPr>
        <w:t> </w:t>
      </w:r>
      <w:r w:rsidRPr="00B15C52">
        <w:rPr>
          <w:rFonts w:asciiTheme="minorHAnsi" w:hAnsiTheme="minorHAnsi"/>
          <w:sz w:val="24"/>
          <w:lang w:val="pl-PL"/>
        </w:rPr>
        <w:t xml:space="preserve">odpowiedzi. </w:t>
      </w:r>
      <w:r>
        <w:rPr>
          <w:rFonts w:asciiTheme="minorHAnsi" w:hAnsiTheme="minorHAnsi"/>
          <w:sz w:val="24"/>
          <w:lang w:val="pl-PL"/>
        </w:rPr>
        <w:t>N</w:t>
      </w:r>
      <w:r w:rsidRPr="00B15C52">
        <w:rPr>
          <w:rFonts w:asciiTheme="minorHAnsi" w:hAnsiTheme="minorHAnsi"/>
          <w:sz w:val="24"/>
          <w:lang w:val="pl-PL"/>
        </w:rPr>
        <w:t xml:space="preserve">ależało się </w:t>
      </w:r>
      <w:r>
        <w:rPr>
          <w:rFonts w:asciiTheme="minorHAnsi" w:hAnsiTheme="minorHAnsi"/>
          <w:sz w:val="24"/>
          <w:lang w:val="pl-PL"/>
        </w:rPr>
        <w:t xml:space="preserve">jednak </w:t>
      </w:r>
      <w:r w:rsidRPr="00B15C52">
        <w:rPr>
          <w:rFonts w:asciiTheme="minorHAnsi" w:hAnsiTheme="minorHAnsi"/>
          <w:sz w:val="24"/>
          <w:lang w:val="pl-PL"/>
        </w:rPr>
        <w:t>spodziewać</w:t>
      </w:r>
      <w:r>
        <w:rPr>
          <w:rFonts w:asciiTheme="minorHAnsi" w:hAnsiTheme="minorHAnsi"/>
          <w:sz w:val="24"/>
          <w:lang w:val="pl-PL"/>
        </w:rPr>
        <w:t>, że władze tureckie wskażą</w:t>
      </w:r>
      <w:r w:rsidRPr="00B15C52">
        <w:rPr>
          <w:rFonts w:asciiTheme="minorHAnsi" w:hAnsiTheme="minorHAnsi"/>
          <w:sz w:val="24"/>
          <w:lang w:val="pl-PL"/>
        </w:rPr>
        <w:t>, dlaczego u</w:t>
      </w:r>
      <w:r>
        <w:rPr>
          <w:rFonts w:asciiTheme="minorHAnsi" w:hAnsiTheme="minorHAnsi"/>
          <w:sz w:val="24"/>
          <w:lang w:val="pl-PL"/>
        </w:rPr>
        <w:t>znają,</w:t>
      </w:r>
      <w:r w:rsidRPr="00B15C52">
        <w:rPr>
          <w:rFonts w:asciiTheme="minorHAnsi" w:hAnsiTheme="minorHAnsi"/>
          <w:sz w:val="24"/>
          <w:lang w:val="pl-PL"/>
        </w:rPr>
        <w:t xml:space="preserve"> że ekstradycja jest niedopuszczalna na podstawie ustawodawstwa </w:t>
      </w:r>
      <w:r>
        <w:rPr>
          <w:rFonts w:asciiTheme="minorHAnsi" w:hAnsiTheme="minorHAnsi"/>
          <w:sz w:val="24"/>
          <w:lang w:val="pl-PL"/>
        </w:rPr>
        <w:t xml:space="preserve">tureckiego </w:t>
      </w:r>
      <w:r w:rsidRPr="00B15C52">
        <w:rPr>
          <w:rFonts w:asciiTheme="minorHAnsi" w:hAnsiTheme="minorHAnsi"/>
          <w:sz w:val="24"/>
          <w:lang w:val="pl-PL"/>
        </w:rPr>
        <w:t xml:space="preserve">lub </w:t>
      </w:r>
      <w:hyperlink r:id="rId13" w:history="1">
        <w:r w:rsidRPr="00B15C52">
          <w:rPr>
            <w:rStyle w:val="Hipercze"/>
            <w:rFonts w:asciiTheme="minorHAnsi" w:hAnsiTheme="minorHAnsi"/>
            <w:sz w:val="24"/>
            <w:lang w:val="pl-PL"/>
          </w:rPr>
          <w:t>Europejskiej konwencji o ekstradycji</w:t>
        </w:r>
      </w:hyperlink>
      <w:r w:rsidRPr="00B15C52">
        <w:rPr>
          <w:rFonts w:asciiTheme="minorHAnsi" w:hAnsiTheme="minorHAnsi"/>
          <w:sz w:val="24"/>
          <w:lang w:val="pl-PL"/>
        </w:rPr>
        <w:t xml:space="preserve">. </w:t>
      </w:r>
    </w:p>
    <w:p w14:paraId="3A6D25EB" w14:textId="77777777" w:rsidR="00950534" w:rsidRDefault="00950534" w:rsidP="00950534">
      <w:pPr>
        <w:pStyle w:val="ClinContent"/>
        <w:widowControl w:val="0"/>
        <w:spacing w:before="0"/>
        <w:rPr>
          <w:rFonts w:asciiTheme="minorHAnsi" w:hAnsiTheme="minorHAnsi"/>
          <w:sz w:val="24"/>
          <w:lang w:val="pl-PL"/>
        </w:rPr>
      </w:pPr>
    </w:p>
    <w:p w14:paraId="08546F68"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przypomniał, że </w:t>
      </w:r>
      <w:r w:rsidRPr="00B15C52">
        <w:rPr>
          <w:rFonts w:asciiTheme="minorHAnsi" w:hAnsiTheme="minorHAnsi"/>
          <w:sz w:val="24"/>
          <w:lang w:val="pl-PL"/>
        </w:rPr>
        <w:t xml:space="preserve">Konwencja o ekstradycji nakłada na państwo wezwane obowiązek poinformowania państwa wzywającego o swej decyzji w sprawie ekstradycji, a w razie odrzucenia wniosku – </w:t>
      </w:r>
      <w:r>
        <w:rPr>
          <w:rFonts w:asciiTheme="minorHAnsi" w:hAnsiTheme="minorHAnsi"/>
          <w:sz w:val="24"/>
          <w:lang w:val="pl-PL"/>
        </w:rPr>
        <w:t xml:space="preserve">obowiązek </w:t>
      </w:r>
      <w:r w:rsidRPr="00B15C52">
        <w:rPr>
          <w:rFonts w:asciiTheme="minorHAnsi" w:hAnsiTheme="minorHAnsi"/>
          <w:sz w:val="24"/>
          <w:lang w:val="pl-PL"/>
        </w:rPr>
        <w:t>uzasadnienia t</w:t>
      </w:r>
      <w:r>
        <w:rPr>
          <w:rFonts w:asciiTheme="minorHAnsi" w:hAnsiTheme="minorHAnsi"/>
          <w:sz w:val="24"/>
          <w:lang w:val="pl-PL"/>
        </w:rPr>
        <w:t>ej</w:t>
      </w:r>
      <w:r w:rsidRPr="00B15C52">
        <w:rPr>
          <w:rFonts w:asciiTheme="minorHAnsi" w:hAnsiTheme="minorHAnsi"/>
          <w:sz w:val="24"/>
          <w:lang w:val="pl-PL"/>
        </w:rPr>
        <w:t xml:space="preserve"> decyzji. </w:t>
      </w:r>
      <w:r>
        <w:rPr>
          <w:rFonts w:asciiTheme="minorHAnsi" w:hAnsiTheme="minorHAnsi"/>
          <w:sz w:val="24"/>
          <w:lang w:val="pl-PL"/>
        </w:rPr>
        <w:t>Trybunał uznał, że o</w:t>
      </w:r>
      <w:r w:rsidRPr="00B15C52">
        <w:rPr>
          <w:rFonts w:asciiTheme="minorHAnsi" w:hAnsiTheme="minorHAnsi"/>
          <w:sz w:val="24"/>
          <w:lang w:val="pl-PL"/>
        </w:rPr>
        <w:t xml:space="preserve">bowiązek współpracy na podstawie art. 2 </w:t>
      </w:r>
      <w:r>
        <w:rPr>
          <w:rFonts w:asciiTheme="minorHAnsi" w:hAnsiTheme="minorHAnsi"/>
          <w:sz w:val="24"/>
          <w:lang w:val="pl-PL"/>
        </w:rPr>
        <w:t xml:space="preserve">Konwencji </w:t>
      </w:r>
      <w:r w:rsidRPr="00B15C52">
        <w:rPr>
          <w:rFonts w:asciiTheme="minorHAnsi" w:hAnsiTheme="minorHAnsi"/>
          <w:sz w:val="24"/>
          <w:lang w:val="pl-PL"/>
        </w:rPr>
        <w:t xml:space="preserve">należy interpretować w świetle tych postanowień i powinien on zatem nakładać na państwo obowiązek zbadania </w:t>
      </w:r>
      <w:r>
        <w:rPr>
          <w:rFonts w:asciiTheme="minorHAnsi" w:hAnsiTheme="minorHAnsi"/>
          <w:sz w:val="24"/>
          <w:lang w:val="pl-PL"/>
        </w:rPr>
        <w:t xml:space="preserve">sprawy </w:t>
      </w:r>
      <w:r w:rsidRPr="00B15C52">
        <w:rPr>
          <w:rFonts w:asciiTheme="minorHAnsi" w:hAnsiTheme="minorHAnsi"/>
          <w:sz w:val="24"/>
          <w:lang w:val="pl-PL"/>
        </w:rPr>
        <w:t xml:space="preserve">i udzielenia uzasadnionej odpowiedzi na każdy wniosek o ekstradycję pochodzący od innego państwa </w:t>
      </w:r>
      <w:r>
        <w:rPr>
          <w:rFonts w:asciiTheme="minorHAnsi" w:hAnsiTheme="minorHAnsi"/>
          <w:sz w:val="24"/>
          <w:lang w:val="pl-PL"/>
        </w:rPr>
        <w:t xml:space="preserve">strony Konwencji </w:t>
      </w:r>
      <w:r w:rsidRPr="00B15C52">
        <w:rPr>
          <w:rFonts w:asciiTheme="minorHAnsi" w:hAnsiTheme="minorHAnsi"/>
          <w:sz w:val="24"/>
          <w:lang w:val="pl-PL"/>
        </w:rPr>
        <w:t xml:space="preserve">w odniesieniu do podejrzanych poszukiwanych za zabójstwo, o których wiadomo, że są obecni na jego terytorium lub w jego jurysdykcji. </w:t>
      </w:r>
    </w:p>
    <w:p w14:paraId="2A42AF37" w14:textId="77777777" w:rsidR="00950534" w:rsidRDefault="00950534" w:rsidP="00950534">
      <w:pPr>
        <w:pStyle w:val="ClinContent"/>
        <w:widowControl w:val="0"/>
        <w:spacing w:before="0"/>
        <w:rPr>
          <w:rFonts w:asciiTheme="minorHAnsi" w:hAnsiTheme="minorHAnsi"/>
          <w:sz w:val="24"/>
          <w:lang w:val="pl-PL"/>
        </w:rPr>
      </w:pPr>
    </w:p>
    <w:p w14:paraId="5B48A0ED" w14:textId="6CCAA20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tej sytuacji Trybunał uznał, że </w:t>
      </w:r>
      <w:r w:rsidRPr="00B15C52">
        <w:rPr>
          <w:rFonts w:asciiTheme="minorHAnsi" w:hAnsiTheme="minorHAnsi"/>
          <w:sz w:val="24"/>
          <w:lang w:val="pl-PL"/>
        </w:rPr>
        <w:t>Turcja nie podjęła minimalnego wysiłku wymaganego w</w:t>
      </w:r>
      <w:r w:rsidR="00206CCE">
        <w:rPr>
          <w:rFonts w:asciiTheme="minorHAnsi" w:hAnsiTheme="minorHAnsi"/>
          <w:sz w:val="24"/>
          <w:lang w:val="pl-PL"/>
        </w:rPr>
        <w:t> </w:t>
      </w:r>
      <w:r w:rsidRPr="00B15C52">
        <w:rPr>
          <w:rFonts w:asciiTheme="minorHAnsi" w:hAnsiTheme="minorHAnsi"/>
          <w:sz w:val="24"/>
          <w:lang w:val="pl-PL"/>
        </w:rPr>
        <w:t xml:space="preserve">okolicznościach sprawy i nie wypełniła swego obowiązku współpracy z Cyprem </w:t>
      </w:r>
      <w:r>
        <w:rPr>
          <w:rFonts w:asciiTheme="minorHAnsi" w:hAnsiTheme="minorHAnsi"/>
          <w:sz w:val="24"/>
          <w:lang w:val="pl-PL"/>
        </w:rPr>
        <w:t xml:space="preserve">w celu przeprowadzenia </w:t>
      </w:r>
      <w:r w:rsidRPr="00B15C52">
        <w:rPr>
          <w:rFonts w:asciiTheme="minorHAnsi" w:hAnsiTheme="minorHAnsi"/>
          <w:sz w:val="24"/>
          <w:lang w:val="pl-PL"/>
        </w:rPr>
        <w:t xml:space="preserve">skutecznego śledztwa w sprawie zabójstwa krewnych skarżących. </w:t>
      </w:r>
    </w:p>
    <w:p w14:paraId="0C529D09" w14:textId="77777777" w:rsidR="00950534" w:rsidRDefault="00950534" w:rsidP="00950534">
      <w:pPr>
        <w:pStyle w:val="ClinContent"/>
        <w:widowControl w:val="0"/>
        <w:spacing w:before="0"/>
        <w:rPr>
          <w:rFonts w:asciiTheme="minorHAnsi" w:hAnsiTheme="minorHAnsi"/>
          <w:sz w:val="24"/>
          <w:lang w:val="pl-PL"/>
        </w:rPr>
      </w:pPr>
    </w:p>
    <w:p w14:paraId="585F1C30"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świetle powyższych okoliczności Trybunał uznał jednogłośnie, że Turcja naruszyła art. 2 Konwencji. </w:t>
      </w:r>
    </w:p>
    <w:p w14:paraId="53C946F0" w14:textId="77777777" w:rsidR="00950534" w:rsidRDefault="00950534" w:rsidP="00950534">
      <w:pPr>
        <w:pStyle w:val="ClinContent"/>
        <w:widowControl w:val="0"/>
        <w:spacing w:before="0"/>
        <w:rPr>
          <w:rFonts w:asciiTheme="minorHAnsi" w:hAnsiTheme="minorHAnsi"/>
          <w:sz w:val="24"/>
          <w:lang w:val="pl-PL"/>
        </w:rPr>
      </w:pPr>
    </w:p>
    <w:p w14:paraId="6BB3356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Na tej podstawie Trybunał zasądził od Turcji po </w:t>
      </w:r>
      <w:r w:rsidRPr="00B15C52">
        <w:rPr>
          <w:rFonts w:asciiTheme="minorHAnsi" w:hAnsiTheme="minorHAnsi"/>
          <w:sz w:val="24"/>
          <w:lang w:val="pl-PL"/>
        </w:rPr>
        <w:t>8500 euro dla każdego skarżąceg</w:t>
      </w:r>
      <w:r>
        <w:rPr>
          <w:rFonts w:asciiTheme="minorHAnsi" w:hAnsiTheme="minorHAnsi"/>
          <w:sz w:val="24"/>
          <w:lang w:val="pl-PL"/>
        </w:rPr>
        <w:t xml:space="preserve">o z tytułu szkody niemajątkowej. </w:t>
      </w:r>
    </w:p>
    <w:p w14:paraId="5515D1C4" w14:textId="77777777" w:rsidR="00950534" w:rsidRDefault="00950534" w:rsidP="00950534">
      <w:pPr>
        <w:pStyle w:val="ClinContent"/>
        <w:widowControl w:val="0"/>
        <w:spacing w:before="0"/>
        <w:rPr>
          <w:rFonts w:asciiTheme="minorHAnsi" w:hAnsiTheme="minorHAnsi"/>
          <w:sz w:val="24"/>
          <w:lang w:val="pl-PL"/>
        </w:rPr>
      </w:pPr>
    </w:p>
    <w:p w14:paraId="411D4284" w14:textId="77777777"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t>
      </w:r>
      <w:r>
        <w:rPr>
          <w:rFonts w:asciiTheme="minorHAnsi" w:hAnsiTheme="minorHAnsi" w:cs="Verdana"/>
          <w:bCs/>
          <w:sz w:val="24"/>
          <w:lang w:val="pl-PL"/>
        </w:rPr>
        <w:t xml:space="preserve">Wyrok wskazuje, że obowiązek proceduralny ochrony prawa do życia, wynikający z art. 2 Konwencji, obejmuje także obowiązek współpracy z innym państwem w zakresie niezbędnym do prowadzeniu skutecznego postępowania w sprawie przypadków zabójstwa. W świetle wyroku Trybunału państwa mają </w:t>
      </w:r>
      <w:r w:rsidRPr="005171D3">
        <w:rPr>
          <w:rFonts w:asciiTheme="minorHAnsi" w:hAnsiTheme="minorHAnsi" w:cs="Verdana"/>
          <w:bCs/>
          <w:sz w:val="24"/>
          <w:lang w:val="pl-PL"/>
        </w:rPr>
        <w:t>obowiązek ubiegania się o pomoc i obowiązek udzielania pomocy</w:t>
      </w:r>
      <w:r>
        <w:rPr>
          <w:rFonts w:asciiTheme="minorHAnsi" w:hAnsiTheme="minorHAnsi" w:cs="Verdana"/>
          <w:bCs/>
          <w:sz w:val="24"/>
          <w:lang w:val="pl-PL"/>
        </w:rPr>
        <w:t xml:space="preserve">. Obowiązek ten ma charakter obowiązku działania (wykorzystania wszelkich rozsądnie dostępnych opcji współpracy), a nie rezultatu. </w:t>
      </w:r>
    </w:p>
    <w:p w14:paraId="1A8D9487" w14:textId="77777777" w:rsidR="00950534" w:rsidRDefault="00950534" w:rsidP="00950534">
      <w:pPr>
        <w:pStyle w:val="ClinContent"/>
        <w:widowControl w:val="0"/>
        <w:spacing w:before="0"/>
        <w:rPr>
          <w:rFonts w:asciiTheme="minorHAnsi" w:hAnsiTheme="minorHAnsi" w:cs="Verdana"/>
          <w:bCs/>
          <w:sz w:val="24"/>
          <w:lang w:val="pl-PL"/>
        </w:rPr>
      </w:pPr>
    </w:p>
    <w:p w14:paraId="4487B8F6"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 xml:space="preserve">Obowiązek współpracy </w:t>
      </w:r>
      <w:r w:rsidRPr="00286E1B">
        <w:rPr>
          <w:rFonts w:asciiTheme="minorHAnsi" w:hAnsiTheme="minorHAnsi" w:cs="Verdana"/>
          <w:bCs/>
          <w:sz w:val="24"/>
          <w:lang w:val="pl-PL"/>
        </w:rPr>
        <w:t xml:space="preserve">należy interpretować w świetle traktatów i porozumień międzynarodowych stosujących się między zainteresowanymi </w:t>
      </w:r>
      <w:r>
        <w:rPr>
          <w:rFonts w:asciiTheme="minorHAnsi" w:hAnsiTheme="minorHAnsi" w:cs="Verdana"/>
          <w:bCs/>
          <w:sz w:val="24"/>
          <w:lang w:val="pl-PL"/>
        </w:rPr>
        <w:t>p</w:t>
      </w:r>
      <w:r w:rsidRPr="00286E1B">
        <w:rPr>
          <w:rFonts w:asciiTheme="minorHAnsi" w:hAnsiTheme="minorHAnsi" w:cs="Verdana"/>
          <w:bCs/>
          <w:sz w:val="24"/>
          <w:lang w:val="pl-PL"/>
        </w:rPr>
        <w:t>aństwami,</w:t>
      </w:r>
      <w:r>
        <w:rPr>
          <w:rFonts w:asciiTheme="minorHAnsi" w:hAnsiTheme="minorHAnsi" w:cs="Verdana"/>
          <w:bCs/>
          <w:sz w:val="24"/>
          <w:lang w:val="pl-PL"/>
        </w:rPr>
        <w:t xml:space="preserve"> uwzględniając jednocześnie obowiązki wynikające z Konwencji. </w:t>
      </w:r>
    </w:p>
    <w:p w14:paraId="25CF9EDE" w14:textId="77777777" w:rsidR="00950534" w:rsidRDefault="00950534" w:rsidP="00950534">
      <w:pPr>
        <w:pStyle w:val="ClinContent"/>
        <w:widowControl w:val="0"/>
        <w:spacing w:before="0"/>
        <w:rPr>
          <w:rFonts w:asciiTheme="minorHAnsi" w:hAnsiTheme="minorHAnsi" w:cs="Verdana"/>
          <w:bCs/>
          <w:sz w:val="24"/>
          <w:lang w:val="pl-PL"/>
        </w:rPr>
      </w:pPr>
    </w:p>
    <w:p w14:paraId="290E7AE6" w14:textId="3D6383DA"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 xml:space="preserve">Wyrok wskazuje ponadto kryteria do ustalenia, w jakich okolicznościach państwo sprawuje jurysdykcję w rozumieniu Konwencji i w rezultacie ma obowiązek współpracy na podstawie art. 2 Konwencji, nawet jeśli śmierć osoby miała miejsce poza jego terytorium. Do zasad ustalonych w tym wyroku odwołał się Trybunał następnie w sprawie </w:t>
      </w:r>
      <w:r w:rsidRPr="00A4400C">
        <w:rPr>
          <w:rFonts w:asciiTheme="minorHAnsi" w:hAnsiTheme="minorHAnsi" w:cs="Verdana"/>
          <w:bCs/>
          <w:i/>
          <w:sz w:val="24"/>
          <w:lang w:val="pl-PL"/>
        </w:rPr>
        <w:t>Romeo Castaño p. Belgii</w:t>
      </w:r>
      <w:r>
        <w:rPr>
          <w:rFonts w:asciiTheme="minorHAnsi" w:hAnsiTheme="minorHAnsi" w:cs="Verdana"/>
          <w:bCs/>
          <w:i/>
          <w:sz w:val="24"/>
          <w:lang w:val="pl-PL"/>
        </w:rPr>
        <w:t xml:space="preserve"> </w:t>
      </w:r>
      <w:r w:rsidRPr="00A4400C">
        <w:rPr>
          <w:rFonts w:asciiTheme="minorHAnsi" w:hAnsiTheme="minorHAnsi" w:cs="Verdana"/>
          <w:bCs/>
          <w:sz w:val="24"/>
          <w:lang w:val="pl-PL"/>
        </w:rPr>
        <w:t>(skarga nr 8351/17, 9 lipca 2019 r.</w:t>
      </w:r>
      <w:r>
        <w:rPr>
          <w:rFonts w:asciiTheme="minorHAnsi" w:hAnsiTheme="minorHAnsi" w:cs="Verdana"/>
          <w:bCs/>
          <w:sz w:val="24"/>
          <w:lang w:val="pl-PL"/>
        </w:rPr>
        <w:t xml:space="preserve"> – wyrok omówiony w pkt 16 niniejszego przeglądu).</w:t>
      </w:r>
    </w:p>
    <w:p w14:paraId="2B8D91A3" w14:textId="77777777" w:rsidR="00950534" w:rsidRDefault="00950534" w:rsidP="00950534">
      <w:pPr>
        <w:pStyle w:val="ClinContent"/>
        <w:widowControl w:val="0"/>
        <w:spacing w:before="0"/>
        <w:rPr>
          <w:rFonts w:asciiTheme="minorHAnsi" w:hAnsiTheme="minorHAnsi" w:cs="Verdana"/>
          <w:bCs/>
          <w:sz w:val="24"/>
          <w:lang w:val="pl-PL"/>
        </w:rPr>
      </w:pPr>
    </w:p>
    <w:p w14:paraId="6A201D14" w14:textId="77777777" w:rsidR="00277D0F" w:rsidRDefault="00277D0F" w:rsidP="00950534">
      <w:pPr>
        <w:pStyle w:val="ClinContent"/>
        <w:widowControl w:val="0"/>
        <w:spacing w:before="0"/>
        <w:rPr>
          <w:rFonts w:asciiTheme="minorHAnsi" w:hAnsiTheme="minorHAnsi" w:cs="Verdana"/>
          <w:bCs/>
          <w:sz w:val="24"/>
          <w:lang w:val="pl-PL"/>
        </w:rPr>
      </w:pPr>
    </w:p>
    <w:p w14:paraId="7118EA03" w14:textId="141C2018"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lastRenderedPageBreak/>
        <w:t xml:space="preserve">Dodatkowo wyrok stanowi istotny przykład zastosowania przez Trybunał gwarancji wynikających z Konwencji do sytuacji wiążącej się z istnieniem podmiotu o charakterze </w:t>
      </w:r>
      <w:r w:rsidRPr="00286E1B">
        <w:rPr>
          <w:rFonts w:asciiTheme="minorHAnsi" w:hAnsiTheme="minorHAnsi" w:cs="Verdana"/>
          <w:bCs/>
          <w:i/>
          <w:sz w:val="24"/>
          <w:lang w:val="pl-PL"/>
        </w:rPr>
        <w:t>de</w:t>
      </w:r>
      <w:r w:rsidR="00206CCE">
        <w:rPr>
          <w:rFonts w:asciiTheme="minorHAnsi" w:hAnsiTheme="minorHAnsi" w:cs="Verdana"/>
          <w:bCs/>
          <w:i/>
          <w:sz w:val="24"/>
          <w:lang w:val="pl-PL"/>
        </w:rPr>
        <w:t> </w:t>
      </w:r>
      <w:r w:rsidRPr="00286E1B">
        <w:rPr>
          <w:rFonts w:asciiTheme="minorHAnsi" w:hAnsiTheme="minorHAnsi" w:cs="Verdana"/>
          <w:bCs/>
          <w:i/>
          <w:sz w:val="24"/>
          <w:lang w:val="pl-PL"/>
        </w:rPr>
        <w:t>facto</w:t>
      </w:r>
      <w:r>
        <w:rPr>
          <w:rFonts w:asciiTheme="minorHAnsi" w:hAnsiTheme="minorHAnsi" w:cs="Verdana"/>
          <w:bCs/>
          <w:i/>
          <w:sz w:val="24"/>
          <w:lang w:val="pl-PL"/>
        </w:rPr>
        <w:t>,</w:t>
      </w:r>
      <w:r>
        <w:rPr>
          <w:rFonts w:asciiTheme="minorHAnsi" w:hAnsiTheme="minorHAnsi" w:cs="Verdana"/>
          <w:bCs/>
          <w:sz w:val="24"/>
          <w:lang w:val="pl-PL"/>
        </w:rPr>
        <w:t xml:space="preserve"> nieuznawanego na arenie międzynarodowej. Zastosowana przez Trybunał wykładnia art. 1 i 2 Konwencji idzie w kierunku, który ma na celu zapewnienie skuteczności Konwencji i unikanie powstawania luk i tzw. szarych stref w stosowaniu jej gwarancji. Należy jednak zauważyć, że Trybunał nie odniósł się do bardziej ogólnej zasady nieuznawania legalności sytuacji wynikłych bezpośrednio z poważnych naruszeń bezwzględnie obowiązujących norm prawa międzynarodowego. </w:t>
      </w:r>
    </w:p>
    <w:p w14:paraId="63D66016" w14:textId="77777777" w:rsidR="00950534" w:rsidRDefault="00950534" w:rsidP="00950534">
      <w:pPr>
        <w:pStyle w:val="ClinContent"/>
        <w:widowControl w:val="0"/>
        <w:spacing w:before="0"/>
        <w:rPr>
          <w:rFonts w:asciiTheme="minorHAnsi" w:hAnsiTheme="minorHAnsi" w:cs="Verdana"/>
          <w:bCs/>
          <w:sz w:val="24"/>
          <w:lang w:val="pl-PL"/>
        </w:rPr>
      </w:pPr>
    </w:p>
    <w:p w14:paraId="32311485"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 xml:space="preserve">Wyrok Trybunału potwierdza obowiązek współpracy w przypadku państw nieutrzymujących ze sobą stosunków dyplomatycznych. Wskazuje też, że brak wykorzystania oficjalnych kanałów dyplomatycznych do przekazania wniosku o ekstradycję, czego wymaga art. 12 Europejskiej konwencji o ekstradycji, nie zwalnia państwa wezwanego z obowiązku współpracy wynikającego z art. 2 Konwencji o ochronie praw człowieka i podstawowych wolności, w tym przedstawienia odpowiedzi na ten wniosek, a w razie odmowy – odpowiedniego uzasadnienia go. </w:t>
      </w:r>
    </w:p>
    <w:p w14:paraId="1FECF4B5" w14:textId="77777777" w:rsidR="00950534" w:rsidRDefault="00950534" w:rsidP="00950534">
      <w:pPr>
        <w:pStyle w:val="ClinContent"/>
        <w:widowControl w:val="0"/>
        <w:spacing w:before="0"/>
        <w:rPr>
          <w:rFonts w:asciiTheme="minorHAnsi" w:hAnsiTheme="minorHAnsi" w:cs="Verdana"/>
          <w:bCs/>
          <w:sz w:val="24"/>
          <w:lang w:val="pl-PL"/>
        </w:rPr>
      </w:pPr>
    </w:p>
    <w:p w14:paraId="607474AE" w14:textId="3338732D"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Z wyroku wynika też, że spełnieniem obowiązku z art. 2 ubiegania się o pomoc w sprawach karnych może być wykorzystanie takich dróg jak kierowanie wniosków o ekstradycję do</w:t>
      </w:r>
      <w:r w:rsidR="00206CCE">
        <w:rPr>
          <w:rFonts w:asciiTheme="minorHAnsi" w:hAnsiTheme="minorHAnsi" w:cs="Verdana"/>
          <w:bCs/>
          <w:sz w:val="24"/>
          <w:lang w:val="pl-PL"/>
        </w:rPr>
        <w:t> </w:t>
      </w:r>
      <w:r>
        <w:rPr>
          <w:rFonts w:asciiTheme="minorHAnsi" w:hAnsiTheme="minorHAnsi" w:cs="Verdana"/>
          <w:bCs/>
          <w:sz w:val="24"/>
          <w:lang w:val="pl-PL"/>
        </w:rPr>
        <w:t xml:space="preserve">państwa, które ponosi odpowiedzialność międzynarodową za działania i zaniechania podmiotu o charakterze </w:t>
      </w:r>
      <w:r>
        <w:rPr>
          <w:rFonts w:asciiTheme="minorHAnsi" w:hAnsiTheme="minorHAnsi" w:cs="Verdana"/>
          <w:bCs/>
          <w:i/>
          <w:sz w:val="24"/>
          <w:lang w:val="pl-PL"/>
        </w:rPr>
        <w:t xml:space="preserve">de facto, </w:t>
      </w:r>
      <w:r>
        <w:rPr>
          <w:rFonts w:asciiTheme="minorHAnsi" w:hAnsiTheme="minorHAnsi" w:cs="Verdana"/>
          <w:bCs/>
          <w:sz w:val="24"/>
          <w:lang w:val="pl-PL"/>
        </w:rPr>
        <w:t>lub</w:t>
      </w:r>
      <w:r>
        <w:rPr>
          <w:rFonts w:asciiTheme="minorHAnsi" w:hAnsiTheme="minorHAnsi" w:cs="Verdana"/>
          <w:bCs/>
          <w:i/>
          <w:sz w:val="24"/>
          <w:lang w:val="pl-PL"/>
        </w:rPr>
        <w:t xml:space="preserve"> </w:t>
      </w:r>
      <w:r w:rsidRPr="004F34E6">
        <w:rPr>
          <w:rFonts w:asciiTheme="minorHAnsi" w:hAnsiTheme="minorHAnsi" w:cs="Verdana"/>
          <w:bCs/>
          <w:sz w:val="24"/>
          <w:lang w:val="pl-PL"/>
        </w:rPr>
        <w:t xml:space="preserve">negocjowanie wydania podejrzanych przez podmiot </w:t>
      </w:r>
      <w:r w:rsidRPr="004F34E6">
        <w:rPr>
          <w:rFonts w:asciiTheme="minorHAnsi" w:hAnsiTheme="minorHAnsi" w:cs="Verdana"/>
          <w:bCs/>
          <w:i/>
          <w:sz w:val="24"/>
          <w:lang w:val="pl-PL"/>
        </w:rPr>
        <w:t>de</w:t>
      </w:r>
      <w:r w:rsidR="00206CCE">
        <w:rPr>
          <w:rFonts w:asciiTheme="minorHAnsi" w:hAnsiTheme="minorHAnsi" w:cs="Verdana"/>
          <w:bCs/>
          <w:i/>
          <w:sz w:val="24"/>
          <w:lang w:val="pl-PL"/>
        </w:rPr>
        <w:t> </w:t>
      </w:r>
      <w:r w:rsidRPr="004F34E6">
        <w:rPr>
          <w:rFonts w:asciiTheme="minorHAnsi" w:hAnsiTheme="minorHAnsi" w:cs="Verdana"/>
          <w:bCs/>
          <w:i/>
          <w:sz w:val="24"/>
          <w:lang w:val="pl-PL"/>
        </w:rPr>
        <w:t>facto</w:t>
      </w:r>
      <w:r w:rsidRPr="004F34E6">
        <w:rPr>
          <w:rFonts w:asciiTheme="minorHAnsi" w:hAnsiTheme="minorHAnsi" w:cs="Verdana"/>
          <w:bCs/>
          <w:sz w:val="24"/>
          <w:lang w:val="pl-PL"/>
        </w:rPr>
        <w:t xml:space="preserve"> za pośrednictwem organizacji międzynarodowych lub państw trzecich</w:t>
      </w:r>
      <w:r>
        <w:rPr>
          <w:rFonts w:asciiTheme="minorHAnsi" w:hAnsiTheme="minorHAnsi" w:cs="Verdana"/>
          <w:bCs/>
          <w:sz w:val="24"/>
          <w:lang w:val="pl-PL"/>
        </w:rPr>
        <w:t xml:space="preserve">. Konwencja nie wymaga jednak wykorzystywania alternatywnych środków, takich jak </w:t>
      </w:r>
      <w:r w:rsidRPr="004F34E6">
        <w:rPr>
          <w:rFonts w:asciiTheme="minorHAnsi" w:hAnsiTheme="minorHAnsi" w:cs="Verdana"/>
          <w:bCs/>
          <w:sz w:val="24"/>
          <w:lang w:val="pl-PL"/>
        </w:rPr>
        <w:t xml:space="preserve">możliwość zorganizowania doraźnego procesu </w:t>
      </w:r>
      <w:r>
        <w:rPr>
          <w:rFonts w:asciiTheme="minorHAnsi" w:hAnsiTheme="minorHAnsi" w:cs="Verdana"/>
          <w:bCs/>
          <w:sz w:val="24"/>
          <w:lang w:val="pl-PL"/>
        </w:rPr>
        <w:t xml:space="preserve">lub przesłuchania </w:t>
      </w:r>
      <w:r w:rsidRPr="004F34E6">
        <w:rPr>
          <w:rFonts w:asciiTheme="minorHAnsi" w:hAnsiTheme="minorHAnsi" w:cs="Verdana"/>
          <w:bCs/>
          <w:sz w:val="24"/>
          <w:lang w:val="pl-PL"/>
        </w:rPr>
        <w:t xml:space="preserve">na neutralnym terenie, </w:t>
      </w:r>
      <w:r>
        <w:rPr>
          <w:rFonts w:asciiTheme="minorHAnsi" w:hAnsiTheme="minorHAnsi" w:cs="Verdana"/>
          <w:bCs/>
          <w:sz w:val="24"/>
          <w:lang w:val="pl-PL"/>
        </w:rPr>
        <w:t>jeśli nie mają wystarczająco mocnych podstaw</w:t>
      </w:r>
      <w:r w:rsidRPr="004F34E6">
        <w:rPr>
          <w:rFonts w:asciiTheme="minorHAnsi" w:hAnsiTheme="minorHAnsi" w:cs="Verdana"/>
          <w:bCs/>
          <w:sz w:val="24"/>
          <w:lang w:val="pl-PL"/>
        </w:rPr>
        <w:t xml:space="preserve"> w prawie krajowym lub międzynarodowym.</w:t>
      </w:r>
    </w:p>
    <w:p w14:paraId="6EAD2880" w14:textId="77777777" w:rsidR="00950534" w:rsidRDefault="00950534" w:rsidP="00950534">
      <w:pPr>
        <w:pStyle w:val="ClinContent"/>
        <w:widowControl w:val="0"/>
        <w:spacing w:before="0"/>
        <w:rPr>
          <w:rFonts w:asciiTheme="minorHAnsi" w:hAnsiTheme="minorHAnsi" w:cs="Verdana"/>
          <w:bCs/>
          <w:sz w:val="24"/>
          <w:lang w:val="pl-PL"/>
        </w:rPr>
      </w:pPr>
    </w:p>
    <w:p w14:paraId="03F7A8EB" w14:textId="77777777" w:rsidR="00950534" w:rsidRDefault="00950534" w:rsidP="00950534">
      <w:pPr>
        <w:pStyle w:val="ClinContent"/>
        <w:widowControl w:val="0"/>
        <w:spacing w:before="0"/>
        <w:rPr>
          <w:rFonts w:asciiTheme="minorHAnsi" w:hAnsiTheme="minorHAnsi"/>
          <w:sz w:val="24"/>
          <w:lang w:val="pl-PL"/>
        </w:rPr>
      </w:pPr>
      <w:r w:rsidRPr="008B177E">
        <w:rPr>
          <w:rFonts w:asciiTheme="minorHAnsi" w:hAnsiTheme="minorHAnsi" w:cs="Verdana"/>
          <w:bCs/>
          <w:sz w:val="24"/>
          <w:lang w:val="pl-PL"/>
        </w:rPr>
        <w:t>Wyrok może mieć w szczególności znaczenie dla Ministerstwa Sprawiedliwości, prokuratury, Sądu Najwyższego, sądów karnych, Ministerstwa Spraw Zagranicznych.</w:t>
      </w:r>
      <w:r>
        <w:rPr>
          <w:rFonts w:asciiTheme="minorHAnsi" w:hAnsiTheme="minorHAnsi" w:cs="Verdana"/>
          <w:bCs/>
          <w:sz w:val="24"/>
          <w:lang w:val="pl-PL"/>
        </w:rPr>
        <w:t xml:space="preserve"> </w:t>
      </w:r>
    </w:p>
    <w:p w14:paraId="4F1800EF" w14:textId="77777777" w:rsidR="00950534" w:rsidRDefault="00950534" w:rsidP="00950534">
      <w:pPr>
        <w:pStyle w:val="ClinContent"/>
        <w:widowControl w:val="0"/>
        <w:spacing w:before="0"/>
        <w:rPr>
          <w:rFonts w:asciiTheme="minorHAnsi" w:hAnsiTheme="minorHAnsi"/>
          <w:sz w:val="24"/>
          <w:lang w:val="pl-PL"/>
        </w:rPr>
      </w:pPr>
    </w:p>
    <w:p w14:paraId="66E8A830" w14:textId="77777777" w:rsidR="00950534" w:rsidRDefault="00950534" w:rsidP="00950534">
      <w:pPr>
        <w:pStyle w:val="ClinContent"/>
        <w:widowControl w:val="0"/>
        <w:spacing w:before="0"/>
        <w:rPr>
          <w:rFonts w:asciiTheme="minorHAnsi" w:hAnsiTheme="minorHAnsi"/>
          <w:sz w:val="24"/>
          <w:lang w:val="pl-PL"/>
        </w:rPr>
      </w:pPr>
    </w:p>
    <w:p w14:paraId="068931B4"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8" w:name="_Toc35632471"/>
      <w:r w:rsidRPr="001C6222">
        <w:rPr>
          <w:rFonts w:asciiTheme="minorHAnsi" w:hAnsiTheme="minorHAnsi"/>
          <w:i/>
          <w:color w:val="auto"/>
          <w:sz w:val="24"/>
          <w:szCs w:val="24"/>
        </w:rPr>
        <w:t>Ilgar Mammadov p. Azerbejdżanowi</w:t>
      </w:r>
      <w:r w:rsidRPr="00A450C9">
        <w:rPr>
          <w:rFonts w:asciiTheme="minorHAnsi" w:hAnsiTheme="minorHAnsi"/>
          <w:i/>
          <w:color w:val="auto"/>
          <w:sz w:val="24"/>
          <w:szCs w:val="24"/>
        </w:rPr>
        <w:t xml:space="preserve"> (postępowanie w sprawie naruszenia zobowiązania</w:t>
      </w:r>
      <w:r w:rsidRPr="00077E55">
        <w:rPr>
          <w:rFonts w:asciiTheme="minorHAnsi" w:hAnsiTheme="minorHAnsi"/>
          <w:i/>
          <w:color w:val="auto"/>
          <w:sz w:val="24"/>
          <w:szCs w:val="24"/>
        </w:rPr>
        <w:t>)</w:t>
      </w:r>
      <w:r w:rsidRPr="00077E55">
        <w:rPr>
          <w:rFonts w:asciiTheme="minorHAnsi" w:hAnsiTheme="minorHAnsi"/>
          <w:color w:val="auto"/>
          <w:sz w:val="24"/>
          <w:szCs w:val="24"/>
        </w:rPr>
        <w:t>, skarga nr 15172/13, wyrok Wielkiej Izby z dnia 29 maja 2019 r.</w:t>
      </w:r>
      <w:bookmarkEnd w:id="8"/>
      <w:r>
        <w:rPr>
          <w:rFonts w:asciiTheme="minorHAnsi" w:hAnsiTheme="minorHAnsi"/>
          <w:color w:val="auto"/>
          <w:sz w:val="24"/>
          <w:szCs w:val="24"/>
        </w:rPr>
        <w:t xml:space="preserve"> </w:t>
      </w:r>
    </w:p>
    <w:p w14:paraId="584467F5" w14:textId="0B93DF42" w:rsidR="00950534" w:rsidRDefault="00950534" w:rsidP="00950534">
      <w:pPr>
        <w:pStyle w:val="Akapitzlist"/>
        <w:widowControl w:val="0"/>
        <w:numPr>
          <w:ilvl w:val="0"/>
          <w:numId w:val="17"/>
        </w:numPr>
        <w:spacing w:after="0" w:line="240" w:lineRule="auto"/>
        <w:ind w:left="426"/>
        <w:jc w:val="both"/>
        <w:outlineLvl w:val="2"/>
        <w:rPr>
          <w:b/>
          <w:color w:val="000000" w:themeColor="text1"/>
          <w:sz w:val="24"/>
          <w:szCs w:val="24"/>
          <w:lang w:val="pl-PL"/>
        </w:rPr>
      </w:pPr>
      <w:r>
        <w:rPr>
          <w:b/>
          <w:color w:val="000000" w:themeColor="text1"/>
          <w:sz w:val="24"/>
          <w:szCs w:val="24"/>
          <w:lang w:val="pl-PL"/>
        </w:rPr>
        <w:t xml:space="preserve">naruszenie art. 46 ust. 1 Konwencji przez Azerbejdżan (moc obowiązująca oraz wykonanie wyroków – aspekt przestrzegania ostatecznych wyroków Trybunału) spowodowane brakiem wykonania wyroku Trybunału w sprawie </w:t>
      </w:r>
      <w:r>
        <w:rPr>
          <w:b/>
          <w:i/>
          <w:color w:val="000000" w:themeColor="text1"/>
          <w:sz w:val="24"/>
          <w:szCs w:val="24"/>
          <w:lang w:val="pl-PL"/>
        </w:rPr>
        <w:t>Mammadov p.</w:t>
      </w:r>
      <w:r w:rsidR="00206CCE">
        <w:rPr>
          <w:b/>
          <w:i/>
          <w:color w:val="000000" w:themeColor="text1"/>
          <w:sz w:val="24"/>
          <w:szCs w:val="24"/>
          <w:lang w:val="pl-PL"/>
        </w:rPr>
        <w:t> </w:t>
      </w:r>
      <w:r>
        <w:rPr>
          <w:b/>
          <w:i/>
          <w:color w:val="000000" w:themeColor="text1"/>
          <w:sz w:val="24"/>
          <w:szCs w:val="24"/>
          <w:lang w:val="pl-PL"/>
        </w:rPr>
        <w:t xml:space="preserve">Azerbejdżanowi </w:t>
      </w:r>
      <w:r w:rsidRPr="00FF2410">
        <w:rPr>
          <w:b/>
          <w:color w:val="000000" w:themeColor="text1"/>
          <w:sz w:val="24"/>
          <w:szCs w:val="24"/>
          <w:lang w:val="pl-PL"/>
        </w:rPr>
        <w:t>z dnia 22 maja 2014 r.,</w:t>
      </w:r>
      <w:r>
        <w:rPr>
          <w:b/>
          <w:i/>
          <w:color w:val="000000" w:themeColor="text1"/>
          <w:sz w:val="24"/>
          <w:szCs w:val="24"/>
          <w:lang w:val="pl-PL"/>
        </w:rPr>
        <w:t xml:space="preserve"> </w:t>
      </w:r>
      <w:r>
        <w:rPr>
          <w:b/>
          <w:color w:val="000000" w:themeColor="text1"/>
          <w:sz w:val="24"/>
          <w:szCs w:val="24"/>
          <w:lang w:val="pl-PL"/>
        </w:rPr>
        <w:t>stwierdzone w postępowaniu</w:t>
      </w:r>
      <w:r w:rsidRPr="00097BCF">
        <w:rPr>
          <w:b/>
          <w:color w:val="000000" w:themeColor="text1"/>
          <w:sz w:val="24"/>
          <w:szCs w:val="24"/>
          <w:lang w:val="pl-PL"/>
        </w:rPr>
        <w:t xml:space="preserve"> </w:t>
      </w:r>
      <w:r>
        <w:rPr>
          <w:b/>
          <w:color w:val="000000" w:themeColor="text1"/>
          <w:sz w:val="24"/>
          <w:szCs w:val="24"/>
          <w:lang w:val="pl-PL"/>
        </w:rPr>
        <w:t>prowadzonym na podstawie art. 46 ust. 4 Konwencji (postępowanie w sprawie naruszenia zobowiązania)</w:t>
      </w:r>
    </w:p>
    <w:p w14:paraId="53550A3A" w14:textId="77777777" w:rsidR="00950534" w:rsidRPr="00A80201" w:rsidRDefault="00950534" w:rsidP="00950534">
      <w:pPr>
        <w:pStyle w:val="ClinContent"/>
        <w:widowControl w:val="0"/>
        <w:spacing w:before="0"/>
        <w:rPr>
          <w:rFonts w:asciiTheme="minorHAnsi" w:hAnsiTheme="minorHAnsi"/>
          <w:sz w:val="24"/>
          <w:lang w:val="pl-PL"/>
        </w:rPr>
      </w:pPr>
    </w:p>
    <w:p w14:paraId="00764650" w14:textId="722C3248"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2013 r. skarżący, polityk opozycyjny,</w:t>
      </w:r>
      <w:r>
        <w:rPr>
          <w:rFonts w:asciiTheme="minorHAnsi" w:hAnsiTheme="minorHAnsi"/>
          <w:sz w:val="24"/>
          <w:lang w:val="pl-PL"/>
        </w:rPr>
        <w:t xml:space="preserve"> który </w:t>
      </w:r>
      <w:r w:rsidRPr="00B15C52">
        <w:rPr>
          <w:rFonts w:asciiTheme="minorHAnsi" w:hAnsiTheme="minorHAnsi"/>
          <w:sz w:val="24"/>
          <w:lang w:val="pl-PL"/>
        </w:rPr>
        <w:t>komentował sprawy polityczne na swym blogu</w:t>
      </w:r>
      <w:r>
        <w:rPr>
          <w:rFonts w:asciiTheme="minorHAnsi" w:hAnsiTheme="minorHAnsi"/>
          <w:sz w:val="24"/>
          <w:lang w:val="pl-PL"/>
        </w:rPr>
        <w:t>,</w:t>
      </w:r>
      <w:r w:rsidRPr="00B15C52">
        <w:rPr>
          <w:rFonts w:asciiTheme="minorHAnsi" w:hAnsiTheme="minorHAnsi"/>
          <w:sz w:val="24"/>
          <w:lang w:val="pl-PL"/>
        </w:rPr>
        <w:t xml:space="preserve"> został oskarżony o popełnienie przestępstw i </w:t>
      </w:r>
      <w:r>
        <w:rPr>
          <w:rFonts w:asciiTheme="minorHAnsi" w:hAnsiTheme="minorHAnsi"/>
          <w:sz w:val="24"/>
          <w:lang w:val="pl-PL"/>
        </w:rPr>
        <w:t>tymczasowo aresztowany</w:t>
      </w:r>
      <w:r w:rsidRPr="00B15C52">
        <w:rPr>
          <w:rFonts w:asciiTheme="minorHAnsi" w:hAnsiTheme="minorHAnsi"/>
          <w:sz w:val="24"/>
          <w:lang w:val="pl-PL"/>
        </w:rPr>
        <w:t>. W wyroku z dnia 22</w:t>
      </w:r>
      <w:r w:rsidR="00206CCE">
        <w:rPr>
          <w:rFonts w:asciiTheme="minorHAnsi" w:hAnsiTheme="minorHAnsi"/>
          <w:sz w:val="24"/>
          <w:lang w:val="pl-PL"/>
        </w:rPr>
        <w:t> </w:t>
      </w:r>
      <w:r w:rsidRPr="00B15C52">
        <w:rPr>
          <w:rFonts w:asciiTheme="minorHAnsi" w:hAnsiTheme="minorHAnsi"/>
          <w:sz w:val="24"/>
          <w:lang w:val="pl-PL"/>
        </w:rPr>
        <w:t xml:space="preserve">maja 2014 r. (dalej określanym jako „pierwszy wyrok w sprawie </w:t>
      </w:r>
      <w:r w:rsidRPr="00B15C52">
        <w:rPr>
          <w:rFonts w:asciiTheme="minorHAnsi" w:hAnsiTheme="minorHAnsi"/>
          <w:i/>
          <w:sz w:val="24"/>
          <w:lang w:val="pl-PL"/>
        </w:rPr>
        <w:t>Mammadov</w:t>
      </w:r>
      <w:r w:rsidRPr="00B15C52">
        <w:rPr>
          <w:rFonts w:asciiTheme="minorHAnsi" w:hAnsiTheme="minorHAnsi"/>
          <w:sz w:val="24"/>
          <w:lang w:val="pl-PL"/>
        </w:rPr>
        <w:t xml:space="preserve">” – zobacz </w:t>
      </w:r>
      <w:hyperlink r:id="rId14" w:history="1">
        <w:r w:rsidRPr="00B15C52">
          <w:rPr>
            <w:rStyle w:val="Hipercze"/>
            <w:rFonts w:asciiTheme="minorHAnsi" w:hAnsiTheme="minorHAnsi"/>
            <w:sz w:val="24"/>
            <w:lang w:val="pl-PL"/>
          </w:rPr>
          <w:t>Nota informacyjna nr 174</w:t>
        </w:r>
      </w:hyperlink>
      <w:r w:rsidRPr="00B15C52">
        <w:rPr>
          <w:rStyle w:val="Hipercze"/>
          <w:rFonts w:asciiTheme="minorHAnsi" w:hAnsiTheme="minorHAnsi"/>
          <w:sz w:val="24"/>
          <w:lang w:val="pl-PL"/>
        </w:rPr>
        <w:t>)</w:t>
      </w:r>
      <w:r w:rsidRPr="00B15C52">
        <w:rPr>
          <w:rFonts w:asciiTheme="minorHAnsi" w:hAnsiTheme="minorHAnsi"/>
          <w:sz w:val="24"/>
          <w:lang w:val="pl-PL"/>
        </w:rPr>
        <w:t>, Europejski Trybunał Praw Człowieka stwierdził naruszenie praw skarżącego na podstawie art. 5 ust. 1 lit. c i ust. 4</w:t>
      </w:r>
      <w:r>
        <w:rPr>
          <w:rFonts w:asciiTheme="minorHAnsi" w:hAnsiTheme="minorHAnsi"/>
          <w:sz w:val="24"/>
          <w:lang w:val="pl-PL"/>
        </w:rPr>
        <w:t xml:space="preserve"> (prawo do wolności i bezpieczeństwa osobistego)</w:t>
      </w:r>
      <w:r w:rsidRPr="00B15C52">
        <w:rPr>
          <w:rFonts w:asciiTheme="minorHAnsi" w:hAnsiTheme="minorHAnsi"/>
          <w:sz w:val="24"/>
          <w:lang w:val="pl-PL"/>
        </w:rPr>
        <w:t xml:space="preserve">, art. 6 ust. 2 </w:t>
      </w:r>
      <w:r>
        <w:rPr>
          <w:rFonts w:asciiTheme="minorHAnsi" w:hAnsiTheme="minorHAnsi"/>
          <w:sz w:val="24"/>
          <w:lang w:val="pl-PL"/>
        </w:rPr>
        <w:t xml:space="preserve">(domniemanie niewinności) </w:t>
      </w:r>
      <w:r w:rsidRPr="00B15C52">
        <w:rPr>
          <w:rFonts w:asciiTheme="minorHAnsi" w:hAnsiTheme="minorHAnsi"/>
          <w:sz w:val="24"/>
          <w:lang w:val="pl-PL"/>
        </w:rPr>
        <w:t>oraz art. 18 Konwencji</w:t>
      </w:r>
      <w:r>
        <w:rPr>
          <w:rFonts w:asciiTheme="minorHAnsi" w:hAnsiTheme="minorHAnsi"/>
          <w:sz w:val="24"/>
          <w:lang w:val="pl-PL"/>
        </w:rPr>
        <w:t xml:space="preserve"> (granice stosowania ograniczeń praw)</w:t>
      </w:r>
      <w:r w:rsidRPr="00B15C52">
        <w:rPr>
          <w:rFonts w:asciiTheme="minorHAnsi" w:hAnsiTheme="minorHAnsi"/>
          <w:sz w:val="24"/>
          <w:lang w:val="pl-PL"/>
        </w:rPr>
        <w:t xml:space="preserve">. </w:t>
      </w:r>
    </w:p>
    <w:p w14:paraId="54742C79" w14:textId="77777777" w:rsidR="00950534" w:rsidRDefault="00950534" w:rsidP="00950534">
      <w:pPr>
        <w:pStyle w:val="ClinContent"/>
        <w:widowControl w:val="0"/>
        <w:spacing w:before="0"/>
        <w:rPr>
          <w:rFonts w:asciiTheme="minorHAnsi" w:hAnsiTheme="minorHAnsi"/>
          <w:sz w:val="24"/>
          <w:lang w:val="pl-PL"/>
        </w:rPr>
      </w:pPr>
    </w:p>
    <w:p w14:paraId="6D088013" w14:textId="77777777" w:rsidR="00277D0F" w:rsidRDefault="00277D0F" w:rsidP="00950534">
      <w:pPr>
        <w:pStyle w:val="ClinContent"/>
        <w:widowControl w:val="0"/>
        <w:spacing w:before="0"/>
        <w:rPr>
          <w:rFonts w:asciiTheme="minorHAnsi" w:hAnsiTheme="minorHAnsi"/>
          <w:sz w:val="24"/>
          <w:lang w:val="pl-PL"/>
        </w:rPr>
      </w:pPr>
    </w:p>
    <w:p w14:paraId="07DB0DC1"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Skarżący został następnie skazany</w:t>
      </w:r>
      <w:r>
        <w:rPr>
          <w:rFonts w:asciiTheme="minorHAnsi" w:hAnsiTheme="minorHAnsi"/>
          <w:sz w:val="24"/>
          <w:lang w:val="pl-PL"/>
        </w:rPr>
        <w:t xml:space="preserve"> przez sądy krajowe</w:t>
      </w:r>
      <w:r w:rsidRPr="00B15C52">
        <w:rPr>
          <w:rFonts w:asciiTheme="minorHAnsi" w:hAnsiTheme="minorHAnsi"/>
          <w:sz w:val="24"/>
          <w:lang w:val="pl-PL"/>
        </w:rPr>
        <w:t>. W wyroku z dnia 16 listopada 2017 r. (</w:t>
      </w:r>
      <w:r w:rsidRPr="00B15C52">
        <w:rPr>
          <w:rFonts w:asciiTheme="minorHAnsi" w:hAnsiTheme="minorHAnsi"/>
          <w:i/>
          <w:sz w:val="24"/>
          <w:lang w:val="pl-PL"/>
        </w:rPr>
        <w:t>Ilgar Mammadov p. Azerbejdżanowi (nr 2)</w:t>
      </w:r>
      <w:r w:rsidRPr="00B15C52">
        <w:rPr>
          <w:rFonts w:asciiTheme="minorHAnsi" w:hAnsiTheme="minorHAnsi"/>
          <w:sz w:val="24"/>
          <w:lang w:val="pl-PL"/>
        </w:rPr>
        <w:t xml:space="preserve">, skarga nr </w:t>
      </w:r>
      <w:hyperlink r:id="rId15" w:history="1">
        <w:r w:rsidRPr="00B15C52">
          <w:rPr>
            <w:rStyle w:val="Hipercze"/>
            <w:rFonts w:asciiTheme="minorHAnsi" w:hAnsiTheme="minorHAnsi"/>
            <w:sz w:val="24"/>
            <w:lang w:val="pl-PL"/>
          </w:rPr>
          <w:t>919/15</w:t>
        </w:r>
      </w:hyperlink>
      <w:r w:rsidRPr="00B15C52">
        <w:rPr>
          <w:rFonts w:asciiTheme="minorHAnsi" w:hAnsiTheme="minorHAnsi"/>
          <w:sz w:val="24"/>
          <w:lang w:val="pl-PL"/>
        </w:rPr>
        <w:t xml:space="preserve">, dalej określanym jako „drugi wyrok w sprawie </w:t>
      </w:r>
      <w:r w:rsidRPr="00B15C52">
        <w:rPr>
          <w:rFonts w:asciiTheme="minorHAnsi" w:hAnsiTheme="minorHAnsi"/>
          <w:i/>
          <w:sz w:val="24"/>
          <w:lang w:val="pl-PL"/>
        </w:rPr>
        <w:t>Mammadov”</w:t>
      </w:r>
      <w:r w:rsidRPr="00B15C52">
        <w:rPr>
          <w:rFonts w:asciiTheme="minorHAnsi" w:hAnsiTheme="minorHAnsi"/>
          <w:sz w:val="24"/>
          <w:lang w:val="pl-PL"/>
        </w:rPr>
        <w:t>) Trybunał stwierdził, że postępowanie karne było nierzetelne i naruszało art. 6 ust. 1</w:t>
      </w:r>
      <w:r>
        <w:rPr>
          <w:rFonts w:asciiTheme="minorHAnsi" w:hAnsiTheme="minorHAnsi"/>
          <w:sz w:val="24"/>
          <w:lang w:val="pl-PL"/>
        </w:rPr>
        <w:t xml:space="preserve"> Konwencji (prawo do rzetelnego procesu sądowego)</w:t>
      </w:r>
      <w:r w:rsidRPr="00B15C52">
        <w:rPr>
          <w:rFonts w:asciiTheme="minorHAnsi" w:hAnsiTheme="minorHAnsi"/>
          <w:sz w:val="24"/>
          <w:lang w:val="pl-PL"/>
        </w:rPr>
        <w:t xml:space="preserve">. </w:t>
      </w:r>
    </w:p>
    <w:p w14:paraId="79AB6459" w14:textId="77777777" w:rsidR="00950534" w:rsidRDefault="00950534" w:rsidP="00950534">
      <w:pPr>
        <w:pStyle w:val="ClinContent"/>
        <w:widowControl w:val="0"/>
        <w:spacing w:before="0"/>
        <w:rPr>
          <w:rFonts w:asciiTheme="minorHAnsi" w:hAnsiTheme="minorHAnsi"/>
          <w:sz w:val="24"/>
          <w:lang w:val="pl-PL"/>
        </w:rPr>
      </w:pPr>
    </w:p>
    <w:p w14:paraId="4FFD38AD" w14:textId="77777777" w:rsidR="008F71FD" w:rsidRPr="00277D0F" w:rsidRDefault="008F71FD" w:rsidP="00950534">
      <w:pPr>
        <w:pStyle w:val="ClinContent"/>
        <w:widowControl w:val="0"/>
        <w:spacing w:before="0"/>
        <w:rPr>
          <w:lang w:val="pl-PL"/>
        </w:rPr>
      </w:pPr>
    </w:p>
    <w:p w14:paraId="3F35B639" w14:textId="43499945" w:rsidR="00950534" w:rsidRDefault="003D0D69" w:rsidP="00950534">
      <w:pPr>
        <w:pStyle w:val="ClinContent"/>
        <w:widowControl w:val="0"/>
        <w:spacing w:before="0"/>
        <w:rPr>
          <w:rFonts w:asciiTheme="minorHAnsi" w:hAnsiTheme="minorHAnsi"/>
          <w:sz w:val="24"/>
          <w:lang w:val="pl-PL"/>
        </w:rPr>
      </w:pPr>
      <w:hyperlink r:id="rId16" w:history="1">
        <w:r w:rsidR="00950534" w:rsidRPr="00B15C52">
          <w:rPr>
            <w:rStyle w:val="Hipercze"/>
            <w:rFonts w:asciiTheme="minorHAnsi" w:hAnsiTheme="minorHAnsi"/>
            <w:sz w:val="24"/>
            <w:lang w:val="pl-PL"/>
          </w:rPr>
          <w:t>Komitet Ministrów</w:t>
        </w:r>
      </w:hyperlink>
      <w:r w:rsidR="00950534" w:rsidRPr="00B15C52">
        <w:rPr>
          <w:rFonts w:asciiTheme="minorHAnsi" w:hAnsiTheme="minorHAnsi"/>
          <w:sz w:val="24"/>
          <w:lang w:val="pl-PL"/>
        </w:rPr>
        <w:t xml:space="preserve"> Rady Europy, który odpowiada za nadzór nad wykonywaniem </w:t>
      </w:r>
      <w:r w:rsidR="00950534">
        <w:rPr>
          <w:rFonts w:asciiTheme="minorHAnsi" w:hAnsiTheme="minorHAnsi"/>
          <w:sz w:val="24"/>
          <w:lang w:val="pl-PL"/>
        </w:rPr>
        <w:t xml:space="preserve">przez państwa </w:t>
      </w:r>
      <w:r w:rsidR="00950534" w:rsidRPr="00B15C52">
        <w:rPr>
          <w:rFonts w:asciiTheme="minorHAnsi" w:hAnsiTheme="minorHAnsi"/>
          <w:sz w:val="24"/>
          <w:lang w:val="pl-PL"/>
        </w:rPr>
        <w:t xml:space="preserve">wyroków Trybunału, przyjął szereg decyzji oraz rezolucji tymczasowych, podkreślając podstawowe wady postępowania karnego wskazane </w:t>
      </w:r>
      <w:r w:rsidR="00950534">
        <w:rPr>
          <w:rFonts w:asciiTheme="minorHAnsi" w:hAnsiTheme="minorHAnsi"/>
          <w:sz w:val="24"/>
          <w:lang w:val="pl-PL"/>
        </w:rPr>
        <w:t>przez Trybunał</w:t>
      </w:r>
      <w:r w:rsidR="00950534" w:rsidRPr="00B15C52">
        <w:rPr>
          <w:rFonts w:asciiTheme="minorHAnsi" w:hAnsiTheme="minorHAnsi"/>
          <w:sz w:val="24"/>
          <w:lang w:val="pl-PL"/>
        </w:rPr>
        <w:t xml:space="preserve"> na</w:t>
      </w:r>
      <w:r w:rsidR="00206CCE">
        <w:rPr>
          <w:rFonts w:asciiTheme="minorHAnsi" w:hAnsiTheme="minorHAnsi"/>
          <w:sz w:val="24"/>
          <w:lang w:val="pl-PL"/>
        </w:rPr>
        <w:t> </w:t>
      </w:r>
      <w:r w:rsidR="00950534" w:rsidRPr="00B15C52">
        <w:rPr>
          <w:rFonts w:asciiTheme="minorHAnsi" w:hAnsiTheme="minorHAnsi"/>
          <w:sz w:val="24"/>
          <w:lang w:val="pl-PL"/>
        </w:rPr>
        <w:t>podstawie art. 18 w związku z art. 5 Konwencji i wzywając do natychmiastowego i</w:t>
      </w:r>
      <w:r w:rsidR="00206CCE">
        <w:rPr>
          <w:rFonts w:asciiTheme="minorHAnsi" w:hAnsiTheme="minorHAnsi"/>
          <w:sz w:val="24"/>
          <w:lang w:val="pl-PL"/>
        </w:rPr>
        <w:t> </w:t>
      </w:r>
      <w:r w:rsidR="00950534" w:rsidRPr="00B15C52">
        <w:rPr>
          <w:rFonts w:asciiTheme="minorHAnsi" w:hAnsiTheme="minorHAnsi"/>
          <w:sz w:val="24"/>
          <w:lang w:val="pl-PL"/>
        </w:rPr>
        <w:t xml:space="preserve">bezwarunkowego zwolnienia skarżącego. </w:t>
      </w:r>
    </w:p>
    <w:p w14:paraId="0A9C8758" w14:textId="77777777" w:rsidR="00950534" w:rsidRDefault="00950534" w:rsidP="00950534">
      <w:pPr>
        <w:pStyle w:val="ClinContent"/>
        <w:widowControl w:val="0"/>
        <w:spacing w:before="0"/>
        <w:rPr>
          <w:rFonts w:asciiTheme="minorHAnsi" w:hAnsiTheme="minorHAnsi"/>
          <w:sz w:val="24"/>
          <w:lang w:val="pl-PL"/>
        </w:rPr>
      </w:pPr>
    </w:p>
    <w:p w14:paraId="3200FE41" w14:textId="4B8D893A"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rezolucji tymczasowej </w:t>
      </w:r>
      <w:hyperlink r:id="rId17" w:history="1">
        <w:r w:rsidRPr="00B15C52">
          <w:rPr>
            <w:rStyle w:val="Hipercze"/>
            <w:rFonts w:asciiTheme="minorHAnsi" w:hAnsiTheme="minorHAnsi"/>
            <w:sz w:val="24"/>
            <w:lang w:val="pl-PL"/>
          </w:rPr>
          <w:t>CM/ResDH(2017)429</w:t>
        </w:r>
      </w:hyperlink>
      <w:r w:rsidRPr="00B15C52">
        <w:rPr>
          <w:rFonts w:asciiTheme="minorHAnsi" w:hAnsiTheme="minorHAnsi"/>
          <w:sz w:val="24"/>
          <w:lang w:val="pl-PL"/>
        </w:rPr>
        <w:t xml:space="preserve"> </w:t>
      </w:r>
      <w:r>
        <w:rPr>
          <w:rFonts w:asciiTheme="minorHAnsi" w:hAnsiTheme="minorHAnsi"/>
          <w:sz w:val="24"/>
          <w:lang w:val="pl-PL"/>
        </w:rPr>
        <w:t>z dnia</w:t>
      </w:r>
      <w:r w:rsidRPr="00B15C52">
        <w:rPr>
          <w:rFonts w:asciiTheme="minorHAnsi" w:hAnsiTheme="minorHAnsi"/>
          <w:sz w:val="24"/>
          <w:lang w:val="pl-PL"/>
        </w:rPr>
        <w:t xml:space="preserve"> 5 grudnia 2017 r. Komitet Ministrów postanowił</w:t>
      </w:r>
      <w:r>
        <w:rPr>
          <w:rFonts w:asciiTheme="minorHAnsi" w:hAnsiTheme="minorHAnsi"/>
          <w:sz w:val="24"/>
          <w:lang w:val="pl-PL"/>
        </w:rPr>
        <w:t>,</w:t>
      </w:r>
      <w:r w:rsidRPr="00B15C52">
        <w:rPr>
          <w:rFonts w:asciiTheme="minorHAnsi" w:hAnsiTheme="minorHAnsi"/>
          <w:sz w:val="24"/>
          <w:lang w:val="pl-PL"/>
        </w:rPr>
        <w:t xml:space="preserve"> na podstawie art. 46 ust. 4 Konwencji</w:t>
      </w:r>
      <w:r>
        <w:rPr>
          <w:rFonts w:asciiTheme="minorHAnsi" w:hAnsiTheme="minorHAnsi"/>
          <w:sz w:val="24"/>
          <w:lang w:val="pl-PL"/>
        </w:rPr>
        <w:t>,</w:t>
      </w:r>
      <w:r w:rsidRPr="00B15C52">
        <w:rPr>
          <w:rFonts w:asciiTheme="minorHAnsi" w:hAnsiTheme="minorHAnsi"/>
          <w:sz w:val="24"/>
          <w:lang w:val="pl-PL"/>
        </w:rPr>
        <w:t xml:space="preserve"> przekazać Trybunałowi zapytanie</w:t>
      </w:r>
      <w:r>
        <w:rPr>
          <w:rFonts w:asciiTheme="minorHAnsi" w:hAnsiTheme="minorHAnsi"/>
          <w:sz w:val="24"/>
          <w:lang w:val="pl-PL"/>
        </w:rPr>
        <w:t xml:space="preserve"> dotyczącego tego</w:t>
      </w:r>
      <w:r w:rsidRPr="00B15C52">
        <w:rPr>
          <w:rFonts w:asciiTheme="minorHAnsi" w:hAnsiTheme="minorHAnsi"/>
          <w:sz w:val="24"/>
          <w:lang w:val="pl-PL"/>
        </w:rPr>
        <w:t xml:space="preserve">, czy Republika Azerbejdżanu nie wykonała </w:t>
      </w:r>
      <w:r>
        <w:rPr>
          <w:rFonts w:asciiTheme="minorHAnsi" w:hAnsiTheme="minorHAnsi"/>
          <w:sz w:val="24"/>
          <w:lang w:val="pl-PL"/>
        </w:rPr>
        <w:t xml:space="preserve">swojego zobowiązania </w:t>
      </w:r>
      <w:r w:rsidRPr="00B15C52">
        <w:rPr>
          <w:rFonts w:asciiTheme="minorHAnsi" w:hAnsiTheme="minorHAnsi"/>
          <w:sz w:val="24"/>
          <w:lang w:val="pl-PL"/>
        </w:rPr>
        <w:t>na</w:t>
      </w:r>
      <w:r w:rsidR="00206CCE">
        <w:rPr>
          <w:rFonts w:asciiTheme="minorHAnsi" w:hAnsiTheme="minorHAnsi"/>
          <w:sz w:val="24"/>
          <w:lang w:val="pl-PL"/>
        </w:rPr>
        <w:t> </w:t>
      </w:r>
      <w:r w:rsidRPr="00B15C52">
        <w:rPr>
          <w:rFonts w:asciiTheme="minorHAnsi" w:hAnsiTheme="minorHAnsi"/>
          <w:sz w:val="24"/>
          <w:lang w:val="pl-PL"/>
        </w:rPr>
        <w:t>podstawie art. 46 ust. 1 do przestrzegania ostatecznych wyroków Trybunału, a</w:t>
      </w:r>
      <w:r w:rsidR="00206CCE">
        <w:rPr>
          <w:rFonts w:asciiTheme="minorHAnsi" w:hAnsiTheme="minorHAnsi"/>
          <w:sz w:val="24"/>
          <w:lang w:val="pl-PL"/>
        </w:rPr>
        <w:t> </w:t>
      </w:r>
      <w:r w:rsidRPr="00B15C52">
        <w:rPr>
          <w:rFonts w:asciiTheme="minorHAnsi" w:hAnsiTheme="minorHAnsi"/>
          <w:sz w:val="24"/>
          <w:lang w:val="pl-PL"/>
        </w:rPr>
        <w:t>w</w:t>
      </w:r>
      <w:r w:rsidR="00206CCE">
        <w:rPr>
          <w:rFonts w:asciiTheme="minorHAnsi" w:hAnsiTheme="minorHAnsi"/>
          <w:sz w:val="24"/>
          <w:lang w:val="pl-PL"/>
        </w:rPr>
        <w:t> </w:t>
      </w:r>
      <w:r w:rsidRPr="00B15C52">
        <w:rPr>
          <w:rFonts w:asciiTheme="minorHAnsi" w:hAnsiTheme="minorHAnsi"/>
          <w:sz w:val="24"/>
          <w:lang w:val="pl-PL"/>
        </w:rPr>
        <w:t xml:space="preserve">szczególności pierwszego wyroku w sprawie </w:t>
      </w:r>
      <w:r w:rsidRPr="00B15C52">
        <w:rPr>
          <w:rFonts w:asciiTheme="minorHAnsi" w:hAnsiTheme="minorHAnsi"/>
          <w:i/>
          <w:sz w:val="24"/>
          <w:lang w:val="pl-PL"/>
        </w:rPr>
        <w:t>Mammadov</w:t>
      </w:r>
      <w:r w:rsidRPr="00B15C52">
        <w:rPr>
          <w:rFonts w:asciiTheme="minorHAnsi" w:hAnsiTheme="minorHAnsi"/>
          <w:sz w:val="24"/>
          <w:lang w:val="pl-PL"/>
        </w:rPr>
        <w:t xml:space="preserve">. </w:t>
      </w:r>
    </w:p>
    <w:p w14:paraId="6B26E1CC" w14:textId="77777777" w:rsidR="00950534" w:rsidRDefault="00950534" w:rsidP="00950534">
      <w:pPr>
        <w:pStyle w:val="ClinContent"/>
        <w:widowControl w:val="0"/>
        <w:spacing w:before="0"/>
        <w:rPr>
          <w:rFonts w:asciiTheme="minorHAnsi" w:hAnsiTheme="minorHAnsi"/>
          <w:sz w:val="24"/>
          <w:lang w:val="pl-PL"/>
        </w:rPr>
      </w:pPr>
    </w:p>
    <w:p w14:paraId="4DB13550"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Skarżący został zwolniony w dniu 13 sierpnia 2018 r. </w:t>
      </w:r>
      <w:r>
        <w:rPr>
          <w:rFonts w:asciiTheme="minorHAnsi" w:hAnsiTheme="minorHAnsi"/>
          <w:sz w:val="24"/>
          <w:lang w:val="pl-PL"/>
        </w:rPr>
        <w:t>wyrokiem</w:t>
      </w:r>
      <w:r w:rsidRPr="00B15C52">
        <w:rPr>
          <w:rFonts w:asciiTheme="minorHAnsi" w:hAnsiTheme="minorHAnsi"/>
          <w:sz w:val="24"/>
          <w:lang w:val="pl-PL"/>
        </w:rPr>
        <w:t xml:space="preserve"> Sądu Apelacyjnego.</w:t>
      </w:r>
    </w:p>
    <w:p w14:paraId="22570E9D" w14:textId="77777777" w:rsidR="00950534" w:rsidRDefault="00950534" w:rsidP="00950534">
      <w:pPr>
        <w:pStyle w:val="ClinContent"/>
        <w:widowControl w:val="0"/>
        <w:spacing w:before="0"/>
        <w:rPr>
          <w:rFonts w:asciiTheme="minorHAnsi" w:hAnsiTheme="minorHAnsi"/>
          <w:sz w:val="24"/>
          <w:lang w:val="pl-PL"/>
        </w:rPr>
      </w:pPr>
    </w:p>
    <w:p w14:paraId="00D85AA1"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Rozpatrując zapytanie Komitetu Ministrów RE na podstawie </w:t>
      </w:r>
      <w:r w:rsidRPr="00B81F66">
        <w:rPr>
          <w:rFonts w:asciiTheme="minorHAnsi" w:hAnsiTheme="minorHAnsi"/>
          <w:sz w:val="24"/>
          <w:lang w:val="pl-PL"/>
        </w:rPr>
        <w:t>art</w:t>
      </w:r>
      <w:r w:rsidRPr="00B15C52">
        <w:rPr>
          <w:rFonts w:asciiTheme="minorHAnsi" w:hAnsiTheme="minorHAnsi"/>
          <w:sz w:val="24"/>
          <w:lang w:val="pl-PL"/>
        </w:rPr>
        <w:t>. 46</w:t>
      </w:r>
      <w:r>
        <w:rPr>
          <w:rFonts w:asciiTheme="minorHAnsi" w:hAnsiTheme="minorHAnsi"/>
          <w:sz w:val="24"/>
          <w:lang w:val="pl-PL"/>
        </w:rPr>
        <w:t xml:space="preserve"> Konwencji, Trybunał przypomniał, że </w:t>
      </w:r>
      <w:r w:rsidRPr="00B15C52">
        <w:rPr>
          <w:rFonts w:asciiTheme="minorHAnsi" w:hAnsiTheme="minorHAnsi"/>
          <w:sz w:val="24"/>
          <w:lang w:val="pl-PL"/>
        </w:rPr>
        <w:t xml:space="preserve">sprawa </w:t>
      </w:r>
      <w:r>
        <w:rPr>
          <w:rFonts w:asciiTheme="minorHAnsi" w:hAnsiTheme="minorHAnsi"/>
          <w:sz w:val="24"/>
          <w:lang w:val="pl-PL"/>
        </w:rPr>
        <w:t xml:space="preserve">ta </w:t>
      </w:r>
      <w:r w:rsidRPr="00B15C52">
        <w:rPr>
          <w:rFonts w:asciiTheme="minorHAnsi" w:hAnsiTheme="minorHAnsi"/>
          <w:sz w:val="24"/>
          <w:lang w:val="pl-PL"/>
        </w:rPr>
        <w:t>stanowiła pierwszy przypadek</w:t>
      </w:r>
      <w:r>
        <w:rPr>
          <w:rFonts w:asciiTheme="minorHAnsi" w:hAnsiTheme="minorHAnsi"/>
          <w:sz w:val="24"/>
          <w:lang w:val="pl-PL"/>
        </w:rPr>
        <w:t>, gdy</w:t>
      </w:r>
      <w:r w:rsidRPr="00B15C52">
        <w:rPr>
          <w:rFonts w:asciiTheme="minorHAnsi" w:hAnsiTheme="minorHAnsi"/>
          <w:sz w:val="24"/>
          <w:lang w:val="pl-PL"/>
        </w:rPr>
        <w:t xml:space="preserve"> Komitet Ministrów </w:t>
      </w:r>
      <w:r>
        <w:rPr>
          <w:rFonts w:asciiTheme="minorHAnsi" w:hAnsiTheme="minorHAnsi"/>
          <w:sz w:val="24"/>
          <w:lang w:val="pl-PL"/>
        </w:rPr>
        <w:t>zainicjował postępowanie</w:t>
      </w:r>
      <w:r w:rsidRPr="00B15C52">
        <w:rPr>
          <w:rFonts w:asciiTheme="minorHAnsi" w:hAnsiTheme="minorHAnsi"/>
          <w:sz w:val="24"/>
          <w:lang w:val="pl-PL"/>
        </w:rPr>
        <w:t xml:space="preserve"> w sprawie naruszenia zobowiązania (</w:t>
      </w:r>
      <w:r w:rsidRPr="00B15C52">
        <w:rPr>
          <w:rFonts w:asciiTheme="minorHAnsi" w:hAnsiTheme="minorHAnsi"/>
          <w:i/>
          <w:sz w:val="24"/>
          <w:lang w:val="pl-PL"/>
        </w:rPr>
        <w:t>infringement proceedings</w:t>
      </w:r>
      <w:r>
        <w:rPr>
          <w:rFonts w:asciiTheme="minorHAnsi" w:hAnsiTheme="minorHAnsi"/>
          <w:sz w:val="24"/>
          <w:lang w:val="pl-PL"/>
        </w:rPr>
        <w:t>). Z tego względu</w:t>
      </w:r>
      <w:r w:rsidRPr="00B15C52">
        <w:rPr>
          <w:rFonts w:asciiTheme="minorHAnsi" w:hAnsiTheme="minorHAnsi"/>
          <w:sz w:val="24"/>
          <w:lang w:val="pl-PL"/>
        </w:rPr>
        <w:t xml:space="preserve"> Trybunał </w:t>
      </w:r>
      <w:r>
        <w:rPr>
          <w:rFonts w:asciiTheme="minorHAnsi" w:hAnsiTheme="minorHAnsi"/>
          <w:sz w:val="24"/>
          <w:lang w:val="pl-PL"/>
        </w:rPr>
        <w:t xml:space="preserve">na wstępie </w:t>
      </w:r>
      <w:r w:rsidRPr="00B15C52">
        <w:rPr>
          <w:rFonts w:asciiTheme="minorHAnsi" w:hAnsiTheme="minorHAnsi"/>
          <w:sz w:val="24"/>
          <w:lang w:val="pl-PL"/>
        </w:rPr>
        <w:t>wyjaśnił charakter swego zadania</w:t>
      </w:r>
      <w:r>
        <w:rPr>
          <w:rFonts w:asciiTheme="minorHAnsi" w:hAnsiTheme="minorHAnsi"/>
          <w:sz w:val="24"/>
          <w:lang w:val="pl-PL"/>
        </w:rPr>
        <w:t>, biorąc pod uwagę historię</w:t>
      </w:r>
      <w:r w:rsidRPr="00B15C52">
        <w:rPr>
          <w:rFonts w:asciiTheme="minorHAnsi" w:hAnsiTheme="minorHAnsi"/>
          <w:sz w:val="24"/>
          <w:lang w:val="pl-PL"/>
        </w:rPr>
        <w:t xml:space="preserve"> prac nad </w:t>
      </w:r>
      <w:r>
        <w:rPr>
          <w:rFonts w:asciiTheme="minorHAnsi" w:hAnsiTheme="minorHAnsi"/>
          <w:sz w:val="24"/>
          <w:lang w:val="pl-PL"/>
        </w:rPr>
        <w:t>Protokołem nr 14 oraz właściwe</w:t>
      </w:r>
      <w:r w:rsidRPr="00B15C52">
        <w:rPr>
          <w:rFonts w:asciiTheme="minorHAnsi" w:hAnsiTheme="minorHAnsi"/>
          <w:sz w:val="24"/>
          <w:lang w:val="pl-PL"/>
        </w:rPr>
        <w:t xml:space="preserve"> ram</w:t>
      </w:r>
      <w:r>
        <w:rPr>
          <w:rFonts w:asciiTheme="minorHAnsi" w:hAnsiTheme="minorHAnsi"/>
          <w:sz w:val="24"/>
          <w:lang w:val="pl-PL"/>
        </w:rPr>
        <w:t>y prawne dotyczące</w:t>
      </w:r>
      <w:r w:rsidRPr="00B15C52">
        <w:rPr>
          <w:rFonts w:asciiTheme="minorHAnsi" w:hAnsiTheme="minorHAnsi"/>
          <w:sz w:val="24"/>
          <w:lang w:val="pl-PL"/>
        </w:rPr>
        <w:t xml:space="preserve"> procedury wykonywania wyroków, a mianowicie art. 46 Konwencji. </w:t>
      </w:r>
    </w:p>
    <w:p w14:paraId="071991CE" w14:textId="77777777" w:rsidR="00950534" w:rsidRDefault="00950534" w:rsidP="00950534">
      <w:pPr>
        <w:pStyle w:val="ClinContent"/>
        <w:widowControl w:val="0"/>
        <w:spacing w:before="0"/>
        <w:rPr>
          <w:rFonts w:asciiTheme="minorHAnsi" w:hAnsiTheme="minorHAnsi"/>
          <w:sz w:val="24"/>
          <w:lang w:val="pl-PL"/>
        </w:rPr>
      </w:pPr>
    </w:p>
    <w:p w14:paraId="7AFB51F7" w14:textId="3AEC5636"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Podkreślił, że celem tego postępowania</w:t>
      </w:r>
      <w:r w:rsidRPr="00B15C52">
        <w:rPr>
          <w:rFonts w:asciiTheme="minorHAnsi" w:hAnsiTheme="minorHAnsi"/>
          <w:sz w:val="24"/>
          <w:lang w:val="pl-PL"/>
        </w:rPr>
        <w:t xml:space="preserve"> nie </w:t>
      </w:r>
      <w:r>
        <w:rPr>
          <w:rFonts w:asciiTheme="minorHAnsi" w:hAnsiTheme="minorHAnsi"/>
          <w:sz w:val="24"/>
          <w:lang w:val="pl-PL"/>
        </w:rPr>
        <w:t>jest naruszenie</w:t>
      </w:r>
      <w:r w:rsidRPr="00B15C52">
        <w:rPr>
          <w:rFonts w:asciiTheme="minorHAnsi" w:hAnsiTheme="minorHAnsi"/>
          <w:sz w:val="24"/>
          <w:lang w:val="pl-PL"/>
        </w:rPr>
        <w:t xml:space="preserve"> fundamentalnej równowagi instytucjonalnej między Trybunałem a Komitetem Ministrów. </w:t>
      </w:r>
      <w:r>
        <w:rPr>
          <w:rFonts w:asciiTheme="minorHAnsi" w:hAnsiTheme="minorHAnsi"/>
          <w:sz w:val="24"/>
          <w:lang w:val="pl-PL"/>
        </w:rPr>
        <w:t>Komitet Ministrów ma</w:t>
      </w:r>
      <w:r w:rsidR="00206CCE">
        <w:rPr>
          <w:rFonts w:asciiTheme="minorHAnsi" w:hAnsiTheme="minorHAnsi"/>
          <w:sz w:val="24"/>
          <w:lang w:val="pl-PL"/>
        </w:rPr>
        <w:t> </w:t>
      </w:r>
      <w:r>
        <w:rPr>
          <w:rFonts w:asciiTheme="minorHAnsi" w:hAnsiTheme="minorHAnsi"/>
          <w:sz w:val="24"/>
          <w:lang w:val="pl-PL"/>
        </w:rPr>
        <w:t>kompetencję</w:t>
      </w:r>
      <w:r w:rsidRPr="00B15C52">
        <w:rPr>
          <w:rFonts w:asciiTheme="minorHAnsi" w:hAnsiTheme="minorHAnsi"/>
          <w:sz w:val="24"/>
          <w:lang w:val="pl-PL"/>
        </w:rPr>
        <w:t xml:space="preserve"> do oceny konkretnych środków, jakie państwo powinno podjąć, by</w:t>
      </w:r>
      <w:r w:rsidR="00206CCE">
        <w:rPr>
          <w:rFonts w:asciiTheme="minorHAnsi" w:hAnsiTheme="minorHAnsi"/>
          <w:sz w:val="24"/>
          <w:lang w:val="pl-PL"/>
        </w:rPr>
        <w:t> </w:t>
      </w:r>
      <w:r w:rsidRPr="00B15C52">
        <w:rPr>
          <w:rFonts w:asciiTheme="minorHAnsi" w:hAnsiTheme="minorHAnsi"/>
          <w:sz w:val="24"/>
          <w:lang w:val="pl-PL"/>
        </w:rPr>
        <w:t>w</w:t>
      </w:r>
      <w:r w:rsidR="00206CCE">
        <w:rPr>
          <w:rFonts w:asciiTheme="minorHAnsi" w:hAnsiTheme="minorHAnsi"/>
          <w:sz w:val="24"/>
          <w:lang w:val="pl-PL"/>
        </w:rPr>
        <w:t> </w:t>
      </w:r>
      <w:r w:rsidRPr="00B15C52">
        <w:rPr>
          <w:rFonts w:asciiTheme="minorHAnsi" w:hAnsiTheme="minorHAnsi"/>
          <w:sz w:val="24"/>
          <w:lang w:val="pl-PL"/>
        </w:rPr>
        <w:t>możliwie najpełniejszym stopniu zapewnić naprawienie naruszeń stwierdzonych w</w:t>
      </w:r>
      <w:r w:rsidR="00206CCE">
        <w:rPr>
          <w:rFonts w:asciiTheme="minorHAnsi" w:hAnsiTheme="minorHAnsi"/>
          <w:sz w:val="24"/>
          <w:lang w:val="pl-PL"/>
        </w:rPr>
        <w:t> </w:t>
      </w:r>
      <w:r w:rsidRPr="00B15C52">
        <w:rPr>
          <w:rFonts w:asciiTheme="minorHAnsi" w:hAnsiTheme="minorHAnsi"/>
          <w:sz w:val="24"/>
          <w:lang w:val="pl-PL"/>
        </w:rPr>
        <w:t>wyroku</w:t>
      </w:r>
      <w:r>
        <w:rPr>
          <w:rFonts w:asciiTheme="minorHAnsi" w:hAnsiTheme="minorHAnsi"/>
          <w:sz w:val="24"/>
          <w:lang w:val="pl-PL"/>
        </w:rPr>
        <w:t xml:space="preserve"> Trybunału</w:t>
      </w:r>
      <w:r w:rsidRPr="00B15C52">
        <w:rPr>
          <w:rFonts w:asciiTheme="minorHAnsi" w:hAnsiTheme="minorHAnsi"/>
          <w:sz w:val="24"/>
          <w:lang w:val="pl-PL"/>
        </w:rPr>
        <w:t xml:space="preserve">. Zadaniem Trybunału w postępowaniu w sprawie naruszenia zobowiązania jest </w:t>
      </w:r>
      <w:r>
        <w:rPr>
          <w:rFonts w:asciiTheme="minorHAnsi" w:hAnsiTheme="minorHAnsi"/>
          <w:sz w:val="24"/>
          <w:lang w:val="pl-PL"/>
        </w:rPr>
        <w:t xml:space="preserve">zaś </w:t>
      </w:r>
      <w:r w:rsidRPr="00B15C52">
        <w:rPr>
          <w:rFonts w:asciiTheme="minorHAnsi" w:hAnsiTheme="minorHAnsi"/>
          <w:sz w:val="24"/>
          <w:lang w:val="pl-PL"/>
        </w:rPr>
        <w:t xml:space="preserve">dokonanie definitywnej oceny prawnej kwestii </w:t>
      </w:r>
      <w:r>
        <w:rPr>
          <w:rFonts w:asciiTheme="minorHAnsi" w:hAnsiTheme="minorHAnsi"/>
          <w:sz w:val="24"/>
          <w:lang w:val="pl-PL"/>
        </w:rPr>
        <w:t>przestrzegania przedmiotowego wyroku</w:t>
      </w:r>
      <w:r w:rsidRPr="00B15C52">
        <w:rPr>
          <w:rFonts w:asciiTheme="minorHAnsi" w:hAnsiTheme="minorHAnsi"/>
          <w:sz w:val="24"/>
          <w:lang w:val="pl-PL"/>
        </w:rPr>
        <w:t xml:space="preserve">. </w:t>
      </w:r>
    </w:p>
    <w:p w14:paraId="16847D09" w14:textId="77777777" w:rsidR="00950534" w:rsidRDefault="00950534" w:rsidP="00950534">
      <w:pPr>
        <w:pStyle w:val="ClinContent"/>
        <w:widowControl w:val="0"/>
        <w:spacing w:before="0"/>
        <w:rPr>
          <w:rFonts w:asciiTheme="minorHAnsi" w:hAnsiTheme="minorHAnsi"/>
          <w:sz w:val="24"/>
          <w:lang w:val="pl-PL"/>
        </w:rPr>
      </w:pPr>
    </w:p>
    <w:p w14:paraId="73BD8DB8" w14:textId="25DC605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Wskazał, że T</w:t>
      </w:r>
      <w:r w:rsidRPr="00B15C52">
        <w:rPr>
          <w:rFonts w:asciiTheme="minorHAnsi" w:hAnsiTheme="minorHAnsi"/>
          <w:sz w:val="24"/>
          <w:lang w:val="pl-PL"/>
        </w:rPr>
        <w:t>rybunał</w:t>
      </w:r>
      <w:r>
        <w:rPr>
          <w:rFonts w:asciiTheme="minorHAnsi" w:hAnsiTheme="minorHAnsi"/>
          <w:sz w:val="24"/>
          <w:lang w:val="pl-PL"/>
        </w:rPr>
        <w:t xml:space="preserve"> dokona swej oceny</w:t>
      </w:r>
      <w:r w:rsidRPr="00B15C52">
        <w:rPr>
          <w:rFonts w:asciiTheme="minorHAnsi" w:hAnsiTheme="minorHAnsi"/>
          <w:sz w:val="24"/>
          <w:lang w:val="pl-PL"/>
        </w:rPr>
        <w:t xml:space="preserve">, </w:t>
      </w:r>
      <w:r>
        <w:rPr>
          <w:rFonts w:asciiTheme="minorHAnsi" w:hAnsiTheme="minorHAnsi"/>
          <w:sz w:val="24"/>
          <w:lang w:val="pl-PL"/>
        </w:rPr>
        <w:t xml:space="preserve">biorąc pod uwagę </w:t>
      </w:r>
      <w:r w:rsidRPr="00B15C52">
        <w:rPr>
          <w:rFonts w:asciiTheme="minorHAnsi" w:hAnsiTheme="minorHAnsi"/>
          <w:sz w:val="24"/>
          <w:lang w:val="pl-PL"/>
        </w:rPr>
        <w:t>wnioski Komitetu Ministrów w</w:t>
      </w:r>
      <w:r w:rsidR="00206CCE">
        <w:rPr>
          <w:rFonts w:asciiTheme="minorHAnsi" w:hAnsiTheme="minorHAnsi"/>
          <w:sz w:val="24"/>
          <w:lang w:val="pl-PL"/>
        </w:rPr>
        <w:t> </w:t>
      </w:r>
      <w:r w:rsidRPr="00B15C52">
        <w:rPr>
          <w:rFonts w:asciiTheme="minorHAnsi" w:hAnsiTheme="minorHAnsi"/>
          <w:sz w:val="24"/>
          <w:lang w:val="pl-PL"/>
        </w:rPr>
        <w:t>procesie nadzoru, stanowisko pozwanego rządu oraz twierdzenia ofiary naruszenia. Trybunał musi zidentyfikować obowiązki prawne wynikające z ostatecznego wyroku, jak też z</w:t>
      </w:r>
      <w:r w:rsidR="00206CCE">
        <w:rPr>
          <w:rFonts w:asciiTheme="minorHAnsi" w:hAnsiTheme="minorHAnsi"/>
          <w:sz w:val="24"/>
          <w:lang w:val="pl-PL"/>
        </w:rPr>
        <w:t> </w:t>
      </w:r>
      <w:r w:rsidRPr="00B15C52">
        <w:rPr>
          <w:rFonts w:asciiTheme="minorHAnsi" w:hAnsiTheme="minorHAnsi"/>
          <w:sz w:val="24"/>
          <w:lang w:val="pl-PL"/>
        </w:rPr>
        <w:t xml:space="preserve">wniosków i ducha tego wyroku. </w:t>
      </w:r>
    </w:p>
    <w:p w14:paraId="49F2C8AD" w14:textId="77777777" w:rsidR="00950534" w:rsidRDefault="00950534" w:rsidP="00950534">
      <w:pPr>
        <w:pStyle w:val="ClinContent"/>
        <w:widowControl w:val="0"/>
        <w:spacing w:before="0"/>
        <w:rPr>
          <w:rFonts w:asciiTheme="minorHAnsi" w:hAnsiTheme="minorHAnsi"/>
          <w:sz w:val="24"/>
          <w:lang w:val="pl-PL"/>
        </w:rPr>
      </w:pPr>
    </w:p>
    <w:p w14:paraId="02096001"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Trybunał uznał, że punktem wyjścia do </w:t>
      </w:r>
      <w:r>
        <w:rPr>
          <w:rFonts w:asciiTheme="minorHAnsi" w:hAnsiTheme="minorHAnsi"/>
          <w:sz w:val="24"/>
          <w:lang w:val="pl-PL"/>
        </w:rPr>
        <w:t xml:space="preserve">analizy </w:t>
      </w:r>
      <w:r w:rsidRPr="00B15C52">
        <w:rPr>
          <w:rFonts w:asciiTheme="minorHAnsi" w:hAnsiTheme="minorHAnsi"/>
          <w:sz w:val="24"/>
          <w:lang w:val="pl-PL"/>
        </w:rPr>
        <w:t>sprawy powinien być moment</w:t>
      </w:r>
      <w:r>
        <w:rPr>
          <w:rFonts w:asciiTheme="minorHAnsi" w:hAnsiTheme="minorHAnsi"/>
          <w:sz w:val="24"/>
          <w:lang w:val="pl-PL"/>
        </w:rPr>
        <w:t xml:space="preserve"> przekazania mu zapytania</w:t>
      </w:r>
      <w:r w:rsidRPr="00B15C52">
        <w:rPr>
          <w:rFonts w:asciiTheme="minorHAnsi" w:hAnsiTheme="minorHAnsi"/>
          <w:sz w:val="24"/>
          <w:lang w:val="pl-PL"/>
        </w:rPr>
        <w:t xml:space="preserve"> </w:t>
      </w:r>
      <w:r>
        <w:rPr>
          <w:rFonts w:asciiTheme="minorHAnsi" w:hAnsiTheme="minorHAnsi"/>
          <w:sz w:val="24"/>
          <w:lang w:val="pl-PL"/>
        </w:rPr>
        <w:t>Komitetu Ministrów</w:t>
      </w:r>
      <w:r w:rsidRPr="00B15C52">
        <w:rPr>
          <w:rFonts w:asciiTheme="minorHAnsi" w:hAnsiTheme="minorHAnsi"/>
          <w:sz w:val="24"/>
          <w:lang w:val="pl-PL"/>
        </w:rPr>
        <w:t xml:space="preserve">. Data, w której Komitet Ministrów przekazał zapytanie Trybunałowi dotyczące </w:t>
      </w:r>
      <w:r>
        <w:rPr>
          <w:rFonts w:asciiTheme="minorHAnsi" w:hAnsiTheme="minorHAnsi"/>
          <w:sz w:val="24"/>
          <w:lang w:val="pl-PL"/>
        </w:rPr>
        <w:t>przestrzegania wyroku</w:t>
      </w:r>
      <w:r w:rsidRPr="00B15C52">
        <w:rPr>
          <w:rFonts w:asciiTheme="minorHAnsi" w:hAnsiTheme="minorHAnsi"/>
          <w:sz w:val="24"/>
          <w:lang w:val="pl-PL"/>
        </w:rPr>
        <w:t xml:space="preserve">, jest </w:t>
      </w:r>
      <w:r>
        <w:rPr>
          <w:rFonts w:asciiTheme="minorHAnsi" w:hAnsiTheme="minorHAnsi"/>
          <w:sz w:val="24"/>
          <w:lang w:val="pl-PL"/>
        </w:rPr>
        <w:t xml:space="preserve">bowiem </w:t>
      </w:r>
      <w:r w:rsidRPr="00B15C52">
        <w:rPr>
          <w:rFonts w:asciiTheme="minorHAnsi" w:hAnsiTheme="minorHAnsi"/>
          <w:sz w:val="24"/>
          <w:lang w:val="pl-PL"/>
        </w:rPr>
        <w:t xml:space="preserve">datą, do której </w:t>
      </w:r>
      <w:r>
        <w:rPr>
          <w:rFonts w:asciiTheme="minorHAnsi" w:hAnsiTheme="minorHAnsi"/>
          <w:sz w:val="24"/>
          <w:lang w:val="pl-PL"/>
        </w:rPr>
        <w:t>Komitet stwierdził</w:t>
      </w:r>
      <w:r w:rsidRPr="00B15C52">
        <w:rPr>
          <w:rFonts w:asciiTheme="minorHAnsi" w:hAnsiTheme="minorHAnsi"/>
          <w:sz w:val="24"/>
          <w:lang w:val="pl-PL"/>
        </w:rPr>
        <w:t xml:space="preserve">, że pozwane państwo odmówiło przestrzegania ostatecznego wyroku, ponieważ nie mógł uznać działań państwa za „terminowe, odpowiednie i wystarczające”. </w:t>
      </w:r>
    </w:p>
    <w:p w14:paraId="3CB4C0F5" w14:textId="77777777" w:rsidR="00950534" w:rsidRDefault="00950534" w:rsidP="00950534">
      <w:pPr>
        <w:pStyle w:val="ClinContent"/>
        <w:widowControl w:val="0"/>
        <w:spacing w:before="0"/>
        <w:rPr>
          <w:rFonts w:asciiTheme="minorHAnsi" w:hAnsiTheme="minorHAnsi"/>
          <w:sz w:val="24"/>
          <w:lang w:val="pl-PL"/>
        </w:rPr>
      </w:pPr>
    </w:p>
    <w:p w14:paraId="7D5B527E"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 opinii Trybunału n</w:t>
      </w:r>
      <w:r w:rsidRPr="00B15C52">
        <w:rPr>
          <w:rFonts w:asciiTheme="minorHAnsi" w:hAnsiTheme="minorHAnsi"/>
          <w:sz w:val="24"/>
          <w:lang w:val="pl-PL"/>
        </w:rPr>
        <w:t xml:space="preserve">ie można wykluczyć, że uprawnienia przyznane Komitetowi Ministrów na podstawie art. 46 oznaczają również możliwość wycofania przez Komitet sprawy </w:t>
      </w:r>
      <w:r w:rsidRPr="00B15C52">
        <w:rPr>
          <w:rFonts w:asciiTheme="minorHAnsi" w:hAnsiTheme="minorHAnsi"/>
          <w:sz w:val="24"/>
          <w:lang w:val="pl-PL"/>
        </w:rPr>
        <w:lastRenderedPageBreak/>
        <w:t xml:space="preserve">przekazanej Trybunałowi. Jednakże </w:t>
      </w:r>
      <w:r>
        <w:rPr>
          <w:rFonts w:asciiTheme="minorHAnsi" w:hAnsiTheme="minorHAnsi"/>
          <w:sz w:val="24"/>
          <w:lang w:val="pl-PL"/>
        </w:rPr>
        <w:t xml:space="preserve">w omawianej sprawie </w:t>
      </w:r>
      <w:r w:rsidRPr="00B15C52">
        <w:rPr>
          <w:rFonts w:asciiTheme="minorHAnsi" w:hAnsiTheme="minorHAnsi"/>
          <w:sz w:val="24"/>
          <w:lang w:val="pl-PL"/>
        </w:rPr>
        <w:t xml:space="preserve">Komitet </w:t>
      </w:r>
      <w:r>
        <w:rPr>
          <w:rFonts w:asciiTheme="minorHAnsi" w:hAnsiTheme="minorHAnsi"/>
          <w:sz w:val="24"/>
          <w:lang w:val="pl-PL"/>
        </w:rPr>
        <w:t xml:space="preserve">Ministrów </w:t>
      </w:r>
      <w:r w:rsidRPr="00B15C52">
        <w:rPr>
          <w:rFonts w:asciiTheme="minorHAnsi" w:hAnsiTheme="minorHAnsi"/>
          <w:sz w:val="24"/>
          <w:lang w:val="pl-PL"/>
        </w:rPr>
        <w:t xml:space="preserve">nie uczynił tego po zwolnieniu skarżącego. </w:t>
      </w:r>
    </w:p>
    <w:p w14:paraId="3378944D" w14:textId="77777777" w:rsidR="00950534" w:rsidRDefault="00950534" w:rsidP="00950534">
      <w:pPr>
        <w:pStyle w:val="ClinContent"/>
        <w:widowControl w:val="0"/>
        <w:spacing w:before="0"/>
        <w:rPr>
          <w:rFonts w:asciiTheme="minorHAnsi" w:hAnsiTheme="minorHAnsi"/>
          <w:sz w:val="24"/>
          <w:lang w:val="pl-PL"/>
        </w:rPr>
      </w:pPr>
    </w:p>
    <w:p w14:paraId="33DE106F" w14:textId="0C636D18"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Rozpatrując przedmiotową sprawę, Trybunał najpierw określił </w:t>
      </w:r>
      <w:r w:rsidRPr="003C422F">
        <w:rPr>
          <w:rFonts w:asciiTheme="minorHAnsi" w:hAnsiTheme="minorHAnsi"/>
          <w:sz w:val="24"/>
          <w:u w:val="single"/>
          <w:lang w:val="pl-PL"/>
        </w:rPr>
        <w:t>z</w:t>
      </w:r>
      <w:r w:rsidRPr="003C422F">
        <w:rPr>
          <w:rFonts w:asciiTheme="minorHAnsi" w:hAnsiTheme="minorHAnsi"/>
          <w:i/>
          <w:sz w:val="24"/>
          <w:u w:val="single"/>
          <w:lang w:val="pl-PL"/>
        </w:rPr>
        <w:t>akres postępowania w</w:t>
      </w:r>
      <w:r w:rsidR="00206CCE">
        <w:rPr>
          <w:rFonts w:asciiTheme="minorHAnsi" w:hAnsiTheme="minorHAnsi"/>
          <w:i/>
          <w:sz w:val="24"/>
          <w:u w:val="single"/>
          <w:lang w:val="pl-PL"/>
        </w:rPr>
        <w:t> </w:t>
      </w:r>
      <w:r w:rsidRPr="003C422F">
        <w:rPr>
          <w:rFonts w:asciiTheme="minorHAnsi" w:hAnsiTheme="minorHAnsi"/>
          <w:i/>
          <w:sz w:val="24"/>
          <w:u w:val="single"/>
          <w:lang w:val="pl-PL"/>
        </w:rPr>
        <w:t>sprawie naruszenia zobowiązania</w:t>
      </w:r>
      <w:r>
        <w:rPr>
          <w:rFonts w:asciiTheme="minorHAnsi" w:hAnsiTheme="minorHAnsi"/>
          <w:i/>
          <w:sz w:val="24"/>
          <w:lang w:val="pl-PL"/>
        </w:rPr>
        <w:t xml:space="preserve">. </w:t>
      </w:r>
      <w:r w:rsidRPr="00B81F66">
        <w:rPr>
          <w:rFonts w:asciiTheme="minorHAnsi" w:hAnsiTheme="minorHAnsi"/>
          <w:sz w:val="24"/>
          <w:lang w:val="pl-PL"/>
        </w:rPr>
        <w:t>Stwierdził, że k</w:t>
      </w:r>
      <w:r w:rsidRPr="00B15C52">
        <w:rPr>
          <w:rFonts w:asciiTheme="minorHAnsi" w:hAnsiTheme="minorHAnsi"/>
          <w:sz w:val="24"/>
          <w:lang w:val="pl-PL"/>
        </w:rPr>
        <w:t>luczową kwestią</w:t>
      </w:r>
      <w:r>
        <w:rPr>
          <w:rFonts w:asciiTheme="minorHAnsi" w:hAnsiTheme="minorHAnsi"/>
          <w:sz w:val="24"/>
          <w:lang w:val="pl-PL"/>
        </w:rPr>
        <w:t xml:space="preserve"> </w:t>
      </w:r>
      <w:r w:rsidRPr="00B15C52">
        <w:rPr>
          <w:rFonts w:asciiTheme="minorHAnsi" w:hAnsiTheme="minorHAnsi"/>
          <w:sz w:val="24"/>
          <w:lang w:val="pl-PL"/>
        </w:rPr>
        <w:t xml:space="preserve">było </w:t>
      </w:r>
      <w:r>
        <w:rPr>
          <w:rFonts w:asciiTheme="minorHAnsi" w:hAnsiTheme="minorHAnsi"/>
          <w:sz w:val="24"/>
          <w:lang w:val="pl-PL"/>
        </w:rPr>
        <w:t>ustalenie</w:t>
      </w:r>
      <w:r w:rsidRPr="00B15C52">
        <w:rPr>
          <w:rFonts w:asciiTheme="minorHAnsi" w:hAnsiTheme="minorHAnsi"/>
          <w:sz w:val="24"/>
          <w:lang w:val="pl-PL"/>
        </w:rPr>
        <w:t>, czy</w:t>
      </w:r>
      <w:r w:rsidR="00206CCE">
        <w:rPr>
          <w:rFonts w:asciiTheme="minorHAnsi" w:hAnsiTheme="minorHAnsi"/>
          <w:sz w:val="24"/>
          <w:lang w:val="pl-PL"/>
        </w:rPr>
        <w:t> </w:t>
      </w:r>
      <w:r>
        <w:rPr>
          <w:rFonts w:asciiTheme="minorHAnsi" w:hAnsiTheme="minorHAnsi"/>
          <w:sz w:val="24"/>
          <w:lang w:val="pl-PL"/>
        </w:rPr>
        <w:t>Republika</w:t>
      </w:r>
      <w:r w:rsidRPr="00B15C52">
        <w:rPr>
          <w:rFonts w:asciiTheme="minorHAnsi" w:hAnsiTheme="minorHAnsi"/>
          <w:sz w:val="24"/>
          <w:lang w:val="pl-PL"/>
        </w:rPr>
        <w:t xml:space="preserve"> Azerbejdżanu </w:t>
      </w:r>
      <w:r>
        <w:rPr>
          <w:rFonts w:asciiTheme="minorHAnsi" w:hAnsiTheme="minorHAnsi"/>
          <w:sz w:val="24"/>
          <w:lang w:val="pl-PL"/>
        </w:rPr>
        <w:t xml:space="preserve">nie zastosowała </w:t>
      </w:r>
      <w:r w:rsidRPr="00B15C52">
        <w:rPr>
          <w:rFonts w:asciiTheme="minorHAnsi" w:hAnsiTheme="minorHAnsi"/>
          <w:sz w:val="24"/>
          <w:lang w:val="pl-PL"/>
        </w:rPr>
        <w:t>środków indywidualnych wymaganych do</w:t>
      </w:r>
      <w:r w:rsidR="00206CCE">
        <w:rPr>
          <w:rFonts w:asciiTheme="minorHAnsi" w:hAnsiTheme="minorHAnsi"/>
          <w:sz w:val="24"/>
          <w:lang w:val="pl-PL"/>
        </w:rPr>
        <w:t> </w:t>
      </w:r>
      <w:r w:rsidRPr="00B15C52">
        <w:rPr>
          <w:rFonts w:asciiTheme="minorHAnsi" w:hAnsiTheme="minorHAnsi"/>
          <w:sz w:val="24"/>
          <w:lang w:val="pl-PL"/>
        </w:rPr>
        <w:t xml:space="preserve">przestrzegania wyroku Trybunału i naprawienia naruszenia art. 18 w związku z art. 5 Konwencji. </w:t>
      </w:r>
    </w:p>
    <w:p w14:paraId="69295095" w14:textId="77777777" w:rsidR="00950534" w:rsidRDefault="00950534" w:rsidP="00950534">
      <w:pPr>
        <w:pStyle w:val="ClinContent"/>
        <w:widowControl w:val="0"/>
        <w:spacing w:before="0"/>
        <w:rPr>
          <w:rFonts w:asciiTheme="minorHAnsi" w:hAnsiTheme="minorHAnsi"/>
          <w:sz w:val="24"/>
          <w:lang w:val="pl-PL"/>
        </w:rPr>
      </w:pPr>
    </w:p>
    <w:p w14:paraId="7105514C"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Następnie Trybunał przeanalizował, </w:t>
      </w:r>
      <w:r w:rsidRPr="003C422F">
        <w:rPr>
          <w:rFonts w:asciiTheme="minorHAnsi" w:hAnsiTheme="minorHAnsi"/>
          <w:i/>
          <w:sz w:val="24"/>
          <w:u w:val="single"/>
          <w:lang w:val="pl-PL"/>
        </w:rPr>
        <w:t>jakie środki indywidualne były wymagane</w:t>
      </w:r>
      <w:r>
        <w:rPr>
          <w:rFonts w:asciiTheme="minorHAnsi" w:hAnsiTheme="minorHAnsi"/>
          <w:sz w:val="24"/>
          <w:lang w:val="pl-PL"/>
        </w:rPr>
        <w:t xml:space="preserve"> na podstawie pierwszego wyroku w sprawie </w:t>
      </w:r>
      <w:r w:rsidRPr="007F1F45">
        <w:rPr>
          <w:rFonts w:asciiTheme="minorHAnsi" w:hAnsiTheme="minorHAnsi"/>
          <w:i/>
          <w:sz w:val="24"/>
          <w:lang w:val="pl-PL"/>
        </w:rPr>
        <w:t>Mammadov</w:t>
      </w:r>
      <w:r>
        <w:rPr>
          <w:rFonts w:asciiTheme="minorHAnsi" w:hAnsiTheme="minorHAnsi"/>
          <w:sz w:val="24"/>
          <w:lang w:val="pl-PL"/>
        </w:rPr>
        <w:t xml:space="preserve"> </w:t>
      </w:r>
      <w:r w:rsidRPr="003C422F">
        <w:rPr>
          <w:rFonts w:asciiTheme="minorHAnsi" w:hAnsiTheme="minorHAnsi"/>
          <w:i/>
          <w:sz w:val="24"/>
          <w:u w:val="single"/>
          <w:lang w:val="pl-PL"/>
        </w:rPr>
        <w:t>i jakie były odpowiednie obowiązki</w:t>
      </w:r>
      <w:r>
        <w:rPr>
          <w:rFonts w:asciiTheme="minorHAnsi" w:hAnsiTheme="minorHAnsi"/>
          <w:sz w:val="24"/>
          <w:lang w:val="pl-PL"/>
        </w:rPr>
        <w:t xml:space="preserve"> pozwanego państwa. </w:t>
      </w:r>
    </w:p>
    <w:p w14:paraId="740CC366" w14:textId="77777777" w:rsidR="00950534" w:rsidRDefault="00950534" w:rsidP="00950534">
      <w:pPr>
        <w:pStyle w:val="ClinContent"/>
        <w:widowControl w:val="0"/>
        <w:spacing w:before="0"/>
        <w:rPr>
          <w:rFonts w:asciiTheme="minorHAnsi" w:hAnsiTheme="minorHAnsi"/>
          <w:sz w:val="24"/>
          <w:lang w:val="pl-PL"/>
        </w:rPr>
      </w:pPr>
    </w:p>
    <w:p w14:paraId="28B10463" w14:textId="5092182C" w:rsidR="00950534" w:rsidRDefault="00950534" w:rsidP="00950534">
      <w:pPr>
        <w:pStyle w:val="ClinContent"/>
        <w:widowControl w:val="0"/>
        <w:spacing w:before="0"/>
        <w:rPr>
          <w:rFonts w:asciiTheme="minorHAnsi" w:hAnsiTheme="minorHAnsi"/>
          <w:sz w:val="24"/>
          <w:lang w:val="pl-PL"/>
        </w:rPr>
      </w:pPr>
      <w:r w:rsidRPr="007F1F45">
        <w:rPr>
          <w:rFonts w:asciiTheme="minorHAnsi" w:hAnsiTheme="minorHAnsi"/>
          <w:sz w:val="24"/>
          <w:lang w:val="pl-PL"/>
        </w:rPr>
        <w:t xml:space="preserve">Powołując się na tekst </w:t>
      </w:r>
      <w:r>
        <w:rPr>
          <w:rFonts w:asciiTheme="minorHAnsi" w:hAnsiTheme="minorHAnsi"/>
          <w:sz w:val="24"/>
          <w:lang w:val="pl-PL"/>
        </w:rPr>
        <w:t xml:space="preserve">pierwszego </w:t>
      </w:r>
      <w:r w:rsidRPr="007F1F45">
        <w:rPr>
          <w:rFonts w:asciiTheme="minorHAnsi" w:hAnsiTheme="minorHAnsi"/>
          <w:sz w:val="24"/>
          <w:lang w:val="pl-PL"/>
        </w:rPr>
        <w:t>wyroku</w:t>
      </w:r>
      <w:r>
        <w:rPr>
          <w:rFonts w:asciiTheme="minorHAnsi" w:hAnsiTheme="minorHAnsi"/>
          <w:sz w:val="24"/>
          <w:lang w:val="pl-PL"/>
        </w:rPr>
        <w:t xml:space="preserve"> w sprawie </w:t>
      </w:r>
      <w:r w:rsidRPr="007F1F45">
        <w:rPr>
          <w:rFonts w:asciiTheme="minorHAnsi" w:hAnsiTheme="minorHAnsi"/>
          <w:i/>
          <w:sz w:val="24"/>
          <w:lang w:val="pl-PL"/>
        </w:rPr>
        <w:t>Mammadov</w:t>
      </w:r>
      <w:r>
        <w:rPr>
          <w:rFonts w:asciiTheme="minorHAnsi" w:hAnsiTheme="minorHAnsi"/>
          <w:i/>
          <w:sz w:val="24"/>
          <w:lang w:val="pl-PL"/>
        </w:rPr>
        <w:t xml:space="preserve">, </w:t>
      </w:r>
      <w:r>
        <w:rPr>
          <w:rFonts w:asciiTheme="minorHAnsi" w:hAnsiTheme="minorHAnsi"/>
          <w:sz w:val="24"/>
          <w:lang w:val="pl-PL"/>
        </w:rPr>
        <w:t>Trybunał przypomniał, że</w:t>
      </w:r>
      <w:r w:rsidR="00206CCE">
        <w:rPr>
          <w:rFonts w:asciiTheme="minorHAnsi" w:hAnsiTheme="minorHAnsi"/>
          <w:sz w:val="24"/>
          <w:lang w:val="pl-PL"/>
        </w:rPr>
        <w:t> </w:t>
      </w:r>
      <w:r>
        <w:rPr>
          <w:rFonts w:asciiTheme="minorHAnsi" w:hAnsiTheme="minorHAnsi"/>
          <w:sz w:val="24"/>
          <w:lang w:val="pl-PL"/>
        </w:rPr>
        <w:t>s</w:t>
      </w:r>
      <w:r w:rsidRPr="00B15C52">
        <w:rPr>
          <w:rFonts w:asciiTheme="minorHAnsi" w:hAnsiTheme="minorHAnsi"/>
          <w:sz w:val="24"/>
          <w:lang w:val="pl-PL"/>
        </w:rPr>
        <w:t xml:space="preserve">twierdzone przez </w:t>
      </w:r>
      <w:r>
        <w:rPr>
          <w:rFonts w:asciiTheme="minorHAnsi" w:hAnsiTheme="minorHAnsi"/>
          <w:sz w:val="24"/>
          <w:lang w:val="pl-PL"/>
        </w:rPr>
        <w:t>niego</w:t>
      </w:r>
      <w:r w:rsidRPr="00B15C52">
        <w:rPr>
          <w:rFonts w:asciiTheme="minorHAnsi" w:hAnsiTheme="minorHAnsi"/>
          <w:sz w:val="24"/>
          <w:lang w:val="pl-PL"/>
        </w:rPr>
        <w:t xml:space="preserve"> naruszenia art. 5 ust. 1 lit. c i art. 18 w związku z art. 5</w:t>
      </w:r>
      <w:r w:rsidRPr="00B15C52">
        <w:rPr>
          <w:rFonts w:asciiTheme="minorHAnsi" w:hAnsiTheme="minorHAnsi"/>
          <w:i/>
          <w:sz w:val="24"/>
          <w:lang w:val="pl-PL"/>
        </w:rPr>
        <w:t xml:space="preserve"> </w:t>
      </w:r>
      <w:r w:rsidRPr="00B15C52">
        <w:rPr>
          <w:rFonts w:asciiTheme="minorHAnsi" w:hAnsiTheme="minorHAnsi"/>
          <w:sz w:val="24"/>
          <w:lang w:val="pl-PL"/>
        </w:rPr>
        <w:t xml:space="preserve">Konwencji odnosiły się do wszystkich zarzutów karnych i postępowania przygotowawczego przeciwko skarżącemu. </w:t>
      </w:r>
      <w:r>
        <w:rPr>
          <w:rFonts w:asciiTheme="minorHAnsi" w:hAnsiTheme="minorHAnsi"/>
          <w:sz w:val="24"/>
          <w:lang w:val="pl-PL"/>
        </w:rPr>
        <w:t>Do naruszenia</w:t>
      </w:r>
      <w:r w:rsidRPr="00B15C52">
        <w:rPr>
          <w:rFonts w:asciiTheme="minorHAnsi" w:hAnsiTheme="minorHAnsi"/>
          <w:sz w:val="24"/>
          <w:lang w:val="pl-PL"/>
        </w:rPr>
        <w:t xml:space="preserve"> art. 18</w:t>
      </w:r>
      <w:r>
        <w:rPr>
          <w:rFonts w:asciiTheme="minorHAnsi" w:hAnsiTheme="minorHAnsi"/>
          <w:sz w:val="24"/>
          <w:lang w:val="pl-PL"/>
        </w:rPr>
        <w:t xml:space="preserve"> Konwencji</w:t>
      </w:r>
      <w:r w:rsidRPr="00B15C52">
        <w:rPr>
          <w:rFonts w:asciiTheme="minorHAnsi" w:hAnsiTheme="minorHAnsi"/>
          <w:sz w:val="24"/>
          <w:lang w:val="pl-PL"/>
        </w:rPr>
        <w:t xml:space="preserve"> </w:t>
      </w:r>
      <w:r>
        <w:rPr>
          <w:rFonts w:asciiTheme="minorHAnsi" w:hAnsiTheme="minorHAnsi"/>
          <w:sz w:val="24"/>
          <w:lang w:val="pl-PL"/>
        </w:rPr>
        <w:t>doszło</w:t>
      </w:r>
      <w:r w:rsidRPr="00B15C52">
        <w:rPr>
          <w:rFonts w:asciiTheme="minorHAnsi" w:hAnsiTheme="minorHAnsi"/>
          <w:sz w:val="24"/>
          <w:lang w:val="pl-PL"/>
        </w:rPr>
        <w:t xml:space="preserve">, ponieważ działania władz były </w:t>
      </w:r>
      <w:r>
        <w:rPr>
          <w:rFonts w:asciiTheme="minorHAnsi" w:hAnsiTheme="minorHAnsi"/>
          <w:sz w:val="24"/>
          <w:lang w:val="pl-PL"/>
        </w:rPr>
        <w:t>powodowane nieodpowiednimi motywami</w:t>
      </w:r>
      <w:r w:rsidRPr="00B15C52">
        <w:rPr>
          <w:rFonts w:asciiTheme="minorHAnsi" w:hAnsiTheme="minorHAnsi"/>
          <w:sz w:val="24"/>
          <w:lang w:val="pl-PL"/>
        </w:rPr>
        <w:t xml:space="preserve">, </w:t>
      </w:r>
      <w:r>
        <w:rPr>
          <w:rFonts w:asciiTheme="minorHAnsi" w:hAnsiTheme="minorHAnsi"/>
          <w:sz w:val="24"/>
          <w:lang w:val="pl-PL"/>
        </w:rPr>
        <w:t>jako że</w:t>
      </w:r>
      <w:r w:rsidRPr="00B15C52">
        <w:rPr>
          <w:rFonts w:asciiTheme="minorHAnsi" w:hAnsiTheme="minorHAnsi"/>
          <w:sz w:val="24"/>
          <w:lang w:val="pl-PL"/>
        </w:rPr>
        <w:t xml:space="preserve"> postawiły one </w:t>
      </w:r>
      <w:r>
        <w:rPr>
          <w:rFonts w:asciiTheme="minorHAnsi" w:hAnsiTheme="minorHAnsi"/>
          <w:sz w:val="24"/>
          <w:lang w:val="pl-PL"/>
        </w:rPr>
        <w:t xml:space="preserve">skarżącemu </w:t>
      </w:r>
      <w:r w:rsidRPr="00B15C52">
        <w:rPr>
          <w:rFonts w:asciiTheme="minorHAnsi" w:hAnsiTheme="minorHAnsi"/>
          <w:sz w:val="24"/>
          <w:lang w:val="pl-PL"/>
        </w:rPr>
        <w:t xml:space="preserve">zarzuty </w:t>
      </w:r>
      <w:r>
        <w:rPr>
          <w:rFonts w:asciiTheme="minorHAnsi" w:hAnsiTheme="minorHAnsi"/>
          <w:sz w:val="24"/>
          <w:lang w:val="pl-PL"/>
        </w:rPr>
        <w:t xml:space="preserve">karne </w:t>
      </w:r>
      <w:r w:rsidRPr="00B15C52">
        <w:rPr>
          <w:rFonts w:asciiTheme="minorHAnsi" w:hAnsiTheme="minorHAnsi"/>
          <w:sz w:val="24"/>
          <w:lang w:val="pl-PL"/>
        </w:rPr>
        <w:t xml:space="preserve">w celu uciszenia lub ukarania </w:t>
      </w:r>
      <w:r>
        <w:rPr>
          <w:rFonts w:asciiTheme="minorHAnsi" w:hAnsiTheme="minorHAnsi"/>
          <w:sz w:val="24"/>
          <w:lang w:val="pl-PL"/>
        </w:rPr>
        <w:t xml:space="preserve">go </w:t>
      </w:r>
      <w:r w:rsidRPr="00B15C52">
        <w:rPr>
          <w:rFonts w:asciiTheme="minorHAnsi" w:hAnsiTheme="minorHAnsi"/>
          <w:sz w:val="24"/>
          <w:lang w:val="pl-PL"/>
        </w:rPr>
        <w:t xml:space="preserve">za krytykowanie rządu. </w:t>
      </w:r>
      <w:r>
        <w:rPr>
          <w:rFonts w:asciiTheme="minorHAnsi" w:hAnsiTheme="minorHAnsi"/>
          <w:sz w:val="24"/>
          <w:lang w:val="pl-PL"/>
        </w:rPr>
        <w:t>To s</w:t>
      </w:r>
      <w:r w:rsidRPr="00B15C52">
        <w:rPr>
          <w:rFonts w:asciiTheme="minorHAnsi" w:hAnsiTheme="minorHAnsi"/>
          <w:sz w:val="24"/>
          <w:lang w:val="pl-PL"/>
        </w:rPr>
        <w:t xml:space="preserve">twierdzenie </w:t>
      </w:r>
      <w:r>
        <w:rPr>
          <w:rFonts w:asciiTheme="minorHAnsi" w:hAnsiTheme="minorHAnsi"/>
          <w:sz w:val="24"/>
          <w:lang w:val="pl-PL"/>
        </w:rPr>
        <w:t xml:space="preserve">Trybunału </w:t>
      </w:r>
      <w:r w:rsidRPr="00B15C52">
        <w:rPr>
          <w:rFonts w:asciiTheme="minorHAnsi" w:hAnsiTheme="minorHAnsi"/>
          <w:sz w:val="24"/>
          <w:lang w:val="pl-PL"/>
        </w:rPr>
        <w:t xml:space="preserve">podważyło wszelkie działania </w:t>
      </w:r>
      <w:r>
        <w:rPr>
          <w:rFonts w:asciiTheme="minorHAnsi" w:hAnsiTheme="minorHAnsi"/>
          <w:sz w:val="24"/>
          <w:lang w:val="pl-PL"/>
        </w:rPr>
        <w:t xml:space="preserve">podjęte w wyniku </w:t>
      </w:r>
      <w:r w:rsidRPr="00B15C52">
        <w:rPr>
          <w:rFonts w:asciiTheme="minorHAnsi" w:hAnsiTheme="minorHAnsi"/>
          <w:sz w:val="24"/>
          <w:lang w:val="pl-PL"/>
        </w:rPr>
        <w:t xml:space="preserve">postawienia </w:t>
      </w:r>
      <w:r>
        <w:rPr>
          <w:rFonts w:asciiTheme="minorHAnsi" w:hAnsiTheme="minorHAnsi"/>
          <w:sz w:val="24"/>
          <w:lang w:val="pl-PL"/>
        </w:rPr>
        <w:t xml:space="preserve">skarżącemu </w:t>
      </w:r>
      <w:r w:rsidRPr="00B15C52">
        <w:rPr>
          <w:rFonts w:asciiTheme="minorHAnsi" w:hAnsiTheme="minorHAnsi"/>
          <w:sz w:val="24"/>
          <w:lang w:val="pl-PL"/>
        </w:rPr>
        <w:t>zarzutów</w:t>
      </w:r>
      <w:r>
        <w:rPr>
          <w:rFonts w:asciiTheme="minorHAnsi" w:hAnsiTheme="minorHAnsi"/>
          <w:sz w:val="24"/>
          <w:lang w:val="pl-PL"/>
        </w:rPr>
        <w:t xml:space="preserve"> karnych</w:t>
      </w:r>
      <w:r w:rsidRPr="00B15C52">
        <w:rPr>
          <w:rFonts w:asciiTheme="minorHAnsi" w:hAnsiTheme="minorHAnsi"/>
          <w:sz w:val="24"/>
          <w:lang w:val="pl-PL"/>
        </w:rPr>
        <w:t>.</w:t>
      </w:r>
    </w:p>
    <w:p w14:paraId="2A0205D6" w14:textId="77777777" w:rsidR="00950534" w:rsidRDefault="00950534" w:rsidP="00950534">
      <w:pPr>
        <w:pStyle w:val="ClinContent"/>
        <w:widowControl w:val="0"/>
        <w:spacing w:before="0"/>
        <w:rPr>
          <w:rFonts w:asciiTheme="minorHAnsi" w:hAnsiTheme="minorHAnsi"/>
          <w:sz w:val="24"/>
          <w:lang w:val="pl-PL"/>
        </w:rPr>
      </w:pPr>
    </w:p>
    <w:p w14:paraId="2AA69B3D" w14:textId="593BC329"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Pierwszy wyrok w sprawie </w:t>
      </w:r>
      <w:r w:rsidRPr="00B15C52">
        <w:rPr>
          <w:rFonts w:asciiTheme="minorHAnsi" w:hAnsiTheme="minorHAnsi"/>
          <w:i/>
          <w:sz w:val="24"/>
          <w:lang w:val="pl-PL"/>
        </w:rPr>
        <w:t xml:space="preserve">Mammadov </w:t>
      </w:r>
      <w:r w:rsidRPr="00B15C52">
        <w:rPr>
          <w:rFonts w:asciiTheme="minorHAnsi" w:hAnsiTheme="minorHAnsi"/>
          <w:sz w:val="24"/>
          <w:lang w:val="pl-PL"/>
        </w:rPr>
        <w:t xml:space="preserve">oraz odpowiadający mu obowiązek </w:t>
      </w:r>
      <w:r w:rsidRPr="00B15C52">
        <w:rPr>
          <w:rFonts w:asciiTheme="minorHAnsi" w:hAnsiTheme="minorHAnsi"/>
          <w:i/>
          <w:sz w:val="24"/>
          <w:lang w:val="pl-PL"/>
        </w:rPr>
        <w:t>restitutio in</w:t>
      </w:r>
      <w:r w:rsidR="00206CCE">
        <w:rPr>
          <w:rFonts w:asciiTheme="minorHAnsi" w:hAnsiTheme="minorHAnsi"/>
          <w:i/>
          <w:sz w:val="24"/>
          <w:lang w:val="pl-PL"/>
        </w:rPr>
        <w:t> </w:t>
      </w:r>
      <w:r w:rsidRPr="00B15C52">
        <w:rPr>
          <w:rFonts w:asciiTheme="minorHAnsi" w:hAnsiTheme="minorHAnsi"/>
          <w:i/>
          <w:sz w:val="24"/>
          <w:lang w:val="pl-PL"/>
        </w:rPr>
        <w:t>integrum</w:t>
      </w:r>
      <w:r w:rsidRPr="00B15C52">
        <w:rPr>
          <w:rFonts w:asciiTheme="minorHAnsi" w:hAnsiTheme="minorHAnsi"/>
          <w:sz w:val="24"/>
          <w:lang w:val="pl-PL"/>
        </w:rPr>
        <w:t xml:space="preserve"> początkowo zobowiązywał </w:t>
      </w:r>
      <w:r>
        <w:rPr>
          <w:rFonts w:asciiTheme="minorHAnsi" w:hAnsiTheme="minorHAnsi"/>
          <w:sz w:val="24"/>
          <w:lang w:val="pl-PL"/>
        </w:rPr>
        <w:t xml:space="preserve">zatem </w:t>
      </w:r>
      <w:r w:rsidRPr="00B15C52">
        <w:rPr>
          <w:rFonts w:asciiTheme="minorHAnsi" w:hAnsiTheme="minorHAnsi"/>
          <w:sz w:val="24"/>
          <w:lang w:val="pl-PL"/>
        </w:rPr>
        <w:t>państwo do cofnięcia lub uchylenia zarzutów karnych</w:t>
      </w:r>
      <w:r>
        <w:rPr>
          <w:rFonts w:asciiTheme="minorHAnsi" w:hAnsiTheme="minorHAnsi"/>
          <w:sz w:val="24"/>
          <w:lang w:val="pl-PL"/>
        </w:rPr>
        <w:t xml:space="preserve">, które Trybunał uznał za </w:t>
      </w:r>
      <w:r w:rsidRPr="00B15C52">
        <w:rPr>
          <w:rFonts w:asciiTheme="minorHAnsi" w:hAnsiTheme="minorHAnsi"/>
          <w:sz w:val="24"/>
          <w:lang w:val="pl-PL"/>
        </w:rPr>
        <w:t>nadużycie</w:t>
      </w:r>
      <w:r>
        <w:rPr>
          <w:rFonts w:asciiTheme="minorHAnsi" w:hAnsiTheme="minorHAnsi"/>
          <w:sz w:val="24"/>
          <w:lang w:val="pl-PL"/>
        </w:rPr>
        <w:t>,</w:t>
      </w:r>
      <w:r w:rsidRPr="00B15C52">
        <w:rPr>
          <w:rFonts w:asciiTheme="minorHAnsi" w:hAnsiTheme="minorHAnsi"/>
          <w:sz w:val="24"/>
          <w:lang w:val="pl-PL"/>
        </w:rPr>
        <w:t xml:space="preserve"> oraz do zakończenia tymczasowego aresztowania skarżącego. </w:t>
      </w:r>
    </w:p>
    <w:p w14:paraId="549E4B5A" w14:textId="77777777" w:rsidR="00950534" w:rsidRDefault="00950534" w:rsidP="00950534">
      <w:pPr>
        <w:pStyle w:val="ClinContent"/>
        <w:widowControl w:val="0"/>
        <w:spacing w:before="0"/>
        <w:rPr>
          <w:rFonts w:asciiTheme="minorHAnsi" w:hAnsiTheme="minorHAnsi"/>
          <w:sz w:val="24"/>
          <w:lang w:val="pl-PL"/>
        </w:rPr>
      </w:pPr>
    </w:p>
    <w:p w14:paraId="57BD8D84" w14:textId="6D63AA5A"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odnotował, że f</w:t>
      </w:r>
      <w:r w:rsidRPr="00B15C52">
        <w:rPr>
          <w:rFonts w:asciiTheme="minorHAnsi" w:hAnsiTheme="minorHAnsi"/>
          <w:sz w:val="24"/>
          <w:lang w:val="pl-PL"/>
        </w:rPr>
        <w:t xml:space="preserve">aktycznie tymczasowe aresztowanie </w:t>
      </w:r>
      <w:r>
        <w:rPr>
          <w:rFonts w:asciiTheme="minorHAnsi" w:hAnsiTheme="minorHAnsi"/>
          <w:sz w:val="24"/>
          <w:lang w:val="pl-PL"/>
        </w:rPr>
        <w:t xml:space="preserve">skarżącego </w:t>
      </w:r>
      <w:r w:rsidRPr="00B15C52">
        <w:rPr>
          <w:rFonts w:asciiTheme="minorHAnsi" w:hAnsiTheme="minorHAnsi"/>
          <w:sz w:val="24"/>
          <w:lang w:val="pl-PL"/>
        </w:rPr>
        <w:t>zakończyło się, gdy został skazany przez sąd pierwszej instancji w marcu 201</w:t>
      </w:r>
      <w:r>
        <w:rPr>
          <w:rFonts w:asciiTheme="minorHAnsi" w:hAnsiTheme="minorHAnsi"/>
          <w:sz w:val="24"/>
          <w:lang w:val="pl-PL"/>
        </w:rPr>
        <w:t>4 r.</w:t>
      </w:r>
      <w:r w:rsidRPr="00B15C52">
        <w:rPr>
          <w:rFonts w:asciiTheme="minorHAnsi" w:hAnsiTheme="minorHAnsi"/>
          <w:sz w:val="24"/>
          <w:lang w:val="pl-PL"/>
        </w:rPr>
        <w:t xml:space="preserve"> </w:t>
      </w:r>
      <w:r>
        <w:rPr>
          <w:rFonts w:asciiTheme="minorHAnsi" w:hAnsiTheme="minorHAnsi"/>
          <w:sz w:val="24"/>
          <w:lang w:val="pl-PL"/>
        </w:rPr>
        <w:t>S</w:t>
      </w:r>
      <w:r w:rsidRPr="00B15C52">
        <w:rPr>
          <w:rFonts w:asciiTheme="minorHAnsi" w:hAnsiTheme="minorHAnsi"/>
          <w:sz w:val="24"/>
          <w:lang w:val="pl-PL"/>
        </w:rPr>
        <w:t xml:space="preserve">kazanie to opierało się </w:t>
      </w:r>
      <w:r>
        <w:rPr>
          <w:rFonts w:asciiTheme="minorHAnsi" w:hAnsiTheme="minorHAnsi"/>
          <w:sz w:val="24"/>
          <w:lang w:val="pl-PL"/>
        </w:rPr>
        <w:t xml:space="preserve">jednak </w:t>
      </w:r>
      <w:r w:rsidRPr="00B15C52">
        <w:rPr>
          <w:rFonts w:asciiTheme="minorHAnsi" w:hAnsiTheme="minorHAnsi"/>
          <w:sz w:val="24"/>
          <w:lang w:val="pl-PL"/>
        </w:rPr>
        <w:t xml:space="preserve">w całości na zakwestionowanych </w:t>
      </w:r>
      <w:r>
        <w:rPr>
          <w:rFonts w:asciiTheme="minorHAnsi" w:hAnsiTheme="minorHAnsi"/>
          <w:sz w:val="24"/>
          <w:lang w:val="pl-PL"/>
        </w:rPr>
        <w:t xml:space="preserve">przez Trybunał </w:t>
      </w:r>
      <w:r w:rsidRPr="00B15C52">
        <w:rPr>
          <w:rFonts w:asciiTheme="minorHAnsi" w:hAnsiTheme="minorHAnsi"/>
          <w:sz w:val="24"/>
          <w:lang w:val="pl-PL"/>
        </w:rPr>
        <w:t xml:space="preserve">zarzutach. Fakt, że </w:t>
      </w:r>
      <w:r>
        <w:rPr>
          <w:rFonts w:asciiTheme="minorHAnsi" w:hAnsiTheme="minorHAnsi"/>
          <w:sz w:val="24"/>
          <w:lang w:val="pl-PL"/>
        </w:rPr>
        <w:t>skarżący pozosta</w:t>
      </w:r>
      <w:r w:rsidRPr="00B15C52">
        <w:rPr>
          <w:rFonts w:asciiTheme="minorHAnsi" w:hAnsiTheme="minorHAnsi"/>
          <w:sz w:val="24"/>
          <w:lang w:val="pl-PL"/>
        </w:rPr>
        <w:t>ł po</w:t>
      </w:r>
      <w:r>
        <w:rPr>
          <w:rFonts w:asciiTheme="minorHAnsi" w:hAnsiTheme="minorHAnsi"/>
          <w:sz w:val="24"/>
          <w:lang w:val="pl-PL"/>
        </w:rPr>
        <w:t>zbawiony wolności w oparciu o ten wyrok skazujący</w:t>
      </w:r>
      <w:r w:rsidRPr="00B15C52">
        <w:rPr>
          <w:rFonts w:asciiTheme="minorHAnsi" w:hAnsiTheme="minorHAnsi"/>
          <w:sz w:val="24"/>
          <w:lang w:val="pl-PL"/>
        </w:rPr>
        <w:t xml:space="preserve"> (a nie tymczasowo aresztowany)</w:t>
      </w:r>
      <w:r>
        <w:rPr>
          <w:rFonts w:asciiTheme="minorHAnsi" w:hAnsiTheme="minorHAnsi"/>
          <w:sz w:val="24"/>
          <w:lang w:val="pl-PL"/>
        </w:rPr>
        <w:t>, nie</w:t>
      </w:r>
      <w:r w:rsidR="00206CCE">
        <w:rPr>
          <w:rFonts w:asciiTheme="minorHAnsi" w:hAnsiTheme="minorHAnsi"/>
          <w:sz w:val="24"/>
          <w:lang w:val="pl-PL"/>
        </w:rPr>
        <w:t> </w:t>
      </w:r>
      <w:r>
        <w:rPr>
          <w:rFonts w:asciiTheme="minorHAnsi" w:hAnsiTheme="minorHAnsi"/>
          <w:sz w:val="24"/>
          <w:lang w:val="pl-PL"/>
        </w:rPr>
        <w:t xml:space="preserve">spowodował, że znalazł się z powrotem w </w:t>
      </w:r>
      <w:r w:rsidRPr="00B15C52">
        <w:rPr>
          <w:rFonts w:asciiTheme="minorHAnsi" w:hAnsiTheme="minorHAnsi"/>
          <w:sz w:val="24"/>
          <w:lang w:val="pl-PL"/>
        </w:rPr>
        <w:t xml:space="preserve">sytuacji, w </w:t>
      </w:r>
      <w:r>
        <w:rPr>
          <w:rFonts w:asciiTheme="minorHAnsi" w:hAnsiTheme="minorHAnsi"/>
          <w:sz w:val="24"/>
          <w:lang w:val="pl-PL"/>
        </w:rPr>
        <w:t>jakiej</w:t>
      </w:r>
      <w:r w:rsidRPr="00B15C52">
        <w:rPr>
          <w:rFonts w:asciiTheme="minorHAnsi" w:hAnsiTheme="minorHAnsi"/>
          <w:sz w:val="24"/>
          <w:lang w:val="pl-PL"/>
        </w:rPr>
        <w:t xml:space="preserve"> by się znajdował, gdyby nie</w:t>
      </w:r>
      <w:r w:rsidR="00206CCE">
        <w:rPr>
          <w:rFonts w:asciiTheme="minorHAnsi" w:hAnsiTheme="minorHAnsi"/>
          <w:sz w:val="24"/>
          <w:lang w:val="pl-PL"/>
        </w:rPr>
        <w:t> </w:t>
      </w:r>
      <w:r w:rsidRPr="00B15C52">
        <w:rPr>
          <w:rFonts w:asciiTheme="minorHAnsi" w:hAnsiTheme="minorHAnsi"/>
          <w:sz w:val="24"/>
          <w:lang w:val="pl-PL"/>
        </w:rPr>
        <w:t xml:space="preserve">zlekceważono wymogów Konwencji. Zasada </w:t>
      </w:r>
      <w:r w:rsidRPr="00B15C52">
        <w:rPr>
          <w:rFonts w:asciiTheme="minorHAnsi" w:hAnsiTheme="minorHAnsi"/>
          <w:i/>
          <w:sz w:val="24"/>
          <w:lang w:val="pl-PL"/>
        </w:rPr>
        <w:t xml:space="preserve">restitutio in integrum </w:t>
      </w:r>
      <w:r w:rsidRPr="00B15C52">
        <w:rPr>
          <w:rFonts w:asciiTheme="minorHAnsi" w:hAnsiTheme="minorHAnsi"/>
          <w:sz w:val="24"/>
          <w:lang w:val="pl-PL"/>
        </w:rPr>
        <w:t>wciąż</w:t>
      </w:r>
      <w:r w:rsidRPr="00B15C52">
        <w:rPr>
          <w:rFonts w:asciiTheme="minorHAnsi" w:hAnsiTheme="minorHAnsi"/>
          <w:i/>
          <w:sz w:val="24"/>
          <w:lang w:val="pl-PL"/>
        </w:rPr>
        <w:t xml:space="preserve"> </w:t>
      </w:r>
      <w:r w:rsidRPr="00B15C52">
        <w:rPr>
          <w:rFonts w:asciiTheme="minorHAnsi" w:hAnsiTheme="minorHAnsi"/>
          <w:sz w:val="24"/>
          <w:lang w:val="pl-PL"/>
        </w:rPr>
        <w:t>zatem wymagała</w:t>
      </w:r>
      <w:r>
        <w:rPr>
          <w:rFonts w:asciiTheme="minorHAnsi" w:hAnsiTheme="minorHAnsi"/>
          <w:sz w:val="24"/>
          <w:lang w:val="pl-PL"/>
        </w:rPr>
        <w:t xml:space="preserve"> usunięcia negatywnych skutków</w:t>
      </w:r>
      <w:r w:rsidRPr="00B15C52">
        <w:rPr>
          <w:rFonts w:asciiTheme="minorHAnsi" w:hAnsiTheme="minorHAnsi"/>
          <w:sz w:val="24"/>
          <w:lang w:val="pl-PL"/>
        </w:rPr>
        <w:t xml:space="preserve"> postawienia zakwestionowanych zarzutów karnych, w tym </w:t>
      </w:r>
      <w:r>
        <w:rPr>
          <w:rFonts w:asciiTheme="minorHAnsi" w:hAnsiTheme="minorHAnsi"/>
          <w:sz w:val="24"/>
          <w:lang w:val="pl-PL"/>
        </w:rPr>
        <w:t>poprzez zwolnienie</w:t>
      </w:r>
      <w:r w:rsidRPr="00B15C52">
        <w:rPr>
          <w:rFonts w:asciiTheme="minorHAnsi" w:hAnsiTheme="minorHAnsi"/>
          <w:sz w:val="24"/>
          <w:lang w:val="pl-PL"/>
        </w:rPr>
        <w:t xml:space="preserve"> skarżącego. </w:t>
      </w:r>
    </w:p>
    <w:p w14:paraId="1DEAE848" w14:textId="77777777" w:rsidR="00950534" w:rsidRDefault="00950534" w:rsidP="00950534">
      <w:pPr>
        <w:pStyle w:val="ClinContent"/>
        <w:widowControl w:val="0"/>
        <w:spacing w:before="0"/>
        <w:rPr>
          <w:rFonts w:asciiTheme="minorHAnsi" w:hAnsiTheme="minorHAnsi"/>
          <w:sz w:val="24"/>
          <w:lang w:val="pl-PL"/>
        </w:rPr>
      </w:pPr>
    </w:p>
    <w:p w14:paraId="57DDD823" w14:textId="2B5891D6"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przypomniał, że pozwany r</w:t>
      </w:r>
      <w:r w:rsidRPr="00B15C52">
        <w:rPr>
          <w:rFonts w:asciiTheme="minorHAnsi" w:hAnsiTheme="minorHAnsi"/>
          <w:sz w:val="24"/>
          <w:lang w:val="pl-PL"/>
        </w:rPr>
        <w:t>ząd nigdy nie twierdził, że istniały przeszkody dla</w:t>
      </w:r>
      <w:r w:rsidR="00206CCE">
        <w:rPr>
          <w:rFonts w:asciiTheme="minorHAnsi" w:hAnsiTheme="minorHAnsi"/>
          <w:sz w:val="24"/>
          <w:lang w:val="pl-PL"/>
        </w:rPr>
        <w:t> </w:t>
      </w:r>
      <w:r w:rsidRPr="00B15C52">
        <w:rPr>
          <w:rFonts w:asciiTheme="minorHAnsi" w:hAnsiTheme="minorHAnsi"/>
          <w:sz w:val="24"/>
          <w:lang w:val="pl-PL"/>
        </w:rPr>
        <w:t xml:space="preserve">osiągnięcia </w:t>
      </w:r>
      <w:r w:rsidRPr="00B15C52">
        <w:rPr>
          <w:rFonts w:asciiTheme="minorHAnsi" w:hAnsiTheme="minorHAnsi"/>
          <w:i/>
          <w:sz w:val="24"/>
          <w:lang w:val="pl-PL"/>
        </w:rPr>
        <w:t xml:space="preserve">restitutio in integrum </w:t>
      </w:r>
      <w:r w:rsidRPr="00B15C52">
        <w:rPr>
          <w:rFonts w:asciiTheme="minorHAnsi" w:hAnsiTheme="minorHAnsi"/>
          <w:sz w:val="24"/>
          <w:lang w:val="pl-PL"/>
        </w:rPr>
        <w:t>na tej podstawie, że byłoby ono „</w:t>
      </w:r>
      <w:r>
        <w:rPr>
          <w:rFonts w:asciiTheme="minorHAnsi" w:hAnsiTheme="minorHAnsi"/>
          <w:sz w:val="24"/>
          <w:lang w:val="pl-PL"/>
        </w:rPr>
        <w:t>fizycznie</w:t>
      </w:r>
      <w:r w:rsidRPr="00B15C52">
        <w:rPr>
          <w:rFonts w:asciiTheme="minorHAnsi" w:hAnsiTheme="minorHAnsi"/>
          <w:sz w:val="24"/>
          <w:lang w:val="pl-PL"/>
        </w:rPr>
        <w:t xml:space="preserve"> niemożliwe” lub </w:t>
      </w:r>
      <w:r>
        <w:rPr>
          <w:rFonts w:asciiTheme="minorHAnsi" w:hAnsiTheme="minorHAnsi"/>
          <w:sz w:val="24"/>
          <w:lang w:val="pl-PL"/>
        </w:rPr>
        <w:t xml:space="preserve">wiązałoby się z </w:t>
      </w:r>
      <w:r w:rsidRPr="00B15C52">
        <w:rPr>
          <w:rFonts w:asciiTheme="minorHAnsi" w:hAnsiTheme="minorHAnsi"/>
          <w:sz w:val="24"/>
          <w:lang w:val="pl-PL"/>
        </w:rPr>
        <w:t>„całkowicie nieproporcjonalny</w:t>
      </w:r>
      <w:r>
        <w:rPr>
          <w:rFonts w:asciiTheme="minorHAnsi" w:hAnsiTheme="minorHAnsi"/>
          <w:sz w:val="24"/>
          <w:lang w:val="pl-PL"/>
        </w:rPr>
        <w:t>m</w:t>
      </w:r>
      <w:r w:rsidRPr="00B15C52">
        <w:rPr>
          <w:rFonts w:asciiTheme="minorHAnsi" w:hAnsiTheme="minorHAnsi"/>
          <w:sz w:val="24"/>
          <w:lang w:val="pl-PL"/>
        </w:rPr>
        <w:t xml:space="preserve"> ciężar</w:t>
      </w:r>
      <w:r>
        <w:rPr>
          <w:rFonts w:asciiTheme="minorHAnsi" w:hAnsiTheme="minorHAnsi"/>
          <w:sz w:val="24"/>
          <w:lang w:val="pl-PL"/>
        </w:rPr>
        <w:t>em</w:t>
      </w:r>
      <w:r w:rsidRPr="00B15C52">
        <w:rPr>
          <w:rFonts w:asciiTheme="minorHAnsi" w:hAnsiTheme="minorHAnsi"/>
          <w:sz w:val="24"/>
          <w:lang w:val="pl-PL"/>
        </w:rPr>
        <w:t>”. Nie było zatem przeszkód dla</w:t>
      </w:r>
      <w:r w:rsidR="00206CCE">
        <w:rPr>
          <w:rFonts w:asciiTheme="minorHAnsi" w:hAnsiTheme="minorHAnsi"/>
          <w:sz w:val="24"/>
          <w:lang w:val="pl-PL"/>
        </w:rPr>
        <w:t> </w:t>
      </w:r>
      <w:r w:rsidRPr="00B15C52">
        <w:rPr>
          <w:rFonts w:asciiTheme="minorHAnsi" w:hAnsiTheme="minorHAnsi"/>
          <w:sz w:val="24"/>
          <w:lang w:val="pl-PL"/>
        </w:rPr>
        <w:t xml:space="preserve">osiągnięcia </w:t>
      </w:r>
      <w:r w:rsidRPr="00B15C52">
        <w:rPr>
          <w:rFonts w:asciiTheme="minorHAnsi" w:hAnsiTheme="minorHAnsi"/>
          <w:i/>
          <w:sz w:val="24"/>
          <w:lang w:val="pl-PL"/>
        </w:rPr>
        <w:t xml:space="preserve">restitutio in integrum. </w:t>
      </w:r>
    </w:p>
    <w:p w14:paraId="74B9A994" w14:textId="77777777" w:rsidR="00950534" w:rsidRDefault="00950534" w:rsidP="00950534">
      <w:pPr>
        <w:pStyle w:val="ClinContent"/>
        <w:widowControl w:val="0"/>
        <w:spacing w:before="0"/>
        <w:rPr>
          <w:rFonts w:asciiTheme="minorHAnsi" w:hAnsiTheme="minorHAnsi"/>
          <w:sz w:val="24"/>
          <w:lang w:val="pl-PL"/>
        </w:rPr>
      </w:pPr>
    </w:p>
    <w:p w14:paraId="11AB7E11" w14:textId="3D697AC5"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 tej sytuacji Trybunał uznał, że o</w:t>
      </w:r>
      <w:r w:rsidRPr="00B15C52">
        <w:rPr>
          <w:rFonts w:asciiTheme="minorHAnsi" w:hAnsiTheme="minorHAnsi"/>
          <w:sz w:val="24"/>
          <w:lang w:val="pl-PL"/>
        </w:rPr>
        <w:t xml:space="preserve">dpowiedni obowiązek </w:t>
      </w:r>
      <w:r w:rsidRPr="00B15C52">
        <w:rPr>
          <w:rFonts w:asciiTheme="minorHAnsi" w:hAnsiTheme="minorHAnsi"/>
          <w:i/>
          <w:sz w:val="24"/>
          <w:lang w:val="pl-PL"/>
        </w:rPr>
        <w:t xml:space="preserve">restitutio in integrum </w:t>
      </w:r>
      <w:r w:rsidRPr="00B15C52">
        <w:rPr>
          <w:rFonts w:asciiTheme="minorHAnsi" w:hAnsiTheme="minorHAnsi"/>
          <w:sz w:val="24"/>
          <w:lang w:val="pl-PL"/>
        </w:rPr>
        <w:t>wymagał, by</w:t>
      </w:r>
      <w:r w:rsidR="00206CCE">
        <w:rPr>
          <w:rFonts w:asciiTheme="minorHAnsi" w:hAnsiTheme="minorHAnsi"/>
          <w:sz w:val="24"/>
          <w:lang w:val="pl-PL"/>
        </w:rPr>
        <w:t> </w:t>
      </w:r>
      <w:r w:rsidRPr="00B15C52">
        <w:rPr>
          <w:rFonts w:asciiTheme="minorHAnsi" w:hAnsiTheme="minorHAnsi"/>
          <w:sz w:val="24"/>
          <w:lang w:val="pl-PL"/>
        </w:rPr>
        <w:t>Azerbejdżan usunął negatywne skutki postawienia zarzutów karnych</w:t>
      </w:r>
      <w:r>
        <w:rPr>
          <w:rFonts w:asciiTheme="minorHAnsi" w:hAnsiTheme="minorHAnsi"/>
          <w:sz w:val="24"/>
          <w:lang w:val="pl-PL"/>
        </w:rPr>
        <w:t xml:space="preserve">, które </w:t>
      </w:r>
      <w:r w:rsidRPr="00B15C52">
        <w:rPr>
          <w:rFonts w:asciiTheme="minorHAnsi" w:hAnsiTheme="minorHAnsi"/>
          <w:sz w:val="24"/>
          <w:lang w:val="pl-PL"/>
        </w:rPr>
        <w:t xml:space="preserve">Trybunał </w:t>
      </w:r>
      <w:r>
        <w:rPr>
          <w:rFonts w:asciiTheme="minorHAnsi" w:hAnsiTheme="minorHAnsi"/>
          <w:sz w:val="24"/>
          <w:lang w:val="pl-PL"/>
        </w:rPr>
        <w:t xml:space="preserve">określił </w:t>
      </w:r>
      <w:r w:rsidRPr="00B15C52">
        <w:rPr>
          <w:rFonts w:asciiTheme="minorHAnsi" w:hAnsiTheme="minorHAnsi"/>
          <w:sz w:val="24"/>
          <w:lang w:val="pl-PL"/>
        </w:rPr>
        <w:t>jako nadużycie</w:t>
      </w:r>
      <w:r>
        <w:rPr>
          <w:rFonts w:asciiTheme="minorHAnsi" w:hAnsiTheme="minorHAnsi"/>
          <w:sz w:val="24"/>
          <w:lang w:val="pl-PL"/>
        </w:rPr>
        <w:t>,</w:t>
      </w:r>
      <w:r w:rsidRPr="00B15C52">
        <w:rPr>
          <w:rFonts w:asciiTheme="minorHAnsi" w:hAnsiTheme="minorHAnsi"/>
          <w:sz w:val="24"/>
          <w:lang w:val="pl-PL"/>
        </w:rPr>
        <w:t xml:space="preserve"> i </w:t>
      </w:r>
      <w:r>
        <w:rPr>
          <w:rFonts w:asciiTheme="minorHAnsi" w:hAnsiTheme="minorHAnsi"/>
          <w:sz w:val="24"/>
          <w:lang w:val="pl-PL"/>
        </w:rPr>
        <w:t xml:space="preserve">by </w:t>
      </w:r>
      <w:r w:rsidRPr="00B15C52">
        <w:rPr>
          <w:rFonts w:asciiTheme="minorHAnsi" w:hAnsiTheme="minorHAnsi"/>
          <w:sz w:val="24"/>
          <w:lang w:val="pl-PL"/>
        </w:rPr>
        <w:t xml:space="preserve">zwolnił </w:t>
      </w:r>
      <w:r>
        <w:rPr>
          <w:rFonts w:asciiTheme="minorHAnsi" w:hAnsiTheme="minorHAnsi"/>
          <w:sz w:val="24"/>
          <w:lang w:val="pl-PL"/>
        </w:rPr>
        <w:t>p</w:t>
      </w:r>
      <w:r w:rsidRPr="00B15C52">
        <w:rPr>
          <w:rFonts w:asciiTheme="minorHAnsi" w:hAnsiTheme="minorHAnsi"/>
          <w:sz w:val="24"/>
          <w:lang w:val="pl-PL"/>
        </w:rPr>
        <w:t xml:space="preserve">ana Mammadova. </w:t>
      </w:r>
    </w:p>
    <w:p w14:paraId="7B1009D8" w14:textId="77777777" w:rsidR="00950534" w:rsidRDefault="00950534" w:rsidP="00950534">
      <w:pPr>
        <w:pStyle w:val="ClinContent"/>
        <w:widowControl w:val="0"/>
        <w:spacing w:before="0"/>
        <w:rPr>
          <w:rFonts w:asciiTheme="minorHAnsi" w:hAnsiTheme="minorHAnsi"/>
          <w:sz w:val="24"/>
          <w:lang w:val="pl-PL"/>
        </w:rPr>
      </w:pPr>
    </w:p>
    <w:p w14:paraId="3156A219" w14:textId="60C87117" w:rsidR="00950534" w:rsidRPr="003C422F" w:rsidRDefault="00950534" w:rsidP="00950534">
      <w:pPr>
        <w:pStyle w:val="ClinContent"/>
        <w:widowControl w:val="0"/>
        <w:spacing w:before="0"/>
        <w:rPr>
          <w:rFonts w:asciiTheme="minorHAnsi" w:hAnsiTheme="minorHAnsi"/>
          <w:sz w:val="24"/>
          <w:u w:val="single"/>
          <w:lang w:val="pl-PL"/>
        </w:rPr>
      </w:pPr>
      <w:r w:rsidRPr="007F1F45">
        <w:rPr>
          <w:rFonts w:asciiTheme="minorHAnsi" w:hAnsiTheme="minorHAnsi"/>
          <w:sz w:val="24"/>
          <w:lang w:val="pl-PL"/>
        </w:rPr>
        <w:t xml:space="preserve">W tym kontekście Trybunał zbadał, </w:t>
      </w:r>
      <w:r w:rsidRPr="003C422F">
        <w:rPr>
          <w:rFonts w:asciiTheme="minorHAnsi" w:hAnsiTheme="minorHAnsi"/>
          <w:i/>
          <w:sz w:val="24"/>
          <w:u w:val="single"/>
          <w:lang w:val="pl-PL"/>
        </w:rPr>
        <w:t>czy Azerbejdżan nie wykonał sw</w:t>
      </w:r>
      <w:r>
        <w:rPr>
          <w:rFonts w:asciiTheme="minorHAnsi" w:hAnsiTheme="minorHAnsi"/>
          <w:i/>
          <w:sz w:val="24"/>
          <w:u w:val="single"/>
          <w:lang w:val="pl-PL"/>
        </w:rPr>
        <w:t>oj</w:t>
      </w:r>
      <w:r w:rsidRPr="003C422F">
        <w:rPr>
          <w:rFonts w:asciiTheme="minorHAnsi" w:hAnsiTheme="minorHAnsi"/>
          <w:i/>
          <w:sz w:val="24"/>
          <w:u w:val="single"/>
          <w:lang w:val="pl-PL"/>
        </w:rPr>
        <w:t>ego zobowiązania na</w:t>
      </w:r>
      <w:r w:rsidR="00206CCE">
        <w:rPr>
          <w:rFonts w:asciiTheme="minorHAnsi" w:hAnsiTheme="minorHAnsi"/>
          <w:i/>
          <w:sz w:val="24"/>
          <w:u w:val="single"/>
          <w:lang w:val="pl-PL"/>
        </w:rPr>
        <w:t> </w:t>
      </w:r>
      <w:r w:rsidRPr="003C422F">
        <w:rPr>
          <w:rFonts w:asciiTheme="minorHAnsi" w:hAnsiTheme="minorHAnsi"/>
          <w:i/>
          <w:sz w:val="24"/>
          <w:u w:val="single"/>
          <w:lang w:val="pl-PL"/>
        </w:rPr>
        <w:t xml:space="preserve">podstawie art. 46 ust. 1 </w:t>
      </w:r>
      <w:r>
        <w:rPr>
          <w:rFonts w:asciiTheme="minorHAnsi" w:hAnsiTheme="minorHAnsi"/>
          <w:i/>
          <w:sz w:val="24"/>
          <w:u w:val="single"/>
          <w:lang w:val="pl-PL"/>
        </w:rPr>
        <w:t xml:space="preserve">Konwencji </w:t>
      </w:r>
      <w:r w:rsidRPr="003C422F">
        <w:rPr>
          <w:rFonts w:asciiTheme="minorHAnsi" w:hAnsiTheme="minorHAnsi"/>
          <w:i/>
          <w:sz w:val="24"/>
          <w:u w:val="single"/>
          <w:lang w:val="pl-PL"/>
        </w:rPr>
        <w:t xml:space="preserve">do przestrzegania ostatecznego wyroku Trybunału. </w:t>
      </w:r>
    </w:p>
    <w:p w14:paraId="63957205" w14:textId="77777777" w:rsidR="00950534" w:rsidRDefault="00950534" w:rsidP="00950534">
      <w:pPr>
        <w:pStyle w:val="ClinContent"/>
        <w:widowControl w:val="0"/>
        <w:spacing w:before="0"/>
        <w:rPr>
          <w:rFonts w:asciiTheme="minorHAnsi" w:hAnsiTheme="minorHAnsi"/>
          <w:sz w:val="24"/>
          <w:lang w:val="pl-PL"/>
        </w:rPr>
      </w:pPr>
    </w:p>
    <w:p w14:paraId="7A2643BF" w14:textId="77777777" w:rsidR="00277D0F" w:rsidRDefault="00277D0F" w:rsidP="00950534">
      <w:pPr>
        <w:pStyle w:val="ClinContent"/>
        <w:widowControl w:val="0"/>
        <w:spacing w:before="0"/>
        <w:rPr>
          <w:rFonts w:asciiTheme="minorHAnsi" w:hAnsiTheme="minorHAnsi"/>
          <w:sz w:val="24"/>
          <w:lang w:val="pl-PL"/>
        </w:rPr>
      </w:pPr>
    </w:p>
    <w:p w14:paraId="77441AF4" w14:textId="243517E8"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lastRenderedPageBreak/>
        <w:t xml:space="preserve">Trybunał rozpatrzył </w:t>
      </w:r>
      <w:r w:rsidRPr="007F1F45">
        <w:rPr>
          <w:rFonts w:asciiTheme="minorHAnsi" w:hAnsiTheme="minorHAnsi"/>
          <w:sz w:val="24"/>
          <w:lang w:val="pl-PL"/>
        </w:rPr>
        <w:t>w szczególności</w:t>
      </w:r>
      <w:r>
        <w:rPr>
          <w:rFonts w:asciiTheme="minorHAnsi" w:hAnsiTheme="minorHAnsi"/>
          <w:sz w:val="24"/>
          <w:lang w:val="pl-PL"/>
        </w:rPr>
        <w:t xml:space="preserve">, </w:t>
      </w:r>
      <w:r w:rsidRPr="003C422F">
        <w:rPr>
          <w:rFonts w:asciiTheme="minorHAnsi" w:hAnsiTheme="minorHAnsi"/>
          <w:sz w:val="24"/>
          <w:u w:val="single"/>
          <w:lang w:val="pl-PL"/>
        </w:rPr>
        <w:t>c</w:t>
      </w:r>
      <w:r w:rsidRPr="003C422F">
        <w:rPr>
          <w:rFonts w:asciiTheme="minorHAnsi" w:hAnsiTheme="minorHAnsi"/>
          <w:i/>
          <w:sz w:val="24"/>
          <w:u w:val="single"/>
          <w:lang w:val="pl-PL"/>
        </w:rPr>
        <w:t>zy podjęte przez Azerbejdżan środki indywidualne zapewniły restitutio in integrum</w:t>
      </w:r>
      <w:r>
        <w:rPr>
          <w:rFonts w:asciiTheme="minorHAnsi" w:hAnsiTheme="minorHAnsi"/>
          <w:i/>
          <w:sz w:val="24"/>
          <w:lang w:val="pl-PL"/>
        </w:rPr>
        <w:t xml:space="preserve">. </w:t>
      </w:r>
      <w:r w:rsidRPr="007F1F45">
        <w:rPr>
          <w:rFonts w:asciiTheme="minorHAnsi" w:hAnsiTheme="minorHAnsi"/>
          <w:sz w:val="24"/>
          <w:lang w:val="pl-PL"/>
        </w:rPr>
        <w:t>Uznał, że d</w:t>
      </w:r>
      <w:r w:rsidRPr="00B15C52">
        <w:rPr>
          <w:rFonts w:asciiTheme="minorHAnsi" w:hAnsiTheme="minorHAnsi"/>
          <w:sz w:val="24"/>
          <w:lang w:val="pl-PL"/>
        </w:rPr>
        <w:t>o czasu</w:t>
      </w:r>
      <w:r>
        <w:rPr>
          <w:rFonts w:asciiTheme="minorHAnsi" w:hAnsiTheme="minorHAnsi"/>
          <w:sz w:val="24"/>
          <w:lang w:val="pl-PL"/>
        </w:rPr>
        <w:t>, gdy</w:t>
      </w:r>
      <w:r w:rsidRPr="00B15C52">
        <w:rPr>
          <w:rFonts w:asciiTheme="minorHAnsi" w:hAnsiTheme="minorHAnsi"/>
          <w:sz w:val="24"/>
          <w:lang w:val="pl-PL"/>
        </w:rPr>
        <w:t xml:space="preserve"> Komitet Ministrów </w:t>
      </w:r>
      <w:r>
        <w:rPr>
          <w:rFonts w:asciiTheme="minorHAnsi" w:hAnsiTheme="minorHAnsi"/>
          <w:sz w:val="24"/>
          <w:lang w:val="pl-PL"/>
        </w:rPr>
        <w:t xml:space="preserve">przekazał </w:t>
      </w:r>
      <w:r w:rsidRPr="00B15C52">
        <w:rPr>
          <w:rFonts w:asciiTheme="minorHAnsi" w:hAnsiTheme="minorHAnsi"/>
          <w:sz w:val="24"/>
          <w:lang w:val="pl-PL"/>
        </w:rPr>
        <w:t xml:space="preserve">Trybunałowi </w:t>
      </w:r>
      <w:r>
        <w:rPr>
          <w:rFonts w:asciiTheme="minorHAnsi" w:hAnsiTheme="minorHAnsi"/>
          <w:sz w:val="24"/>
          <w:lang w:val="pl-PL"/>
        </w:rPr>
        <w:t xml:space="preserve">zapytanie, </w:t>
      </w:r>
      <w:r w:rsidRPr="00B15C52">
        <w:rPr>
          <w:rFonts w:asciiTheme="minorHAnsi" w:hAnsiTheme="minorHAnsi"/>
          <w:sz w:val="24"/>
          <w:lang w:val="pl-PL"/>
        </w:rPr>
        <w:t>było już jasne, że postępowanie krajowe nie zapewniło naprawienia naruszenia. W istocie, Sąd Apelacyjny, badając ponownie skazanie skarżącego w swym wyroku z dnia 29 kwietnia 2016 r., odrzucił jako nie</w:t>
      </w:r>
      <w:r>
        <w:rPr>
          <w:rFonts w:asciiTheme="minorHAnsi" w:hAnsiTheme="minorHAnsi"/>
          <w:sz w:val="24"/>
          <w:lang w:val="pl-PL"/>
        </w:rPr>
        <w:t>słuszne</w:t>
      </w:r>
      <w:r w:rsidRPr="00B15C52">
        <w:rPr>
          <w:rFonts w:asciiTheme="minorHAnsi" w:hAnsiTheme="minorHAnsi"/>
          <w:sz w:val="24"/>
          <w:lang w:val="pl-PL"/>
        </w:rPr>
        <w:t xml:space="preserve"> stwierdzenia Trybunału w</w:t>
      </w:r>
      <w:r w:rsidR="00206CCE">
        <w:rPr>
          <w:rFonts w:asciiTheme="minorHAnsi" w:hAnsiTheme="minorHAnsi"/>
          <w:sz w:val="24"/>
          <w:lang w:val="pl-PL"/>
        </w:rPr>
        <w:t> </w:t>
      </w:r>
      <w:r w:rsidRPr="00B15C52">
        <w:rPr>
          <w:rFonts w:asciiTheme="minorHAnsi" w:hAnsiTheme="minorHAnsi"/>
          <w:sz w:val="24"/>
          <w:lang w:val="pl-PL"/>
        </w:rPr>
        <w:t xml:space="preserve">odniesieniu do art. 5 ust. 1 lit. c </w:t>
      </w:r>
      <w:r>
        <w:rPr>
          <w:rFonts w:asciiTheme="minorHAnsi" w:hAnsiTheme="minorHAnsi"/>
          <w:sz w:val="24"/>
          <w:lang w:val="pl-PL"/>
        </w:rPr>
        <w:t xml:space="preserve">Konwencji, </w:t>
      </w:r>
      <w:r w:rsidRPr="00B15C52">
        <w:rPr>
          <w:rFonts w:asciiTheme="minorHAnsi" w:hAnsiTheme="minorHAnsi"/>
          <w:sz w:val="24"/>
          <w:lang w:val="pl-PL"/>
        </w:rPr>
        <w:t xml:space="preserve">zawarte w pierwszym wyroku w sprawie </w:t>
      </w:r>
      <w:r w:rsidRPr="00B15C52">
        <w:rPr>
          <w:rFonts w:asciiTheme="minorHAnsi" w:hAnsiTheme="minorHAnsi"/>
          <w:i/>
          <w:sz w:val="24"/>
          <w:lang w:val="pl-PL"/>
        </w:rPr>
        <w:t>Mammadov</w:t>
      </w:r>
      <w:r>
        <w:rPr>
          <w:rFonts w:asciiTheme="minorHAnsi" w:hAnsiTheme="minorHAnsi"/>
          <w:i/>
          <w:sz w:val="24"/>
          <w:lang w:val="pl-PL"/>
        </w:rPr>
        <w:t>.</w:t>
      </w:r>
      <w:r w:rsidRPr="00B15C52">
        <w:rPr>
          <w:rFonts w:asciiTheme="minorHAnsi" w:hAnsiTheme="minorHAnsi"/>
          <w:i/>
          <w:sz w:val="24"/>
          <w:lang w:val="pl-PL"/>
        </w:rPr>
        <w:t xml:space="preserve"> </w:t>
      </w:r>
      <w:r>
        <w:rPr>
          <w:rFonts w:asciiTheme="minorHAnsi" w:hAnsiTheme="minorHAnsi"/>
          <w:sz w:val="24"/>
          <w:lang w:val="pl-PL"/>
        </w:rPr>
        <w:t>N</w:t>
      </w:r>
      <w:r w:rsidRPr="00B15C52">
        <w:rPr>
          <w:rFonts w:asciiTheme="minorHAnsi" w:hAnsiTheme="minorHAnsi"/>
          <w:sz w:val="24"/>
          <w:lang w:val="pl-PL"/>
        </w:rPr>
        <w:t xml:space="preserve">ie odniósł się </w:t>
      </w:r>
      <w:r>
        <w:rPr>
          <w:rFonts w:asciiTheme="minorHAnsi" w:hAnsiTheme="minorHAnsi"/>
          <w:sz w:val="24"/>
          <w:lang w:val="pl-PL"/>
        </w:rPr>
        <w:t xml:space="preserve">przy tym </w:t>
      </w:r>
      <w:r w:rsidRPr="00B15C52">
        <w:rPr>
          <w:rFonts w:asciiTheme="minorHAnsi" w:hAnsiTheme="minorHAnsi"/>
          <w:sz w:val="24"/>
          <w:lang w:val="pl-PL"/>
        </w:rPr>
        <w:t xml:space="preserve">do innych stwierdzonych naruszeń, w tym </w:t>
      </w:r>
      <w:r>
        <w:rPr>
          <w:rFonts w:asciiTheme="minorHAnsi" w:hAnsiTheme="minorHAnsi"/>
          <w:sz w:val="24"/>
          <w:lang w:val="pl-PL"/>
        </w:rPr>
        <w:t xml:space="preserve">dotyczących </w:t>
      </w:r>
      <w:r w:rsidRPr="00B15C52">
        <w:rPr>
          <w:rFonts w:asciiTheme="minorHAnsi" w:hAnsiTheme="minorHAnsi"/>
          <w:sz w:val="24"/>
          <w:lang w:val="pl-PL"/>
        </w:rPr>
        <w:t>art. 18 w związku z art. 5 Konwencji. Sąd Apelacyjny stwierdził, że zebrano wystarczające dowody</w:t>
      </w:r>
      <w:r>
        <w:rPr>
          <w:rFonts w:asciiTheme="minorHAnsi" w:hAnsiTheme="minorHAnsi"/>
          <w:sz w:val="24"/>
          <w:lang w:val="pl-PL"/>
        </w:rPr>
        <w:t>, a sąd pierwszej instancji ocenił je kompleksowo i obiektywnie</w:t>
      </w:r>
      <w:r w:rsidRPr="00B15C52">
        <w:rPr>
          <w:rFonts w:asciiTheme="minorHAnsi" w:hAnsiTheme="minorHAnsi"/>
          <w:sz w:val="24"/>
          <w:lang w:val="pl-PL"/>
        </w:rPr>
        <w:t xml:space="preserve">. </w:t>
      </w:r>
    </w:p>
    <w:p w14:paraId="0ACB0D7C" w14:textId="77777777" w:rsidR="00950534" w:rsidRDefault="00950534" w:rsidP="00950534">
      <w:pPr>
        <w:pStyle w:val="ClinContent"/>
        <w:widowControl w:val="0"/>
        <w:spacing w:before="0"/>
        <w:rPr>
          <w:rFonts w:asciiTheme="minorHAnsi" w:hAnsiTheme="minorHAnsi"/>
          <w:sz w:val="24"/>
          <w:lang w:val="pl-PL"/>
        </w:rPr>
      </w:pPr>
    </w:p>
    <w:p w14:paraId="2AD117DA" w14:textId="2BB862F0"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 xml:space="preserve">Komitet Ministrów dokładnie </w:t>
      </w:r>
      <w:r>
        <w:rPr>
          <w:rFonts w:asciiTheme="minorHAnsi" w:hAnsiTheme="minorHAnsi"/>
          <w:sz w:val="24"/>
          <w:lang w:val="pl-PL"/>
        </w:rPr>
        <w:t xml:space="preserve">monitorował </w:t>
      </w:r>
      <w:r w:rsidRPr="00B15C52">
        <w:rPr>
          <w:rFonts w:asciiTheme="minorHAnsi" w:hAnsiTheme="minorHAnsi"/>
          <w:sz w:val="24"/>
          <w:lang w:val="pl-PL"/>
        </w:rPr>
        <w:t>tok postępowania przed sądami krajowymi i</w:t>
      </w:r>
      <w:r w:rsidR="00206CCE">
        <w:rPr>
          <w:rFonts w:asciiTheme="minorHAnsi" w:hAnsiTheme="minorHAnsi"/>
          <w:sz w:val="24"/>
          <w:lang w:val="pl-PL"/>
        </w:rPr>
        <w:t> </w:t>
      </w:r>
      <w:r w:rsidRPr="00B15C52">
        <w:rPr>
          <w:rFonts w:asciiTheme="minorHAnsi" w:hAnsiTheme="minorHAnsi"/>
          <w:sz w:val="24"/>
          <w:lang w:val="pl-PL"/>
        </w:rPr>
        <w:t>uznał, że sądy te nie usunęły negatywnych skutków spowodowanych naruszeniem art. 18 w</w:t>
      </w:r>
      <w:r w:rsidR="00206CCE">
        <w:rPr>
          <w:rFonts w:asciiTheme="minorHAnsi" w:hAnsiTheme="minorHAnsi"/>
          <w:sz w:val="24"/>
          <w:lang w:val="pl-PL"/>
        </w:rPr>
        <w:t> </w:t>
      </w:r>
      <w:r w:rsidRPr="00B15C52">
        <w:rPr>
          <w:rFonts w:asciiTheme="minorHAnsi" w:hAnsiTheme="minorHAnsi"/>
          <w:sz w:val="24"/>
          <w:lang w:val="pl-PL"/>
        </w:rPr>
        <w:t xml:space="preserve">związku z art. 5 </w:t>
      </w:r>
      <w:r>
        <w:rPr>
          <w:rFonts w:asciiTheme="minorHAnsi" w:hAnsiTheme="minorHAnsi"/>
          <w:sz w:val="24"/>
          <w:lang w:val="pl-PL"/>
        </w:rPr>
        <w:t xml:space="preserve">Konwencji, </w:t>
      </w:r>
      <w:r w:rsidRPr="00B15C52">
        <w:rPr>
          <w:rFonts w:asciiTheme="minorHAnsi" w:hAnsiTheme="minorHAnsi"/>
          <w:sz w:val="24"/>
          <w:lang w:val="pl-PL"/>
        </w:rPr>
        <w:t xml:space="preserve">stwierdzonym w pierwszym wyroku w sprawie </w:t>
      </w:r>
      <w:r w:rsidRPr="00B15C52">
        <w:rPr>
          <w:rFonts w:asciiTheme="minorHAnsi" w:hAnsiTheme="minorHAnsi"/>
          <w:i/>
          <w:sz w:val="24"/>
          <w:lang w:val="pl-PL"/>
        </w:rPr>
        <w:t xml:space="preserve">Mammadov. </w:t>
      </w:r>
    </w:p>
    <w:p w14:paraId="328CDCD0" w14:textId="77777777" w:rsidR="00950534" w:rsidRDefault="00950534" w:rsidP="00950534">
      <w:pPr>
        <w:pStyle w:val="ClinContent"/>
        <w:widowControl w:val="0"/>
        <w:spacing w:before="0"/>
        <w:rPr>
          <w:rFonts w:asciiTheme="minorHAnsi" w:hAnsiTheme="minorHAnsi"/>
          <w:i/>
          <w:sz w:val="24"/>
          <w:lang w:val="pl-PL"/>
        </w:rPr>
      </w:pPr>
    </w:p>
    <w:p w14:paraId="60FFF080"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uznał już, że jego stwierdzenie naruszenia art. 18 w związku z art. 5</w:t>
      </w:r>
      <w:r>
        <w:rPr>
          <w:rFonts w:asciiTheme="minorHAnsi" w:hAnsiTheme="minorHAnsi"/>
          <w:sz w:val="24"/>
          <w:lang w:val="pl-PL"/>
        </w:rPr>
        <w:t xml:space="preserve"> Konwencji</w:t>
      </w:r>
      <w:r w:rsidRPr="00B15C52">
        <w:rPr>
          <w:rFonts w:asciiTheme="minorHAnsi" w:hAnsiTheme="minorHAnsi"/>
          <w:sz w:val="24"/>
          <w:lang w:val="pl-PL"/>
        </w:rPr>
        <w:t xml:space="preserve">, zawarte w pierwszym wyroku w sprawie </w:t>
      </w:r>
      <w:r w:rsidRPr="00B15C52">
        <w:rPr>
          <w:rFonts w:asciiTheme="minorHAnsi" w:hAnsiTheme="minorHAnsi"/>
          <w:i/>
          <w:sz w:val="24"/>
          <w:lang w:val="pl-PL"/>
        </w:rPr>
        <w:t xml:space="preserve">Mammadov, </w:t>
      </w:r>
      <w:r w:rsidRPr="00B15C52">
        <w:rPr>
          <w:rFonts w:asciiTheme="minorHAnsi" w:hAnsiTheme="minorHAnsi"/>
          <w:sz w:val="24"/>
          <w:lang w:val="pl-PL"/>
        </w:rPr>
        <w:t>podważyło dal</w:t>
      </w:r>
      <w:r>
        <w:rPr>
          <w:rFonts w:asciiTheme="minorHAnsi" w:hAnsiTheme="minorHAnsi"/>
          <w:sz w:val="24"/>
          <w:lang w:val="pl-PL"/>
        </w:rPr>
        <w:t>sze postępowanie karne. Logicznym działaniem</w:t>
      </w:r>
      <w:r w:rsidRPr="00B15C52">
        <w:rPr>
          <w:rFonts w:asciiTheme="minorHAnsi" w:hAnsiTheme="minorHAnsi"/>
          <w:sz w:val="24"/>
          <w:lang w:val="pl-PL"/>
        </w:rPr>
        <w:t xml:space="preserve"> </w:t>
      </w:r>
      <w:r>
        <w:rPr>
          <w:rFonts w:asciiTheme="minorHAnsi" w:hAnsiTheme="minorHAnsi"/>
          <w:sz w:val="24"/>
          <w:lang w:val="pl-PL"/>
        </w:rPr>
        <w:t xml:space="preserve">było zatem </w:t>
      </w:r>
      <w:r w:rsidRPr="00B15C52">
        <w:rPr>
          <w:rFonts w:asciiTheme="minorHAnsi" w:hAnsiTheme="minorHAnsi"/>
          <w:sz w:val="24"/>
          <w:lang w:val="pl-PL"/>
        </w:rPr>
        <w:t xml:space="preserve">dążenie do </w:t>
      </w:r>
      <w:r>
        <w:rPr>
          <w:rFonts w:asciiTheme="minorHAnsi" w:hAnsiTheme="minorHAnsi"/>
          <w:sz w:val="24"/>
          <w:lang w:val="pl-PL"/>
        </w:rPr>
        <w:t xml:space="preserve">natychmiastowego </w:t>
      </w:r>
      <w:r w:rsidRPr="00B15C52">
        <w:rPr>
          <w:rFonts w:asciiTheme="minorHAnsi" w:hAnsiTheme="minorHAnsi"/>
          <w:sz w:val="24"/>
          <w:lang w:val="pl-PL"/>
        </w:rPr>
        <w:t xml:space="preserve">zapewnienia zwolnienia skarżącego. Nawet </w:t>
      </w:r>
      <w:r>
        <w:rPr>
          <w:rFonts w:asciiTheme="minorHAnsi" w:hAnsiTheme="minorHAnsi"/>
          <w:sz w:val="24"/>
          <w:lang w:val="pl-PL"/>
        </w:rPr>
        <w:t>gdyby uznać</w:t>
      </w:r>
      <w:r w:rsidRPr="00B15C52">
        <w:rPr>
          <w:rFonts w:asciiTheme="minorHAnsi" w:hAnsiTheme="minorHAnsi"/>
          <w:sz w:val="24"/>
          <w:lang w:val="pl-PL"/>
        </w:rPr>
        <w:t xml:space="preserve">, że na potrzeby </w:t>
      </w:r>
      <w:r w:rsidRPr="00B15C52">
        <w:rPr>
          <w:rFonts w:asciiTheme="minorHAnsi" w:hAnsiTheme="minorHAnsi"/>
          <w:i/>
          <w:sz w:val="24"/>
          <w:lang w:val="pl-PL"/>
        </w:rPr>
        <w:t xml:space="preserve">restitutio in integrum </w:t>
      </w:r>
      <w:r w:rsidRPr="00B15C52">
        <w:rPr>
          <w:rFonts w:asciiTheme="minorHAnsi" w:hAnsiTheme="minorHAnsi"/>
          <w:sz w:val="24"/>
          <w:lang w:val="pl-PL"/>
        </w:rPr>
        <w:t>wystarcz</w:t>
      </w:r>
      <w:r>
        <w:rPr>
          <w:rFonts w:asciiTheme="minorHAnsi" w:hAnsiTheme="minorHAnsi"/>
          <w:sz w:val="24"/>
          <w:lang w:val="pl-PL"/>
        </w:rPr>
        <w:t>yłoby zaczekać</w:t>
      </w:r>
      <w:r w:rsidRPr="00B15C52">
        <w:rPr>
          <w:rFonts w:asciiTheme="minorHAnsi" w:hAnsiTheme="minorHAnsi"/>
          <w:sz w:val="24"/>
          <w:lang w:val="pl-PL"/>
        </w:rPr>
        <w:t xml:space="preserve"> na naprawienie </w:t>
      </w:r>
      <w:r>
        <w:rPr>
          <w:rFonts w:asciiTheme="minorHAnsi" w:hAnsiTheme="minorHAnsi"/>
          <w:sz w:val="24"/>
          <w:lang w:val="pl-PL"/>
        </w:rPr>
        <w:t xml:space="preserve">błędów, </w:t>
      </w:r>
      <w:r w:rsidRPr="00B15C52">
        <w:rPr>
          <w:rFonts w:asciiTheme="minorHAnsi" w:hAnsiTheme="minorHAnsi"/>
          <w:sz w:val="24"/>
          <w:lang w:val="pl-PL"/>
        </w:rPr>
        <w:t>stwierdzonych w tym wyroku</w:t>
      </w:r>
      <w:r>
        <w:rPr>
          <w:rFonts w:asciiTheme="minorHAnsi" w:hAnsiTheme="minorHAnsi"/>
          <w:sz w:val="24"/>
          <w:lang w:val="pl-PL"/>
        </w:rPr>
        <w:t>,</w:t>
      </w:r>
      <w:r w:rsidRPr="00B15C52">
        <w:rPr>
          <w:rFonts w:asciiTheme="minorHAnsi" w:hAnsiTheme="minorHAnsi"/>
          <w:sz w:val="24"/>
          <w:lang w:val="pl-PL"/>
        </w:rPr>
        <w:t xml:space="preserve"> </w:t>
      </w:r>
      <w:r>
        <w:rPr>
          <w:rFonts w:asciiTheme="minorHAnsi" w:hAnsiTheme="minorHAnsi"/>
          <w:sz w:val="24"/>
          <w:lang w:val="pl-PL"/>
        </w:rPr>
        <w:t>w dalszym postępowaniu karnym</w:t>
      </w:r>
      <w:r w:rsidRPr="00B15C52">
        <w:rPr>
          <w:rFonts w:asciiTheme="minorHAnsi" w:hAnsiTheme="minorHAnsi"/>
          <w:sz w:val="24"/>
          <w:lang w:val="pl-PL"/>
        </w:rPr>
        <w:t xml:space="preserve">, </w:t>
      </w:r>
      <w:r>
        <w:rPr>
          <w:rFonts w:asciiTheme="minorHAnsi" w:hAnsiTheme="minorHAnsi"/>
          <w:sz w:val="24"/>
          <w:lang w:val="pl-PL"/>
        </w:rPr>
        <w:t xml:space="preserve">okazało się, że postępowanie to </w:t>
      </w:r>
      <w:r w:rsidRPr="00B15C52">
        <w:rPr>
          <w:rFonts w:asciiTheme="minorHAnsi" w:hAnsiTheme="minorHAnsi"/>
          <w:sz w:val="24"/>
          <w:lang w:val="pl-PL"/>
        </w:rPr>
        <w:t>nie zapewniło tego.</w:t>
      </w:r>
      <w:r>
        <w:rPr>
          <w:rFonts w:asciiTheme="minorHAnsi" w:hAnsiTheme="minorHAnsi"/>
          <w:sz w:val="24"/>
          <w:lang w:val="pl-PL"/>
        </w:rPr>
        <w:t xml:space="preserve"> </w:t>
      </w:r>
    </w:p>
    <w:p w14:paraId="55BA4FA4" w14:textId="77777777" w:rsidR="00950534" w:rsidRDefault="00950534" w:rsidP="00950534">
      <w:pPr>
        <w:pStyle w:val="ClinContent"/>
        <w:widowControl w:val="0"/>
        <w:spacing w:before="0"/>
        <w:rPr>
          <w:rFonts w:asciiTheme="minorHAnsi" w:hAnsiTheme="minorHAnsi"/>
          <w:sz w:val="24"/>
          <w:lang w:val="pl-PL"/>
        </w:rPr>
      </w:pPr>
    </w:p>
    <w:p w14:paraId="678E2B0E"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Wady </w:t>
      </w:r>
      <w:r>
        <w:rPr>
          <w:rFonts w:asciiTheme="minorHAnsi" w:hAnsiTheme="minorHAnsi"/>
          <w:sz w:val="24"/>
          <w:lang w:val="pl-PL"/>
        </w:rPr>
        <w:t xml:space="preserve">stwierdzone </w:t>
      </w:r>
      <w:r w:rsidRPr="00B15C52">
        <w:rPr>
          <w:rFonts w:asciiTheme="minorHAnsi" w:hAnsiTheme="minorHAnsi"/>
          <w:sz w:val="24"/>
          <w:lang w:val="pl-PL"/>
        </w:rPr>
        <w:t xml:space="preserve">w pierwszym wyroku w sprawie </w:t>
      </w:r>
      <w:r w:rsidRPr="00B15C52">
        <w:rPr>
          <w:rFonts w:asciiTheme="minorHAnsi" w:hAnsiTheme="minorHAnsi"/>
          <w:i/>
          <w:sz w:val="24"/>
          <w:lang w:val="pl-PL"/>
        </w:rPr>
        <w:t xml:space="preserve">Mammadov </w:t>
      </w:r>
      <w:r w:rsidRPr="00B15C52">
        <w:rPr>
          <w:rFonts w:asciiTheme="minorHAnsi" w:hAnsiTheme="minorHAnsi"/>
          <w:sz w:val="24"/>
          <w:lang w:val="pl-PL"/>
        </w:rPr>
        <w:t xml:space="preserve">zostały następnie potwierdzone przez Trybunał w drugim wyroku w sprawie </w:t>
      </w:r>
      <w:r w:rsidRPr="00B15C52">
        <w:rPr>
          <w:rFonts w:asciiTheme="minorHAnsi" w:hAnsiTheme="minorHAnsi"/>
          <w:i/>
          <w:sz w:val="24"/>
          <w:lang w:val="pl-PL"/>
        </w:rPr>
        <w:t xml:space="preserve">Mammadov, </w:t>
      </w:r>
      <w:r w:rsidRPr="006C66B1">
        <w:rPr>
          <w:rFonts w:asciiTheme="minorHAnsi" w:hAnsiTheme="minorHAnsi"/>
          <w:sz w:val="24"/>
          <w:lang w:val="pl-PL"/>
        </w:rPr>
        <w:t>według którego</w:t>
      </w:r>
      <w:r>
        <w:rPr>
          <w:rFonts w:asciiTheme="minorHAnsi" w:hAnsiTheme="minorHAnsi"/>
          <w:i/>
          <w:sz w:val="24"/>
          <w:lang w:val="pl-PL"/>
        </w:rPr>
        <w:t xml:space="preserve"> </w:t>
      </w:r>
      <w:r w:rsidRPr="00B15C52">
        <w:rPr>
          <w:rFonts w:asciiTheme="minorHAnsi" w:hAnsiTheme="minorHAnsi"/>
          <w:sz w:val="24"/>
          <w:lang w:val="pl-PL"/>
        </w:rPr>
        <w:t xml:space="preserve">skazanie skarżącego opierało się na wadliwych lub fałszywie przedstawionych dowodach. </w:t>
      </w:r>
    </w:p>
    <w:p w14:paraId="5416A82E" w14:textId="77777777" w:rsidR="00950534" w:rsidRDefault="00950534" w:rsidP="00950534">
      <w:pPr>
        <w:pStyle w:val="ClinContent"/>
        <w:widowControl w:val="0"/>
        <w:spacing w:before="0"/>
        <w:rPr>
          <w:rFonts w:asciiTheme="minorHAnsi" w:hAnsiTheme="minorHAnsi"/>
          <w:sz w:val="24"/>
          <w:lang w:val="pl-PL"/>
        </w:rPr>
      </w:pPr>
    </w:p>
    <w:p w14:paraId="043EBC5D"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 xml:space="preserve">W rezultacie Trybunał uznał, że skutki stwierdzenia naruszenia art. 18 w związku z art. 5 Konwencji w pierwszym wyroku w sprawie </w:t>
      </w:r>
      <w:r w:rsidRPr="00B15C52">
        <w:rPr>
          <w:rFonts w:asciiTheme="minorHAnsi" w:hAnsiTheme="minorHAnsi"/>
          <w:i/>
          <w:sz w:val="24"/>
          <w:lang w:val="pl-PL"/>
        </w:rPr>
        <w:t>Mammadov</w:t>
      </w:r>
      <w:r w:rsidRPr="00B15C52">
        <w:rPr>
          <w:rFonts w:asciiTheme="minorHAnsi" w:hAnsiTheme="minorHAnsi"/>
          <w:sz w:val="24"/>
          <w:lang w:val="pl-PL"/>
        </w:rPr>
        <w:t xml:space="preserve"> nie zostały usunięte przez drugi wyrok w sprawie </w:t>
      </w:r>
      <w:r w:rsidRPr="00B15C52">
        <w:rPr>
          <w:rFonts w:asciiTheme="minorHAnsi" w:hAnsiTheme="minorHAnsi"/>
          <w:i/>
          <w:sz w:val="24"/>
          <w:lang w:val="pl-PL"/>
        </w:rPr>
        <w:t xml:space="preserve">Mammadov, </w:t>
      </w:r>
      <w:r>
        <w:rPr>
          <w:rFonts w:asciiTheme="minorHAnsi" w:hAnsiTheme="minorHAnsi"/>
          <w:sz w:val="24"/>
          <w:lang w:val="pl-PL"/>
        </w:rPr>
        <w:t xml:space="preserve">który </w:t>
      </w:r>
      <w:r w:rsidRPr="00B15C52">
        <w:rPr>
          <w:rFonts w:asciiTheme="minorHAnsi" w:hAnsiTheme="minorHAnsi"/>
          <w:sz w:val="24"/>
          <w:lang w:val="pl-PL"/>
        </w:rPr>
        <w:t xml:space="preserve">w istocie potwierdził potrzebę </w:t>
      </w:r>
      <w:r>
        <w:rPr>
          <w:rFonts w:asciiTheme="minorHAnsi" w:hAnsiTheme="minorHAnsi"/>
          <w:sz w:val="24"/>
          <w:lang w:val="pl-PL"/>
        </w:rPr>
        <w:t xml:space="preserve">podjęcia </w:t>
      </w:r>
      <w:r w:rsidRPr="00B15C52">
        <w:rPr>
          <w:rFonts w:asciiTheme="minorHAnsi" w:hAnsiTheme="minorHAnsi"/>
          <w:sz w:val="24"/>
          <w:lang w:val="pl-PL"/>
        </w:rPr>
        <w:t xml:space="preserve">środków indywidualnych wymaganych pierwszym wyrokiem w sprawie </w:t>
      </w:r>
      <w:r w:rsidRPr="00B15C52">
        <w:rPr>
          <w:rFonts w:asciiTheme="minorHAnsi" w:hAnsiTheme="minorHAnsi"/>
          <w:i/>
          <w:sz w:val="24"/>
          <w:lang w:val="pl-PL"/>
        </w:rPr>
        <w:t xml:space="preserve">Mammadov. </w:t>
      </w:r>
    </w:p>
    <w:p w14:paraId="75CCF27B" w14:textId="77777777" w:rsidR="00950534" w:rsidRDefault="00950534" w:rsidP="00950534">
      <w:pPr>
        <w:pStyle w:val="ClinContent"/>
        <w:widowControl w:val="0"/>
        <w:spacing w:before="0"/>
        <w:rPr>
          <w:rFonts w:asciiTheme="minorHAnsi" w:hAnsiTheme="minorHAnsi"/>
          <w:i/>
          <w:sz w:val="24"/>
          <w:lang w:val="pl-PL"/>
        </w:rPr>
      </w:pPr>
    </w:p>
    <w:p w14:paraId="527F4973" w14:textId="2F4C71A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Pozwany r</w:t>
      </w:r>
      <w:r w:rsidRPr="00B15C52">
        <w:rPr>
          <w:rFonts w:asciiTheme="minorHAnsi" w:hAnsiTheme="minorHAnsi"/>
          <w:sz w:val="24"/>
          <w:lang w:val="pl-PL"/>
        </w:rPr>
        <w:t>ząd pr</w:t>
      </w:r>
      <w:r>
        <w:rPr>
          <w:rFonts w:asciiTheme="minorHAnsi" w:hAnsiTheme="minorHAnsi"/>
          <w:sz w:val="24"/>
          <w:lang w:val="pl-PL"/>
        </w:rPr>
        <w:t>ezentował</w:t>
      </w:r>
      <w:r w:rsidRPr="00B15C52">
        <w:rPr>
          <w:rFonts w:asciiTheme="minorHAnsi" w:hAnsiTheme="minorHAnsi"/>
          <w:sz w:val="24"/>
          <w:lang w:val="pl-PL"/>
        </w:rPr>
        <w:t xml:space="preserve"> wyrok Sądu Apelacyjnego z dnia 13 sierpnia 2018 r. jako środek usunięcia negatywnych skutków postawienia zarzutów karnych</w:t>
      </w:r>
      <w:r>
        <w:rPr>
          <w:rFonts w:asciiTheme="minorHAnsi" w:hAnsiTheme="minorHAnsi"/>
          <w:sz w:val="24"/>
          <w:lang w:val="pl-PL"/>
        </w:rPr>
        <w:t xml:space="preserve">, które zostały uznane przez Trybunał ze </w:t>
      </w:r>
      <w:r w:rsidRPr="00B15C52">
        <w:rPr>
          <w:rFonts w:asciiTheme="minorHAnsi" w:hAnsiTheme="minorHAnsi"/>
          <w:sz w:val="24"/>
          <w:lang w:val="pl-PL"/>
        </w:rPr>
        <w:t>nadużycie. Sąd Apelacyjny jednak ponownie odrzucił stwierdzenia Trybunału i</w:t>
      </w:r>
      <w:r w:rsidR="00206CCE">
        <w:rPr>
          <w:rFonts w:asciiTheme="minorHAnsi" w:hAnsiTheme="minorHAnsi"/>
          <w:sz w:val="24"/>
          <w:lang w:val="pl-PL"/>
        </w:rPr>
        <w:t> </w:t>
      </w:r>
      <w:r>
        <w:rPr>
          <w:rFonts w:asciiTheme="minorHAnsi" w:hAnsiTheme="minorHAnsi"/>
          <w:sz w:val="24"/>
          <w:lang w:val="pl-PL"/>
        </w:rPr>
        <w:t>zgodził się</w:t>
      </w:r>
      <w:r w:rsidRPr="00B15C52">
        <w:rPr>
          <w:rFonts w:asciiTheme="minorHAnsi" w:hAnsiTheme="minorHAnsi"/>
          <w:sz w:val="24"/>
          <w:lang w:val="pl-PL"/>
        </w:rPr>
        <w:t xml:space="preserve"> jedynie </w:t>
      </w:r>
      <w:r>
        <w:rPr>
          <w:rFonts w:asciiTheme="minorHAnsi" w:hAnsiTheme="minorHAnsi"/>
          <w:sz w:val="24"/>
          <w:lang w:val="pl-PL"/>
        </w:rPr>
        <w:t xml:space="preserve">na </w:t>
      </w:r>
      <w:r w:rsidRPr="00B15C52">
        <w:rPr>
          <w:rFonts w:asciiTheme="minorHAnsi" w:hAnsiTheme="minorHAnsi"/>
          <w:sz w:val="24"/>
          <w:lang w:val="pl-PL"/>
        </w:rPr>
        <w:t>warunkowe zwolnienie skarżącego. To warunkowe zwolnienie zostało następnie uchylone wyrokiem Sądu Najwyższego z dnia 28 marca 2019 r., który uznał, że</w:t>
      </w:r>
      <w:r w:rsidR="00206CCE">
        <w:rPr>
          <w:rFonts w:asciiTheme="minorHAnsi" w:hAnsiTheme="minorHAnsi"/>
          <w:sz w:val="24"/>
          <w:lang w:val="pl-PL"/>
        </w:rPr>
        <w:t> </w:t>
      </w:r>
      <w:r w:rsidRPr="00B15C52">
        <w:rPr>
          <w:rFonts w:asciiTheme="minorHAnsi" w:hAnsiTheme="minorHAnsi"/>
          <w:sz w:val="24"/>
          <w:lang w:val="pl-PL"/>
        </w:rPr>
        <w:t xml:space="preserve">skarżący w pełni odbył karę. Główne uzasadnienie wyroku Sądu Najwyższego potwierdziło, na najwyższym szczeblu sądowym, skazanie skarżącego i odrzucenie przez sądy krajowe stwierdzeń Europejskiego Trybunału. </w:t>
      </w:r>
    </w:p>
    <w:p w14:paraId="7831A8DA" w14:textId="77777777" w:rsidR="00950534" w:rsidRDefault="00950534" w:rsidP="00950534">
      <w:pPr>
        <w:pStyle w:val="ClinContent"/>
        <w:widowControl w:val="0"/>
        <w:spacing w:before="0"/>
        <w:rPr>
          <w:rFonts w:asciiTheme="minorHAnsi" w:hAnsiTheme="minorHAnsi"/>
          <w:sz w:val="24"/>
          <w:lang w:val="pl-PL"/>
        </w:rPr>
      </w:pPr>
    </w:p>
    <w:p w14:paraId="24279880"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na koniec podkreślił, że w</w:t>
      </w:r>
      <w:r w:rsidRPr="00B15C52">
        <w:rPr>
          <w:rFonts w:asciiTheme="minorHAnsi" w:hAnsiTheme="minorHAnsi"/>
          <w:sz w:val="24"/>
          <w:lang w:val="pl-PL"/>
        </w:rPr>
        <w:t xml:space="preserve">ykonywanie </w:t>
      </w:r>
      <w:r>
        <w:rPr>
          <w:rFonts w:asciiTheme="minorHAnsi" w:hAnsiTheme="minorHAnsi"/>
          <w:sz w:val="24"/>
          <w:lang w:val="pl-PL"/>
        </w:rPr>
        <w:t xml:space="preserve">jego </w:t>
      </w:r>
      <w:r w:rsidRPr="00B15C52">
        <w:rPr>
          <w:rFonts w:asciiTheme="minorHAnsi" w:hAnsiTheme="minorHAnsi"/>
          <w:sz w:val="24"/>
          <w:lang w:val="pl-PL"/>
        </w:rPr>
        <w:t xml:space="preserve">wyroków powinno zakładać dobrą wiarę ze strony </w:t>
      </w:r>
      <w:r>
        <w:rPr>
          <w:rFonts w:asciiTheme="minorHAnsi" w:hAnsiTheme="minorHAnsi"/>
          <w:sz w:val="24"/>
          <w:lang w:val="pl-PL"/>
        </w:rPr>
        <w:t>państwa strony</w:t>
      </w:r>
      <w:r w:rsidRPr="00B15C52">
        <w:rPr>
          <w:rFonts w:asciiTheme="minorHAnsi" w:hAnsiTheme="minorHAnsi"/>
          <w:sz w:val="24"/>
          <w:lang w:val="pl-PL"/>
        </w:rPr>
        <w:t xml:space="preserve">. Cała struktura Konwencji opiera się na tym ogólnym założeniu. Struktura ta obejmuje procedurę nadzoru, a wykonanie wyroków powinno zakładać dobrą wiarę i odbywać się w sposób zgodny z „wnioskami i duchem” wyroku. Ponadto znaczenie </w:t>
      </w:r>
      <w:r>
        <w:rPr>
          <w:rFonts w:asciiTheme="minorHAnsi" w:hAnsiTheme="minorHAnsi"/>
          <w:sz w:val="24"/>
          <w:lang w:val="pl-PL"/>
        </w:rPr>
        <w:t xml:space="preserve">obowiązku wykazania </w:t>
      </w:r>
      <w:r w:rsidRPr="00B15C52">
        <w:rPr>
          <w:rFonts w:asciiTheme="minorHAnsi" w:hAnsiTheme="minorHAnsi"/>
          <w:sz w:val="24"/>
          <w:lang w:val="pl-PL"/>
        </w:rPr>
        <w:t xml:space="preserve">dobrej wiary jest </w:t>
      </w:r>
      <w:r>
        <w:rPr>
          <w:rFonts w:asciiTheme="minorHAnsi" w:hAnsiTheme="minorHAnsi"/>
          <w:sz w:val="24"/>
          <w:lang w:val="pl-PL"/>
        </w:rPr>
        <w:t>szczególnie ważne w przypadku</w:t>
      </w:r>
      <w:r w:rsidRPr="00B15C52">
        <w:rPr>
          <w:rFonts w:asciiTheme="minorHAnsi" w:hAnsiTheme="minorHAnsi"/>
          <w:sz w:val="24"/>
          <w:lang w:val="pl-PL"/>
        </w:rPr>
        <w:t>, gd</w:t>
      </w:r>
      <w:r>
        <w:rPr>
          <w:rFonts w:asciiTheme="minorHAnsi" w:hAnsiTheme="minorHAnsi"/>
          <w:sz w:val="24"/>
          <w:lang w:val="pl-PL"/>
        </w:rPr>
        <w:t>y</w:t>
      </w:r>
      <w:r w:rsidRPr="00B15C52">
        <w:rPr>
          <w:rFonts w:asciiTheme="minorHAnsi" w:hAnsiTheme="minorHAnsi"/>
          <w:sz w:val="24"/>
          <w:lang w:val="pl-PL"/>
        </w:rPr>
        <w:t xml:space="preserve"> Trybunał stwierdził naruszenie art. 18</w:t>
      </w:r>
      <w:r>
        <w:rPr>
          <w:rFonts w:asciiTheme="minorHAnsi" w:hAnsiTheme="minorHAnsi"/>
          <w:sz w:val="24"/>
          <w:lang w:val="pl-PL"/>
        </w:rPr>
        <w:t xml:space="preserve"> Konwencji</w:t>
      </w:r>
      <w:r w:rsidRPr="00B15C52">
        <w:rPr>
          <w:rFonts w:asciiTheme="minorHAnsi" w:hAnsiTheme="minorHAnsi"/>
          <w:sz w:val="24"/>
          <w:lang w:val="pl-PL"/>
        </w:rPr>
        <w:t xml:space="preserve">, którego przedmiotem i celem jest zakaz nadużywania władzy. </w:t>
      </w:r>
    </w:p>
    <w:p w14:paraId="1E123028" w14:textId="77777777" w:rsidR="00950534" w:rsidRDefault="00950534" w:rsidP="00950534">
      <w:pPr>
        <w:pStyle w:val="ClinContent"/>
        <w:widowControl w:val="0"/>
        <w:spacing w:before="0"/>
        <w:rPr>
          <w:rFonts w:asciiTheme="minorHAnsi" w:hAnsiTheme="minorHAnsi"/>
          <w:sz w:val="24"/>
          <w:lang w:val="pl-PL"/>
        </w:rPr>
      </w:pPr>
    </w:p>
    <w:p w14:paraId="2901F77D" w14:textId="77777777" w:rsidR="00277D0F" w:rsidRDefault="00277D0F" w:rsidP="00950534">
      <w:pPr>
        <w:pStyle w:val="ClinContent"/>
        <w:widowControl w:val="0"/>
        <w:spacing w:before="0"/>
        <w:rPr>
          <w:rFonts w:asciiTheme="minorHAnsi" w:hAnsiTheme="minorHAnsi"/>
          <w:sz w:val="24"/>
          <w:lang w:val="pl-PL"/>
        </w:rPr>
      </w:pPr>
    </w:p>
    <w:p w14:paraId="3ACE3736"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 xml:space="preserve">Zgodnie z Protokołem nr 14 </w:t>
      </w:r>
      <w:r>
        <w:rPr>
          <w:rFonts w:asciiTheme="minorHAnsi" w:hAnsiTheme="minorHAnsi"/>
          <w:sz w:val="24"/>
          <w:lang w:val="pl-PL"/>
        </w:rPr>
        <w:t xml:space="preserve">do Konwencji </w:t>
      </w:r>
      <w:r w:rsidRPr="00B15C52">
        <w:rPr>
          <w:rFonts w:asciiTheme="minorHAnsi" w:hAnsiTheme="minorHAnsi"/>
          <w:sz w:val="24"/>
          <w:lang w:val="pl-PL"/>
        </w:rPr>
        <w:t xml:space="preserve">szybkie i pełne wykonywanie wyroków Trybunału jest kluczowe – dla ochrony praw skarżącego oraz </w:t>
      </w:r>
      <w:r>
        <w:rPr>
          <w:rFonts w:asciiTheme="minorHAnsi" w:hAnsiTheme="minorHAnsi"/>
          <w:sz w:val="24"/>
          <w:lang w:val="pl-PL"/>
        </w:rPr>
        <w:t xml:space="preserve">z uwagi na to, że </w:t>
      </w:r>
      <w:r w:rsidRPr="00B15C52">
        <w:rPr>
          <w:rFonts w:asciiTheme="minorHAnsi" w:hAnsiTheme="minorHAnsi"/>
          <w:sz w:val="24"/>
          <w:lang w:val="pl-PL"/>
        </w:rPr>
        <w:t xml:space="preserve">zarówno autorytet Trybunału, jak i wiarygodność systemu zależą w dużej mierze od skuteczności tego procesu. </w:t>
      </w:r>
    </w:p>
    <w:p w14:paraId="1428F3CD" w14:textId="77777777" w:rsidR="00950534" w:rsidRDefault="00950534" w:rsidP="00950534">
      <w:pPr>
        <w:pStyle w:val="ClinContent"/>
        <w:widowControl w:val="0"/>
        <w:spacing w:before="0"/>
        <w:rPr>
          <w:rFonts w:asciiTheme="minorHAnsi" w:hAnsiTheme="minorHAnsi"/>
          <w:sz w:val="24"/>
          <w:lang w:val="pl-PL"/>
        </w:rPr>
      </w:pPr>
    </w:p>
    <w:p w14:paraId="021DC982" w14:textId="5907114E" w:rsidR="00950534" w:rsidRDefault="00950534" w:rsidP="00950534">
      <w:pPr>
        <w:pStyle w:val="ClinContent"/>
        <w:widowControl w:val="0"/>
        <w:spacing w:before="0"/>
        <w:rPr>
          <w:rFonts w:asciiTheme="minorHAnsi" w:hAnsiTheme="minorHAnsi"/>
          <w:i/>
          <w:sz w:val="24"/>
          <w:lang w:val="pl-PL"/>
        </w:rPr>
      </w:pPr>
      <w:r>
        <w:rPr>
          <w:rFonts w:asciiTheme="minorHAnsi" w:hAnsiTheme="minorHAnsi"/>
          <w:sz w:val="24"/>
          <w:lang w:val="pl-PL"/>
        </w:rPr>
        <w:t xml:space="preserve">Trybunał przyznał, że </w:t>
      </w:r>
      <w:r w:rsidRPr="00B15C52">
        <w:rPr>
          <w:rFonts w:asciiTheme="minorHAnsi" w:hAnsiTheme="minorHAnsi"/>
          <w:sz w:val="24"/>
          <w:lang w:val="pl-PL"/>
        </w:rPr>
        <w:t xml:space="preserve">Azerbejdżan podjął pewne kroki w kierunku wykonania pierwszego wyroku w sprawie </w:t>
      </w:r>
      <w:r w:rsidRPr="00B15C52">
        <w:rPr>
          <w:rFonts w:asciiTheme="minorHAnsi" w:hAnsiTheme="minorHAnsi"/>
          <w:i/>
          <w:sz w:val="24"/>
          <w:lang w:val="pl-PL"/>
        </w:rPr>
        <w:t xml:space="preserve">Mammadov. </w:t>
      </w:r>
      <w:r w:rsidRPr="00B15C52">
        <w:rPr>
          <w:rFonts w:asciiTheme="minorHAnsi" w:hAnsiTheme="minorHAnsi"/>
          <w:sz w:val="24"/>
          <w:lang w:val="pl-PL"/>
        </w:rPr>
        <w:t>Przekazał do dyspozycji skarżącego słuszne zadośćuczynienie zasądzone przez Trybunał, a w listopadzie 2014 r. przedstawił również plan działania, który w</w:t>
      </w:r>
      <w:r w:rsidR="00206CCE">
        <w:rPr>
          <w:rFonts w:asciiTheme="minorHAnsi" w:hAnsiTheme="minorHAnsi"/>
          <w:sz w:val="24"/>
          <w:lang w:val="pl-PL"/>
        </w:rPr>
        <w:t> </w:t>
      </w:r>
      <w:r w:rsidRPr="00B15C52">
        <w:rPr>
          <w:rFonts w:asciiTheme="minorHAnsi" w:hAnsiTheme="minorHAnsi"/>
          <w:sz w:val="24"/>
          <w:lang w:val="pl-PL"/>
        </w:rPr>
        <w:t xml:space="preserve">jego opinii określał środki </w:t>
      </w:r>
      <w:r>
        <w:rPr>
          <w:rFonts w:asciiTheme="minorHAnsi" w:hAnsiTheme="minorHAnsi"/>
          <w:sz w:val="24"/>
          <w:lang w:val="pl-PL"/>
        </w:rPr>
        <w:t>potrzebne do wykonania</w:t>
      </w:r>
      <w:r w:rsidRPr="00B15C52">
        <w:rPr>
          <w:rFonts w:asciiTheme="minorHAnsi" w:hAnsiTheme="minorHAnsi"/>
          <w:sz w:val="24"/>
          <w:lang w:val="pl-PL"/>
        </w:rPr>
        <w:t xml:space="preserve"> wyrok</w:t>
      </w:r>
      <w:r>
        <w:rPr>
          <w:rFonts w:asciiTheme="minorHAnsi" w:hAnsiTheme="minorHAnsi"/>
          <w:sz w:val="24"/>
          <w:lang w:val="pl-PL"/>
        </w:rPr>
        <w:t>u</w:t>
      </w:r>
      <w:r w:rsidRPr="00B15C52">
        <w:rPr>
          <w:rFonts w:asciiTheme="minorHAnsi" w:hAnsiTheme="minorHAnsi"/>
          <w:sz w:val="24"/>
          <w:lang w:val="pl-PL"/>
        </w:rPr>
        <w:t xml:space="preserve">. W dniu 13 sierpnia 2018 r. Sąd Apelacyjny zwolnił skarżącego, </w:t>
      </w:r>
      <w:r>
        <w:rPr>
          <w:rFonts w:asciiTheme="minorHAnsi" w:hAnsiTheme="minorHAnsi"/>
          <w:sz w:val="24"/>
          <w:lang w:val="pl-PL"/>
        </w:rPr>
        <w:t>chociaż</w:t>
      </w:r>
      <w:r w:rsidRPr="00B15C52">
        <w:rPr>
          <w:rFonts w:asciiTheme="minorHAnsi" w:hAnsiTheme="minorHAnsi"/>
          <w:sz w:val="24"/>
          <w:lang w:val="pl-PL"/>
        </w:rPr>
        <w:t xml:space="preserve"> zwolnienie to miało charakter warunkowy i nakładało na skarżącego szereg ograniczeń</w:t>
      </w:r>
      <w:r>
        <w:rPr>
          <w:rFonts w:asciiTheme="minorHAnsi" w:hAnsiTheme="minorHAnsi"/>
          <w:sz w:val="24"/>
          <w:lang w:val="pl-PL"/>
        </w:rPr>
        <w:t xml:space="preserve"> na okres prawie ośmiu miesięcy –</w:t>
      </w:r>
      <w:r w:rsidRPr="00B15C52">
        <w:rPr>
          <w:rFonts w:asciiTheme="minorHAnsi" w:hAnsiTheme="minorHAnsi"/>
          <w:sz w:val="24"/>
          <w:lang w:val="pl-PL"/>
        </w:rPr>
        <w:t xml:space="preserve"> do czasu uchylenia tego środka przez Sąd Najwyższy wyrokiem z dnia 28 marca 2019 r. Oba te wyroki </w:t>
      </w:r>
      <w:r>
        <w:rPr>
          <w:rFonts w:asciiTheme="minorHAnsi" w:hAnsiTheme="minorHAnsi"/>
          <w:sz w:val="24"/>
          <w:lang w:val="pl-PL"/>
        </w:rPr>
        <w:t xml:space="preserve">zapadły </w:t>
      </w:r>
      <w:r w:rsidRPr="00B15C52">
        <w:rPr>
          <w:rFonts w:asciiTheme="minorHAnsi" w:hAnsiTheme="minorHAnsi"/>
          <w:sz w:val="24"/>
          <w:lang w:val="pl-PL"/>
        </w:rPr>
        <w:t xml:space="preserve">jednak </w:t>
      </w:r>
      <w:r>
        <w:rPr>
          <w:rFonts w:asciiTheme="minorHAnsi" w:hAnsiTheme="minorHAnsi"/>
          <w:sz w:val="24"/>
          <w:lang w:val="pl-PL"/>
        </w:rPr>
        <w:t>po przekazaniu</w:t>
      </w:r>
      <w:r w:rsidRPr="00B15C52">
        <w:rPr>
          <w:rFonts w:asciiTheme="minorHAnsi" w:hAnsiTheme="minorHAnsi"/>
          <w:sz w:val="24"/>
          <w:lang w:val="pl-PL"/>
        </w:rPr>
        <w:t xml:space="preserve"> Trybunałowi zapytania</w:t>
      </w:r>
      <w:r>
        <w:rPr>
          <w:rFonts w:asciiTheme="minorHAnsi" w:hAnsiTheme="minorHAnsi"/>
          <w:sz w:val="24"/>
          <w:lang w:val="pl-PL"/>
        </w:rPr>
        <w:t xml:space="preserve"> o to</w:t>
      </w:r>
      <w:r w:rsidRPr="00B15C52">
        <w:rPr>
          <w:rFonts w:asciiTheme="minorHAnsi" w:hAnsiTheme="minorHAnsi"/>
          <w:sz w:val="24"/>
          <w:lang w:val="pl-PL"/>
        </w:rPr>
        <w:t>, czy pozwane państwo wykonało sw</w:t>
      </w:r>
      <w:r>
        <w:rPr>
          <w:rFonts w:asciiTheme="minorHAnsi" w:hAnsiTheme="minorHAnsi"/>
          <w:sz w:val="24"/>
          <w:lang w:val="pl-PL"/>
        </w:rPr>
        <w:t>oj</w:t>
      </w:r>
      <w:r w:rsidRPr="00B15C52">
        <w:rPr>
          <w:rFonts w:asciiTheme="minorHAnsi" w:hAnsiTheme="minorHAnsi"/>
          <w:sz w:val="24"/>
          <w:lang w:val="pl-PL"/>
        </w:rPr>
        <w:t xml:space="preserve">e zobowiązania </w:t>
      </w:r>
      <w:r>
        <w:rPr>
          <w:rFonts w:asciiTheme="minorHAnsi" w:hAnsiTheme="minorHAnsi"/>
          <w:sz w:val="24"/>
          <w:lang w:val="pl-PL"/>
        </w:rPr>
        <w:t>wynikające z</w:t>
      </w:r>
      <w:r w:rsidRPr="00B15C52">
        <w:rPr>
          <w:rFonts w:asciiTheme="minorHAnsi" w:hAnsiTheme="minorHAnsi"/>
          <w:sz w:val="24"/>
          <w:lang w:val="pl-PL"/>
        </w:rPr>
        <w:t xml:space="preserve"> </w:t>
      </w:r>
      <w:r>
        <w:rPr>
          <w:rFonts w:asciiTheme="minorHAnsi" w:hAnsiTheme="minorHAnsi"/>
          <w:sz w:val="24"/>
          <w:lang w:val="pl-PL"/>
        </w:rPr>
        <w:t>pierwszego wyroku</w:t>
      </w:r>
      <w:r w:rsidRPr="00B15C52">
        <w:rPr>
          <w:rFonts w:asciiTheme="minorHAnsi" w:hAnsiTheme="minorHAnsi"/>
          <w:sz w:val="24"/>
          <w:lang w:val="pl-PL"/>
        </w:rPr>
        <w:t xml:space="preserve"> w sprawie </w:t>
      </w:r>
      <w:r w:rsidRPr="00B15C52">
        <w:rPr>
          <w:rFonts w:asciiTheme="minorHAnsi" w:hAnsiTheme="minorHAnsi"/>
          <w:i/>
          <w:sz w:val="24"/>
          <w:lang w:val="pl-PL"/>
        </w:rPr>
        <w:t xml:space="preserve">Mammadov. </w:t>
      </w:r>
    </w:p>
    <w:p w14:paraId="4BC81F06" w14:textId="77777777" w:rsidR="00950534" w:rsidRDefault="00950534" w:rsidP="00950534">
      <w:pPr>
        <w:pStyle w:val="ClinContent"/>
        <w:widowControl w:val="0"/>
        <w:spacing w:before="0"/>
        <w:rPr>
          <w:rFonts w:asciiTheme="minorHAnsi" w:hAnsiTheme="minorHAnsi"/>
          <w:i/>
          <w:sz w:val="24"/>
          <w:lang w:val="pl-PL"/>
        </w:rPr>
      </w:pPr>
    </w:p>
    <w:p w14:paraId="575AF5C2"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Te ograniczone </w:t>
      </w:r>
      <w:r>
        <w:rPr>
          <w:rFonts w:asciiTheme="minorHAnsi" w:hAnsiTheme="minorHAnsi"/>
          <w:sz w:val="24"/>
          <w:lang w:val="pl-PL"/>
        </w:rPr>
        <w:t>działania</w:t>
      </w:r>
      <w:r w:rsidRPr="00B15C52">
        <w:rPr>
          <w:rFonts w:asciiTheme="minorHAnsi" w:hAnsiTheme="minorHAnsi"/>
          <w:sz w:val="24"/>
          <w:lang w:val="pl-PL"/>
        </w:rPr>
        <w:t xml:space="preserve"> nie pozw</w:t>
      </w:r>
      <w:r>
        <w:rPr>
          <w:rFonts w:asciiTheme="minorHAnsi" w:hAnsiTheme="minorHAnsi"/>
          <w:sz w:val="24"/>
          <w:lang w:val="pl-PL"/>
        </w:rPr>
        <w:t xml:space="preserve">oliły Trybunałowi </w:t>
      </w:r>
      <w:r w:rsidRPr="00B15C52">
        <w:rPr>
          <w:rFonts w:asciiTheme="minorHAnsi" w:hAnsiTheme="minorHAnsi"/>
          <w:sz w:val="24"/>
          <w:lang w:val="pl-PL"/>
        </w:rPr>
        <w:t xml:space="preserve">na uznanie, że pozwane państwo działało w „dobrej wierze” w sposób zgodny z „wnioskami i duchem” pierwszego wyroku w sprawie </w:t>
      </w:r>
      <w:r w:rsidRPr="00B15C52">
        <w:rPr>
          <w:rFonts w:asciiTheme="minorHAnsi" w:hAnsiTheme="minorHAnsi"/>
          <w:i/>
          <w:sz w:val="24"/>
          <w:lang w:val="pl-PL"/>
        </w:rPr>
        <w:t xml:space="preserve">Mammadov </w:t>
      </w:r>
      <w:r w:rsidRPr="00B15C52">
        <w:rPr>
          <w:rFonts w:asciiTheme="minorHAnsi" w:hAnsiTheme="minorHAnsi"/>
          <w:sz w:val="24"/>
          <w:lang w:val="pl-PL"/>
        </w:rPr>
        <w:t>ani</w:t>
      </w:r>
      <w:r w:rsidRPr="00B15C52">
        <w:rPr>
          <w:rFonts w:asciiTheme="minorHAnsi" w:hAnsiTheme="minorHAnsi"/>
          <w:i/>
          <w:sz w:val="24"/>
          <w:lang w:val="pl-PL"/>
        </w:rPr>
        <w:t xml:space="preserve"> </w:t>
      </w:r>
      <w:r w:rsidRPr="00B15C52">
        <w:rPr>
          <w:rFonts w:asciiTheme="minorHAnsi" w:hAnsiTheme="minorHAnsi"/>
          <w:sz w:val="24"/>
          <w:lang w:val="pl-PL"/>
        </w:rPr>
        <w:t xml:space="preserve">w sposób, który zapewniłby praktyczną i skuteczną ochronę praw przyznanych Konwencją, których naruszenie Trybunał stwierdził w tym wyroku. </w:t>
      </w:r>
    </w:p>
    <w:p w14:paraId="5792F661" w14:textId="77777777" w:rsidR="00950534" w:rsidRDefault="00950534" w:rsidP="00950534">
      <w:pPr>
        <w:pStyle w:val="ClinContent"/>
        <w:widowControl w:val="0"/>
        <w:spacing w:before="0"/>
        <w:rPr>
          <w:rFonts w:asciiTheme="minorHAnsi" w:hAnsiTheme="minorHAnsi"/>
          <w:sz w:val="24"/>
          <w:lang w:val="pl-PL"/>
        </w:rPr>
      </w:pPr>
    </w:p>
    <w:p w14:paraId="3C02DE73" w14:textId="77777777" w:rsidR="00950534" w:rsidRDefault="00950534" w:rsidP="00950534">
      <w:pPr>
        <w:pStyle w:val="ClinContent"/>
        <w:widowControl w:val="0"/>
        <w:spacing w:before="0"/>
        <w:rPr>
          <w:rFonts w:asciiTheme="minorHAnsi" w:hAnsiTheme="minorHAnsi"/>
          <w:i/>
          <w:sz w:val="24"/>
          <w:lang w:val="pl-PL"/>
        </w:rPr>
      </w:pPr>
      <w:r>
        <w:rPr>
          <w:rFonts w:asciiTheme="minorHAnsi" w:hAnsiTheme="minorHAnsi"/>
          <w:sz w:val="24"/>
          <w:lang w:val="pl-PL"/>
        </w:rPr>
        <w:t xml:space="preserve">Z powyższych względów </w:t>
      </w:r>
      <w:r w:rsidRPr="00B15C52">
        <w:rPr>
          <w:rFonts w:asciiTheme="minorHAnsi" w:hAnsiTheme="minorHAnsi"/>
          <w:sz w:val="24"/>
          <w:lang w:val="pl-PL"/>
        </w:rPr>
        <w:t xml:space="preserve">Trybunał </w:t>
      </w:r>
      <w:r>
        <w:rPr>
          <w:rFonts w:asciiTheme="minorHAnsi" w:hAnsiTheme="minorHAnsi"/>
          <w:sz w:val="24"/>
          <w:lang w:val="pl-PL"/>
        </w:rPr>
        <w:t xml:space="preserve">jednogłośnie </w:t>
      </w:r>
      <w:r w:rsidRPr="00B15C52">
        <w:rPr>
          <w:rFonts w:asciiTheme="minorHAnsi" w:hAnsiTheme="minorHAnsi"/>
          <w:sz w:val="24"/>
          <w:lang w:val="pl-PL"/>
        </w:rPr>
        <w:t xml:space="preserve">uznał, że Azerbejdżan nie wykonał swojego zobowiązania do przestrzegania wyroku z dnia 22 maja 2014 r. w sprawie </w:t>
      </w:r>
      <w:r w:rsidRPr="00B15C52">
        <w:rPr>
          <w:rFonts w:asciiTheme="minorHAnsi" w:hAnsiTheme="minorHAnsi"/>
          <w:i/>
          <w:sz w:val="24"/>
          <w:lang w:val="pl-PL"/>
        </w:rPr>
        <w:t>Ilgar Mammadov p. Azerbejdżanowi</w:t>
      </w:r>
      <w:r>
        <w:rPr>
          <w:rFonts w:asciiTheme="minorHAnsi" w:hAnsiTheme="minorHAnsi"/>
          <w:i/>
          <w:sz w:val="24"/>
          <w:lang w:val="pl-PL"/>
        </w:rPr>
        <w:t xml:space="preserve"> </w:t>
      </w:r>
      <w:r>
        <w:rPr>
          <w:rFonts w:asciiTheme="minorHAnsi" w:hAnsiTheme="minorHAnsi"/>
          <w:sz w:val="24"/>
          <w:lang w:val="pl-PL"/>
        </w:rPr>
        <w:t>i stwierdził naruszenie art. 46 ust. 1 Konwencji na tej podstawie</w:t>
      </w:r>
      <w:r w:rsidRPr="00B15C52">
        <w:rPr>
          <w:rFonts w:asciiTheme="minorHAnsi" w:hAnsiTheme="minorHAnsi"/>
          <w:i/>
          <w:sz w:val="24"/>
          <w:lang w:val="pl-PL"/>
        </w:rPr>
        <w:t xml:space="preserve">. </w:t>
      </w:r>
    </w:p>
    <w:p w14:paraId="551CBB3E" w14:textId="77777777" w:rsidR="00950534" w:rsidRDefault="00950534" w:rsidP="00950534">
      <w:pPr>
        <w:pStyle w:val="ClinContent"/>
        <w:widowControl w:val="0"/>
        <w:spacing w:before="0"/>
        <w:rPr>
          <w:rFonts w:asciiTheme="minorHAnsi" w:hAnsiTheme="minorHAnsi"/>
          <w:i/>
          <w:sz w:val="24"/>
          <w:lang w:val="pl-PL"/>
        </w:rPr>
      </w:pPr>
    </w:p>
    <w:p w14:paraId="4A480EB7" w14:textId="63AD155D"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Wyrok </w:t>
      </w:r>
      <w:r>
        <w:rPr>
          <w:rFonts w:asciiTheme="minorHAnsi" w:hAnsiTheme="minorHAnsi" w:cs="Verdana"/>
          <w:bCs/>
          <w:sz w:val="24"/>
          <w:lang w:val="pl-PL"/>
        </w:rPr>
        <w:t>stanowi pierwszy przykład zastosowania specjalnej procedury wprowadzonej do art. 46 Konwencji na mocy Protokołu nr 14. Procedura ta</w:t>
      </w:r>
      <w:r w:rsidR="00206CCE">
        <w:rPr>
          <w:rFonts w:asciiTheme="minorHAnsi" w:hAnsiTheme="minorHAnsi" w:cs="Verdana"/>
          <w:bCs/>
          <w:sz w:val="24"/>
          <w:lang w:val="pl-PL"/>
        </w:rPr>
        <w:t> </w:t>
      </w:r>
      <w:r>
        <w:rPr>
          <w:rFonts w:asciiTheme="minorHAnsi" w:hAnsiTheme="minorHAnsi" w:cs="Verdana"/>
          <w:bCs/>
          <w:sz w:val="24"/>
          <w:lang w:val="pl-PL"/>
        </w:rPr>
        <w:t xml:space="preserve">umożliwia skierowanie przez Komitet Ministrów do Trybunału sprawy, w której państwo odmawia przestrzegania ostatecznego wyroku Trybunału w swej sprawie. Zawiera obszerne rozważania na temat problematyki wykonywania wyroków Trybunału i procedury nadzoru nad ich wykonywaniem, w tym roli państwa, Komitetu Ministrów i Trybunału w tym zakresie. </w:t>
      </w:r>
    </w:p>
    <w:p w14:paraId="4969707A" w14:textId="77777777" w:rsidR="00950534" w:rsidRDefault="00950534" w:rsidP="00950534">
      <w:pPr>
        <w:pStyle w:val="ClinContent"/>
        <w:widowControl w:val="0"/>
        <w:spacing w:before="0"/>
        <w:rPr>
          <w:rFonts w:asciiTheme="minorHAnsi" w:hAnsiTheme="minorHAnsi" w:cs="Verdana"/>
          <w:bCs/>
          <w:sz w:val="24"/>
          <w:lang w:val="pl-PL"/>
        </w:rPr>
      </w:pPr>
    </w:p>
    <w:p w14:paraId="6D0CC4AB"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Trybunał m.in. podkreślił, iż państwo ma co do zasady obowiązek przywrócenia skarżącego do sytuacji (</w:t>
      </w:r>
      <w:r>
        <w:rPr>
          <w:rFonts w:asciiTheme="minorHAnsi" w:hAnsiTheme="minorHAnsi" w:cs="Verdana"/>
          <w:bCs/>
          <w:i/>
          <w:sz w:val="24"/>
          <w:lang w:val="pl-PL"/>
        </w:rPr>
        <w:t>restitutio in integrum</w:t>
      </w:r>
      <w:r>
        <w:rPr>
          <w:rFonts w:asciiTheme="minorHAnsi" w:hAnsiTheme="minorHAnsi" w:cs="Verdana"/>
          <w:bCs/>
          <w:sz w:val="24"/>
          <w:lang w:val="pl-PL"/>
        </w:rPr>
        <w:t xml:space="preserve">), w której by się znajdował, gdyby nie doszło do naruszenia Konwencji, chyba że byłoby to „materialnie niemożliwe” lub „nakładałoby ciężar całkowicie nieproporcjonalny w stosunku do korzyści wynikającej z restytucji zamiast odszkodowania”. </w:t>
      </w:r>
    </w:p>
    <w:p w14:paraId="1DE1D7D9" w14:textId="77777777" w:rsidR="00950534" w:rsidRDefault="00950534" w:rsidP="00950534">
      <w:pPr>
        <w:pStyle w:val="ClinContent"/>
        <w:widowControl w:val="0"/>
        <w:spacing w:before="0"/>
        <w:rPr>
          <w:rFonts w:asciiTheme="minorHAnsi" w:hAnsiTheme="minorHAnsi" w:cs="Verdana"/>
          <w:bCs/>
          <w:sz w:val="24"/>
          <w:lang w:val="pl-PL"/>
        </w:rPr>
      </w:pPr>
    </w:p>
    <w:p w14:paraId="7C225FE4" w14:textId="176C09AF"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W omawianej sprawie Trybunał stwierdził, że pozwane państwo nie wykonało jego wyroku i</w:t>
      </w:r>
      <w:r w:rsidR="00206CCE">
        <w:rPr>
          <w:rFonts w:asciiTheme="minorHAnsi" w:hAnsiTheme="minorHAnsi" w:cs="Verdana"/>
          <w:bCs/>
          <w:sz w:val="24"/>
          <w:lang w:val="pl-PL"/>
        </w:rPr>
        <w:t> </w:t>
      </w:r>
      <w:r>
        <w:rPr>
          <w:rFonts w:asciiTheme="minorHAnsi" w:hAnsiTheme="minorHAnsi" w:cs="Verdana"/>
          <w:bCs/>
          <w:sz w:val="24"/>
          <w:lang w:val="pl-PL"/>
        </w:rPr>
        <w:t>potwierdził zastrzeżenia Komitetu Ministrów RE. W tej sytuacji sprawa została ponownie przekazana Komitetowi Ministrów w celu rozważenia środków, jakie należy podjąć. Warto śledzić dalszą procedurę wykonywania w tej sprawie, by ocenić, na ile mechanizm przewidziany przez art. 46 ust. 4 i 5 Konwencji okaże się skutecznym narzędziem w praktyce – zarówno do naprawienia naruszeń, których ofiarą padł skarżący w omawianej sprawie</w:t>
      </w:r>
      <w:r>
        <w:rPr>
          <w:rStyle w:val="Odwoanieprzypisudolnego"/>
          <w:rFonts w:asciiTheme="minorHAnsi" w:hAnsiTheme="minorHAnsi" w:cs="Verdana"/>
          <w:bCs/>
          <w:sz w:val="24"/>
          <w:lang w:val="pl-PL"/>
        </w:rPr>
        <w:footnoteReference w:id="11"/>
      </w:r>
      <w:r>
        <w:rPr>
          <w:rFonts w:asciiTheme="minorHAnsi" w:hAnsiTheme="minorHAnsi" w:cs="Verdana"/>
          <w:bCs/>
          <w:sz w:val="24"/>
          <w:lang w:val="pl-PL"/>
        </w:rPr>
        <w:t xml:space="preserve">, </w:t>
      </w:r>
      <w:r>
        <w:rPr>
          <w:rFonts w:asciiTheme="minorHAnsi" w:hAnsiTheme="minorHAnsi" w:cs="Verdana"/>
          <w:bCs/>
          <w:sz w:val="24"/>
          <w:lang w:val="pl-PL"/>
        </w:rPr>
        <w:lastRenderedPageBreak/>
        <w:t>jak też jako mechanizm dyscyplinujący pozostałe państwa strony Konwencji do sprawnego i</w:t>
      </w:r>
      <w:r w:rsidR="00206CCE">
        <w:rPr>
          <w:rFonts w:asciiTheme="minorHAnsi" w:hAnsiTheme="minorHAnsi" w:cs="Verdana"/>
          <w:bCs/>
          <w:sz w:val="24"/>
          <w:lang w:val="pl-PL"/>
        </w:rPr>
        <w:t> </w:t>
      </w:r>
      <w:r>
        <w:rPr>
          <w:rFonts w:asciiTheme="minorHAnsi" w:hAnsiTheme="minorHAnsi" w:cs="Verdana"/>
          <w:bCs/>
          <w:sz w:val="24"/>
          <w:lang w:val="pl-PL"/>
        </w:rPr>
        <w:t xml:space="preserve">pełnego wykonywania wyroków Trybunału zgodnie z oczekiwaniami Komitetu Ministrów RE. </w:t>
      </w:r>
    </w:p>
    <w:p w14:paraId="4DC5B9A5" w14:textId="77777777" w:rsidR="00950534" w:rsidRDefault="00950534" w:rsidP="00950534">
      <w:pPr>
        <w:pStyle w:val="ClinContent"/>
        <w:widowControl w:val="0"/>
        <w:spacing w:before="0"/>
        <w:rPr>
          <w:rFonts w:asciiTheme="minorHAnsi" w:hAnsiTheme="minorHAnsi" w:cs="Verdana"/>
          <w:bCs/>
          <w:sz w:val="24"/>
          <w:lang w:val="pl-PL"/>
        </w:rPr>
      </w:pPr>
    </w:p>
    <w:p w14:paraId="356FC6AF"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 xml:space="preserve">Wyrok może mieć w szczególności znaczenie dla Ministerstwa Spraw Zagranicznych, wszystkich ministrów i innych organów zajmujących się wykonywaniem wyroków Trybunału, a także Sądu Najwyższego, Prokuratury Krajowej, sądów karnych i Ministerstwa Sprawiedliwości. </w:t>
      </w:r>
    </w:p>
    <w:p w14:paraId="1660D632" w14:textId="77777777" w:rsidR="008F71FD" w:rsidRDefault="008F71FD" w:rsidP="00950534">
      <w:pPr>
        <w:pStyle w:val="ClinContent"/>
        <w:widowControl w:val="0"/>
        <w:spacing w:before="0"/>
        <w:rPr>
          <w:rStyle w:val="ClinCaseTitle"/>
          <w:sz w:val="26"/>
          <w:lang w:val="pl-PL"/>
        </w:rPr>
      </w:pPr>
    </w:p>
    <w:p w14:paraId="775944F7" w14:textId="77777777" w:rsidR="00950534" w:rsidRDefault="00950534" w:rsidP="00950534">
      <w:pPr>
        <w:pStyle w:val="ClinContent"/>
        <w:widowControl w:val="0"/>
        <w:spacing w:before="0"/>
        <w:rPr>
          <w:rStyle w:val="ClinCaseTitle"/>
          <w:sz w:val="26"/>
          <w:lang w:val="pl-PL"/>
        </w:rPr>
      </w:pPr>
    </w:p>
    <w:p w14:paraId="36B7A1D4"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9" w:name="_Toc35632472"/>
      <w:r w:rsidRPr="00A450C9">
        <w:rPr>
          <w:rFonts w:asciiTheme="minorHAnsi" w:hAnsiTheme="minorHAnsi"/>
          <w:i/>
          <w:color w:val="auto"/>
          <w:sz w:val="24"/>
          <w:szCs w:val="24"/>
        </w:rPr>
        <w:t>Ilias i Ahmed p. Węgrom</w:t>
      </w:r>
      <w:r w:rsidRPr="00077E55">
        <w:rPr>
          <w:rFonts w:asciiTheme="minorHAnsi" w:hAnsiTheme="minorHAnsi"/>
          <w:color w:val="auto"/>
          <w:sz w:val="24"/>
          <w:szCs w:val="24"/>
        </w:rPr>
        <w:t>, skarga nr 47287/15, wyrok Wielkiej Izby z dnia 21 listopada 2019 r.</w:t>
      </w:r>
      <w:bookmarkEnd w:id="9"/>
      <w:r w:rsidRPr="00077E55">
        <w:rPr>
          <w:rFonts w:asciiTheme="minorHAnsi" w:hAnsiTheme="minorHAnsi"/>
          <w:color w:val="auto"/>
          <w:sz w:val="24"/>
          <w:szCs w:val="24"/>
        </w:rPr>
        <w:t xml:space="preserve"> </w:t>
      </w:r>
    </w:p>
    <w:p w14:paraId="3DC823A6" w14:textId="53C12A18"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097BCF">
        <w:rPr>
          <w:b/>
          <w:iCs/>
          <w:color w:val="000000" w:themeColor="text1"/>
          <w:sz w:val="24"/>
          <w:szCs w:val="24"/>
          <w:lang w:val="pl-PL"/>
        </w:rPr>
        <w:t>naruszenie</w:t>
      </w:r>
      <w:r>
        <w:rPr>
          <w:b/>
          <w:iCs/>
          <w:color w:val="000000" w:themeColor="text1"/>
          <w:sz w:val="24"/>
          <w:szCs w:val="24"/>
          <w:lang w:val="pl-PL"/>
        </w:rPr>
        <w:t xml:space="preserve"> art. 3 Konwencji (zakaz tortur – aspekt wydalenia) z uwagi na</w:t>
      </w:r>
      <w:r w:rsidR="00206CCE">
        <w:rPr>
          <w:b/>
          <w:iCs/>
          <w:color w:val="000000" w:themeColor="text1"/>
          <w:sz w:val="24"/>
          <w:szCs w:val="24"/>
          <w:lang w:val="pl-PL"/>
        </w:rPr>
        <w:t> </w:t>
      </w:r>
      <w:r>
        <w:rPr>
          <w:b/>
          <w:iCs/>
          <w:color w:val="000000" w:themeColor="text1"/>
          <w:sz w:val="24"/>
          <w:szCs w:val="24"/>
          <w:lang w:val="pl-PL"/>
        </w:rPr>
        <w:t xml:space="preserve">niedokonanie </w:t>
      </w:r>
      <w:r w:rsidRPr="00097BCF">
        <w:rPr>
          <w:b/>
          <w:iCs/>
          <w:color w:val="000000" w:themeColor="text1"/>
          <w:sz w:val="24"/>
          <w:szCs w:val="24"/>
          <w:lang w:val="pl-PL"/>
        </w:rPr>
        <w:t xml:space="preserve">przez pozwane państwo </w:t>
      </w:r>
      <w:r>
        <w:rPr>
          <w:b/>
          <w:iCs/>
          <w:color w:val="000000" w:themeColor="text1"/>
          <w:sz w:val="24"/>
          <w:szCs w:val="24"/>
          <w:lang w:val="pl-PL"/>
        </w:rPr>
        <w:t xml:space="preserve">oceny </w:t>
      </w:r>
      <w:r w:rsidRPr="00097BCF">
        <w:rPr>
          <w:b/>
          <w:iCs/>
          <w:color w:val="000000" w:themeColor="text1"/>
          <w:sz w:val="24"/>
          <w:szCs w:val="24"/>
          <w:lang w:val="pl-PL"/>
        </w:rPr>
        <w:t>ryzyka odm</w:t>
      </w:r>
      <w:r>
        <w:rPr>
          <w:b/>
          <w:iCs/>
          <w:color w:val="000000" w:themeColor="text1"/>
          <w:sz w:val="24"/>
          <w:szCs w:val="24"/>
          <w:lang w:val="pl-PL"/>
        </w:rPr>
        <w:t>ówienia</w:t>
      </w:r>
      <w:r w:rsidRPr="00097BCF">
        <w:rPr>
          <w:b/>
          <w:iCs/>
          <w:color w:val="000000" w:themeColor="text1"/>
          <w:sz w:val="24"/>
          <w:szCs w:val="24"/>
          <w:lang w:val="pl-PL"/>
        </w:rPr>
        <w:t xml:space="preserve"> dostępu do</w:t>
      </w:r>
      <w:r w:rsidR="00206CCE">
        <w:rPr>
          <w:b/>
          <w:iCs/>
          <w:color w:val="000000" w:themeColor="text1"/>
          <w:sz w:val="24"/>
          <w:szCs w:val="24"/>
          <w:lang w:val="pl-PL"/>
        </w:rPr>
        <w:t> </w:t>
      </w:r>
      <w:r w:rsidRPr="00097BCF">
        <w:rPr>
          <w:b/>
          <w:iCs/>
          <w:color w:val="000000" w:themeColor="text1"/>
          <w:sz w:val="24"/>
          <w:szCs w:val="24"/>
          <w:lang w:val="pl-PL"/>
        </w:rPr>
        <w:t xml:space="preserve">postępowania azylowego, w tym </w:t>
      </w:r>
      <w:r>
        <w:rPr>
          <w:b/>
          <w:iCs/>
          <w:color w:val="000000" w:themeColor="text1"/>
          <w:sz w:val="24"/>
          <w:szCs w:val="24"/>
          <w:lang w:val="pl-PL"/>
        </w:rPr>
        <w:t xml:space="preserve">ryzyka </w:t>
      </w:r>
      <w:r w:rsidRPr="00DC0B8F">
        <w:rPr>
          <w:b/>
          <w:i/>
          <w:iCs/>
          <w:color w:val="000000" w:themeColor="text1"/>
          <w:sz w:val="24"/>
          <w:szCs w:val="24"/>
          <w:lang w:val="pl-PL"/>
        </w:rPr>
        <w:t>refoulement</w:t>
      </w:r>
      <w:r w:rsidRPr="00097BCF">
        <w:rPr>
          <w:b/>
          <w:iCs/>
          <w:color w:val="000000" w:themeColor="text1"/>
          <w:sz w:val="24"/>
          <w:szCs w:val="24"/>
          <w:lang w:val="pl-PL"/>
        </w:rPr>
        <w:t>, w domnieman</w:t>
      </w:r>
      <w:r>
        <w:rPr>
          <w:b/>
          <w:iCs/>
          <w:color w:val="000000" w:themeColor="text1"/>
          <w:sz w:val="24"/>
          <w:szCs w:val="24"/>
          <w:lang w:val="pl-PL"/>
        </w:rPr>
        <w:t>ym bezpiecznym państwie trzecim</w:t>
      </w:r>
      <w:r w:rsidRPr="00097BCF">
        <w:rPr>
          <w:b/>
          <w:iCs/>
          <w:color w:val="000000" w:themeColor="text1"/>
          <w:sz w:val="24"/>
          <w:szCs w:val="24"/>
          <w:lang w:val="pl-PL"/>
        </w:rPr>
        <w:t xml:space="preserve"> </w:t>
      </w:r>
    </w:p>
    <w:p w14:paraId="420C64C8" w14:textId="16601BDD"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097BCF">
        <w:rPr>
          <w:b/>
          <w:iCs/>
          <w:color w:val="000000" w:themeColor="text1"/>
          <w:sz w:val="24"/>
          <w:szCs w:val="24"/>
          <w:lang w:val="pl-PL"/>
        </w:rPr>
        <w:t>brak naruszenia</w:t>
      </w:r>
      <w:r>
        <w:rPr>
          <w:b/>
          <w:iCs/>
          <w:color w:val="000000" w:themeColor="text1"/>
          <w:sz w:val="24"/>
          <w:szCs w:val="24"/>
          <w:lang w:val="pl-PL"/>
        </w:rPr>
        <w:t xml:space="preserve"> art. 3 Konwencji (zakaz tortur – aspekt poniżającego traktowania) w</w:t>
      </w:r>
      <w:r w:rsidR="00206CCE">
        <w:rPr>
          <w:b/>
          <w:iCs/>
          <w:color w:val="000000" w:themeColor="text1"/>
          <w:sz w:val="24"/>
          <w:szCs w:val="24"/>
          <w:lang w:val="pl-PL"/>
        </w:rPr>
        <w:t> </w:t>
      </w:r>
      <w:r>
        <w:rPr>
          <w:b/>
          <w:iCs/>
          <w:color w:val="000000" w:themeColor="text1"/>
          <w:sz w:val="24"/>
          <w:szCs w:val="24"/>
          <w:lang w:val="pl-PL"/>
        </w:rPr>
        <w:t xml:space="preserve">odniesieniu do warunków zatrzymania w strefie tranzytowej </w:t>
      </w:r>
    </w:p>
    <w:p w14:paraId="70831F73" w14:textId="7558468E"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brak zastosowalności art. 5 ust. 1 i 4 Konwencji (prawo do wolności i bezpieczeństwa osobistego – aspekt pozbawienia wolności i prawa do odwołania do sądu) w</w:t>
      </w:r>
      <w:r w:rsidR="00206CCE">
        <w:rPr>
          <w:b/>
          <w:iCs/>
          <w:color w:val="000000" w:themeColor="text1"/>
          <w:sz w:val="24"/>
          <w:szCs w:val="24"/>
          <w:lang w:val="pl-PL"/>
        </w:rPr>
        <w:t> </w:t>
      </w:r>
      <w:r>
        <w:rPr>
          <w:b/>
          <w:iCs/>
          <w:color w:val="000000" w:themeColor="text1"/>
          <w:sz w:val="24"/>
          <w:szCs w:val="24"/>
          <w:lang w:val="pl-PL"/>
        </w:rPr>
        <w:t>odniesieniu do t</w:t>
      </w:r>
      <w:r w:rsidRPr="00097BCF">
        <w:rPr>
          <w:b/>
          <w:iCs/>
          <w:color w:val="000000" w:themeColor="text1"/>
          <w:sz w:val="24"/>
          <w:szCs w:val="24"/>
          <w:lang w:val="pl-PL"/>
        </w:rPr>
        <w:t>rwające</w:t>
      </w:r>
      <w:r>
        <w:rPr>
          <w:b/>
          <w:iCs/>
          <w:color w:val="000000" w:themeColor="text1"/>
          <w:sz w:val="24"/>
          <w:szCs w:val="24"/>
          <w:lang w:val="pl-PL"/>
        </w:rPr>
        <w:t>go</w:t>
      </w:r>
      <w:r w:rsidRPr="00097BCF">
        <w:rPr>
          <w:b/>
          <w:iCs/>
          <w:color w:val="000000" w:themeColor="text1"/>
          <w:sz w:val="24"/>
          <w:szCs w:val="24"/>
          <w:lang w:val="pl-PL"/>
        </w:rPr>
        <w:t xml:space="preserve"> dwadzieścia </w:t>
      </w:r>
      <w:r>
        <w:rPr>
          <w:b/>
          <w:iCs/>
          <w:color w:val="000000" w:themeColor="text1"/>
          <w:sz w:val="24"/>
          <w:szCs w:val="24"/>
          <w:lang w:val="pl-PL"/>
        </w:rPr>
        <w:t>trzy dni faktycznego pozbawienia wolności</w:t>
      </w:r>
      <w:r w:rsidRPr="00097BCF">
        <w:rPr>
          <w:b/>
          <w:iCs/>
          <w:color w:val="000000" w:themeColor="text1"/>
          <w:sz w:val="24"/>
          <w:szCs w:val="24"/>
          <w:lang w:val="pl-PL"/>
        </w:rPr>
        <w:t xml:space="preserve"> w strefie tranzytowej na granicy lądowej</w:t>
      </w:r>
      <w:r>
        <w:rPr>
          <w:b/>
          <w:iCs/>
          <w:color w:val="000000" w:themeColor="text1"/>
          <w:sz w:val="24"/>
          <w:szCs w:val="24"/>
          <w:lang w:val="pl-PL"/>
        </w:rPr>
        <w:t xml:space="preserve"> </w:t>
      </w:r>
    </w:p>
    <w:p w14:paraId="715A73F6" w14:textId="77777777" w:rsidR="00950534" w:rsidRPr="00A80201" w:rsidRDefault="00950534" w:rsidP="00950534">
      <w:pPr>
        <w:pStyle w:val="ClinContent"/>
        <w:widowControl w:val="0"/>
        <w:spacing w:before="0"/>
        <w:rPr>
          <w:rFonts w:asciiTheme="minorHAnsi" w:hAnsiTheme="minorHAnsi"/>
          <w:sz w:val="24"/>
          <w:lang w:val="pl-PL"/>
        </w:rPr>
      </w:pPr>
    </w:p>
    <w:p w14:paraId="361FA7DE" w14:textId="15DDDD7E"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Skar</w:t>
      </w:r>
      <w:r>
        <w:rPr>
          <w:rFonts w:asciiTheme="minorHAnsi" w:hAnsiTheme="minorHAnsi"/>
          <w:sz w:val="24"/>
          <w:lang w:val="pl-PL"/>
        </w:rPr>
        <w:t xml:space="preserve">gę złożyli </w:t>
      </w:r>
      <w:r w:rsidRPr="00B15C52">
        <w:rPr>
          <w:rFonts w:asciiTheme="minorHAnsi" w:hAnsiTheme="minorHAnsi"/>
          <w:sz w:val="24"/>
          <w:lang w:val="pl-PL"/>
        </w:rPr>
        <w:t xml:space="preserve">obywatele Bangladeszu, </w:t>
      </w:r>
      <w:r>
        <w:rPr>
          <w:rFonts w:asciiTheme="minorHAnsi" w:hAnsiTheme="minorHAnsi"/>
          <w:sz w:val="24"/>
          <w:lang w:val="pl-PL"/>
        </w:rPr>
        <w:t xml:space="preserve">którzy </w:t>
      </w:r>
      <w:r w:rsidRPr="00B15C52">
        <w:rPr>
          <w:rFonts w:asciiTheme="minorHAnsi" w:hAnsiTheme="minorHAnsi"/>
          <w:sz w:val="24"/>
          <w:lang w:val="pl-PL"/>
        </w:rPr>
        <w:t>przybyli do strefy tranzytowej znajdującej się na granicy między Węgrami a Serbią i złożyli wnioski o azyl. Ich wnioski zostały odrzucone i</w:t>
      </w:r>
      <w:r w:rsidR="00206CCE">
        <w:rPr>
          <w:rFonts w:asciiTheme="minorHAnsi" w:hAnsiTheme="minorHAnsi"/>
          <w:sz w:val="24"/>
          <w:lang w:val="pl-PL"/>
        </w:rPr>
        <w:t> </w:t>
      </w:r>
      <w:r w:rsidRPr="00B15C52">
        <w:rPr>
          <w:rFonts w:asciiTheme="minorHAnsi" w:hAnsiTheme="minorHAnsi"/>
          <w:sz w:val="24"/>
          <w:lang w:val="pl-PL"/>
        </w:rPr>
        <w:t xml:space="preserve">odprowadzono ich z powrotem do Serbii. </w:t>
      </w:r>
    </w:p>
    <w:p w14:paraId="7777C118" w14:textId="77777777" w:rsidR="00950534" w:rsidRDefault="00950534" w:rsidP="00950534">
      <w:pPr>
        <w:pStyle w:val="ClinContent"/>
        <w:widowControl w:val="0"/>
        <w:spacing w:before="0"/>
        <w:rPr>
          <w:rFonts w:asciiTheme="minorHAnsi" w:hAnsiTheme="minorHAnsi"/>
          <w:sz w:val="24"/>
          <w:lang w:val="pl-PL"/>
        </w:rPr>
      </w:pPr>
    </w:p>
    <w:p w14:paraId="4837A091"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postępowaniu przed Trybunałem </w:t>
      </w:r>
      <w:r w:rsidRPr="00DE1D2D">
        <w:rPr>
          <w:rFonts w:asciiTheme="minorHAnsi" w:hAnsiTheme="minorHAnsi"/>
          <w:sz w:val="24"/>
          <w:lang w:val="pl-PL"/>
        </w:rPr>
        <w:t>skarżący zarzucili między innymi</w:t>
      </w:r>
      <w:r w:rsidRPr="00B15C52">
        <w:rPr>
          <w:rFonts w:asciiTheme="minorHAnsi" w:hAnsiTheme="minorHAnsi"/>
          <w:sz w:val="24"/>
          <w:lang w:val="pl-PL"/>
        </w:rPr>
        <w:t>, że pozbawienie wolności w str</w:t>
      </w:r>
      <w:r>
        <w:rPr>
          <w:rFonts w:asciiTheme="minorHAnsi" w:hAnsiTheme="minorHAnsi"/>
          <w:sz w:val="24"/>
          <w:lang w:val="pl-PL"/>
        </w:rPr>
        <w:t xml:space="preserve">efie tranzytowej było bezprawne, a </w:t>
      </w:r>
      <w:r w:rsidRPr="00B15C52">
        <w:rPr>
          <w:rFonts w:asciiTheme="minorHAnsi" w:hAnsiTheme="minorHAnsi"/>
          <w:sz w:val="24"/>
          <w:lang w:val="pl-PL"/>
        </w:rPr>
        <w:t>warunki ich rzekomo bezprawnego pozbawienia wolności były nieodpowiednie</w:t>
      </w:r>
      <w:r>
        <w:rPr>
          <w:rFonts w:asciiTheme="minorHAnsi" w:hAnsiTheme="minorHAnsi"/>
          <w:sz w:val="24"/>
          <w:lang w:val="pl-PL"/>
        </w:rPr>
        <w:t xml:space="preserve">. Podnieśli także, że </w:t>
      </w:r>
      <w:r w:rsidRPr="00B15C52">
        <w:rPr>
          <w:rFonts w:asciiTheme="minorHAnsi" w:hAnsiTheme="minorHAnsi"/>
          <w:sz w:val="24"/>
          <w:lang w:val="pl-PL"/>
        </w:rPr>
        <w:t xml:space="preserve">ich wydalenie do Serbii naraziło ich na rzeczywiste zagrożenie nieludzkim i poniżającym traktowaniem. </w:t>
      </w:r>
    </w:p>
    <w:p w14:paraId="1917B56B" w14:textId="77777777" w:rsidR="00950534" w:rsidRDefault="00950534" w:rsidP="00950534">
      <w:pPr>
        <w:pStyle w:val="ClinContent"/>
        <w:widowControl w:val="0"/>
        <w:spacing w:before="0"/>
        <w:rPr>
          <w:rFonts w:asciiTheme="minorHAnsi" w:hAnsiTheme="minorHAnsi"/>
          <w:sz w:val="24"/>
          <w:lang w:val="pl-PL"/>
        </w:rPr>
      </w:pPr>
    </w:p>
    <w:p w14:paraId="3D977C13" w14:textId="02115785"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wyroku z dnia 14 marca 2017 r. (zobacz </w:t>
      </w:r>
      <w:hyperlink r:id="rId18" w:history="1">
        <w:r w:rsidRPr="00B15C52">
          <w:rPr>
            <w:rStyle w:val="Hipercze"/>
            <w:rFonts w:asciiTheme="minorHAnsi" w:hAnsiTheme="minorHAnsi"/>
            <w:sz w:val="24"/>
            <w:lang w:val="pl-PL"/>
          </w:rPr>
          <w:t>Nota informacyjna nr 205</w:t>
        </w:r>
      </w:hyperlink>
      <w:r>
        <w:rPr>
          <w:rFonts w:asciiTheme="minorHAnsi" w:hAnsiTheme="minorHAnsi"/>
          <w:sz w:val="24"/>
          <w:lang w:val="pl-PL"/>
        </w:rPr>
        <w:t>) Izba Trybunału orzekła</w:t>
      </w:r>
      <w:r w:rsidRPr="00B15C52">
        <w:rPr>
          <w:rFonts w:asciiTheme="minorHAnsi" w:hAnsiTheme="minorHAnsi"/>
          <w:sz w:val="24"/>
          <w:lang w:val="pl-PL"/>
        </w:rPr>
        <w:t xml:space="preserve"> jednogłośnie</w:t>
      </w:r>
      <w:r>
        <w:rPr>
          <w:rFonts w:asciiTheme="minorHAnsi" w:hAnsiTheme="minorHAnsi"/>
          <w:sz w:val="24"/>
          <w:lang w:val="pl-PL"/>
        </w:rPr>
        <w:t>,</w:t>
      </w:r>
      <w:r w:rsidRPr="00B15C52">
        <w:rPr>
          <w:rFonts w:asciiTheme="minorHAnsi" w:hAnsiTheme="minorHAnsi"/>
          <w:sz w:val="24"/>
          <w:lang w:val="pl-PL"/>
        </w:rPr>
        <w:t xml:space="preserve"> że doszło do naruszenia art. 3 w odniesieniu do wydalenia skarżących do Serbii oraz do naruszenia art. 5 ust. 1</w:t>
      </w:r>
      <w:r>
        <w:rPr>
          <w:rFonts w:asciiTheme="minorHAnsi" w:hAnsiTheme="minorHAnsi"/>
          <w:sz w:val="24"/>
          <w:lang w:val="pl-PL"/>
        </w:rPr>
        <w:t xml:space="preserve"> Konwencji</w:t>
      </w:r>
      <w:r w:rsidRPr="00B15C52">
        <w:rPr>
          <w:rFonts w:asciiTheme="minorHAnsi" w:hAnsiTheme="minorHAnsi"/>
          <w:sz w:val="24"/>
          <w:lang w:val="pl-PL"/>
        </w:rPr>
        <w:t xml:space="preserve">. Trybunał orzekł również, jednogłośnie, że nie doszło do naruszenia art. 3 </w:t>
      </w:r>
      <w:r>
        <w:rPr>
          <w:rFonts w:asciiTheme="minorHAnsi" w:hAnsiTheme="minorHAnsi"/>
          <w:sz w:val="24"/>
          <w:lang w:val="pl-PL"/>
        </w:rPr>
        <w:t xml:space="preserve">Konwencji </w:t>
      </w:r>
      <w:r w:rsidRPr="00B15C52">
        <w:rPr>
          <w:rFonts w:asciiTheme="minorHAnsi" w:hAnsiTheme="minorHAnsi"/>
          <w:sz w:val="24"/>
          <w:lang w:val="pl-PL"/>
        </w:rPr>
        <w:t>w odniesieniu do warunków pozbawienia wolności w</w:t>
      </w:r>
      <w:r w:rsidR="00206CCE">
        <w:rPr>
          <w:rFonts w:asciiTheme="minorHAnsi" w:hAnsiTheme="minorHAnsi"/>
          <w:sz w:val="24"/>
          <w:lang w:val="pl-PL"/>
        </w:rPr>
        <w:t> </w:t>
      </w:r>
      <w:r w:rsidRPr="00B15C52">
        <w:rPr>
          <w:rFonts w:asciiTheme="minorHAnsi" w:hAnsiTheme="minorHAnsi"/>
          <w:sz w:val="24"/>
          <w:lang w:val="pl-PL"/>
        </w:rPr>
        <w:t>strefie tranzytowej, ale doszło do naruszeń art. 5 ust. 4 i art. 13 w związku z art. 3</w:t>
      </w:r>
      <w:r>
        <w:rPr>
          <w:rFonts w:asciiTheme="minorHAnsi" w:hAnsiTheme="minorHAnsi"/>
          <w:sz w:val="24"/>
          <w:lang w:val="pl-PL"/>
        </w:rPr>
        <w:t xml:space="preserve"> Konwencji</w:t>
      </w:r>
      <w:r w:rsidRPr="00B15C52">
        <w:rPr>
          <w:rFonts w:asciiTheme="minorHAnsi" w:hAnsiTheme="minorHAnsi"/>
          <w:sz w:val="24"/>
          <w:lang w:val="pl-PL"/>
        </w:rPr>
        <w:t xml:space="preserve">. </w:t>
      </w:r>
    </w:p>
    <w:p w14:paraId="777FB333" w14:textId="77777777" w:rsidR="00950534" w:rsidRDefault="00950534" w:rsidP="00950534">
      <w:pPr>
        <w:pStyle w:val="ClinContent"/>
        <w:widowControl w:val="0"/>
        <w:spacing w:before="0"/>
        <w:rPr>
          <w:rFonts w:asciiTheme="minorHAnsi" w:hAnsiTheme="minorHAnsi"/>
          <w:sz w:val="24"/>
          <w:lang w:val="pl-PL"/>
        </w:rPr>
      </w:pPr>
    </w:p>
    <w:p w14:paraId="790AA49C"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dniu 18 września 2017 r. sprawa została przekazana do Wielkiej Izby na wniosek rządu. </w:t>
      </w:r>
    </w:p>
    <w:p w14:paraId="2859E2E5" w14:textId="77777777" w:rsidR="00950534" w:rsidRDefault="00950534" w:rsidP="00950534">
      <w:pPr>
        <w:pStyle w:val="ClinContent"/>
        <w:widowControl w:val="0"/>
        <w:spacing w:before="0"/>
        <w:rPr>
          <w:rFonts w:asciiTheme="minorHAnsi" w:hAnsiTheme="minorHAnsi"/>
          <w:sz w:val="24"/>
          <w:lang w:val="pl-PL"/>
        </w:rPr>
      </w:pPr>
    </w:p>
    <w:p w14:paraId="1B62262A" w14:textId="77777777" w:rsidR="00950534" w:rsidRDefault="00950534" w:rsidP="00950534">
      <w:pPr>
        <w:pStyle w:val="ClinContent"/>
        <w:widowControl w:val="0"/>
        <w:spacing w:before="0"/>
        <w:rPr>
          <w:rFonts w:asciiTheme="minorHAnsi" w:hAnsiTheme="minorHAnsi"/>
          <w:sz w:val="24"/>
          <w:u w:val="single"/>
          <w:lang w:val="pl-PL"/>
        </w:rPr>
      </w:pPr>
      <w:r>
        <w:rPr>
          <w:rFonts w:asciiTheme="minorHAnsi" w:hAnsiTheme="minorHAnsi"/>
          <w:sz w:val="24"/>
          <w:lang w:val="pl-PL"/>
        </w:rPr>
        <w:t xml:space="preserve">I. W pierwszej kolejności Wielka Izba Trybunału zbadała, </w:t>
      </w:r>
      <w:r w:rsidRPr="00F707EA">
        <w:rPr>
          <w:rFonts w:asciiTheme="minorHAnsi" w:hAnsiTheme="minorHAnsi"/>
          <w:sz w:val="24"/>
          <w:u w:val="single"/>
          <w:lang w:val="pl-PL"/>
        </w:rPr>
        <w:t>czy w</w:t>
      </w:r>
      <w:r>
        <w:rPr>
          <w:rFonts w:asciiTheme="minorHAnsi" w:hAnsiTheme="minorHAnsi"/>
          <w:sz w:val="24"/>
          <w:u w:val="single"/>
          <w:lang w:val="pl-PL"/>
        </w:rPr>
        <w:t>ydalenie</w:t>
      </w:r>
      <w:r w:rsidRPr="00FF3C6B">
        <w:rPr>
          <w:rFonts w:asciiTheme="minorHAnsi" w:hAnsiTheme="minorHAnsi"/>
          <w:sz w:val="24"/>
          <w:u w:val="single"/>
          <w:lang w:val="pl-PL"/>
        </w:rPr>
        <w:t xml:space="preserve"> skarżących do Serbii</w:t>
      </w:r>
      <w:r>
        <w:rPr>
          <w:rFonts w:asciiTheme="minorHAnsi" w:hAnsiTheme="minorHAnsi"/>
          <w:sz w:val="24"/>
          <w:u w:val="single"/>
          <w:lang w:val="pl-PL"/>
        </w:rPr>
        <w:t xml:space="preserve"> było zgodne z zakazem tortur oraz nieludzkiego lub poniżającego traktowania przewidzianym przez art. 3 Konwencji.</w:t>
      </w:r>
    </w:p>
    <w:p w14:paraId="1F5ECADD" w14:textId="77777777" w:rsidR="00950534" w:rsidRDefault="00950534" w:rsidP="00950534">
      <w:pPr>
        <w:pStyle w:val="ClinContent"/>
        <w:widowControl w:val="0"/>
        <w:spacing w:before="0"/>
        <w:rPr>
          <w:rFonts w:asciiTheme="minorHAnsi" w:hAnsiTheme="minorHAnsi"/>
          <w:sz w:val="24"/>
          <w:u w:val="single"/>
          <w:lang w:val="pl-PL"/>
        </w:rPr>
      </w:pPr>
    </w:p>
    <w:p w14:paraId="12993D34" w14:textId="2129276D"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Wielka Izba zauważyła, że s</w:t>
      </w:r>
      <w:r w:rsidRPr="00B15C52">
        <w:rPr>
          <w:rFonts w:asciiTheme="minorHAnsi" w:hAnsiTheme="minorHAnsi"/>
          <w:sz w:val="24"/>
          <w:lang w:val="pl-PL"/>
        </w:rPr>
        <w:t>karżący nie opuścili strefy tranzytowej z własnej woli. Ich</w:t>
      </w:r>
      <w:r w:rsidR="00206CCE">
        <w:rPr>
          <w:rFonts w:asciiTheme="minorHAnsi" w:hAnsiTheme="minorHAnsi"/>
          <w:sz w:val="24"/>
          <w:lang w:val="pl-PL"/>
        </w:rPr>
        <w:t> </w:t>
      </w:r>
      <w:r w:rsidRPr="00B15C52">
        <w:rPr>
          <w:rFonts w:asciiTheme="minorHAnsi" w:hAnsiTheme="minorHAnsi"/>
          <w:sz w:val="24"/>
          <w:lang w:val="pl-PL"/>
        </w:rPr>
        <w:t xml:space="preserve">wydalenie z Węgier należy zatem przypisać pozwanemu państwu. </w:t>
      </w:r>
    </w:p>
    <w:p w14:paraId="1BCDC138" w14:textId="77777777" w:rsidR="00950534" w:rsidRDefault="00950534" w:rsidP="00950534">
      <w:pPr>
        <w:pStyle w:val="ClinContent"/>
        <w:widowControl w:val="0"/>
        <w:spacing w:before="0"/>
        <w:rPr>
          <w:rFonts w:asciiTheme="minorHAnsi" w:hAnsiTheme="minorHAnsi"/>
          <w:sz w:val="24"/>
          <w:lang w:val="pl-PL"/>
        </w:rPr>
      </w:pPr>
    </w:p>
    <w:p w14:paraId="3F7A463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że zakres</w:t>
      </w:r>
      <w:r w:rsidRPr="00B15C52">
        <w:rPr>
          <w:rFonts w:asciiTheme="minorHAnsi" w:hAnsiTheme="minorHAnsi"/>
          <w:sz w:val="24"/>
          <w:lang w:val="pl-PL"/>
        </w:rPr>
        <w:t xml:space="preserve"> obowiązków wydalającego państwa na podstawie art. 3 </w:t>
      </w:r>
      <w:r>
        <w:rPr>
          <w:rFonts w:asciiTheme="minorHAnsi" w:hAnsiTheme="minorHAnsi"/>
          <w:sz w:val="24"/>
          <w:lang w:val="pl-PL"/>
        </w:rPr>
        <w:t xml:space="preserve">Konwencji </w:t>
      </w:r>
      <w:r w:rsidRPr="00B15C52">
        <w:rPr>
          <w:rFonts w:asciiTheme="minorHAnsi" w:hAnsiTheme="minorHAnsi"/>
          <w:sz w:val="24"/>
          <w:lang w:val="pl-PL"/>
        </w:rPr>
        <w:t>różni się w zależności od tego, czy państwo przyjmujące jest państwem pochodzenia osoby ubiegającej się o azyl</w:t>
      </w:r>
      <w:r>
        <w:rPr>
          <w:rFonts w:asciiTheme="minorHAnsi" w:hAnsiTheme="minorHAnsi"/>
          <w:sz w:val="24"/>
          <w:lang w:val="pl-PL"/>
        </w:rPr>
        <w:t>,</w:t>
      </w:r>
      <w:r w:rsidRPr="00B15C52">
        <w:rPr>
          <w:rFonts w:asciiTheme="minorHAnsi" w:hAnsiTheme="minorHAnsi"/>
          <w:sz w:val="24"/>
          <w:lang w:val="pl-PL"/>
        </w:rPr>
        <w:t xml:space="preserve"> czy państwem trzecim, a w tym ostatnim przypadku od tego, czy państwo wydalające rozpatrzyło przedmiot wniosku o azyl. </w:t>
      </w:r>
    </w:p>
    <w:p w14:paraId="50E40FF5" w14:textId="77777777" w:rsidR="00950534" w:rsidRDefault="00950534" w:rsidP="00950534">
      <w:pPr>
        <w:pStyle w:val="ClinContent"/>
        <w:widowControl w:val="0"/>
        <w:spacing w:before="0"/>
        <w:rPr>
          <w:rFonts w:asciiTheme="minorHAnsi" w:hAnsiTheme="minorHAnsi"/>
          <w:sz w:val="24"/>
          <w:lang w:val="pl-PL"/>
        </w:rPr>
      </w:pPr>
    </w:p>
    <w:p w14:paraId="407428E1" w14:textId="77777777" w:rsidR="008F71FD" w:rsidRDefault="008F71FD" w:rsidP="00950534">
      <w:pPr>
        <w:pStyle w:val="ClinContent"/>
        <w:widowControl w:val="0"/>
        <w:spacing w:before="0"/>
        <w:rPr>
          <w:rFonts w:asciiTheme="minorHAnsi" w:hAnsiTheme="minorHAnsi"/>
          <w:sz w:val="24"/>
          <w:lang w:val="pl-PL"/>
        </w:rPr>
      </w:pPr>
    </w:p>
    <w:p w14:paraId="58450664" w14:textId="7C53EFF8"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dodał, że we wszystkich przypadkach wydalenia osoby ubiegającej się o azyl z</w:t>
      </w:r>
      <w:r w:rsidR="00206CCE">
        <w:rPr>
          <w:rFonts w:asciiTheme="minorHAnsi" w:hAnsiTheme="minorHAnsi"/>
          <w:sz w:val="24"/>
          <w:lang w:val="pl-PL"/>
        </w:rPr>
        <w:t> </w:t>
      </w:r>
      <w:r w:rsidRPr="00B15C52">
        <w:rPr>
          <w:rFonts w:asciiTheme="minorHAnsi" w:hAnsiTheme="minorHAnsi"/>
          <w:sz w:val="24"/>
          <w:lang w:val="pl-PL"/>
        </w:rPr>
        <w:t>państwa strony do pośredniczącego państwa trzeciego bez zbadania przedmiotu wniosk</w:t>
      </w:r>
      <w:r>
        <w:rPr>
          <w:rFonts w:asciiTheme="minorHAnsi" w:hAnsiTheme="minorHAnsi"/>
          <w:sz w:val="24"/>
          <w:lang w:val="pl-PL"/>
        </w:rPr>
        <w:t>u</w:t>
      </w:r>
      <w:r w:rsidRPr="00B15C52">
        <w:rPr>
          <w:rFonts w:asciiTheme="minorHAnsi" w:hAnsiTheme="minorHAnsi"/>
          <w:sz w:val="24"/>
          <w:lang w:val="pl-PL"/>
        </w:rPr>
        <w:t xml:space="preserve"> o</w:t>
      </w:r>
      <w:r w:rsidR="00206CCE">
        <w:rPr>
          <w:rFonts w:asciiTheme="minorHAnsi" w:hAnsiTheme="minorHAnsi"/>
          <w:sz w:val="24"/>
          <w:lang w:val="pl-PL"/>
        </w:rPr>
        <w:t> </w:t>
      </w:r>
      <w:r w:rsidRPr="00B15C52">
        <w:rPr>
          <w:rFonts w:asciiTheme="minorHAnsi" w:hAnsiTheme="minorHAnsi"/>
          <w:sz w:val="24"/>
          <w:lang w:val="pl-PL"/>
        </w:rPr>
        <w:t>azyl</w:t>
      </w:r>
      <w:r>
        <w:rPr>
          <w:rFonts w:asciiTheme="minorHAnsi" w:hAnsiTheme="minorHAnsi"/>
          <w:sz w:val="24"/>
          <w:lang w:val="pl-PL"/>
        </w:rPr>
        <w:t xml:space="preserve"> </w:t>
      </w:r>
      <w:r w:rsidRPr="00B15C52">
        <w:rPr>
          <w:rFonts w:asciiTheme="minorHAnsi" w:hAnsiTheme="minorHAnsi"/>
          <w:sz w:val="24"/>
          <w:lang w:val="pl-PL"/>
        </w:rPr>
        <w:t>obowiązkiem państwa wydalającego jest dogłębne zbadanie, czy istnieje r</w:t>
      </w:r>
      <w:r>
        <w:rPr>
          <w:rFonts w:asciiTheme="minorHAnsi" w:hAnsiTheme="minorHAnsi"/>
          <w:sz w:val="24"/>
          <w:lang w:val="pl-PL"/>
        </w:rPr>
        <w:t>zeczywiste ryzyko odmówienia</w:t>
      </w:r>
      <w:r w:rsidRPr="00B15C52">
        <w:rPr>
          <w:rFonts w:asciiTheme="minorHAnsi" w:hAnsiTheme="minorHAnsi"/>
          <w:sz w:val="24"/>
          <w:lang w:val="pl-PL"/>
        </w:rPr>
        <w:t xml:space="preserve"> osobie ubiegającej się o azyl dostępu w państwie przyjmującym do</w:t>
      </w:r>
      <w:r w:rsidR="00206CCE">
        <w:rPr>
          <w:rFonts w:asciiTheme="minorHAnsi" w:hAnsiTheme="minorHAnsi"/>
          <w:sz w:val="24"/>
          <w:lang w:val="pl-PL"/>
        </w:rPr>
        <w:t> </w:t>
      </w:r>
      <w:r w:rsidRPr="00B15C52">
        <w:rPr>
          <w:rFonts w:asciiTheme="minorHAnsi" w:hAnsiTheme="minorHAnsi"/>
          <w:sz w:val="24"/>
          <w:lang w:val="pl-PL"/>
        </w:rPr>
        <w:t xml:space="preserve">odpowiedniej procedury azylowej chroniącej ją przed </w:t>
      </w:r>
      <w:r w:rsidRPr="00B15C52">
        <w:rPr>
          <w:rFonts w:asciiTheme="minorHAnsi" w:hAnsiTheme="minorHAnsi"/>
          <w:i/>
          <w:sz w:val="24"/>
          <w:lang w:val="pl-PL"/>
        </w:rPr>
        <w:t xml:space="preserve">refoulement, </w:t>
      </w:r>
      <w:r>
        <w:rPr>
          <w:rFonts w:asciiTheme="minorHAnsi" w:hAnsiTheme="minorHAnsi"/>
          <w:sz w:val="24"/>
          <w:lang w:val="pl-PL"/>
        </w:rPr>
        <w:t xml:space="preserve">czyli </w:t>
      </w:r>
      <w:r w:rsidRPr="00B15C52">
        <w:rPr>
          <w:rFonts w:asciiTheme="minorHAnsi" w:hAnsiTheme="minorHAnsi"/>
          <w:sz w:val="24"/>
          <w:lang w:val="pl-PL"/>
        </w:rPr>
        <w:t>przed wydaleniem, pośrednio lub bezpośrednio, do jej państwa pochodzenia bez odpowiedniej oceny zagrożeń, na które jest narażona z punktu widzenia art. 3</w:t>
      </w:r>
      <w:r>
        <w:rPr>
          <w:rFonts w:asciiTheme="minorHAnsi" w:hAnsiTheme="minorHAnsi"/>
          <w:sz w:val="24"/>
          <w:lang w:val="pl-PL"/>
        </w:rPr>
        <w:t xml:space="preserve"> Konwencji</w:t>
      </w:r>
      <w:r w:rsidRPr="00B15C52">
        <w:rPr>
          <w:rFonts w:asciiTheme="minorHAnsi" w:hAnsiTheme="minorHAnsi"/>
          <w:sz w:val="24"/>
          <w:lang w:val="pl-PL"/>
        </w:rPr>
        <w:t xml:space="preserve">. </w:t>
      </w:r>
      <w:r>
        <w:rPr>
          <w:rFonts w:asciiTheme="minorHAnsi" w:hAnsiTheme="minorHAnsi"/>
          <w:sz w:val="24"/>
          <w:lang w:val="pl-PL"/>
        </w:rPr>
        <w:t xml:space="preserve">Obowiązek ten stosuje się </w:t>
      </w:r>
      <w:r w:rsidRPr="00B15C52">
        <w:rPr>
          <w:rFonts w:asciiTheme="minorHAnsi" w:hAnsiTheme="minorHAnsi"/>
          <w:sz w:val="24"/>
          <w:lang w:val="pl-PL"/>
        </w:rPr>
        <w:t xml:space="preserve">niezależnie od tego, czy przyjmującym państwem </w:t>
      </w:r>
      <w:r>
        <w:rPr>
          <w:rFonts w:asciiTheme="minorHAnsi" w:hAnsiTheme="minorHAnsi"/>
          <w:sz w:val="24"/>
          <w:lang w:val="pl-PL"/>
        </w:rPr>
        <w:t xml:space="preserve">trzecim </w:t>
      </w:r>
      <w:r w:rsidRPr="00B15C52">
        <w:rPr>
          <w:rFonts w:asciiTheme="minorHAnsi" w:hAnsiTheme="minorHAnsi"/>
          <w:sz w:val="24"/>
          <w:lang w:val="pl-PL"/>
        </w:rPr>
        <w:t>jest państwo UE</w:t>
      </w:r>
      <w:r>
        <w:rPr>
          <w:rFonts w:asciiTheme="minorHAnsi" w:hAnsiTheme="minorHAnsi"/>
          <w:sz w:val="24"/>
          <w:lang w:val="pl-PL"/>
        </w:rPr>
        <w:t>, czy</w:t>
      </w:r>
      <w:r w:rsidR="00206CCE">
        <w:rPr>
          <w:rFonts w:asciiTheme="minorHAnsi" w:hAnsiTheme="minorHAnsi"/>
          <w:sz w:val="24"/>
          <w:lang w:val="pl-PL"/>
        </w:rPr>
        <w:t> </w:t>
      </w:r>
      <w:r>
        <w:rPr>
          <w:rFonts w:asciiTheme="minorHAnsi" w:hAnsiTheme="minorHAnsi"/>
          <w:sz w:val="24"/>
          <w:lang w:val="pl-PL"/>
        </w:rPr>
        <w:t xml:space="preserve">państwo niebędące członkiem UE, i niezależnie od tego, czy </w:t>
      </w:r>
      <w:r w:rsidRPr="00B15C52">
        <w:rPr>
          <w:rFonts w:asciiTheme="minorHAnsi" w:hAnsiTheme="minorHAnsi"/>
          <w:sz w:val="24"/>
          <w:lang w:val="pl-PL"/>
        </w:rPr>
        <w:t xml:space="preserve">jest </w:t>
      </w:r>
      <w:r>
        <w:rPr>
          <w:rFonts w:asciiTheme="minorHAnsi" w:hAnsiTheme="minorHAnsi"/>
          <w:sz w:val="24"/>
          <w:lang w:val="pl-PL"/>
        </w:rPr>
        <w:t xml:space="preserve">ono </w:t>
      </w:r>
      <w:r w:rsidRPr="00B15C52">
        <w:rPr>
          <w:rFonts w:asciiTheme="minorHAnsi" w:hAnsiTheme="minorHAnsi"/>
          <w:sz w:val="24"/>
          <w:lang w:val="pl-PL"/>
        </w:rPr>
        <w:t>stroną Konwencją,</w:t>
      </w:r>
      <w:r>
        <w:rPr>
          <w:rFonts w:asciiTheme="minorHAnsi" w:hAnsiTheme="minorHAnsi"/>
          <w:sz w:val="24"/>
          <w:lang w:val="pl-PL"/>
        </w:rPr>
        <w:t xml:space="preserve"> czy nie. </w:t>
      </w:r>
      <w:r w:rsidRPr="00B15C52">
        <w:rPr>
          <w:rFonts w:asciiTheme="minorHAnsi" w:hAnsiTheme="minorHAnsi"/>
          <w:sz w:val="24"/>
          <w:lang w:val="pl-PL"/>
        </w:rPr>
        <w:t xml:space="preserve">Jeśli zostanie ustalone, że istniejące w tym względzie gwarancje są niewystarczające, z art. 3 </w:t>
      </w:r>
      <w:r>
        <w:rPr>
          <w:rFonts w:asciiTheme="minorHAnsi" w:hAnsiTheme="minorHAnsi"/>
          <w:sz w:val="24"/>
          <w:lang w:val="pl-PL"/>
        </w:rPr>
        <w:t xml:space="preserve">Konwencji </w:t>
      </w:r>
      <w:r w:rsidRPr="00B15C52">
        <w:rPr>
          <w:rFonts w:asciiTheme="minorHAnsi" w:hAnsiTheme="minorHAnsi"/>
          <w:sz w:val="24"/>
          <w:lang w:val="pl-PL"/>
        </w:rPr>
        <w:t xml:space="preserve">wynika obowiązek niewydalania osób ubiegających się o azyl do danego państwa trzeciego. </w:t>
      </w:r>
    </w:p>
    <w:p w14:paraId="6B1302BE" w14:textId="77777777" w:rsidR="00950534" w:rsidRDefault="00950534" w:rsidP="00950534">
      <w:pPr>
        <w:pStyle w:val="ClinContent"/>
        <w:widowControl w:val="0"/>
        <w:spacing w:before="0"/>
        <w:rPr>
          <w:rFonts w:asciiTheme="minorHAnsi" w:hAnsiTheme="minorHAnsi"/>
          <w:sz w:val="24"/>
          <w:lang w:val="pl-PL"/>
        </w:rPr>
      </w:pPr>
    </w:p>
    <w:p w14:paraId="535D19C0" w14:textId="52E1B5A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Dodatkowo, </w:t>
      </w:r>
      <w:r w:rsidRPr="00B15C52">
        <w:rPr>
          <w:rFonts w:asciiTheme="minorHAnsi" w:hAnsiTheme="minorHAnsi"/>
          <w:sz w:val="24"/>
          <w:lang w:val="pl-PL"/>
        </w:rPr>
        <w:t xml:space="preserve">jeśli zarzucane ryzyko podlegania traktowaniu sprzecznemu z art. 3 </w:t>
      </w:r>
      <w:r>
        <w:rPr>
          <w:rFonts w:asciiTheme="minorHAnsi" w:hAnsiTheme="minorHAnsi"/>
          <w:sz w:val="24"/>
          <w:lang w:val="pl-PL"/>
        </w:rPr>
        <w:t xml:space="preserve">Konwencji </w:t>
      </w:r>
      <w:r w:rsidRPr="00B15C52">
        <w:rPr>
          <w:rFonts w:asciiTheme="minorHAnsi" w:hAnsiTheme="minorHAnsi"/>
          <w:sz w:val="24"/>
          <w:lang w:val="pl-PL"/>
        </w:rPr>
        <w:t>dotyczy na przykład warunków pozbawienia wolności lub warunków życia osób ubiegających się o azyl w przyjmującym państwie trzecim, państwo wydalające powinno ocenić również to</w:t>
      </w:r>
      <w:r w:rsidR="00206CCE">
        <w:rPr>
          <w:rFonts w:asciiTheme="minorHAnsi" w:hAnsiTheme="minorHAnsi"/>
          <w:sz w:val="24"/>
          <w:lang w:val="pl-PL"/>
        </w:rPr>
        <w:t> </w:t>
      </w:r>
      <w:r w:rsidRPr="00B15C52">
        <w:rPr>
          <w:rFonts w:asciiTheme="minorHAnsi" w:hAnsiTheme="minorHAnsi"/>
          <w:sz w:val="24"/>
          <w:lang w:val="pl-PL"/>
        </w:rPr>
        <w:t xml:space="preserve">ryzyko. </w:t>
      </w:r>
    </w:p>
    <w:p w14:paraId="35B1B5CA" w14:textId="77777777" w:rsidR="00950534" w:rsidRDefault="00950534" w:rsidP="00950534">
      <w:pPr>
        <w:pStyle w:val="ClinContent"/>
        <w:widowControl w:val="0"/>
        <w:spacing w:before="0"/>
        <w:rPr>
          <w:rFonts w:asciiTheme="minorHAnsi" w:hAnsiTheme="minorHAnsi"/>
          <w:sz w:val="24"/>
          <w:lang w:val="pl-PL"/>
        </w:rPr>
      </w:pPr>
    </w:p>
    <w:p w14:paraId="7D97D474" w14:textId="0DA11094"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Jeśli w postępowaniu krajow</w:t>
      </w:r>
      <w:r>
        <w:rPr>
          <w:rFonts w:asciiTheme="minorHAnsi" w:hAnsiTheme="minorHAnsi"/>
          <w:sz w:val="24"/>
          <w:lang w:val="pl-PL"/>
        </w:rPr>
        <w:t>ym lub międzynarodowym stwierdzono</w:t>
      </w:r>
      <w:r w:rsidRPr="00B15C52">
        <w:rPr>
          <w:rFonts w:asciiTheme="minorHAnsi" w:hAnsiTheme="minorHAnsi"/>
          <w:i/>
          <w:sz w:val="24"/>
          <w:lang w:val="pl-PL"/>
        </w:rPr>
        <w:t xml:space="preserve"> ex post facto</w:t>
      </w:r>
      <w:r w:rsidRPr="00B15C52">
        <w:rPr>
          <w:rFonts w:asciiTheme="minorHAnsi" w:hAnsiTheme="minorHAnsi"/>
          <w:sz w:val="24"/>
          <w:lang w:val="pl-PL"/>
        </w:rPr>
        <w:t>, że osoba ubiegająca się o azyl nie była zagrożona w państwie pochodzenia, nie może to służyć do</w:t>
      </w:r>
      <w:r w:rsidR="00206CCE">
        <w:rPr>
          <w:rFonts w:asciiTheme="minorHAnsi" w:hAnsiTheme="minorHAnsi"/>
          <w:sz w:val="24"/>
          <w:lang w:val="pl-PL"/>
        </w:rPr>
        <w:t> </w:t>
      </w:r>
      <w:r w:rsidRPr="00B15C52">
        <w:rPr>
          <w:rFonts w:asciiTheme="minorHAnsi" w:hAnsiTheme="minorHAnsi"/>
          <w:sz w:val="24"/>
          <w:lang w:val="pl-PL"/>
        </w:rPr>
        <w:t>zwolnienia państwa z mocą wsteczną z opisanego wyżej obowiązku proceduralnego. W</w:t>
      </w:r>
      <w:r w:rsidR="00206CCE">
        <w:rPr>
          <w:rFonts w:asciiTheme="minorHAnsi" w:hAnsiTheme="minorHAnsi"/>
          <w:sz w:val="24"/>
          <w:lang w:val="pl-PL"/>
        </w:rPr>
        <w:t> </w:t>
      </w:r>
      <w:r w:rsidRPr="00B15C52">
        <w:rPr>
          <w:rFonts w:asciiTheme="minorHAnsi" w:hAnsiTheme="minorHAnsi"/>
          <w:sz w:val="24"/>
          <w:lang w:val="pl-PL"/>
        </w:rPr>
        <w:t>przeciwnym razie osoby ubiegające się o azyl, któr</w:t>
      </w:r>
      <w:r>
        <w:rPr>
          <w:rFonts w:asciiTheme="minorHAnsi" w:hAnsiTheme="minorHAnsi"/>
          <w:sz w:val="24"/>
          <w:lang w:val="pl-PL"/>
        </w:rPr>
        <w:t xml:space="preserve">ym w państwie pochodzenia grozi </w:t>
      </w:r>
      <w:r w:rsidRPr="00B15C52">
        <w:rPr>
          <w:rFonts w:asciiTheme="minorHAnsi" w:hAnsiTheme="minorHAnsi"/>
          <w:sz w:val="24"/>
          <w:lang w:val="pl-PL"/>
        </w:rPr>
        <w:t xml:space="preserve">śmiertelnie </w:t>
      </w:r>
      <w:r>
        <w:rPr>
          <w:rFonts w:asciiTheme="minorHAnsi" w:hAnsiTheme="minorHAnsi"/>
          <w:sz w:val="24"/>
          <w:lang w:val="pl-PL"/>
        </w:rPr>
        <w:t>niebezpieczeństwo</w:t>
      </w:r>
      <w:r w:rsidRPr="00B15C52">
        <w:rPr>
          <w:rFonts w:asciiTheme="minorHAnsi" w:hAnsiTheme="minorHAnsi"/>
          <w:sz w:val="24"/>
          <w:lang w:val="pl-PL"/>
        </w:rPr>
        <w:t xml:space="preserve">, mogłyby być zgodnie z prawem i w trybie uproszczonym wydalane do „niebezpiecznych” państw trzecich. Takie podejście sprawiłoby, że zakaz złego traktowania w sprawach o wydalenie osób ubiegających się o azyl stałby się w praktyce pozbawiony znaczenia. </w:t>
      </w:r>
    </w:p>
    <w:p w14:paraId="44BE70AF" w14:textId="77777777" w:rsidR="00950534" w:rsidRDefault="00950534" w:rsidP="00950534">
      <w:pPr>
        <w:pStyle w:val="ClinContent"/>
        <w:widowControl w:val="0"/>
        <w:spacing w:before="0"/>
        <w:rPr>
          <w:rFonts w:asciiTheme="minorHAnsi" w:hAnsiTheme="minorHAnsi"/>
          <w:i/>
          <w:sz w:val="24"/>
          <w:lang w:val="pl-PL"/>
        </w:rPr>
      </w:pPr>
    </w:p>
    <w:p w14:paraId="58F5BDDE"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odniesieniu do osób ubiegających się o azyl, których twierdzenia są nie</w:t>
      </w:r>
      <w:r>
        <w:rPr>
          <w:rFonts w:asciiTheme="minorHAnsi" w:hAnsiTheme="minorHAnsi"/>
          <w:sz w:val="24"/>
          <w:lang w:val="pl-PL"/>
        </w:rPr>
        <w:t>zasadne</w:t>
      </w:r>
      <w:r w:rsidRPr="00B15C52">
        <w:rPr>
          <w:rFonts w:asciiTheme="minorHAnsi" w:hAnsiTheme="minorHAnsi"/>
          <w:sz w:val="24"/>
          <w:lang w:val="pl-PL"/>
        </w:rPr>
        <w:t xml:space="preserve">, lub tym bardziej osób, które nie przedstawiają dającego się uzasadnić twierdzenia o istotnym zagrożeniu wymagającym ochrony, państwa </w:t>
      </w:r>
      <w:r>
        <w:rPr>
          <w:rFonts w:asciiTheme="minorHAnsi" w:hAnsiTheme="minorHAnsi"/>
          <w:sz w:val="24"/>
          <w:lang w:val="pl-PL"/>
        </w:rPr>
        <w:t xml:space="preserve">strony Konwencji </w:t>
      </w:r>
      <w:r w:rsidRPr="00B15C52">
        <w:rPr>
          <w:rFonts w:asciiTheme="minorHAnsi" w:hAnsiTheme="minorHAnsi"/>
          <w:sz w:val="24"/>
          <w:lang w:val="pl-PL"/>
        </w:rPr>
        <w:t xml:space="preserve">mogą, z zastrzeżeniem swych zobowiązań międzynarodowych, oddalić ich twierdzenia co do istoty i </w:t>
      </w:r>
      <w:r>
        <w:rPr>
          <w:rFonts w:asciiTheme="minorHAnsi" w:hAnsiTheme="minorHAnsi"/>
          <w:sz w:val="24"/>
          <w:lang w:val="pl-PL"/>
        </w:rPr>
        <w:t xml:space="preserve">odesłać </w:t>
      </w:r>
      <w:r w:rsidRPr="00B15C52">
        <w:rPr>
          <w:rFonts w:asciiTheme="minorHAnsi" w:hAnsiTheme="minorHAnsi"/>
          <w:sz w:val="24"/>
          <w:lang w:val="pl-PL"/>
        </w:rPr>
        <w:t>je do państwa pochodzenia lub państwa trzeciego, które zgodziło się je przyjąć. Forma taki</w:t>
      </w:r>
      <w:r>
        <w:rPr>
          <w:rFonts w:asciiTheme="minorHAnsi" w:hAnsiTheme="minorHAnsi"/>
          <w:sz w:val="24"/>
          <w:lang w:val="pl-PL"/>
        </w:rPr>
        <w:t>ego zbadania przedmiotu wniosku</w:t>
      </w:r>
      <w:r w:rsidRPr="00B15C52">
        <w:rPr>
          <w:rFonts w:asciiTheme="minorHAnsi" w:hAnsiTheme="minorHAnsi"/>
          <w:sz w:val="24"/>
          <w:lang w:val="pl-PL"/>
        </w:rPr>
        <w:t xml:space="preserve"> zależy, oczywiście, od powagi zgłoszonych twierdzeń i przedstawionych dowodów. </w:t>
      </w:r>
    </w:p>
    <w:p w14:paraId="6681D4BF" w14:textId="77777777" w:rsidR="00950534" w:rsidRDefault="00950534" w:rsidP="00950534">
      <w:pPr>
        <w:pStyle w:val="ClinContent"/>
        <w:widowControl w:val="0"/>
        <w:spacing w:before="0"/>
        <w:rPr>
          <w:rFonts w:asciiTheme="minorHAnsi" w:hAnsiTheme="minorHAnsi"/>
          <w:sz w:val="24"/>
          <w:lang w:val="pl-PL"/>
        </w:rPr>
      </w:pPr>
    </w:p>
    <w:p w14:paraId="1DCBA132" w14:textId="2F9B92A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zauważył, że w</w:t>
      </w:r>
      <w:r w:rsidRPr="00B15C52">
        <w:rPr>
          <w:rFonts w:asciiTheme="minorHAnsi" w:hAnsiTheme="minorHAnsi"/>
          <w:sz w:val="24"/>
          <w:lang w:val="pl-PL"/>
        </w:rPr>
        <w:t xml:space="preserve"> niniejszej sprawie</w:t>
      </w:r>
      <w:r>
        <w:rPr>
          <w:rFonts w:asciiTheme="minorHAnsi" w:hAnsiTheme="minorHAnsi"/>
          <w:sz w:val="24"/>
          <w:lang w:val="pl-PL"/>
        </w:rPr>
        <w:t>,</w:t>
      </w:r>
      <w:r w:rsidRPr="00B15C52">
        <w:rPr>
          <w:rFonts w:asciiTheme="minorHAnsi" w:hAnsiTheme="minorHAnsi"/>
          <w:sz w:val="24"/>
          <w:lang w:val="pl-PL"/>
        </w:rPr>
        <w:t xml:space="preserve"> na podstawie węgierskiej ustawy o azylu, która przewiduje niedopuszczalność wniosków azylowych w szeregu okoliczności i odzwierciedla wybory dokonane przez Węgry przy transponowaniu właściwego prawa UE, władze węgierskie nie zbadały przedmiotu wniosków azylowych skarżących, to jest kwestii, czy</w:t>
      </w:r>
      <w:r w:rsidR="00206CCE">
        <w:rPr>
          <w:rFonts w:asciiTheme="minorHAnsi" w:hAnsiTheme="minorHAnsi"/>
          <w:sz w:val="24"/>
          <w:lang w:val="pl-PL"/>
        </w:rPr>
        <w:t> </w:t>
      </w:r>
      <w:r w:rsidRPr="00B15C52">
        <w:rPr>
          <w:rFonts w:asciiTheme="minorHAnsi" w:hAnsiTheme="minorHAnsi"/>
          <w:sz w:val="24"/>
          <w:lang w:val="pl-PL"/>
        </w:rPr>
        <w:t>skarżący są narażeni na złe traktowanie w ich państwie pochodzenia,</w:t>
      </w:r>
      <w:r>
        <w:rPr>
          <w:rFonts w:asciiTheme="minorHAnsi" w:hAnsiTheme="minorHAnsi"/>
          <w:sz w:val="24"/>
          <w:lang w:val="pl-PL"/>
        </w:rPr>
        <w:t xml:space="preserve"> tj.</w:t>
      </w:r>
      <w:r w:rsidRPr="00B15C52">
        <w:rPr>
          <w:rFonts w:asciiTheme="minorHAnsi" w:hAnsiTheme="minorHAnsi"/>
          <w:sz w:val="24"/>
          <w:lang w:val="pl-PL"/>
        </w:rPr>
        <w:t xml:space="preserve"> Bangladeszu. Zamiast tego władze węgierskie uznały wnioski azylowe za niedopuszczalne na tej podstawie, że skarżący przybyli z Serbii, która w opinii władz węgierskich była bezpiecznym państwem trzecim i </w:t>
      </w:r>
      <w:r>
        <w:rPr>
          <w:rFonts w:asciiTheme="minorHAnsi" w:hAnsiTheme="minorHAnsi"/>
          <w:sz w:val="24"/>
          <w:lang w:val="pl-PL"/>
        </w:rPr>
        <w:t xml:space="preserve">w związku z tym </w:t>
      </w:r>
      <w:r w:rsidRPr="00B15C52">
        <w:rPr>
          <w:rFonts w:asciiTheme="minorHAnsi" w:hAnsiTheme="minorHAnsi"/>
          <w:sz w:val="24"/>
          <w:lang w:val="pl-PL"/>
        </w:rPr>
        <w:t xml:space="preserve">mogła przejąć odpowiedzialność za zbadanie przedmiotu wniosków azylowych skarżących. </w:t>
      </w:r>
    </w:p>
    <w:p w14:paraId="27F3ADAB" w14:textId="77777777" w:rsidR="00950534" w:rsidRDefault="00950534" w:rsidP="00950534">
      <w:pPr>
        <w:pStyle w:val="ClinContent"/>
        <w:widowControl w:val="0"/>
        <w:spacing w:before="0"/>
        <w:rPr>
          <w:rFonts w:asciiTheme="minorHAnsi" w:hAnsiTheme="minorHAnsi"/>
          <w:sz w:val="24"/>
          <w:lang w:val="pl-PL"/>
        </w:rPr>
      </w:pPr>
    </w:p>
    <w:p w14:paraId="4A5A3CEE" w14:textId="291C22E2"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konsekwencji </w:t>
      </w:r>
      <w:r>
        <w:rPr>
          <w:rFonts w:asciiTheme="minorHAnsi" w:hAnsiTheme="minorHAnsi"/>
          <w:sz w:val="24"/>
          <w:lang w:val="pl-PL"/>
        </w:rPr>
        <w:t xml:space="preserve">Trybunał uznał, że </w:t>
      </w:r>
      <w:r w:rsidRPr="00B15C52">
        <w:rPr>
          <w:rFonts w:asciiTheme="minorHAnsi" w:hAnsiTheme="minorHAnsi"/>
          <w:sz w:val="24"/>
          <w:lang w:val="pl-PL"/>
        </w:rPr>
        <w:t>główne zagadnienie skargi wniesionej przez skarżących na podstawie art. 3</w:t>
      </w:r>
      <w:r>
        <w:rPr>
          <w:rFonts w:asciiTheme="minorHAnsi" w:hAnsiTheme="minorHAnsi"/>
          <w:sz w:val="24"/>
          <w:lang w:val="pl-PL"/>
        </w:rPr>
        <w:t xml:space="preserve"> Konwencji</w:t>
      </w:r>
      <w:r w:rsidRPr="00B15C52">
        <w:rPr>
          <w:rFonts w:asciiTheme="minorHAnsi" w:hAnsiTheme="minorHAnsi"/>
          <w:sz w:val="24"/>
          <w:lang w:val="pl-PL"/>
        </w:rPr>
        <w:t xml:space="preserve"> dotyczy</w:t>
      </w:r>
      <w:r>
        <w:rPr>
          <w:rFonts w:asciiTheme="minorHAnsi" w:hAnsiTheme="minorHAnsi"/>
          <w:sz w:val="24"/>
          <w:lang w:val="pl-PL"/>
        </w:rPr>
        <w:t>ło</w:t>
      </w:r>
      <w:r w:rsidRPr="00B15C52">
        <w:rPr>
          <w:rFonts w:asciiTheme="minorHAnsi" w:hAnsiTheme="minorHAnsi"/>
          <w:sz w:val="24"/>
          <w:lang w:val="pl-PL"/>
        </w:rPr>
        <w:t xml:space="preserve"> tego, że zostali wydaleni mimo wyraźnych wskazań, że w Serbii nie będą mieli dostępu do odpowiedniej procedury azylowej zdolnej do</w:t>
      </w:r>
      <w:r w:rsidR="00206CCE">
        <w:rPr>
          <w:rFonts w:asciiTheme="minorHAnsi" w:hAnsiTheme="minorHAnsi"/>
          <w:sz w:val="24"/>
          <w:lang w:val="pl-PL"/>
        </w:rPr>
        <w:t> </w:t>
      </w:r>
      <w:r w:rsidRPr="00B15C52">
        <w:rPr>
          <w:rFonts w:asciiTheme="minorHAnsi" w:hAnsiTheme="minorHAnsi"/>
          <w:sz w:val="24"/>
          <w:lang w:val="pl-PL"/>
        </w:rPr>
        <w:t xml:space="preserve">zapewnienia im ochrony przed </w:t>
      </w:r>
      <w:r w:rsidRPr="00B15C52">
        <w:rPr>
          <w:rFonts w:asciiTheme="minorHAnsi" w:hAnsiTheme="minorHAnsi"/>
          <w:i/>
          <w:sz w:val="24"/>
          <w:lang w:val="pl-PL"/>
        </w:rPr>
        <w:t>refoulement.</w:t>
      </w:r>
      <w:r>
        <w:rPr>
          <w:rFonts w:asciiTheme="minorHAnsi" w:hAnsiTheme="minorHAnsi"/>
          <w:i/>
          <w:sz w:val="24"/>
          <w:lang w:val="pl-PL"/>
        </w:rPr>
        <w:t xml:space="preserve"> </w:t>
      </w:r>
    </w:p>
    <w:p w14:paraId="02E05F11" w14:textId="77777777" w:rsidR="00950534" w:rsidRDefault="00950534" w:rsidP="00950534">
      <w:pPr>
        <w:pStyle w:val="ClinContent"/>
        <w:widowControl w:val="0"/>
        <w:spacing w:before="0"/>
        <w:rPr>
          <w:rFonts w:asciiTheme="minorHAnsi" w:hAnsiTheme="minorHAnsi"/>
          <w:sz w:val="24"/>
          <w:lang w:val="pl-PL"/>
        </w:rPr>
      </w:pPr>
    </w:p>
    <w:p w14:paraId="74ABB22A" w14:textId="5011CF6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Do </w:t>
      </w:r>
      <w:r w:rsidRPr="00B15C52">
        <w:rPr>
          <w:rFonts w:asciiTheme="minorHAnsi" w:hAnsiTheme="minorHAnsi"/>
          <w:sz w:val="24"/>
          <w:lang w:val="pl-PL"/>
        </w:rPr>
        <w:t xml:space="preserve">Trybunału </w:t>
      </w:r>
      <w:r>
        <w:rPr>
          <w:rFonts w:asciiTheme="minorHAnsi" w:hAnsiTheme="minorHAnsi"/>
          <w:sz w:val="24"/>
          <w:lang w:val="pl-PL"/>
        </w:rPr>
        <w:t xml:space="preserve">nie należało natomiast </w:t>
      </w:r>
      <w:r w:rsidRPr="00B15C52">
        <w:rPr>
          <w:rFonts w:asciiTheme="minorHAnsi" w:hAnsiTheme="minorHAnsi"/>
          <w:sz w:val="24"/>
          <w:lang w:val="pl-PL"/>
        </w:rPr>
        <w:t>zbadanie, czy skarżący byli zagrożeni złym traktowaniem w Bangladeszu</w:t>
      </w:r>
      <w:r>
        <w:rPr>
          <w:rFonts w:asciiTheme="minorHAnsi" w:hAnsiTheme="minorHAnsi"/>
          <w:sz w:val="24"/>
          <w:lang w:val="pl-PL"/>
        </w:rPr>
        <w:t>,</w:t>
      </w:r>
      <w:r w:rsidRPr="00B15C52">
        <w:rPr>
          <w:rFonts w:asciiTheme="minorHAnsi" w:hAnsiTheme="minorHAnsi"/>
          <w:sz w:val="24"/>
          <w:lang w:val="pl-PL"/>
        </w:rPr>
        <w:t xml:space="preserve"> </w:t>
      </w:r>
      <w:r>
        <w:rPr>
          <w:rFonts w:asciiTheme="minorHAnsi" w:hAnsiTheme="minorHAnsi"/>
          <w:sz w:val="24"/>
          <w:lang w:val="pl-PL"/>
        </w:rPr>
        <w:t>p</w:t>
      </w:r>
      <w:r w:rsidRPr="00B15C52">
        <w:rPr>
          <w:rFonts w:asciiTheme="minorHAnsi" w:hAnsiTheme="minorHAnsi"/>
          <w:sz w:val="24"/>
          <w:lang w:val="pl-PL"/>
        </w:rPr>
        <w:t>onieważ kwestionowana decyzja władz węgierskich o</w:t>
      </w:r>
      <w:r w:rsidR="00206CCE">
        <w:rPr>
          <w:rFonts w:asciiTheme="minorHAnsi" w:hAnsiTheme="minorHAnsi"/>
          <w:sz w:val="24"/>
          <w:lang w:val="pl-PL"/>
        </w:rPr>
        <w:t> </w:t>
      </w:r>
      <w:r w:rsidRPr="00B15C52">
        <w:rPr>
          <w:rFonts w:asciiTheme="minorHAnsi" w:hAnsiTheme="minorHAnsi"/>
          <w:sz w:val="24"/>
          <w:lang w:val="pl-PL"/>
        </w:rPr>
        <w:t>wydaleniu skarżących do Serbii nie dotyczyła sytuacji w Bangladeszu i przedmiotu wniosków azylowych sk</w:t>
      </w:r>
      <w:r>
        <w:rPr>
          <w:rFonts w:asciiTheme="minorHAnsi" w:hAnsiTheme="minorHAnsi"/>
          <w:sz w:val="24"/>
          <w:lang w:val="pl-PL"/>
        </w:rPr>
        <w:t>arżących</w:t>
      </w:r>
      <w:r w:rsidRPr="00B15C52">
        <w:rPr>
          <w:rFonts w:asciiTheme="minorHAnsi" w:hAnsiTheme="minorHAnsi"/>
          <w:sz w:val="24"/>
          <w:lang w:val="pl-PL"/>
        </w:rPr>
        <w:t xml:space="preserve">. Nie było też rolą Trybunału działanie jako sąd pierwszej instancji i rozpatrywanie aspektów dotyczących przedmiotu wniosków azylowych w sytuacji, gdy pozwane państwo zdecydowało się w uprawniony sposób nie rozpatrywać tych aspektów, a kwestionowane wydalenie oparte było na koncepcji „bezpiecznego państwa trzeciego”. Kwestia, czy istniało dające się uzasadnić na podstawie art. 3 </w:t>
      </w:r>
      <w:r>
        <w:rPr>
          <w:rFonts w:asciiTheme="minorHAnsi" w:hAnsiTheme="minorHAnsi"/>
          <w:sz w:val="24"/>
          <w:lang w:val="pl-PL"/>
        </w:rPr>
        <w:t xml:space="preserve">Konwencji </w:t>
      </w:r>
      <w:r w:rsidRPr="00B15C52">
        <w:rPr>
          <w:rFonts w:asciiTheme="minorHAnsi" w:hAnsiTheme="minorHAnsi"/>
          <w:sz w:val="24"/>
          <w:lang w:val="pl-PL"/>
        </w:rPr>
        <w:t xml:space="preserve">twierdzenie o zagrożeniach w państwie pochodzenia, ma znaczenie w sprawach, w których państwo wydalające zajmowało się tymi zagrożeniami. </w:t>
      </w:r>
    </w:p>
    <w:p w14:paraId="79DEEECA" w14:textId="77777777" w:rsidR="00950534" w:rsidRDefault="00950534" w:rsidP="00950534">
      <w:pPr>
        <w:pStyle w:val="ClinContent"/>
        <w:widowControl w:val="0"/>
        <w:spacing w:before="0"/>
        <w:rPr>
          <w:rFonts w:asciiTheme="minorHAnsi" w:hAnsiTheme="minorHAnsi"/>
          <w:sz w:val="24"/>
          <w:lang w:val="pl-PL"/>
        </w:rPr>
      </w:pPr>
    </w:p>
    <w:p w14:paraId="787BC420"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musiał zatem zbadać</w:t>
      </w:r>
      <w:r>
        <w:rPr>
          <w:rFonts w:asciiTheme="minorHAnsi" w:hAnsiTheme="minorHAnsi"/>
          <w:sz w:val="24"/>
          <w:lang w:val="pl-PL"/>
        </w:rPr>
        <w:t xml:space="preserve"> następujące aspekty</w:t>
      </w:r>
      <w:r w:rsidRPr="00B15C52">
        <w:rPr>
          <w:rFonts w:asciiTheme="minorHAnsi" w:hAnsiTheme="minorHAnsi"/>
          <w:sz w:val="24"/>
          <w:lang w:val="pl-PL"/>
        </w:rPr>
        <w:t xml:space="preserve">: </w:t>
      </w:r>
    </w:p>
    <w:p w14:paraId="3F1FEC7F"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czy władze w sposób odpowiedni i z urzędu wzięły pod uwagę ogólnie dostępne informacje na temat Serbii i jej system</w:t>
      </w:r>
      <w:r>
        <w:rPr>
          <w:rFonts w:asciiTheme="minorHAnsi" w:hAnsiTheme="minorHAnsi"/>
          <w:sz w:val="24"/>
          <w:lang w:val="pl-PL"/>
        </w:rPr>
        <w:t>u</w:t>
      </w:r>
      <w:r w:rsidRPr="00B15C52">
        <w:rPr>
          <w:rFonts w:asciiTheme="minorHAnsi" w:hAnsiTheme="minorHAnsi"/>
          <w:sz w:val="24"/>
          <w:lang w:val="pl-PL"/>
        </w:rPr>
        <w:t xml:space="preserve"> azylowego; </w:t>
      </w:r>
    </w:p>
    <w:p w14:paraId="46C09B21"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czy skarżącym dano wystarczającą możliwość wykazania, że Serbia nie jest bezpiecznym państwem trzecim w ich konkretnej sprawie; a także </w:t>
      </w:r>
    </w:p>
    <w:p w14:paraId="660C1668"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czy władze węgierskie zaniechały uwzględnienia rzekomo nieodpowiednich warunków przyjmowania osób ubiegających się o azyl w Serbii.</w:t>
      </w:r>
      <w:r>
        <w:rPr>
          <w:rFonts w:asciiTheme="minorHAnsi" w:hAnsiTheme="minorHAnsi"/>
          <w:sz w:val="24"/>
          <w:lang w:val="pl-PL"/>
        </w:rPr>
        <w:t xml:space="preserve"> </w:t>
      </w:r>
    </w:p>
    <w:p w14:paraId="78C47051" w14:textId="77777777" w:rsidR="00950534" w:rsidRDefault="00950534" w:rsidP="00950534">
      <w:pPr>
        <w:pStyle w:val="ClinContent"/>
        <w:widowControl w:val="0"/>
        <w:spacing w:before="0"/>
        <w:rPr>
          <w:rFonts w:asciiTheme="minorHAnsi" w:hAnsiTheme="minorHAnsi"/>
          <w:sz w:val="24"/>
          <w:lang w:val="pl-PL"/>
        </w:rPr>
      </w:pPr>
    </w:p>
    <w:p w14:paraId="2315B9C8" w14:textId="4D07CD0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zauważył, że w</w:t>
      </w:r>
      <w:r w:rsidRPr="00B15C52">
        <w:rPr>
          <w:rFonts w:asciiTheme="minorHAnsi" w:hAnsiTheme="minorHAnsi"/>
          <w:sz w:val="24"/>
          <w:lang w:val="pl-PL"/>
        </w:rPr>
        <w:t>ładze węgierskie powoływały się na listę „bezpiecznych państw trzecich”, ustaloną na mocy dekretu rządowego, który ustanowił domniemanie, że</w:t>
      </w:r>
      <w:r w:rsidR="00206CCE">
        <w:rPr>
          <w:rFonts w:asciiTheme="minorHAnsi" w:hAnsiTheme="minorHAnsi"/>
          <w:sz w:val="24"/>
          <w:lang w:val="pl-PL"/>
        </w:rPr>
        <w:t> </w:t>
      </w:r>
      <w:r w:rsidRPr="00B15C52">
        <w:rPr>
          <w:rFonts w:asciiTheme="minorHAnsi" w:hAnsiTheme="minorHAnsi"/>
          <w:sz w:val="24"/>
          <w:lang w:val="pl-PL"/>
        </w:rPr>
        <w:t xml:space="preserve">wymienione państwa są bezpieczne. </w:t>
      </w:r>
    </w:p>
    <w:p w14:paraId="1384E5EE" w14:textId="77777777" w:rsidR="00950534" w:rsidRDefault="00950534" w:rsidP="00950534">
      <w:pPr>
        <w:pStyle w:val="ClinContent"/>
        <w:widowControl w:val="0"/>
        <w:spacing w:before="0"/>
        <w:rPr>
          <w:rFonts w:asciiTheme="minorHAnsi" w:hAnsiTheme="minorHAnsi"/>
          <w:sz w:val="24"/>
          <w:lang w:val="pl-PL"/>
        </w:rPr>
      </w:pPr>
    </w:p>
    <w:p w14:paraId="6C759EBF" w14:textId="18AF0E2C"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tym względzie Trybunał podkreślił, że </w:t>
      </w:r>
      <w:r w:rsidRPr="00B15C52">
        <w:rPr>
          <w:rFonts w:asciiTheme="minorHAnsi" w:hAnsiTheme="minorHAnsi"/>
          <w:sz w:val="24"/>
          <w:lang w:val="pl-PL"/>
        </w:rPr>
        <w:t xml:space="preserve">Konwencja nie </w:t>
      </w:r>
      <w:r>
        <w:rPr>
          <w:rFonts w:asciiTheme="minorHAnsi" w:hAnsiTheme="minorHAnsi"/>
          <w:sz w:val="24"/>
          <w:lang w:val="pl-PL"/>
        </w:rPr>
        <w:t>zabrania</w:t>
      </w:r>
      <w:r w:rsidRPr="00B15C52">
        <w:rPr>
          <w:rFonts w:asciiTheme="minorHAnsi" w:hAnsiTheme="minorHAnsi"/>
          <w:sz w:val="24"/>
          <w:lang w:val="pl-PL"/>
        </w:rPr>
        <w:t xml:space="preserve"> ustalenia przez państwa strony listy państw, co do których domniemywa się, że są bezpieczne dla osób ubiegających się o azyl. Państwa członkowskie Unii Europejskiej uczyniły tak zwłaszcza w </w:t>
      </w:r>
      <w:hyperlink r:id="rId19" w:history="1">
        <w:r w:rsidRPr="00B15C52">
          <w:rPr>
            <w:rStyle w:val="Hipercze"/>
            <w:rFonts w:asciiTheme="minorHAnsi" w:hAnsiTheme="minorHAnsi"/>
            <w:sz w:val="24"/>
            <w:lang w:val="pl-PL"/>
          </w:rPr>
          <w:t>Dyrektywie w</w:t>
        </w:r>
        <w:r w:rsidR="00206CCE">
          <w:rPr>
            <w:rStyle w:val="Hipercze"/>
            <w:rFonts w:asciiTheme="minorHAnsi" w:hAnsiTheme="minorHAnsi"/>
            <w:sz w:val="24"/>
            <w:lang w:val="pl-PL"/>
          </w:rPr>
          <w:t> </w:t>
        </w:r>
        <w:r w:rsidRPr="00B15C52">
          <w:rPr>
            <w:rStyle w:val="Hipercze"/>
            <w:rFonts w:asciiTheme="minorHAnsi" w:hAnsiTheme="minorHAnsi"/>
            <w:sz w:val="24"/>
            <w:lang w:val="pl-PL"/>
          </w:rPr>
          <w:t>sprawie procedur azylowych</w:t>
        </w:r>
      </w:hyperlink>
      <w:r w:rsidRPr="00B15C52">
        <w:rPr>
          <w:rFonts w:asciiTheme="minorHAnsi" w:hAnsiTheme="minorHAnsi"/>
          <w:sz w:val="24"/>
          <w:lang w:val="pl-PL"/>
        </w:rPr>
        <w:t xml:space="preserve">. </w:t>
      </w:r>
    </w:p>
    <w:p w14:paraId="7757E392" w14:textId="77777777" w:rsidR="00950534" w:rsidRDefault="00950534" w:rsidP="00950534">
      <w:pPr>
        <w:pStyle w:val="ClinContent"/>
        <w:widowControl w:val="0"/>
        <w:spacing w:before="0"/>
        <w:rPr>
          <w:rFonts w:asciiTheme="minorHAnsi" w:hAnsiTheme="minorHAnsi"/>
          <w:sz w:val="24"/>
          <w:lang w:val="pl-PL"/>
        </w:rPr>
      </w:pPr>
    </w:p>
    <w:p w14:paraId="01C23E52" w14:textId="5E2A87A0"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Jakiekolwiek domniemanie, że określone państwo jest „bezpieczne”, jeśli </w:t>
      </w:r>
      <w:r>
        <w:rPr>
          <w:rFonts w:asciiTheme="minorHAnsi" w:hAnsiTheme="minorHAnsi"/>
          <w:sz w:val="24"/>
          <w:lang w:val="pl-PL"/>
        </w:rPr>
        <w:t xml:space="preserve">na domniemaniu tym </w:t>
      </w:r>
      <w:r w:rsidRPr="00B15C52">
        <w:rPr>
          <w:rFonts w:asciiTheme="minorHAnsi" w:hAnsiTheme="minorHAnsi"/>
          <w:sz w:val="24"/>
          <w:lang w:val="pl-PL"/>
        </w:rPr>
        <w:t xml:space="preserve">opierają się decyzje w sprawach indywidualnych </w:t>
      </w:r>
      <w:r>
        <w:rPr>
          <w:rFonts w:asciiTheme="minorHAnsi" w:hAnsiTheme="minorHAnsi"/>
          <w:sz w:val="24"/>
          <w:lang w:val="pl-PL"/>
        </w:rPr>
        <w:t xml:space="preserve">dotyczących </w:t>
      </w:r>
      <w:r w:rsidRPr="00B15C52">
        <w:rPr>
          <w:rFonts w:asciiTheme="minorHAnsi" w:hAnsiTheme="minorHAnsi"/>
          <w:sz w:val="24"/>
          <w:lang w:val="pl-PL"/>
        </w:rPr>
        <w:t>osób ubiegających się o</w:t>
      </w:r>
      <w:r w:rsidR="00206CCE">
        <w:rPr>
          <w:rFonts w:asciiTheme="minorHAnsi" w:hAnsiTheme="minorHAnsi"/>
          <w:sz w:val="24"/>
          <w:lang w:val="pl-PL"/>
        </w:rPr>
        <w:t> </w:t>
      </w:r>
      <w:r w:rsidRPr="00B15C52">
        <w:rPr>
          <w:rFonts w:asciiTheme="minorHAnsi" w:hAnsiTheme="minorHAnsi"/>
          <w:sz w:val="24"/>
          <w:lang w:val="pl-PL"/>
        </w:rPr>
        <w:t xml:space="preserve">azyl, musi być jednak wystarczająco </w:t>
      </w:r>
      <w:r>
        <w:rPr>
          <w:rFonts w:asciiTheme="minorHAnsi" w:hAnsiTheme="minorHAnsi"/>
          <w:sz w:val="24"/>
          <w:lang w:val="pl-PL"/>
        </w:rPr>
        <w:t>po</w:t>
      </w:r>
      <w:r w:rsidRPr="00B15C52">
        <w:rPr>
          <w:rFonts w:asciiTheme="minorHAnsi" w:hAnsiTheme="minorHAnsi"/>
          <w:sz w:val="24"/>
          <w:lang w:val="pl-PL"/>
        </w:rPr>
        <w:t xml:space="preserve">parte analizą istotnych warunków w tym państwie, a w szczególności jego systemu azylowego. </w:t>
      </w:r>
    </w:p>
    <w:p w14:paraId="13DD8105" w14:textId="77777777" w:rsidR="00950534" w:rsidRDefault="00950534" w:rsidP="00950534">
      <w:pPr>
        <w:pStyle w:val="ClinContent"/>
        <w:widowControl w:val="0"/>
        <w:spacing w:before="0"/>
        <w:rPr>
          <w:rFonts w:asciiTheme="minorHAnsi" w:hAnsiTheme="minorHAnsi"/>
          <w:sz w:val="24"/>
          <w:lang w:val="pl-PL"/>
        </w:rPr>
      </w:pPr>
    </w:p>
    <w:p w14:paraId="33AB5D42" w14:textId="7F0FE316"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odnotował, że w</w:t>
      </w:r>
      <w:r w:rsidRPr="00B15C52">
        <w:rPr>
          <w:rFonts w:asciiTheme="minorHAnsi" w:hAnsiTheme="minorHAnsi"/>
          <w:sz w:val="24"/>
          <w:lang w:val="pl-PL"/>
        </w:rPr>
        <w:t xml:space="preserve"> niniejszej sprawie proces decyzyjny nie obejmował jednak dogłębnej oceny ryzyka stwarzanego przez brak skutecznego dostępu do procedur azylowych w Serbii, w tym ryzyka </w:t>
      </w:r>
      <w:r w:rsidRPr="00B15C52">
        <w:rPr>
          <w:rFonts w:asciiTheme="minorHAnsi" w:hAnsiTheme="minorHAnsi"/>
          <w:i/>
          <w:sz w:val="24"/>
          <w:lang w:val="pl-PL"/>
        </w:rPr>
        <w:t>refoulement</w:t>
      </w:r>
      <w:r w:rsidRPr="00B15C52">
        <w:rPr>
          <w:rFonts w:asciiTheme="minorHAnsi" w:hAnsiTheme="minorHAnsi"/>
          <w:sz w:val="24"/>
          <w:lang w:val="pl-PL"/>
        </w:rPr>
        <w:t>. Ponadto w sprawie skarżących decyzje o</w:t>
      </w:r>
      <w:r w:rsidR="00206CCE">
        <w:rPr>
          <w:rFonts w:asciiTheme="minorHAnsi" w:hAnsiTheme="minorHAnsi"/>
          <w:sz w:val="24"/>
          <w:lang w:val="pl-PL"/>
        </w:rPr>
        <w:t> </w:t>
      </w:r>
      <w:r w:rsidRPr="00B15C52">
        <w:rPr>
          <w:rFonts w:asciiTheme="minorHAnsi" w:hAnsiTheme="minorHAnsi"/>
          <w:sz w:val="24"/>
          <w:lang w:val="pl-PL"/>
        </w:rPr>
        <w:t>wydaleniu nie uwzględniły wiarygodnych stwierdzeń UNHCR na temat rzeczywistego ryzyka pozbawienia dostępu do skutecznej procedury azylowej w Serbii i uproszczonego wydalenia z Serbii do Macedonii Północnej, a następnie do Grecji, a zatem ryzyka podlegania w Grecji warunkom niezgodnym z art. 3</w:t>
      </w:r>
      <w:r>
        <w:rPr>
          <w:rFonts w:asciiTheme="minorHAnsi" w:hAnsiTheme="minorHAnsi"/>
          <w:sz w:val="24"/>
          <w:lang w:val="pl-PL"/>
        </w:rPr>
        <w:t xml:space="preserve"> Konwencji</w:t>
      </w:r>
      <w:r w:rsidRPr="00B15C52">
        <w:rPr>
          <w:rFonts w:asciiTheme="minorHAnsi" w:hAnsiTheme="minorHAnsi"/>
          <w:sz w:val="24"/>
          <w:lang w:val="pl-PL"/>
        </w:rPr>
        <w:t xml:space="preserve">. </w:t>
      </w:r>
    </w:p>
    <w:p w14:paraId="50257F8C" w14:textId="77777777" w:rsidR="00950534" w:rsidRDefault="00950534" w:rsidP="00950534">
      <w:pPr>
        <w:pStyle w:val="ClinContent"/>
        <w:widowControl w:val="0"/>
        <w:spacing w:before="0"/>
        <w:rPr>
          <w:rFonts w:asciiTheme="minorHAnsi" w:hAnsiTheme="minorHAnsi"/>
          <w:sz w:val="24"/>
          <w:lang w:val="pl-PL"/>
        </w:rPr>
      </w:pPr>
    </w:p>
    <w:p w14:paraId="499AFE2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zauważył ponadto, że w</w:t>
      </w:r>
      <w:r w:rsidRPr="00B15C52">
        <w:rPr>
          <w:rFonts w:asciiTheme="minorHAnsi" w:hAnsiTheme="minorHAnsi"/>
          <w:sz w:val="24"/>
          <w:lang w:val="pl-PL"/>
        </w:rPr>
        <w:t xml:space="preserve">ładze węgierskie </w:t>
      </w:r>
      <w:r>
        <w:rPr>
          <w:rFonts w:asciiTheme="minorHAnsi" w:hAnsiTheme="minorHAnsi"/>
          <w:sz w:val="24"/>
          <w:lang w:val="pl-PL"/>
        </w:rPr>
        <w:t xml:space="preserve">spotęgowały stan </w:t>
      </w:r>
      <w:r w:rsidRPr="00B15C52">
        <w:rPr>
          <w:rFonts w:asciiTheme="minorHAnsi" w:hAnsiTheme="minorHAnsi"/>
          <w:sz w:val="24"/>
          <w:lang w:val="pl-PL"/>
        </w:rPr>
        <w:t xml:space="preserve">zagrożenia </w:t>
      </w:r>
      <w:r>
        <w:rPr>
          <w:rFonts w:asciiTheme="minorHAnsi" w:hAnsiTheme="minorHAnsi"/>
          <w:sz w:val="24"/>
          <w:lang w:val="pl-PL"/>
        </w:rPr>
        <w:t>skarżących</w:t>
      </w:r>
      <w:r w:rsidRPr="00B15C52">
        <w:rPr>
          <w:rFonts w:asciiTheme="minorHAnsi" w:hAnsiTheme="minorHAnsi"/>
          <w:sz w:val="24"/>
          <w:lang w:val="pl-PL"/>
        </w:rPr>
        <w:t xml:space="preserve">, nakłaniając ich do nielegalnego wjazdu do Serbii, zamiast wynegocjować zgodny z prawem powrót, </w:t>
      </w:r>
      <w:r>
        <w:rPr>
          <w:rFonts w:asciiTheme="minorHAnsi" w:hAnsiTheme="minorHAnsi"/>
          <w:sz w:val="24"/>
          <w:lang w:val="pl-PL"/>
        </w:rPr>
        <w:t>podejmując wysiłki uzyskania gwarancji</w:t>
      </w:r>
      <w:r w:rsidRPr="00B15C52">
        <w:rPr>
          <w:rFonts w:asciiTheme="minorHAnsi" w:hAnsiTheme="minorHAnsi"/>
          <w:sz w:val="24"/>
          <w:lang w:val="pl-PL"/>
        </w:rPr>
        <w:t xml:space="preserve"> od władz serbskich. </w:t>
      </w:r>
    </w:p>
    <w:p w14:paraId="5A149493" w14:textId="77777777" w:rsidR="00950534" w:rsidRDefault="00950534" w:rsidP="00950534">
      <w:pPr>
        <w:pStyle w:val="ClinContent"/>
        <w:widowControl w:val="0"/>
        <w:spacing w:before="0"/>
        <w:rPr>
          <w:rFonts w:asciiTheme="minorHAnsi" w:hAnsiTheme="minorHAnsi"/>
          <w:sz w:val="24"/>
          <w:lang w:val="pl-PL"/>
        </w:rPr>
      </w:pPr>
    </w:p>
    <w:p w14:paraId="43510605" w14:textId="77777777" w:rsidR="008F71FD" w:rsidRDefault="008F71FD" w:rsidP="00950534">
      <w:pPr>
        <w:pStyle w:val="ClinContent"/>
        <w:widowControl w:val="0"/>
        <w:spacing w:before="0"/>
        <w:rPr>
          <w:rFonts w:asciiTheme="minorHAnsi" w:hAnsiTheme="minorHAnsi"/>
          <w:sz w:val="24"/>
          <w:lang w:val="pl-PL"/>
        </w:rPr>
      </w:pPr>
    </w:p>
    <w:p w14:paraId="6294C203"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Wreszcie argument </w:t>
      </w:r>
      <w:r>
        <w:rPr>
          <w:rFonts w:asciiTheme="minorHAnsi" w:hAnsiTheme="minorHAnsi"/>
          <w:sz w:val="24"/>
          <w:lang w:val="pl-PL"/>
        </w:rPr>
        <w:t xml:space="preserve">pozwanego </w:t>
      </w:r>
      <w:r w:rsidRPr="00B15C52">
        <w:rPr>
          <w:rFonts w:asciiTheme="minorHAnsi" w:hAnsiTheme="minorHAnsi"/>
          <w:sz w:val="24"/>
          <w:lang w:val="pl-PL"/>
        </w:rPr>
        <w:t xml:space="preserve">rządu, </w:t>
      </w:r>
      <w:r>
        <w:rPr>
          <w:rFonts w:asciiTheme="minorHAnsi" w:hAnsiTheme="minorHAnsi"/>
          <w:sz w:val="24"/>
          <w:lang w:val="pl-PL"/>
        </w:rPr>
        <w:t>i</w:t>
      </w:r>
      <w:r w:rsidRPr="00B15C52">
        <w:rPr>
          <w:rFonts w:asciiTheme="minorHAnsi" w:hAnsiTheme="minorHAnsi"/>
          <w:sz w:val="24"/>
          <w:lang w:val="pl-PL"/>
        </w:rPr>
        <w:t>ż wszystkie strony Konwencji, w tym Serbia, Macedonia Północna oraz Grecja, mają te same obowiązki</w:t>
      </w:r>
      <w:r>
        <w:rPr>
          <w:rFonts w:asciiTheme="minorHAnsi" w:hAnsiTheme="minorHAnsi"/>
          <w:sz w:val="24"/>
          <w:lang w:val="pl-PL"/>
        </w:rPr>
        <w:t>,</w:t>
      </w:r>
      <w:r w:rsidRPr="00B15C52">
        <w:rPr>
          <w:rFonts w:asciiTheme="minorHAnsi" w:hAnsiTheme="minorHAnsi"/>
          <w:sz w:val="24"/>
          <w:lang w:val="pl-PL"/>
        </w:rPr>
        <w:t xml:space="preserve"> </w:t>
      </w:r>
      <w:r>
        <w:rPr>
          <w:rFonts w:asciiTheme="minorHAnsi" w:hAnsiTheme="minorHAnsi"/>
          <w:sz w:val="24"/>
          <w:lang w:val="pl-PL"/>
        </w:rPr>
        <w:t>a</w:t>
      </w:r>
      <w:r w:rsidRPr="00B15C52">
        <w:rPr>
          <w:rFonts w:asciiTheme="minorHAnsi" w:hAnsiTheme="minorHAnsi"/>
          <w:sz w:val="24"/>
          <w:lang w:val="pl-PL"/>
        </w:rPr>
        <w:t xml:space="preserve"> Węgry nie będą ponosić dodatkowego ciężaru w celu zrekompensowania wadliwych systemów azylowych</w:t>
      </w:r>
      <w:r>
        <w:rPr>
          <w:rFonts w:asciiTheme="minorHAnsi" w:hAnsiTheme="minorHAnsi"/>
          <w:sz w:val="24"/>
          <w:lang w:val="pl-PL"/>
        </w:rPr>
        <w:t xml:space="preserve"> tych państw</w:t>
      </w:r>
      <w:r w:rsidRPr="00B15C52">
        <w:rPr>
          <w:rFonts w:asciiTheme="minorHAnsi" w:hAnsiTheme="minorHAnsi"/>
          <w:sz w:val="24"/>
          <w:lang w:val="pl-PL"/>
        </w:rPr>
        <w:t xml:space="preserve">, </w:t>
      </w:r>
      <w:r>
        <w:rPr>
          <w:rFonts w:asciiTheme="minorHAnsi" w:hAnsiTheme="minorHAnsi"/>
          <w:sz w:val="24"/>
          <w:lang w:val="pl-PL"/>
        </w:rPr>
        <w:t>został uznany przez Trybunał za nie</w:t>
      </w:r>
      <w:r w:rsidRPr="00B15C52">
        <w:rPr>
          <w:rFonts w:asciiTheme="minorHAnsi" w:hAnsiTheme="minorHAnsi"/>
          <w:sz w:val="24"/>
          <w:lang w:val="pl-PL"/>
        </w:rPr>
        <w:t>wystarczający, by uzasadnić zaniechanie przez Węgry – które zdecydowały się nie badać przedmiotu wniosków azylowych skarżących – wypełnienia ich własnego obowiązku proceduralnego wynikającego z bezwzględnego zakazu złego traktowania na podstawie art. 3</w:t>
      </w:r>
      <w:r>
        <w:rPr>
          <w:rFonts w:asciiTheme="minorHAnsi" w:hAnsiTheme="minorHAnsi"/>
          <w:sz w:val="24"/>
          <w:lang w:val="pl-PL"/>
        </w:rPr>
        <w:t xml:space="preserve"> Konwencji</w:t>
      </w:r>
      <w:r w:rsidRPr="00B15C52">
        <w:rPr>
          <w:rFonts w:asciiTheme="minorHAnsi" w:hAnsiTheme="minorHAnsi"/>
          <w:sz w:val="24"/>
          <w:lang w:val="pl-PL"/>
        </w:rPr>
        <w:t xml:space="preserve">. </w:t>
      </w:r>
    </w:p>
    <w:p w14:paraId="7FE3DB88" w14:textId="77777777" w:rsidR="00950534" w:rsidRDefault="00950534" w:rsidP="00950534">
      <w:pPr>
        <w:pStyle w:val="ClinContent"/>
        <w:widowControl w:val="0"/>
        <w:spacing w:before="0"/>
        <w:rPr>
          <w:rFonts w:asciiTheme="minorHAnsi" w:hAnsiTheme="minorHAnsi"/>
          <w:sz w:val="24"/>
          <w:lang w:val="pl-PL"/>
        </w:rPr>
      </w:pPr>
    </w:p>
    <w:p w14:paraId="6369E691"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sumie </w:t>
      </w:r>
      <w:r>
        <w:rPr>
          <w:rFonts w:asciiTheme="minorHAnsi" w:hAnsiTheme="minorHAnsi"/>
          <w:sz w:val="24"/>
          <w:lang w:val="pl-PL"/>
        </w:rPr>
        <w:t xml:space="preserve">Trybunał uznał, że </w:t>
      </w:r>
      <w:r w:rsidRPr="00B15C52">
        <w:rPr>
          <w:rFonts w:asciiTheme="minorHAnsi" w:hAnsiTheme="minorHAnsi"/>
          <w:sz w:val="24"/>
          <w:lang w:val="pl-PL"/>
        </w:rPr>
        <w:t xml:space="preserve">pozwane państwo nie wypełniło swego obowiązku proceduralnego na podstawie art. 3 </w:t>
      </w:r>
      <w:r>
        <w:rPr>
          <w:rFonts w:asciiTheme="minorHAnsi" w:hAnsiTheme="minorHAnsi"/>
          <w:sz w:val="24"/>
          <w:lang w:val="pl-PL"/>
        </w:rPr>
        <w:t xml:space="preserve">Konwencji </w:t>
      </w:r>
      <w:r w:rsidRPr="00B15C52">
        <w:rPr>
          <w:rFonts w:asciiTheme="minorHAnsi" w:hAnsiTheme="minorHAnsi"/>
          <w:sz w:val="24"/>
          <w:lang w:val="pl-PL"/>
        </w:rPr>
        <w:t>dotyczącego dokonania oceny zagrożenia traktowaniem sprzecznym z tym postanowieniem przed wydaleniem skarżących z Węgier</w:t>
      </w:r>
      <w:r>
        <w:rPr>
          <w:rFonts w:asciiTheme="minorHAnsi" w:hAnsiTheme="minorHAnsi"/>
          <w:sz w:val="24"/>
          <w:lang w:val="pl-PL"/>
        </w:rPr>
        <w:t xml:space="preserve">. </w:t>
      </w:r>
    </w:p>
    <w:p w14:paraId="70BF33BF" w14:textId="77777777" w:rsidR="00950534" w:rsidRDefault="00950534" w:rsidP="00950534">
      <w:pPr>
        <w:pStyle w:val="ClinContent"/>
        <w:widowControl w:val="0"/>
        <w:spacing w:before="0"/>
        <w:rPr>
          <w:rFonts w:asciiTheme="minorHAnsi" w:hAnsiTheme="minorHAnsi"/>
          <w:sz w:val="24"/>
          <w:lang w:val="pl-PL"/>
        </w:rPr>
      </w:pPr>
    </w:p>
    <w:p w14:paraId="723115E1"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Na tej podstawie Trybunał stwierdził jednogłośnie naruszenie art. 3 Konwencji</w:t>
      </w:r>
      <w:r w:rsidRPr="00B15C52">
        <w:rPr>
          <w:rFonts w:asciiTheme="minorHAnsi" w:hAnsiTheme="minorHAnsi"/>
          <w:sz w:val="24"/>
          <w:lang w:val="pl-PL"/>
        </w:rPr>
        <w:t xml:space="preserve">. </w:t>
      </w:r>
    </w:p>
    <w:p w14:paraId="60213D5E" w14:textId="77777777" w:rsidR="00950534" w:rsidRDefault="00950534" w:rsidP="00950534">
      <w:pPr>
        <w:pStyle w:val="ClinContent"/>
        <w:widowControl w:val="0"/>
        <w:spacing w:before="0"/>
        <w:rPr>
          <w:rFonts w:asciiTheme="minorHAnsi" w:hAnsiTheme="minorHAnsi"/>
          <w:sz w:val="24"/>
          <w:lang w:val="pl-PL"/>
        </w:rPr>
      </w:pPr>
    </w:p>
    <w:p w14:paraId="763C16E3" w14:textId="77777777" w:rsidR="00950534" w:rsidRDefault="00950534" w:rsidP="00950534">
      <w:pPr>
        <w:pStyle w:val="ClinContent"/>
        <w:widowControl w:val="0"/>
        <w:spacing w:before="0"/>
        <w:rPr>
          <w:rFonts w:asciiTheme="minorHAnsi" w:hAnsiTheme="minorHAnsi"/>
          <w:sz w:val="24"/>
          <w:u w:val="single"/>
          <w:lang w:val="pl-PL"/>
        </w:rPr>
      </w:pPr>
      <w:r>
        <w:rPr>
          <w:rFonts w:asciiTheme="minorHAnsi" w:hAnsiTheme="minorHAnsi"/>
          <w:sz w:val="24"/>
          <w:lang w:val="pl-PL"/>
        </w:rPr>
        <w:t xml:space="preserve">II. Następnie Trybunał zbadał, </w:t>
      </w:r>
      <w:r w:rsidRPr="00B112C7">
        <w:rPr>
          <w:rFonts w:asciiTheme="minorHAnsi" w:hAnsiTheme="minorHAnsi"/>
          <w:sz w:val="24"/>
          <w:u w:val="single"/>
          <w:lang w:val="pl-PL"/>
        </w:rPr>
        <w:t xml:space="preserve">czy </w:t>
      </w:r>
      <w:r>
        <w:rPr>
          <w:rFonts w:asciiTheme="minorHAnsi" w:hAnsiTheme="minorHAnsi"/>
          <w:sz w:val="24"/>
          <w:u w:val="single"/>
          <w:lang w:val="pl-PL"/>
        </w:rPr>
        <w:t>warunki</w:t>
      </w:r>
      <w:r w:rsidRPr="00FF3C6B">
        <w:rPr>
          <w:rFonts w:asciiTheme="minorHAnsi" w:hAnsiTheme="minorHAnsi"/>
          <w:sz w:val="24"/>
          <w:u w:val="single"/>
          <w:lang w:val="pl-PL"/>
        </w:rPr>
        <w:t xml:space="preserve"> </w:t>
      </w:r>
      <w:r>
        <w:rPr>
          <w:rFonts w:asciiTheme="minorHAnsi" w:hAnsiTheme="minorHAnsi"/>
          <w:sz w:val="24"/>
          <w:u w:val="single"/>
          <w:lang w:val="pl-PL"/>
        </w:rPr>
        <w:t>pozbawienia wolności</w:t>
      </w:r>
      <w:r w:rsidRPr="00FF3C6B">
        <w:rPr>
          <w:rFonts w:asciiTheme="minorHAnsi" w:hAnsiTheme="minorHAnsi"/>
          <w:sz w:val="24"/>
          <w:u w:val="single"/>
          <w:lang w:val="pl-PL"/>
        </w:rPr>
        <w:t xml:space="preserve"> skarżących w strefie tranzytowej</w:t>
      </w:r>
      <w:r>
        <w:rPr>
          <w:rFonts w:asciiTheme="minorHAnsi" w:hAnsiTheme="minorHAnsi"/>
          <w:sz w:val="24"/>
          <w:u w:val="single"/>
          <w:lang w:val="pl-PL"/>
        </w:rPr>
        <w:t xml:space="preserve"> były zgodne z zakazem poniżającego traktowania wynikającym z art. 3 Konwencji.</w:t>
      </w:r>
    </w:p>
    <w:p w14:paraId="7A46F733" w14:textId="77777777" w:rsidR="00950534" w:rsidRDefault="00950534" w:rsidP="00950534">
      <w:pPr>
        <w:pStyle w:val="ClinContent"/>
        <w:widowControl w:val="0"/>
        <w:spacing w:before="0"/>
        <w:rPr>
          <w:rFonts w:asciiTheme="minorHAnsi" w:hAnsiTheme="minorHAnsi"/>
          <w:sz w:val="24"/>
          <w:u w:val="single"/>
          <w:lang w:val="pl-PL"/>
        </w:rPr>
      </w:pPr>
    </w:p>
    <w:p w14:paraId="0F865FBC" w14:textId="2BA98595"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Wielka Izba </w:t>
      </w:r>
      <w:r>
        <w:rPr>
          <w:rFonts w:asciiTheme="minorHAnsi" w:hAnsiTheme="minorHAnsi"/>
          <w:sz w:val="24"/>
          <w:lang w:val="pl-PL"/>
        </w:rPr>
        <w:t xml:space="preserve">Trybunału </w:t>
      </w:r>
      <w:r w:rsidRPr="00B15C52">
        <w:rPr>
          <w:rFonts w:asciiTheme="minorHAnsi" w:hAnsiTheme="minorHAnsi"/>
          <w:sz w:val="24"/>
          <w:lang w:val="pl-PL"/>
        </w:rPr>
        <w:t xml:space="preserve">poparła </w:t>
      </w:r>
      <w:r>
        <w:rPr>
          <w:rFonts w:asciiTheme="minorHAnsi" w:hAnsiTheme="minorHAnsi"/>
          <w:sz w:val="24"/>
          <w:lang w:val="pl-PL"/>
        </w:rPr>
        <w:t xml:space="preserve">dokonaną przez Izbę </w:t>
      </w:r>
      <w:r w:rsidRPr="00B15C52">
        <w:rPr>
          <w:rFonts w:asciiTheme="minorHAnsi" w:hAnsiTheme="minorHAnsi"/>
          <w:sz w:val="24"/>
          <w:lang w:val="pl-PL"/>
        </w:rPr>
        <w:t xml:space="preserve">analizę warunków </w:t>
      </w:r>
      <w:r>
        <w:rPr>
          <w:rFonts w:asciiTheme="minorHAnsi" w:hAnsiTheme="minorHAnsi"/>
          <w:sz w:val="24"/>
          <w:lang w:val="pl-PL"/>
        </w:rPr>
        <w:t>bytowych</w:t>
      </w:r>
      <w:r w:rsidRPr="00B15C52">
        <w:rPr>
          <w:rFonts w:asciiTheme="minorHAnsi" w:hAnsiTheme="minorHAnsi"/>
          <w:sz w:val="24"/>
          <w:lang w:val="pl-PL"/>
        </w:rPr>
        <w:t xml:space="preserve">, w których </w:t>
      </w:r>
      <w:r>
        <w:rPr>
          <w:rFonts w:asciiTheme="minorHAnsi" w:hAnsiTheme="minorHAnsi"/>
          <w:sz w:val="24"/>
          <w:lang w:val="pl-PL"/>
        </w:rPr>
        <w:t xml:space="preserve">przebywali </w:t>
      </w:r>
      <w:r w:rsidRPr="00B15C52">
        <w:rPr>
          <w:rFonts w:asciiTheme="minorHAnsi" w:hAnsiTheme="minorHAnsi"/>
          <w:sz w:val="24"/>
          <w:lang w:val="pl-PL"/>
        </w:rPr>
        <w:t xml:space="preserve">skarżący w czasie </w:t>
      </w:r>
      <w:r>
        <w:rPr>
          <w:rFonts w:asciiTheme="minorHAnsi" w:hAnsiTheme="minorHAnsi"/>
          <w:sz w:val="24"/>
          <w:lang w:val="pl-PL"/>
        </w:rPr>
        <w:t xml:space="preserve">pozbawienia wolności </w:t>
      </w:r>
      <w:r w:rsidRPr="00B15C52">
        <w:rPr>
          <w:rFonts w:asciiTheme="minorHAnsi" w:hAnsiTheme="minorHAnsi"/>
          <w:sz w:val="24"/>
          <w:lang w:val="pl-PL"/>
        </w:rPr>
        <w:t xml:space="preserve">w strefie tranzytowej. </w:t>
      </w:r>
      <w:r>
        <w:rPr>
          <w:rFonts w:asciiTheme="minorHAnsi" w:hAnsiTheme="minorHAnsi"/>
          <w:sz w:val="24"/>
          <w:lang w:val="pl-PL"/>
        </w:rPr>
        <w:t>Zauważyła, że</w:t>
      </w:r>
      <w:r w:rsidR="00206CCE">
        <w:rPr>
          <w:rFonts w:asciiTheme="minorHAnsi" w:hAnsiTheme="minorHAnsi"/>
          <w:sz w:val="24"/>
          <w:lang w:val="pl-PL"/>
        </w:rPr>
        <w:t> </w:t>
      </w:r>
      <w:r w:rsidRPr="00B15C52">
        <w:rPr>
          <w:rFonts w:asciiTheme="minorHAnsi" w:hAnsiTheme="minorHAnsi"/>
          <w:sz w:val="24"/>
          <w:lang w:val="pl-PL"/>
        </w:rPr>
        <w:t>przez 23 dni</w:t>
      </w:r>
      <w:r>
        <w:rPr>
          <w:rFonts w:asciiTheme="minorHAnsi" w:hAnsiTheme="minorHAnsi"/>
          <w:sz w:val="24"/>
          <w:lang w:val="pl-PL"/>
        </w:rPr>
        <w:t xml:space="preserve"> s</w:t>
      </w:r>
      <w:r w:rsidRPr="00B15C52">
        <w:rPr>
          <w:rFonts w:asciiTheme="minorHAnsi" w:hAnsiTheme="minorHAnsi"/>
          <w:sz w:val="24"/>
          <w:lang w:val="pl-PL"/>
        </w:rPr>
        <w:t xml:space="preserve">karżący byli </w:t>
      </w:r>
      <w:r>
        <w:rPr>
          <w:rFonts w:asciiTheme="minorHAnsi" w:hAnsiTheme="minorHAnsi"/>
          <w:sz w:val="24"/>
          <w:lang w:val="pl-PL"/>
        </w:rPr>
        <w:t>przetrzymywani</w:t>
      </w:r>
      <w:r w:rsidRPr="00B15C52">
        <w:rPr>
          <w:rFonts w:asciiTheme="minorHAnsi" w:hAnsiTheme="minorHAnsi"/>
          <w:sz w:val="24"/>
          <w:lang w:val="pl-PL"/>
        </w:rPr>
        <w:t xml:space="preserve"> w zamkniętym obszarze ok. 110 metrów kwadratowych. </w:t>
      </w:r>
      <w:r>
        <w:rPr>
          <w:rFonts w:asciiTheme="minorHAnsi" w:hAnsiTheme="minorHAnsi"/>
          <w:sz w:val="24"/>
          <w:lang w:val="pl-PL"/>
        </w:rPr>
        <w:t>W sąsiedztwie</w:t>
      </w:r>
      <w:r w:rsidRPr="00B15C52">
        <w:rPr>
          <w:rFonts w:asciiTheme="minorHAnsi" w:hAnsiTheme="minorHAnsi"/>
          <w:sz w:val="24"/>
          <w:lang w:val="pl-PL"/>
        </w:rPr>
        <w:t xml:space="preserve"> tego obszaru zapewniono im pokój w jednym z kilku przeznaczonych do tego kontenerów. </w:t>
      </w:r>
      <w:r>
        <w:rPr>
          <w:rFonts w:asciiTheme="minorHAnsi" w:hAnsiTheme="minorHAnsi"/>
          <w:sz w:val="24"/>
          <w:lang w:val="pl-PL"/>
        </w:rPr>
        <w:t xml:space="preserve">W pokoju znajdowało się </w:t>
      </w:r>
      <w:r w:rsidRPr="00B15C52">
        <w:rPr>
          <w:rFonts w:asciiTheme="minorHAnsi" w:hAnsiTheme="minorHAnsi"/>
          <w:sz w:val="24"/>
          <w:lang w:val="pl-PL"/>
        </w:rPr>
        <w:t>pięć łóżek, ale w</w:t>
      </w:r>
      <w:r w:rsidR="00206CCE">
        <w:rPr>
          <w:rFonts w:asciiTheme="minorHAnsi" w:hAnsiTheme="minorHAnsi"/>
          <w:sz w:val="24"/>
          <w:lang w:val="pl-PL"/>
        </w:rPr>
        <w:t> </w:t>
      </w:r>
      <w:r w:rsidRPr="00B15C52">
        <w:rPr>
          <w:rFonts w:asciiTheme="minorHAnsi" w:hAnsiTheme="minorHAnsi"/>
          <w:sz w:val="24"/>
          <w:lang w:val="pl-PL"/>
        </w:rPr>
        <w:t>przedmiotowym czasie skarżący byli jego jedynymi mieszkańcami. Warunki sanitarne były dobre, a osoby przebywające w strefie otrzymywały jedzenie zadowalającej jakości, a w razie potrzeby opiekę lekarską</w:t>
      </w:r>
      <w:r>
        <w:rPr>
          <w:rFonts w:asciiTheme="minorHAnsi" w:hAnsiTheme="minorHAnsi"/>
          <w:sz w:val="24"/>
          <w:lang w:val="pl-PL"/>
        </w:rPr>
        <w:t>.</w:t>
      </w:r>
      <w:r w:rsidRPr="00B15C52">
        <w:rPr>
          <w:rFonts w:asciiTheme="minorHAnsi" w:hAnsiTheme="minorHAnsi"/>
          <w:sz w:val="24"/>
          <w:lang w:val="pl-PL"/>
        </w:rPr>
        <w:t xml:space="preserve"> </w:t>
      </w:r>
      <w:r>
        <w:rPr>
          <w:rFonts w:asciiTheme="minorHAnsi" w:hAnsiTheme="minorHAnsi"/>
          <w:sz w:val="24"/>
          <w:lang w:val="pl-PL"/>
        </w:rPr>
        <w:t>M</w:t>
      </w:r>
      <w:r w:rsidRPr="00B15C52">
        <w:rPr>
          <w:rFonts w:asciiTheme="minorHAnsi" w:hAnsiTheme="minorHAnsi"/>
          <w:sz w:val="24"/>
          <w:lang w:val="pl-PL"/>
        </w:rPr>
        <w:t xml:space="preserve">ogły </w:t>
      </w:r>
      <w:r>
        <w:rPr>
          <w:rFonts w:asciiTheme="minorHAnsi" w:hAnsiTheme="minorHAnsi"/>
          <w:sz w:val="24"/>
          <w:lang w:val="pl-PL"/>
        </w:rPr>
        <w:t xml:space="preserve">też </w:t>
      </w:r>
      <w:r w:rsidRPr="00B15C52">
        <w:rPr>
          <w:rFonts w:asciiTheme="minorHAnsi" w:hAnsiTheme="minorHAnsi"/>
          <w:sz w:val="24"/>
          <w:lang w:val="pl-PL"/>
        </w:rPr>
        <w:t>spędzać czas na zewnątrz. Miały możliwość kontaktu z</w:t>
      </w:r>
      <w:r w:rsidR="00206CCE">
        <w:rPr>
          <w:rFonts w:asciiTheme="minorHAnsi" w:hAnsiTheme="minorHAnsi"/>
          <w:sz w:val="24"/>
          <w:lang w:val="pl-PL"/>
        </w:rPr>
        <w:t> </w:t>
      </w:r>
      <w:r w:rsidRPr="00B15C52">
        <w:rPr>
          <w:rFonts w:asciiTheme="minorHAnsi" w:hAnsiTheme="minorHAnsi"/>
          <w:sz w:val="24"/>
          <w:lang w:val="pl-PL"/>
        </w:rPr>
        <w:t xml:space="preserve">innymi osobami ubiegającymi się o azyl, przedstawicielami UNHCR, organizacjami pozarządowymi i prawnikiem. Skarżący nie </w:t>
      </w:r>
      <w:r>
        <w:rPr>
          <w:rFonts w:asciiTheme="minorHAnsi" w:hAnsiTheme="minorHAnsi"/>
          <w:sz w:val="24"/>
          <w:lang w:val="pl-PL"/>
        </w:rPr>
        <w:t xml:space="preserve">wymagali większej troski </w:t>
      </w:r>
      <w:r w:rsidRPr="00B15C52">
        <w:rPr>
          <w:rFonts w:asciiTheme="minorHAnsi" w:hAnsiTheme="minorHAnsi"/>
          <w:sz w:val="24"/>
          <w:lang w:val="pl-PL"/>
        </w:rPr>
        <w:t xml:space="preserve">niż inne przebywające tam wówczas osoby dorosłe ubiegające się o azyl. Nawet jeśli skarżący byli zapewne dotknięci </w:t>
      </w:r>
      <w:r>
        <w:rPr>
          <w:rFonts w:asciiTheme="minorHAnsi" w:hAnsiTheme="minorHAnsi"/>
          <w:sz w:val="24"/>
          <w:lang w:val="pl-PL"/>
        </w:rPr>
        <w:t>stanem niepewności</w:t>
      </w:r>
      <w:r w:rsidRPr="00B15C52">
        <w:rPr>
          <w:rFonts w:asciiTheme="minorHAnsi" w:hAnsiTheme="minorHAnsi"/>
          <w:sz w:val="24"/>
          <w:lang w:val="pl-PL"/>
        </w:rPr>
        <w:t xml:space="preserve"> co do tego, czy są pozbawieni wolności i jakie gwarancje prawne przeciwko arbitralnemu pozbawieniu wolności mają zastosowanie, krótki czas pobytu oraz fakt, że byli świadomi rozwoju sytuacji w procedurze azylowej, </w:t>
      </w:r>
      <w:r>
        <w:rPr>
          <w:rFonts w:asciiTheme="minorHAnsi" w:hAnsiTheme="minorHAnsi"/>
          <w:sz w:val="24"/>
          <w:lang w:val="pl-PL"/>
        </w:rPr>
        <w:t xml:space="preserve">która </w:t>
      </w:r>
      <w:r w:rsidRPr="00B15C52">
        <w:rPr>
          <w:rFonts w:asciiTheme="minorHAnsi" w:hAnsiTheme="minorHAnsi"/>
          <w:sz w:val="24"/>
          <w:lang w:val="pl-PL"/>
        </w:rPr>
        <w:t>tocz</w:t>
      </w:r>
      <w:r>
        <w:rPr>
          <w:rFonts w:asciiTheme="minorHAnsi" w:hAnsiTheme="minorHAnsi"/>
          <w:sz w:val="24"/>
          <w:lang w:val="pl-PL"/>
        </w:rPr>
        <w:t>yła</w:t>
      </w:r>
      <w:r w:rsidRPr="00B15C52">
        <w:rPr>
          <w:rFonts w:asciiTheme="minorHAnsi" w:hAnsiTheme="minorHAnsi"/>
          <w:sz w:val="24"/>
          <w:lang w:val="pl-PL"/>
        </w:rPr>
        <w:t xml:space="preserve"> się bez opóźnień, wskazywał</w:t>
      </w:r>
      <w:r>
        <w:rPr>
          <w:rFonts w:asciiTheme="minorHAnsi" w:hAnsiTheme="minorHAnsi"/>
          <w:sz w:val="24"/>
          <w:lang w:val="pl-PL"/>
        </w:rPr>
        <w:t>y</w:t>
      </w:r>
      <w:r w:rsidRPr="00B15C52">
        <w:rPr>
          <w:rFonts w:asciiTheme="minorHAnsi" w:hAnsiTheme="minorHAnsi"/>
          <w:sz w:val="24"/>
          <w:lang w:val="pl-PL"/>
        </w:rPr>
        <w:t xml:space="preserve">, że </w:t>
      </w:r>
      <w:r>
        <w:rPr>
          <w:rFonts w:asciiTheme="minorHAnsi" w:hAnsiTheme="minorHAnsi"/>
          <w:sz w:val="24"/>
          <w:lang w:val="pl-PL"/>
        </w:rPr>
        <w:t>negatywny wpływ owej niepewności po ich stronie musiał być ograniczony</w:t>
      </w:r>
      <w:r w:rsidRPr="00B15C52">
        <w:rPr>
          <w:rFonts w:asciiTheme="minorHAnsi" w:hAnsiTheme="minorHAnsi"/>
          <w:sz w:val="24"/>
          <w:lang w:val="pl-PL"/>
        </w:rPr>
        <w:t xml:space="preserve">. </w:t>
      </w:r>
    </w:p>
    <w:p w14:paraId="4E8AA591"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 xml:space="preserve">W sumie </w:t>
      </w:r>
      <w:r>
        <w:rPr>
          <w:rFonts w:asciiTheme="minorHAnsi" w:hAnsiTheme="minorHAnsi"/>
          <w:sz w:val="24"/>
          <w:lang w:val="pl-PL"/>
        </w:rPr>
        <w:t xml:space="preserve">zdaniem Trybunału </w:t>
      </w:r>
      <w:r w:rsidRPr="00B15C52">
        <w:rPr>
          <w:rFonts w:asciiTheme="minorHAnsi" w:hAnsiTheme="minorHAnsi"/>
          <w:sz w:val="24"/>
          <w:lang w:val="pl-PL"/>
        </w:rPr>
        <w:t>zaskarżona sytuacja nie osiągnęła minimalnego poziomu do</w:t>
      </w:r>
      <w:r>
        <w:rPr>
          <w:rFonts w:asciiTheme="minorHAnsi" w:hAnsiTheme="minorHAnsi"/>
          <w:sz w:val="24"/>
          <w:lang w:val="pl-PL"/>
        </w:rPr>
        <w:t>tkliwości</w:t>
      </w:r>
      <w:r w:rsidRPr="00B15C52">
        <w:rPr>
          <w:rFonts w:asciiTheme="minorHAnsi" w:hAnsiTheme="minorHAnsi"/>
          <w:sz w:val="24"/>
          <w:lang w:val="pl-PL"/>
        </w:rPr>
        <w:t xml:space="preserve"> wymaganego, by stanowić nieludzkie traktowanie w rozumieniu art. 3</w:t>
      </w:r>
      <w:r>
        <w:rPr>
          <w:rFonts w:asciiTheme="minorHAnsi" w:hAnsiTheme="minorHAnsi"/>
          <w:sz w:val="24"/>
          <w:lang w:val="pl-PL"/>
        </w:rPr>
        <w:t xml:space="preserve"> Konwencji</w:t>
      </w:r>
      <w:r w:rsidRPr="00B15C52">
        <w:rPr>
          <w:rFonts w:asciiTheme="minorHAnsi" w:hAnsiTheme="minorHAnsi"/>
          <w:sz w:val="24"/>
          <w:lang w:val="pl-PL"/>
        </w:rPr>
        <w:t xml:space="preserve">. </w:t>
      </w:r>
    </w:p>
    <w:p w14:paraId="37FE9C25" w14:textId="77777777" w:rsidR="00950534" w:rsidRDefault="00950534" w:rsidP="00950534">
      <w:pPr>
        <w:pStyle w:val="ClinContent"/>
        <w:widowControl w:val="0"/>
        <w:spacing w:before="0"/>
        <w:rPr>
          <w:rFonts w:asciiTheme="minorHAnsi" w:hAnsiTheme="minorHAnsi"/>
          <w:sz w:val="24"/>
          <w:lang w:val="pl-PL"/>
        </w:rPr>
      </w:pPr>
    </w:p>
    <w:p w14:paraId="3DB90392"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tej sytuacji Trybunał stwierdził jednogłośnie brak naruszenia art. 3 Konwencji. </w:t>
      </w:r>
    </w:p>
    <w:p w14:paraId="7DCAC07E" w14:textId="77777777" w:rsidR="00950534" w:rsidRDefault="00950534" w:rsidP="00950534">
      <w:pPr>
        <w:pStyle w:val="ClinContent"/>
        <w:widowControl w:val="0"/>
        <w:spacing w:before="0"/>
        <w:rPr>
          <w:rFonts w:asciiTheme="minorHAnsi" w:hAnsiTheme="minorHAnsi"/>
          <w:sz w:val="24"/>
          <w:lang w:val="pl-PL"/>
        </w:rPr>
      </w:pPr>
    </w:p>
    <w:p w14:paraId="66479469"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III. Trybunał zbadał ponadto, </w:t>
      </w:r>
      <w:r w:rsidRPr="00444BDC">
        <w:rPr>
          <w:rFonts w:asciiTheme="minorHAnsi" w:hAnsiTheme="minorHAnsi"/>
          <w:sz w:val="24"/>
          <w:u w:val="single"/>
          <w:lang w:val="pl-PL"/>
        </w:rPr>
        <w:t>czy w odniesieniu do pobytu skarżących w strefie tranzytowej zastosowanie miały gwarancje prawa do wolności i bezpieczeństwa osobistego, w tym sądowej kontroli pozbawienia wolności, wynikające z art. 5 ust. 1 i 4 Konwencji.</w:t>
      </w:r>
      <w:r>
        <w:rPr>
          <w:rFonts w:asciiTheme="minorHAnsi" w:hAnsiTheme="minorHAnsi"/>
          <w:sz w:val="24"/>
          <w:lang w:val="pl-PL"/>
        </w:rPr>
        <w:t xml:space="preserve"> </w:t>
      </w:r>
    </w:p>
    <w:p w14:paraId="63157D0C" w14:textId="77777777" w:rsidR="00950534" w:rsidRDefault="00950534" w:rsidP="00950534">
      <w:pPr>
        <w:pStyle w:val="ClinContent"/>
        <w:widowControl w:val="0"/>
        <w:spacing w:before="0"/>
        <w:rPr>
          <w:rFonts w:asciiTheme="minorHAnsi" w:hAnsiTheme="minorHAnsi"/>
          <w:sz w:val="24"/>
          <w:lang w:val="pl-PL"/>
        </w:rPr>
      </w:pPr>
    </w:p>
    <w:p w14:paraId="4A6B2DB2" w14:textId="56E9A4A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Podkreślił, że d</w:t>
      </w:r>
      <w:r w:rsidRPr="00B15C52">
        <w:rPr>
          <w:rFonts w:asciiTheme="minorHAnsi" w:hAnsiTheme="minorHAnsi"/>
          <w:sz w:val="24"/>
          <w:lang w:val="pl-PL"/>
        </w:rPr>
        <w:t>okonując rozróżnienia między ograniczeniem swobody poruszania się a</w:t>
      </w:r>
      <w:r w:rsidR="00206CCE">
        <w:rPr>
          <w:rFonts w:asciiTheme="minorHAnsi" w:hAnsiTheme="minorHAnsi"/>
          <w:sz w:val="24"/>
          <w:lang w:val="pl-PL"/>
        </w:rPr>
        <w:t> </w:t>
      </w:r>
      <w:r w:rsidRPr="00B15C52">
        <w:rPr>
          <w:rFonts w:asciiTheme="minorHAnsi" w:hAnsiTheme="minorHAnsi"/>
          <w:sz w:val="24"/>
          <w:lang w:val="pl-PL"/>
        </w:rPr>
        <w:t xml:space="preserve">pozbawieniem wolności w kontekście </w:t>
      </w:r>
      <w:r>
        <w:rPr>
          <w:rFonts w:asciiTheme="minorHAnsi" w:hAnsiTheme="minorHAnsi"/>
          <w:sz w:val="24"/>
          <w:lang w:val="pl-PL"/>
        </w:rPr>
        <w:t>pozbawienia wolności</w:t>
      </w:r>
      <w:r w:rsidRPr="00B15C52">
        <w:rPr>
          <w:rFonts w:asciiTheme="minorHAnsi" w:hAnsiTheme="minorHAnsi"/>
          <w:sz w:val="24"/>
          <w:lang w:val="pl-PL"/>
        </w:rPr>
        <w:t xml:space="preserve"> osób ub</w:t>
      </w:r>
      <w:r>
        <w:rPr>
          <w:rFonts w:asciiTheme="minorHAnsi" w:hAnsiTheme="minorHAnsi"/>
          <w:sz w:val="24"/>
          <w:lang w:val="pl-PL"/>
        </w:rPr>
        <w:t>iegających się o azyl, Trybunał</w:t>
      </w:r>
      <w:r w:rsidRPr="00B15C52">
        <w:rPr>
          <w:rFonts w:asciiTheme="minorHAnsi" w:hAnsiTheme="minorHAnsi"/>
          <w:sz w:val="24"/>
          <w:lang w:val="pl-PL"/>
        </w:rPr>
        <w:t xml:space="preserve"> musi </w:t>
      </w:r>
      <w:r>
        <w:rPr>
          <w:rFonts w:asciiTheme="minorHAnsi" w:hAnsiTheme="minorHAnsi"/>
          <w:sz w:val="24"/>
          <w:lang w:val="pl-PL"/>
        </w:rPr>
        <w:t xml:space="preserve">zastosować </w:t>
      </w:r>
      <w:r w:rsidRPr="00B15C52">
        <w:rPr>
          <w:rFonts w:asciiTheme="minorHAnsi" w:hAnsiTheme="minorHAnsi"/>
          <w:sz w:val="24"/>
          <w:lang w:val="pl-PL"/>
        </w:rPr>
        <w:t>praktyczne i realistyczne</w:t>
      </w:r>
      <w:r w:rsidRPr="00FE15A8">
        <w:rPr>
          <w:rFonts w:asciiTheme="minorHAnsi" w:hAnsiTheme="minorHAnsi"/>
          <w:sz w:val="24"/>
          <w:lang w:val="pl-PL"/>
        </w:rPr>
        <w:t xml:space="preserve"> </w:t>
      </w:r>
      <w:r>
        <w:rPr>
          <w:rFonts w:asciiTheme="minorHAnsi" w:hAnsiTheme="minorHAnsi"/>
          <w:sz w:val="24"/>
          <w:lang w:val="pl-PL"/>
        </w:rPr>
        <w:t>podejście</w:t>
      </w:r>
      <w:r w:rsidRPr="00B15C52">
        <w:rPr>
          <w:rFonts w:asciiTheme="minorHAnsi" w:hAnsiTheme="minorHAnsi"/>
          <w:sz w:val="24"/>
          <w:lang w:val="pl-PL"/>
        </w:rPr>
        <w:t>, uwzględniające współczesne warunki i wyzwania. W szczególności istotne jest</w:t>
      </w:r>
      <w:r>
        <w:rPr>
          <w:rFonts w:asciiTheme="minorHAnsi" w:hAnsiTheme="minorHAnsi"/>
          <w:sz w:val="24"/>
          <w:lang w:val="pl-PL"/>
        </w:rPr>
        <w:t xml:space="preserve"> uznanie prawa</w:t>
      </w:r>
      <w:r w:rsidRPr="00B15C52">
        <w:rPr>
          <w:rFonts w:asciiTheme="minorHAnsi" w:hAnsiTheme="minorHAnsi"/>
          <w:sz w:val="24"/>
          <w:lang w:val="pl-PL"/>
        </w:rPr>
        <w:t xml:space="preserve"> państw, z zastrzeżeniem ich zobowiązań międzynarodowych, do kontrolowania swych granic oraz podejmowania środków przeciwko cudzoziemcom obchodzącym ograniczenia imigracyjne. </w:t>
      </w:r>
    </w:p>
    <w:p w14:paraId="0CC4D491" w14:textId="77777777" w:rsidR="00950534" w:rsidRDefault="00950534" w:rsidP="00950534">
      <w:pPr>
        <w:pStyle w:val="ClinContent"/>
        <w:widowControl w:val="0"/>
        <w:spacing w:before="0"/>
        <w:rPr>
          <w:rFonts w:asciiTheme="minorHAnsi" w:hAnsiTheme="minorHAnsi"/>
          <w:sz w:val="24"/>
          <w:lang w:val="pl-PL"/>
        </w:rPr>
      </w:pPr>
    </w:p>
    <w:p w14:paraId="761B7C6A"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Określając różnicę między ograniczeniem swobody poruszania się a pozbawieniem wolności w kontekście </w:t>
      </w:r>
      <w:r>
        <w:rPr>
          <w:rFonts w:asciiTheme="minorHAnsi" w:hAnsiTheme="minorHAnsi"/>
          <w:sz w:val="24"/>
          <w:lang w:val="pl-PL"/>
        </w:rPr>
        <w:t xml:space="preserve">zatrzymania </w:t>
      </w:r>
      <w:r w:rsidRPr="00B15C52">
        <w:rPr>
          <w:rFonts w:asciiTheme="minorHAnsi" w:hAnsiTheme="minorHAnsi"/>
          <w:sz w:val="24"/>
          <w:lang w:val="pl-PL"/>
        </w:rPr>
        <w:t xml:space="preserve">cudzoziemców w strefie tranzytowej lotniska i w ośrodkach recepcyjnych </w:t>
      </w:r>
      <w:r>
        <w:rPr>
          <w:rFonts w:asciiTheme="minorHAnsi" w:hAnsiTheme="minorHAnsi"/>
          <w:sz w:val="24"/>
          <w:lang w:val="pl-PL"/>
        </w:rPr>
        <w:t>w</w:t>
      </w:r>
      <w:r w:rsidRPr="00B15C52">
        <w:rPr>
          <w:rFonts w:asciiTheme="minorHAnsi" w:hAnsiTheme="minorHAnsi"/>
          <w:sz w:val="24"/>
          <w:lang w:val="pl-PL"/>
        </w:rPr>
        <w:t xml:space="preserve"> celu identyfikacji i rejestracji migrantów, czynniki uwzględniane przez Trybunał </w:t>
      </w:r>
      <w:r>
        <w:rPr>
          <w:rFonts w:asciiTheme="minorHAnsi" w:hAnsiTheme="minorHAnsi"/>
          <w:sz w:val="24"/>
          <w:lang w:val="pl-PL"/>
        </w:rPr>
        <w:t>są następujące</w:t>
      </w:r>
      <w:r w:rsidRPr="00B15C52">
        <w:rPr>
          <w:rFonts w:asciiTheme="minorHAnsi" w:hAnsiTheme="minorHAnsi"/>
          <w:sz w:val="24"/>
          <w:lang w:val="pl-PL"/>
        </w:rPr>
        <w:t>:</w:t>
      </w:r>
    </w:p>
    <w:p w14:paraId="1780E220"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indywidualna sytuacja skarżących i ich wybory; </w:t>
      </w:r>
    </w:p>
    <w:p w14:paraId="466FA397"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mający zastosowanie reżim prawny danego państwa i jego cel; </w:t>
      </w:r>
    </w:p>
    <w:p w14:paraId="43E3BA03"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odpowiedni czas trwania, szczególnie w świetle celu i ochrony proceduralnej, z której korzys</w:t>
      </w:r>
      <w:r>
        <w:rPr>
          <w:rFonts w:asciiTheme="minorHAnsi" w:hAnsiTheme="minorHAnsi"/>
          <w:sz w:val="24"/>
          <w:lang w:val="pl-PL"/>
        </w:rPr>
        <w:t>tali skarżący w przedmiotowym czasie;</w:t>
      </w:r>
      <w:r w:rsidRPr="00B15C52">
        <w:rPr>
          <w:rFonts w:asciiTheme="minorHAnsi" w:hAnsiTheme="minorHAnsi"/>
          <w:sz w:val="24"/>
          <w:lang w:val="pl-PL"/>
        </w:rPr>
        <w:t xml:space="preserve"> a także </w:t>
      </w:r>
    </w:p>
    <w:p w14:paraId="1263DCFC"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charakter i stopień rzeczywistych ograniczeń nałożonych na skarżących lub przez nich doświadczanych. </w:t>
      </w:r>
    </w:p>
    <w:p w14:paraId="1C21657F" w14:textId="77777777" w:rsidR="00950534" w:rsidRDefault="00950534" w:rsidP="00950534">
      <w:pPr>
        <w:pStyle w:val="ClinContent"/>
        <w:widowControl w:val="0"/>
        <w:spacing w:before="0"/>
        <w:rPr>
          <w:rFonts w:asciiTheme="minorHAnsi" w:hAnsiTheme="minorHAnsi"/>
          <w:sz w:val="24"/>
          <w:lang w:val="pl-PL"/>
        </w:rPr>
      </w:pPr>
    </w:p>
    <w:p w14:paraId="483F8A9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O</w:t>
      </w:r>
      <w:r>
        <w:rPr>
          <w:rFonts w:asciiTheme="minorHAnsi" w:hAnsiTheme="minorHAnsi"/>
          <w:sz w:val="24"/>
          <w:lang w:val="pl-PL"/>
        </w:rPr>
        <w:t>mawiana</w:t>
      </w:r>
      <w:r w:rsidRPr="00B15C52">
        <w:rPr>
          <w:rFonts w:asciiTheme="minorHAnsi" w:hAnsiTheme="minorHAnsi"/>
          <w:sz w:val="24"/>
          <w:lang w:val="pl-PL"/>
        </w:rPr>
        <w:t xml:space="preserve"> sprawa dotyczy</w:t>
      </w:r>
      <w:r>
        <w:rPr>
          <w:rFonts w:asciiTheme="minorHAnsi" w:hAnsiTheme="minorHAnsi"/>
          <w:sz w:val="24"/>
          <w:lang w:val="pl-PL"/>
        </w:rPr>
        <w:t>ła</w:t>
      </w:r>
      <w:r w:rsidRPr="00B15C52">
        <w:rPr>
          <w:rFonts w:asciiTheme="minorHAnsi" w:hAnsiTheme="minorHAnsi"/>
          <w:sz w:val="24"/>
          <w:lang w:val="pl-PL"/>
        </w:rPr>
        <w:t xml:space="preserve">, wydaje się, że po raz pierwszy, strefy tranzytowej położonej przy granicach lądowych dwóch państw członkowskich Rady Europy, w której osoby ubiegające się o azyl musiały pozostawać </w:t>
      </w:r>
      <w:r>
        <w:rPr>
          <w:rFonts w:asciiTheme="minorHAnsi" w:hAnsiTheme="minorHAnsi"/>
          <w:sz w:val="24"/>
          <w:lang w:val="pl-PL"/>
        </w:rPr>
        <w:t xml:space="preserve">podczas </w:t>
      </w:r>
      <w:r w:rsidRPr="00B15C52">
        <w:rPr>
          <w:rFonts w:asciiTheme="minorHAnsi" w:hAnsiTheme="minorHAnsi"/>
          <w:sz w:val="24"/>
          <w:lang w:val="pl-PL"/>
        </w:rPr>
        <w:t>badania dopuszczalności ich wniosków azylowych.</w:t>
      </w:r>
    </w:p>
    <w:p w14:paraId="48B460FA" w14:textId="77777777" w:rsidR="00950534" w:rsidRDefault="00950534" w:rsidP="00950534">
      <w:pPr>
        <w:pStyle w:val="ClinContent"/>
        <w:widowControl w:val="0"/>
        <w:spacing w:before="0"/>
        <w:rPr>
          <w:rFonts w:asciiTheme="minorHAnsi" w:hAnsiTheme="minorHAnsi"/>
          <w:sz w:val="24"/>
          <w:lang w:val="pl-PL"/>
        </w:rPr>
      </w:pPr>
    </w:p>
    <w:p w14:paraId="4AF93169" w14:textId="5C9ADFB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przypomniał, że s</w:t>
      </w:r>
      <w:r w:rsidRPr="00B15C52">
        <w:rPr>
          <w:rFonts w:asciiTheme="minorHAnsi" w:hAnsiTheme="minorHAnsi"/>
          <w:sz w:val="24"/>
          <w:lang w:val="pl-PL"/>
        </w:rPr>
        <w:t>karżący nie przekroczyli granicy Serbii z powodu bezpośredniego i</w:t>
      </w:r>
      <w:r w:rsidR="00206CCE">
        <w:rPr>
          <w:rFonts w:asciiTheme="minorHAnsi" w:hAnsiTheme="minorHAnsi"/>
          <w:sz w:val="24"/>
          <w:lang w:val="pl-PL"/>
        </w:rPr>
        <w:t> </w:t>
      </w:r>
      <w:r w:rsidRPr="00B15C52">
        <w:rPr>
          <w:rFonts w:asciiTheme="minorHAnsi" w:hAnsiTheme="minorHAnsi"/>
          <w:sz w:val="24"/>
          <w:lang w:val="pl-PL"/>
        </w:rPr>
        <w:t>natychmiastowego zagrożenia dla ich zdrowia i życia w tym kraju, ale z własnej woli. Wjechali do strefy tranzytowej z własnej inicjatywy.</w:t>
      </w:r>
    </w:p>
    <w:p w14:paraId="54E953C6" w14:textId="77777777" w:rsidR="00950534" w:rsidRDefault="00950534" w:rsidP="00950534">
      <w:pPr>
        <w:pStyle w:val="ClinContent"/>
        <w:widowControl w:val="0"/>
        <w:spacing w:before="0"/>
        <w:rPr>
          <w:rFonts w:asciiTheme="minorHAnsi" w:hAnsiTheme="minorHAnsi"/>
          <w:sz w:val="24"/>
          <w:lang w:val="pl-PL"/>
        </w:rPr>
      </w:pPr>
    </w:p>
    <w:p w14:paraId="163FA97A" w14:textId="334EBE8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Jak zauważył Trybunał, p</w:t>
      </w:r>
      <w:r w:rsidRPr="00B15C52">
        <w:rPr>
          <w:rFonts w:asciiTheme="minorHAnsi" w:hAnsiTheme="minorHAnsi"/>
          <w:sz w:val="24"/>
          <w:lang w:val="pl-PL"/>
        </w:rPr>
        <w:t>rawo państw do kontrolowania wjazdu cudzoziemców na ich terytorium z konieczności implikuje, że zezwolenie na wjazd może być uzależnione od</w:t>
      </w:r>
      <w:r w:rsidR="00206CCE">
        <w:rPr>
          <w:rFonts w:asciiTheme="minorHAnsi" w:hAnsiTheme="minorHAnsi"/>
          <w:sz w:val="24"/>
          <w:lang w:val="pl-PL"/>
        </w:rPr>
        <w:t> </w:t>
      </w:r>
      <w:r w:rsidRPr="00B15C52">
        <w:rPr>
          <w:rFonts w:asciiTheme="minorHAnsi" w:hAnsiTheme="minorHAnsi"/>
          <w:sz w:val="24"/>
          <w:lang w:val="pl-PL"/>
        </w:rPr>
        <w:t>spełnienia stosownych wymogów. Przy braku innych istotnych czynników sytuacja osoby ubiegającej się o wjazd i oczekującej przez krótki czas na weryfikację jej prawa do wjazdu nie</w:t>
      </w:r>
      <w:r w:rsidR="00206CCE">
        <w:rPr>
          <w:rFonts w:asciiTheme="minorHAnsi" w:hAnsiTheme="minorHAnsi"/>
          <w:sz w:val="24"/>
          <w:lang w:val="pl-PL"/>
        </w:rPr>
        <w:t> </w:t>
      </w:r>
      <w:r w:rsidRPr="00B15C52">
        <w:rPr>
          <w:rFonts w:asciiTheme="minorHAnsi" w:hAnsiTheme="minorHAnsi"/>
          <w:sz w:val="24"/>
          <w:lang w:val="pl-PL"/>
        </w:rPr>
        <w:t>może być zatem określana jako pozbawienie wolności</w:t>
      </w:r>
      <w:r>
        <w:rPr>
          <w:rFonts w:asciiTheme="minorHAnsi" w:hAnsiTheme="minorHAnsi"/>
          <w:sz w:val="24"/>
          <w:lang w:val="pl-PL"/>
        </w:rPr>
        <w:t>, które można przypisać</w:t>
      </w:r>
      <w:r w:rsidRPr="00B15C52">
        <w:rPr>
          <w:rFonts w:asciiTheme="minorHAnsi" w:hAnsiTheme="minorHAnsi"/>
          <w:sz w:val="24"/>
          <w:lang w:val="pl-PL"/>
        </w:rPr>
        <w:t xml:space="preserve"> państwu, gdyż w takich przypadkach władze państwa nie podjęły wobec tej osoby żadnych innych </w:t>
      </w:r>
      <w:r>
        <w:rPr>
          <w:rFonts w:asciiTheme="minorHAnsi" w:hAnsiTheme="minorHAnsi"/>
          <w:sz w:val="24"/>
          <w:lang w:val="pl-PL"/>
        </w:rPr>
        <w:t>działań</w:t>
      </w:r>
      <w:r w:rsidRPr="00B15C52">
        <w:rPr>
          <w:rFonts w:asciiTheme="minorHAnsi" w:hAnsiTheme="minorHAnsi"/>
          <w:sz w:val="24"/>
          <w:lang w:val="pl-PL"/>
        </w:rPr>
        <w:t xml:space="preserve"> niż zareagowanie na </w:t>
      </w:r>
      <w:r>
        <w:rPr>
          <w:rFonts w:asciiTheme="minorHAnsi" w:hAnsiTheme="minorHAnsi"/>
          <w:sz w:val="24"/>
          <w:lang w:val="pl-PL"/>
        </w:rPr>
        <w:t xml:space="preserve">podjęcie przez nią próby </w:t>
      </w:r>
      <w:r w:rsidRPr="00B15C52">
        <w:rPr>
          <w:rFonts w:asciiTheme="minorHAnsi" w:hAnsiTheme="minorHAnsi"/>
          <w:sz w:val="24"/>
          <w:lang w:val="pl-PL"/>
        </w:rPr>
        <w:t xml:space="preserve">wjazdu poprzez przeprowadzenie niezbędnych weryfikacji. </w:t>
      </w:r>
    </w:p>
    <w:p w14:paraId="235558EE" w14:textId="77777777" w:rsidR="00950534" w:rsidRDefault="00950534" w:rsidP="00950534">
      <w:pPr>
        <w:pStyle w:val="ClinContent"/>
        <w:widowControl w:val="0"/>
        <w:spacing w:before="0"/>
        <w:rPr>
          <w:rFonts w:asciiTheme="minorHAnsi" w:hAnsiTheme="minorHAnsi"/>
          <w:sz w:val="24"/>
          <w:lang w:val="pl-PL"/>
        </w:rPr>
      </w:pPr>
    </w:p>
    <w:p w14:paraId="1C41715D" w14:textId="5FD8D19B"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Dopóki pobyt skarżącego w strefie tranzytowej nie przekracza znacząco czasu potrzebnego do zbadania wniosku o azyl i nie zachodzą wyjątkowe okoliczności, sama długość </w:t>
      </w:r>
      <w:r>
        <w:rPr>
          <w:rFonts w:asciiTheme="minorHAnsi" w:hAnsiTheme="minorHAnsi"/>
          <w:sz w:val="24"/>
          <w:lang w:val="pl-PL"/>
        </w:rPr>
        <w:t xml:space="preserve">tego </w:t>
      </w:r>
      <w:r>
        <w:rPr>
          <w:rFonts w:asciiTheme="minorHAnsi" w:hAnsiTheme="minorHAnsi"/>
          <w:sz w:val="24"/>
          <w:lang w:val="pl-PL"/>
        </w:rPr>
        <w:lastRenderedPageBreak/>
        <w:t xml:space="preserve">pobytu </w:t>
      </w:r>
      <w:r w:rsidRPr="00B15C52">
        <w:rPr>
          <w:rFonts w:asciiTheme="minorHAnsi" w:hAnsiTheme="minorHAnsi"/>
          <w:sz w:val="24"/>
          <w:lang w:val="pl-PL"/>
        </w:rPr>
        <w:t xml:space="preserve">raczej nie powinna </w:t>
      </w:r>
      <w:r>
        <w:rPr>
          <w:rFonts w:asciiTheme="minorHAnsi" w:hAnsiTheme="minorHAnsi"/>
          <w:sz w:val="24"/>
          <w:lang w:val="pl-PL"/>
        </w:rPr>
        <w:t xml:space="preserve">mieć decydującego wpływu </w:t>
      </w:r>
      <w:r w:rsidRPr="00B15C52">
        <w:rPr>
          <w:rFonts w:asciiTheme="minorHAnsi" w:hAnsiTheme="minorHAnsi"/>
          <w:sz w:val="24"/>
          <w:lang w:val="pl-PL"/>
        </w:rPr>
        <w:t xml:space="preserve">na </w:t>
      </w:r>
      <w:r>
        <w:rPr>
          <w:rFonts w:asciiTheme="minorHAnsi" w:hAnsiTheme="minorHAnsi"/>
          <w:sz w:val="24"/>
          <w:lang w:val="pl-PL"/>
        </w:rPr>
        <w:t xml:space="preserve">ocenę </w:t>
      </w:r>
      <w:r w:rsidRPr="00B15C52">
        <w:rPr>
          <w:rFonts w:asciiTheme="minorHAnsi" w:hAnsiTheme="minorHAnsi"/>
          <w:sz w:val="24"/>
          <w:lang w:val="pl-PL"/>
        </w:rPr>
        <w:t>zastosowalności art. 5</w:t>
      </w:r>
      <w:r>
        <w:rPr>
          <w:rFonts w:asciiTheme="minorHAnsi" w:hAnsiTheme="minorHAnsi"/>
          <w:sz w:val="24"/>
          <w:lang w:val="pl-PL"/>
        </w:rPr>
        <w:t xml:space="preserve"> Konwencji przez Trybunał</w:t>
      </w:r>
      <w:r w:rsidRPr="00B15C52">
        <w:rPr>
          <w:rFonts w:asciiTheme="minorHAnsi" w:hAnsiTheme="minorHAnsi"/>
          <w:sz w:val="24"/>
          <w:lang w:val="pl-PL"/>
        </w:rPr>
        <w:t>. Ma to miejsce w szczególności, gdy w czasie oczekiwania na</w:t>
      </w:r>
      <w:r w:rsidR="00206CCE">
        <w:rPr>
          <w:rFonts w:asciiTheme="minorHAnsi" w:hAnsiTheme="minorHAnsi"/>
          <w:sz w:val="24"/>
          <w:lang w:val="pl-PL"/>
        </w:rPr>
        <w:t> </w:t>
      </w:r>
      <w:r w:rsidRPr="00B15C52">
        <w:rPr>
          <w:rFonts w:asciiTheme="minorHAnsi" w:hAnsiTheme="minorHAnsi"/>
          <w:sz w:val="24"/>
          <w:lang w:val="pl-PL"/>
        </w:rPr>
        <w:t xml:space="preserve">rozpatrzenie swych wniosków azylowych osoby korzystały z praw i gwarancji proceduralnych </w:t>
      </w:r>
      <w:r>
        <w:rPr>
          <w:rFonts w:asciiTheme="minorHAnsi" w:hAnsiTheme="minorHAnsi"/>
          <w:sz w:val="24"/>
          <w:lang w:val="pl-PL"/>
        </w:rPr>
        <w:t xml:space="preserve">chroniących przed nadmiernie długim czasem </w:t>
      </w:r>
      <w:r w:rsidRPr="00B15C52">
        <w:rPr>
          <w:rFonts w:asciiTheme="minorHAnsi" w:hAnsiTheme="minorHAnsi"/>
          <w:sz w:val="24"/>
          <w:lang w:val="pl-PL"/>
        </w:rPr>
        <w:t xml:space="preserve">oczekiwania. </w:t>
      </w:r>
      <w:r>
        <w:rPr>
          <w:rFonts w:asciiTheme="minorHAnsi" w:hAnsiTheme="minorHAnsi"/>
          <w:sz w:val="24"/>
          <w:lang w:val="pl-PL"/>
        </w:rPr>
        <w:t>D</w:t>
      </w:r>
      <w:r w:rsidRPr="00B15C52">
        <w:rPr>
          <w:rFonts w:asciiTheme="minorHAnsi" w:hAnsiTheme="minorHAnsi"/>
          <w:sz w:val="24"/>
          <w:lang w:val="pl-PL"/>
        </w:rPr>
        <w:t xml:space="preserve">uże znaczenie w tym względzie </w:t>
      </w:r>
      <w:r>
        <w:rPr>
          <w:rFonts w:asciiTheme="minorHAnsi" w:hAnsiTheme="minorHAnsi"/>
          <w:sz w:val="24"/>
          <w:lang w:val="pl-PL"/>
        </w:rPr>
        <w:t>ma f</w:t>
      </w:r>
      <w:r w:rsidRPr="00B15C52">
        <w:rPr>
          <w:rFonts w:asciiTheme="minorHAnsi" w:hAnsiTheme="minorHAnsi"/>
          <w:sz w:val="24"/>
          <w:lang w:val="pl-PL"/>
        </w:rPr>
        <w:t xml:space="preserve">akt, że istniały regulacje krajowe ograniczające długość </w:t>
      </w:r>
      <w:r>
        <w:rPr>
          <w:rFonts w:asciiTheme="minorHAnsi" w:hAnsiTheme="minorHAnsi"/>
          <w:sz w:val="24"/>
          <w:lang w:val="pl-PL"/>
        </w:rPr>
        <w:t>pobytu w</w:t>
      </w:r>
      <w:r w:rsidR="00206CCE">
        <w:rPr>
          <w:rFonts w:asciiTheme="minorHAnsi" w:hAnsiTheme="minorHAnsi"/>
          <w:sz w:val="24"/>
          <w:lang w:val="pl-PL"/>
        </w:rPr>
        <w:t> </w:t>
      </w:r>
      <w:r>
        <w:rPr>
          <w:rFonts w:asciiTheme="minorHAnsi" w:hAnsiTheme="minorHAnsi"/>
          <w:sz w:val="24"/>
          <w:lang w:val="pl-PL"/>
        </w:rPr>
        <w:t>strefie tranzytowej.</w:t>
      </w:r>
    </w:p>
    <w:p w14:paraId="15A6BA87" w14:textId="77777777" w:rsidR="00950534" w:rsidRDefault="00950534" w:rsidP="00950534">
      <w:pPr>
        <w:pStyle w:val="ClinContent"/>
        <w:widowControl w:val="0"/>
        <w:spacing w:before="0"/>
        <w:rPr>
          <w:rFonts w:asciiTheme="minorHAnsi" w:hAnsiTheme="minorHAnsi"/>
          <w:sz w:val="24"/>
          <w:lang w:val="pl-PL"/>
        </w:rPr>
      </w:pPr>
    </w:p>
    <w:p w14:paraId="384E9A4B" w14:textId="75C9874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omawianej sprawie Trybunał zauważył, że powierzchnia terenu </w:t>
      </w:r>
      <w:r w:rsidRPr="00B15C52">
        <w:rPr>
          <w:rFonts w:asciiTheme="minorHAnsi" w:hAnsiTheme="minorHAnsi"/>
          <w:sz w:val="24"/>
          <w:lang w:val="pl-PL"/>
        </w:rPr>
        <w:t>oraz sposób, w jaki był on</w:t>
      </w:r>
      <w:r w:rsidR="00206CCE">
        <w:rPr>
          <w:rFonts w:asciiTheme="minorHAnsi" w:hAnsiTheme="minorHAnsi"/>
          <w:sz w:val="24"/>
          <w:lang w:val="pl-PL"/>
        </w:rPr>
        <w:t> </w:t>
      </w:r>
      <w:r w:rsidRPr="00B15C52">
        <w:rPr>
          <w:rFonts w:asciiTheme="minorHAnsi" w:hAnsiTheme="minorHAnsi"/>
          <w:sz w:val="24"/>
          <w:lang w:val="pl-PL"/>
        </w:rPr>
        <w:t>kontrolowany, sprawiały, że wolność poruszania się skarżących została ograniczona w</w:t>
      </w:r>
      <w:r w:rsidR="00206CCE">
        <w:rPr>
          <w:rFonts w:asciiTheme="minorHAnsi" w:hAnsiTheme="minorHAnsi"/>
          <w:sz w:val="24"/>
          <w:lang w:val="pl-PL"/>
        </w:rPr>
        <w:t> </w:t>
      </w:r>
      <w:r w:rsidRPr="00B15C52">
        <w:rPr>
          <w:rFonts w:asciiTheme="minorHAnsi" w:hAnsiTheme="minorHAnsi"/>
          <w:sz w:val="24"/>
          <w:lang w:val="pl-PL"/>
        </w:rPr>
        <w:t>znaczącym stopniu, w sposób podobny do tego, jaki charakteryzuje niektóre ośrodki detencyjne o lekkim reżimie.</w:t>
      </w:r>
    </w:p>
    <w:p w14:paraId="3A821380" w14:textId="77777777" w:rsidR="00950534" w:rsidRDefault="00950534" w:rsidP="00950534">
      <w:pPr>
        <w:pStyle w:val="ClinContent"/>
        <w:widowControl w:val="0"/>
        <w:spacing w:before="0"/>
        <w:rPr>
          <w:rFonts w:asciiTheme="minorHAnsi" w:hAnsiTheme="minorHAnsi"/>
          <w:sz w:val="24"/>
          <w:lang w:val="pl-PL"/>
        </w:rPr>
      </w:pPr>
    </w:p>
    <w:p w14:paraId="2B32F0B0" w14:textId="14445025"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Z drugiej strony, podczas oczekiwania na podjęcie niezbędnych kroków proceduralnych wynikających z ich wniosku o azyl skarżący przebywali w warunkach, które – </w:t>
      </w:r>
      <w:r>
        <w:rPr>
          <w:rFonts w:asciiTheme="minorHAnsi" w:hAnsiTheme="minorHAnsi"/>
          <w:sz w:val="24"/>
          <w:lang w:val="pl-PL"/>
        </w:rPr>
        <w:t>chociaż</w:t>
      </w:r>
      <w:r w:rsidRPr="00B15C52">
        <w:rPr>
          <w:rFonts w:asciiTheme="minorHAnsi" w:hAnsiTheme="minorHAnsi"/>
          <w:sz w:val="24"/>
          <w:lang w:val="pl-PL"/>
        </w:rPr>
        <w:t xml:space="preserve"> obejmowały znaczne ograniczenie ich wolności poruszania się – nie ograniczyły ich swobody w sposób </w:t>
      </w:r>
      <w:r>
        <w:rPr>
          <w:rFonts w:asciiTheme="minorHAnsi" w:hAnsiTheme="minorHAnsi"/>
          <w:sz w:val="24"/>
          <w:lang w:val="pl-PL"/>
        </w:rPr>
        <w:t xml:space="preserve">wykraczający poza to co konieczne </w:t>
      </w:r>
      <w:r w:rsidRPr="00B15C52">
        <w:rPr>
          <w:rFonts w:asciiTheme="minorHAnsi" w:hAnsiTheme="minorHAnsi"/>
          <w:sz w:val="24"/>
          <w:lang w:val="pl-PL"/>
        </w:rPr>
        <w:t>albo w zakresie lub w sposób niezwiązany z</w:t>
      </w:r>
      <w:r w:rsidR="00206CCE">
        <w:rPr>
          <w:rFonts w:asciiTheme="minorHAnsi" w:hAnsiTheme="minorHAnsi"/>
          <w:sz w:val="24"/>
          <w:lang w:val="pl-PL"/>
        </w:rPr>
        <w:t> </w:t>
      </w:r>
      <w:r w:rsidRPr="00B15C52">
        <w:rPr>
          <w:rFonts w:asciiTheme="minorHAnsi" w:hAnsiTheme="minorHAnsi"/>
          <w:sz w:val="24"/>
          <w:lang w:val="pl-PL"/>
        </w:rPr>
        <w:t>rozpatrywaniem ich wniosków azylowych. Wreszcie, pomimo bardzo poważnych trudności spowodowanych masowym napływem osób ubiegających się o azyl i migrantów na granicę skarżący spędzili tylko dwadzieścia trzy dni w strefie tranzytowej, a okres ten nie przekroczył tego, co było ściśle konieczne do zweryfikowania możliwości uwzględnienia ich wniosku o</w:t>
      </w:r>
      <w:r w:rsidR="00206CCE">
        <w:rPr>
          <w:rFonts w:asciiTheme="minorHAnsi" w:hAnsiTheme="minorHAnsi"/>
          <w:sz w:val="24"/>
          <w:lang w:val="pl-PL"/>
        </w:rPr>
        <w:t> </w:t>
      </w:r>
      <w:r w:rsidRPr="00B15C52">
        <w:rPr>
          <w:rFonts w:asciiTheme="minorHAnsi" w:hAnsiTheme="minorHAnsi"/>
          <w:sz w:val="24"/>
          <w:lang w:val="pl-PL"/>
        </w:rPr>
        <w:t xml:space="preserve">wjazd na Węgry celem ubiegania się tam o azyl. Na sytuację skarżących nie wpłynęła bezczynność władz. </w:t>
      </w:r>
    </w:p>
    <w:p w14:paraId="5C486BF3" w14:textId="77777777" w:rsidR="00950534" w:rsidRDefault="00950534" w:rsidP="00950534">
      <w:pPr>
        <w:pStyle w:val="ClinContent"/>
        <w:widowControl w:val="0"/>
        <w:spacing w:before="0"/>
        <w:rPr>
          <w:rFonts w:asciiTheme="minorHAnsi" w:hAnsiTheme="minorHAnsi"/>
          <w:sz w:val="24"/>
          <w:lang w:val="pl-PL"/>
        </w:rPr>
      </w:pPr>
    </w:p>
    <w:p w14:paraId="6162253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Dla Trybunału i</w:t>
      </w:r>
      <w:r w:rsidRPr="00B15C52">
        <w:rPr>
          <w:rFonts w:asciiTheme="minorHAnsi" w:hAnsiTheme="minorHAnsi"/>
          <w:sz w:val="24"/>
          <w:lang w:val="pl-PL"/>
        </w:rPr>
        <w:t xml:space="preserve">stotne </w:t>
      </w:r>
      <w:r>
        <w:rPr>
          <w:rFonts w:asciiTheme="minorHAnsi" w:hAnsiTheme="minorHAnsi"/>
          <w:sz w:val="24"/>
          <w:lang w:val="pl-PL"/>
        </w:rPr>
        <w:t xml:space="preserve">było </w:t>
      </w:r>
      <w:r w:rsidRPr="00B15C52">
        <w:rPr>
          <w:rFonts w:asciiTheme="minorHAnsi" w:hAnsiTheme="minorHAnsi"/>
          <w:sz w:val="24"/>
          <w:lang w:val="pl-PL"/>
        </w:rPr>
        <w:t xml:space="preserve">ponadto to, że odmiennie niż w przypadku na przykład osób </w:t>
      </w:r>
      <w:r>
        <w:rPr>
          <w:rFonts w:asciiTheme="minorHAnsi" w:hAnsiTheme="minorHAnsi"/>
          <w:sz w:val="24"/>
          <w:lang w:val="pl-PL"/>
        </w:rPr>
        <w:t>zatrzymanych</w:t>
      </w:r>
      <w:r w:rsidRPr="00B15C52">
        <w:rPr>
          <w:rFonts w:asciiTheme="minorHAnsi" w:hAnsiTheme="minorHAnsi"/>
          <w:sz w:val="24"/>
          <w:lang w:val="pl-PL"/>
        </w:rPr>
        <w:t xml:space="preserve"> w strefie tranzytowej lotniska, osoby znajdujące się w strefie tranzytowej granicy lądowej – jak </w:t>
      </w:r>
      <w:r>
        <w:rPr>
          <w:rFonts w:asciiTheme="minorHAnsi" w:hAnsiTheme="minorHAnsi"/>
          <w:sz w:val="24"/>
          <w:lang w:val="pl-PL"/>
        </w:rPr>
        <w:t>skarżący</w:t>
      </w:r>
      <w:r w:rsidRPr="00B15C52">
        <w:rPr>
          <w:rFonts w:asciiTheme="minorHAnsi" w:hAnsiTheme="minorHAnsi"/>
          <w:sz w:val="24"/>
          <w:lang w:val="pl-PL"/>
        </w:rPr>
        <w:t xml:space="preserve"> w </w:t>
      </w:r>
      <w:r>
        <w:rPr>
          <w:rFonts w:asciiTheme="minorHAnsi" w:hAnsiTheme="minorHAnsi"/>
          <w:sz w:val="24"/>
          <w:lang w:val="pl-PL"/>
        </w:rPr>
        <w:t>omawianej sp</w:t>
      </w:r>
      <w:r w:rsidRPr="00B15C52">
        <w:rPr>
          <w:rFonts w:asciiTheme="minorHAnsi" w:hAnsiTheme="minorHAnsi"/>
          <w:sz w:val="24"/>
          <w:lang w:val="pl-PL"/>
        </w:rPr>
        <w:t xml:space="preserve">rawie – nie muszą wejść na pokład samolotu w celu powrotu do kraju, z którego przybyły. Skarżący przybyli z Serbii, państwa związanego </w:t>
      </w:r>
      <w:hyperlink r:id="rId20" w:history="1">
        <w:r w:rsidRPr="00B15C52">
          <w:rPr>
            <w:rStyle w:val="Hipercze"/>
            <w:rFonts w:asciiTheme="minorHAnsi" w:hAnsiTheme="minorHAnsi"/>
            <w:sz w:val="24"/>
            <w:lang w:val="pl-PL"/>
          </w:rPr>
          <w:t>Konwencją genewską dotyczącą statusu uchodźców</w:t>
        </w:r>
      </w:hyperlink>
      <w:r w:rsidRPr="00B15C52">
        <w:rPr>
          <w:rFonts w:asciiTheme="minorHAnsi" w:hAnsiTheme="minorHAnsi"/>
          <w:sz w:val="24"/>
          <w:lang w:val="pl-PL"/>
        </w:rPr>
        <w:t xml:space="preserve">, którego terytorium przylegało do strefy tranzytowej. W praktyce zatem możliwość opuszczenia przez nich strefy tranzytowej granicy lądowej była nie tylko teoretyczna, ale rzeczywista. </w:t>
      </w:r>
    </w:p>
    <w:p w14:paraId="0D3A83F4" w14:textId="77777777" w:rsidR="00950534" w:rsidRDefault="00950534" w:rsidP="00950534">
      <w:pPr>
        <w:pStyle w:val="ClinContent"/>
        <w:widowControl w:val="0"/>
        <w:spacing w:before="0"/>
        <w:rPr>
          <w:rFonts w:asciiTheme="minorHAnsi" w:hAnsiTheme="minorHAnsi"/>
          <w:sz w:val="24"/>
          <w:lang w:val="pl-PL"/>
        </w:rPr>
      </w:pPr>
    </w:p>
    <w:p w14:paraId="18E4DA5F" w14:textId="32B3D12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stwierdził, że w</w:t>
      </w:r>
      <w:r w:rsidRPr="00B15C52">
        <w:rPr>
          <w:rFonts w:asciiTheme="minorHAnsi" w:hAnsiTheme="minorHAnsi"/>
          <w:sz w:val="24"/>
          <w:lang w:val="pl-PL"/>
        </w:rPr>
        <w:t xml:space="preserve"> przypadku gdy – jak w </w:t>
      </w:r>
      <w:r>
        <w:rPr>
          <w:rFonts w:asciiTheme="minorHAnsi" w:hAnsiTheme="minorHAnsi"/>
          <w:sz w:val="24"/>
          <w:lang w:val="pl-PL"/>
        </w:rPr>
        <w:t>omawianej sp</w:t>
      </w:r>
      <w:r w:rsidRPr="00B15C52">
        <w:rPr>
          <w:rFonts w:asciiTheme="minorHAnsi" w:hAnsiTheme="minorHAnsi"/>
          <w:sz w:val="24"/>
          <w:lang w:val="pl-PL"/>
        </w:rPr>
        <w:t xml:space="preserve">rawie – suma wszystkich innych czynników nie wskazuje na sytuację </w:t>
      </w:r>
      <w:r w:rsidRPr="00B15C52">
        <w:rPr>
          <w:rFonts w:asciiTheme="minorHAnsi" w:hAnsiTheme="minorHAnsi"/>
          <w:i/>
          <w:sz w:val="24"/>
          <w:lang w:val="pl-PL"/>
        </w:rPr>
        <w:t xml:space="preserve">de facto </w:t>
      </w:r>
      <w:r w:rsidRPr="00B15C52">
        <w:rPr>
          <w:rFonts w:asciiTheme="minorHAnsi" w:hAnsiTheme="minorHAnsi"/>
          <w:sz w:val="24"/>
          <w:lang w:val="pl-PL"/>
        </w:rPr>
        <w:t>pozbawienia wolności, a osoby ubiegające się o azyl mogą powrócić do pośredniczącego państ</w:t>
      </w:r>
      <w:r>
        <w:rPr>
          <w:rFonts w:asciiTheme="minorHAnsi" w:hAnsiTheme="minorHAnsi"/>
          <w:sz w:val="24"/>
          <w:lang w:val="pl-PL"/>
        </w:rPr>
        <w:t>wa trzeciego, z którego przybyły</w:t>
      </w:r>
      <w:r w:rsidRPr="00B15C52">
        <w:rPr>
          <w:rFonts w:asciiTheme="minorHAnsi" w:hAnsiTheme="minorHAnsi"/>
          <w:sz w:val="24"/>
          <w:lang w:val="pl-PL"/>
        </w:rPr>
        <w:t xml:space="preserve">, bez bezpośredniego zagrożenia dla swego zdrowia lub życia, znanego władzom lub na które zwrócono uwagę władz we właściwym czasie, nie można uznać, że art. 5 </w:t>
      </w:r>
      <w:r>
        <w:rPr>
          <w:rFonts w:asciiTheme="minorHAnsi" w:hAnsiTheme="minorHAnsi"/>
          <w:sz w:val="24"/>
          <w:lang w:val="pl-PL"/>
        </w:rPr>
        <w:t xml:space="preserve">Konwencji </w:t>
      </w:r>
      <w:r w:rsidRPr="00B15C52">
        <w:rPr>
          <w:rFonts w:asciiTheme="minorHAnsi" w:hAnsiTheme="minorHAnsi"/>
          <w:sz w:val="24"/>
          <w:lang w:val="pl-PL"/>
        </w:rPr>
        <w:t>ma zastosowanie do ich sytuacji w strefie tranzytowej granicy lądowej</w:t>
      </w:r>
      <w:r>
        <w:rPr>
          <w:rFonts w:asciiTheme="minorHAnsi" w:hAnsiTheme="minorHAnsi"/>
          <w:sz w:val="24"/>
          <w:lang w:val="pl-PL"/>
        </w:rPr>
        <w:t xml:space="preserve"> z tego względu</w:t>
      </w:r>
      <w:r w:rsidRPr="00B15C52">
        <w:rPr>
          <w:rFonts w:asciiTheme="minorHAnsi" w:hAnsiTheme="minorHAnsi"/>
          <w:sz w:val="24"/>
          <w:lang w:val="pl-PL"/>
        </w:rPr>
        <w:t>, że</w:t>
      </w:r>
      <w:r w:rsidR="00206CCE">
        <w:rPr>
          <w:rFonts w:asciiTheme="minorHAnsi" w:hAnsiTheme="minorHAnsi"/>
          <w:sz w:val="24"/>
          <w:lang w:val="pl-PL"/>
        </w:rPr>
        <w:t> </w:t>
      </w:r>
      <w:r w:rsidRPr="00B15C52">
        <w:rPr>
          <w:rFonts w:asciiTheme="minorHAnsi" w:hAnsiTheme="minorHAnsi"/>
          <w:sz w:val="24"/>
          <w:lang w:val="pl-PL"/>
        </w:rPr>
        <w:t xml:space="preserve">władze nie wypełniły swych odrębnych obowiązków </w:t>
      </w:r>
      <w:r>
        <w:rPr>
          <w:rFonts w:asciiTheme="minorHAnsi" w:hAnsiTheme="minorHAnsi"/>
          <w:sz w:val="24"/>
          <w:lang w:val="pl-PL"/>
        </w:rPr>
        <w:t xml:space="preserve">wynikających z </w:t>
      </w:r>
      <w:r w:rsidRPr="00B15C52">
        <w:rPr>
          <w:rFonts w:asciiTheme="minorHAnsi" w:hAnsiTheme="minorHAnsi"/>
          <w:sz w:val="24"/>
          <w:lang w:val="pl-PL"/>
        </w:rPr>
        <w:t>art. 3. Nie można interpretować Konwencji w taki sposób, że łączyłaby ona zastosowalność art. 5 z odrębną kwestią dotyczącą wypełnienia przez władze art. 3</w:t>
      </w:r>
      <w:r>
        <w:rPr>
          <w:rFonts w:asciiTheme="minorHAnsi" w:hAnsiTheme="minorHAnsi"/>
          <w:sz w:val="24"/>
          <w:lang w:val="pl-PL"/>
        </w:rPr>
        <w:t xml:space="preserve"> Konwencji</w:t>
      </w:r>
      <w:r w:rsidRPr="00B15C52">
        <w:rPr>
          <w:rFonts w:asciiTheme="minorHAnsi" w:hAnsiTheme="minorHAnsi"/>
          <w:sz w:val="24"/>
          <w:lang w:val="pl-PL"/>
        </w:rPr>
        <w:t xml:space="preserve">. </w:t>
      </w:r>
    </w:p>
    <w:p w14:paraId="1E9A20DE" w14:textId="77777777" w:rsidR="00950534" w:rsidRDefault="00950534" w:rsidP="00950534">
      <w:pPr>
        <w:pStyle w:val="ClinContent"/>
        <w:widowControl w:val="0"/>
        <w:spacing w:before="0"/>
        <w:rPr>
          <w:rFonts w:asciiTheme="minorHAnsi" w:hAnsiTheme="minorHAnsi"/>
          <w:sz w:val="24"/>
          <w:lang w:val="pl-PL"/>
        </w:rPr>
      </w:pPr>
    </w:p>
    <w:p w14:paraId="19EB9A86" w14:textId="1929962D"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okolicznościach </w:t>
      </w:r>
      <w:r>
        <w:rPr>
          <w:rFonts w:asciiTheme="minorHAnsi" w:hAnsiTheme="minorHAnsi"/>
          <w:sz w:val="24"/>
          <w:lang w:val="pl-PL"/>
        </w:rPr>
        <w:t>niniejszej</w:t>
      </w:r>
      <w:r w:rsidRPr="00B15C52">
        <w:rPr>
          <w:rFonts w:asciiTheme="minorHAnsi" w:hAnsiTheme="minorHAnsi"/>
          <w:sz w:val="24"/>
          <w:lang w:val="pl-PL"/>
        </w:rPr>
        <w:t xml:space="preserve"> sprawy i odmiennie niż w sytuacji, która miała miejsce w kilku sprawach dotyczących stref tranzytowych lotniska, w szczególności w sprawie </w:t>
      </w:r>
      <w:r w:rsidRPr="00B15C52">
        <w:rPr>
          <w:rFonts w:asciiTheme="minorHAnsi" w:hAnsiTheme="minorHAnsi"/>
          <w:i/>
          <w:sz w:val="24"/>
          <w:lang w:val="pl-PL"/>
        </w:rPr>
        <w:t>Amuur p.</w:t>
      </w:r>
      <w:r w:rsidR="00206CCE">
        <w:rPr>
          <w:rFonts w:asciiTheme="minorHAnsi" w:hAnsiTheme="minorHAnsi"/>
          <w:i/>
          <w:sz w:val="24"/>
          <w:lang w:val="pl-PL"/>
        </w:rPr>
        <w:t> </w:t>
      </w:r>
      <w:r w:rsidRPr="00B15C52">
        <w:rPr>
          <w:rFonts w:asciiTheme="minorHAnsi" w:hAnsiTheme="minorHAnsi"/>
          <w:i/>
          <w:sz w:val="24"/>
          <w:lang w:val="pl-PL"/>
        </w:rPr>
        <w:t>Francji</w:t>
      </w:r>
      <w:r w:rsidRPr="00B15C52">
        <w:rPr>
          <w:rFonts w:asciiTheme="minorHAnsi" w:hAnsiTheme="minorHAnsi"/>
          <w:sz w:val="24"/>
          <w:lang w:val="pl-PL"/>
        </w:rPr>
        <w:t xml:space="preserve">, ryzyko utraty przez skarżących kontroli nad rozpatrywaniem ich wniosków azylowych na Węgrzech oraz ich obawy o brak wystarczającego dostępu do procedur azylowych w Serbii, </w:t>
      </w:r>
      <w:r>
        <w:rPr>
          <w:rFonts w:asciiTheme="minorHAnsi" w:hAnsiTheme="minorHAnsi"/>
          <w:sz w:val="24"/>
          <w:lang w:val="pl-PL"/>
        </w:rPr>
        <w:t>chociaż</w:t>
      </w:r>
      <w:r w:rsidRPr="00B15C52">
        <w:rPr>
          <w:rFonts w:asciiTheme="minorHAnsi" w:hAnsiTheme="minorHAnsi"/>
          <w:sz w:val="24"/>
          <w:lang w:val="pl-PL"/>
        </w:rPr>
        <w:t xml:space="preserve"> miały znaczenie w kontekście art. 3, nie sprawiały, że możliwość opuszczenia przez nich strefy tranzytowej w kierunku Serbii stała się jedynie teoretyczna. Trybunał nie m</w:t>
      </w:r>
      <w:r>
        <w:rPr>
          <w:rFonts w:asciiTheme="minorHAnsi" w:hAnsiTheme="minorHAnsi"/>
          <w:sz w:val="24"/>
          <w:lang w:val="pl-PL"/>
        </w:rPr>
        <w:t>ógł</w:t>
      </w:r>
      <w:r w:rsidRPr="00B15C52">
        <w:rPr>
          <w:rFonts w:asciiTheme="minorHAnsi" w:hAnsiTheme="minorHAnsi"/>
          <w:sz w:val="24"/>
          <w:lang w:val="pl-PL"/>
        </w:rPr>
        <w:t xml:space="preserve"> przyjąć, że same te obawy, pomimo wszystkich innych okoliczności </w:t>
      </w:r>
      <w:r>
        <w:rPr>
          <w:rFonts w:asciiTheme="minorHAnsi" w:hAnsiTheme="minorHAnsi"/>
          <w:sz w:val="24"/>
          <w:lang w:val="pl-PL"/>
        </w:rPr>
        <w:lastRenderedPageBreak/>
        <w:t>omawianej sp</w:t>
      </w:r>
      <w:r w:rsidRPr="00B15C52">
        <w:rPr>
          <w:rFonts w:asciiTheme="minorHAnsi" w:hAnsiTheme="minorHAnsi"/>
          <w:sz w:val="24"/>
          <w:lang w:val="pl-PL"/>
        </w:rPr>
        <w:t>rawy (</w:t>
      </w:r>
      <w:r>
        <w:rPr>
          <w:rFonts w:asciiTheme="minorHAnsi" w:hAnsiTheme="minorHAnsi"/>
          <w:sz w:val="24"/>
          <w:lang w:val="pl-PL"/>
        </w:rPr>
        <w:t>różniących się</w:t>
      </w:r>
      <w:r w:rsidRPr="00B15C52">
        <w:rPr>
          <w:rFonts w:asciiTheme="minorHAnsi" w:hAnsiTheme="minorHAnsi"/>
          <w:sz w:val="24"/>
          <w:lang w:val="pl-PL"/>
        </w:rPr>
        <w:t xml:space="preserve"> od występujących w sprawach dotyczących stref tranzytowych lotniska), wystarczały, by spowodować zastosowanie art. 5</w:t>
      </w:r>
      <w:r>
        <w:rPr>
          <w:rFonts w:asciiTheme="minorHAnsi" w:hAnsiTheme="minorHAnsi"/>
          <w:sz w:val="24"/>
          <w:lang w:val="pl-PL"/>
        </w:rPr>
        <w:t xml:space="preserve"> Konwencji</w:t>
      </w:r>
      <w:r w:rsidRPr="00B15C52">
        <w:rPr>
          <w:rFonts w:asciiTheme="minorHAnsi" w:hAnsiTheme="minorHAnsi"/>
          <w:sz w:val="24"/>
          <w:lang w:val="pl-PL"/>
        </w:rPr>
        <w:t xml:space="preserve">. Taka wykładnia zastosowania art. 5 rozszerzyłaby pojęcie pozbawienia wolności poza rozumienie tego terminu zamierzone przez Konwencję. </w:t>
      </w:r>
    </w:p>
    <w:p w14:paraId="7E93D128" w14:textId="77777777" w:rsidR="00950534" w:rsidRDefault="00950534" w:rsidP="00950534">
      <w:pPr>
        <w:pStyle w:val="ClinContent"/>
        <w:widowControl w:val="0"/>
        <w:spacing w:before="0"/>
        <w:rPr>
          <w:rFonts w:asciiTheme="minorHAnsi" w:hAnsiTheme="minorHAnsi"/>
          <w:sz w:val="24"/>
          <w:lang w:val="pl-PL"/>
        </w:rPr>
      </w:pPr>
    </w:p>
    <w:p w14:paraId="07CBDA81" w14:textId="33A9605A"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Przedmiotowe ryzyka nie mogły zatem sprawić, </w:t>
      </w:r>
      <w:r>
        <w:rPr>
          <w:rFonts w:asciiTheme="minorHAnsi" w:hAnsiTheme="minorHAnsi"/>
          <w:sz w:val="24"/>
          <w:lang w:val="pl-PL"/>
        </w:rPr>
        <w:t xml:space="preserve">że </w:t>
      </w:r>
      <w:r w:rsidRPr="00B15C52">
        <w:rPr>
          <w:rFonts w:asciiTheme="minorHAnsi" w:hAnsiTheme="minorHAnsi"/>
          <w:sz w:val="24"/>
          <w:lang w:val="pl-PL"/>
        </w:rPr>
        <w:t>pobyt skarżących w strefie tranzytowej stał się niedobrowolny z punktu widzenia art. 5</w:t>
      </w:r>
      <w:r>
        <w:rPr>
          <w:rFonts w:asciiTheme="minorHAnsi" w:hAnsiTheme="minorHAnsi"/>
          <w:sz w:val="24"/>
          <w:lang w:val="pl-PL"/>
        </w:rPr>
        <w:t xml:space="preserve"> Konwencji</w:t>
      </w:r>
      <w:r w:rsidRPr="00B15C52">
        <w:rPr>
          <w:rFonts w:asciiTheme="minorHAnsi" w:hAnsiTheme="minorHAnsi"/>
          <w:sz w:val="24"/>
          <w:lang w:val="pl-PL"/>
        </w:rPr>
        <w:t>, i w rezultacie nie mogły same w</w:t>
      </w:r>
      <w:r w:rsidR="00206CCE">
        <w:rPr>
          <w:rFonts w:asciiTheme="minorHAnsi" w:hAnsiTheme="minorHAnsi"/>
          <w:sz w:val="24"/>
          <w:lang w:val="pl-PL"/>
        </w:rPr>
        <w:t> </w:t>
      </w:r>
      <w:r w:rsidRPr="00B15C52">
        <w:rPr>
          <w:rFonts w:asciiTheme="minorHAnsi" w:hAnsiTheme="minorHAnsi"/>
          <w:sz w:val="24"/>
          <w:lang w:val="pl-PL"/>
        </w:rPr>
        <w:t xml:space="preserve">sobie wywołać zastosowania tego postanowienia. </w:t>
      </w:r>
    </w:p>
    <w:p w14:paraId="328A3ACA" w14:textId="77777777" w:rsidR="00950534" w:rsidRDefault="00950534" w:rsidP="00950534">
      <w:pPr>
        <w:pStyle w:val="ClinContent"/>
        <w:widowControl w:val="0"/>
        <w:spacing w:before="0"/>
        <w:rPr>
          <w:rFonts w:asciiTheme="minorHAnsi" w:hAnsiTheme="minorHAnsi"/>
          <w:sz w:val="24"/>
          <w:lang w:val="pl-PL"/>
        </w:rPr>
      </w:pPr>
    </w:p>
    <w:p w14:paraId="7BFE2C7F" w14:textId="158FD74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 związku z tym Trybunał uznał, piętnastoma głosami do dwóch, że zarzuty skargi na</w:t>
      </w:r>
      <w:r w:rsidR="00206CCE">
        <w:rPr>
          <w:rFonts w:asciiTheme="minorHAnsi" w:hAnsiTheme="minorHAnsi"/>
          <w:sz w:val="24"/>
          <w:lang w:val="pl-PL"/>
        </w:rPr>
        <w:t> </w:t>
      </w:r>
      <w:r>
        <w:rPr>
          <w:rFonts w:asciiTheme="minorHAnsi" w:hAnsiTheme="minorHAnsi"/>
          <w:sz w:val="24"/>
          <w:lang w:val="pl-PL"/>
        </w:rPr>
        <w:t xml:space="preserve">podstawie art. 5 ust. 1 i 4 są niezgodne </w:t>
      </w:r>
      <w:r>
        <w:rPr>
          <w:rFonts w:asciiTheme="minorHAnsi" w:hAnsiTheme="minorHAnsi"/>
          <w:i/>
          <w:sz w:val="24"/>
          <w:lang w:val="pl-PL"/>
        </w:rPr>
        <w:t xml:space="preserve">ratione materiae </w:t>
      </w:r>
      <w:r>
        <w:rPr>
          <w:rFonts w:asciiTheme="minorHAnsi" w:hAnsiTheme="minorHAnsi"/>
          <w:sz w:val="24"/>
          <w:lang w:val="pl-PL"/>
        </w:rPr>
        <w:t>z Konwencją i jako takie niedopuszczalne</w:t>
      </w:r>
      <w:r>
        <w:rPr>
          <w:rStyle w:val="Odwoanieprzypisudolnego"/>
          <w:rFonts w:asciiTheme="minorHAnsi" w:hAnsiTheme="minorHAnsi"/>
          <w:sz w:val="24"/>
          <w:lang w:val="pl-PL"/>
        </w:rPr>
        <w:footnoteReference w:id="12"/>
      </w:r>
      <w:r>
        <w:rPr>
          <w:rFonts w:asciiTheme="minorHAnsi" w:hAnsiTheme="minorHAnsi"/>
          <w:sz w:val="24"/>
          <w:lang w:val="pl-PL"/>
        </w:rPr>
        <w:t xml:space="preserve">. </w:t>
      </w:r>
    </w:p>
    <w:p w14:paraId="60FE1186" w14:textId="77777777" w:rsidR="00950534" w:rsidRDefault="00950534" w:rsidP="00950534">
      <w:pPr>
        <w:pStyle w:val="ClinContent"/>
        <w:widowControl w:val="0"/>
        <w:spacing w:before="0"/>
        <w:rPr>
          <w:rFonts w:asciiTheme="minorHAnsi" w:hAnsiTheme="minorHAnsi"/>
          <w:sz w:val="24"/>
          <w:lang w:val="pl-PL"/>
        </w:rPr>
      </w:pPr>
    </w:p>
    <w:p w14:paraId="0DF33898"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IV. Trybunał zasądził </w:t>
      </w:r>
      <w:r w:rsidRPr="00B15C52">
        <w:rPr>
          <w:rFonts w:asciiTheme="minorHAnsi" w:hAnsiTheme="minorHAnsi"/>
          <w:sz w:val="24"/>
          <w:lang w:val="pl-PL"/>
        </w:rPr>
        <w:t>5000 euro dla każdego skarżącego tytułem szkody niemajątkowej</w:t>
      </w:r>
      <w:r>
        <w:rPr>
          <w:rFonts w:asciiTheme="minorHAnsi" w:hAnsiTheme="minorHAnsi"/>
          <w:sz w:val="24"/>
          <w:lang w:val="pl-PL"/>
        </w:rPr>
        <w:t xml:space="preserve"> wynikającej z naruszenia art. 3 Konwencji w aspekcie dotyczącym wydalenia</w:t>
      </w:r>
      <w:r w:rsidRPr="00B15C52">
        <w:rPr>
          <w:rFonts w:asciiTheme="minorHAnsi" w:hAnsiTheme="minorHAnsi"/>
          <w:sz w:val="24"/>
          <w:lang w:val="pl-PL"/>
        </w:rPr>
        <w:t xml:space="preserve">. </w:t>
      </w:r>
    </w:p>
    <w:p w14:paraId="46CEDCCF" w14:textId="77777777" w:rsidR="00950534" w:rsidRDefault="00950534" w:rsidP="00950534">
      <w:pPr>
        <w:pStyle w:val="ClinContent"/>
        <w:widowControl w:val="0"/>
        <w:spacing w:before="0"/>
        <w:rPr>
          <w:rFonts w:asciiTheme="minorHAnsi" w:hAnsiTheme="minorHAnsi" w:cs="Verdana"/>
          <w:bCs/>
          <w:sz w:val="24"/>
          <w:u w:val="single"/>
          <w:lang w:val="pl-PL"/>
        </w:rPr>
      </w:pPr>
    </w:p>
    <w:p w14:paraId="08F9D6E1" w14:textId="57C94265"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Wyrok </w:t>
      </w:r>
      <w:r>
        <w:rPr>
          <w:rFonts w:asciiTheme="minorHAnsi" w:hAnsiTheme="minorHAnsi" w:cs="Verdana"/>
          <w:bCs/>
          <w:sz w:val="24"/>
          <w:lang w:val="pl-PL"/>
        </w:rPr>
        <w:t xml:space="preserve">stanowi pierwsze rozstrzygnięcie przez Trybunał skargi dotyczącej pozbawienia wolności o charakterze </w:t>
      </w:r>
      <w:r w:rsidRPr="00446BCF">
        <w:rPr>
          <w:rFonts w:asciiTheme="minorHAnsi" w:hAnsiTheme="minorHAnsi" w:cs="Verdana"/>
          <w:bCs/>
          <w:i/>
          <w:sz w:val="24"/>
          <w:lang w:val="pl-PL"/>
        </w:rPr>
        <w:t>de facto</w:t>
      </w:r>
      <w:r>
        <w:rPr>
          <w:rFonts w:asciiTheme="minorHAnsi" w:hAnsiTheme="minorHAnsi" w:cs="Verdana"/>
          <w:bCs/>
          <w:sz w:val="24"/>
          <w:lang w:val="pl-PL"/>
        </w:rPr>
        <w:t xml:space="preserve"> w strefie tranzytowej granicy lądowej na czas rozpatrywania wniosku o dopuszczenie na terytorium kraju i przyznanie azylu. Trybunał uznał, że jeśli nie zachodzą inne szczególne okoliczności, taki pobyt nie ma charakteru niedobrowolnego, jeśli osoba może powrócić bez bezpośredniego zagrożenia życia i zdrowia do kraju, z którego przybyła, będącego stroną Konwencji genewskiej o</w:t>
      </w:r>
      <w:r w:rsidR="00206CCE">
        <w:rPr>
          <w:rFonts w:asciiTheme="minorHAnsi" w:hAnsiTheme="minorHAnsi" w:cs="Verdana"/>
          <w:bCs/>
          <w:sz w:val="24"/>
          <w:lang w:val="pl-PL"/>
        </w:rPr>
        <w:t> </w:t>
      </w:r>
      <w:r>
        <w:rPr>
          <w:rFonts w:asciiTheme="minorHAnsi" w:hAnsiTheme="minorHAnsi" w:cs="Verdana"/>
          <w:bCs/>
          <w:sz w:val="24"/>
          <w:lang w:val="pl-PL"/>
        </w:rPr>
        <w:t xml:space="preserve">statusie uchodźcy. Wyrok potwierdza także obowiązek państw zapewnienia odpowiednich warunków pobytu w strefie tranzytowej. </w:t>
      </w:r>
    </w:p>
    <w:p w14:paraId="73B53BDE" w14:textId="77777777" w:rsidR="00950534" w:rsidRDefault="00950534" w:rsidP="00950534">
      <w:pPr>
        <w:pStyle w:val="ClinContent"/>
        <w:widowControl w:val="0"/>
        <w:spacing w:before="0"/>
        <w:rPr>
          <w:rFonts w:asciiTheme="minorHAnsi" w:hAnsiTheme="minorHAnsi" w:cs="Verdana"/>
          <w:bCs/>
          <w:sz w:val="24"/>
          <w:lang w:val="pl-PL"/>
        </w:rPr>
      </w:pPr>
    </w:p>
    <w:p w14:paraId="0AC6B474" w14:textId="1B023EFF"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Wyrok wskazuje ponadto obowiązki państwa korzystającego z możliwości readmisji osoby do</w:t>
      </w:r>
      <w:r w:rsidR="00206CCE">
        <w:rPr>
          <w:rFonts w:asciiTheme="minorHAnsi" w:hAnsiTheme="minorHAnsi" w:cs="Verdana"/>
          <w:bCs/>
          <w:sz w:val="24"/>
          <w:lang w:val="pl-PL"/>
        </w:rPr>
        <w:t> </w:t>
      </w:r>
      <w:r>
        <w:rPr>
          <w:rFonts w:asciiTheme="minorHAnsi" w:hAnsiTheme="minorHAnsi" w:cs="Verdana"/>
          <w:bCs/>
          <w:sz w:val="24"/>
          <w:lang w:val="pl-PL"/>
        </w:rPr>
        <w:t xml:space="preserve">tzw. bezpiecznego państwa trzeciego bez rozpatrywania przedmiotu jej wniosku o azyl. Konieczne jest zbadanie, czy osoba ta będzie miała w tym państwie trzecim skuteczny dostęp do procedur azylowych i ochrony przed </w:t>
      </w:r>
      <w:r>
        <w:rPr>
          <w:rFonts w:asciiTheme="minorHAnsi" w:hAnsiTheme="minorHAnsi" w:cs="Verdana"/>
          <w:bCs/>
          <w:i/>
          <w:sz w:val="24"/>
          <w:lang w:val="pl-PL"/>
        </w:rPr>
        <w:t xml:space="preserve">refoulement, </w:t>
      </w:r>
      <w:r w:rsidRPr="00E657CC">
        <w:rPr>
          <w:rFonts w:asciiTheme="minorHAnsi" w:hAnsiTheme="minorHAnsi" w:cs="Verdana"/>
          <w:bCs/>
          <w:sz w:val="24"/>
          <w:lang w:val="pl-PL"/>
        </w:rPr>
        <w:t xml:space="preserve">tj. przed wydaleniem bezpośrednio lub pośrednio do państwa, w którym osoba </w:t>
      </w:r>
      <w:r>
        <w:rPr>
          <w:rFonts w:asciiTheme="minorHAnsi" w:hAnsiTheme="minorHAnsi" w:cs="Verdana"/>
          <w:bCs/>
          <w:sz w:val="24"/>
          <w:lang w:val="pl-PL"/>
        </w:rPr>
        <w:t>byłaby</w:t>
      </w:r>
      <w:r w:rsidRPr="00E657CC">
        <w:rPr>
          <w:rFonts w:asciiTheme="minorHAnsi" w:hAnsiTheme="minorHAnsi" w:cs="Verdana"/>
          <w:bCs/>
          <w:sz w:val="24"/>
          <w:lang w:val="pl-PL"/>
        </w:rPr>
        <w:t xml:space="preserve"> zagrożona traktowaniem sprzecznym z art. 3 Konwencji</w:t>
      </w:r>
      <w:r>
        <w:rPr>
          <w:rFonts w:asciiTheme="minorHAnsi" w:hAnsiTheme="minorHAnsi" w:cs="Verdana"/>
          <w:bCs/>
          <w:sz w:val="24"/>
          <w:lang w:val="pl-PL"/>
        </w:rPr>
        <w:t xml:space="preserve"> (przy czym ochrona przed refoulement powinna też obejmować ochronę przed wydaleniem do państwa, w którym warunki pobytu osób ubiegających się o azyl są sprzeczne z art. 3)</w:t>
      </w:r>
      <w:r>
        <w:rPr>
          <w:rFonts w:asciiTheme="minorHAnsi" w:hAnsiTheme="minorHAnsi" w:cs="Verdana"/>
          <w:bCs/>
          <w:i/>
          <w:sz w:val="24"/>
          <w:lang w:val="pl-PL"/>
        </w:rPr>
        <w:t xml:space="preserve">. </w:t>
      </w:r>
      <w:r w:rsidRPr="00E657CC">
        <w:rPr>
          <w:rFonts w:asciiTheme="minorHAnsi" w:hAnsiTheme="minorHAnsi" w:cs="Verdana"/>
          <w:bCs/>
          <w:sz w:val="24"/>
          <w:lang w:val="pl-PL"/>
        </w:rPr>
        <w:t>Jeśli</w:t>
      </w:r>
      <w:r>
        <w:rPr>
          <w:rFonts w:asciiTheme="minorHAnsi" w:hAnsiTheme="minorHAnsi" w:cs="Verdana"/>
          <w:bCs/>
          <w:sz w:val="24"/>
          <w:lang w:val="pl-PL"/>
        </w:rPr>
        <w:t xml:space="preserve"> dane </w:t>
      </w:r>
      <w:r w:rsidRPr="00E657CC">
        <w:rPr>
          <w:rFonts w:asciiTheme="minorHAnsi" w:hAnsiTheme="minorHAnsi" w:cs="Verdana"/>
          <w:bCs/>
          <w:sz w:val="24"/>
          <w:lang w:val="pl-PL"/>
        </w:rPr>
        <w:t>państwo nie rozpatruje przedmiotu wniosku o azyl, a zatem nie wie, czy</w:t>
      </w:r>
      <w:r w:rsidR="00206CCE">
        <w:rPr>
          <w:rFonts w:asciiTheme="minorHAnsi" w:hAnsiTheme="minorHAnsi" w:cs="Verdana"/>
          <w:bCs/>
          <w:sz w:val="24"/>
          <w:lang w:val="pl-PL"/>
        </w:rPr>
        <w:t> </w:t>
      </w:r>
      <w:r>
        <w:rPr>
          <w:rFonts w:asciiTheme="minorHAnsi" w:hAnsiTheme="minorHAnsi" w:cs="Verdana"/>
          <w:bCs/>
          <w:sz w:val="24"/>
          <w:lang w:val="pl-PL"/>
        </w:rPr>
        <w:t xml:space="preserve">dana </w:t>
      </w:r>
      <w:r w:rsidRPr="00E657CC">
        <w:rPr>
          <w:rFonts w:asciiTheme="minorHAnsi" w:hAnsiTheme="minorHAnsi" w:cs="Verdana"/>
          <w:bCs/>
          <w:sz w:val="24"/>
          <w:lang w:val="pl-PL"/>
        </w:rPr>
        <w:t>osoba jest uchodźcą, czy też zwykłym migrantem, ma obowiązek zbadania we</w:t>
      </w:r>
      <w:r w:rsidR="00206CCE">
        <w:rPr>
          <w:rFonts w:asciiTheme="minorHAnsi" w:hAnsiTheme="minorHAnsi" w:cs="Verdana"/>
          <w:bCs/>
          <w:sz w:val="24"/>
          <w:lang w:val="pl-PL"/>
        </w:rPr>
        <w:t> </w:t>
      </w:r>
      <w:r w:rsidRPr="00E657CC">
        <w:rPr>
          <w:rFonts w:asciiTheme="minorHAnsi" w:hAnsiTheme="minorHAnsi" w:cs="Verdana"/>
          <w:bCs/>
          <w:sz w:val="24"/>
          <w:lang w:val="pl-PL"/>
        </w:rPr>
        <w:t xml:space="preserve">wszystkich przypadkach, czy państwo trzecie (w tym inne państwo UE lub inne państwo </w:t>
      </w:r>
      <w:r w:rsidRPr="00E657CC">
        <w:rPr>
          <w:rFonts w:asciiTheme="minorHAnsi" w:hAnsiTheme="minorHAnsi" w:cs="Verdana"/>
          <w:bCs/>
          <w:sz w:val="24"/>
          <w:lang w:val="pl-PL"/>
        </w:rPr>
        <w:lastRenderedPageBreak/>
        <w:t xml:space="preserve">strona Konwencji) zapewni </w:t>
      </w:r>
      <w:r>
        <w:rPr>
          <w:rFonts w:asciiTheme="minorHAnsi" w:hAnsiTheme="minorHAnsi" w:cs="Verdana"/>
          <w:bCs/>
          <w:sz w:val="24"/>
          <w:lang w:val="pl-PL"/>
        </w:rPr>
        <w:t xml:space="preserve">danej osobie </w:t>
      </w:r>
      <w:r w:rsidRPr="00E657CC">
        <w:rPr>
          <w:rFonts w:asciiTheme="minorHAnsi" w:hAnsiTheme="minorHAnsi" w:cs="Verdana"/>
          <w:bCs/>
          <w:sz w:val="24"/>
          <w:lang w:val="pl-PL"/>
        </w:rPr>
        <w:t>odpowiednie gwarancje rozpatrzenia wniosku azylowego i ochronę przed refoulement.</w:t>
      </w:r>
      <w:r w:rsidRPr="00E657CC">
        <w:rPr>
          <w:rFonts w:asciiTheme="minorHAnsi" w:hAnsiTheme="minorHAnsi" w:cs="Verdana"/>
          <w:bCs/>
          <w:i/>
          <w:sz w:val="24"/>
          <w:lang w:val="pl-PL"/>
        </w:rPr>
        <w:t xml:space="preserve"> </w:t>
      </w:r>
      <w:r>
        <w:rPr>
          <w:rFonts w:asciiTheme="minorHAnsi" w:hAnsiTheme="minorHAnsi" w:cs="Verdana"/>
          <w:bCs/>
          <w:sz w:val="24"/>
          <w:lang w:val="pl-PL"/>
        </w:rPr>
        <w:t xml:space="preserve">Domniemanie, że państwo trzecie jest bezpieczne, nie może być stosowane w sposób automatyczny. </w:t>
      </w:r>
      <w:r w:rsidRPr="00E657CC">
        <w:rPr>
          <w:rFonts w:asciiTheme="minorHAnsi" w:hAnsiTheme="minorHAnsi" w:cs="Verdana"/>
          <w:bCs/>
          <w:sz w:val="24"/>
          <w:lang w:val="pl-PL"/>
        </w:rPr>
        <w:t>Państwo wydalające ma obowiązek wzięcia pod uwagę z urzędu dostępnych informacji ogólnych na temat państwa trzeciego i</w:t>
      </w:r>
      <w:r w:rsidR="00206CCE">
        <w:rPr>
          <w:rFonts w:asciiTheme="minorHAnsi" w:hAnsiTheme="minorHAnsi" w:cs="Verdana"/>
          <w:bCs/>
          <w:sz w:val="24"/>
          <w:lang w:val="pl-PL"/>
        </w:rPr>
        <w:t> </w:t>
      </w:r>
      <w:r w:rsidRPr="00E657CC">
        <w:rPr>
          <w:rFonts w:asciiTheme="minorHAnsi" w:hAnsiTheme="minorHAnsi" w:cs="Verdana"/>
          <w:bCs/>
          <w:sz w:val="24"/>
          <w:lang w:val="pl-PL"/>
        </w:rPr>
        <w:t xml:space="preserve">jego systemu azylowego, a także dania wnioskodawcom wystarczających możliwości wykazania, że dane państwo trzecie nie jest państwem bezpiecznym w ich przypadku. </w:t>
      </w:r>
    </w:p>
    <w:p w14:paraId="040582E9" w14:textId="77777777" w:rsidR="00950534" w:rsidRDefault="00950534" w:rsidP="00950534">
      <w:pPr>
        <w:pStyle w:val="ClinContent"/>
        <w:widowControl w:val="0"/>
        <w:spacing w:before="0"/>
        <w:rPr>
          <w:rFonts w:asciiTheme="minorHAnsi" w:hAnsiTheme="minorHAnsi" w:cs="Verdana"/>
          <w:bCs/>
          <w:sz w:val="24"/>
          <w:lang w:val="pl-PL"/>
        </w:rPr>
      </w:pPr>
    </w:p>
    <w:p w14:paraId="627BE408"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Wyrok może mieć w szczególności znaczenie dla Straży Granicznej, Urzędu do spraw Cudzoziemców, Rady do Spraw Uchodźców, sądów administracyjnych, Ministerstwa Spraw Wewnętrznych i Administracji, organizacji pozarządowych oraz adwokatów i radców prawnych zajmujących się udzielaniem opieki lub pomocy prawnej osobom ubiegającym się o azyl.</w:t>
      </w:r>
    </w:p>
    <w:p w14:paraId="45E7FA5F" w14:textId="77777777" w:rsidR="00950534" w:rsidRDefault="00950534" w:rsidP="00950534">
      <w:pPr>
        <w:pStyle w:val="ClinContent"/>
        <w:widowControl w:val="0"/>
        <w:spacing w:before="0"/>
        <w:rPr>
          <w:rFonts w:asciiTheme="minorHAnsi" w:hAnsiTheme="minorHAnsi" w:cs="Verdana"/>
          <w:bCs/>
          <w:sz w:val="24"/>
          <w:lang w:val="pl-PL"/>
        </w:rPr>
      </w:pPr>
    </w:p>
    <w:p w14:paraId="6F7CE4D4" w14:textId="77777777" w:rsidR="00950534" w:rsidRDefault="00950534" w:rsidP="00950534">
      <w:pPr>
        <w:pStyle w:val="ClinContent"/>
        <w:widowControl w:val="0"/>
        <w:spacing w:before="0"/>
        <w:rPr>
          <w:rFonts w:asciiTheme="minorHAnsi" w:hAnsiTheme="minorHAnsi" w:cs="Verdana"/>
          <w:bCs/>
          <w:sz w:val="24"/>
          <w:lang w:val="pl-PL"/>
        </w:rPr>
      </w:pPr>
    </w:p>
    <w:p w14:paraId="25637C73" w14:textId="2B8CA66C"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10" w:name="_Toc35632473"/>
      <w:r w:rsidRPr="006466E9">
        <w:rPr>
          <w:rFonts w:asciiTheme="minorHAnsi" w:hAnsiTheme="minorHAnsi"/>
          <w:i/>
          <w:color w:val="auto"/>
          <w:sz w:val="24"/>
          <w:szCs w:val="24"/>
        </w:rPr>
        <w:t>J.D. i A p. Zjednoczonemu Królestwu</w:t>
      </w:r>
      <w:r w:rsidRPr="006466E9">
        <w:rPr>
          <w:rFonts w:asciiTheme="minorHAnsi" w:hAnsiTheme="minorHAnsi"/>
          <w:color w:val="auto"/>
          <w:sz w:val="24"/>
          <w:szCs w:val="24"/>
        </w:rPr>
        <w:t>, skargi nr 32949/17 i 34614/17, wyrok Izby z</w:t>
      </w:r>
      <w:r w:rsidR="00206CCE">
        <w:rPr>
          <w:rFonts w:asciiTheme="minorHAnsi" w:hAnsiTheme="minorHAnsi"/>
          <w:color w:val="auto"/>
          <w:sz w:val="24"/>
          <w:szCs w:val="24"/>
        </w:rPr>
        <w:t> </w:t>
      </w:r>
      <w:r w:rsidRPr="006466E9">
        <w:rPr>
          <w:rFonts w:asciiTheme="minorHAnsi" w:hAnsiTheme="minorHAnsi"/>
          <w:color w:val="auto"/>
          <w:sz w:val="24"/>
          <w:szCs w:val="24"/>
        </w:rPr>
        <w:t>24.10.2019 r.</w:t>
      </w:r>
      <w:bookmarkEnd w:id="10"/>
      <w:r>
        <w:rPr>
          <w:rFonts w:asciiTheme="minorHAnsi" w:hAnsiTheme="minorHAnsi"/>
          <w:color w:val="auto"/>
          <w:sz w:val="24"/>
          <w:szCs w:val="24"/>
        </w:rPr>
        <w:t xml:space="preserve"> </w:t>
      </w:r>
    </w:p>
    <w:p w14:paraId="74A9FCC0" w14:textId="5CD80889"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brak naruszenia art. 14 (zakaz dyskryminacji) w związku z art. 1 Protokołu nr 1 do</w:t>
      </w:r>
      <w:r w:rsidR="00206CCE">
        <w:rPr>
          <w:b/>
          <w:iCs/>
          <w:color w:val="000000" w:themeColor="text1"/>
          <w:sz w:val="24"/>
          <w:szCs w:val="24"/>
          <w:lang w:val="pl-PL"/>
        </w:rPr>
        <w:t> </w:t>
      </w:r>
      <w:r>
        <w:rPr>
          <w:b/>
          <w:iCs/>
          <w:color w:val="000000" w:themeColor="text1"/>
          <w:sz w:val="24"/>
          <w:szCs w:val="24"/>
          <w:lang w:val="pl-PL"/>
        </w:rPr>
        <w:t>Konwencji (ochrona własności) w odniesieniu do b</w:t>
      </w:r>
      <w:r w:rsidRPr="006466E9">
        <w:rPr>
          <w:b/>
          <w:iCs/>
          <w:color w:val="000000" w:themeColor="text1"/>
          <w:sz w:val="24"/>
          <w:szCs w:val="24"/>
          <w:lang w:val="pl-PL"/>
        </w:rPr>
        <w:t>rak</w:t>
      </w:r>
      <w:r>
        <w:rPr>
          <w:b/>
          <w:iCs/>
          <w:color w:val="000000" w:themeColor="text1"/>
          <w:sz w:val="24"/>
          <w:szCs w:val="24"/>
          <w:lang w:val="pl-PL"/>
        </w:rPr>
        <w:t>u</w:t>
      </w:r>
      <w:r w:rsidRPr="006466E9">
        <w:rPr>
          <w:b/>
          <w:iCs/>
          <w:color w:val="000000" w:themeColor="text1"/>
          <w:sz w:val="24"/>
          <w:szCs w:val="24"/>
          <w:lang w:val="pl-PL"/>
        </w:rPr>
        <w:t xml:space="preserve"> różnicy w traktowaniu na</w:t>
      </w:r>
      <w:r w:rsidR="00206CCE">
        <w:rPr>
          <w:b/>
          <w:iCs/>
          <w:color w:val="000000" w:themeColor="text1"/>
          <w:sz w:val="24"/>
          <w:szCs w:val="24"/>
          <w:lang w:val="pl-PL"/>
        </w:rPr>
        <w:t> </w:t>
      </w:r>
      <w:r w:rsidRPr="006466E9">
        <w:rPr>
          <w:b/>
          <w:iCs/>
          <w:color w:val="000000" w:themeColor="text1"/>
          <w:sz w:val="24"/>
          <w:szCs w:val="24"/>
          <w:lang w:val="pl-PL"/>
        </w:rPr>
        <w:t>korzyść najemc</w:t>
      </w:r>
      <w:r>
        <w:rPr>
          <w:b/>
          <w:iCs/>
          <w:color w:val="000000" w:themeColor="text1"/>
          <w:sz w:val="24"/>
          <w:szCs w:val="24"/>
          <w:lang w:val="pl-PL"/>
        </w:rPr>
        <w:t>y lokalu</w:t>
      </w:r>
      <w:r w:rsidRPr="006466E9">
        <w:rPr>
          <w:b/>
          <w:iCs/>
          <w:color w:val="000000" w:themeColor="text1"/>
          <w:sz w:val="24"/>
          <w:szCs w:val="24"/>
          <w:lang w:val="pl-PL"/>
        </w:rPr>
        <w:t xml:space="preserve"> socjal</w:t>
      </w:r>
      <w:r>
        <w:rPr>
          <w:b/>
          <w:iCs/>
          <w:color w:val="000000" w:themeColor="text1"/>
          <w:sz w:val="24"/>
          <w:szCs w:val="24"/>
          <w:lang w:val="pl-PL"/>
        </w:rPr>
        <w:t>nego</w:t>
      </w:r>
      <w:r w:rsidRPr="006466E9">
        <w:rPr>
          <w:b/>
          <w:iCs/>
          <w:color w:val="000000" w:themeColor="text1"/>
          <w:sz w:val="24"/>
          <w:szCs w:val="24"/>
          <w:lang w:val="pl-PL"/>
        </w:rPr>
        <w:t xml:space="preserve"> </w:t>
      </w:r>
      <w:r>
        <w:rPr>
          <w:b/>
          <w:iCs/>
          <w:color w:val="000000" w:themeColor="text1"/>
          <w:sz w:val="24"/>
          <w:szCs w:val="24"/>
          <w:lang w:val="pl-PL"/>
        </w:rPr>
        <w:t xml:space="preserve">będącego osobą niepełnosprawną </w:t>
      </w:r>
      <w:r w:rsidRPr="006466E9">
        <w:rPr>
          <w:b/>
          <w:iCs/>
          <w:color w:val="000000" w:themeColor="text1"/>
          <w:sz w:val="24"/>
          <w:szCs w:val="24"/>
          <w:lang w:val="pl-PL"/>
        </w:rPr>
        <w:t>przy stosowaniu zmienionego systemu świadczeń mieszkaniowych</w:t>
      </w:r>
      <w:r>
        <w:rPr>
          <w:b/>
          <w:iCs/>
          <w:color w:val="000000" w:themeColor="text1"/>
          <w:sz w:val="24"/>
          <w:szCs w:val="24"/>
          <w:lang w:val="pl-PL"/>
        </w:rPr>
        <w:t xml:space="preserve"> </w:t>
      </w:r>
    </w:p>
    <w:p w14:paraId="38523BB3" w14:textId="3E1D7F93"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265F92">
        <w:rPr>
          <w:b/>
          <w:iCs/>
          <w:color w:val="000000" w:themeColor="text1"/>
          <w:sz w:val="24"/>
          <w:szCs w:val="24"/>
          <w:lang w:val="pl-PL"/>
        </w:rPr>
        <w:t>naruszenie art. 14 (zakaz dyskryminacji) w związku z art. 1 Protokołu nr 1 do</w:t>
      </w:r>
      <w:r w:rsidR="00206CCE">
        <w:rPr>
          <w:b/>
          <w:iCs/>
          <w:color w:val="000000" w:themeColor="text1"/>
          <w:sz w:val="24"/>
          <w:szCs w:val="24"/>
          <w:lang w:val="pl-PL"/>
        </w:rPr>
        <w:t> </w:t>
      </w:r>
      <w:r w:rsidRPr="00265F92">
        <w:rPr>
          <w:b/>
          <w:iCs/>
          <w:color w:val="000000" w:themeColor="text1"/>
          <w:sz w:val="24"/>
          <w:szCs w:val="24"/>
          <w:lang w:val="pl-PL"/>
        </w:rPr>
        <w:t>Konwencji (ochrona własności) w odniesieniu do braku różnicy w traktowaniu na</w:t>
      </w:r>
      <w:r w:rsidR="00206CCE">
        <w:rPr>
          <w:b/>
          <w:iCs/>
          <w:color w:val="000000" w:themeColor="text1"/>
          <w:sz w:val="24"/>
          <w:szCs w:val="24"/>
          <w:lang w:val="pl-PL"/>
        </w:rPr>
        <w:t> </w:t>
      </w:r>
      <w:r w:rsidRPr="00265F92">
        <w:rPr>
          <w:b/>
          <w:iCs/>
          <w:color w:val="000000" w:themeColor="text1"/>
          <w:sz w:val="24"/>
          <w:szCs w:val="24"/>
          <w:lang w:val="pl-PL"/>
        </w:rPr>
        <w:t xml:space="preserve">korzyść najemcy lokalu socjalnego </w:t>
      </w:r>
      <w:r>
        <w:rPr>
          <w:b/>
          <w:iCs/>
          <w:color w:val="000000" w:themeColor="text1"/>
          <w:sz w:val="24"/>
          <w:szCs w:val="24"/>
          <w:lang w:val="pl-PL"/>
        </w:rPr>
        <w:t>będącego</w:t>
      </w:r>
      <w:r w:rsidRPr="00265F92">
        <w:rPr>
          <w:b/>
          <w:iCs/>
          <w:color w:val="000000" w:themeColor="text1"/>
          <w:sz w:val="24"/>
          <w:szCs w:val="24"/>
          <w:lang w:val="pl-PL"/>
        </w:rPr>
        <w:t xml:space="preserve"> ofiarą poważnej przemocy domowej przy stosowaniu zmienionego systemu świadczeń mieszkaniowych </w:t>
      </w:r>
    </w:p>
    <w:p w14:paraId="45C915DF" w14:textId="77777777" w:rsidR="00950534" w:rsidRPr="00A80201" w:rsidRDefault="00950534" w:rsidP="00950534">
      <w:pPr>
        <w:pStyle w:val="ClinContent"/>
        <w:widowControl w:val="0"/>
        <w:spacing w:before="0"/>
        <w:rPr>
          <w:rFonts w:asciiTheme="minorHAnsi" w:hAnsiTheme="minorHAnsi"/>
          <w:sz w:val="24"/>
          <w:lang w:val="pl-PL"/>
        </w:rPr>
      </w:pPr>
    </w:p>
    <w:p w14:paraId="4E58EFAA" w14:textId="70643815" w:rsidR="00950534" w:rsidRDefault="00950534" w:rsidP="00950534">
      <w:pPr>
        <w:pStyle w:val="ClinContent"/>
        <w:widowControl w:val="0"/>
        <w:spacing w:before="0"/>
        <w:rPr>
          <w:rFonts w:asciiTheme="minorHAnsi" w:hAnsiTheme="minorHAnsi"/>
          <w:sz w:val="24"/>
          <w:lang w:val="pl-PL"/>
        </w:rPr>
      </w:pPr>
      <w:r w:rsidRPr="00D913E7">
        <w:rPr>
          <w:rFonts w:asciiTheme="minorHAnsi" w:hAnsiTheme="minorHAnsi"/>
          <w:sz w:val="24"/>
          <w:lang w:val="pl-PL"/>
        </w:rPr>
        <w:t>Obie skarżące były najemcami lokali socjalnych. Po zmianie</w:t>
      </w:r>
      <w:r>
        <w:rPr>
          <w:rFonts w:asciiTheme="minorHAnsi" w:hAnsiTheme="minorHAnsi"/>
          <w:sz w:val="24"/>
          <w:lang w:val="pl-PL"/>
        </w:rPr>
        <w:t xml:space="preserve"> ustawy</w:t>
      </w:r>
      <w:r w:rsidRPr="00D913E7">
        <w:rPr>
          <w:rFonts w:asciiTheme="minorHAnsi" w:hAnsiTheme="minorHAnsi"/>
          <w:sz w:val="24"/>
          <w:lang w:val="pl-PL"/>
        </w:rPr>
        <w:t xml:space="preserve"> świadczenia mieszkaniowe – mając</w:t>
      </w:r>
      <w:r>
        <w:rPr>
          <w:rFonts w:asciiTheme="minorHAnsi" w:hAnsiTheme="minorHAnsi"/>
          <w:sz w:val="24"/>
          <w:lang w:val="pl-PL"/>
        </w:rPr>
        <w:t>e</w:t>
      </w:r>
      <w:r w:rsidRPr="00D913E7">
        <w:rPr>
          <w:rFonts w:asciiTheme="minorHAnsi" w:hAnsiTheme="minorHAnsi"/>
          <w:sz w:val="24"/>
          <w:lang w:val="pl-PL"/>
        </w:rPr>
        <w:t xml:space="preserve"> na celu dofinansowanie kosztów najmu, do których obie skarżące były uprzednio uprawnione – zostały obniżone, gdyż na podstawie </w:t>
      </w:r>
      <w:r>
        <w:rPr>
          <w:rFonts w:asciiTheme="minorHAnsi" w:hAnsiTheme="minorHAnsi"/>
          <w:sz w:val="24"/>
          <w:lang w:val="pl-PL"/>
        </w:rPr>
        <w:t xml:space="preserve">nowych zasad </w:t>
      </w:r>
      <w:r w:rsidRPr="00D913E7">
        <w:rPr>
          <w:rFonts w:asciiTheme="minorHAnsi" w:hAnsiTheme="minorHAnsi"/>
          <w:sz w:val="24"/>
          <w:lang w:val="pl-PL"/>
        </w:rPr>
        <w:t>uznano, że</w:t>
      </w:r>
      <w:r w:rsidR="00206CCE">
        <w:rPr>
          <w:rFonts w:asciiTheme="minorHAnsi" w:hAnsiTheme="minorHAnsi"/>
          <w:sz w:val="24"/>
          <w:lang w:val="pl-PL"/>
        </w:rPr>
        <w:t> </w:t>
      </w:r>
      <w:r w:rsidRPr="00D913E7">
        <w:rPr>
          <w:rFonts w:asciiTheme="minorHAnsi" w:hAnsiTheme="minorHAnsi"/>
          <w:sz w:val="24"/>
          <w:lang w:val="pl-PL"/>
        </w:rPr>
        <w:t xml:space="preserve">ich mieszkania zawierają nadmiarową sypialnię. Większa część różnicy między kwotą ich czynszu a obniżoną stawką świadczenia mieszkaniowego została zastąpiona przez dopłaty oparte na uznaniowym systemie świadczeń mieszkaniowych, o które musiały występować. </w:t>
      </w:r>
    </w:p>
    <w:p w14:paraId="44EF3CED" w14:textId="77777777" w:rsidR="00950534" w:rsidRDefault="00950534" w:rsidP="00950534">
      <w:pPr>
        <w:pStyle w:val="ClinContent"/>
        <w:widowControl w:val="0"/>
        <w:spacing w:before="0"/>
        <w:rPr>
          <w:rFonts w:asciiTheme="minorHAnsi" w:hAnsiTheme="minorHAnsi"/>
          <w:sz w:val="24"/>
          <w:lang w:val="pl-PL"/>
        </w:rPr>
      </w:pPr>
    </w:p>
    <w:p w14:paraId="290126B7" w14:textId="32E7791C" w:rsidR="00950534" w:rsidRDefault="00950534" w:rsidP="00950534">
      <w:pPr>
        <w:pStyle w:val="ClinContent"/>
        <w:widowControl w:val="0"/>
        <w:spacing w:before="0"/>
        <w:rPr>
          <w:rFonts w:asciiTheme="minorHAnsi" w:hAnsiTheme="minorHAnsi"/>
          <w:sz w:val="24"/>
          <w:lang w:val="pl-PL"/>
        </w:rPr>
      </w:pPr>
      <w:r w:rsidRPr="00D913E7">
        <w:rPr>
          <w:rFonts w:asciiTheme="minorHAnsi" w:hAnsiTheme="minorHAnsi"/>
          <w:sz w:val="24"/>
          <w:lang w:val="pl-PL"/>
        </w:rPr>
        <w:t xml:space="preserve">Pierwsza skarżąca opiekowała się swym niepełnosprawnym dzieckiem w pełnym wymiarze czasu, druga zaś skarżąca została włączona do „programu </w:t>
      </w:r>
      <w:r>
        <w:rPr>
          <w:rFonts w:asciiTheme="minorHAnsi" w:hAnsiTheme="minorHAnsi"/>
          <w:sz w:val="24"/>
          <w:lang w:val="pl-PL"/>
        </w:rPr>
        <w:t xml:space="preserve">bezpieczne </w:t>
      </w:r>
      <w:r w:rsidRPr="00D913E7">
        <w:rPr>
          <w:rFonts w:asciiTheme="minorHAnsi" w:hAnsiTheme="minorHAnsi"/>
          <w:sz w:val="24"/>
          <w:lang w:val="pl-PL"/>
        </w:rPr>
        <w:t>schronieni</w:t>
      </w:r>
      <w:r>
        <w:rPr>
          <w:rFonts w:asciiTheme="minorHAnsi" w:hAnsiTheme="minorHAnsi"/>
          <w:sz w:val="24"/>
          <w:lang w:val="pl-PL"/>
        </w:rPr>
        <w:t>e</w:t>
      </w:r>
      <w:r w:rsidRPr="00D913E7">
        <w:rPr>
          <w:rFonts w:asciiTheme="minorHAnsi" w:hAnsiTheme="minorHAnsi"/>
          <w:sz w:val="24"/>
          <w:lang w:val="pl-PL"/>
        </w:rPr>
        <w:t>”, który</w:t>
      </w:r>
      <w:r w:rsidR="00206CCE">
        <w:rPr>
          <w:rFonts w:asciiTheme="minorHAnsi" w:hAnsiTheme="minorHAnsi"/>
          <w:sz w:val="24"/>
          <w:lang w:val="pl-PL"/>
        </w:rPr>
        <w:t> </w:t>
      </w:r>
      <w:r w:rsidRPr="00D913E7">
        <w:rPr>
          <w:rFonts w:asciiTheme="minorHAnsi" w:hAnsiTheme="minorHAnsi"/>
          <w:sz w:val="24"/>
          <w:lang w:val="pl-PL"/>
        </w:rPr>
        <w:t>miał na celu ochronę osób</w:t>
      </w:r>
      <w:r>
        <w:rPr>
          <w:rFonts w:asciiTheme="minorHAnsi" w:hAnsiTheme="minorHAnsi"/>
          <w:sz w:val="24"/>
          <w:lang w:val="pl-PL"/>
        </w:rPr>
        <w:t xml:space="preserve"> dotkniętych poważną przemocą domową</w:t>
      </w:r>
      <w:r w:rsidRPr="00D913E7">
        <w:rPr>
          <w:rFonts w:asciiTheme="minorHAnsi" w:hAnsiTheme="minorHAnsi"/>
          <w:sz w:val="24"/>
          <w:lang w:val="pl-PL"/>
        </w:rPr>
        <w:t xml:space="preserve"> i </w:t>
      </w:r>
      <w:r>
        <w:rPr>
          <w:rFonts w:asciiTheme="minorHAnsi" w:hAnsiTheme="minorHAnsi"/>
          <w:sz w:val="24"/>
          <w:lang w:val="pl-PL"/>
        </w:rPr>
        <w:t>nią zagrożonych</w:t>
      </w:r>
      <w:r w:rsidRPr="00D913E7">
        <w:rPr>
          <w:rFonts w:asciiTheme="minorHAnsi" w:hAnsiTheme="minorHAnsi"/>
          <w:sz w:val="24"/>
          <w:lang w:val="pl-PL"/>
        </w:rPr>
        <w:t>. Twierdziły</w:t>
      </w:r>
      <w:r>
        <w:rPr>
          <w:rFonts w:asciiTheme="minorHAnsi" w:hAnsiTheme="minorHAnsi"/>
          <w:sz w:val="24"/>
          <w:lang w:val="pl-PL"/>
        </w:rPr>
        <w:t xml:space="preserve"> one przed Trybunałem</w:t>
      </w:r>
      <w:r w:rsidRPr="00D913E7">
        <w:rPr>
          <w:rFonts w:asciiTheme="minorHAnsi" w:hAnsiTheme="minorHAnsi"/>
          <w:sz w:val="24"/>
          <w:lang w:val="pl-PL"/>
        </w:rPr>
        <w:t>, że z powodu ich osobistych okoliczności zmiany te</w:t>
      </w:r>
      <w:r w:rsidR="00206CCE">
        <w:rPr>
          <w:rFonts w:asciiTheme="minorHAnsi" w:hAnsiTheme="minorHAnsi"/>
          <w:sz w:val="24"/>
          <w:lang w:val="pl-PL"/>
        </w:rPr>
        <w:t> </w:t>
      </w:r>
      <w:r w:rsidRPr="00D913E7">
        <w:rPr>
          <w:rFonts w:asciiTheme="minorHAnsi" w:hAnsiTheme="minorHAnsi"/>
          <w:sz w:val="24"/>
          <w:lang w:val="pl-PL"/>
        </w:rPr>
        <w:t xml:space="preserve">postawiły je w </w:t>
      </w:r>
      <w:r>
        <w:rPr>
          <w:rFonts w:asciiTheme="minorHAnsi" w:hAnsiTheme="minorHAnsi"/>
          <w:sz w:val="24"/>
          <w:lang w:val="pl-PL"/>
        </w:rPr>
        <w:t xml:space="preserve">trudniejszej </w:t>
      </w:r>
      <w:r w:rsidRPr="00D913E7">
        <w:rPr>
          <w:rFonts w:asciiTheme="minorHAnsi" w:hAnsiTheme="minorHAnsi"/>
          <w:sz w:val="24"/>
          <w:lang w:val="pl-PL"/>
        </w:rPr>
        <w:t>sytuacji niż inne osoby dotknięte obniżeniem świadczeń.</w:t>
      </w:r>
    </w:p>
    <w:p w14:paraId="2C37136C" w14:textId="77777777" w:rsidR="00950534" w:rsidRDefault="00950534" w:rsidP="00950534">
      <w:pPr>
        <w:pStyle w:val="ClinContent"/>
        <w:widowControl w:val="0"/>
        <w:spacing w:before="0"/>
        <w:rPr>
          <w:rFonts w:asciiTheme="minorHAnsi" w:hAnsiTheme="minorHAnsi"/>
          <w:sz w:val="24"/>
          <w:lang w:val="pl-PL"/>
        </w:rPr>
      </w:pPr>
    </w:p>
    <w:p w14:paraId="57F0E103" w14:textId="1C47742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zbadał ich skargi z punktu widzenia zakazu dyskryminacji (art. 14 Konwencji) w</w:t>
      </w:r>
      <w:r w:rsidR="00206CCE">
        <w:rPr>
          <w:rFonts w:asciiTheme="minorHAnsi" w:hAnsiTheme="minorHAnsi"/>
          <w:sz w:val="24"/>
          <w:lang w:val="pl-PL"/>
        </w:rPr>
        <w:t> </w:t>
      </w:r>
      <w:r>
        <w:rPr>
          <w:rFonts w:asciiTheme="minorHAnsi" w:hAnsiTheme="minorHAnsi"/>
          <w:sz w:val="24"/>
          <w:lang w:val="pl-PL"/>
        </w:rPr>
        <w:t xml:space="preserve">odniesieniu do korzystania z prawa do ochrony własności (art. 1 Protokołu nr 1). </w:t>
      </w:r>
    </w:p>
    <w:p w14:paraId="4EF51491" w14:textId="77777777" w:rsidR="00950534" w:rsidRDefault="00950534" w:rsidP="00950534">
      <w:pPr>
        <w:pStyle w:val="ClinContent"/>
        <w:widowControl w:val="0"/>
        <w:spacing w:before="0"/>
        <w:rPr>
          <w:rFonts w:asciiTheme="minorHAnsi" w:hAnsiTheme="minorHAnsi"/>
          <w:sz w:val="24"/>
          <w:lang w:val="pl-PL"/>
        </w:rPr>
      </w:pPr>
    </w:p>
    <w:p w14:paraId="2B22EEC5" w14:textId="7B28DA28"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Na wstępie Trybunał przypomniał </w:t>
      </w:r>
      <w:r w:rsidRPr="00B323B3">
        <w:rPr>
          <w:rFonts w:asciiTheme="minorHAnsi" w:hAnsiTheme="minorHAnsi"/>
          <w:i/>
          <w:sz w:val="24"/>
          <w:u w:val="single"/>
          <w:lang w:val="pl-PL"/>
        </w:rPr>
        <w:t>zasady ogólne</w:t>
      </w:r>
      <w:r>
        <w:rPr>
          <w:rFonts w:asciiTheme="minorHAnsi" w:hAnsiTheme="minorHAnsi"/>
          <w:i/>
          <w:sz w:val="24"/>
          <w:lang w:val="pl-PL"/>
        </w:rPr>
        <w:t xml:space="preserve"> </w:t>
      </w:r>
      <w:r>
        <w:rPr>
          <w:rFonts w:asciiTheme="minorHAnsi" w:hAnsiTheme="minorHAnsi"/>
          <w:sz w:val="24"/>
          <w:lang w:val="pl-PL"/>
        </w:rPr>
        <w:t>wynikające z jego dotychczasowego orzecznictwa</w:t>
      </w:r>
      <w:r>
        <w:rPr>
          <w:rFonts w:asciiTheme="minorHAnsi" w:hAnsiTheme="minorHAnsi"/>
          <w:i/>
          <w:sz w:val="24"/>
          <w:lang w:val="pl-PL"/>
        </w:rPr>
        <w:t xml:space="preserve">. </w:t>
      </w:r>
      <w:r w:rsidRPr="00857122">
        <w:rPr>
          <w:rFonts w:asciiTheme="minorHAnsi" w:hAnsiTheme="minorHAnsi"/>
          <w:sz w:val="24"/>
          <w:lang w:val="pl-PL"/>
        </w:rPr>
        <w:t>W</w:t>
      </w:r>
      <w:r>
        <w:rPr>
          <w:rFonts w:asciiTheme="minorHAnsi" w:hAnsiTheme="minorHAnsi"/>
          <w:sz w:val="24"/>
          <w:lang w:val="pl-PL"/>
        </w:rPr>
        <w:t>yjaśnił</w:t>
      </w:r>
      <w:r w:rsidRPr="00857122">
        <w:rPr>
          <w:rFonts w:asciiTheme="minorHAnsi" w:hAnsiTheme="minorHAnsi"/>
          <w:sz w:val="24"/>
          <w:lang w:val="pl-PL"/>
        </w:rPr>
        <w:t>, że w</w:t>
      </w:r>
      <w:r w:rsidRPr="00D913E7">
        <w:rPr>
          <w:rFonts w:asciiTheme="minorHAnsi" w:hAnsiTheme="minorHAnsi"/>
          <w:sz w:val="24"/>
          <w:lang w:val="pl-PL"/>
        </w:rPr>
        <w:t xml:space="preserve"> kontekście art. 1 Protokołu nr 1 stosowanego samodzielnie państwa z reguły korzystają z szerokiego marginesu oceny na podstawie Konwencji w</w:t>
      </w:r>
      <w:r w:rsidR="00206CCE">
        <w:rPr>
          <w:rFonts w:asciiTheme="minorHAnsi" w:hAnsiTheme="minorHAnsi"/>
          <w:sz w:val="24"/>
          <w:lang w:val="pl-PL"/>
        </w:rPr>
        <w:t> </w:t>
      </w:r>
      <w:r w:rsidRPr="00D913E7">
        <w:rPr>
          <w:rFonts w:asciiTheme="minorHAnsi" w:hAnsiTheme="minorHAnsi"/>
          <w:sz w:val="24"/>
          <w:lang w:val="pl-PL"/>
        </w:rPr>
        <w:t xml:space="preserve">sprawach dotyczących środków ogólnych </w:t>
      </w:r>
      <w:r>
        <w:rPr>
          <w:rFonts w:asciiTheme="minorHAnsi" w:hAnsiTheme="minorHAnsi"/>
          <w:sz w:val="24"/>
          <w:lang w:val="pl-PL"/>
        </w:rPr>
        <w:t xml:space="preserve">z zakresu </w:t>
      </w:r>
      <w:r w:rsidRPr="00D913E7">
        <w:rPr>
          <w:rFonts w:asciiTheme="minorHAnsi" w:hAnsiTheme="minorHAnsi"/>
          <w:sz w:val="24"/>
          <w:lang w:val="pl-PL"/>
        </w:rPr>
        <w:t>strategii gospodarczej lub społecznej, a</w:t>
      </w:r>
      <w:r w:rsidR="00206CCE">
        <w:rPr>
          <w:rFonts w:asciiTheme="minorHAnsi" w:hAnsiTheme="minorHAnsi"/>
          <w:sz w:val="24"/>
          <w:lang w:val="pl-PL"/>
        </w:rPr>
        <w:t> </w:t>
      </w:r>
      <w:r w:rsidRPr="00D913E7">
        <w:rPr>
          <w:rFonts w:asciiTheme="minorHAnsi" w:hAnsiTheme="minorHAnsi"/>
          <w:sz w:val="24"/>
          <w:lang w:val="pl-PL"/>
        </w:rPr>
        <w:t>Trybunał generalnie respektuje dokonan</w:t>
      </w:r>
      <w:r>
        <w:rPr>
          <w:rFonts w:asciiTheme="minorHAnsi" w:hAnsiTheme="minorHAnsi"/>
          <w:sz w:val="24"/>
          <w:lang w:val="pl-PL"/>
        </w:rPr>
        <w:t>y przez ustawodawcę wybór</w:t>
      </w:r>
      <w:r w:rsidRPr="00D913E7">
        <w:rPr>
          <w:rFonts w:asciiTheme="minorHAnsi" w:hAnsiTheme="minorHAnsi"/>
          <w:sz w:val="24"/>
          <w:lang w:val="pl-PL"/>
        </w:rPr>
        <w:t xml:space="preserve"> polityki, chyba że </w:t>
      </w:r>
      <w:r>
        <w:rPr>
          <w:rFonts w:asciiTheme="minorHAnsi" w:hAnsiTheme="minorHAnsi"/>
          <w:sz w:val="24"/>
          <w:lang w:val="pl-PL"/>
        </w:rPr>
        <w:t>jest on „w sposób oczywisty pozbawiony</w:t>
      </w:r>
      <w:r w:rsidRPr="00D913E7">
        <w:rPr>
          <w:rFonts w:asciiTheme="minorHAnsi" w:hAnsiTheme="minorHAnsi"/>
          <w:sz w:val="24"/>
          <w:lang w:val="pl-PL"/>
        </w:rPr>
        <w:t xml:space="preserve"> uzasadnionej podstawy”. </w:t>
      </w:r>
    </w:p>
    <w:p w14:paraId="762ECB36" w14:textId="77777777" w:rsidR="00950534" w:rsidRDefault="00950534" w:rsidP="00950534">
      <w:pPr>
        <w:pStyle w:val="ClinContent"/>
        <w:widowControl w:val="0"/>
        <w:spacing w:before="0"/>
        <w:rPr>
          <w:rFonts w:asciiTheme="minorHAnsi" w:hAnsiTheme="minorHAnsi"/>
          <w:sz w:val="24"/>
          <w:lang w:val="pl-PL"/>
        </w:rPr>
      </w:pPr>
    </w:p>
    <w:p w14:paraId="7C36DA0A" w14:textId="153C8FE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lastRenderedPageBreak/>
        <w:t>Jednak w</w:t>
      </w:r>
      <w:r w:rsidRPr="00D913E7">
        <w:rPr>
          <w:rFonts w:asciiTheme="minorHAnsi" w:hAnsiTheme="minorHAnsi"/>
          <w:sz w:val="24"/>
          <w:lang w:val="pl-PL"/>
        </w:rPr>
        <w:t xml:space="preserve"> kontekście art. 14 </w:t>
      </w:r>
      <w:r>
        <w:rPr>
          <w:rFonts w:asciiTheme="minorHAnsi" w:hAnsiTheme="minorHAnsi"/>
          <w:sz w:val="24"/>
          <w:lang w:val="pl-PL"/>
        </w:rPr>
        <w:t xml:space="preserve">Konwencji </w:t>
      </w:r>
      <w:r w:rsidRPr="00D913E7">
        <w:rPr>
          <w:rFonts w:asciiTheme="minorHAnsi" w:hAnsiTheme="minorHAnsi"/>
          <w:sz w:val="24"/>
          <w:lang w:val="pl-PL"/>
        </w:rPr>
        <w:t xml:space="preserve">stosowanego w związku z art. 1 Protokołu nr 1, </w:t>
      </w:r>
      <w:r>
        <w:rPr>
          <w:rFonts w:asciiTheme="minorHAnsi" w:hAnsiTheme="minorHAnsi"/>
          <w:sz w:val="24"/>
          <w:lang w:val="pl-PL"/>
        </w:rPr>
        <w:t>chociaż</w:t>
      </w:r>
      <w:r w:rsidRPr="00D913E7">
        <w:rPr>
          <w:rFonts w:asciiTheme="minorHAnsi" w:hAnsiTheme="minorHAnsi"/>
          <w:sz w:val="24"/>
          <w:lang w:val="pl-PL"/>
        </w:rPr>
        <w:t xml:space="preserve"> margines oceny przy podejmowaniu środków ogólnych dotyczących polityki gospodarczej lub społecznej jest co do zasady szeroki, niemniej jednak środki takie powinny być wdrażane w sposób, który nie narusza zakazu dyskryminacji określonego w Konwencji i</w:t>
      </w:r>
      <w:r w:rsidR="00206CCE">
        <w:rPr>
          <w:rFonts w:asciiTheme="minorHAnsi" w:hAnsiTheme="minorHAnsi"/>
          <w:sz w:val="24"/>
          <w:lang w:val="pl-PL"/>
        </w:rPr>
        <w:t> </w:t>
      </w:r>
      <w:r w:rsidRPr="00D913E7">
        <w:rPr>
          <w:rFonts w:asciiTheme="minorHAnsi" w:hAnsiTheme="minorHAnsi"/>
          <w:sz w:val="24"/>
          <w:lang w:val="pl-PL"/>
        </w:rPr>
        <w:t xml:space="preserve">jest zgodny z wymogiem proporcjonalności. </w:t>
      </w:r>
      <w:r>
        <w:rPr>
          <w:rFonts w:asciiTheme="minorHAnsi" w:hAnsiTheme="minorHAnsi"/>
          <w:sz w:val="24"/>
          <w:lang w:val="pl-PL"/>
        </w:rPr>
        <w:t>Trybunał podkreślił, że n</w:t>
      </w:r>
      <w:r w:rsidRPr="00D913E7">
        <w:rPr>
          <w:rFonts w:asciiTheme="minorHAnsi" w:hAnsiTheme="minorHAnsi"/>
          <w:sz w:val="24"/>
          <w:lang w:val="pl-PL"/>
        </w:rPr>
        <w:t>awet szeroki margines oceny w sferze polityki gospodarczej lub społecznej nie uzasadnia przyjmowania ustaw lub</w:t>
      </w:r>
      <w:r w:rsidR="00206CCE">
        <w:rPr>
          <w:rFonts w:asciiTheme="minorHAnsi" w:hAnsiTheme="minorHAnsi"/>
          <w:sz w:val="24"/>
          <w:lang w:val="pl-PL"/>
        </w:rPr>
        <w:t> </w:t>
      </w:r>
      <w:r w:rsidRPr="00D913E7">
        <w:rPr>
          <w:rFonts w:asciiTheme="minorHAnsi" w:hAnsiTheme="minorHAnsi"/>
          <w:sz w:val="24"/>
          <w:lang w:val="pl-PL"/>
        </w:rPr>
        <w:t xml:space="preserve">praktyk, które naruszałyby zakaz dyskryminacji. </w:t>
      </w:r>
    </w:p>
    <w:p w14:paraId="5F57A28C" w14:textId="77777777" w:rsidR="00950534" w:rsidRDefault="00950534" w:rsidP="00950534">
      <w:pPr>
        <w:pStyle w:val="ClinContent"/>
        <w:widowControl w:val="0"/>
        <w:spacing w:before="0"/>
        <w:rPr>
          <w:rFonts w:asciiTheme="minorHAnsi" w:hAnsiTheme="minorHAnsi"/>
          <w:sz w:val="24"/>
          <w:lang w:val="pl-PL"/>
        </w:rPr>
      </w:pPr>
    </w:p>
    <w:p w14:paraId="4003CADF" w14:textId="0BEE1B85" w:rsidR="00950534" w:rsidRDefault="00950534" w:rsidP="00950534">
      <w:pPr>
        <w:pStyle w:val="ClinContent"/>
        <w:widowControl w:val="0"/>
        <w:spacing w:before="0"/>
        <w:rPr>
          <w:rFonts w:asciiTheme="minorHAnsi" w:hAnsiTheme="minorHAnsi"/>
          <w:sz w:val="24"/>
          <w:lang w:val="pl-PL"/>
        </w:rPr>
      </w:pPr>
      <w:r w:rsidRPr="00D913E7">
        <w:rPr>
          <w:rFonts w:asciiTheme="minorHAnsi" w:hAnsiTheme="minorHAnsi"/>
          <w:sz w:val="24"/>
          <w:lang w:val="pl-PL"/>
        </w:rPr>
        <w:t>W tym kont</w:t>
      </w:r>
      <w:r>
        <w:rPr>
          <w:rFonts w:asciiTheme="minorHAnsi" w:hAnsiTheme="minorHAnsi"/>
          <w:sz w:val="24"/>
          <w:lang w:val="pl-PL"/>
        </w:rPr>
        <w:t>ekście Trybunał akceptuje dokonany przez ustawodawcę</w:t>
      </w:r>
      <w:r w:rsidRPr="00D913E7">
        <w:rPr>
          <w:rFonts w:asciiTheme="minorHAnsi" w:hAnsiTheme="minorHAnsi"/>
          <w:sz w:val="24"/>
          <w:lang w:val="pl-PL"/>
        </w:rPr>
        <w:t xml:space="preserve"> </w:t>
      </w:r>
      <w:r>
        <w:rPr>
          <w:rFonts w:asciiTheme="minorHAnsi" w:hAnsiTheme="minorHAnsi"/>
          <w:sz w:val="24"/>
          <w:lang w:val="pl-PL"/>
        </w:rPr>
        <w:t>wybór dotyczący polityki, uznając go za niebędący „w sposób oczywisty pozbawionym</w:t>
      </w:r>
      <w:r w:rsidRPr="00D913E7">
        <w:rPr>
          <w:rFonts w:asciiTheme="minorHAnsi" w:hAnsiTheme="minorHAnsi"/>
          <w:sz w:val="24"/>
          <w:lang w:val="pl-PL"/>
        </w:rPr>
        <w:t xml:space="preserve"> uzasadnionej podstawy” jedynie w okolicznościach, w których zarzucana różnica w traktowaniu wynika ze</w:t>
      </w:r>
      <w:r w:rsidR="00206CCE">
        <w:rPr>
          <w:rFonts w:asciiTheme="minorHAnsi" w:hAnsiTheme="minorHAnsi"/>
          <w:sz w:val="24"/>
          <w:lang w:val="pl-PL"/>
        </w:rPr>
        <w:t> </w:t>
      </w:r>
      <w:r w:rsidRPr="00D913E7">
        <w:rPr>
          <w:rFonts w:asciiTheme="minorHAnsi" w:hAnsiTheme="minorHAnsi"/>
          <w:sz w:val="24"/>
          <w:lang w:val="pl-PL"/>
        </w:rPr>
        <w:t>środka o charakterze przejściowym stanowiącego część systemu wdrożonego w celu skorygowania nierówności o charakterze historycznym. Poza tym kontekstem, mając na</w:t>
      </w:r>
      <w:r w:rsidR="00206CCE">
        <w:rPr>
          <w:rFonts w:asciiTheme="minorHAnsi" w:hAnsiTheme="minorHAnsi"/>
          <w:sz w:val="24"/>
          <w:lang w:val="pl-PL"/>
        </w:rPr>
        <w:t> </w:t>
      </w:r>
      <w:r w:rsidRPr="00D913E7">
        <w:rPr>
          <w:rFonts w:asciiTheme="minorHAnsi" w:hAnsiTheme="minorHAnsi"/>
          <w:sz w:val="24"/>
          <w:lang w:val="pl-PL"/>
        </w:rPr>
        <w:t>uwadze na przykład konieczność zapobiegania dyskryminacji osób z niepełnosprawnością lub promowania równości płci, należy wskazać „bardzo poważne powody”, by taka różnica w</w:t>
      </w:r>
      <w:r w:rsidR="00206CCE">
        <w:rPr>
          <w:rFonts w:asciiTheme="minorHAnsi" w:hAnsiTheme="minorHAnsi"/>
          <w:sz w:val="24"/>
          <w:lang w:val="pl-PL"/>
        </w:rPr>
        <w:t> </w:t>
      </w:r>
      <w:r w:rsidRPr="00D913E7">
        <w:rPr>
          <w:rFonts w:asciiTheme="minorHAnsi" w:hAnsiTheme="minorHAnsi"/>
          <w:sz w:val="24"/>
          <w:lang w:val="pl-PL"/>
        </w:rPr>
        <w:t xml:space="preserve">traktowaniu mogła być uznana </w:t>
      </w:r>
      <w:r>
        <w:rPr>
          <w:rFonts w:asciiTheme="minorHAnsi" w:hAnsiTheme="minorHAnsi"/>
          <w:sz w:val="24"/>
          <w:lang w:val="pl-PL"/>
        </w:rPr>
        <w:t xml:space="preserve">przez Trybunał </w:t>
      </w:r>
      <w:r w:rsidRPr="00D913E7">
        <w:rPr>
          <w:rFonts w:asciiTheme="minorHAnsi" w:hAnsiTheme="minorHAnsi"/>
          <w:sz w:val="24"/>
          <w:lang w:val="pl-PL"/>
        </w:rPr>
        <w:t>za zgodną z Konwencją.</w:t>
      </w:r>
      <w:r>
        <w:rPr>
          <w:rFonts w:asciiTheme="minorHAnsi" w:hAnsiTheme="minorHAnsi"/>
          <w:sz w:val="24"/>
          <w:lang w:val="pl-PL"/>
        </w:rPr>
        <w:t xml:space="preserve"> </w:t>
      </w:r>
    </w:p>
    <w:p w14:paraId="6C8AAA12" w14:textId="77777777" w:rsidR="00950534" w:rsidRDefault="00950534" w:rsidP="00950534">
      <w:pPr>
        <w:pStyle w:val="ClinContent"/>
        <w:widowControl w:val="0"/>
        <w:spacing w:before="0"/>
        <w:rPr>
          <w:rFonts w:asciiTheme="minorHAnsi" w:hAnsiTheme="minorHAnsi"/>
          <w:sz w:val="24"/>
          <w:lang w:val="pl-PL"/>
        </w:rPr>
      </w:pPr>
    </w:p>
    <w:p w14:paraId="1EAB654F" w14:textId="12DFCE1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przypomniał również zasadę wypracowaną w swym orzecznictwie, w świetle której prawo do niepodlegania dyskryminacji w korzystaniu z praw gwarantowanych Konwencją jest naruszone również wtedy, gdy państwo zaniecha – bez obiektywnego i rozsądnego uzasadnienia – różnego traktowania osób, których sytuacje są znacząco różne. Zakaz dyskryminacji wynikający z art. 14 stanowi zatem podstawę dla obowiązków pozytywnych państw-stron Konwencji do dokonania niezbędnego rozróżnienia osób lub grup, których sytuacje w istotnym zakresie są znacząco różne. Ponadto polityka lub środek, który ma</w:t>
      </w:r>
      <w:r w:rsidR="00206CCE">
        <w:rPr>
          <w:rFonts w:asciiTheme="minorHAnsi" w:hAnsiTheme="minorHAnsi"/>
          <w:sz w:val="24"/>
          <w:lang w:val="pl-PL"/>
        </w:rPr>
        <w:t> </w:t>
      </w:r>
      <w:r>
        <w:rPr>
          <w:rFonts w:asciiTheme="minorHAnsi" w:hAnsiTheme="minorHAnsi"/>
          <w:sz w:val="24"/>
          <w:lang w:val="pl-PL"/>
        </w:rPr>
        <w:t>nieproporcjonalnie szkodliwe skutki dla szczególnej grupy, może być uznany za</w:t>
      </w:r>
      <w:r w:rsidR="00206CCE">
        <w:rPr>
          <w:rFonts w:asciiTheme="minorHAnsi" w:hAnsiTheme="minorHAnsi"/>
          <w:sz w:val="24"/>
          <w:lang w:val="pl-PL"/>
        </w:rPr>
        <w:t> </w:t>
      </w:r>
      <w:r>
        <w:rPr>
          <w:rFonts w:asciiTheme="minorHAnsi" w:hAnsiTheme="minorHAnsi"/>
          <w:sz w:val="24"/>
          <w:lang w:val="pl-PL"/>
        </w:rPr>
        <w:t>dyskryminacyjny niezależnie od tego, czy ta polityka lub środek są wymierzone konkretnie w tę grupę</w:t>
      </w:r>
      <w:r>
        <w:rPr>
          <w:rStyle w:val="Odwoanieprzypisudolnego"/>
          <w:rFonts w:asciiTheme="minorHAnsi" w:hAnsiTheme="minorHAnsi"/>
          <w:sz w:val="24"/>
          <w:lang w:val="pl-PL"/>
        </w:rPr>
        <w:footnoteReference w:id="13"/>
      </w:r>
      <w:r>
        <w:rPr>
          <w:rFonts w:asciiTheme="minorHAnsi" w:hAnsiTheme="minorHAnsi"/>
          <w:sz w:val="24"/>
          <w:lang w:val="pl-PL"/>
        </w:rPr>
        <w:t xml:space="preserve">. </w:t>
      </w:r>
    </w:p>
    <w:p w14:paraId="305A496A" w14:textId="77777777" w:rsidR="00950534" w:rsidRDefault="00950534" w:rsidP="00950534">
      <w:pPr>
        <w:pStyle w:val="ClinContent"/>
        <w:widowControl w:val="0"/>
        <w:spacing w:before="0"/>
        <w:rPr>
          <w:rFonts w:asciiTheme="minorHAnsi" w:hAnsiTheme="minorHAnsi"/>
          <w:sz w:val="24"/>
          <w:lang w:val="pl-PL"/>
        </w:rPr>
      </w:pPr>
    </w:p>
    <w:p w14:paraId="12BF2673" w14:textId="7FE4778D" w:rsidR="00950534" w:rsidRDefault="00950534" w:rsidP="00950534">
      <w:pPr>
        <w:pStyle w:val="ClinContent"/>
        <w:widowControl w:val="0"/>
        <w:spacing w:before="0"/>
        <w:rPr>
          <w:rFonts w:asciiTheme="minorHAnsi" w:hAnsiTheme="minorHAnsi"/>
          <w:sz w:val="24"/>
          <w:lang w:val="pl-PL"/>
        </w:rPr>
      </w:pPr>
      <w:r w:rsidRPr="00B323B3">
        <w:rPr>
          <w:rFonts w:asciiTheme="minorHAnsi" w:hAnsiTheme="minorHAnsi"/>
          <w:i/>
          <w:sz w:val="24"/>
          <w:u w:val="single"/>
          <w:lang w:val="pl-PL"/>
        </w:rPr>
        <w:t xml:space="preserve">Stosując powyższe zasady </w:t>
      </w:r>
      <w:r>
        <w:rPr>
          <w:rFonts w:asciiTheme="minorHAnsi" w:hAnsiTheme="minorHAnsi"/>
          <w:i/>
          <w:sz w:val="24"/>
          <w:u w:val="single"/>
          <w:lang w:val="pl-PL"/>
        </w:rPr>
        <w:t xml:space="preserve">ogólne </w:t>
      </w:r>
      <w:r w:rsidRPr="00B323B3">
        <w:rPr>
          <w:rFonts w:asciiTheme="minorHAnsi" w:hAnsiTheme="minorHAnsi"/>
          <w:i/>
          <w:sz w:val="24"/>
          <w:u w:val="single"/>
          <w:lang w:val="pl-PL"/>
        </w:rPr>
        <w:t xml:space="preserve">do </w:t>
      </w:r>
      <w:r>
        <w:rPr>
          <w:rFonts w:asciiTheme="minorHAnsi" w:hAnsiTheme="minorHAnsi"/>
          <w:i/>
          <w:sz w:val="24"/>
          <w:u w:val="single"/>
          <w:lang w:val="pl-PL"/>
        </w:rPr>
        <w:t>omawianej sp</w:t>
      </w:r>
      <w:r w:rsidRPr="00B323B3">
        <w:rPr>
          <w:rFonts w:asciiTheme="minorHAnsi" w:hAnsiTheme="minorHAnsi"/>
          <w:i/>
          <w:sz w:val="24"/>
          <w:u w:val="single"/>
          <w:lang w:val="pl-PL"/>
        </w:rPr>
        <w:t>rawy</w:t>
      </w:r>
      <w:r>
        <w:rPr>
          <w:rFonts w:asciiTheme="minorHAnsi" w:hAnsiTheme="minorHAnsi"/>
          <w:sz w:val="24"/>
          <w:lang w:val="pl-PL"/>
        </w:rPr>
        <w:t>, Trybunał zauważył, że w</w:t>
      </w:r>
      <w:r w:rsidRPr="00D913E7">
        <w:rPr>
          <w:rFonts w:asciiTheme="minorHAnsi" w:hAnsiTheme="minorHAnsi"/>
          <w:sz w:val="24"/>
          <w:lang w:val="pl-PL"/>
        </w:rPr>
        <w:t>drożone zmiany stosowały się do wszystkich beneficjentów systemu bez rozróżnienia w oparciu o</w:t>
      </w:r>
      <w:r w:rsidR="00206CCE">
        <w:rPr>
          <w:rFonts w:asciiTheme="minorHAnsi" w:hAnsiTheme="minorHAnsi"/>
          <w:sz w:val="24"/>
          <w:lang w:val="pl-PL"/>
        </w:rPr>
        <w:t> </w:t>
      </w:r>
      <w:r w:rsidRPr="00D913E7">
        <w:rPr>
          <w:rFonts w:asciiTheme="minorHAnsi" w:hAnsiTheme="minorHAnsi"/>
          <w:sz w:val="24"/>
          <w:lang w:val="pl-PL"/>
        </w:rPr>
        <w:t>takie ich cechy jak niepełnosprawność lub płeć. Skarżące były traktowane w ten sam sposób co inn</w:t>
      </w:r>
      <w:r>
        <w:rPr>
          <w:rFonts w:asciiTheme="minorHAnsi" w:hAnsiTheme="minorHAnsi"/>
          <w:sz w:val="24"/>
          <w:lang w:val="pl-PL"/>
        </w:rPr>
        <w:t>e osoby otrzymujące świadczenie:</w:t>
      </w:r>
      <w:r w:rsidRPr="00D913E7">
        <w:rPr>
          <w:rFonts w:asciiTheme="minorHAnsi" w:hAnsiTheme="minorHAnsi"/>
          <w:sz w:val="24"/>
          <w:lang w:val="pl-PL"/>
        </w:rPr>
        <w:t xml:space="preserve"> ich uprawnienia zostały obniżone z tych samych powodów i </w:t>
      </w:r>
      <w:r>
        <w:rPr>
          <w:rFonts w:asciiTheme="minorHAnsi" w:hAnsiTheme="minorHAnsi"/>
          <w:sz w:val="24"/>
          <w:lang w:val="pl-PL"/>
        </w:rPr>
        <w:t>na podstawie tych samych kryteriów</w:t>
      </w:r>
      <w:r w:rsidRPr="00D913E7">
        <w:rPr>
          <w:rFonts w:asciiTheme="minorHAnsi" w:hAnsiTheme="minorHAnsi"/>
          <w:sz w:val="24"/>
          <w:lang w:val="pl-PL"/>
        </w:rPr>
        <w:t xml:space="preserve">. </w:t>
      </w:r>
    </w:p>
    <w:p w14:paraId="4A32D36E" w14:textId="77777777" w:rsidR="00950534" w:rsidRDefault="00950534" w:rsidP="00950534">
      <w:pPr>
        <w:pStyle w:val="ClinContent"/>
        <w:widowControl w:val="0"/>
        <w:spacing w:before="0"/>
        <w:rPr>
          <w:rFonts w:asciiTheme="minorHAnsi" w:hAnsiTheme="minorHAnsi"/>
          <w:sz w:val="24"/>
          <w:lang w:val="pl-PL"/>
        </w:rPr>
      </w:pPr>
    </w:p>
    <w:p w14:paraId="1AE61202" w14:textId="645E0D85"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uznał zatem, że sprawa dotyczyła</w:t>
      </w:r>
      <w:r w:rsidRPr="00D913E7">
        <w:rPr>
          <w:rFonts w:asciiTheme="minorHAnsi" w:hAnsiTheme="minorHAnsi"/>
          <w:sz w:val="24"/>
          <w:lang w:val="pl-PL"/>
        </w:rPr>
        <w:t xml:space="preserve"> zarzutu dyskryminacji pośredniej. Należało zbadać, czy doszło do dyskryminacji z uwagi na</w:t>
      </w:r>
      <w:r>
        <w:rPr>
          <w:rFonts w:asciiTheme="minorHAnsi" w:hAnsiTheme="minorHAnsi"/>
          <w:sz w:val="24"/>
          <w:lang w:val="pl-PL"/>
        </w:rPr>
        <w:t xml:space="preserve"> to, że władze nie wprowadziły </w:t>
      </w:r>
      <w:r w:rsidRPr="00D913E7">
        <w:rPr>
          <w:rFonts w:asciiTheme="minorHAnsi" w:hAnsiTheme="minorHAnsi"/>
          <w:sz w:val="24"/>
          <w:lang w:val="pl-PL"/>
        </w:rPr>
        <w:t xml:space="preserve">różnicy </w:t>
      </w:r>
      <w:r>
        <w:rPr>
          <w:rFonts w:asciiTheme="minorHAnsi" w:hAnsiTheme="minorHAnsi"/>
          <w:sz w:val="24"/>
          <w:lang w:val="pl-PL"/>
        </w:rPr>
        <w:t>w</w:t>
      </w:r>
      <w:r w:rsidR="00206CCE">
        <w:rPr>
          <w:rFonts w:asciiTheme="minorHAnsi" w:hAnsiTheme="minorHAnsi"/>
          <w:sz w:val="24"/>
          <w:lang w:val="pl-PL"/>
        </w:rPr>
        <w:t> </w:t>
      </w:r>
      <w:r>
        <w:rPr>
          <w:rFonts w:asciiTheme="minorHAnsi" w:hAnsiTheme="minorHAnsi"/>
          <w:sz w:val="24"/>
          <w:lang w:val="pl-PL"/>
        </w:rPr>
        <w:t xml:space="preserve">traktowaniu </w:t>
      </w:r>
      <w:r w:rsidRPr="00D913E7">
        <w:rPr>
          <w:rFonts w:asciiTheme="minorHAnsi" w:hAnsiTheme="minorHAnsi"/>
          <w:sz w:val="24"/>
          <w:lang w:val="pl-PL"/>
        </w:rPr>
        <w:t>na korzyść skarżących</w:t>
      </w:r>
      <w:r>
        <w:rPr>
          <w:rFonts w:asciiTheme="minorHAnsi" w:hAnsiTheme="minorHAnsi"/>
          <w:sz w:val="24"/>
          <w:lang w:val="pl-PL"/>
        </w:rPr>
        <w:t>, biorąc pod uwagę, że</w:t>
      </w:r>
      <w:r w:rsidRPr="00D913E7">
        <w:rPr>
          <w:rFonts w:asciiTheme="minorHAnsi" w:hAnsiTheme="minorHAnsi"/>
          <w:sz w:val="24"/>
          <w:lang w:val="pl-PL"/>
        </w:rPr>
        <w:t xml:space="preserve"> istotne okoliczności po ich stronie różniły się znacznie od sytuacji innych osób otrzymujących świadczenie mieszkaniowe, które zostały negatywnie dotknięte zaskarżonym środkiem.</w:t>
      </w:r>
    </w:p>
    <w:p w14:paraId="074D918D" w14:textId="77777777" w:rsidR="00950534" w:rsidRDefault="00950534" w:rsidP="00950534">
      <w:pPr>
        <w:pStyle w:val="ClinContent"/>
        <w:widowControl w:val="0"/>
        <w:spacing w:before="0"/>
        <w:rPr>
          <w:rFonts w:asciiTheme="minorHAnsi" w:hAnsiTheme="minorHAnsi"/>
          <w:sz w:val="24"/>
          <w:lang w:val="pl-PL"/>
        </w:rPr>
      </w:pPr>
    </w:p>
    <w:p w14:paraId="45D571E3" w14:textId="48B17870" w:rsidR="00950534" w:rsidRDefault="00950534" w:rsidP="00950534">
      <w:pPr>
        <w:pStyle w:val="ClinContent"/>
        <w:widowControl w:val="0"/>
        <w:spacing w:before="0"/>
        <w:rPr>
          <w:rFonts w:asciiTheme="minorHAnsi" w:hAnsiTheme="minorHAnsi"/>
          <w:sz w:val="24"/>
          <w:lang w:val="pl-PL"/>
        </w:rPr>
      </w:pPr>
      <w:r w:rsidRPr="00B86DA6">
        <w:rPr>
          <w:rFonts w:asciiTheme="minorHAnsi" w:hAnsiTheme="minorHAnsi"/>
          <w:sz w:val="24"/>
          <w:lang w:val="pl-PL"/>
        </w:rPr>
        <w:t xml:space="preserve">Można było przewidzieć, że w konsekwencji obniżenia świadczenia mieszkaniowego, wszystkim świadczeniobiorcom, których ta obniżka dotyczyła, będzie grozić utrata </w:t>
      </w:r>
      <w:r w:rsidRPr="00B86DA6">
        <w:rPr>
          <w:rFonts w:asciiTheme="minorHAnsi" w:hAnsiTheme="minorHAnsi"/>
          <w:sz w:val="24"/>
          <w:lang w:val="pl-PL"/>
        </w:rPr>
        <w:lastRenderedPageBreak/>
        <w:t>mieszkania.</w:t>
      </w:r>
      <w:r w:rsidRPr="00D913E7">
        <w:rPr>
          <w:rFonts w:asciiTheme="minorHAnsi" w:hAnsiTheme="minorHAnsi"/>
          <w:sz w:val="24"/>
          <w:lang w:val="pl-PL"/>
        </w:rPr>
        <w:t xml:space="preserve"> W istocie rząd twierdził, że niepewność </w:t>
      </w:r>
      <w:r>
        <w:rPr>
          <w:rFonts w:asciiTheme="minorHAnsi" w:hAnsiTheme="minorHAnsi"/>
          <w:sz w:val="24"/>
          <w:lang w:val="pl-PL"/>
        </w:rPr>
        <w:t xml:space="preserve">sytuacji </w:t>
      </w:r>
      <w:r w:rsidRPr="00D913E7">
        <w:rPr>
          <w:rFonts w:asciiTheme="minorHAnsi" w:hAnsiTheme="minorHAnsi"/>
          <w:sz w:val="24"/>
          <w:lang w:val="pl-PL"/>
        </w:rPr>
        <w:t xml:space="preserve">była zamierzona przez system: miała zachęcać rodziny do przeprowadzki. </w:t>
      </w:r>
      <w:r>
        <w:rPr>
          <w:rFonts w:asciiTheme="minorHAnsi" w:hAnsiTheme="minorHAnsi"/>
          <w:sz w:val="24"/>
          <w:lang w:val="pl-PL"/>
        </w:rPr>
        <w:t>Trybunał uznał, że s</w:t>
      </w:r>
      <w:r w:rsidRPr="00D913E7">
        <w:rPr>
          <w:rFonts w:asciiTheme="minorHAnsi" w:hAnsiTheme="minorHAnsi"/>
          <w:sz w:val="24"/>
          <w:lang w:val="pl-PL"/>
        </w:rPr>
        <w:t>karżące znajdowały się w</w:t>
      </w:r>
      <w:r w:rsidR="00206CCE">
        <w:rPr>
          <w:rFonts w:asciiTheme="minorHAnsi" w:hAnsiTheme="minorHAnsi"/>
          <w:sz w:val="24"/>
          <w:lang w:val="pl-PL"/>
        </w:rPr>
        <w:t> </w:t>
      </w:r>
      <w:r w:rsidRPr="00D913E7">
        <w:rPr>
          <w:rFonts w:asciiTheme="minorHAnsi" w:hAnsiTheme="minorHAnsi"/>
          <w:sz w:val="24"/>
          <w:lang w:val="pl-PL"/>
        </w:rPr>
        <w:t xml:space="preserve">znacząco odmiennej sytuacji i zostały szczególnie dotknięte tą </w:t>
      </w:r>
      <w:r>
        <w:rPr>
          <w:rFonts w:asciiTheme="minorHAnsi" w:hAnsiTheme="minorHAnsi"/>
          <w:sz w:val="24"/>
          <w:lang w:val="pl-PL"/>
        </w:rPr>
        <w:t>zmianą</w:t>
      </w:r>
      <w:r w:rsidRPr="00D913E7">
        <w:rPr>
          <w:rFonts w:asciiTheme="minorHAnsi" w:hAnsiTheme="minorHAnsi"/>
          <w:sz w:val="24"/>
          <w:lang w:val="pl-PL"/>
        </w:rPr>
        <w:t xml:space="preserve">, ponieważ z </w:t>
      </w:r>
      <w:r>
        <w:rPr>
          <w:rFonts w:asciiTheme="minorHAnsi" w:hAnsiTheme="minorHAnsi"/>
          <w:sz w:val="24"/>
          <w:lang w:val="pl-PL"/>
        </w:rPr>
        <w:t xml:space="preserve">uwagi na ich szczególną sytuację tak bardzo ważne było dla nich, by </w:t>
      </w:r>
      <w:r w:rsidRPr="00D913E7">
        <w:rPr>
          <w:rFonts w:asciiTheme="minorHAnsi" w:hAnsiTheme="minorHAnsi"/>
          <w:sz w:val="24"/>
          <w:lang w:val="pl-PL"/>
        </w:rPr>
        <w:t xml:space="preserve">móc pozostać w swych </w:t>
      </w:r>
      <w:r>
        <w:rPr>
          <w:rFonts w:asciiTheme="minorHAnsi" w:hAnsiTheme="minorHAnsi"/>
          <w:sz w:val="24"/>
          <w:lang w:val="pl-PL"/>
        </w:rPr>
        <w:t xml:space="preserve">dotychczasowych, </w:t>
      </w:r>
      <w:r w:rsidRPr="00D913E7">
        <w:rPr>
          <w:rFonts w:asciiTheme="minorHAnsi" w:hAnsiTheme="minorHAnsi"/>
          <w:sz w:val="24"/>
          <w:lang w:val="pl-PL"/>
        </w:rPr>
        <w:t xml:space="preserve">specjalnie dostosowanych mieszkaniach. </w:t>
      </w:r>
    </w:p>
    <w:p w14:paraId="287EFCFD" w14:textId="77777777" w:rsidR="00950534" w:rsidRDefault="00950534" w:rsidP="00950534">
      <w:pPr>
        <w:pStyle w:val="ClinContent"/>
        <w:widowControl w:val="0"/>
        <w:spacing w:before="0"/>
        <w:rPr>
          <w:rFonts w:asciiTheme="minorHAnsi" w:hAnsiTheme="minorHAnsi"/>
          <w:sz w:val="24"/>
          <w:lang w:val="pl-PL"/>
        </w:rPr>
      </w:pPr>
    </w:p>
    <w:p w14:paraId="2ABC427D" w14:textId="5BA1A7E5" w:rsidR="00950534" w:rsidRDefault="00950534" w:rsidP="00950534">
      <w:pPr>
        <w:pStyle w:val="ClinContent"/>
        <w:widowControl w:val="0"/>
        <w:spacing w:before="0"/>
        <w:rPr>
          <w:rFonts w:asciiTheme="minorHAnsi" w:hAnsiTheme="minorHAnsi"/>
          <w:sz w:val="24"/>
          <w:lang w:val="pl-PL"/>
        </w:rPr>
      </w:pPr>
      <w:r w:rsidRPr="00D913E7">
        <w:rPr>
          <w:rFonts w:asciiTheme="minorHAnsi" w:hAnsiTheme="minorHAnsi"/>
          <w:sz w:val="24"/>
          <w:lang w:val="pl-PL"/>
        </w:rPr>
        <w:t xml:space="preserve">Po ustaleniu, że skarżące – które potraktowano w ten sam sposób, co inne osoby otrzymujące świadczenie mieszkaniowego, </w:t>
      </w:r>
      <w:r>
        <w:rPr>
          <w:rFonts w:asciiTheme="minorHAnsi" w:hAnsiTheme="minorHAnsi"/>
          <w:sz w:val="24"/>
          <w:lang w:val="pl-PL"/>
        </w:rPr>
        <w:t>chociaż</w:t>
      </w:r>
      <w:r w:rsidRPr="00D913E7">
        <w:rPr>
          <w:rFonts w:asciiTheme="minorHAnsi" w:hAnsiTheme="minorHAnsi"/>
          <w:sz w:val="24"/>
          <w:lang w:val="pl-PL"/>
        </w:rPr>
        <w:t xml:space="preserve"> ich sytuacja była znacząco różna – zostały szczególnie dotknięte zaskarżonym środkiem, Trybunał musiał odpowiedzieć na pytanie, czy</w:t>
      </w:r>
      <w:r w:rsidR="00277D0F">
        <w:rPr>
          <w:rFonts w:asciiTheme="minorHAnsi" w:hAnsiTheme="minorHAnsi"/>
          <w:sz w:val="24"/>
          <w:lang w:val="pl-PL"/>
        </w:rPr>
        <w:t> </w:t>
      </w:r>
      <w:r w:rsidRPr="00D913E7">
        <w:rPr>
          <w:rFonts w:asciiTheme="minorHAnsi" w:hAnsiTheme="minorHAnsi"/>
          <w:sz w:val="24"/>
          <w:lang w:val="pl-PL"/>
        </w:rPr>
        <w:t xml:space="preserve">brak uwzględnienia tej różnicy miał charakter dyskryminacyjny. </w:t>
      </w:r>
    </w:p>
    <w:p w14:paraId="134F8151" w14:textId="77777777" w:rsidR="00950534" w:rsidRDefault="00950534" w:rsidP="00950534">
      <w:pPr>
        <w:pStyle w:val="ClinContent"/>
        <w:widowControl w:val="0"/>
        <w:spacing w:before="0"/>
        <w:rPr>
          <w:rFonts w:asciiTheme="minorHAnsi" w:hAnsiTheme="minorHAnsi"/>
          <w:sz w:val="24"/>
          <w:lang w:val="pl-PL"/>
        </w:rPr>
      </w:pPr>
    </w:p>
    <w:p w14:paraId="6C20B3F9" w14:textId="77777777" w:rsidR="00950534" w:rsidRDefault="00950534" w:rsidP="00950534">
      <w:pPr>
        <w:pStyle w:val="ClinContent"/>
        <w:widowControl w:val="0"/>
        <w:spacing w:before="0"/>
        <w:rPr>
          <w:rFonts w:asciiTheme="minorHAnsi" w:hAnsiTheme="minorHAnsi"/>
          <w:sz w:val="24"/>
          <w:lang w:val="pl-PL"/>
        </w:rPr>
      </w:pPr>
      <w:r w:rsidRPr="00D913E7">
        <w:rPr>
          <w:rFonts w:asciiTheme="minorHAnsi" w:hAnsiTheme="minorHAnsi"/>
          <w:sz w:val="24"/>
          <w:lang w:val="pl-PL"/>
        </w:rPr>
        <w:t>W okolicznościach spraw skarżących zarzucana dyskryminacja opierała się na przesłance niepełnosprawności i płci i nie wynikała ze środka o charakterze przejściowym realizowanego w dobrej wierze w celu skorygowania nierówności</w:t>
      </w:r>
      <w:r>
        <w:rPr>
          <w:rFonts w:asciiTheme="minorHAnsi" w:hAnsiTheme="minorHAnsi"/>
          <w:sz w:val="24"/>
          <w:lang w:val="pl-PL"/>
        </w:rPr>
        <w:t>.</w:t>
      </w:r>
      <w:r w:rsidRPr="00D913E7">
        <w:rPr>
          <w:rFonts w:asciiTheme="minorHAnsi" w:hAnsiTheme="minorHAnsi"/>
          <w:sz w:val="24"/>
          <w:lang w:val="pl-PL"/>
        </w:rPr>
        <w:t xml:space="preserve"> </w:t>
      </w:r>
      <w:r>
        <w:rPr>
          <w:rFonts w:asciiTheme="minorHAnsi" w:hAnsiTheme="minorHAnsi"/>
          <w:sz w:val="24"/>
          <w:lang w:val="pl-PL"/>
        </w:rPr>
        <w:t>W</w:t>
      </w:r>
      <w:r w:rsidRPr="00D913E7">
        <w:rPr>
          <w:rFonts w:asciiTheme="minorHAnsi" w:hAnsiTheme="minorHAnsi"/>
          <w:sz w:val="24"/>
          <w:lang w:val="pl-PL"/>
        </w:rPr>
        <w:t xml:space="preserve">ymagane były </w:t>
      </w:r>
      <w:r>
        <w:rPr>
          <w:rFonts w:asciiTheme="minorHAnsi" w:hAnsiTheme="minorHAnsi"/>
          <w:sz w:val="24"/>
          <w:lang w:val="pl-PL"/>
        </w:rPr>
        <w:t xml:space="preserve">więc </w:t>
      </w:r>
      <w:r w:rsidRPr="00D913E7">
        <w:rPr>
          <w:rFonts w:asciiTheme="minorHAnsi" w:hAnsiTheme="minorHAnsi"/>
          <w:sz w:val="24"/>
          <w:lang w:val="pl-PL"/>
        </w:rPr>
        <w:t>bardzo poważne powody, by uzasadnić zaskarżony środek</w:t>
      </w:r>
      <w:r>
        <w:rPr>
          <w:rFonts w:asciiTheme="minorHAnsi" w:hAnsiTheme="minorHAnsi"/>
          <w:sz w:val="24"/>
          <w:lang w:val="pl-PL"/>
        </w:rPr>
        <w:t>.</w:t>
      </w:r>
    </w:p>
    <w:p w14:paraId="3DA55676" w14:textId="77777777" w:rsidR="00950534" w:rsidRDefault="00950534" w:rsidP="00950534">
      <w:pPr>
        <w:pStyle w:val="ClinContent"/>
        <w:widowControl w:val="0"/>
        <w:spacing w:before="0"/>
        <w:rPr>
          <w:rFonts w:asciiTheme="minorHAnsi" w:hAnsiTheme="minorHAnsi"/>
          <w:sz w:val="24"/>
          <w:lang w:val="pl-PL"/>
        </w:rPr>
      </w:pPr>
    </w:p>
    <w:p w14:paraId="0AF2C237"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zbadał, czy takie powody zachodziły w odniesieniu do obu skarżących. </w:t>
      </w:r>
    </w:p>
    <w:p w14:paraId="1E116730" w14:textId="77777777" w:rsidR="00950534" w:rsidRDefault="00950534" w:rsidP="00950534">
      <w:pPr>
        <w:pStyle w:val="ClinContent"/>
        <w:widowControl w:val="0"/>
        <w:spacing w:before="0"/>
        <w:rPr>
          <w:rFonts w:asciiTheme="minorHAnsi" w:hAnsiTheme="minorHAnsi"/>
          <w:sz w:val="24"/>
          <w:lang w:val="pl-PL"/>
        </w:rPr>
      </w:pPr>
    </w:p>
    <w:p w14:paraId="1CB0608D" w14:textId="77777777" w:rsidR="00950534" w:rsidRDefault="00950534" w:rsidP="00950534">
      <w:pPr>
        <w:pStyle w:val="ClinContent"/>
        <w:widowControl w:val="0"/>
        <w:spacing w:before="0"/>
        <w:rPr>
          <w:rFonts w:asciiTheme="minorHAnsi" w:hAnsiTheme="minorHAnsi"/>
          <w:i/>
          <w:sz w:val="24"/>
          <w:lang w:val="pl-PL"/>
        </w:rPr>
      </w:pPr>
      <w:r w:rsidRPr="00D913E7">
        <w:rPr>
          <w:rFonts w:asciiTheme="minorHAnsi" w:hAnsiTheme="minorHAnsi"/>
          <w:sz w:val="24"/>
          <w:lang w:val="pl-PL"/>
        </w:rPr>
        <w:t xml:space="preserve">i) </w:t>
      </w:r>
      <w:r w:rsidRPr="00D913E7">
        <w:rPr>
          <w:rFonts w:asciiTheme="minorHAnsi" w:hAnsiTheme="minorHAnsi"/>
          <w:i/>
          <w:sz w:val="24"/>
          <w:lang w:val="pl-PL"/>
        </w:rPr>
        <w:t xml:space="preserve">Pierwsza skarżąca </w:t>
      </w:r>
    </w:p>
    <w:p w14:paraId="3574B8F8" w14:textId="77777777" w:rsidR="00950534" w:rsidRDefault="00950534" w:rsidP="00950534">
      <w:pPr>
        <w:pStyle w:val="ClinContent"/>
        <w:widowControl w:val="0"/>
        <w:spacing w:before="0"/>
        <w:rPr>
          <w:rFonts w:asciiTheme="minorHAnsi" w:hAnsiTheme="minorHAnsi"/>
          <w:i/>
          <w:sz w:val="24"/>
          <w:lang w:val="pl-PL"/>
        </w:rPr>
      </w:pPr>
    </w:p>
    <w:p w14:paraId="59E8E15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Chociaż</w:t>
      </w:r>
      <w:r w:rsidRPr="00D913E7">
        <w:rPr>
          <w:rFonts w:asciiTheme="minorHAnsi" w:hAnsiTheme="minorHAnsi"/>
          <w:sz w:val="24"/>
          <w:lang w:val="pl-PL"/>
        </w:rPr>
        <w:t xml:space="preserve"> przyznano, że przeprowadzka byłaby nadzwyczaj </w:t>
      </w:r>
      <w:r>
        <w:rPr>
          <w:rFonts w:asciiTheme="minorHAnsi" w:hAnsiTheme="minorHAnsi"/>
          <w:sz w:val="24"/>
          <w:lang w:val="pl-PL"/>
        </w:rPr>
        <w:t xml:space="preserve">kłopotliwa </w:t>
      </w:r>
      <w:r w:rsidRPr="00D913E7">
        <w:rPr>
          <w:rFonts w:asciiTheme="minorHAnsi" w:hAnsiTheme="minorHAnsi"/>
          <w:sz w:val="24"/>
          <w:lang w:val="pl-PL"/>
        </w:rPr>
        <w:t xml:space="preserve">i wysoce niepożądana dla pierwszej skarżącej, </w:t>
      </w:r>
      <w:r>
        <w:rPr>
          <w:rFonts w:asciiTheme="minorHAnsi" w:hAnsiTheme="minorHAnsi"/>
          <w:sz w:val="24"/>
          <w:lang w:val="pl-PL"/>
        </w:rPr>
        <w:t xml:space="preserve">Trybunał uznał, że </w:t>
      </w:r>
      <w:r w:rsidRPr="00D913E7">
        <w:rPr>
          <w:rFonts w:asciiTheme="minorHAnsi" w:hAnsiTheme="minorHAnsi"/>
          <w:sz w:val="24"/>
          <w:lang w:val="pl-PL"/>
        </w:rPr>
        <w:t>przeprowadzenie się do mniejszego</w:t>
      </w:r>
      <w:r>
        <w:rPr>
          <w:rFonts w:asciiTheme="minorHAnsi" w:hAnsiTheme="minorHAnsi"/>
          <w:sz w:val="24"/>
          <w:lang w:val="pl-PL"/>
        </w:rPr>
        <w:t xml:space="preserve">, </w:t>
      </w:r>
      <w:r w:rsidRPr="00D913E7">
        <w:rPr>
          <w:rFonts w:asciiTheme="minorHAnsi" w:hAnsiTheme="minorHAnsi"/>
          <w:sz w:val="24"/>
          <w:lang w:val="pl-PL"/>
        </w:rPr>
        <w:t xml:space="preserve">odpowiednio dostosowanego mieszkania nie byłoby zasadniczo sprzeczne z uznanymi potrzebami osób </w:t>
      </w:r>
      <w:r>
        <w:rPr>
          <w:rFonts w:asciiTheme="minorHAnsi" w:hAnsiTheme="minorHAnsi"/>
          <w:sz w:val="24"/>
          <w:lang w:val="pl-PL"/>
        </w:rPr>
        <w:t xml:space="preserve">niepełnosprawnych </w:t>
      </w:r>
      <w:r w:rsidRPr="00D913E7">
        <w:rPr>
          <w:rFonts w:asciiTheme="minorHAnsi" w:hAnsiTheme="minorHAnsi"/>
          <w:sz w:val="24"/>
          <w:lang w:val="pl-PL"/>
        </w:rPr>
        <w:t>mieszk</w:t>
      </w:r>
      <w:r>
        <w:rPr>
          <w:rFonts w:asciiTheme="minorHAnsi" w:hAnsiTheme="minorHAnsi"/>
          <w:sz w:val="24"/>
          <w:lang w:val="pl-PL"/>
        </w:rPr>
        <w:t>ających w specjalnie dostosowanych mieszkaniach</w:t>
      </w:r>
      <w:r w:rsidRPr="00D913E7">
        <w:rPr>
          <w:rFonts w:asciiTheme="minorHAnsi" w:hAnsiTheme="minorHAnsi"/>
          <w:sz w:val="24"/>
          <w:lang w:val="pl-PL"/>
        </w:rPr>
        <w:t>,</w:t>
      </w:r>
      <w:r>
        <w:rPr>
          <w:rFonts w:asciiTheme="minorHAnsi" w:hAnsiTheme="minorHAnsi"/>
          <w:sz w:val="24"/>
          <w:lang w:val="pl-PL"/>
        </w:rPr>
        <w:t xml:space="preserve"> które nie potrzebują </w:t>
      </w:r>
      <w:r w:rsidRPr="00D913E7">
        <w:rPr>
          <w:rFonts w:asciiTheme="minorHAnsi" w:hAnsiTheme="minorHAnsi"/>
          <w:sz w:val="24"/>
          <w:lang w:val="pl-PL"/>
        </w:rPr>
        <w:t>„dodatkowej” sypialni</w:t>
      </w:r>
      <w:r>
        <w:rPr>
          <w:rFonts w:asciiTheme="minorHAnsi" w:hAnsiTheme="minorHAnsi"/>
          <w:sz w:val="24"/>
          <w:lang w:val="pl-PL"/>
        </w:rPr>
        <w:t xml:space="preserve"> ze względów zdrowotnych</w:t>
      </w:r>
      <w:r w:rsidRPr="00D913E7">
        <w:rPr>
          <w:rFonts w:asciiTheme="minorHAnsi" w:hAnsiTheme="minorHAnsi"/>
          <w:sz w:val="24"/>
          <w:lang w:val="pl-PL"/>
        </w:rPr>
        <w:t xml:space="preserve">. </w:t>
      </w:r>
    </w:p>
    <w:p w14:paraId="5619282F" w14:textId="77777777" w:rsidR="00950534" w:rsidRDefault="00950534" w:rsidP="00950534">
      <w:pPr>
        <w:pStyle w:val="ClinContent"/>
        <w:widowControl w:val="0"/>
        <w:spacing w:before="0"/>
        <w:rPr>
          <w:rFonts w:asciiTheme="minorHAnsi" w:hAnsiTheme="minorHAnsi"/>
          <w:sz w:val="24"/>
          <w:lang w:val="pl-PL"/>
        </w:rPr>
      </w:pPr>
    </w:p>
    <w:p w14:paraId="1E2776A8"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zgodził się, że u</w:t>
      </w:r>
      <w:r w:rsidRPr="00D913E7">
        <w:rPr>
          <w:rFonts w:asciiTheme="minorHAnsi" w:hAnsiTheme="minorHAnsi"/>
          <w:sz w:val="24"/>
          <w:lang w:val="pl-PL"/>
        </w:rPr>
        <w:t xml:space="preserve">znaniowy system dopłat mieszkaniowych </w:t>
      </w:r>
      <w:r>
        <w:rPr>
          <w:rFonts w:asciiTheme="minorHAnsi" w:hAnsiTheme="minorHAnsi"/>
          <w:sz w:val="24"/>
          <w:lang w:val="pl-PL"/>
        </w:rPr>
        <w:t>powodował istotne</w:t>
      </w:r>
      <w:r w:rsidRPr="00D913E7">
        <w:rPr>
          <w:rFonts w:asciiTheme="minorHAnsi" w:hAnsiTheme="minorHAnsi"/>
          <w:sz w:val="24"/>
          <w:lang w:val="pl-PL"/>
        </w:rPr>
        <w:t xml:space="preserve"> niedogodności, w tym między innymi </w:t>
      </w:r>
      <w:r>
        <w:rPr>
          <w:rFonts w:asciiTheme="minorHAnsi" w:hAnsiTheme="minorHAnsi"/>
          <w:sz w:val="24"/>
          <w:lang w:val="pl-PL"/>
        </w:rPr>
        <w:t xml:space="preserve">przez </w:t>
      </w:r>
      <w:r w:rsidRPr="00D913E7">
        <w:rPr>
          <w:rFonts w:asciiTheme="minorHAnsi" w:hAnsiTheme="minorHAnsi"/>
          <w:sz w:val="24"/>
          <w:lang w:val="pl-PL"/>
        </w:rPr>
        <w:t xml:space="preserve">to, że </w:t>
      </w:r>
      <w:r>
        <w:rPr>
          <w:rFonts w:asciiTheme="minorHAnsi" w:hAnsiTheme="minorHAnsi"/>
          <w:sz w:val="24"/>
          <w:lang w:val="pl-PL"/>
        </w:rPr>
        <w:t>decyzja o przyznaniu dopłat miała</w:t>
      </w:r>
      <w:r w:rsidRPr="00D913E7">
        <w:rPr>
          <w:rFonts w:asciiTheme="minorHAnsi" w:hAnsiTheme="minorHAnsi"/>
          <w:sz w:val="24"/>
          <w:lang w:val="pl-PL"/>
        </w:rPr>
        <w:t xml:space="preserve"> charakter czysto uznaniowy, a </w:t>
      </w:r>
      <w:r>
        <w:rPr>
          <w:rFonts w:asciiTheme="minorHAnsi" w:hAnsiTheme="minorHAnsi"/>
          <w:sz w:val="24"/>
          <w:lang w:val="pl-PL"/>
        </w:rPr>
        <w:t>czas, na jaki były one przyznane, nie był określony</w:t>
      </w:r>
      <w:r w:rsidRPr="00D913E7">
        <w:rPr>
          <w:rFonts w:asciiTheme="minorHAnsi" w:hAnsiTheme="minorHAnsi"/>
          <w:sz w:val="24"/>
          <w:lang w:val="pl-PL"/>
        </w:rPr>
        <w:t xml:space="preserve">. </w:t>
      </w:r>
      <w:r>
        <w:rPr>
          <w:rFonts w:asciiTheme="minorHAnsi" w:hAnsiTheme="minorHAnsi"/>
          <w:sz w:val="24"/>
          <w:lang w:val="pl-PL"/>
        </w:rPr>
        <w:t>Odnotował jednak, że pierwsza skarżąca</w:t>
      </w:r>
      <w:r w:rsidRPr="00D913E7">
        <w:rPr>
          <w:rFonts w:asciiTheme="minorHAnsi" w:hAnsiTheme="minorHAnsi"/>
          <w:sz w:val="24"/>
          <w:lang w:val="pl-PL"/>
        </w:rPr>
        <w:t xml:space="preserve"> w istocie </w:t>
      </w:r>
      <w:r>
        <w:rPr>
          <w:rFonts w:asciiTheme="minorHAnsi" w:hAnsiTheme="minorHAnsi"/>
          <w:sz w:val="24"/>
          <w:lang w:val="pl-PL"/>
        </w:rPr>
        <w:t xml:space="preserve">otrzymywała dopłaty </w:t>
      </w:r>
      <w:r w:rsidRPr="00D913E7">
        <w:rPr>
          <w:rFonts w:asciiTheme="minorHAnsi" w:hAnsiTheme="minorHAnsi"/>
          <w:sz w:val="24"/>
          <w:lang w:val="pl-PL"/>
        </w:rPr>
        <w:t xml:space="preserve">przez kilka lat po zmianie ustawodawstwa dotyczącego świadczenia mieszkaniowego. </w:t>
      </w:r>
    </w:p>
    <w:p w14:paraId="6AFFCDDD" w14:textId="77777777" w:rsidR="00950534" w:rsidRDefault="00950534" w:rsidP="00950534">
      <w:pPr>
        <w:pStyle w:val="ClinContent"/>
        <w:widowControl w:val="0"/>
        <w:spacing w:before="0"/>
        <w:rPr>
          <w:rFonts w:asciiTheme="minorHAnsi" w:hAnsiTheme="minorHAnsi"/>
          <w:sz w:val="24"/>
          <w:lang w:val="pl-PL"/>
        </w:rPr>
      </w:pPr>
    </w:p>
    <w:p w14:paraId="72899862" w14:textId="70F1519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Chociaż</w:t>
      </w:r>
      <w:r w:rsidRPr="00D913E7">
        <w:rPr>
          <w:rFonts w:asciiTheme="minorHAnsi" w:hAnsiTheme="minorHAnsi"/>
          <w:sz w:val="24"/>
          <w:lang w:val="pl-PL"/>
        </w:rPr>
        <w:t xml:space="preserve"> </w:t>
      </w:r>
      <w:r>
        <w:rPr>
          <w:rFonts w:asciiTheme="minorHAnsi" w:hAnsiTheme="minorHAnsi"/>
          <w:sz w:val="24"/>
          <w:lang w:val="pl-PL"/>
        </w:rPr>
        <w:t>Trybunał nie mógł przyjąć</w:t>
      </w:r>
      <w:r w:rsidRPr="00D913E7">
        <w:rPr>
          <w:rFonts w:asciiTheme="minorHAnsi" w:hAnsiTheme="minorHAnsi"/>
          <w:sz w:val="24"/>
          <w:lang w:val="pl-PL"/>
        </w:rPr>
        <w:t>, że uznaniowy system dopłat mieszkaniowych charakteryzował się tym samy</w:t>
      </w:r>
      <w:r>
        <w:rPr>
          <w:rFonts w:asciiTheme="minorHAnsi" w:hAnsiTheme="minorHAnsi"/>
          <w:sz w:val="24"/>
          <w:lang w:val="pl-PL"/>
        </w:rPr>
        <w:t>m</w:t>
      </w:r>
      <w:r w:rsidRPr="00D913E7">
        <w:rPr>
          <w:rFonts w:asciiTheme="minorHAnsi" w:hAnsiTheme="minorHAnsi"/>
          <w:sz w:val="24"/>
          <w:lang w:val="pl-PL"/>
        </w:rPr>
        <w:t xml:space="preserve"> poziomem pewności i stabilności co poprzednie nieobniżone świadczenie mieszkaniowe, </w:t>
      </w:r>
      <w:r>
        <w:rPr>
          <w:rFonts w:asciiTheme="minorHAnsi" w:hAnsiTheme="minorHAnsi"/>
          <w:sz w:val="24"/>
          <w:lang w:val="pl-PL"/>
        </w:rPr>
        <w:t xml:space="preserve">to jednak </w:t>
      </w:r>
      <w:r w:rsidRPr="00D913E7">
        <w:rPr>
          <w:rFonts w:asciiTheme="minorHAnsi" w:hAnsiTheme="minorHAnsi"/>
          <w:sz w:val="24"/>
          <w:lang w:val="pl-PL"/>
        </w:rPr>
        <w:t>zapewnienie go wraz z towarzyszącymi gwarancjami stanowiło wystarczająco mocny powód</w:t>
      </w:r>
      <w:r>
        <w:rPr>
          <w:rFonts w:asciiTheme="minorHAnsi" w:hAnsiTheme="minorHAnsi"/>
          <w:sz w:val="24"/>
          <w:lang w:val="pl-PL"/>
        </w:rPr>
        <w:t>, aby</w:t>
      </w:r>
      <w:r w:rsidRPr="00D913E7">
        <w:rPr>
          <w:rFonts w:asciiTheme="minorHAnsi" w:hAnsiTheme="minorHAnsi"/>
          <w:sz w:val="24"/>
          <w:lang w:val="pl-PL"/>
        </w:rPr>
        <w:t xml:space="preserve"> Trybunał</w:t>
      </w:r>
      <w:r>
        <w:rPr>
          <w:rFonts w:asciiTheme="minorHAnsi" w:hAnsiTheme="minorHAnsi"/>
          <w:sz w:val="24"/>
          <w:lang w:val="pl-PL"/>
        </w:rPr>
        <w:t xml:space="preserve"> uznał</w:t>
      </w:r>
      <w:r w:rsidRPr="00D913E7">
        <w:rPr>
          <w:rFonts w:asciiTheme="minorHAnsi" w:hAnsiTheme="minorHAnsi"/>
          <w:sz w:val="24"/>
          <w:lang w:val="pl-PL"/>
        </w:rPr>
        <w:t xml:space="preserve">, że rozwiązania przyjęte w celu wdrożenia </w:t>
      </w:r>
      <w:r>
        <w:rPr>
          <w:rFonts w:asciiTheme="minorHAnsi" w:hAnsiTheme="minorHAnsi"/>
          <w:sz w:val="24"/>
          <w:lang w:val="pl-PL"/>
        </w:rPr>
        <w:t xml:space="preserve">tego </w:t>
      </w:r>
      <w:r w:rsidRPr="00D913E7">
        <w:rPr>
          <w:rFonts w:asciiTheme="minorHAnsi" w:hAnsiTheme="minorHAnsi"/>
          <w:sz w:val="24"/>
          <w:lang w:val="pl-PL"/>
        </w:rPr>
        <w:t xml:space="preserve">środka były rozsądnie proporcjonalne do </w:t>
      </w:r>
      <w:r>
        <w:rPr>
          <w:rFonts w:asciiTheme="minorHAnsi" w:hAnsiTheme="minorHAnsi"/>
          <w:sz w:val="24"/>
          <w:lang w:val="pl-PL"/>
        </w:rPr>
        <w:t xml:space="preserve">jego </w:t>
      </w:r>
      <w:r w:rsidRPr="00D913E7">
        <w:rPr>
          <w:rFonts w:asciiTheme="minorHAnsi" w:hAnsiTheme="minorHAnsi"/>
          <w:sz w:val="24"/>
          <w:lang w:val="pl-PL"/>
        </w:rPr>
        <w:t>uprawnionego celu. W</w:t>
      </w:r>
      <w:r w:rsidR="00092E2B">
        <w:rPr>
          <w:rFonts w:asciiTheme="minorHAnsi" w:hAnsiTheme="minorHAnsi"/>
          <w:sz w:val="24"/>
          <w:lang w:val="pl-PL"/>
        </w:rPr>
        <w:t> </w:t>
      </w:r>
      <w:r w:rsidRPr="00D913E7">
        <w:rPr>
          <w:rFonts w:asciiTheme="minorHAnsi" w:hAnsiTheme="minorHAnsi"/>
          <w:sz w:val="24"/>
          <w:lang w:val="pl-PL"/>
        </w:rPr>
        <w:t xml:space="preserve">związku z powyższym stwierdzona w sprawie pierwszej skarżącej różnica w traktowaniu była uzasadniona. </w:t>
      </w:r>
    </w:p>
    <w:p w14:paraId="23A7E69B" w14:textId="77777777" w:rsidR="00950534" w:rsidRDefault="00950534" w:rsidP="00950534">
      <w:pPr>
        <w:pStyle w:val="ClinContent"/>
        <w:widowControl w:val="0"/>
        <w:spacing w:before="0"/>
        <w:rPr>
          <w:rFonts w:asciiTheme="minorHAnsi" w:hAnsiTheme="minorHAnsi"/>
          <w:sz w:val="24"/>
          <w:lang w:val="pl-PL"/>
        </w:rPr>
      </w:pPr>
    </w:p>
    <w:p w14:paraId="7B469DA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Mając na względzie te okoliczności, Trybunał jednogłośnie uznał, że nie doszło do naruszenia art. 14 Konwencji w związku z art. 1 Protokołu nr 1 do Konwencji w sprawie pierwszej skarżącej. </w:t>
      </w:r>
    </w:p>
    <w:p w14:paraId="5F1AE53C" w14:textId="77777777" w:rsidR="00950534" w:rsidRDefault="00950534" w:rsidP="00950534">
      <w:pPr>
        <w:pStyle w:val="ClinContent"/>
        <w:widowControl w:val="0"/>
        <w:spacing w:before="0"/>
        <w:rPr>
          <w:rFonts w:asciiTheme="minorHAnsi" w:hAnsiTheme="minorHAnsi"/>
          <w:sz w:val="24"/>
          <w:lang w:val="pl-PL"/>
        </w:rPr>
      </w:pPr>
    </w:p>
    <w:p w14:paraId="25D9196C" w14:textId="77777777" w:rsidR="00950534" w:rsidRDefault="00950534" w:rsidP="00950534">
      <w:pPr>
        <w:pStyle w:val="ClinContent"/>
        <w:widowControl w:val="0"/>
        <w:spacing w:before="0"/>
        <w:rPr>
          <w:rFonts w:asciiTheme="minorHAnsi" w:hAnsiTheme="minorHAnsi"/>
          <w:i/>
          <w:sz w:val="24"/>
          <w:lang w:val="pl-PL"/>
        </w:rPr>
      </w:pPr>
      <w:r w:rsidRPr="00D913E7">
        <w:rPr>
          <w:rFonts w:asciiTheme="minorHAnsi" w:hAnsiTheme="minorHAnsi"/>
          <w:sz w:val="24"/>
          <w:lang w:val="pl-PL"/>
        </w:rPr>
        <w:t xml:space="preserve">ii) </w:t>
      </w:r>
      <w:r w:rsidRPr="00D913E7">
        <w:rPr>
          <w:rFonts w:asciiTheme="minorHAnsi" w:hAnsiTheme="minorHAnsi"/>
          <w:i/>
          <w:sz w:val="24"/>
          <w:lang w:val="pl-PL"/>
        </w:rPr>
        <w:t xml:space="preserve">Druga skarżąca </w:t>
      </w:r>
    </w:p>
    <w:p w14:paraId="14B109EC" w14:textId="77777777" w:rsidR="00950534" w:rsidRDefault="00950534" w:rsidP="00950534">
      <w:pPr>
        <w:pStyle w:val="ClinContent"/>
        <w:widowControl w:val="0"/>
        <w:spacing w:before="0"/>
        <w:rPr>
          <w:rFonts w:asciiTheme="minorHAnsi" w:hAnsiTheme="minorHAnsi"/>
          <w:i/>
          <w:sz w:val="24"/>
          <w:lang w:val="pl-PL"/>
        </w:rPr>
      </w:pPr>
    </w:p>
    <w:p w14:paraId="66D6535C" w14:textId="622C85D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uznał, że w</w:t>
      </w:r>
      <w:r w:rsidRPr="00D913E7">
        <w:rPr>
          <w:rFonts w:asciiTheme="minorHAnsi" w:hAnsiTheme="minorHAnsi"/>
          <w:sz w:val="24"/>
          <w:lang w:val="pl-PL"/>
        </w:rPr>
        <w:t xml:space="preserve"> sprawie drugiej skarżącej uprawniony cel, który realizował </w:t>
      </w:r>
      <w:r>
        <w:rPr>
          <w:rFonts w:asciiTheme="minorHAnsi" w:hAnsiTheme="minorHAnsi"/>
          <w:sz w:val="24"/>
          <w:lang w:val="pl-PL"/>
        </w:rPr>
        <w:t>nowy</w:t>
      </w:r>
      <w:r w:rsidRPr="00D913E7">
        <w:rPr>
          <w:rFonts w:asciiTheme="minorHAnsi" w:hAnsiTheme="minorHAnsi"/>
          <w:sz w:val="24"/>
          <w:lang w:val="pl-PL"/>
        </w:rPr>
        <w:t xml:space="preserve"> system – zachęcenie osób z „nadmiarowymi” sypialniami do przeprowadzenia się do mniejsz</w:t>
      </w:r>
      <w:r>
        <w:rPr>
          <w:rFonts w:asciiTheme="minorHAnsi" w:hAnsiTheme="minorHAnsi"/>
          <w:sz w:val="24"/>
          <w:lang w:val="pl-PL"/>
        </w:rPr>
        <w:t xml:space="preserve">ych </w:t>
      </w:r>
      <w:r>
        <w:rPr>
          <w:rFonts w:asciiTheme="minorHAnsi" w:hAnsiTheme="minorHAnsi"/>
          <w:sz w:val="24"/>
          <w:lang w:val="pl-PL"/>
        </w:rPr>
        <w:lastRenderedPageBreak/>
        <w:t>mieszkań</w:t>
      </w:r>
      <w:r w:rsidRPr="00D913E7">
        <w:rPr>
          <w:rFonts w:asciiTheme="minorHAnsi" w:hAnsiTheme="minorHAnsi"/>
          <w:sz w:val="24"/>
          <w:lang w:val="pl-PL"/>
        </w:rPr>
        <w:t xml:space="preserve"> – pozostawał w sprzeczności z celem programu </w:t>
      </w:r>
      <w:r>
        <w:rPr>
          <w:rFonts w:asciiTheme="minorHAnsi" w:hAnsiTheme="minorHAnsi"/>
          <w:sz w:val="24"/>
          <w:lang w:val="pl-PL"/>
        </w:rPr>
        <w:t xml:space="preserve">bezpiecznego </w:t>
      </w:r>
      <w:r w:rsidRPr="00D913E7">
        <w:rPr>
          <w:rFonts w:asciiTheme="minorHAnsi" w:hAnsiTheme="minorHAnsi"/>
          <w:sz w:val="24"/>
          <w:lang w:val="pl-PL"/>
        </w:rPr>
        <w:t>schronienia</w:t>
      </w:r>
      <w:r>
        <w:rPr>
          <w:rFonts w:asciiTheme="minorHAnsi" w:hAnsiTheme="minorHAnsi"/>
          <w:sz w:val="24"/>
          <w:lang w:val="pl-PL"/>
        </w:rPr>
        <w:t xml:space="preserve">, który miał </w:t>
      </w:r>
      <w:r w:rsidRPr="00D913E7">
        <w:rPr>
          <w:rFonts w:asciiTheme="minorHAnsi" w:hAnsiTheme="minorHAnsi"/>
          <w:sz w:val="24"/>
          <w:lang w:val="pl-PL"/>
        </w:rPr>
        <w:t>umożliwi</w:t>
      </w:r>
      <w:r>
        <w:rPr>
          <w:rFonts w:asciiTheme="minorHAnsi" w:hAnsiTheme="minorHAnsi"/>
          <w:sz w:val="24"/>
          <w:lang w:val="pl-PL"/>
        </w:rPr>
        <w:t>a</w:t>
      </w:r>
      <w:r w:rsidRPr="00D913E7">
        <w:rPr>
          <w:rFonts w:asciiTheme="minorHAnsi" w:hAnsiTheme="minorHAnsi"/>
          <w:sz w:val="24"/>
          <w:lang w:val="pl-PL"/>
        </w:rPr>
        <w:t xml:space="preserve">ć osobom poważnie zagrożonym przemocą domową </w:t>
      </w:r>
      <w:r>
        <w:rPr>
          <w:rFonts w:asciiTheme="minorHAnsi" w:hAnsiTheme="minorHAnsi"/>
          <w:sz w:val="24"/>
          <w:lang w:val="pl-PL"/>
        </w:rPr>
        <w:t xml:space="preserve">bezpieczne </w:t>
      </w:r>
      <w:r w:rsidRPr="00D913E7">
        <w:rPr>
          <w:rFonts w:asciiTheme="minorHAnsi" w:hAnsiTheme="minorHAnsi"/>
          <w:sz w:val="24"/>
          <w:lang w:val="pl-PL"/>
        </w:rPr>
        <w:t>pozostanie w</w:t>
      </w:r>
      <w:r w:rsidR="00092E2B">
        <w:rPr>
          <w:rFonts w:asciiTheme="minorHAnsi" w:hAnsiTheme="minorHAnsi"/>
          <w:sz w:val="24"/>
          <w:lang w:val="pl-PL"/>
        </w:rPr>
        <w:t> </w:t>
      </w:r>
      <w:r w:rsidRPr="00D913E7">
        <w:rPr>
          <w:rFonts w:asciiTheme="minorHAnsi" w:hAnsiTheme="minorHAnsi"/>
          <w:sz w:val="24"/>
          <w:lang w:val="pl-PL"/>
        </w:rPr>
        <w:t xml:space="preserve">swych mieszkaniach, jeśli sobie tego życzyły. </w:t>
      </w:r>
    </w:p>
    <w:p w14:paraId="4748EC34" w14:textId="77777777" w:rsidR="00950534" w:rsidRDefault="00950534" w:rsidP="00950534">
      <w:pPr>
        <w:pStyle w:val="ClinContent"/>
        <w:widowControl w:val="0"/>
        <w:spacing w:before="0"/>
        <w:rPr>
          <w:rFonts w:asciiTheme="minorHAnsi" w:hAnsiTheme="minorHAnsi"/>
          <w:sz w:val="24"/>
          <w:lang w:val="pl-PL"/>
        </w:rPr>
      </w:pPr>
    </w:p>
    <w:p w14:paraId="539A636D" w14:textId="5DF75A72" w:rsidR="00950534" w:rsidRDefault="00950534" w:rsidP="00950534">
      <w:pPr>
        <w:pStyle w:val="ClinContent"/>
        <w:widowControl w:val="0"/>
        <w:spacing w:before="0"/>
        <w:rPr>
          <w:rFonts w:asciiTheme="minorHAnsi" w:hAnsiTheme="minorHAnsi"/>
          <w:sz w:val="24"/>
          <w:lang w:val="pl-PL"/>
        </w:rPr>
      </w:pPr>
      <w:r w:rsidRPr="00D913E7">
        <w:rPr>
          <w:rFonts w:asciiTheme="minorHAnsi" w:hAnsiTheme="minorHAnsi"/>
          <w:sz w:val="24"/>
          <w:lang w:val="pl-PL"/>
        </w:rPr>
        <w:t xml:space="preserve">Mając na uwadze te dwa uprawnione, </w:t>
      </w:r>
      <w:r>
        <w:rPr>
          <w:rFonts w:asciiTheme="minorHAnsi" w:hAnsiTheme="minorHAnsi"/>
          <w:sz w:val="24"/>
          <w:lang w:val="pl-PL"/>
        </w:rPr>
        <w:t>chociaż</w:t>
      </w:r>
      <w:r w:rsidRPr="00D913E7">
        <w:rPr>
          <w:rFonts w:asciiTheme="minorHAnsi" w:hAnsiTheme="minorHAnsi"/>
          <w:sz w:val="24"/>
          <w:lang w:val="pl-PL"/>
        </w:rPr>
        <w:t xml:space="preserve"> sprzeczne ze sobą cele, Trybunał uznał, że</w:t>
      </w:r>
      <w:r w:rsidR="00092E2B">
        <w:rPr>
          <w:rFonts w:asciiTheme="minorHAnsi" w:hAnsiTheme="minorHAnsi"/>
          <w:sz w:val="24"/>
          <w:lang w:val="pl-PL"/>
        </w:rPr>
        <w:t> </w:t>
      </w:r>
      <w:r w:rsidRPr="00D913E7">
        <w:rPr>
          <w:rFonts w:asciiTheme="minorHAnsi" w:hAnsiTheme="minorHAnsi"/>
          <w:sz w:val="24"/>
          <w:lang w:val="pl-PL"/>
        </w:rPr>
        <w:t>traktowanie drugiej skarżącej – lub innych osób korzystających z programów</w:t>
      </w:r>
      <w:r>
        <w:rPr>
          <w:rFonts w:asciiTheme="minorHAnsi" w:hAnsiTheme="minorHAnsi"/>
          <w:sz w:val="24"/>
          <w:lang w:val="pl-PL"/>
        </w:rPr>
        <w:t xml:space="preserve"> bezpiecznego</w:t>
      </w:r>
      <w:r w:rsidRPr="00D913E7">
        <w:rPr>
          <w:rFonts w:asciiTheme="minorHAnsi" w:hAnsiTheme="minorHAnsi"/>
          <w:sz w:val="24"/>
          <w:lang w:val="pl-PL"/>
        </w:rPr>
        <w:t xml:space="preserve"> schronienia – w ten sam sposób, co </w:t>
      </w:r>
      <w:r>
        <w:rPr>
          <w:rFonts w:asciiTheme="minorHAnsi" w:hAnsiTheme="minorHAnsi"/>
          <w:sz w:val="24"/>
          <w:lang w:val="pl-PL"/>
        </w:rPr>
        <w:t>pozostałych o</w:t>
      </w:r>
      <w:r w:rsidRPr="00D913E7">
        <w:rPr>
          <w:rFonts w:asciiTheme="minorHAnsi" w:hAnsiTheme="minorHAnsi"/>
          <w:sz w:val="24"/>
          <w:lang w:val="pl-PL"/>
        </w:rPr>
        <w:t>sób korzystających ze</w:t>
      </w:r>
      <w:r w:rsidR="00092E2B">
        <w:rPr>
          <w:rFonts w:asciiTheme="minorHAnsi" w:hAnsiTheme="minorHAnsi"/>
          <w:sz w:val="24"/>
          <w:lang w:val="pl-PL"/>
        </w:rPr>
        <w:t> </w:t>
      </w:r>
      <w:r w:rsidRPr="00D913E7">
        <w:rPr>
          <w:rFonts w:asciiTheme="minorHAnsi" w:hAnsiTheme="minorHAnsi"/>
          <w:sz w:val="24"/>
          <w:lang w:val="pl-PL"/>
        </w:rPr>
        <w:t>świadczenia mieszkaniowego</w:t>
      </w:r>
      <w:r>
        <w:rPr>
          <w:rFonts w:asciiTheme="minorHAnsi" w:hAnsiTheme="minorHAnsi"/>
          <w:sz w:val="24"/>
          <w:lang w:val="pl-PL"/>
        </w:rPr>
        <w:t xml:space="preserve"> i</w:t>
      </w:r>
      <w:r w:rsidRPr="00D913E7">
        <w:rPr>
          <w:rFonts w:asciiTheme="minorHAnsi" w:hAnsiTheme="minorHAnsi"/>
          <w:sz w:val="24"/>
          <w:lang w:val="pl-PL"/>
        </w:rPr>
        <w:t xml:space="preserve"> dotkniętych przez zakwestionowany środek, wywierało nieproporcjonalny wpływ w tym sensie, że nie odpowiadało uprawnionemu celowi tego środka. Rząd nie przedstawił żadnych </w:t>
      </w:r>
      <w:r>
        <w:rPr>
          <w:rFonts w:asciiTheme="minorHAnsi" w:hAnsiTheme="minorHAnsi"/>
          <w:sz w:val="24"/>
          <w:lang w:val="pl-PL"/>
        </w:rPr>
        <w:t>istotnych</w:t>
      </w:r>
      <w:r w:rsidRPr="00D913E7">
        <w:rPr>
          <w:rFonts w:asciiTheme="minorHAnsi" w:hAnsiTheme="minorHAnsi"/>
          <w:sz w:val="24"/>
          <w:lang w:val="pl-PL"/>
        </w:rPr>
        <w:t xml:space="preserve"> powodów, </w:t>
      </w:r>
      <w:r>
        <w:rPr>
          <w:rFonts w:asciiTheme="minorHAnsi" w:hAnsiTheme="minorHAnsi"/>
          <w:sz w:val="24"/>
          <w:lang w:val="pl-PL"/>
        </w:rPr>
        <w:t>dla których cel realizowany przez nowy system powinien mieć pierwszeństwo</w:t>
      </w:r>
      <w:r w:rsidRPr="00D913E7">
        <w:rPr>
          <w:rFonts w:asciiTheme="minorHAnsi" w:hAnsiTheme="minorHAnsi"/>
          <w:sz w:val="24"/>
          <w:lang w:val="pl-PL"/>
        </w:rPr>
        <w:t xml:space="preserve"> nad umożliwieniem ofiarom przemocy domowej, korzystającym z programów</w:t>
      </w:r>
      <w:r>
        <w:rPr>
          <w:rFonts w:asciiTheme="minorHAnsi" w:hAnsiTheme="minorHAnsi"/>
          <w:sz w:val="24"/>
          <w:lang w:val="pl-PL"/>
        </w:rPr>
        <w:t xml:space="preserve"> bezpiecznego</w:t>
      </w:r>
      <w:r w:rsidRPr="00D913E7">
        <w:rPr>
          <w:rFonts w:asciiTheme="minorHAnsi" w:hAnsiTheme="minorHAnsi"/>
          <w:sz w:val="24"/>
          <w:lang w:val="pl-PL"/>
        </w:rPr>
        <w:t xml:space="preserve"> schronienia, pozostania w swych mieszkaniach. W tym kontekście zapewnianie uznaniowych dopłat mieszkaniowych nie mogło sprawić, by użyte środki stały się proporcjonalne do realizowanego celu, gdy</w:t>
      </w:r>
      <w:r>
        <w:rPr>
          <w:rFonts w:asciiTheme="minorHAnsi" w:hAnsiTheme="minorHAnsi"/>
          <w:sz w:val="24"/>
          <w:lang w:val="pl-PL"/>
        </w:rPr>
        <w:t>ż</w:t>
      </w:r>
      <w:r w:rsidR="00092E2B">
        <w:rPr>
          <w:rFonts w:asciiTheme="minorHAnsi" w:hAnsiTheme="minorHAnsi"/>
          <w:sz w:val="24"/>
          <w:lang w:val="pl-PL"/>
        </w:rPr>
        <w:t> </w:t>
      </w:r>
      <w:r>
        <w:rPr>
          <w:rFonts w:asciiTheme="minorHAnsi" w:hAnsiTheme="minorHAnsi"/>
          <w:sz w:val="24"/>
          <w:lang w:val="pl-PL"/>
        </w:rPr>
        <w:t xml:space="preserve">świadczenia te były częścią </w:t>
      </w:r>
      <w:r w:rsidRPr="00D913E7">
        <w:rPr>
          <w:rFonts w:asciiTheme="minorHAnsi" w:hAnsiTheme="minorHAnsi"/>
          <w:sz w:val="24"/>
          <w:lang w:val="pl-PL"/>
        </w:rPr>
        <w:t>systemu mającego na celu zachęcenie mieszkańców do</w:t>
      </w:r>
      <w:r w:rsidR="00092E2B">
        <w:rPr>
          <w:rFonts w:asciiTheme="minorHAnsi" w:hAnsiTheme="minorHAnsi"/>
          <w:sz w:val="24"/>
          <w:lang w:val="pl-PL"/>
        </w:rPr>
        <w:t> </w:t>
      </w:r>
      <w:r w:rsidRPr="00D913E7">
        <w:rPr>
          <w:rFonts w:asciiTheme="minorHAnsi" w:hAnsiTheme="minorHAnsi"/>
          <w:i/>
          <w:sz w:val="24"/>
          <w:lang w:val="pl-PL"/>
        </w:rPr>
        <w:t xml:space="preserve">opuszczenia </w:t>
      </w:r>
      <w:r>
        <w:rPr>
          <w:rFonts w:asciiTheme="minorHAnsi" w:hAnsiTheme="minorHAnsi"/>
          <w:sz w:val="24"/>
          <w:lang w:val="pl-PL"/>
        </w:rPr>
        <w:t>swych</w:t>
      </w:r>
      <w:r w:rsidRPr="00D913E7">
        <w:rPr>
          <w:rFonts w:asciiTheme="minorHAnsi" w:hAnsiTheme="minorHAnsi"/>
          <w:sz w:val="24"/>
          <w:lang w:val="pl-PL"/>
        </w:rPr>
        <w:t xml:space="preserve"> mieszkań, jak </w:t>
      </w:r>
      <w:r>
        <w:rPr>
          <w:rFonts w:asciiTheme="minorHAnsi" w:hAnsiTheme="minorHAnsi"/>
          <w:sz w:val="24"/>
          <w:lang w:val="pl-PL"/>
        </w:rPr>
        <w:t xml:space="preserve">to pokazały omówione </w:t>
      </w:r>
      <w:r w:rsidRPr="00D913E7">
        <w:rPr>
          <w:rFonts w:asciiTheme="minorHAnsi" w:hAnsiTheme="minorHAnsi"/>
          <w:sz w:val="24"/>
          <w:lang w:val="pl-PL"/>
        </w:rPr>
        <w:t xml:space="preserve">niedogodności tego systemu. </w:t>
      </w:r>
    </w:p>
    <w:p w14:paraId="64E532F3" w14:textId="77777777" w:rsidR="00950534" w:rsidRDefault="00950534" w:rsidP="00950534">
      <w:pPr>
        <w:pStyle w:val="ClinContent"/>
        <w:widowControl w:val="0"/>
        <w:spacing w:before="0"/>
        <w:rPr>
          <w:rFonts w:asciiTheme="minorHAnsi" w:hAnsiTheme="minorHAnsi"/>
          <w:sz w:val="24"/>
          <w:lang w:val="pl-PL"/>
        </w:rPr>
      </w:pPr>
    </w:p>
    <w:p w14:paraId="47E072C3" w14:textId="719F2634" w:rsidR="00950534" w:rsidRPr="00487365" w:rsidRDefault="00950534" w:rsidP="00950534">
      <w:pPr>
        <w:pStyle w:val="ClinContent"/>
        <w:widowControl w:val="0"/>
        <w:spacing w:before="0"/>
        <w:rPr>
          <w:rFonts w:asciiTheme="minorHAnsi" w:hAnsiTheme="minorHAnsi"/>
          <w:sz w:val="24"/>
          <w:lang w:val="pl-PL"/>
        </w:rPr>
      </w:pPr>
      <w:r w:rsidRPr="00D913E7">
        <w:rPr>
          <w:rFonts w:asciiTheme="minorHAnsi" w:hAnsiTheme="minorHAnsi"/>
          <w:sz w:val="24"/>
          <w:lang w:val="pl-PL"/>
        </w:rPr>
        <w:t>W związku z powyższym zastosowanie zmiany ustawowej do tej małej i łatw</w:t>
      </w:r>
      <w:r>
        <w:rPr>
          <w:rFonts w:asciiTheme="minorHAnsi" w:hAnsiTheme="minorHAnsi"/>
          <w:sz w:val="24"/>
          <w:lang w:val="pl-PL"/>
        </w:rPr>
        <w:t>ej do</w:t>
      </w:r>
      <w:r w:rsidR="00092E2B">
        <w:rPr>
          <w:rFonts w:asciiTheme="minorHAnsi" w:hAnsiTheme="minorHAnsi"/>
          <w:sz w:val="24"/>
          <w:lang w:val="pl-PL"/>
        </w:rPr>
        <w:t> </w:t>
      </w:r>
      <w:r>
        <w:rPr>
          <w:rFonts w:asciiTheme="minorHAnsi" w:hAnsiTheme="minorHAnsi"/>
          <w:sz w:val="24"/>
          <w:lang w:val="pl-PL"/>
        </w:rPr>
        <w:t>z</w:t>
      </w:r>
      <w:r w:rsidRPr="00D913E7">
        <w:rPr>
          <w:rFonts w:asciiTheme="minorHAnsi" w:hAnsiTheme="minorHAnsi"/>
          <w:sz w:val="24"/>
          <w:lang w:val="pl-PL"/>
        </w:rPr>
        <w:t>identyfikowa</w:t>
      </w:r>
      <w:r>
        <w:rPr>
          <w:rFonts w:asciiTheme="minorHAnsi" w:hAnsiTheme="minorHAnsi"/>
          <w:sz w:val="24"/>
          <w:lang w:val="pl-PL"/>
        </w:rPr>
        <w:t>nia</w:t>
      </w:r>
      <w:r w:rsidRPr="00D913E7">
        <w:rPr>
          <w:rFonts w:asciiTheme="minorHAnsi" w:hAnsiTheme="minorHAnsi"/>
          <w:sz w:val="24"/>
          <w:lang w:val="pl-PL"/>
        </w:rPr>
        <w:t xml:space="preserve"> grupy osób było </w:t>
      </w:r>
      <w:r>
        <w:rPr>
          <w:rFonts w:asciiTheme="minorHAnsi" w:hAnsiTheme="minorHAnsi"/>
          <w:sz w:val="24"/>
          <w:lang w:val="pl-PL"/>
        </w:rPr>
        <w:t xml:space="preserve">w opinii Trybunału </w:t>
      </w:r>
      <w:r w:rsidRPr="00D913E7">
        <w:rPr>
          <w:rFonts w:asciiTheme="minorHAnsi" w:hAnsiTheme="minorHAnsi"/>
          <w:sz w:val="24"/>
          <w:lang w:val="pl-PL"/>
        </w:rPr>
        <w:t xml:space="preserve">nieuzasadnione i dyskryminacyjne. </w:t>
      </w:r>
      <w:r w:rsidRPr="00487365">
        <w:rPr>
          <w:rFonts w:asciiTheme="minorHAnsi" w:hAnsiTheme="minorHAnsi"/>
          <w:sz w:val="24"/>
          <w:lang w:val="pl-PL"/>
        </w:rPr>
        <w:t xml:space="preserve">Trybunał przypomniał również, że orzekał w kontekście przemocy domowej, że państwo ma obowiązek </w:t>
      </w:r>
      <w:r>
        <w:rPr>
          <w:rFonts w:asciiTheme="minorHAnsi" w:hAnsiTheme="minorHAnsi"/>
          <w:sz w:val="24"/>
          <w:lang w:val="pl-PL"/>
        </w:rPr>
        <w:t>o</w:t>
      </w:r>
      <w:r w:rsidRPr="00487365">
        <w:rPr>
          <w:rFonts w:asciiTheme="minorHAnsi" w:hAnsiTheme="minorHAnsi"/>
          <w:sz w:val="24"/>
          <w:lang w:val="pl-PL"/>
        </w:rPr>
        <w:t xml:space="preserve">chrony integralności fizycznej i psychicznej </w:t>
      </w:r>
      <w:r>
        <w:rPr>
          <w:rFonts w:asciiTheme="minorHAnsi" w:hAnsiTheme="minorHAnsi"/>
          <w:sz w:val="24"/>
          <w:lang w:val="pl-PL"/>
        </w:rPr>
        <w:t>osoby przed zagrożeniami ze strony innych osób, także w sytuacjach, gdy w grę wchodzi prawo osoby do korzystania ze swego mieszkania bez gwałtownych zakłóceń.</w:t>
      </w:r>
    </w:p>
    <w:p w14:paraId="089F7E8E" w14:textId="77777777" w:rsidR="00950534" w:rsidRPr="00487365" w:rsidRDefault="00950534" w:rsidP="00950534">
      <w:pPr>
        <w:pStyle w:val="ClinContent"/>
        <w:widowControl w:val="0"/>
        <w:spacing w:before="0"/>
        <w:rPr>
          <w:rFonts w:asciiTheme="minorHAnsi" w:hAnsiTheme="minorHAnsi"/>
          <w:sz w:val="24"/>
          <w:lang w:val="pl-PL"/>
        </w:rPr>
      </w:pPr>
    </w:p>
    <w:p w14:paraId="69C6CDA6" w14:textId="166CC359"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Mając to na względzie, Trybunał stwierdził, </w:t>
      </w:r>
      <w:r w:rsidRPr="00D913E7">
        <w:rPr>
          <w:rFonts w:asciiTheme="minorHAnsi" w:hAnsiTheme="minorHAnsi"/>
          <w:sz w:val="24"/>
          <w:lang w:val="pl-PL"/>
        </w:rPr>
        <w:t>pięcioma głosami do dwóch</w:t>
      </w:r>
      <w:r>
        <w:rPr>
          <w:rFonts w:asciiTheme="minorHAnsi" w:hAnsiTheme="minorHAnsi"/>
          <w:sz w:val="24"/>
          <w:lang w:val="pl-PL"/>
        </w:rPr>
        <w:t>, że doszło do</w:t>
      </w:r>
      <w:r w:rsidR="00092E2B">
        <w:rPr>
          <w:rFonts w:asciiTheme="minorHAnsi" w:hAnsiTheme="minorHAnsi"/>
          <w:sz w:val="24"/>
          <w:lang w:val="pl-PL"/>
        </w:rPr>
        <w:t> </w:t>
      </w:r>
      <w:r>
        <w:rPr>
          <w:rFonts w:asciiTheme="minorHAnsi" w:hAnsiTheme="minorHAnsi"/>
          <w:sz w:val="24"/>
          <w:lang w:val="pl-PL"/>
        </w:rPr>
        <w:t xml:space="preserve">naruszenia art. 14 Konwencji w związku z art. 1 Protokołu nr 1 do Konwencji w sprawie drugiej skarżącej. </w:t>
      </w:r>
    </w:p>
    <w:p w14:paraId="0ACC3EC3" w14:textId="77777777" w:rsidR="00950534" w:rsidRDefault="00950534" w:rsidP="00950534">
      <w:pPr>
        <w:pStyle w:val="ClinContent"/>
        <w:widowControl w:val="0"/>
        <w:spacing w:before="0"/>
        <w:rPr>
          <w:rFonts w:asciiTheme="minorHAnsi" w:hAnsiTheme="minorHAnsi"/>
          <w:sz w:val="24"/>
          <w:lang w:val="pl-PL"/>
        </w:rPr>
      </w:pPr>
    </w:p>
    <w:p w14:paraId="58907011"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Na tej podstawie Trybunał zasądził na rzecz </w:t>
      </w:r>
      <w:r w:rsidRPr="00D913E7">
        <w:rPr>
          <w:rFonts w:asciiTheme="minorHAnsi" w:hAnsiTheme="minorHAnsi"/>
          <w:sz w:val="24"/>
          <w:lang w:val="pl-PL"/>
        </w:rPr>
        <w:t xml:space="preserve">drugiej skarżącej </w:t>
      </w:r>
      <w:r>
        <w:rPr>
          <w:rFonts w:asciiTheme="minorHAnsi" w:hAnsiTheme="minorHAnsi"/>
          <w:sz w:val="24"/>
          <w:lang w:val="pl-PL"/>
        </w:rPr>
        <w:t xml:space="preserve">kwotę </w:t>
      </w:r>
      <w:r w:rsidRPr="00D913E7">
        <w:rPr>
          <w:rFonts w:asciiTheme="minorHAnsi" w:hAnsiTheme="minorHAnsi"/>
          <w:sz w:val="24"/>
          <w:lang w:val="pl-PL"/>
        </w:rPr>
        <w:t>10 000 euro tytułem szkody niemajątkowej.</w:t>
      </w:r>
      <w:r>
        <w:rPr>
          <w:rFonts w:asciiTheme="minorHAnsi" w:hAnsiTheme="minorHAnsi"/>
          <w:sz w:val="24"/>
          <w:lang w:val="pl-PL"/>
        </w:rPr>
        <w:t xml:space="preserve"> </w:t>
      </w:r>
    </w:p>
    <w:p w14:paraId="382822FA" w14:textId="77777777" w:rsidR="00950534" w:rsidRDefault="00950534" w:rsidP="00950534">
      <w:pPr>
        <w:pStyle w:val="ClinContent"/>
        <w:widowControl w:val="0"/>
        <w:spacing w:before="0"/>
        <w:rPr>
          <w:rFonts w:asciiTheme="minorHAnsi" w:hAnsiTheme="minorHAnsi" w:cs="Verdana"/>
          <w:bCs/>
          <w:sz w:val="24"/>
          <w:u w:val="single"/>
          <w:lang w:val="pl-PL"/>
        </w:rPr>
      </w:pPr>
    </w:p>
    <w:p w14:paraId="76D2B2C0" w14:textId="3ED0CBF3"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t>
      </w:r>
      <w:r>
        <w:rPr>
          <w:rFonts w:asciiTheme="minorHAnsi" w:hAnsiTheme="minorHAnsi"/>
          <w:sz w:val="24"/>
          <w:lang w:val="pl-PL"/>
        </w:rPr>
        <w:t>Wyrok stanowi doprecyzowanie kryteriów, według których Trybunał ocenia rozwiązania z polityki gospodarczej i społecznej pod kątem zgodności z</w:t>
      </w:r>
      <w:r w:rsidR="00092E2B">
        <w:rPr>
          <w:rFonts w:asciiTheme="minorHAnsi" w:hAnsiTheme="minorHAnsi"/>
          <w:sz w:val="24"/>
          <w:lang w:val="pl-PL"/>
        </w:rPr>
        <w:t> </w:t>
      </w:r>
      <w:r>
        <w:rPr>
          <w:rFonts w:asciiTheme="minorHAnsi" w:hAnsiTheme="minorHAnsi"/>
          <w:sz w:val="24"/>
          <w:lang w:val="pl-PL"/>
        </w:rPr>
        <w:t xml:space="preserve">zakazem dyskryminacji i ochroną własności. </w:t>
      </w:r>
      <w:r w:rsidRPr="00490945">
        <w:rPr>
          <w:rFonts w:asciiTheme="minorHAnsi" w:hAnsiTheme="minorHAnsi" w:cs="Verdana"/>
          <w:bCs/>
          <w:sz w:val="24"/>
          <w:lang w:val="pl-PL"/>
        </w:rPr>
        <w:t xml:space="preserve">Wyrok </w:t>
      </w:r>
      <w:r>
        <w:rPr>
          <w:rFonts w:asciiTheme="minorHAnsi" w:hAnsiTheme="minorHAnsi" w:cs="Verdana"/>
          <w:bCs/>
          <w:sz w:val="24"/>
          <w:lang w:val="pl-PL"/>
        </w:rPr>
        <w:t xml:space="preserve">odnosi się do problematyki dyskryminacji pośredniej i wskazuje na konieczność uwzględnienia szczególnego wpływu danego środka ustawowego na sytuację osób, których okoliczności osobiste są istotnie różne od sytuacji większości osób dotkniętych tym środkiem. Trybunał potwierdza co do zasady dopuszczalność przejściowego różnego traktowania osób z uwagi na płeć lub niepełnosprawność, jeśli ma to na celu </w:t>
      </w:r>
      <w:r>
        <w:rPr>
          <w:rFonts w:asciiTheme="minorHAnsi" w:hAnsiTheme="minorHAnsi"/>
          <w:sz w:val="24"/>
          <w:lang w:val="pl-PL"/>
        </w:rPr>
        <w:t>skorygowanie wieloletnich</w:t>
      </w:r>
      <w:r w:rsidRPr="00D913E7">
        <w:rPr>
          <w:rFonts w:asciiTheme="minorHAnsi" w:hAnsiTheme="minorHAnsi"/>
          <w:sz w:val="24"/>
          <w:lang w:val="pl-PL"/>
        </w:rPr>
        <w:t xml:space="preserve"> nierówności</w:t>
      </w:r>
      <w:r>
        <w:rPr>
          <w:rFonts w:asciiTheme="minorHAnsi" w:hAnsiTheme="minorHAnsi"/>
          <w:sz w:val="24"/>
          <w:lang w:val="pl-PL"/>
        </w:rPr>
        <w:t>. W</w:t>
      </w:r>
      <w:r w:rsidR="00092E2B">
        <w:rPr>
          <w:rFonts w:asciiTheme="minorHAnsi" w:hAnsiTheme="minorHAnsi"/>
          <w:sz w:val="24"/>
          <w:lang w:val="pl-PL"/>
        </w:rPr>
        <w:t> </w:t>
      </w:r>
      <w:r>
        <w:rPr>
          <w:rFonts w:asciiTheme="minorHAnsi" w:hAnsiTheme="minorHAnsi"/>
          <w:sz w:val="24"/>
          <w:lang w:val="pl-PL"/>
        </w:rPr>
        <w:t>przeciwnym razie różne traktowanie w oparciu o te przesłanki wymaga wykazania poważnych powodów. W omawianej sprawie Trybunał uznał, że cele reformy systemu świadczeń mieszkaniowych (takie jak ochrona wydatków publicznych) nie były ważniejsze niż</w:t>
      </w:r>
      <w:r w:rsidR="00092E2B">
        <w:rPr>
          <w:rFonts w:asciiTheme="minorHAnsi" w:hAnsiTheme="minorHAnsi"/>
          <w:sz w:val="24"/>
          <w:lang w:val="pl-PL"/>
        </w:rPr>
        <w:t> </w:t>
      </w:r>
      <w:r>
        <w:rPr>
          <w:rFonts w:asciiTheme="minorHAnsi" w:hAnsiTheme="minorHAnsi"/>
          <w:sz w:val="24"/>
          <w:lang w:val="pl-PL"/>
        </w:rPr>
        <w:t xml:space="preserve">cele programu ochrony osób przed przemocą domową. Wytknął także fakt, że organy krajowe nie wykazały, dlaczego uznały pierwszy cel za ważniejszy od drugiego. </w:t>
      </w:r>
    </w:p>
    <w:p w14:paraId="0C20591A" w14:textId="77777777" w:rsidR="00950534" w:rsidRDefault="00950534" w:rsidP="00950534">
      <w:pPr>
        <w:pStyle w:val="ClinContent"/>
        <w:widowControl w:val="0"/>
        <w:spacing w:before="0"/>
        <w:rPr>
          <w:rFonts w:asciiTheme="minorHAnsi" w:hAnsiTheme="minorHAnsi" w:cs="Verdana"/>
          <w:bCs/>
          <w:sz w:val="24"/>
          <w:lang w:val="pl-PL"/>
        </w:rPr>
      </w:pPr>
    </w:p>
    <w:p w14:paraId="5006FCE8"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 xml:space="preserve">Wyrok może mieć w szczególności znaczenie dla Pełnomocnika Rządu ds. Równego Traktowania, Pełnomocnika Rządu ds. Osób Niepełnosprawnych, sądów rozpatrujących sprawy dotyczące dyskryminacji, organów właściwych do spraw lokali socjalnych i dodatków </w:t>
      </w:r>
      <w:r>
        <w:rPr>
          <w:rFonts w:asciiTheme="minorHAnsi" w:hAnsiTheme="minorHAnsi" w:cs="Verdana"/>
          <w:bCs/>
          <w:sz w:val="24"/>
          <w:lang w:val="pl-PL"/>
        </w:rPr>
        <w:lastRenderedPageBreak/>
        <w:t xml:space="preserve">mieszkaniowych, pomocy społecznej i przemocy domowej, Ministerstwa Infrastruktury, Ministerstwa Rodziny i Polityki Społecznej, Ministerstwa Sprawiedliwości, Ministerstwa Spraw Wewnętrznych i Administracji, Trybunału Konstytucyjnego, Naczelnego Sądu Administracyjnego, Sądu Najwyższego. </w:t>
      </w:r>
    </w:p>
    <w:p w14:paraId="37212E8B" w14:textId="77777777" w:rsidR="00950534" w:rsidRDefault="00950534" w:rsidP="00950534">
      <w:pPr>
        <w:pStyle w:val="ClinContent"/>
        <w:widowControl w:val="0"/>
        <w:spacing w:before="0"/>
        <w:rPr>
          <w:rFonts w:asciiTheme="minorHAnsi" w:hAnsiTheme="minorHAnsi" w:cs="Verdana"/>
          <w:bCs/>
          <w:sz w:val="24"/>
          <w:lang w:val="pl-PL"/>
        </w:rPr>
      </w:pPr>
    </w:p>
    <w:p w14:paraId="0F03514F" w14:textId="77777777" w:rsidR="00950534" w:rsidRDefault="00950534" w:rsidP="00950534">
      <w:pPr>
        <w:pStyle w:val="ClinContent"/>
        <w:widowControl w:val="0"/>
        <w:spacing w:before="0"/>
        <w:rPr>
          <w:rFonts w:asciiTheme="minorHAnsi" w:hAnsiTheme="minorHAnsi" w:cs="Verdana"/>
          <w:bCs/>
          <w:sz w:val="24"/>
          <w:lang w:val="pl-PL"/>
        </w:rPr>
      </w:pPr>
    </w:p>
    <w:p w14:paraId="0D52E9C4"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11" w:name="_Toc35632474"/>
      <w:r w:rsidRPr="00A450C9">
        <w:rPr>
          <w:rFonts w:asciiTheme="minorHAnsi" w:hAnsiTheme="minorHAnsi"/>
          <w:i/>
          <w:color w:val="auto"/>
          <w:sz w:val="24"/>
          <w:szCs w:val="24"/>
        </w:rPr>
        <w:t>Khan p. Francji</w:t>
      </w:r>
      <w:r w:rsidRPr="00077E55">
        <w:rPr>
          <w:rFonts w:asciiTheme="minorHAnsi" w:hAnsiTheme="minorHAnsi"/>
          <w:color w:val="auto"/>
          <w:sz w:val="24"/>
          <w:szCs w:val="24"/>
        </w:rPr>
        <w:t>, skarga nr 12267/16, wyrok Izby z dnia 28 lutego 2019 r.</w:t>
      </w:r>
      <w:bookmarkEnd w:id="11"/>
    </w:p>
    <w:p w14:paraId="40DEC22B" w14:textId="3847EE4C" w:rsidR="00950534" w:rsidRDefault="00950534" w:rsidP="00950534">
      <w:pPr>
        <w:pStyle w:val="Akapitzlist"/>
        <w:widowControl w:val="0"/>
        <w:numPr>
          <w:ilvl w:val="0"/>
          <w:numId w:val="17"/>
        </w:numPr>
        <w:spacing w:after="0" w:line="240" w:lineRule="auto"/>
        <w:ind w:left="426"/>
        <w:jc w:val="both"/>
        <w:outlineLvl w:val="2"/>
        <w:rPr>
          <w:b/>
          <w:color w:val="000000" w:themeColor="text1"/>
          <w:sz w:val="24"/>
          <w:szCs w:val="24"/>
          <w:lang w:val="pl-PL"/>
        </w:rPr>
      </w:pPr>
      <w:r>
        <w:rPr>
          <w:b/>
          <w:color w:val="000000" w:themeColor="text1"/>
          <w:sz w:val="24"/>
          <w:szCs w:val="24"/>
          <w:lang w:val="pl-PL"/>
        </w:rPr>
        <w:t>naruszenie art. 3 Konwencji (zakaz tortur – aspekt poniżającego traktowania) z uwagi na n</w:t>
      </w:r>
      <w:r w:rsidRPr="00097BCF">
        <w:rPr>
          <w:b/>
          <w:color w:val="000000" w:themeColor="text1"/>
          <w:sz w:val="24"/>
          <w:szCs w:val="24"/>
          <w:lang w:val="pl-PL"/>
        </w:rPr>
        <w:t xml:space="preserve">iepewne warunki życia małoletniego cudzoziemca </w:t>
      </w:r>
      <w:r>
        <w:rPr>
          <w:b/>
          <w:color w:val="000000" w:themeColor="text1"/>
          <w:sz w:val="24"/>
          <w:szCs w:val="24"/>
          <w:lang w:val="pl-PL"/>
        </w:rPr>
        <w:t>pozbawionego</w:t>
      </w:r>
      <w:r w:rsidRPr="00097BCF">
        <w:rPr>
          <w:b/>
          <w:color w:val="000000" w:themeColor="text1"/>
          <w:sz w:val="24"/>
          <w:szCs w:val="24"/>
          <w:lang w:val="pl-PL"/>
        </w:rPr>
        <w:t xml:space="preserve"> opieki w </w:t>
      </w:r>
      <w:r>
        <w:rPr>
          <w:b/>
          <w:color w:val="000000" w:themeColor="text1"/>
          <w:sz w:val="24"/>
          <w:szCs w:val="24"/>
          <w:lang w:val="pl-PL"/>
        </w:rPr>
        <w:t>obozie dla imigrantów</w:t>
      </w:r>
      <w:r w:rsidRPr="00097BCF">
        <w:rPr>
          <w:b/>
          <w:color w:val="000000" w:themeColor="text1"/>
          <w:sz w:val="24"/>
          <w:szCs w:val="24"/>
          <w:lang w:val="pl-PL"/>
        </w:rPr>
        <w:t xml:space="preserve"> i niewykonanie nakazu sądowego </w:t>
      </w:r>
      <w:r>
        <w:rPr>
          <w:b/>
          <w:color w:val="000000" w:themeColor="text1"/>
          <w:sz w:val="24"/>
          <w:szCs w:val="24"/>
          <w:lang w:val="pl-PL"/>
        </w:rPr>
        <w:t>dotyczącego umieszczenia go w</w:t>
      </w:r>
      <w:r w:rsidR="00092E2B">
        <w:rPr>
          <w:b/>
          <w:color w:val="000000" w:themeColor="text1"/>
          <w:sz w:val="24"/>
          <w:szCs w:val="24"/>
          <w:lang w:val="pl-PL"/>
        </w:rPr>
        <w:t> </w:t>
      </w:r>
      <w:r>
        <w:rPr>
          <w:b/>
          <w:color w:val="000000" w:themeColor="text1"/>
          <w:sz w:val="24"/>
          <w:szCs w:val="24"/>
          <w:lang w:val="pl-PL"/>
        </w:rPr>
        <w:t>pieczy instytucjonalnej</w:t>
      </w:r>
    </w:p>
    <w:p w14:paraId="3CCBCDC7" w14:textId="77777777" w:rsidR="00950534" w:rsidRPr="00A80201" w:rsidRDefault="00950534" w:rsidP="00950534">
      <w:pPr>
        <w:pStyle w:val="ClinContent"/>
        <w:widowControl w:val="0"/>
        <w:spacing w:before="0"/>
        <w:rPr>
          <w:rFonts w:asciiTheme="minorHAnsi" w:hAnsiTheme="minorHAnsi"/>
          <w:sz w:val="24"/>
          <w:lang w:val="pl-PL"/>
        </w:rPr>
      </w:pPr>
    </w:p>
    <w:p w14:paraId="71A2232E"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M</w:t>
      </w:r>
      <w:r w:rsidRPr="00B15C52">
        <w:rPr>
          <w:rFonts w:asciiTheme="minorHAnsi" w:hAnsiTheme="minorHAnsi"/>
          <w:sz w:val="24"/>
          <w:lang w:val="pl-PL"/>
        </w:rPr>
        <w:t xml:space="preserve">ałoletni cudzoziemiec </w:t>
      </w:r>
      <w:r>
        <w:rPr>
          <w:rFonts w:asciiTheme="minorHAnsi" w:hAnsiTheme="minorHAnsi"/>
          <w:sz w:val="24"/>
          <w:lang w:val="pl-PL"/>
        </w:rPr>
        <w:t>pozbawiony</w:t>
      </w:r>
      <w:r w:rsidRPr="00090411">
        <w:rPr>
          <w:rFonts w:asciiTheme="minorHAnsi" w:hAnsiTheme="minorHAnsi"/>
          <w:sz w:val="24"/>
          <w:lang w:val="pl-PL"/>
        </w:rPr>
        <w:t xml:space="preserve"> </w:t>
      </w:r>
      <w:r w:rsidRPr="00B15C52">
        <w:rPr>
          <w:rFonts w:asciiTheme="minorHAnsi" w:hAnsiTheme="minorHAnsi"/>
          <w:sz w:val="24"/>
          <w:lang w:val="pl-PL"/>
        </w:rPr>
        <w:t>opieki</w:t>
      </w:r>
      <w:r>
        <w:rPr>
          <w:rFonts w:asciiTheme="minorHAnsi" w:hAnsiTheme="minorHAnsi"/>
          <w:sz w:val="24"/>
          <w:lang w:val="pl-PL"/>
        </w:rPr>
        <w:t>, w wieku dwunastu lat,</w:t>
      </w:r>
      <w:r w:rsidRPr="00B15C52">
        <w:rPr>
          <w:rFonts w:asciiTheme="minorHAnsi" w:hAnsiTheme="minorHAnsi"/>
          <w:sz w:val="24"/>
          <w:lang w:val="pl-PL"/>
        </w:rPr>
        <w:t xml:space="preserve"> przez sześć miesięcy </w:t>
      </w:r>
      <w:r>
        <w:rPr>
          <w:rFonts w:asciiTheme="minorHAnsi" w:hAnsiTheme="minorHAnsi"/>
          <w:sz w:val="24"/>
          <w:lang w:val="pl-PL"/>
        </w:rPr>
        <w:t xml:space="preserve">przebywał </w:t>
      </w:r>
      <w:r w:rsidRPr="00B15C52">
        <w:rPr>
          <w:rFonts w:asciiTheme="minorHAnsi" w:hAnsiTheme="minorHAnsi"/>
          <w:sz w:val="24"/>
          <w:lang w:val="pl-PL"/>
        </w:rPr>
        <w:t>w południowej części obozowiska w Calais (</w:t>
      </w:r>
      <w:r w:rsidRPr="00B15C52">
        <w:rPr>
          <w:rFonts w:asciiTheme="minorHAnsi" w:hAnsiTheme="minorHAnsi"/>
          <w:i/>
          <w:sz w:val="24"/>
          <w:lang w:val="pl-PL"/>
        </w:rPr>
        <w:t>lande de Calais</w:t>
      </w:r>
      <w:r w:rsidRPr="00B15C52">
        <w:rPr>
          <w:rFonts w:asciiTheme="minorHAnsi" w:hAnsiTheme="minorHAnsi"/>
          <w:sz w:val="24"/>
          <w:lang w:val="pl-PL"/>
        </w:rPr>
        <w:t xml:space="preserve">). Ponieważ nie został </w:t>
      </w:r>
      <w:r>
        <w:rPr>
          <w:rFonts w:asciiTheme="minorHAnsi" w:hAnsiTheme="minorHAnsi"/>
          <w:sz w:val="24"/>
          <w:lang w:val="pl-PL"/>
        </w:rPr>
        <w:t xml:space="preserve">objęty ochroną </w:t>
      </w:r>
      <w:r w:rsidRPr="00B15C52">
        <w:rPr>
          <w:rFonts w:asciiTheme="minorHAnsi" w:hAnsiTheme="minorHAnsi"/>
          <w:sz w:val="24"/>
          <w:lang w:val="pl-PL"/>
        </w:rPr>
        <w:t xml:space="preserve">przez władze, mieszkał, podobnie jak większość małoletnich cudzoziemców </w:t>
      </w:r>
      <w:r>
        <w:rPr>
          <w:rFonts w:asciiTheme="minorHAnsi" w:hAnsiTheme="minorHAnsi"/>
          <w:sz w:val="24"/>
          <w:lang w:val="pl-PL"/>
        </w:rPr>
        <w:t xml:space="preserve">pozbawionych </w:t>
      </w:r>
      <w:r w:rsidRPr="00B15C52">
        <w:rPr>
          <w:rFonts w:asciiTheme="minorHAnsi" w:hAnsiTheme="minorHAnsi"/>
          <w:sz w:val="24"/>
          <w:lang w:val="pl-PL"/>
        </w:rPr>
        <w:t xml:space="preserve">opieki, w baraku. </w:t>
      </w:r>
    </w:p>
    <w:p w14:paraId="742C9E62" w14:textId="77777777" w:rsidR="00950534" w:rsidRDefault="00950534" w:rsidP="00950534">
      <w:pPr>
        <w:pStyle w:val="ClinContent"/>
        <w:widowControl w:val="0"/>
        <w:spacing w:before="0"/>
        <w:rPr>
          <w:rFonts w:asciiTheme="minorHAnsi" w:hAnsiTheme="minorHAnsi"/>
          <w:sz w:val="24"/>
          <w:lang w:val="pl-PL"/>
        </w:rPr>
      </w:pPr>
    </w:p>
    <w:p w14:paraId="6EC50D69" w14:textId="1B17219B"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dniu 19 lutego 2016 r. organizacja pozarządowa zwróciła się do sędziego ds. </w:t>
      </w:r>
      <w:r>
        <w:rPr>
          <w:rFonts w:asciiTheme="minorHAnsi" w:hAnsiTheme="minorHAnsi"/>
          <w:sz w:val="24"/>
          <w:lang w:val="pl-PL"/>
        </w:rPr>
        <w:t xml:space="preserve">nieletnich </w:t>
      </w:r>
      <w:r w:rsidRPr="00B15C52">
        <w:rPr>
          <w:rFonts w:asciiTheme="minorHAnsi" w:hAnsiTheme="minorHAnsi"/>
          <w:sz w:val="24"/>
          <w:lang w:val="pl-PL"/>
        </w:rPr>
        <w:t>o</w:t>
      </w:r>
      <w:r w:rsidR="00092E2B">
        <w:rPr>
          <w:rFonts w:asciiTheme="minorHAnsi" w:hAnsiTheme="minorHAnsi"/>
          <w:sz w:val="24"/>
          <w:lang w:val="pl-PL"/>
        </w:rPr>
        <w:t> </w:t>
      </w:r>
      <w:r w:rsidRPr="00B15C52">
        <w:rPr>
          <w:rFonts w:asciiTheme="minorHAnsi" w:hAnsiTheme="minorHAnsi"/>
          <w:sz w:val="24"/>
          <w:lang w:val="pl-PL"/>
        </w:rPr>
        <w:t>tymczasowe umieszczenie skarżącego</w:t>
      </w:r>
      <w:r>
        <w:rPr>
          <w:rFonts w:asciiTheme="minorHAnsi" w:hAnsiTheme="minorHAnsi"/>
          <w:sz w:val="24"/>
          <w:lang w:val="pl-PL"/>
        </w:rPr>
        <w:t xml:space="preserve"> w pieczy</w:t>
      </w:r>
      <w:r w:rsidRPr="00B15C52">
        <w:rPr>
          <w:rFonts w:asciiTheme="minorHAnsi" w:hAnsiTheme="minorHAnsi"/>
          <w:sz w:val="24"/>
          <w:lang w:val="pl-PL"/>
        </w:rPr>
        <w:t xml:space="preserve">. Nakazem wydanym tego samego dnia sędzia </w:t>
      </w:r>
      <w:r>
        <w:rPr>
          <w:rFonts w:asciiTheme="minorHAnsi" w:hAnsiTheme="minorHAnsi"/>
          <w:sz w:val="24"/>
          <w:lang w:val="pl-PL"/>
        </w:rPr>
        <w:t xml:space="preserve">ds. nieletnich </w:t>
      </w:r>
      <w:r w:rsidRPr="00B15C52">
        <w:rPr>
          <w:rFonts w:asciiTheme="minorHAnsi" w:hAnsiTheme="minorHAnsi"/>
          <w:sz w:val="24"/>
          <w:lang w:val="pl-PL"/>
        </w:rPr>
        <w:t xml:space="preserve">wyznaczył </w:t>
      </w:r>
      <w:r>
        <w:rPr>
          <w:rFonts w:asciiTheme="minorHAnsi" w:hAnsiTheme="minorHAnsi"/>
          <w:sz w:val="24"/>
          <w:lang w:val="pl-PL"/>
        </w:rPr>
        <w:t xml:space="preserve">skarżącemu </w:t>
      </w:r>
      <w:r w:rsidRPr="00B15C52">
        <w:rPr>
          <w:rFonts w:asciiTheme="minorHAnsi" w:hAnsiTheme="minorHAnsi"/>
          <w:sz w:val="24"/>
          <w:lang w:val="pl-PL"/>
        </w:rPr>
        <w:t>tymczasowego przedstawiciela, zauważając, że</w:t>
      </w:r>
      <w:r w:rsidR="00092E2B">
        <w:rPr>
          <w:rFonts w:asciiTheme="minorHAnsi" w:hAnsiTheme="minorHAnsi"/>
          <w:sz w:val="24"/>
          <w:lang w:val="pl-PL"/>
        </w:rPr>
        <w:t> </w:t>
      </w:r>
      <w:r w:rsidRPr="00B15C52">
        <w:rPr>
          <w:rFonts w:asciiTheme="minorHAnsi" w:hAnsiTheme="minorHAnsi"/>
          <w:sz w:val="24"/>
          <w:lang w:val="pl-PL"/>
        </w:rPr>
        <w:t xml:space="preserve">nie ma on żadnych przedstawicieli ustawowych we Francji. Nakazem z dnia 22 lutego 2016 r. </w:t>
      </w:r>
      <w:r>
        <w:rPr>
          <w:rFonts w:asciiTheme="minorHAnsi" w:hAnsiTheme="minorHAnsi"/>
          <w:sz w:val="24"/>
          <w:lang w:val="pl-PL"/>
        </w:rPr>
        <w:t xml:space="preserve">sędzia </w:t>
      </w:r>
      <w:r w:rsidRPr="00B15C52">
        <w:rPr>
          <w:rFonts w:asciiTheme="minorHAnsi" w:hAnsiTheme="minorHAnsi"/>
          <w:sz w:val="24"/>
          <w:lang w:val="pl-PL"/>
        </w:rPr>
        <w:t xml:space="preserve">nakazał umieszczenie skarżącego </w:t>
      </w:r>
      <w:r>
        <w:rPr>
          <w:rFonts w:asciiTheme="minorHAnsi" w:hAnsiTheme="minorHAnsi"/>
          <w:sz w:val="24"/>
          <w:lang w:val="pl-PL"/>
        </w:rPr>
        <w:t xml:space="preserve">w pieczy </w:t>
      </w:r>
      <w:r w:rsidRPr="00B15C52">
        <w:rPr>
          <w:rFonts w:asciiTheme="minorHAnsi" w:hAnsiTheme="minorHAnsi"/>
          <w:sz w:val="24"/>
          <w:lang w:val="pl-PL"/>
        </w:rPr>
        <w:t>organu pomocy społecznej ds.</w:t>
      </w:r>
      <w:r w:rsidR="00092E2B">
        <w:rPr>
          <w:rFonts w:asciiTheme="minorHAnsi" w:hAnsiTheme="minorHAnsi"/>
          <w:sz w:val="24"/>
          <w:lang w:val="pl-PL"/>
        </w:rPr>
        <w:t> </w:t>
      </w:r>
      <w:r>
        <w:rPr>
          <w:rFonts w:asciiTheme="minorHAnsi" w:hAnsiTheme="minorHAnsi"/>
          <w:sz w:val="24"/>
          <w:lang w:val="pl-PL"/>
        </w:rPr>
        <w:t xml:space="preserve">nieletnich </w:t>
      </w:r>
      <w:r w:rsidRPr="00B15C52">
        <w:rPr>
          <w:rFonts w:asciiTheme="minorHAnsi" w:hAnsiTheme="minorHAnsi"/>
          <w:sz w:val="24"/>
          <w:lang w:val="pl-PL"/>
        </w:rPr>
        <w:t>w celu zapewnienia mu w ciągu jednego miesiąca zakwaterowania i</w:t>
      </w:r>
      <w:r w:rsidR="00092E2B">
        <w:rPr>
          <w:rFonts w:asciiTheme="minorHAnsi" w:hAnsiTheme="minorHAnsi"/>
          <w:sz w:val="24"/>
          <w:lang w:val="pl-PL"/>
        </w:rPr>
        <w:t> </w:t>
      </w:r>
      <w:r w:rsidRPr="00B15C52">
        <w:rPr>
          <w:rFonts w:asciiTheme="minorHAnsi" w:hAnsiTheme="minorHAnsi"/>
          <w:sz w:val="24"/>
          <w:lang w:val="pl-PL"/>
        </w:rPr>
        <w:t xml:space="preserve">umożliwienia połączenia się z członkami rodziny zamieszkałymi w Wielkiej Brytanii. </w:t>
      </w:r>
    </w:p>
    <w:p w14:paraId="18A06012" w14:textId="77777777" w:rsidR="00950534" w:rsidRDefault="00950534" w:rsidP="00950534">
      <w:pPr>
        <w:pStyle w:val="ClinContent"/>
        <w:widowControl w:val="0"/>
        <w:spacing w:before="0"/>
        <w:rPr>
          <w:rFonts w:asciiTheme="minorHAnsi" w:hAnsiTheme="minorHAnsi"/>
          <w:sz w:val="24"/>
          <w:lang w:val="pl-PL"/>
        </w:rPr>
      </w:pPr>
    </w:p>
    <w:p w14:paraId="5B924DCE" w14:textId="527066CE"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Skarżący twierdził, że ani departament Pas-de-Calais, ani prefektura nie podję</w:t>
      </w:r>
      <w:r>
        <w:rPr>
          <w:rFonts w:asciiTheme="minorHAnsi" w:hAnsiTheme="minorHAnsi"/>
          <w:sz w:val="24"/>
          <w:lang w:val="pl-PL"/>
        </w:rPr>
        <w:t>ły</w:t>
      </w:r>
      <w:r w:rsidRPr="00B15C52">
        <w:rPr>
          <w:rFonts w:asciiTheme="minorHAnsi" w:hAnsiTheme="minorHAnsi"/>
          <w:sz w:val="24"/>
          <w:lang w:val="pl-PL"/>
        </w:rPr>
        <w:t xml:space="preserve"> działań w</w:t>
      </w:r>
      <w:r w:rsidR="00092E2B">
        <w:rPr>
          <w:rFonts w:asciiTheme="minorHAnsi" w:hAnsiTheme="minorHAnsi"/>
          <w:sz w:val="24"/>
          <w:lang w:val="pl-PL"/>
        </w:rPr>
        <w:t> </w:t>
      </w:r>
      <w:r w:rsidRPr="00B15C52">
        <w:rPr>
          <w:rFonts w:asciiTheme="minorHAnsi" w:hAnsiTheme="minorHAnsi"/>
          <w:sz w:val="24"/>
          <w:lang w:val="pl-PL"/>
        </w:rPr>
        <w:t xml:space="preserve">celu zapewnienia mu ochrony. </w:t>
      </w:r>
      <w:r>
        <w:rPr>
          <w:rFonts w:asciiTheme="minorHAnsi" w:hAnsiTheme="minorHAnsi"/>
          <w:sz w:val="24"/>
          <w:lang w:val="pl-PL"/>
        </w:rPr>
        <w:t>Wskutek zburzenia</w:t>
      </w:r>
      <w:r w:rsidRPr="00B15C52">
        <w:rPr>
          <w:rFonts w:asciiTheme="minorHAnsi" w:hAnsiTheme="minorHAnsi"/>
          <w:sz w:val="24"/>
          <w:lang w:val="pl-PL"/>
        </w:rPr>
        <w:t xml:space="preserve"> jego baraku w czasie operacji rozbiórki południowej części obozowiska</w:t>
      </w:r>
      <w:r>
        <w:rPr>
          <w:rFonts w:asciiTheme="minorHAnsi" w:hAnsiTheme="minorHAnsi"/>
          <w:sz w:val="24"/>
          <w:lang w:val="pl-PL"/>
        </w:rPr>
        <w:t>,</w:t>
      </w:r>
      <w:r w:rsidRPr="00B15C52">
        <w:rPr>
          <w:rFonts w:asciiTheme="minorHAnsi" w:hAnsiTheme="minorHAnsi"/>
          <w:sz w:val="24"/>
          <w:lang w:val="pl-PL"/>
        </w:rPr>
        <w:t xml:space="preserve"> w dniu 2 marca 2016 r.</w:t>
      </w:r>
      <w:r>
        <w:rPr>
          <w:rFonts w:asciiTheme="minorHAnsi" w:hAnsiTheme="minorHAnsi"/>
          <w:sz w:val="24"/>
          <w:lang w:val="pl-PL"/>
        </w:rPr>
        <w:t>,</w:t>
      </w:r>
      <w:r w:rsidRPr="00B15C52">
        <w:rPr>
          <w:rFonts w:asciiTheme="minorHAnsi" w:hAnsiTheme="minorHAnsi"/>
          <w:sz w:val="24"/>
          <w:lang w:val="pl-PL"/>
        </w:rPr>
        <w:t xml:space="preserve"> skarżący przeprowadził się do</w:t>
      </w:r>
      <w:r w:rsidR="00092E2B">
        <w:rPr>
          <w:rFonts w:asciiTheme="minorHAnsi" w:hAnsiTheme="minorHAnsi"/>
          <w:sz w:val="24"/>
          <w:lang w:val="pl-PL"/>
        </w:rPr>
        <w:t> </w:t>
      </w:r>
      <w:r w:rsidRPr="00B15C52">
        <w:rPr>
          <w:rFonts w:asciiTheme="minorHAnsi" w:hAnsiTheme="minorHAnsi"/>
          <w:sz w:val="24"/>
          <w:lang w:val="pl-PL"/>
        </w:rPr>
        <w:t>prowizorycznego schronienia w części północnej. Około 20 marca opuścił „obozowisko w</w:t>
      </w:r>
      <w:r w:rsidR="00092E2B">
        <w:rPr>
          <w:rFonts w:asciiTheme="minorHAnsi" w:hAnsiTheme="minorHAnsi"/>
          <w:sz w:val="24"/>
          <w:lang w:val="pl-PL"/>
        </w:rPr>
        <w:t> </w:t>
      </w:r>
      <w:r w:rsidRPr="00B15C52">
        <w:rPr>
          <w:rFonts w:asciiTheme="minorHAnsi" w:hAnsiTheme="minorHAnsi"/>
          <w:sz w:val="24"/>
          <w:lang w:val="pl-PL"/>
        </w:rPr>
        <w:t xml:space="preserve">Calais” i nielegalnie </w:t>
      </w:r>
      <w:r>
        <w:rPr>
          <w:rFonts w:asciiTheme="minorHAnsi" w:hAnsiTheme="minorHAnsi"/>
          <w:sz w:val="24"/>
          <w:lang w:val="pl-PL"/>
        </w:rPr>
        <w:t xml:space="preserve">przedostał się </w:t>
      </w:r>
      <w:r w:rsidRPr="00B15C52">
        <w:rPr>
          <w:rFonts w:asciiTheme="minorHAnsi" w:hAnsiTheme="minorHAnsi"/>
          <w:sz w:val="24"/>
          <w:lang w:val="pl-PL"/>
        </w:rPr>
        <w:t xml:space="preserve">do Anglii. </w:t>
      </w:r>
    </w:p>
    <w:p w14:paraId="16BFCBAE" w14:textId="77777777" w:rsidR="00950534" w:rsidRDefault="00950534" w:rsidP="00950534">
      <w:pPr>
        <w:pStyle w:val="ClinContent"/>
        <w:widowControl w:val="0"/>
        <w:spacing w:before="0"/>
        <w:rPr>
          <w:rFonts w:asciiTheme="minorHAnsi" w:hAnsiTheme="minorHAnsi"/>
          <w:sz w:val="24"/>
          <w:lang w:val="pl-PL"/>
        </w:rPr>
      </w:pPr>
    </w:p>
    <w:p w14:paraId="56F57EA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zbadał, czy władze działały w sprawie skarżącego zgodnie z ich obowiązkiem zapewnienia skarżącemu ochrony przed poniżającym traktowaniem, wynikającym z art. 3 Konwencji w jego aspekcie materialnym. </w:t>
      </w:r>
    </w:p>
    <w:p w14:paraId="23084EC5" w14:textId="77777777" w:rsidR="00950534" w:rsidRDefault="00950534" w:rsidP="00950534">
      <w:pPr>
        <w:pStyle w:val="ClinContent"/>
        <w:widowControl w:val="0"/>
        <w:spacing w:before="0"/>
        <w:rPr>
          <w:rFonts w:asciiTheme="minorHAnsi" w:hAnsiTheme="minorHAnsi"/>
          <w:sz w:val="24"/>
          <w:lang w:val="pl-PL"/>
        </w:rPr>
      </w:pPr>
    </w:p>
    <w:p w14:paraId="10C29258" w14:textId="5BE7F99C"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Zauważył, że z powodu niezapewnienia</w:t>
      </w:r>
      <w:r w:rsidRPr="00B15C52">
        <w:rPr>
          <w:rFonts w:asciiTheme="minorHAnsi" w:hAnsiTheme="minorHAnsi"/>
          <w:sz w:val="24"/>
          <w:lang w:val="pl-PL"/>
        </w:rPr>
        <w:t xml:space="preserve"> </w:t>
      </w:r>
      <w:r>
        <w:rPr>
          <w:rFonts w:asciiTheme="minorHAnsi" w:hAnsiTheme="minorHAnsi"/>
          <w:sz w:val="24"/>
          <w:lang w:val="pl-PL"/>
        </w:rPr>
        <w:t xml:space="preserve">skarżącemu ochrony </w:t>
      </w:r>
      <w:r w:rsidRPr="00B15C52">
        <w:rPr>
          <w:rFonts w:asciiTheme="minorHAnsi" w:hAnsiTheme="minorHAnsi"/>
          <w:sz w:val="24"/>
          <w:lang w:val="pl-PL"/>
        </w:rPr>
        <w:t>przez władze i pomimo wsparcia</w:t>
      </w:r>
      <w:r>
        <w:rPr>
          <w:rFonts w:asciiTheme="minorHAnsi" w:hAnsiTheme="minorHAnsi"/>
          <w:sz w:val="24"/>
          <w:lang w:val="pl-PL"/>
        </w:rPr>
        <w:t xml:space="preserve">, które otrzymał </w:t>
      </w:r>
      <w:r w:rsidRPr="00B15C52">
        <w:rPr>
          <w:rFonts w:asciiTheme="minorHAnsi" w:hAnsiTheme="minorHAnsi"/>
          <w:sz w:val="24"/>
          <w:lang w:val="pl-PL"/>
        </w:rPr>
        <w:t>od organizacji pozarządowych</w:t>
      </w:r>
      <w:r>
        <w:rPr>
          <w:rFonts w:asciiTheme="minorHAnsi" w:hAnsiTheme="minorHAnsi"/>
          <w:sz w:val="24"/>
          <w:lang w:val="pl-PL"/>
        </w:rPr>
        <w:t>,</w:t>
      </w:r>
      <w:r w:rsidRPr="00B15C52">
        <w:rPr>
          <w:rFonts w:asciiTheme="minorHAnsi" w:hAnsiTheme="minorHAnsi"/>
          <w:sz w:val="24"/>
          <w:lang w:val="pl-PL"/>
        </w:rPr>
        <w:t xml:space="preserve"> działających na terenie obozowiska w Calais</w:t>
      </w:r>
      <w:r>
        <w:rPr>
          <w:rFonts w:asciiTheme="minorHAnsi" w:hAnsiTheme="minorHAnsi"/>
          <w:sz w:val="24"/>
          <w:lang w:val="pl-PL"/>
        </w:rPr>
        <w:t>,</w:t>
      </w:r>
      <w:r w:rsidRPr="00B15C52">
        <w:rPr>
          <w:rFonts w:asciiTheme="minorHAnsi" w:hAnsiTheme="minorHAnsi"/>
          <w:i/>
          <w:sz w:val="24"/>
          <w:lang w:val="pl-PL"/>
        </w:rPr>
        <w:t xml:space="preserve"> </w:t>
      </w:r>
      <w:r w:rsidRPr="001C41A0">
        <w:rPr>
          <w:rFonts w:asciiTheme="minorHAnsi" w:hAnsiTheme="minorHAnsi"/>
          <w:sz w:val="24"/>
          <w:lang w:val="pl-PL"/>
        </w:rPr>
        <w:t>skarżący</w:t>
      </w:r>
      <w:r>
        <w:rPr>
          <w:rFonts w:asciiTheme="minorHAnsi" w:hAnsiTheme="minorHAnsi"/>
          <w:i/>
          <w:sz w:val="24"/>
          <w:lang w:val="pl-PL"/>
        </w:rPr>
        <w:t xml:space="preserve"> </w:t>
      </w:r>
      <w:r w:rsidRPr="00B15C52">
        <w:rPr>
          <w:rFonts w:asciiTheme="minorHAnsi" w:hAnsiTheme="minorHAnsi"/>
          <w:sz w:val="24"/>
          <w:lang w:val="pl-PL"/>
        </w:rPr>
        <w:t xml:space="preserve">przez sześć miesięcy mieszkał w otoczeniu, które w sposób oczywisty było nieodpowiednie dla dzieci </w:t>
      </w:r>
      <w:r>
        <w:rPr>
          <w:rFonts w:asciiTheme="minorHAnsi" w:hAnsiTheme="minorHAnsi"/>
          <w:sz w:val="24"/>
          <w:lang w:val="pl-PL"/>
        </w:rPr>
        <w:t xml:space="preserve">ze względów zdrowotnych i </w:t>
      </w:r>
      <w:r w:rsidRPr="00B15C52">
        <w:rPr>
          <w:rFonts w:asciiTheme="minorHAnsi" w:hAnsiTheme="minorHAnsi"/>
          <w:sz w:val="24"/>
          <w:lang w:val="pl-PL"/>
        </w:rPr>
        <w:t xml:space="preserve">bezpieczeństwa. </w:t>
      </w:r>
      <w:r>
        <w:rPr>
          <w:rFonts w:asciiTheme="minorHAnsi" w:hAnsiTheme="minorHAnsi"/>
          <w:sz w:val="24"/>
          <w:lang w:val="pl-PL"/>
        </w:rPr>
        <w:t>Nie</w:t>
      </w:r>
      <w:r w:rsidRPr="00B15C52">
        <w:rPr>
          <w:rFonts w:asciiTheme="minorHAnsi" w:hAnsiTheme="minorHAnsi"/>
          <w:sz w:val="24"/>
          <w:lang w:val="pl-PL"/>
        </w:rPr>
        <w:t>zapewnien</w:t>
      </w:r>
      <w:r>
        <w:rPr>
          <w:rFonts w:asciiTheme="minorHAnsi" w:hAnsiTheme="minorHAnsi"/>
          <w:sz w:val="24"/>
          <w:lang w:val="pl-PL"/>
        </w:rPr>
        <w:t>ie</w:t>
      </w:r>
      <w:r w:rsidRPr="00B15C52">
        <w:rPr>
          <w:rFonts w:asciiTheme="minorHAnsi" w:hAnsiTheme="minorHAnsi"/>
          <w:sz w:val="24"/>
          <w:lang w:val="pl-PL"/>
        </w:rPr>
        <w:t xml:space="preserve"> </w:t>
      </w:r>
      <w:r>
        <w:rPr>
          <w:rFonts w:asciiTheme="minorHAnsi" w:hAnsiTheme="minorHAnsi"/>
          <w:sz w:val="24"/>
          <w:lang w:val="pl-PL"/>
        </w:rPr>
        <w:t xml:space="preserve">skarżącemu ochrony stało się dla niego jeszcze bardziej dotkliwe </w:t>
      </w:r>
      <w:r w:rsidRPr="00B15C52">
        <w:rPr>
          <w:rFonts w:asciiTheme="minorHAnsi" w:hAnsiTheme="minorHAnsi"/>
          <w:sz w:val="24"/>
          <w:lang w:val="pl-PL"/>
        </w:rPr>
        <w:t>po przeprowadzeniu rozbiórki południowej części obozowiska</w:t>
      </w:r>
      <w:r>
        <w:rPr>
          <w:rFonts w:asciiTheme="minorHAnsi" w:hAnsiTheme="minorHAnsi"/>
          <w:sz w:val="24"/>
          <w:lang w:val="pl-PL"/>
        </w:rPr>
        <w:t xml:space="preserve"> i zburzeniu</w:t>
      </w:r>
      <w:r w:rsidRPr="00B15C52">
        <w:rPr>
          <w:rFonts w:asciiTheme="minorHAnsi" w:hAnsiTheme="minorHAnsi"/>
          <w:sz w:val="24"/>
          <w:lang w:val="pl-PL"/>
        </w:rPr>
        <w:t xml:space="preserve"> baraku, w którym mieszkał, oraz </w:t>
      </w:r>
      <w:r>
        <w:rPr>
          <w:rFonts w:asciiTheme="minorHAnsi" w:hAnsiTheme="minorHAnsi"/>
          <w:sz w:val="24"/>
          <w:lang w:val="pl-PL"/>
        </w:rPr>
        <w:t>w</w:t>
      </w:r>
      <w:r w:rsidR="00092E2B">
        <w:rPr>
          <w:rFonts w:asciiTheme="minorHAnsi" w:hAnsiTheme="minorHAnsi"/>
          <w:sz w:val="24"/>
          <w:lang w:val="pl-PL"/>
        </w:rPr>
        <w:t> </w:t>
      </w:r>
      <w:r>
        <w:rPr>
          <w:rFonts w:asciiTheme="minorHAnsi" w:hAnsiTheme="minorHAnsi"/>
          <w:sz w:val="24"/>
          <w:lang w:val="pl-PL"/>
        </w:rPr>
        <w:t>związku z ogólnym</w:t>
      </w:r>
      <w:r w:rsidRPr="00B15C52">
        <w:rPr>
          <w:rFonts w:asciiTheme="minorHAnsi" w:hAnsiTheme="minorHAnsi"/>
          <w:sz w:val="24"/>
          <w:lang w:val="pl-PL"/>
        </w:rPr>
        <w:t xml:space="preserve"> pogorszenie</w:t>
      </w:r>
      <w:r>
        <w:rPr>
          <w:rFonts w:asciiTheme="minorHAnsi" w:hAnsiTheme="minorHAnsi"/>
          <w:sz w:val="24"/>
          <w:lang w:val="pl-PL"/>
        </w:rPr>
        <w:t>m</w:t>
      </w:r>
      <w:r w:rsidRPr="00B15C52">
        <w:rPr>
          <w:rFonts w:asciiTheme="minorHAnsi" w:hAnsiTheme="minorHAnsi"/>
          <w:sz w:val="24"/>
          <w:lang w:val="pl-PL"/>
        </w:rPr>
        <w:t xml:space="preserve"> warunków życia w obozowisku. Ponadto z uwagi na</w:t>
      </w:r>
      <w:r w:rsidR="00092E2B">
        <w:rPr>
          <w:rFonts w:asciiTheme="minorHAnsi" w:hAnsiTheme="minorHAnsi"/>
          <w:sz w:val="24"/>
          <w:lang w:val="pl-PL"/>
        </w:rPr>
        <w:t> </w:t>
      </w:r>
      <w:r w:rsidRPr="00B15C52">
        <w:rPr>
          <w:rFonts w:asciiTheme="minorHAnsi" w:hAnsiTheme="minorHAnsi"/>
          <w:sz w:val="24"/>
          <w:lang w:val="pl-PL"/>
        </w:rPr>
        <w:t>niebezpieczną sytuację, w jakiej znalazł się skarżący, w dniu 22 lutego 2016 r. sędzia ds.</w:t>
      </w:r>
      <w:r w:rsidR="00092E2B">
        <w:rPr>
          <w:rFonts w:asciiTheme="minorHAnsi" w:hAnsiTheme="minorHAnsi"/>
          <w:sz w:val="24"/>
          <w:lang w:val="pl-PL"/>
        </w:rPr>
        <w:t> </w:t>
      </w:r>
      <w:r>
        <w:rPr>
          <w:rFonts w:asciiTheme="minorHAnsi" w:hAnsiTheme="minorHAnsi"/>
          <w:sz w:val="24"/>
          <w:lang w:val="pl-PL"/>
        </w:rPr>
        <w:t>nieletnich</w:t>
      </w:r>
      <w:r w:rsidRPr="00B15C52">
        <w:rPr>
          <w:rFonts w:asciiTheme="minorHAnsi" w:hAnsiTheme="minorHAnsi"/>
          <w:sz w:val="24"/>
          <w:lang w:val="pl-PL"/>
        </w:rPr>
        <w:t xml:space="preserve"> nakazał umieszczenie go </w:t>
      </w:r>
      <w:r>
        <w:rPr>
          <w:rFonts w:asciiTheme="minorHAnsi" w:hAnsiTheme="minorHAnsi"/>
          <w:sz w:val="24"/>
          <w:lang w:val="pl-PL"/>
        </w:rPr>
        <w:t>w pieczy</w:t>
      </w:r>
      <w:r w:rsidRPr="00B15C52">
        <w:rPr>
          <w:rFonts w:asciiTheme="minorHAnsi" w:hAnsiTheme="minorHAnsi"/>
          <w:sz w:val="24"/>
          <w:lang w:val="pl-PL"/>
        </w:rPr>
        <w:t xml:space="preserve"> organu pomocy społecznej ds. </w:t>
      </w:r>
      <w:r>
        <w:rPr>
          <w:rFonts w:asciiTheme="minorHAnsi" w:hAnsiTheme="minorHAnsi"/>
          <w:sz w:val="24"/>
          <w:lang w:val="pl-PL"/>
        </w:rPr>
        <w:t>nieletnich</w:t>
      </w:r>
      <w:r w:rsidRPr="00B15C52">
        <w:rPr>
          <w:rFonts w:asciiTheme="minorHAnsi" w:hAnsiTheme="minorHAnsi"/>
          <w:sz w:val="24"/>
          <w:lang w:val="pl-PL"/>
        </w:rPr>
        <w:t>.</w:t>
      </w:r>
    </w:p>
    <w:p w14:paraId="1374E4FB" w14:textId="77777777" w:rsidR="00950534" w:rsidRDefault="00950534" w:rsidP="00950534">
      <w:pPr>
        <w:pStyle w:val="ClinContent"/>
        <w:widowControl w:val="0"/>
        <w:spacing w:before="0"/>
        <w:rPr>
          <w:rFonts w:asciiTheme="minorHAnsi" w:hAnsiTheme="minorHAnsi"/>
          <w:sz w:val="24"/>
          <w:lang w:val="pl-PL"/>
        </w:rPr>
      </w:pPr>
    </w:p>
    <w:p w14:paraId="06812EB4" w14:textId="0A83EA46"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również, że p</w:t>
      </w:r>
      <w:r w:rsidRPr="00B15C52">
        <w:rPr>
          <w:rFonts w:asciiTheme="minorHAnsi" w:hAnsiTheme="minorHAnsi"/>
          <w:sz w:val="24"/>
          <w:lang w:val="pl-PL"/>
        </w:rPr>
        <w:t xml:space="preserve">rzed wydaniem nakazu umieszczenia skarżącego </w:t>
      </w:r>
      <w:r>
        <w:rPr>
          <w:rFonts w:asciiTheme="minorHAnsi" w:hAnsiTheme="minorHAnsi"/>
          <w:sz w:val="24"/>
          <w:lang w:val="pl-PL"/>
        </w:rPr>
        <w:t>w pieczy</w:t>
      </w:r>
      <w:r w:rsidRPr="00B15C52">
        <w:rPr>
          <w:rFonts w:asciiTheme="minorHAnsi" w:hAnsiTheme="minorHAnsi"/>
          <w:sz w:val="24"/>
          <w:lang w:val="pl-PL"/>
        </w:rPr>
        <w:t xml:space="preserve"> właściwe władze nawet nie zidentyfikowały </w:t>
      </w:r>
      <w:r>
        <w:rPr>
          <w:rFonts w:asciiTheme="minorHAnsi" w:hAnsiTheme="minorHAnsi"/>
          <w:sz w:val="24"/>
          <w:lang w:val="pl-PL"/>
        </w:rPr>
        <w:t xml:space="preserve">go </w:t>
      </w:r>
      <w:r w:rsidRPr="00B15C52">
        <w:rPr>
          <w:rFonts w:asciiTheme="minorHAnsi" w:hAnsiTheme="minorHAnsi"/>
          <w:sz w:val="24"/>
          <w:lang w:val="pl-PL"/>
        </w:rPr>
        <w:t xml:space="preserve">jako małoletniego cudzoziemca </w:t>
      </w:r>
      <w:r>
        <w:rPr>
          <w:rFonts w:asciiTheme="minorHAnsi" w:hAnsiTheme="minorHAnsi"/>
          <w:sz w:val="24"/>
          <w:lang w:val="pl-PL"/>
        </w:rPr>
        <w:t xml:space="preserve">pozbawionego </w:t>
      </w:r>
      <w:r w:rsidRPr="00B15C52">
        <w:rPr>
          <w:rFonts w:asciiTheme="minorHAnsi" w:hAnsiTheme="minorHAnsi"/>
          <w:sz w:val="24"/>
          <w:lang w:val="pl-PL"/>
        </w:rPr>
        <w:t xml:space="preserve">opieki, mimo że przebywał on w obozowisku w Calais przez kilka miesięcy, </w:t>
      </w:r>
      <w:r w:rsidRPr="00B15C52">
        <w:rPr>
          <w:rFonts w:asciiTheme="minorHAnsi" w:hAnsiTheme="minorHAnsi"/>
          <w:sz w:val="24"/>
          <w:lang w:val="pl-PL"/>
        </w:rPr>
        <w:lastRenderedPageBreak/>
        <w:t>a</w:t>
      </w:r>
      <w:r w:rsidR="00092E2B">
        <w:rPr>
          <w:rFonts w:asciiTheme="minorHAnsi" w:hAnsiTheme="minorHAnsi"/>
          <w:sz w:val="24"/>
          <w:lang w:val="pl-PL"/>
        </w:rPr>
        <w:t> </w:t>
      </w:r>
      <w:r w:rsidRPr="00B15C52">
        <w:rPr>
          <w:rFonts w:asciiTheme="minorHAnsi" w:hAnsiTheme="minorHAnsi"/>
          <w:sz w:val="24"/>
          <w:lang w:val="pl-PL"/>
        </w:rPr>
        <w:t>jako małe dziecko powinien szczególnie zwr</w:t>
      </w:r>
      <w:r>
        <w:rPr>
          <w:rFonts w:asciiTheme="minorHAnsi" w:hAnsiTheme="minorHAnsi"/>
          <w:sz w:val="24"/>
          <w:lang w:val="pl-PL"/>
        </w:rPr>
        <w:t>ócić</w:t>
      </w:r>
      <w:r w:rsidRPr="00B15C52">
        <w:rPr>
          <w:rFonts w:asciiTheme="minorHAnsi" w:hAnsiTheme="minorHAnsi"/>
          <w:sz w:val="24"/>
          <w:lang w:val="pl-PL"/>
        </w:rPr>
        <w:t xml:space="preserve"> ich uwagę. Środki zastosowane w celu </w:t>
      </w:r>
      <w:r>
        <w:rPr>
          <w:rFonts w:asciiTheme="minorHAnsi" w:hAnsiTheme="minorHAnsi"/>
          <w:sz w:val="24"/>
          <w:lang w:val="pl-PL"/>
        </w:rPr>
        <w:t xml:space="preserve">identyfikacji </w:t>
      </w:r>
      <w:r w:rsidRPr="00B15C52">
        <w:rPr>
          <w:rFonts w:asciiTheme="minorHAnsi" w:hAnsiTheme="minorHAnsi"/>
          <w:sz w:val="24"/>
          <w:lang w:val="pl-PL"/>
        </w:rPr>
        <w:t xml:space="preserve">w obozowisku małoletnich cudzoziemców </w:t>
      </w:r>
      <w:r>
        <w:rPr>
          <w:rFonts w:asciiTheme="minorHAnsi" w:hAnsiTheme="minorHAnsi"/>
          <w:sz w:val="24"/>
          <w:lang w:val="pl-PL"/>
        </w:rPr>
        <w:t xml:space="preserve">pozbawionych </w:t>
      </w:r>
      <w:r w:rsidRPr="00B15C52">
        <w:rPr>
          <w:rFonts w:asciiTheme="minorHAnsi" w:hAnsiTheme="minorHAnsi"/>
          <w:sz w:val="24"/>
          <w:lang w:val="pl-PL"/>
        </w:rPr>
        <w:t xml:space="preserve">opieki były </w:t>
      </w:r>
      <w:r>
        <w:rPr>
          <w:rFonts w:asciiTheme="minorHAnsi" w:hAnsiTheme="minorHAnsi"/>
          <w:sz w:val="24"/>
          <w:lang w:val="pl-PL"/>
        </w:rPr>
        <w:t xml:space="preserve">zdaniem Trybunału </w:t>
      </w:r>
      <w:r w:rsidRPr="00B15C52">
        <w:rPr>
          <w:rFonts w:asciiTheme="minorHAnsi" w:hAnsiTheme="minorHAnsi"/>
          <w:sz w:val="24"/>
          <w:lang w:val="pl-PL"/>
        </w:rPr>
        <w:t>nieodpowiednie.</w:t>
      </w:r>
    </w:p>
    <w:p w14:paraId="24E967BD" w14:textId="77777777" w:rsidR="00950534" w:rsidRDefault="00950534" w:rsidP="00950534">
      <w:pPr>
        <w:pStyle w:val="ClinContent"/>
        <w:widowControl w:val="0"/>
        <w:spacing w:before="0"/>
        <w:rPr>
          <w:rFonts w:asciiTheme="minorHAnsi" w:hAnsiTheme="minorHAnsi"/>
          <w:sz w:val="24"/>
          <w:lang w:val="pl-PL"/>
        </w:rPr>
      </w:pPr>
    </w:p>
    <w:p w14:paraId="293D87EA" w14:textId="06644EE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Chociaż</w:t>
      </w:r>
      <w:r w:rsidRPr="00B15C52">
        <w:rPr>
          <w:rFonts w:asciiTheme="minorHAnsi" w:hAnsiTheme="minorHAnsi"/>
          <w:sz w:val="24"/>
          <w:lang w:val="pl-PL"/>
        </w:rPr>
        <w:t xml:space="preserve"> skarżący przyjąłby urzędową ochronę, to nie do niego </w:t>
      </w:r>
      <w:r>
        <w:rPr>
          <w:rFonts w:asciiTheme="minorHAnsi" w:hAnsiTheme="minorHAnsi"/>
          <w:sz w:val="24"/>
          <w:lang w:val="pl-PL"/>
        </w:rPr>
        <w:t>–</w:t>
      </w:r>
      <w:r w:rsidRPr="00B15C52">
        <w:rPr>
          <w:rFonts w:asciiTheme="minorHAnsi" w:hAnsiTheme="minorHAnsi"/>
          <w:sz w:val="24"/>
          <w:lang w:val="pl-PL"/>
        </w:rPr>
        <w:t xml:space="preserve"> jako dwunastoletniego dziecka z ograniczoną znajomością języka francuskiego – należało podjęcie działań administracyjnych niezbędnych do umieszczenia </w:t>
      </w:r>
      <w:r>
        <w:rPr>
          <w:rFonts w:asciiTheme="minorHAnsi" w:hAnsiTheme="minorHAnsi"/>
          <w:sz w:val="24"/>
          <w:lang w:val="pl-PL"/>
        </w:rPr>
        <w:t>go w pieczy</w:t>
      </w:r>
      <w:r w:rsidRPr="00B15C52">
        <w:rPr>
          <w:rFonts w:asciiTheme="minorHAnsi" w:hAnsiTheme="minorHAnsi"/>
          <w:sz w:val="24"/>
          <w:lang w:val="pl-PL"/>
        </w:rPr>
        <w:t>. Za brak doprowadzenia skarżącego do wyznaczonego urzędowo ośrodka recepcyjnego nie można też krytykować organizacji pozarządowych, które dobrowolnie wspierały skarżącego, ani prawnika</w:t>
      </w:r>
      <w:r>
        <w:rPr>
          <w:rFonts w:asciiTheme="minorHAnsi" w:hAnsiTheme="minorHAnsi"/>
          <w:sz w:val="24"/>
          <w:lang w:val="pl-PL"/>
        </w:rPr>
        <w:t xml:space="preserve"> reprezentującego</w:t>
      </w:r>
      <w:r w:rsidRPr="00B15C52">
        <w:rPr>
          <w:rFonts w:asciiTheme="minorHAnsi" w:hAnsiTheme="minorHAnsi"/>
          <w:sz w:val="24"/>
          <w:lang w:val="pl-PL"/>
        </w:rPr>
        <w:t xml:space="preserve"> go w postępowaniu, w którym wydano nakaz z 22 lutego 2016 r., ani</w:t>
      </w:r>
      <w:r w:rsidR="00092E2B">
        <w:rPr>
          <w:rFonts w:asciiTheme="minorHAnsi" w:hAnsiTheme="minorHAnsi"/>
          <w:sz w:val="24"/>
          <w:lang w:val="pl-PL"/>
        </w:rPr>
        <w:t> </w:t>
      </w:r>
      <w:r w:rsidRPr="00B15C52">
        <w:rPr>
          <w:rFonts w:asciiTheme="minorHAnsi" w:hAnsiTheme="minorHAnsi"/>
          <w:sz w:val="24"/>
          <w:lang w:val="pl-PL"/>
        </w:rPr>
        <w:t>tymczasowego przedstawiciela wyznaczonego w dniu 19 lutego 2016 r., zważywszy że</w:t>
      </w:r>
      <w:r w:rsidR="00092E2B">
        <w:rPr>
          <w:rFonts w:asciiTheme="minorHAnsi" w:hAnsiTheme="minorHAnsi"/>
          <w:sz w:val="24"/>
          <w:lang w:val="pl-PL"/>
        </w:rPr>
        <w:t> </w:t>
      </w:r>
      <w:r w:rsidRPr="00B15C52">
        <w:rPr>
          <w:rFonts w:asciiTheme="minorHAnsi" w:hAnsiTheme="minorHAnsi"/>
          <w:sz w:val="24"/>
          <w:lang w:val="pl-PL"/>
        </w:rPr>
        <w:t>w</w:t>
      </w:r>
      <w:r w:rsidR="00092E2B">
        <w:rPr>
          <w:rFonts w:asciiTheme="minorHAnsi" w:hAnsiTheme="minorHAnsi"/>
          <w:sz w:val="24"/>
          <w:lang w:val="pl-PL"/>
        </w:rPr>
        <w:t> </w:t>
      </w:r>
      <w:r w:rsidRPr="00B15C52">
        <w:rPr>
          <w:rFonts w:asciiTheme="minorHAnsi" w:hAnsiTheme="minorHAnsi"/>
          <w:sz w:val="24"/>
          <w:lang w:val="pl-PL"/>
        </w:rPr>
        <w:t xml:space="preserve">sposób </w:t>
      </w:r>
      <w:r>
        <w:rPr>
          <w:rFonts w:asciiTheme="minorHAnsi" w:hAnsiTheme="minorHAnsi"/>
          <w:sz w:val="24"/>
          <w:lang w:val="pl-PL"/>
        </w:rPr>
        <w:t xml:space="preserve">oczywisty </w:t>
      </w:r>
      <w:r w:rsidRPr="00B15C52">
        <w:rPr>
          <w:rFonts w:asciiTheme="minorHAnsi" w:hAnsiTheme="minorHAnsi"/>
          <w:sz w:val="24"/>
          <w:lang w:val="pl-PL"/>
        </w:rPr>
        <w:t xml:space="preserve">obowiązek ten należał do władz. </w:t>
      </w:r>
    </w:p>
    <w:p w14:paraId="3893F613" w14:textId="77777777" w:rsidR="00950534" w:rsidRDefault="00950534" w:rsidP="00950534">
      <w:pPr>
        <w:pStyle w:val="ClinContent"/>
        <w:widowControl w:val="0"/>
        <w:spacing w:before="0"/>
        <w:rPr>
          <w:rFonts w:asciiTheme="minorHAnsi" w:hAnsiTheme="minorHAnsi"/>
          <w:sz w:val="24"/>
          <w:lang w:val="pl-PL"/>
        </w:rPr>
      </w:pPr>
    </w:p>
    <w:p w14:paraId="1F53F71E"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przyznał, że z</w:t>
      </w:r>
      <w:r w:rsidRPr="00B15C52">
        <w:rPr>
          <w:rFonts w:asciiTheme="minorHAnsi" w:hAnsiTheme="minorHAnsi"/>
          <w:sz w:val="24"/>
          <w:lang w:val="pl-PL"/>
        </w:rPr>
        <w:t xml:space="preserve">adanie władz krajowych było skomplikowane, </w:t>
      </w:r>
      <w:r>
        <w:rPr>
          <w:rFonts w:asciiTheme="minorHAnsi" w:hAnsiTheme="minorHAnsi"/>
          <w:sz w:val="24"/>
          <w:lang w:val="pl-PL"/>
        </w:rPr>
        <w:t xml:space="preserve">biorąc pod uwagę </w:t>
      </w:r>
      <w:r w:rsidRPr="00B15C52">
        <w:rPr>
          <w:rFonts w:asciiTheme="minorHAnsi" w:hAnsiTheme="minorHAnsi"/>
          <w:sz w:val="24"/>
          <w:lang w:val="pl-PL"/>
        </w:rPr>
        <w:t>zwłaszcza liczbę osób obecnych w obozowisku w Calais w przedmiotowym c</w:t>
      </w:r>
      <w:r>
        <w:rPr>
          <w:rFonts w:asciiTheme="minorHAnsi" w:hAnsiTheme="minorHAnsi"/>
          <w:sz w:val="24"/>
          <w:lang w:val="pl-PL"/>
        </w:rPr>
        <w:t>zasie oraz trudności związane z identyfikacją</w:t>
      </w:r>
      <w:r w:rsidRPr="00B15C52">
        <w:rPr>
          <w:rFonts w:asciiTheme="minorHAnsi" w:hAnsiTheme="minorHAnsi"/>
          <w:sz w:val="24"/>
          <w:lang w:val="pl-PL"/>
        </w:rPr>
        <w:t xml:space="preserve"> wśród nich małoletnich cudzoziemców</w:t>
      </w:r>
      <w:r>
        <w:rPr>
          <w:rFonts w:asciiTheme="minorHAnsi" w:hAnsiTheme="minorHAnsi"/>
          <w:sz w:val="24"/>
          <w:lang w:val="pl-PL"/>
        </w:rPr>
        <w:t xml:space="preserve"> pozbawionych</w:t>
      </w:r>
      <w:r w:rsidRPr="00B15C52">
        <w:rPr>
          <w:rFonts w:asciiTheme="minorHAnsi" w:hAnsiTheme="minorHAnsi"/>
          <w:sz w:val="24"/>
          <w:lang w:val="pl-PL"/>
        </w:rPr>
        <w:t xml:space="preserve"> opieki, a także</w:t>
      </w:r>
      <w:r>
        <w:rPr>
          <w:rFonts w:asciiTheme="minorHAnsi" w:hAnsiTheme="minorHAnsi"/>
          <w:sz w:val="24"/>
          <w:lang w:val="pl-PL"/>
        </w:rPr>
        <w:t xml:space="preserve"> trudności w określeniu</w:t>
      </w:r>
      <w:r w:rsidRPr="00B15C52">
        <w:rPr>
          <w:rFonts w:asciiTheme="minorHAnsi" w:hAnsiTheme="minorHAnsi"/>
          <w:sz w:val="24"/>
          <w:lang w:val="pl-PL"/>
        </w:rPr>
        <w:t xml:space="preserve"> sposobu </w:t>
      </w:r>
      <w:r>
        <w:rPr>
          <w:rFonts w:asciiTheme="minorHAnsi" w:hAnsiTheme="minorHAnsi"/>
          <w:sz w:val="24"/>
          <w:lang w:val="pl-PL"/>
        </w:rPr>
        <w:t>zapewniania ochrony dostosowanej</w:t>
      </w:r>
      <w:r w:rsidRPr="00B15C52">
        <w:rPr>
          <w:rFonts w:asciiTheme="minorHAnsi" w:hAnsiTheme="minorHAnsi"/>
          <w:sz w:val="24"/>
          <w:lang w:val="pl-PL"/>
        </w:rPr>
        <w:t xml:space="preserve"> do ich sytuacji i </w:t>
      </w:r>
      <w:r>
        <w:rPr>
          <w:rFonts w:asciiTheme="minorHAnsi" w:hAnsiTheme="minorHAnsi"/>
          <w:sz w:val="24"/>
          <w:lang w:val="pl-PL"/>
        </w:rPr>
        <w:t>jej wdrożeniu</w:t>
      </w:r>
      <w:r w:rsidRPr="00B15C52">
        <w:rPr>
          <w:rFonts w:asciiTheme="minorHAnsi" w:hAnsiTheme="minorHAnsi"/>
          <w:sz w:val="24"/>
          <w:lang w:val="pl-PL"/>
        </w:rPr>
        <w:t xml:space="preserve">, zwłaszcza że niektóre dzieci były </w:t>
      </w:r>
      <w:r>
        <w:rPr>
          <w:rFonts w:asciiTheme="minorHAnsi" w:hAnsiTheme="minorHAnsi"/>
          <w:sz w:val="24"/>
          <w:lang w:val="pl-PL"/>
        </w:rPr>
        <w:t xml:space="preserve">jej </w:t>
      </w:r>
      <w:r w:rsidRPr="00B15C52">
        <w:rPr>
          <w:rFonts w:asciiTheme="minorHAnsi" w:hAnsiTheme="minorHAnsi"/>
          <w:sz w:val="24"/>
          <w:lang w:val="pl-PL"/>
        </w:rPr>
        <w:t xml:space="preserve">niechętne. </w:t>
      </w:r>
    </w:p>
    <w:p w14:paraId="733C06EC" w14:textId="77777777" w:rsidR="00950534" w:rsidRDefault="00950534" w:rsidP="00950534">
      <w:pPr>
        <w:pStyle w:val="ClinContent"/>
        <w:widowControl w:val="0"/>
        <w:spacing w:before="0"/>
        <w:rPr>
          <w:rFonts w:asciiTheme="minorHAnsi" w:hAnsiTheme="minorHAnsi"/>
          <w:sz w:val="24"/>
          <w:lang w:val="pl-PL"/>
        </w:rPr>
      </w:pPr>
    </w:p>
    <w:p w14:paraId="60E28172" w14:textId="275D5D58"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Niemniej jednak, ponieważ władze nie wykonały nakazu tymczasowego umieszczenia skarżącego</w:t>
      </w:r>
      <w:r>
        <w:rPr>
          <w:rFonts w:asciiTheme="minorHAnsi" w:hAnsiTheme="minorHAnsi"/>
          <w:sz w:val="24"/>
          <w:lang w:val="pl-PL"/>
        </w:rPr>
        <w:t xml:space="preserve"> w pieczy</w:t>
      </w:r>
      <w:r w:rsidRPr="00B15C52">
        <w:rPr>
          <w:rFonts w:asciiTheme="minorHAnsi" w:hAnsiTheme="minorHAnsi"/>
          <w:sz w:val="24"/>
          <w:lang w:val="pl-PL"/>
        </w:rPr>
        <w:t xml:space="preserve">, </w:t>
      </w:r>
      <w:r>
        <w:rPr>
          <w:rFonts w:asciiTheme="minorHAnsi" w:hAnsiTheme="minorHAnsi"/>
          <w:sz w:val="24"/>
          <w:lang w:val="pl-PL"/>
        </w:rPr>
        <w:t xml:space="preserve">Trybunał uznał, że </w:t>
      </w:r>
      <w:r w:rsidRPr="00B15C52">
        <w:rPr>
          <w:rFonts w:asciiTheme="minorHAnsi" w:hAnsiTheme="minorHAnsi"/>
          <w:sz w:val="24"/>
          <w:lang w:val="pl-PL"/>
        </w:rPr>
        <w:t xml:space="preserve">nie zrobiły </w:t>
      </w:r>
      <w:r>
        <w:rPr>
          <w:rFonts w:asciiTheme="minorHAnsi" w:hAnsiTheme="minorHAnsi"/>
          <w:sz w:val="24"/>
          <w:lang w:val="pl-PL"/>
        </w:rPr>
        <w:t xml:space="preserve">one </w:t>
      </w:r>
      <w:r w:rsidRPr="00B15C52">
        <w:rPr>
          <w:rFonts w:asciiTheme="minorHAnsi" w:hAnsiTheme="minorHAnsi"/>
          <w:sz w:val="24"/>
          <w:lang w:val="pl-PL"/>
        </w:rPr>
        <w:t>wszystkiego, czego można było od</w:t>
      </w:r>
      <w:r w:rsidR="00092E2B">
        <w:rPr>
          <w:rFonts w:asciiTheme="minorHAnsi" w:hAnsiTheme="minorHAnsi"/>
          <w:sz w:val="24"/>
          <w:lang w:val="pl-PL"/>
        </w:rPr>
        <w:t> </w:t>
      </w:r>
      <w:r w:rsidRPr="00B15C52">
        <w:rPr>
          <w:rFonts w:asciiTheme="minorHAnsi" w:hAnsiTheme="minorHAnsi"/>
          <w:sz w:val="24"/>
          <w:lang w:val="pl-PL"/>
        </w:rPr>
        <w:t xml:space="preserve">nich </w:t>
      </w:r>
      <w:r>
        <w:rPr>
          <w:rFonts w:asciiTheme="minorHAnsi" w:hAnsiTheme="minorHAnsi"/>
          <w:sz w:val="24"/>
          <w:lang w:val="pl-PL"/>
        </w:rPr>
        <w:t xml:space="preserve">oczekiwać </w:t>
      </w:r>
      <w:r w:rsidRPr="00B15C52">
        <w:rPr>
          <w:rFonts w:asciiTheme="minorHAnsi" w:hAnsiTheme="minorHAnsi"/>
          <w:sz w:val="24"/>
          <w:lang w:val="pl-PL"/>
        </w:rPr>
        <w:t>w uzasadniony sposób w celu wypełnienia obowiązku ochrony i</w:t>
      </w:r>
      <w:r w:rsidR="00092E2B">
        <w:rPr>
          <w:rFonts w:asciiTheme="minorHAnsi" w:hAnsiTheme="minorHAnsi"/>
          <w:sz w:val="24"/>
          <w:lang w:val="pl-PL"/>
        </w:rPr>
        <w:t> </w:t>
      </w:r>
      <w:r w:rsidRPr="00B15C52">
        <w:rPr>
          <w:rFonts w:asciiTheme="minorHAnsi" w:hAnsiTheme="minorHAnsi"/>
          <w:sz w:val="24"/>
          <w:lang w:val="pl-PL"/>
        </w:rPr>
        <w:t xml:space="preserve">zapewnienia </w:t>
      </w:r>
      <w:r>
        <w:rPr>
          <w:rFonts w:asciiTheme="minorHAnsi" w:hAnsiTheme="minorHAnsi"/>
          <w:sz w:val="24"/>
          <w:lang w:val="pl-PL"/>
        </w:rPr>
        <w:t xml:space="preserve">ochrony skarżącemu </w:t>
      </w:r>
      <w:r w:rsidRPr="00B15C52">
        <w:rPr>
          <w:rFonts w:asciiTheme="minorHAnsi" w:hAnsiTheme="minorHAnsi"/>
          <w:sz w:val="24"/>
          <w:lang w:val="pl-PL"/>
        </w:rPr>
        <w:t>– dwunastoletni</w:t>
      </w:r>
      <w:r>
        <w:rPr>
          <w:rFonts w:asciiTheme="minorHAnsi" w:hAnsiTheme="minorHAnsi"/>
          <w:sz w:val="24"/>
          <w:lang w:val="pl-PL"/>
        </w:rPr>
        <w:t>e</w:t>
      </w:r>
      <w:r w:rsidRPr="00B15C52">
        <w:rPr>
          <w:rFonts w:asciiTheme="minorHAnsi" w:hAnsiTheme="minorHAnsi"/>
          <w:sz w:val="24"/>
          <w:lang w:val="pl-PL"/>
        </w:rPr>
        <w:t>m</w:t>
      </w:r>
      <w:r>
        <w:rPr>
          <w:rFonts w:asciiTheme="minorHAnsi" w:hAnsiTheme="minorHAnsi"/>
          <w:sz w:val="24"/>
          <w:lang w:val="pl-PL"/>
        </w:rPr>
        <w:t>u</w:t>
      </w:r>
      <w:r w:rsidRPr="00B15C52">
        <w:rPr>
          <w:rFonts w:asciiTheme="minorHAnsi" w:hAnsiTheme="minorHAnsi"/>
          <w:sz w:val="24"/>
          <w:lang w:val="pl-PL"/>
        </w:rPr>
        <w:t xml:space="preserve"> cudzoziemc</w:t>
      </w:r>
      <w:r>
        <w:rPr>
          <w:rFonts w:asciiTheme="minorHAnsi" w:hAnsiTheme="minorHAnsi"/>
          <w:sz w:val="24"/>
          <w:lang w:val="pl-PL"/>
        </w:rPr>
        <w:t>owi</w:t>
      </w:r>
      <w:r w:rsidRPr="00B15C52">
        <w:rPr>
          <w:rFonts w:asciiTheme="minorHAnsi" w:hAnsiTheme="minorHAnsi"/>
          <w:sz w:val="24"/>
          <w:lang w:val="pl-PL"/>
        </w:rPr>
        <w:t xml:space="preserve"> bez opieki przebywając</w:t>
      </w:r>
      <w:r>
        <w:rPr>
          <w:rFonts w:asciiTheme="minorHAnsi" w:hAnsiTheme="minorHAnsi"/>
          <w:sz w:val="24"/>
          <w:lang w:val="pl-PL"/>
        </w:rPr>
        <w:t>emu</w:t>
      </w:r>
      <w:r w:rsidRPr="00B15C52">
        <w:rPr>
          <w:rFonts w:asciiTheme="minorHAnsi" w:hAnsiTheme="minorHAnsi"/>
          <w:sz w:val="24"/>
          <w:lang w:val="pl-PL"/>
        </w:rPr>
        <w:t xml:space="preserve"> nielegalnie </w:t>
      </w:r>
      <w:r>
        <w:rPr>
          <w:rFonts w:asciiTheme="minorHAnsi" w:hAnsiTheme="minorHAnsi"/>
          <w:sz w:val="24"/>
          <w:lang w:val="pl-PL"/>
        </w:rPr>
        <w:t>na ich terytorium – a więc osobie należącej</w:t>
      </w:r>
      <w:r w:rsidRPr="00B15C52">
        <w:rPr>
          <w:rFonts w:asciiTheme="minorHAnsi" w:hAnsiTheme="minorHAnsi"/>
          <w:sz w:val="24"/>
          <w:lang w:val="pl-PL"/>
        </w:rPr>
        <w:t xml:space="preserve"> do najbardziej wrażliwych grup w społeczeństwie. </w:t>
      </w:r>
    </w:p>
    <w:p w14:paraId="6C8CDA0A" w14:textId="77777777" w:rsidR="00950534" w:rsidRDefault="00950534" w:rsidP="00950534">
      <w:pPr>
        <w:pStyle w:val="ClinContent"/>
        <w:widowControl w:val="0"/>
        <w:spacing w:before="0"/>
        <w:rPr>
          <w:rFonts w:asciiTheme="minorHAnsi" w:hAnsiTheme="minorHAnsi"/>
          <w:sz w:val="24"/>
          <w:lang w:val="pl-PL"/>
        </w:rPr>
      </w:pPr>
    </w:p>
    <w:p w14:paraId="7295937D"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Niepewność niedostosowanego dla dziecka otoczenia</w:t>
      </w:r>
      <w:r w:rsidRPr="00BC7CF2">
        <w:rPr>
          <w:rFonts w:asciiTheme="minorHAnsi" w:hAnsiTheme="minorHAnsi"/>
          <w:sz w:val="24"/>
          <w:lang w:val="pl-PL"/>
        </w:rPr>
        <w:t xml:space="preserve"> </w:t>
      </w:r>
      <w:r w:rsidRPr="00B15C52">
        <w:rPr>
          <w:rFonts w:asciiTheme="minorHAnsi" w:hAnsiTheme="minorHAnsi"/>
          <w:sz w:val="24"/>
          <w:lang w:val="pl-PL"/>
        </w:rPr>
        <w:t xml:space="preserve">„obozowiska w Calais”, w jakim skarżący przebywał przez kilka miesięcy, oraz niewykonanie nakazu sędziego ds. </w:t>
      </w:r>
      <w:r>
        <w:rPr>
          <w:rFonts w:asciiTheme="minorHAnsi" w:hAnsiTheme="minorHAnsi"/>
          <w:sz w:val="24"/>
          <w:lang w:val="pl-PL"/>
        </w:rPr>
        <w:t>nieletnich</w:t>
      </w:r>
      <w:r w:rsidRPr="00B15C52">
        <w:rPr>
          <w:rFonts w:asciiTheme="minorHAnsi" w:hAnsiTheme="minorHAnsi"/>
          <w:sz w:val="24"/>
          <w:lang w:val="pl-PL"/>
        </w:rPr>
        <w:t xml:space="preserve"> dotyczącego zapewnienia ochrony skarżącemu stanowiły łącznie poniżające traktowanie. </w:t>
      </w:r>
    </w:p>
    <w:p w14:paraId="6F4804F0" w14:textId="77777777" w:rsidR="00950534" w:rsidRDefault="00950534" w:rsidP="00950534">
      <w:pPr>
        <w:pStyle w:val="ClinContent"/>
        <w:widowControl w:val="0"/>
        <w:spacing w:before="0"/>
        <w:rPr>
          <w:rFonts w:asciiTheme="minorHAnsi" w:hAnsiTheme="minorHAnsi"/>
          <w:sz w:val="24"/>
          <w:lang w:val="pl-PL"/>
        </w:rPr>
      </w:pPr>
    </w:p>
    <w:p w14:paraId="38F265FF" w14:textId="77777777" w:rsidR="00950534" w:rsidRDefault="00950534" w:rsidP="00950534">
      <w:pPr>
        <w:pStyle w:val="ClinContent"/>
        <w:widowControl w:val="0"/>
        <w:spacing w:before="0"/>
        <w:rPr>
          <w:rFonts w:asciiTheme="minorHAnsi" w:hAnsiTheme="minorHAnsi"/>
          <w:sz w:val="24"/>
          <w:lang w:val="pl-PL"/>
        </w:rPr>
      </w:pPr>
      <w:r w:rsidRPr="003E397E">
        <w:rPr>
          <w:rFonts w:asciiTheme="minorHAnsi" w:hAnsiTheme="minorHAnsi"/>
          <w:sz w:val="24"/>
          <w:lang w:val="pl-PL"/>
        </w:rPr>
        <w:t>Z powyższych względów Trybunał jednogłośnie orzekł, że doszło do naruszenia art. 3 Konwencji.</w:t>
      </w:r>
      <w:r>
        <w:rPr>
          <w:rFonts w:asciiTheme="minorHAnsi" w:hAnsiTheme="minorHAnsi"/>
          <w:sz w:val="24"/>
          <w:lang w:val="pl-PL"/>
        </w:rPr>
        <w:t xml:space="preserve"> </w:t>
      </w:r>
    </w:p>
    <w:p w14:paraId="463FB663" w14:textId="77777777" w:rsidR="00950534" w:rsidRDefault="00950534" w:rsidP="00950534">
      <w:pPr>
        <w:pStyle w:val="ClinContent"/>
        <w:widowControl w:val="0"/>
        <w:spacing w:before="0"/>
        <w:rPr>
          <w:rFonts w:asciiTheme="minorHAnsi" w:hAnsiTheme="minorHAnsi"/>
          <w:sz w:val="24"/>
          <w:lang w:val="pl-PL"/>
        </w:rPr>
      </w:pPr>
    </w:p>
    <w:p w14:paraId="1544CA23"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Na tej podstawie Trybunał zasądził na rzecz skarżącego kwotę </w:t>
      </w:r>
      <w:r w:rsidRPr="00B15C52">
        <w:rPr>
          <w:rFonts w:asciiTheme="minorHAnsi" w:hAnsiTheme="minorHAnsi"/>
          <w:sz w:val="24"/>
          <w:lang w:val="pl-PL"/>
        </w:rPr>
        <w:t xml:space="preserve">15 000 euro z tytułu szkody niemajątkowej. </w:t>
      </w:r>
    </w:p>
    <w:p w14:paraId="0B0B4FD9" w14:textId="77777777" w:rsidR="00950534" w:rsidRDefault="00950534" w:rsidP="00950534">
      <w:pPr>
        <w:pStyle w:val="ClinContent"/>
        <w:widowControl w:val="0"/>
        <w:spacing w:before="0"/>
        <w:rPr>
          <w:rFonts w:asciiTheme="minorHAnsi" w:hAnsiTheme="minorHAnsi"/>
          <w:sz w:val="24"/>
          <w:lang w:val="pl-PL"/>
        </w:rPr>
      </w:pPr>
    </w:p>
    <w:p w14:paraId="4C02F4F9" w14:textId="082A8576"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Wyrok </w:t>
      </w:r>
      <w:r>
        <w:rPr>
          <w:rFonts w:asciiTheme="minorHAnsi" w:hAnsiTheme="minorHAnsi" w:cs="Verdana"/>
          <w:bCs/>
          <w:sz w:val="24"/>
          <w:lang w:val="pl-PL"/>
        </w:rPr>
        <w:t>wskazuje na obowiązki władz zidentyfikowania przybywających na jego terytorium małoletnich cudzoziemców pozbawionych opieki i</w:t>
      </w:r>
      <w:r w:rsidR="00092E2B">
        <w:rPr>
          <w:rFonts w:asciiTheme="minorHAnsi" w:hAnsiTheme="minorHAnsi" w:cs="Verdana"/>
          <w:bCs/>
          <w:sz w:val="24"/>
          <w:lang w:val="pl-PL"/>
        </w:rPr>
        <w:t> </w:t>
      </w:r>
      <w:r>
        <w:rPr>
          <w:rFonts w:asciiTheme="minorHAnsi" w:hAnsiTheme="minorHAnsi" w:cs="Verdana"/>
          <w:bCs/>
          <w:sz w:val="24"/>
          <w:lang w:val="pl-PL"/>
        </w:rPr>
        <w:t>zapewnienia im opieki i odpowiedniego dla dzieci zakwaterowania. Obowiązki te państwa powinny realizować z urzędu, nie czekając na wnioski ze strony np. organizacji pozarządowych zajmujących się pomocą migrantom. Pozostawienie małoletnich cudzoziemców pozbawionych opieki w obozowisku dla migrantów w warunkach braku bezpieczeństwa i niedostosowanych do ich potrzeb jest niezgodne z obowiązkami wynikającymi z art. 3 Konwencji. Nie zmienia tej oceny fakt, że władze stały przed szczególnymi trudnościami związanymi z dużym napływem migrantów, a skarżący sam nie</w:t>
      </w:r>
      <w:r w:rsidR="00092E2B">
        <w:rPr>
          <w:rFonts w:asciiTheme="minorHAnsi" w:hAnsiTheme="minorHAnsi" w:cs="Verdana"/>
          <w:bCs/>
          <w:sz w:val="24"/>
          <w:lang w:val="pl-PL"/>
        </w:rPr>
        <w:t> </w:t>
      </w:r>
      <w:r>
        <w:rPr>
          <w:rFonts w:asciiTheme="minorHAnsi" w:hAnsiTheme="minorHAnsi" w:cs="Verdana"/>
          <w:bCs/>
          <w:sz w:val="24"/>
          <w:lang w:val="pl-PL"/>
        </w:rPr>
        <w:t xml:space="preserve">podejmował prób stawienia się w przewidzianym dla niego miejscu zamieszkania. </w:t>
      </w:r>
    </w:p>
    <w:p w14:paraId="287CD6B1" w14:textId="77777777" w:rsidR="00950534" w:rsidRDefault="00950534" w:rsidP="00950534">
      <w:pPr>
        <w:pStyle w:val="ClinContent"/>
        <w:widowControl w:val="0"/>
        <w:spacing w:before="0"/>
        <w:rPr>
          <w:rFonts w:asciiTheme="minorHAnsi" w:hAnsiTheme="minorHAnsi" w:cs="Verdana"/>
          <w:bCs/>
          <w:sz w:val="24"/>
          <w:lang w:val="pl-PL"/>
        </w:rPr>
      </w:pPr>
    </w:p>
    <w:p w14:paraId="5844FCCC" w14:textId="0284CEA6"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 xml:space="preserve">Wyrok może mieć w szczególności znaczenie dla Straży Granicznej, Urzędu do Spraw </w:t>
      </w:r>
      <w:r>
        <w:rPr>
          <w:rFonts w:asciiTheme="minorHAnsi" w:hAnsiTheme="minorHAnsi" w:cs="Verdana"/>
          <w:bCs/>
          <w:sz w:val="24"/>
          <w:lang w:val="pl-PL"/>
        </w:rPr>
        <w:lastRenderedPageBreak/>
        <w:t>Cudzoziemców, Rady do Spraw Uchodźców, organów pomocy społecznej, sądów rodzinnych, kuratorów rodzinnych, Ministerstwa Sprawiedliwości, Ministerstwa Spraw Wewnętrznych i</w:t>
      </w:r>
      <w:r w:rsidR="00092E2B">
        <w:rPr>
          <w:rFonts w:asciiTheme="minorHAnsi" w:hAnsiTheme="minorHAnsi" w:cs="Verdana"/>
          <w:bCs/>
          <w:sz w:val="24"/>
          <w:lang w:val="pl-PL"/>
        </w:rPr>
        <w:t> </w:t>
      </w:r>
      <w:r>
        <w:rPr>
          <w:rFonts w:asciiTheme="minorHAnsi" w:hAnsiTheme="minorHAnsi" w:cs="Verdana"/>
          <w:bCs/>
          <w:sz w:val="24"/>
          <w:lang w:val="pl-PL"/>
        </w:rPr>
        <w:t xml:space="preserve">Administracji, Ministerstwa Rodziny, Pracy i Polityki Społecznej, Rzecznika Praw Dziecka. </w:t>
      </w:r>
    </w:p>
    <w:p w14:paraId="69A2F64C" w14:textId="77777777" w:rsidR="00950534" w:rsidRDefault="00950534" w:rsidP="00950534">
      <w:pPr>
        <w:pStyle w:val="ClinContent"/>
        <w:widowControl w:val="0"/>
        <w:spacing w:before="0"/>
        <w:rPr>
          <w:rFonts w:asciiTheme="minorHAnsi" w:hAnsiTheme="minorHAnsi"/>
          <w:sz w:val="24"/>
          <w:lang w:val="pl-PL"/>
        </w:rPr>
      </w:pPr>
    </w:p>
    <w:p w14:paraId="2BCFB9CC" w14:textId="77777777" w:rsidR="00950534" w:rsidRDefault="00950534" w:rsidP="00950534">
      <w:pPr>
        <w:pStyle w:val="ClinContent"/>
        <w:widowControl w:val="0"/>
        <w:spacing w:before="0"/>
        <w:rPr>
          <w:rFonts w:asciiTheme="minorHAnsi" w:hAnsiTheme="minorHAnsi"/>
          <w:sz w:val="24"/>
          <w:lang w:val="pl-PL"/>
        </w:rPr>
      </w:pPr>
    </w:p>
    <w:p w14:paraId="5B178812"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12" w:name="_Toc35632475"/>
      <w:r w:rsidRPr="00A450C9">
        <w:rPr>
          <w:rFonts w:asciiTheme="minorHAnsi" w:hAnsiTheme="minorHAnsi"/>
          <w:i/>
          <w:color w:val="auto"/>
          <w:sz w:val="24"/>
          <w:szCs w:val="24"/>
        </w:rPr>
        <w:t>López Ribalda i Inni p. Hiszpanii</w:t>
      </w:r>
      <w:r w:rsidRPr="00077E55">
        <w:rPr>
          <w:rFonts w:asciiTheme="minorHAnsi" w:hAnsiTheme="minorHAnsi"/>
          <w:color w:val="auto"/>
          <w:sz w:val="24"/>
          <w:szCs w:val="24"/>
        </w:rPr>
        <w:t>, skargi nr 1874/13 i 8567/13, wyrok Wielkiej Izby z dnia 17 października 2019 r.</w:t>
      </w:r>
      <w:bookmarkEnd w:id="12"/>
    </w:p>
    <w:p w14:paraId="30CC06E3" w14:textId="46467514"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brak naruszenia art. 8 Konwencji (prawo do poszanowania życia prywatnego i</w:t>
      </w:r>
      <w:r w:rsidR="00092E2B">
        <w:rPr>
          <w:b/>
          <w:iCs/>
          <w:color w:val="000000" w:themeColor="text1"/>
          <w:sz w:val="24"/>
          <w:szCs w:val="24"/>
          <w:lang w:val="pl-PL"/>
        </w:rPr>
        <w:t> </w:t>
      </w:r>
      <w:r>
        <w:rPr>
          <w:b/>
          <w:iCs/>
          <w:color w:val="000000" w:themeColor="text1"/>
          <w:sz w:val="24"/>
          <w:szCs w:val="24"/>
          <w:lang w:val="pl-PL"/>
        </w:rPr>
        <w:t xml:space="preserve">rodzinnego – aspekt prawa do poszanowania życia prywatnego i obowiązków pozytywnych) w odniesieniu do stosowania </w:t>
      </w:r>
      <w:r w:rsidRPr="00097BCF">
        <w:rPr>
          <w:b/>
          <w:iCs/>
          <w:color w:val="000000" w:themeColor="text1"/>
          <w:sz w:val="24"/>
          <w:szCs w:val="24"/>
          <w:lang w:val="pl-PL"/>
        </w:rPr>
        <w:t>przez pracodawcę</w:t>
      </w:r>
      <w:r>
        <w:rPr>
          <w:b/>
          <w:iCs/>
          <w:color w:val="000000" w:themeColor="text1"/>
          <w:sz w:val="24"/>
          <w:szCs w:val="24"/>
          <w:lang w:val="pl-PL"/>
        </w:rPr>
        <w:t xml:space="preserve"> ukrytego nadzoru</w:t>
      </w:r>
      <w:r w:rsidRPr="00097BCF">
        <w:rPr>
          <w:b/>
          <w:iCs/>
          <w:color w:val="000000" w:themeColor="text1"/>
          <w:sz w:val="24"/>
          <w:szCs w:val="24"/>
          <w:lang w:val="pl-PL"/>
        </w:rPr>
        <w:t xml:space="preserve"> wideo wobec kasjerów i asystentów ds. sprzedaży w supermarkecie</w:t>
      </w:r>
    </w:p>
    <w:p w14:paraId="1E30FEF8" w14:textId="45799DF7"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brak naruszenia art. 6 Konwencji (prawo do rzetelnego procesu sądowego) w</w:t>
      </w:r>
      <w:r w:rsidR="00092E2B">
        <w:rPr>
          <w:b/>
          <w:iCs/>
          <w:color w:val="000000" w:themeColor="text1"/>
          <w:sz w:val="24"/>
          <w:szCs w:val="24"/>
          <w:lang w:val="pl-PL"/>
        </w:rPr>
        <w:t> </w:t>
      </w:r>
      <w:r>
        <w:rPr>
          <w:b/>
          <w:iCs/>
          <w:color w:val="000000" w:themeColor="text1"/>
          <w:sz w:val="24"/>
          <w:szCs w:val="24"/>
          <w:lang w:val="pl-PL"/>
        </w:rPr>
        <w:t xml:space="preserve">odniesieniu do wykorzystania nagrań uzyskanych w drodze nadzoru wideo jako dowodu w postępowaniu przed sądami pracy </w:t>
      </w:r>
    </w:p>
    <w:p w14:paraId="58B23507" w14:textId="77777777" w:rsidR="00950534" w:rsidRPr="00A80201" w:rsidRDefault="00950534" w:rsidP="00950534">
      <w:pPr>
        <w:pStyle w:val="ClinContent"/>
        <w:widowControl w:val="0"/>
        <w:spacing w:before="0"/>
        <w:rPr>
          <w:rFonts w:asciiTheme="minorHAnsi" w:hAnsiTheme="minorHAnsi"/>
          <w:sz w:val="24"/>
          <w:lang w:val="pl-PL"/>
        </w:rPr>
      </w:pPr>
    </w:p>
    <w:p w14:paraId="47A92B94"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Skarżący pracowali jako kasjerzy i asystenci ds. sprzedaży w supermarkecie. Supermarket ponosił straty ekonomiczne. W celu zbadania tych strat pracodawca skarżących zdecydował się zainstalować kamery </w:t>
      </w:r>
      <w:r>
        <w:rPr>
          <w:rFonts w:asciiTheme="minorHAnsi" w:hAnsiTheme="minorHAnsi"/>
          <w:sz w:val="24"/>
          <w:lang w:val="pl-PL"/>
        </w:rPr>
        <w:t>monitorujące</w:t>
      </w:r>
      <w:r w:rsidRPr="00B15C52">
        <w:rPr>
          <w:rFonts w:asciiTheme="minorHAnsi" w:hAnsiTheme="minorHAnsi"/>
          <w:sz w:val="24"/>
          <w:lang w:val="pl-PL"/>
        </w:rPr>
        <w:t xml:space="preserve">. Niektóre kamery były na widoku, podczas gdy inne zostały ukryte. Skarżących powiadomiono o obecności widocznych kamer, ale nie o tych, które były ukryte. </w:t>
      </w:r>
      <w:r>
        <w:rPr>
          <w:rFonts w:asciiTheme="minorHAnsi" w:hAnsiTheme="minorHAnsi"/>
          <w:sz w:val="24"/>
          <w:lang w:val="pl-PL"/>
        </w:rPr>
        <w:t>Z</w:t>
      </w:r>
      <w:r w:rsidRPr="00B15C52">
        <w:rPr>
          <w:rFonts w:asciiTheme="minorHAnsi" w:hAnsiTheme="minorHAnsi"/>
          <w:sz w:val="24"/>
          <w:lang w:val="pl-PL"/>
        </w:rPr>
        <w:t>wolniono</w:t>
      </w:r>
      <w:r>
        <w:rPr>
          <w:rFonts w:asciiTheme="minorHAnsi" w:hAnsiTheme="minorHAnsi"/>
          <w:sz w:val="24"/>
          <w:lang w:val="pl-PL"/>
        </w:rPr>
        <w:t xml:space="preserve"> ich z pracy po tym</w:t>
      </w:r>
      <w:r w:rsidRPr="00B15C52">
        <w:rPr>
          <w:rFonts w:asciiTheme="minorHAnsi" w:hAnsiTheme="minorHAnsi"/>
          <w:sz w:val="24"/>
          <w:lang w:val="pl-PL"/>
        </w:rPr>
        <w:t xml:space="preserve">, </w:t>
      </w:r>
      <w:r>
        <w:rPr>
          <w:rFonts w:asciiTheme="minorHAnsi" w:hAnsiTheme="minorHAnsi"/>
          <w:sz w:val="24"/>
          <w:lang w:val="pl-PL"/>
        </w:rPr>
        <w:t xml:space="preserve">jak </w:t>
      </w:r>
      <w:r w:rsidRPr="00B15C52">
        <w:rPr>
          <w:rFonts w:asciiTheme="minorHAnsi" w:hAnsiTheme="minorHAnsi"/>
          <w:sz w:val="24"/>
          <w:lang w:val="pl-PL"/>
        </w:rPr>
        <w:t xml:space="preserve">nagrania wideo ukazały, że </w:t>
      </w:r>
      <w:r>
        <w:rPr>
          <w:rFonts w:asciiTheme="minorHAnsi" w:hAnsiTheme="minorHAnsi"/>
          <w:sz w:val="24"/>
          <w:lang w:val="pl-PL"/>
        </w:rPr>
        <w:t>dokonywali oni kradzieży</w:t>
      </w:r>
      <w:r w:rsidRPr="00B15C52">
        <w:rPr>
          <w:rFonts w:asciiTheme="minorHAnsi" w:hAnsiTheme="minorHAnsi"/>
          <w:sz w:val="24"/>
          <w:lang w:val="pl-PL"/>
        </w:rPr>
        <w:t xml:space="preserve">. </w:t>
      </w:r>
    </w:p>
    <w:p w14:paraId="3FF9A508" w14:textId="77777777" w:rsidR="00950534" w:rsidRDefault="00950534" w:rsidP="00950534">
      <w:pPr>
        <w:pStyle w:val="ClinContent"/>
        <w:widowControl w:val="0"/>
        <w:spacing w:before="0"/>
        <w:rPr>
          <w:rFonts w:asciiTheme="minorHAnsi" w:hAnsiTheme="minorHAnsi"/>
          <w:sz w:val="24"/>
          <w:lang w:val="pl-PL"/>
        </w:rPr>
      </w:pPr>
    </w:p>
    <w:p w14:paraId="673CFCB2"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wyroku z 9 stycznia 2018 r. (zobacz </w:t>
      </w:r>
      <w:hyperlink r:id="rId21" w:history="1">
        <w:r w:rsidRPr="00B15C52">
          <w:rPr>
            <w:rStyle w:val="Hipercze"/>
            <w:rFonts w:asciiTheme="minorHAnsi" w:hAnsiTheme="minorHAnsi"/>
            <w:sz w:val="24"/>
            <w:lang w:val="pl-PL"/>
          </w:rPr>
          <w:t>Nota informacyjna nr 214</w:t>
        </w:r>
      </w:hyperlink>
      <w:r w:rsidRPr="00B15C52">
        <w:rPr>
          <w:rFonts w:asciiTheme="minorHAnsi" w:hAnsiTheme="minorHAnsi"/>
          <w:sz w:val="24"/>
          <w:lang w:val="pl-PL"/>
        </w:rPr>
        <w:t>) Izba Trybunału orzekła, sześcioma głosami do jednego, że doszło do naruszenia art. 8</w:t>
      </w:r>
      <w:r>
        <w:rPr>
          <w:rFonts w:asciiTheme="minorHAnsi" w:hAnsiTheme="minorHAnsi"/>
          <w:sz w:val="24"/>
          <w:lang w:val="pl-PL"/>
        </w:rPr>
        <w:t xml:space="preserve"> Konwencji</w:t>
      </w:r>
      <w:r w:rsidRPr="00B15C52">
        <w:rPr>
          <w:rFonts w:asciiTheme="minorHAnsi" w:hAnsiTheme="minorHAnsi"/>
          <w:sz w:val="24"/>
          <w:lang w:val="pl-PL"/>
        </w:rPr>
        <w:t>.</w:t>
      </w:r>
      <w:r>
        <w:rPr>
          <w:rFonts w:asciiTheme="minorHAnsi" w:hAnsiTheme="minorHAnsi"/>
          <w:sz w:val="24"/>
          <w:lang w:val="pl-PL"/>
        </w:rPr>
        <w:t xml:space="preserve"> </w:t>
      </w:r>
    </w:p>
    <w:p w14:paraId="29B71BDF" w14:textId="77777777" w:rsidR="00950534" w:rsidRDefault="00950534" w:rsidP="00950534">
      <w:pPr>
        <w:pStyle w:val="ClinContent"/>
        <w:widowControl w:val="0"/>
        <w:spacing w:before="0"/>
        <w:rPr>
          <w:rFonts w:asciiTheme="minorHAnsi" w:hAnsiTheme="minorHAnsi"/>
          <w:sz w:val="24"/>
          <w:lang w:val="pl-PL"/>
        </w:rPr>
      </w:pPr>
    </w:p>
    <w:p w14:paraId="70B5005E"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dniu 28 maja 2018 r. sprawa została przekazana do Wielkiej Izby na wniosek rządu. </w:t>
      </w:r>
    </w:p>
    <w:p w14:paraId="6ADC057D" w14:textId="77777777" w:rsidR="00950534" w:rsidRDefault="00950534" w:rsidP="00950534">
      <w:pPr>
        <w:pStyle w:val="ClinContent"/>
        <w:widowControl w:val="0"/>
        <w:spacing w:before="0"/>
        <w:rPr>
          <w:rFonts w:asciiTheme="minorHAnsi" w:hAnsiTheme="minorHAnsi"/>
          <w:sz w:val="24"/>
          <w:lang w:val="pl-PL"/>
        </w:rPr>
      </w:pPr>
    </w:p>
    <w:p w14:paraId="15CB899E"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 Wielka Izba Trybunału na wstępie zbadała, </w:t>
      </w:r>
      <w:r w:rsidRPr="00EC2247">
        <w:rPr>
          <w:rFonts w:asciiTheme="minorHAnsi" w:hAnsiTheme="minorHAnsi"/>
          <w:i/>
          <w:sz w:val="24"/>
          <w:u w:val="single"/>
          <w:lang w:val="pl-PL"/>
        </w:rPr>
        <w:t>czy art. 8 Konwencji (prawo do poszanowania życia prywatnego i rodzinnego) miał zastosowanie do sprawy skarżących</w:t>
      </w:r>
      <w:r>
        <w:rPr>
          <w:rFonts w:asciiTheme="minorHAnsi" w:hAnsiTheme="minorHAnsi"/>
          <w:sz w:val="24"/>
          <w:lang w:val="pl-PL"/>
        </w:rPr>
        <w:t xml:space="preserve">. </w:t>
      </w:r>
    </w:p>
    <w:p w14:paraId="3C6B39F5" w14:textId="77777777" w:rsidR="00950534" w:rsidRDefault="00950534" w:rsidP="00950534">
      <w:pPr>
        <w:pStyle w:val="ClinContent"/>
        <w:widowControl w:val="0"/>
        <w:spacing w:before="0"/>
        <w:rPr>
          <w:rFonts w:asciiTheme="minorHAnsi" w:hAnsiTheme="minorHAnsi"/>
          <w:sz w:val="24"/>
          <w:lang w:val="pl-PL"/>
        </w:rPr>
      </w:pPr>
    </w:p>
    <w:p w14:paraId="789B3162" w14:textId="5B8FFF6B"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odnotował, że s</w:t>
      </w:r>
      <w:r w:rsidRPr="00B15C52">
        <w:rPr>
          <w:rFonts w:asciiTheme="minorHAnsi" w:hAnsiTheme="minorHAnsi"/>
          <w:sz w:val="24"/>
          <w:lang w:val="pl-PL"/>
        </w:rPr>
        <w:t>karżących poddano środkowi nadzoru wideo, który został wdrożony w miejscu pracy przez ich pracodawcę na okres dziesięciu dni</w:t>
      </w:r>
      <w:r>
        <w:rPr>
          <w:rFonts w:asciiTheme="minorHAnsi" w:hAnsiTheme="minorHAnsi"/>
          <w:sz w:val="24"/>
          <w:lang w:val="pl-PL"/>
        </w:rPr>
        <w:t>.</w:t>
      </w:r>
      <w:r w:rsidRPr="00B15C52">
        <w:rPr>
          <w:rFonts w:asciiTheme="minorHAnsi" w:hAnsiTheme="minorHAnsi"/>
          <w:sz w:val="24"/>
          <w:lang w:val="pl-PL"/>
        </w:rPr>
        <w:t xml:space="preserve"> </w:t>
      </w:r>
      <w:r>
        <w:rPr>
          <w:rFonts w:asciiTheme="minorHAnsi" w:hAnsiTheme="minorHAnsi"/>
          <w:sz w:val="24"/>
          <w:lang w:val="pl-PL"/>
        </w:rPr>
        <w:t>K</w:t>
      </w:r>
      <w:r w:rsidRPr="00B15C52">
        <w:rPr>
          <w:rFonts w:asciiTheme="minorHAnsi" w:hAnsiTheme="minorHAnsi"/>
          <w:sz w:val="24"/>
          <w:lang w:val="pl-PL"/>
        </w:rPr>
        <w:t>amery były skierowane na</w:t>
      </w:r>
      <w:r w:rsidR="00092E2B">
        <w:rPr>
          <w:rFonts w:asciiTheme="minorHAnsi" w:hAnsiTheme="minorHAnsi"/>
          <w:sz w:val="24"/>
          <w:lang w:val="pl-PL"/>
        </w:rPr>
        <w:t> </w:t>
      </w:r>
      <w:r>
        <w:rPr>
          <w:rFonts w:asciiTheme="minorHAnsi" w:hAnsiTheme="minorHAnsi"/>
          <w:sz w:val="24"/>
          <w:lang w:val="pl-PL"/>
        </w:rPr>
        <w:t xml:space="preserve">strefę </w:t>
      </w:r>
      <w:r w:rsidRPr="00B15C52">
        <w:rPr>
          <w:rFonts w:asciiTheme="minorHAnsi" w:hAnsiTheme="minorHAnsi"/>
          <w:sz w:val="24"/>
          <w:lang w:val="pl-PL"/>
        </w:rPr>
        <w:t>kas supermarketu i ich o</w:t>
      </w:r>
      <w:r>
        <w:rPr>
          <w:rFonts w:asciiTheme="minorHAnsi" w:hAnsiTheme="minorHAnsi"/>
          <w:sz w:val="24"/>
          <w:lang w:val="pl-PL"/>
        </w:rPr>
        <w:t>toczenie</w:t>
      </w:r>
      <w:r w:rsidRPr="00B15C52">
        <w:rPr>
          <w:rFonts w:asciiTheme="minorHAnsi" w:hAnsiTheme="minorHAnsi"/>
          <w:sz w:val="24"/>
          <w:lang w:val="pl-PL"/>
        </w:rPr>
        <w:t xml:space="preserve">. </w:t>
      </w:r>
      <w:r>
        <w:rPr>
          <w:rFonts w:asciiTheme="minorHAnsi" w:hAnsiTheme="minorHAnsi"/>
          <w:sz w:val="24"/>
          <w:lang w:val="pl-PL"/>
        </w:rPr>
        <w:t>Chociaż</w:t>
      </w:r>
      <w:r w:rsidRPr="00B15C52">
        <w:rPr>
          <w:rFonts w:asciiTheme="minorHAnsi" w:hAnsiTheme="minorHAnsi"/>
          <w:sz w:val="24"/>
          <w:lang w:val="pl-PL"/>
        </w:rPr>
        <w:t xml:space="preserve"> więc skarżący nie byli indywidualnie obiektem nadzoru wideo, bezsporne</w:t>
      </w:r>
      <w:r w:rsidRPr="00A544BC">
        <w:rPr>
          <w:rFonts w:asciiTheme="minorHAnsi" w:hAnsiTheme="minorHAnsi"/>
          <w:sz w:val="24"/>
          <w:lang w:val="pl-PL"/>
        </w:rPr>
        <w:t xml:space="preserve"> </w:t>
      </w:r>
      <w:r w:rsidRPr="00B15C52">
        <w:rPr>
          <w:rFonts w:asciiTheme="minorHAnsi" w:hAnsiTheme="minorHAnsi"/>
          <w:sz w:val="24"/>
          <w:lang w:val="pl-PL"/>
        </w:rPr>
        <w:t xml:space="preserve">było, że mogli być filmowani przez cały dzień pracy. </w:t>
      </w:r>
    </w:p>
    <w:p w14:paraId="74C28472" w14:textId="77777777" w:rsidR="00950534" w:rsidRDefault="00950534" w:rsidP="00950534">
      <w:pPr>
        <w:pStyle w:val="ClinContent"/>
        <w:widowControl w:val="0"/>
        <w:spacing w:before="0"/>
        <w:rPr>
          <w:rFonts w:asciiTheme="minorHAnsi" w:hAnsiTheme="minorHAnsi"/>
          <w:sz w:val="24"/>
          <w:lang w:val="pl-PL"/>
        </w:rPr>
      </w:pPr>
    </w:p>
    <w:p w14:paraId="655FEF64" w14:textId="3205EE7B"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odniesieniu do tego, czy skarżący mogli żywić uzasadnione oczekiwanie, że ich życie prywatne będzie chronione i poszanowane, Trybunał zauważył, że ich miejsce pracy, supermarket, był dostępny publicznie</w:t>
      </w:r>
      <w:r>
        <w:rPr>
          <w:rFonts w:asciiTheme="minorHAnsi" w:hAnsiTheme="minorHAnsi"/>
          <w:sz w:val="24"/>
          <w:lang w:val="pl-PL"/>
        </w:rPr>
        <w:t>, a</w:t>
      </w:r>
      <w:r w:rsidRPr="00B15C52">
        <w:rPr>
          <w:rFonts w:asciiTheme="minorHAnsi" w:hAnsiTheme="minorHAnsi"/>
          <w:sz w:val="24"/>
          <w:lang w:val="pl-PL"/>
        </w:rPr>
        <w:t xml:space="preserve"> filmowane tam działania, mianowicie przyjmowanie opłat za zakupy od klientów, nie miały charakteru intymnego lub prywatnego. Ich</w:t>
      </w:r>
      <w:r w:rsidR="00092E2B">
        <w:rPr>
          <w:rFonts w:asciiTheme="minorHAnsi" w:hAnsiTheme="minorHAnsi"/>
          <w:sz w:val="24"/>
          <w:lang w:val="pl-PL"/>
        </w:rPr>
        <w:t> </w:t>
      </w:r>
      <w:r w:rsidRPr="00B15C52">
        <w:rPr>
          <w:rFonts w:asciiTheme="minorHAnsi" w:hAnsiTheme="minorHAnsi"/>
          <w:sz w:val="24"/>
          <w:lang w:val="pl-PL"/>
        </w:rPr>
        <w:t xml:space="preserve">oczekiwanie ochrony życia prywatnego było więc </w:t>
      </w:r>
      <w:r>
        <w:rPr>
          <w:rFonts w:asciiTheme="minorHAnsi" w:hAnsiTheme="minorHAnsi"/>
          <w:sz w:val="24"/>
          <w:lang w:val="pl-PL"/>
        </w:rPr>
        <w:t>siłą rzeczy</w:t>
      </w:r>
      <w:r w:rsidRPr="00B15C52">
        <w:rPr>
          <w:rFonts w:asciiTheme="minorHAnsi" w:hAnsiTheme="minorHAnsi"/>
          <w:sz w:val="24"/>
          <w:lang w:val="pl-PL"/>
        </w:rPr>
        <w:t xml:space="preserve"> ograniczone. </w:t>
      </w:r>
    </w:p>
    <w:p w14:paraId="2C6FB169" w14:textId="77777777" w:rsidR="00950534" w:rsidRDefault="00950534" w:rsidP="00950534">
      <w:pPr>
        <w:pStyle w:val="ClinContent"/>
        <w:widowControl w:val="0"/>
        <w:spacing w:before="0"/>
        <w:rPr>
          <w:rFonts w:asciiTheme="minorHAnsi" w:hAnsiTheme="minorHAnsi"/>
          <w:sz w:val="24"/>
          <w:lang w:val="pl-PL"/>
        </w:rPr>
      </w:pPr>
    </w:p>
    <w:p w14:paraId="53F5DA11"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jednak, że n</w:t>
      </w:r>
      <w:r w:rsidRPr="00B15C52">
        <w:rPr>
          <w:rFonts w:asciiTheme="minorHAnsi" w:hAnsiTheme="minorHAnsi"/>
          <w:sz w:val="24"/>
          <w:lang w:val="pl-PL"/>
        </w:rPr>
        <w:t>awet w miejscach publicznych systematyczn</w:t>
      </w:r>
      <w:r>
        <w:rPr>
          <w:rFonts w:asciiTheme="minorHAnsi" w:hAnsiTheme="minorHAnsi"/>
          <w:sz w:val="24"/>
          <w:lang w:val="pl-PL"/>
        </w:rPr>
        <w:t>e lub stałe rejestrowanie</w:t>
      </w:r>
      <w:r w:rsidRPr="00B15C52">
        <w:rPr>
          <w:rFonts w:asciiTheme="minorHAnsi" w:hAnsiTheme="minorHAnsi"/>
          <w:sz w:val="24"/>
          <w:lang w:val="pl-PL"/>
        </w:rPr>
        <w:t xml:space="preserve"> obrazów zidentyfikowanych osób i następnie przetwarzanie nagranych w ten sposób obrazów może </w:t>
      </w:r>
      <w:r>
        <w:rPr>
          <w:rFonts w:asciiTheme="minorHAnsi" w:hAnsiTheme="minorHAnsi"/>
          <w:sz w:val="24"/>
          <w:lang w:val="pl-PL"/>
        </w:rPr>
        <w:t>stanowić kwestię dotyczącą</w:t>
      </w:r>
      <w:r w:rsidRPr="00B15C52">
        <w:rPr>
          <w:rFonts w:asciiTheme="minorHAnsi" w:hAnsiTheme="minorHAnsi"/>
          <w:sz w:val="24"/>
          <w:lang w:val="pl-PL"/>
        </w:rPr>
        <w:t xml:space="preserve"> życia prywatnego zainteresowanych osób. </w:t>
      </w:r>
      <w:r>
        <w:rPr>
          <w:rFonts w:asciiTheme="minorHAnsi" w:hAnsiTheme="minorHAnsi"/>
          <w:sz w:val="24"/>
          <w:lang w:val="pl-PL"/>
        </w:rPr>
        <w:t>Zauważył też, że p</w:t>
      </w:r>
      <w:r w:rsidRPr="00B15C52">
        <w:rPr>
          <w:rFonts w:asciiTheme="minorHAnsi" w:hAnsiTheme="minorHAnsi"/>
          <w:sz w:val="24"/>
          <w:lang w:val="pl-PL"/>
        </w:rPr>
        <w:t xml:space="preserve">rawo krajowe zapewniało formalne i wyraźne ramy ustawowe, które wymagały od osoby odpowiedzialnej za system nadzoru wideo, nawet w miejscu publicznym, uprzedniego poinformowania osób monitorowanych przez taki system. </w:t>
      </w:r>
    </w:p>
    <w:p w14:paraId="19BB9E9C" w14:textId="77777777" w:rsidR="00950534" w:rsidRDefault="00950534" w:rsidP="00950534">
      <w:pPr>
        <w:pStyle w:val="ClinContent"/>
        <w:widowControl w:val="0"/>
        <w:spacing w:before="0"/>
        <w:rPr>
          <w:rFonts w:asciiTheme="minorHAnsi" w:hAnsiTheme="minorHAnsi"/>
          <w:sz w:val="24"/>
          <w:lang w:val="pl-PL"/>
        </w:rPr>
      </w:pPr>
    </w:p>
    <w:p w14:paraId="4DC097BE" w14:textId="51E83F3B"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 xml:space="preserve">Skarżący zostali poinformowani o zainstalowaniu przez ich pracodawcę innych kamer </w:t>
      </w:r>
      <w:r>
        <w:rPr>
          <w:rFonts w:asciiTheme="minorHAnsi" w:hAnsiTheme="minorHAnsi"/>
          <w:sz w:val="24"/>
          <w:lang w:val="pl-PL"/>
        </w:rPr>
        <w:t>przemysłowych</w:t>
      </w:r>
      <w:r w:rsidRPr="00B15C52">
        <w:rPr>
          <w:rFonts w:asciiTheme="minorHAnsi" w:hAnsiTheme="minorHAnsi"/>
          <w:sz w:val="24"/>
          <w:lang w:val="pl-PL"/>
        </w:rPr>
        <w:t xml:space="preserve"> w supermarkecie, ale kamery </w:t>
      </w:r>
      <w:r>
        <w:rPr>
          <w:rFonts w:asciiTheme="minorHAnsi" w:hAnsiTheme="minorHAnsi"/>
          <w:sz w:val="24"/>
          <w:lang w:val="pl-PL"/>
        </w:rPr>
        <w:t xml:space="preserve">te </w:t>
      </w:r>
      <w:r w:rsidRPr="00B15C52">
        <w:rPr>
          <w:rFonts w:asciiTheme="minorHAnsi" w:hAnsiTheme="minorHAnsi"/>
          <w:sz w:val="24"/>
          <w:lang w:val="pl-PL"/>
        </w:rPr>
        <w:t xml:space="preserve">były widoczne i umieszczone w taki sposób, by nagrywać wejścia i wyjścia </w:t>
      </w:r>
      <w:r>
        <w:rPr>
          <w:rFonts w:asciiTheme="minorHAnsi" w:hAnsiTheme="minorHAnsi"/>
          <w:sz w:val="24"/>
          <w:lang w:val="pl-PL"/>
        </w:rPr>
        <w:t xml:space="preserve">ze </w:t>
      </w:r>
      <w:r w:rsidRPr="00B15C52">
        <w:rPr>
          <w:rFonts w:asciiTheme="minorHAnsi" w:hAnsiTheme="minorHAnsi"/>
          <w:sz w:val="24"/>
          <w:lang w:val="pl-PL"/>
        </w:rPr>
        <w:t>sklepu. W tych okolicznościach skarżący mieli uzasadnione oczekiwanie, że nie będą podlegali nadzorowi wideo w innych miejscach sklepu bez</w:t>
      </w:r>
      <w:r w:rsidR="00092E2B">
        <w:rPr>
          <w:rFonts w:asciiTheme="minorHAnsi" w:hAnsiTheme="minorHAnsi"/>
          <w:sz w:val="24"/>
          <w:lang w:val="pl-PL"/>
        </w:rPr>
        <w:t> </w:t>
      </w:r>
      <w:r w:rsidRPr="00B15C52">
        <w:rPr>
          <w:rFonts w:asciiTheme="minorHAnsi" w:hAnsiTheme="minorHAnsi"/>
          <w:sz w:val="24"/>
          <w:lang w:val="pl-PL"/>
        </w:rPr>
        <w:t xml:space="preserve">uprzedniego poinformowania. </w:t>
      </w:r>
    </w:p>
    <w:p w14:paraId="708A4264" w14:textId="77777777" w:rsidR="00950534" w:rsidRDefault="00950534" w:rsidP="00950534">
      <w:pPr>
        <w:pStyle w:val="ClinContent"/>
        <w:widowControl w:val="0"/>
        <w:spacing w:before="0"/>
        <w:rPr>
          <w:rFonts w:asciiTheme="minorHAnsi" w:hAnsiTheme="minorHAnsi"/>
          <w:sz w:val="24"/>
          <w:lang w:val="pl-PL"/>
        </w:rPr>
      </w:pPr>
    </w:p>
    <w:p w14:paraId="0321E587" w14:textId="74F7E69C"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Co się tyczy przetwarzania i wykorzystywania nagrań wideo, </w:t>
      </w:r>
      <w:r>
        <w:rPr>
          <w:rFonts w:asciiTheme="minorHAnsi" w:hAnsiTheme="minorHAnsi"/>
          <w:sz w:val="24"/>
          <w:lang w:val="pl-PL"/>
        </w:rPr>
        <w:t xml:space="preserve">Trybunał zauważył, że </w:t>
      </w:r>
      <w:r w:rsidRPr="00B15C52">
        <w:rPr>
          <w:rFonts w:asciiTheme="minorHAnsi" w:hAnsiTheme="minorHAnsi"/>
          <w:sz w:val="24"/>
          <w:lang w:val="pl-PL"/>
        </w:rPr>
        <w:t>były one oglądane przez wiele osób pracujących dla pracodawcy skarżących, nawet zanim skarżących poinformowano o ich istnieniu. Ponadto stanowiły one podstawę zwolnienia skarżących i</w:t>
      </w:r>
      <w:r w:rsidR="00092E2B">
        <w:rPr>
          <w:rFonts w:asciiTheme="minorHAnsi" w:hAnsiTheme="minorHAnsi"/>
          <w:sz w:val="24"/>
          <w:lang w:val="pl-PL"/>
        </w:rPr>
        <w:t> </w:t>
      </w:r>
      <w:r w:rsidRPr="00B15C52">
        <w:rPr>
          <w:rFonts w:asciiTheme="minorHAnsi" w:hAnsiTheme="minorHAnsi"/>
          <w:sz w:val="24"/>
          <w:lang w:val="pl-PL"/>
        </w:rPr>
        <w:t xml:space="preserve">zostały użyte jako dowód w postępowaniu przed sądem pracy. </w:t>
      </w:r>
    </w:p>
    <w:p w14:paraId="466F0E6F" w14:textId="77777777" w:rsidR="00950534" w:rsidRDefault="00950534" w:rsidP="00950534">
      <w:pPr>
        <w:pStyle w:val="ClinContent"/>
        <w:widowControl w:val="0"/>
        <w:spacing w:before="0"/>
        <w:rPr>
          <w:rFonts w:asciiTheme="minorHAnsi" w:hAnsiTheme="minorHAnsi"/>
          <w:sz w:val="24"/>
          <w:lang w:val="pl-PL"/>
        </w:rPr>
      </w:pPr>
    </w:p>
    <w:p w14:paraId="2D89A07A"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 powyższych względów Trybunał uznał, że a</w:t>
      </w:r>
      <w:r w:rsidRPr="00B15C52">
        <w:rPr>
          <w:rFonts w:asciiTheme="minorHAnsi" w:hAnsiTheme="minorHAnsi"/>
          <w:sz w:val="24"/>
          <w:lang w:val="pl-PL"/>
        </w:rPr>
        <w:t xml:space="preserve">rt. 8 miał zatem zastosowanie. </w:t>
      </w:r>
    </w:p>
    <w:p w14:paraId="13DE453C" w14:textId="77777777" w:rsidR="00950534" w:rsidRDefault="00950534" w:rsidP="00950534">
      <w:pPr>
        <w:pStyle w:val="ClinContent"/>
        <w:widowControl w:val="0"/>
        <w:spacing w:before="0"/>
        <w:rPr>
          <w:rFonts w:asciiTheme="minorHAnsi" w:hAnsiTheme="minorHAnsi"/>
          <w:sz w:val="24"/>
          <w:lang w:val="pl-PL"/>
        </w:rPr>
      </w:pPr>
    </w:p>
    <w:p w14:paraId="5112CB43"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 Badając </w:t>
      </w:r>
      <w:r w:rsidRPr="00A544BC">
        <w:rPr>
          <w:rFonts w:asciiTheme="minorHAnsi" w:hAnsiTheme="minorHAnsi"/>
          <w:sz w:val="24"/>
          <w:u w:val="single"/>
          <w:lang w:val="pl-PL"/>
        </w:rPr>
        <w:t>przedmiot sprawy</w:t>
      </w:r>
      <w:r w:rsidRPr="00A544BC">
        <w:rPr>
          <w:rFonts w:asciiTheme="minorHAnsi" w:hAnsiTheme="minorHAnsi"/>
          <w:sz w:val="24"/>
          <w:lang w:val="pl-PL"/>
        </w:rPr>
        <w:t>, Tryb</w:t>
      </w:r>
      <w:r>
        <w:rPr>
          <w:rFonts w:asciiTheme="minorHAnsi" w:hAnsiTheme="minorHAnsi"/>
          <w:sz w:val="24"/>
          <w:lang w:val="pl-PL"/>
        </w:rPr>
        <w:t xml:space="preserve">unał przypomniał </w:t>
      </w:r>
      <w:r w:rsidRPr="00A544BC">
        <w:rPr>
          <w:rFonts w:asciiTheme="minorHAnsi" w:hAnsiTheme="minorHAnsi"/>
          <w:sz w:val="24"/>
          <w:u w:val="single"/>
          <w:lang w:val="pl-PL"/>
        </w:rPr>
        <w:t>zasady ogólne</w:t>
      </w:r>
      <w:r w:rsidRPr="00B15C52">
        <w:rPr>
          <w:rFonts w:asciiTheme="minorHAnsi" w:hAnsiTheme="minorHAnsi"/>
          <w:sz w:val="24"/>
          <w:lang w:val="pl-PL"/>
        </w:rPr>
        <w:t xml:space="preserve"> </w:t>
      </w:r>
      <w:r>
        <w:rPr>
          <w:rFonts w:asciiTheme="minorHAnsi" w:hAnsiTheme="minorHAnsi"/>
          <w:sz w:val="24"/>
          <w:lang w:val="pl-PL"/>
        </w:rPr>
        <w:t xml:space="preserve">wynikające z jego wcześniejszego orzecznictwa. </w:t>
      </w:r>
    </w:p>
    <w:p w14:paraId="590CB995" w14:textId="77777777" w:rsidR="00950534" w:rsidRDefault="00950534" w:rsidP="00950534">
      <w:pPr>
        <w:pStyle w:val="ClinContent"/>
        <w:widowControl w:val="0"/>
        <w:spacing w:before="0"/>
        <w:rPr>
          <w:rFonts w:asciiTheme="minorHAnsi" w:hAnsiTheme="minorHAnsi"/>
          <w:sz w:val="24"/>
          <w:lang w:val="pl-PL"/>
        </w:rPr>
      </w:pPr>
    </w:p>
    <w:p w14:paraId="583866B7" w14:textId="534A96CB"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Uznał, że zasady </w:t>
      </w:r>
      <w:r w:rsidRPr="00B15C52">
        <w:rPr>
          <w:rFonts w:asciiTheme="minorHAnsi" w:hAnsiTheme="minorHAnsi"/>
          <w:sz w:val="24"/>
          <w:lang w:val="pl-PL"/>
        </w:rPr>
        <w:t xml:space="preserve">ustalone w sprawie </w:t>
      </w:r>
      <w:hyperlink r:id="rId22" w:history="1">
        <w:r w:rsidRPr="00404457">
          <w:rPr>
            <w:rStyle w:val="Hipercze"/>
            <w:rFonts w:asciiTheme="minorHAnsi" w:hAnsiTheme="minorHAnsi"/>
            <w:i/>
            <w:sz w:val="24"/>
            <w:lang w:val="pl-PL"/>
          </w:rPr>
          <w:t>Bărbulescu p. Rumunii</w:t>
        </w:r>
      </w:hyperlink>
      <w:r>
        <w:rPr>
          <w:rStyle w:val="Odwoanieprzypisudolnego"/>
          <w:rFonts w:asciiTheme="minorHAnsi" w:hAnsiTheme="minorHAnsi"/>
          <w:sz w:val="24"/>
          <w:lang w:val="pl-PL"/>
        </w:rPr>
        <w:footnoteReference w:id="14"/>
      </w:r>
      <w:r w:rsidRPr="00B15C52">
        <w:rPr>
          <w:rFonts w:asciiTheme="minorHAnsi" w:hAnsiTheme="minorHAnsi"/>
          <w:i/>
          <w:sz w:val="24"/>
          <w:lang w:val="pl-PL"/>
        </w:rPr>
        <w:t xml:space="preserve"> </w:t>
      </w:r>
      <w:r w:rsidRPr="00B15C52">
        <w:rPr>
          <w:rFonts w:asciiTheme="minorHAnsi" w:hAnsiTheme="minorHAnsi"/>
          <w:sz w:val="24"/>
          <w:lang w:val="pl-PL"/>
        </w:rPr>
        <w:t>[WI] można odpowiednio przenieść do okoliczności, w których pracodawca może zastosować środki nadzoru wideo w</w:t>
      </w:r>
      <w:r w:rsidR="00092E2B">
        <w:rPr>
          <w:rFonts w:asciiTheme="minorHAnsi" w:hAnsiTheme="minorHAnsi"/>
          <w:sz w:val="24"/>
          <w:lang w:val="pl-PL"/>
        </w:rPr>
        <w:t> </w:t>
      </w:r>
      <w:r w:rsidRPr="00B15C52">
        <w:rPr>
          <w:rFonts w:asciiTheme="minorHAnsi" w:hAnsiTheme="minorHAnsi"/>
          <w:sz w:val="24"/>
          <w:lang w:val="pl-PL"/>
        </w:rPr>
        <w:t xml:space="preserve">miejscu pracy. Kryteria te należy stosować, biorąc pod uwagę specyfikę stosunku pracy oraz rozwój nowych technologii, które mogą umożliwiać podejmowanie środków coraz bardziej ingerujących w życie prywatne pracowników. </w:t>
      </w:r>
    </w:p>
    <w:p w14:paraId="06C94F4E" w14:textId="77777777" w:rsidR="00950534" w:rsidRDefault="00950534" w:rsidP="00950534">
      <w:pPr>
        <w:pStyle w:val="ClinContent"/>
        <w:widowControl w:val="0"/>
        <w:spacing w:before="0"/>
        <w:rPr>
          <w:rFonts w:asciiTheme="minorHAnsi" w:hAnsiTheme="minorHAnsi"/>
          <w:sz w:val="24"/>
          <w:lang w:val="pl-PL"/>
        </w:rPr>
      </w:pPr>
    </w:p>
    <w:p w14:paraId="73F4081F"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W tym kontekście</w:t>
      </w:r>
      <w:r>
        <w:rPr>
          <w:rFonts w:asciiTheme="minorHAnsi" w:hAnsiTheme="minorHAnsi"/>
          <w:sz w:val="24"/>
          <w:lang w:val="pl-PL"/>
        </w:rPr>
        <w:t xml:space="preserve"> Trybunał wskazał</w:t>
      </w:r>
      <w:r w:rsidRPr="00B15C52">
        <w:rPr>
          <w:rFonts w:asciiTheme="minorHAnsi" w:hAnsiTheme="minorHAnsi"/>
          <w:sz w:val="24"/>
          <w:lang w:val="pl-PL"/>
        </w:rPr>
        <w:t xml:space="preserve">, </w:t>
      </w:r>
      <w:r>
        <w:rPr>
          <w:rFonts w:asciiTheme="minorHAnsi" w:hAnsiTheme="minorHAnsi"/>
          <w:sz w:val="24"/>
          <w:lang w:val="pl-PL"/>
        </w:rPr>
        <w:t xml:space="preserve">że </w:t>
      </w:r>
      <w:r w:rsidRPr="00B15C52">
        <w:rPr>
          <w:rFonts w:asciiTheme="minorHAnsi" w:hAnsiTheme="minorHAnsi"/>
          <w:sz w:val="24"/>
          <w:lang w:val="pl-PL"/>
        </w:rPr>
        <w:t>aby zapewnić proporcjonalność środków nadzoru wideo w miejscu pracy, sądy krajowe powinny uwzględnić następujące czynniki przy dokonywaniu wyważenia różnych konkurujących interesów:</w:t>
      </w:r>
    </w:p>
    <w:p w14:paraId="73E89494"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czy pracownika powiadomiono o możliwości </w:t>
      </w:r>
      <w:r>
        <w:rPr>
          <w:rFonts w:asciiTheme="minorHAnsi" w:hAnsiTheme="minorHAnsi"/>
          <w:sz w:val="24"/>
          <w:lang w:val="pl-PL"/>
        </w:rPr>
        <w:t xml:space="preserve">wprowadzenia </w:t>
      </w:r>
      <w:r w:rsidRPr="00B15C52">
        <w:rPr>
          <w:rFonts w:asciiTheme="minorHAnsi" w:hAnsiTheme="minorHAnsi"/>
          <w:sz w:val="24"/>
          <w:lang w:val="pl-PL"/>
        </w:rPr>
        <w:t xml:space="preserve">przez pracodawcę środków nadzoru wideo i o zastosowaniu takich środków: </w:t>
      </w:r>
      <w:r>
        <w:rPr>
          <w:rFonts w:asciiTheme="minorHAnsi" w:hAnsiTheme="minorHAnsi"/>
          <w:sz w:val="24"/>
          <w:lang w:val="pl-PL"/>
        </w:rPr>
        <w:t>chociaż</w:t>
      </w:r>
      <w:r w:rsidRPr="00B15C52">
        <w:rPr>
          <w:rFonts w:asciiTheme="minorHAnsi" w:hAnsiTheme="minorHAnsi"/>
          <w:sz w:val="24"/>
          <w:lang w:val="pl-PL"/>
        </w:rPr>
        <w:t xml:space="preserve"> w praktyce pracowników można powiadomić na różne sposoby – w zależności od konkretnych faktycznych okoliczności każdej sprawy, powiadomienie powinno co do zasady być </w:t>
      </w:r>
      <w:r>
        <w:rPr>
          <w:rFonts w:asciiTheme="minorHAnsi" w:hAnsiTheme="minorHAnsi"/>
          <w:sz w:val="24"/>
          <w:lang w:val="pl-PL"/>
        </w:rPr>
        <w:t xml:space="preserve">jasne </w:t>
      </w:r>
      <w:r w:rsidRPr="00B15C52">
        <w:rPr>
          <w:rFonts w:asciiTheme="minorHAnsi" w:hAnsiTheme="minorHAnsi"/>
          <w:sz w:val="24"/>
          <w:lang w:val="pl-PL"/>
        </w:rPr>
        <w:t xml:space="preserve">co do charakteru monitoringu i </w:t>
      </w:r>
      <w:r>
        <w:rPr>
          <w:rFonts w:asciiTheme="minorHAnsi" w:hAnsiTheme="minorHAnsi"/>
          <w:sz w:val="24"/>
          <w:lang w:val="pl-PL"/>
        </w:rPr>
        <w:t>nastąpić</w:t>
      </w:r>
      <w:r w:rsidRPr="00B15C52">
        <w:rPr>
          <w:rFonts w:asciiTheme="minorHAnsi" w:hAnsiTheme="minorHAnsi"/>
          <w:sz w:val="24"/>
          <w:lang w:val="pl-PL"/>
        </w:rPr>
        <w:t xml:space="preserve"> przed jego zastosowaniem; </w:t>
      </w:r>
    </w:p>
    <w:p w14:paraId="3C98F3C4" w14:textId="793D814F"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zakres monitoring </w:t>
      </w:r>
      <w:r>
        <w:rPr>
          <w:rFonts w:asciiTheme="minorHAnsi" w:hAnsiTheme="minorHAnsi"/>
          <w:sz w:val="24"/>
          <w:lang w:val="pl-PL"/>
        </w:rPr>
        <w:t xml:space="preserve">prowadzonego </w:t>
      </w:r>
      <w:r w:rsidRPr="00B15C52">
        <w:rPr>
          <w:rFonts w:asciiTheme="minorHAnsi" w:hAnsiTheme="minorHAnsi"/>
          <w:sz w:val="24"/>
          <w:lang w:val="pl-PL"/>
        </w:rPr>
        <w:t>przez pracodawcę i stopień ingerencji w</w:t>
      </w:r>
      <w:r w:rsidR="00092E2B">
        <w:rPr>
          <w:rFonts w:asciiTheme="minorHAnsi" w:hAnsiTheme="minorHAnsi"/>
          <w:sz w:val="24"/>
          <w:lang w:val="pl-PL"/>
        </w:rPr>
        <w:t> </w:t>
      </w:r>
      <w:r w:rsidRPr="00B15C52">
        <w:rPr>
          <w:rFonts w:asciiTheme="minorHAnsi" w:hAnsiTheme="minorHAnsi"/>
          <w:sz w:val="24"/>
          <w:lang w:val="pl-PL"/>
        </w:rPr>
        <w:t>prywatność pracownika: w tym względzie należy uwzględnić zakres prywatności w</w:t>
      </w:r>
      <w:r w:rsidR="00092E2B">
        <w:rPr>
          <w:rFonts w:asciiTheme="minorHAnsi" w:hAnsiTheme="minorHAnsi"/>
          <w:sz w:val="24"/>
          <w:lang w:val="pl-PL"/>
        </w:rPr>
        <w:t> </w:t>
      </w:r>
      <w:r w:rsidRPr="00B15C52">
        <w:rPr>
          <w:rFonts w:asciiTheme="minorHAnsi" w:hAnsiTheme="minorHAnsi"/>
          <w:sz w:val="24"/>
          <w:lang w:val="pl-PL"/>
        </w:rPr>
        <w:t>miejscu podlegającym monitorowaniu wraz ze wszelkimi ograniczeniami co</w:t>
      </w:r>
      <w:r w:rsidR="00092E2B">
        <w:rPr>
          <w:rFonts w:asciiTheme="minorHAnsi" w:hAnsiTheme="minorHAnsi"/>
          <w:sz w:val="24"/>
          <w:lang w:val="pl-PL"/>
        </w:rPr>
        <w:t> </w:t>
      </w:r>
      <w:r w:rsidRPr="00B15C52">
        <w:rPr>
          <w:rFonts w:asciiTheme="minorHAnsi" w:hAnsiTheme="minorHAnsi"/>
          <w:sz w:val="24"/>
          <w:lang w:val="pl-PL"/>
        </w:rPr>
        <w:t>do</w:t>
      </w:r>
      <w:r w:rsidR="00092E2B">
        <w:rPr>
          <w:rFonts w:asciiTheme="minorHAnsi" w:hAnsiTheme="minorHAnsi"/>
          <w:sz w:val="24"/>
          <w:lang w:val="pl-PL"/>
        </w:rPr>
        <w:t> </w:t>
      </w:r>
      <w:r w:rsidRPr="00B15C52">
        <w:rPr>
          <w:rFonts w:asciiTheme="minorHAnsi" w:hAnsiTheme="minorHAnsi"/>
          <w:sz w:val="24"/>
          <w:lang w:val="pl-PL"/>
        </w:rPr>
        <w:t>czasu i obszaru</w:t>
      </w:r>
      <w:r>
        <w:rPr>
          <w:rFonts w:asciiTheme="minorHAnsi" w:hAnsiTheme="minorHAnsi"/>
          <w:sz w:val="24"/>
          <w:lang w:val="pl-PL"/>
        </w:rPr>
        <w:t xml:space="preserve"> oraz</w:t>
      </w:r>
      <w:r w:rsidRPr="00B15C52">
        <w:rPr>
          <w:rFonts w:asciiTheme="minorHAnsi" w:hAnsiTheme="minorHAnsi"/>
          <w:sz w:val="24"/>
          <w:lang w:val="pl-PL"/>
        </w:rPr>
        <w:t xml:space="preserve"> </w:t>
      </w:r>
      <w:r>
        <w:rPr>
          <w:rFonts w:asciiTheme="minorHAnsi" w:hAnsiTheme="minorHAnsi"/>
          <w:sz w:val="24"/>
          <w:lang w:val="pl-PL"/>
        </w:rPr>
        <w:t>liczby</w:t>
      </w:r>
      <w:r w:rsidRPr="00B15C52">
        <w:rPr>
          <w:rFonts w:asciiTheme="minorHAnsi" w:hAnsiTheme="minorHAnsi"/>
          <w:sz w:val="24"/>
          <w:lang w:val="pl-PL"/>
        </w:rPr>
        <w:t xml:space="preserve"> osób mających dostęp do wyników; </w:t>
      </w:r>
    </w:p>
    <w:p w14:paraId="52CC85BC"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czy pracodawca przedstawił uprawnione powody uzasadniające monitoring i jego zakres: im bardziej ingerujący monitoring, tym poważniejsze uzasadnienie jest wymagane; </w:t>
      </w:r>
    </w:p>
    <w:p w14:paraId="0B336DD8"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czy było możliwe </w:t>
      </w:r>
      <w:r>
        <w:rPr>
          <w:rFonts w:asciiTheme="minorHAnsi" w:hAnsiTheme="minorHAnsi"/>
          <w:sz w:val="24"/>
          <w:lang w:val="pl-PL"/>
        </w:rPr>
        <w:t xml:space="preserve">wprowadzenie </w:t>
      </w:r>
      <w:r w:rsidRPr="00B15C52">
        <w:rPr>
          <w:rFonts w:asciiTheme="minorHAnsi" w:hAnsiTheme="minorHAnsi"/>
          <w:sz w:val="24"/>
          <w:lang w:val="pl-PL"/>
        </w:rPr>
        <w:t>system</w:t>
      </w:r>
      <w:r>
        <w:rPr>
          <w:rFonts w:asciiTheme="minorHAnsi" w:hAnsiTheme="minorHAnsi"/>
          <w:sz w:val="24"/>
          <w:lang w:val="pl-PL"/>
        </w:rPr>
        <w:t>u</w:t>
      </w:r>
      <w:r w:rsidRPr="00B15C52">
        <w:rPr>
          <w:rFonts w:asciiTheme="minorHAnsi" w:hAnsiTheme="minorHAnsi"/>
          <w:sz w:val="24"/>
          <w:lang w:val="pl-PL"/>
        </w:rPr>
        <w:t xml:space="preserve"> monitoringu opartego na mniej ingerujących metodach i środkach: w tym wzglę</w:t>
      </w:r>
      <w:r>
        <w:rPr>
          <w:rFonts w:asciiTheme="minorHAnsi" w:hAnsiTheme="minorHAnsi"/>
          <w:sz w:val="24"/>
          <w:lang w:val="pl-PL"/>
        </w:rPr>
        <w:t>dzie należy dokonać oceny</w:t>
      </w:r>
      <w:r w:rsidRPr="00B15C52">
        <w:rPr>
          <w:rFonts w:asciiTheme="minorHAnsi" w:hAnsiTheme="minorHAnsi"/>
          <w:sz w:val="24"/>
          <w:lang w:val="pl-PL"/>
        </w:rPr>
        <w:t xml:space="preserve"> w świetle konkretnych okoliczności każdej sprawy, czy cel, do którego dążył pracodawca, można było osiągnąć bez ingerowania w prywatność pracowników w takim zakresie; </w:t>
      </w:r>
    </w:p>
    <w:p w14:paraId="4F09A433" w14:textId="6E8CBFC9"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konsekwencje monitoringu dla podlegających mu pracowników: należy uwzględnić w</w:t>
      </w:r>
      <w:r w:rsidR="00092E2B">
        <w:rPr>
          <w:rFonts w:asciiTheme="minorHAnsi" w:hAnsiTheme="minorHAnsi"/>
          <w:sz w:val="24"/>
          <w:lang w:val="pl-PL"/>
        </w:rPr>
        <w:t> </w:t>
      </w:r>
      <w:r w:rsidRPr="00B15C52">
        <w:rPr>
          <w:rFonts w:asciiTheme="minorHAnsi" w:hAnsiTheme="minorHAnsi"/>
          <w:sz w:val="24"/>
          <w:lang w:val="pl-PL"/>
        </w:rPr>
        <w:t>szczególności wykorzystanie przez pracodawcę wyników monitoring</w:t>
      </w:r>
      <w:r>
        <w:rPr>
          <w:rFonts w:asciiTheme="minorHAnsi" w:hAnsiTheme="minorHAnsi"/>
          <w:sz w:val="24"/>
          <w:lang w:val="pl-PL"/>
        </w:rPr>
        <w:t>u</w:t>
      </w:r>
      <w:r w:rsidRPr="00B15C52">
        <w:rPr>
          <w:rFonts w:asciiTheme="minorHAnsi" w:hAnsiTheme="minorHAnsi"/>
          <w:sz w:val="24"/>
          <w:lang w:val="pl-PL"/>
        </w:rPr>
        <w:t xml:space="preserve"> oraz to, czy</w:t>
      </w:r>
      <w:r w:rsidR="00092E2B">
        <w:rPr>
          <w:rFonts w:asciiTheme="minorHAnsi" w:hAnsiTheme="minorHAnsi"/>
          <w:sz w:val="24"/>
          <w:lang w:val="pl-PL"/>
        </w:rPr>
        <w:t> </w:t>
      </w:r>
      <w:r w:rsidRPr="00B15C52">
        <w:rPr>
          <w:rFonts w:asciiTheme="minorHAnsi" w:hAnsiTheme="minorHAnsi"/>
          <w:sz w:val="24"/>
          <w:lang w:val="pl-PL"/>
        </w:rPr>
        <w:t xml:space="preserve">wyniki te zostały wykorzystane do uzyskania zadeklarowanego celu tego środka; </w:t>
      </w:r>
    </w:p>
    <w:p w14:paraId="3FED233A" w14:textId="579AA510"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lastRenderedPageBreak/>
        <w:t>czy pracownikowi zapewniono odpowiednie gwarancje, zwłaszcza gdy</w:t>
      </w:r>
      <w:r w:rsidR="00092E2B">
        <w:rPr>
          <w:rFonts w:asciiTheme="minorHAnsi" w:hAnsiTheme="minorHAnsi"/>
          <w:sz w:val="24"/>
          <w:lang w:val="pl-PL"/>
        </w:rPr>
        <w:t> </w:t>
      </w:r>
      <w:r w:rsidRPr="00B15C52">
        <w:rPr>
          <w:rFonts w:asciiTheme="minorHAnsi" w:hAnsiTheme="minorHAnsi"/>
          <w:sz w:val="24"/>
          <w:lang w:val="pl-PL"/>
        </w:rPr>
        <w:t>funkcjonowanie monitoringu pracodawcy ma charakter ingerujący: gwarancje takie mogą przyjąć postać m.in. przekazania zainteresowanym pracownikom oraz</w:t>
      </w:r>
      <w:r w:rsidR="00092E2B">
        <w:rPr>
          <w:rFonts w:asciiTheme="minorHAnsi" w:hAnsiTheme="minorHAnsi"/>
          <w:sz w:val="24"/>
          <w:lang w:val="pl-PL"/>
        </w:rPr>
        <w:t> </w:t>
      </w:r>
      <w:r w:rsidRPr="00B15C52">
        <w:rPr>
          <w:rFonts w:asciiTheme="minorHAnsi" w:hAnsiTheme="minorHAnsi"/>
          <w:sz w:val="24"/>
          <w:lang w:val="pl-PL"/>
        </w:rPr>
        <w:t>przedstawicielom personelu informacji o zainstalowaniu i zakr</w:t>
      </w:r>
      <w:r>
        <w:rPr>
          <w:rFonts w:asciiTheme="minorHAnsi" w:hAnsiTheme="minorHAnsi"/>
          <w:sz w:val="24"/>
          <w:lang w:val="pl-PL"/>
        </w:rPr>
        <w:t>esie monitoringu, zadeklarowania</w:t>
      </w:r>
      <w:r w:rsidRPr="00B15C52">
        <w:rPr>
          <w:rFonts w:asciiTheme="minorHAnsi" w:hAnsiTheme="minorHAnsi"/>
          <w:sz w:val="24"/>
          <w:lang w:val="pl-PL"/>
        </w:rPr>
        <w:t xml:space="preserve"> takiego środka nie</w:t>
      </w:r>
      <w:r>
        <w:rPr>
          <w:rFonts w:asciiTheme="minorHAnsi" w:hAnsiTheme="minorHAnsi"/>
          <w:sz w:val="24"/>
          <w:lang w:val="pl-PL"/>
        </w:rPr>
        <w:t xml:space="preserve">zależnemu organowi lub istnienia możliwości </w:t>
      </w:r>
      <w:r w:rsidRPr="00B15C52">
        <w:rPr>
          <w:rFonts w:asciiTheme="minorHAnsi" w:hAnsiTheme="minorHAnsi"/>
          <w:sz w:val="24"/>
          <w:lang w:val="pl-PL"/>
        </w:rPr>
        <w:t xml:space="preserve">złożenia skargi. </w:t>
      </w:r>
    </w:p>
    <w:p w14:paraId="076D34BA" w14:textId="77777777" w:rsidR="00950534" w:rsidRDefault="00950534" w:rsidP="00950534">
      <w:pPr>
        <w:pStyle w:val="ClinContent"/>
        <w:widowControl w:val="0"/>
        <w:spacing w:before="0"/>
        <w:ind w:left="360"/>
        <w:rPr>
          <w:rFonts w:asciiTheme="minorHAnsi" w:hAnsiTheme="minorHAnsi"/>
          <w:sz w:val="24"/>
          <w:lang w:val="pl-PL"/>
        </w:rPr>
      </w:pPr>
    </w:p>
    <w:p w14:paraId="038C7015" w14:textId="44F2698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Stosując powyższe zasady ogólne do niniejszej sprawy, Trybunał odnotował, że s</w:t>
      </w:r>
      <w:r w:rsidRPr="00B15C52">
        <w:rPr>
          <w:rFonts w:asciiTheme="minorHAnsi" w:hAnsiTheme="minorHAnsi"/>
          <w:sz w:val="24"/>
          <w:lang w:val="pl-PL"/>
        </w:rPr>
        <w:t>ądy pracy zidentyfikowały różne wchodzące w grę interesy i uznały, że zainstalowanie nadzoru wideo uzasadniały uprawnione powody, mianowicie podejrzenie popełniania kradzieży. Sądy zbadały następnie zakres monitoringu oraz stopień ingerencji w prywatność skarżących, stwierdzając, że środek był ograniczony co do obszaru i personelu objętego monitoringiem, a</w:t>
      </w:r>
      <w:r w:rsidR="00092E2B">
        <w:rPr>
          <w:rFonts w:asciiTheme="minorHAnsi" w:hAnsiTheme="minorHAnsi"/>
          <w:sz w:val="24"/>
          <w:lang w:val="pl-PL"/>
        </w:rPr>
        <w:t> </w:t>
      </w:r>
      <w:r w:rsidRPr="00B15C52">
        <w:rPr>
          <w:rFonts w:asciiTheme="minorHAnsi" w:hAnsiTheme="minorHAnsi"/>
          <w:sz w:val="24"/>
          <w:lang w:val="pl-PL"/>
        </w:rPr>
        <w:t xml:space="preserve">czas jego trwania nie przekraczał tego, co było konieczne dla potwierdzenia podejrzeń kradzieży. </w:t>
      </w:r>
      <w:r>
        <w:rPr>
          <w:rFonts w:asciiTheme="minorHAnsi" w:hAnsiTheme="minorHAnsi"/>
          <w:sz w:val="24"/>
          <w:lang w:val="pl-PL"/>
        </w:rPr>
        <w:t xml:space="preserve">W opinii Trybunału </w:t>
      </w:r>
      <w:r w:rsidRPr="00B15C52">
        <w:rPr>
          <w:rFonts w:asciiTheme="minorHAnsi" w:hAnsiTheme="minorHAnsi"/>
          <w:sz w:val="24"/>
          <w:lang w:val="pl-PL"/>
        </w:rPr>
        <w:t xml:space="preserve">oceny </w:t>
      </w:r>
      <w:r>
        <w:rPr>
          <w:rFonts w:asciiTheme="minorHAnsi" w:hAnsiTheme="minorHAnsi"/>
          <w:sz w:val="24"/>
          <w:lang w:val="pl-PL"/>
        </w:rPr>
        <w:t>t</w:t>
      </w:r>
      <w:r w:rsidRPr="00B15C52">
        <w:rPr>
          <w:rFonts w:asciiTheme="minorHAnsi" w:hAnsiTheme="minorHAnsi"/>
          <w:sz w:val="24"/>
          <w:lang w:val="pl-PL"/>
        </w:rPr>
        <w:t xml:space="preserve">ej nie można uznać za nieuzasadnioną. </w:t>
      </w:r>
    </w:p>
    <w:p w14:paraId="3DB4850F" w14:textId="77777777" w:rsidR="00950534" w:rsidRDefault="00950534" w:rsidP="00950534">
      <w:pPr>
        <w:pStyle w:val="ClinContent"/>
        <w:widowControl w:val="0"/>
        <w:spacing w:before="0"/>
        <w:rPr>
          <w:rFonts w:asciiTheme="minorHAnsi" w:hAnsiTheme="minorHAnsi"/>
          <w:sz w:val="24"/>
          <w:lang w:val="pl-PL"/>
        </w:rPr>
      </w:pPr>
    </w:p>
    <w:p w14:paraId="51616977" w14:textId="14194405"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uwzględnił ponadto, że skarżący wykonywali swoje o</w:t>
      </w:r>
      <w:r w:rsidRPr="00B15C52">
        <w:rPr>
          <w:rFonts w:asciiTheme="minorHAnsi" w:hAnsiTheme="minorHAnsi"/>
          <w:sz w:val="24"/>
          <w:lang w:val="pl-PL"/>
        </w:rPr>
        <w:t>bowiązki</w:t>
      </w:r>
      <w:r>
        <w:rPr>
          <w:rFonts w:asciiTheme="minorHAnsi" w:hAnsiTheme="minorHAnsi"/>
          <w:sz w:val="24"/>
          <w:lang w:val="pl-PL"/>
        </w:rPr>
        <w:t>, które zakładały stały kontakt z klientami,</w:t>
      </w:r>
      <w:r w:rsidRPr="00B15C52">
        <w:rPr>
          <w:rFonts w:asciiTheme="minorHAnsi" w:hAnsiTheme="minorHAnsi"/>
          <w:sz w:val="24"/>
          <w:lang w:val="pl-PL"/>
        </w:rPr>
        <w:t xml:space="preserve"> w miejscu dostępnym publicznie. W analizie proporcjonalności środków nadzoru wideo niezbędne jest rozróżnienie miejsc</w:t>
      </w:r>
      <w:r>
        <w:rPr>
          <w:rFonts w:asciiTheme="minorHAnsi" w:hAnsiTheme="minorHAnsi"/>
          <w:sz w:val="24"/>
          <w:lang w:val="pl-PL"/>
        </w:rPr>
        <w:t xml:space="preserve"> prowadzenia monitoringu </w:t>
      </w:r>
      <w:r w:rsidRPr="00B15C52">
        <w:rPr>
          <w:rFonts w:asciiTheme="minorHAnsi" w:hAnsiTheme="minorHAnsi"/>
          <w:sz w:val="24"/>
          <w:lang w:val="pl-PL"/>
        </w:rPr>
        <w:t>w świetle ochrony prywatności, której skarżący mogli w sposób uzasadniony oczekiwać. Oczekiwanie to było wysokie w miejscach, które z natury są prywatne, takich jak toalety czy szatnie, w</w:t>
      </w:r>
      <w:r w:rsidR="00092E2B">
        <w:rPr>
          <w:rFonts w:asciiTheme="minorHAnsi" w:hAnsiTheme="minorHAnsi"/>
          <w:sz w:val="24"/>
          <w:lang w:val="pl-PL"/>
        </w:rPr>
        <w:t> </w:t>
      </w:r>
      <w:r w:rsidRPr="00B15C52">
        <w:rPr>
          <w:rFonts w:asciiTheme="minorHAnsi" w:hAnsiTheme="minorHAnsi"/>
          <w:sz w:val="24"/>
          <w:lang w:val="pl-PL"/>
        </w:rPr>
        <w:t>których uzasadniona jest zwiększona ochrona lub nawet całkowity zakaz nadzoru wideo. Pozostawało ono wysokie w zamkniętych obszarach pracy, takich jak biura. W sposób oczywisty było ono niższe w miejscach widocznych i dostępnych dla kolegów lub, jak</w:t>
      </w:r>
      <w:r w:rsidR="00092E2B">
        <w:rPr>
          <w:rFonts w:asciiTheme="minorHAnsi" w:hAnsiTheme="minorHAnsi"/>
          <w:sz w:val="24"/>
          <w:lang w:val="pl-PL"/>
        </w:rPr>
        <w:t> </w:t>
      </w:r>
      <w:r w:rsidRPr="00B15C52">
        <w:rPr>
          <w:rFonts w:asciiTheme="minorHAnsi" w:hAnsiTheme="minorHAnsi"/>
          <w:sz w:val="24"/>
          <w:lang w:val="pl-PL"/>
        </w:rPr>
        <w:t>w</w:t>
      </w:r>
      <w:r w:rsidR="00092E2B">
        <w:rPr>
          <w:rFonts w:asciiTheme="minorHAnsi" w:hAnsiTheme="minorHAnsi"/>
          <w:sz w:val="24"/>
          <w:lang w:val="pl-PL"/>
        </w:rPr>
        <w:t> </w:t>
      </w:r>
      <w:r w:rsidRPr="00B15C52">
        <w:rPr>
          <w:rFonts w:asciiTheme="minorHAnsi" w:hAnsiTheme="minorHAnsi"/>
          <w:sz w:val="24"/>
          <w:lang w:val="pl-PL"/>
        </w:rPr>
        <w:t>sprawie skarżących, publicznie.</w:t>
      </w:r>
    </w:p>
    <w:p w14:paraId="2117CBFB" w14:textId="77777777" w:rsidR="00950534" w:rsidRDefault="00950534" w:rsidP="00950534">
      <w:pPr>
        <w:pStyle w:val="ClinContent"/>
        <w:widowControl w:val="0"/>
        <w:spacing w:before="0"/>
        <w:rPr>
          <w:rFonts w:asciiTheme="minorHAnsi" w:hAnsiTheme="minorHAnsi"/>
          <w:sz w:val="24"/>
          <w:lang w:val="pl-PL"/>
        </w:rPr>
      </w:pPr>
    </w:p>
    <w:p w14:paraId="28F9162E" w14:textId="1AC94664"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Długość trwania monitoring</w:t>
      </w:r>
      <w:r>
        <w:rPr>
          <w:rFonts w:asciiTheme="minorHAnsi" w:hAnsiTheme="minorHAnsi"/>
          <w:sz w:val="24"/>
          <w:lang w:val="pl-PL"/>
        </w:rPr>
        <w:t>u</w:t>
      </w:r>
      <w:r w:rsidRPr="00B15C52">
        <w:rPr>
          <w:rFonts w:asciiTheme="minorHAnsi" w:hAnsiTheme="minorHAnsi"/>
          <w:sz w:val="24"/>
          <w:lang w:val="pl-PL"/>
        </w:rPr>
        <w:t xml:space="preserve"> (dzies</w:t>
      </w:r>
      <w:r>
        <w:rPr>
          <w:rFonts w:asciiTheme="minorHAnsi" w:hAnsiTheme="minorHAnsi"/>
          <w:sz w:val="24"/>
          <w:lang w:val="pl-PL"/>
        </w:rPr>
        <w:t>ięć dni) sama w sobie nie wydała</w:t>
      </w:r>
      <w:r w:rsidRPr="00B15C52">
        <w:rPr>
          <w:rFonts w:asciiTheme="minorHAnsi" w:hAnsiTheme="minorHAnsi"/>
          <w:sz w:val="24"/>
          <w:lang w:val="pl-PL"/>
        </w:rPr>
        <w:t xml:space="preserve"> się </w:t>
      </w:r>
      <w:r>
        <w:rPr>
          <w:rFonts w:asciiTheme="minorHAnsi" w:hAnsiTheme="minorHAnsi"/>
          <w:sz w:val="24"/>
          <w:lang w:val="pl-PL"/>
        </w:rPr>
        <w:t xml:space="preserve">Trybunałowi </w:t>
      </w:r>
      <w:r w:rsidRPr="00B15C52">
        <w:rPr>
          <w:rFonts w:asciiTheme="minorHAnsi" w:hAnsiTheme="minorHAnsi"/>
          <w:sz w:val="24"/>
          <w:lang w:val="pl-PL"/>
        </w:rPr>
        <w:t xml:space="preserve">nadmierna. </w:t>
      </w:r>
      <w:r>
        <w:rPr>
          <w:rFonts w:asciiTheme="minorHAnsi" w:hAnsiTheme="minorHAnsi"/>
          <w:sz w:val="24"/>
          <w:lang w:val="pl-PL"/>
        </w:rPr>
        <w:t>Ponadto j</w:t>
      </w:r>
      <w:r w:rsidRPr="00B15C52">
        <w:rPr>
          <w:rFonts w:asciiTheme="minorHAnsi" w:hAnsiTheme="minorHAnsi"/>
          <w:sz w:val="24"/>
          <w:lang w:val="pl-PL"/>
        </w:rPr>
        <w:t xml:space="preserve">edynie </w:t>
      </w:r>
      <w:r>
        <w:rPr>
          <w:rFonts w:asciiTheme="minorHAnsi" w:hAnsiTheme="minorHAnsi"/>
          <w:sz w:val="24"/>
          <w:lang w:val="pl-PL"/>
        </w:rPr>
        <w:t xml:space="preserve">kierownik </w:t>
      </w:r>
      <w:r w:rsidRPr="00B15C52">
        <w:rPr>
          <w:rFonts w:asciiTheme="minorHAnsi" w:hAnsiTheme="minorHAnsi"/>
          <w:sz w:val="24"/>
          <w:lang w:val="pl-PL"/>
        </w:rPr>
        <w:t>supermarketu, przedstawiciel prawny spółki oraz przedstawiciel związku zawodowego widzieli nagrania uzyskane za pomocą kwestionowanego nadzoru wideo przed poinformowaniem samych skarżących. Mając na</w:t>
      </w:r>
      <w:r w:rsidR="00092E2B">
        <w:rPr>
          <w:rFonts w:asciiTheme="minorHAnsi" w:hAnsiTheme="minorHAnsi"/>
          <w:sz w:val="24"/>
          <w:lang w:val="pl-PL"/>
        </w:rPr>
        <w:t> </w:t>
      </w:r>
      <w:r w:rsidRPr="00B15C52">
        <w:rPr>
          <w:rFonts w:asciiTheme="minorHAnsi" w:hAnsiTheme="minorHAnsi"/>
          <w:sz w:val="24"/>
          <w:lang w:val="pl-PL"/>
        </w:rPr>
        <w:t xml:space="preserve">względzie te czynniki, Trybunał uznał, że ingerencja w prywatność skarżących nie osiągnęła wysokiego stopnia powagi. </w:t>
      </w:r>
    </w:p>
    <w:p w14:paraId="76D4ACD0" w14:textId="77777777" w:rsidR="00950534" w:rsidRDefault="00950534" w:rsidP="00950534">
      <w:pPr>
        <w:pStyle w:val="ClinContent"/>
        <w:widowControl w:val="0"/>
        <w:spacing w:before="0"/>
        <w:rPr>
          <w:rFonts w:asciiTheme="minorHAnsi" w:hAnsiTheme="minorHAnsi"/>
          <w:sz w:val="24"/>
          <w:lang w:val="pl-PL"/>
        </w:rPr>
      </w:pPr>
    </w:p>
    <w:p w14:paraId="57F69A0D" w14:textId="377DE05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przyznał natomiast, że k</w:t>
      </w:r>
      <w:r w:rsidRPr="00B15C52">
        <w:rPr>
          <w:rFonts w:asciiTheme="minorHAnsi" w:hAnsiTheme="minorHAnsi"/>
          <w:sz w:val="24"/>
          <w:lang w:val="pl-PL"/>
        </w:rPr>
        <w:t>onsekwencje kwestionowanego monitoringu dla</w:t>
      </w:r>
      <w:r w:rsidR="00092E2B">
        <w:rPr>
          <w:rFonts w:asciiTheme="minorHAnsi" w:hAnsiTheme="minorHAnsi"/>
          <w:sz w:val="24"/>
          <w:lang w:val="pl-PL"/>
        </w:rPr>
        <w:t> </w:t>
      </w:r>
      <w:r w:rsidRPr="00B15C52">
        <w:rPr>
          <w:rFonts w:asciiTheme="minorHAnsi" w:hAnsiTheme="minorHAnsi"/>
          <w:sz w:val="24"/>
          <w:lang w:val="pl-PL"/>
        </w:rPr>
        <w:t xml:space="preserve">skarżących były znaczne. Nadzór wideo i nagrania nie zostały jednak wykorzystane przez pracodawcę w jakimkolwiek innym celu niż </w:t>
      </w:r>
      <w:r>
        <w:rPr>
          <w:rFonts w:asciiTheme="minorHAnsi" w:hAnsiTheme="minorHAnsi"/>
          <w:sz w:val="24"/>
          <w:lang w:val="pl-PL"/>
        </w:rPr>
        <w:t xml:space="preserve">zidentyfikowanie </w:t>
      </w:r>
      <w:r w:rsidRPr="00B15C52">
        <w:rPr>
          <w:rFonts w:asciiTheme="minorHAnsi" w:hAnsiTheme="minorHAnsi"/>
          <w:sz w:val="24"/>
          <w:lang w:val="pl-PL"/>
        </w:rPr>
        <w:t>osób odpowiedzialnych za</w:t>
      </w:r>
      <w:r w:rsidR="00092E2B">
        <w:rPr>
          <w:rFonts w:asciiTheme="minorHAnsi" w:hAnsiTheme="minorHAnsi"/>
          <w:sz w:val="24"/>
          <w:lang w:val="pl-PL"/>
        </w:rPr>
        <w:t> </w:t>
      </w:r>
      <w:r w:rsidRPr="00B15C52">
        <w:rPr>
          <w:rFonts w:asciiTheme="minorHAnsi" w:hAnsiTheme="minorHAnsi"/>
          <w:sz w:val="24"/>
          <w:lang w:val="pl-PL"/>
        </w:rPr>
        <w:t xml:space="preserve">odnotowywane straty towarów i podjęcie wobec nich środków dyscyplinarnych. </w:t>
      </w:r>
    </w:p>
    <w:p w14:paraId="2A80D38B" w14:textId="77777777" w:rsidR="00950534" w:rsidRDefault="00950534" w:rsidP="00950534">
      <w:pPr>
        <w:pStyle w:val="ClinContent"/>
        <w:widowControl w:val="0"/>
        <w:spacing w:before="0"/>
        <w:rPr>
          <w:rFonts w:asciiTheme="minorHAnsi" w:hAnsiTheme="minorHAnsi"/>
          <w:sz w:val="24"/>
          <w:lang w:val="pl-PL"/>
        </w:rPr>
      </w:pPr>
    </w:p>
    <w:p w14:paraId="2B4047C6"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Ponadto zakres strat zidentyfikowanych przez pr</w:t>
      </w:r>
      <w:r>
        <w:rPr>
          <w:rFonts w:asciiTheme="minorHAnsi" w:hAnsiTheme="minorHAnsi"/>
          <w:sz w:val="24"/>
          <w:lang w:val="pl-PL"/>
        </w:rPr>
        <w:t xml:space="preserve">acodawcę sugerował, że kradzieży dopuszcza się duża liczba </w:t>
      </w:r>
      <w:r w:rsidRPr="00B15C52">
        <w:rPr>
          <w:rFonts w:asciiTheme="minorHAnsi" w:hAnsiTheme="minorHAnsi"/>
          <w:sz w:val="24"/>
          <w:lang w:val="pl-PL"/>
        </w:rPr>
        <w:t xml:space="preserve">osób, a przekazanie informacji jakiemukolwiek członkowi personelu mogłoby zniweczyć cel nadzoru wideo, którym było wykrycie osób odpowiedzialnych za kradzieże, a także uzyskanie dowodów do wykorzystania przeciwko nim w postępowaniach dyscyplinarnych. </w:t>
      </w:r>
    </w:p>
    <w:p w14:paraId="5C0E4D52" w14:textId="77777777" w:rsidR="00950534" w:rsidRDefault="00950534" w:rsidP="00950534">
      <w:pPr>
        <w:pStyle w:val="ClinContent"/>
        <w:widowControl w:val="0"/>
        <w:spacing w:before="0"/>
        <w:rPr>
          <w:rFonts w:asciiTheme="minorHAnsi" w:hAnsiTheme="minorHAnsi"/>
          <w:sz w:val="24"/>
          <w:lang w:val="pl-PL"/>
        </w:rPr>
      </w:pPr>
    </w:p>
    <w:p w14:paraId="2BB92D30" w14:textId="2840F15B"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 jednej strony podkreślił, że w</w:t>
      </w:r>
      <w:r w:rsidRPr="00B15C52">
        <w:rPr>
          <w:rFonts w:asciiTheme="minorHAnsi" w:hAnsiTheme="minorHAnsi"/>
          <w:sz w:val="24"/>
          <w:lang w:val="pl-PL"/>
        </w:rPr>
        <w:t>ymóg przejrzystości i wynikające z niego prawo do</w:t>
      </w:r>
      <w:r w:rsidR="00092E2B">
        <w:rPr>
          <w:rFonts w:asciiTheme="minorHAnsi" w:hAnsiTheme="minorHAnsi"/>
          <w:sz w:val="24"/>
          <w:lang w:val="pl-PL"/>
        </w:rPr>
        <w:t> </w:t>
      </w:r>
      <w:r w:rsidRPr="00B15C52">
        <w:rPr>
          <w:rFonts w:asciiTheme="minorHAnsi" w:hAnsiTheme="minorHAnsi"/>
          <w:sz w:val="24"/>
          <w:lang w:val="pl-PL"/>
        </w:rPr>
        <w:t>informacji ma charakter fundamentalny, szczególnie w kontekście stosunku pracy, w</w:t>
      </w:r>
      <w:r w:rsidR="00092E2B">
        <w:rPr>
          <w:rFonts w:asciiTheme="minorHAnsi" w:hAnsiTheme="minorHAnsi"/>
          <w:sz w:val="24"/>
          <w:lang w:val="pl-PL"/>
        </w:rPr>
        <w:t> </w:t>
      </w:r>
      <w:r w:rsidRPr="00B15C52">
        <w:rPr>
          <w:rFonts w:asciiTheme="minorHAnsi" w:hAnsiTheme="minorHAnsi"/>
          <w:sz w:val="24"/>
          <w:lang w:val="pl-PL"/>
        </w:rPr>
        <w:t xml:space="preserve">którym pracodawca ma znaczące uprawnienia wobec pracowników i należy unikać jakiegokolwiek ich nadużywania. </w:t>
      </w:r>
      <w:r>
        <w:rPr>
          <w:rFonts w:asciiTheme="minorHAnsi" w:hAnsiTheme="minorHAnsi"/>
          <w:sz w:val="24"/>
          <w:lang w:val="pl-PL"/>
        </w:rPr>
        <w:t>Z drugiej strony z</w:t>
      </w:r>
      <w:r w:rsidRPr="00B15C52">
        <w:rPr>
          <w:rFonts w:asciiTheme="minorHAnsi" w:hAnsiTheme="minorHAnsi"/>
          <w:sz w:val="24"/>
          <w:lang w:val="pl-PL"/>
        </w:rPr>
        <w:t xml:space="preserve">apewnienie informacji osobie podlegającej monitoringowi i jej zakres stanowią tylko jedno z kryteriów, które należy uwzględniać w celu </w:t>
      </w:r>
      <w:r w:rsidRPr="00B15C52">
        <w:rPr>
          <w:rFonts w:asciiTheme="minorHAnsi" w:hAnsiTheme="minorHAnsi"/>
          <w:sz w:val="24"/>
          <w:lang w:val="pl-PL"/>
        </w:rPr>
        <w:lastRenderedPageBreak/>
        <w:t xml:space="preserve">dokonywania oceny proporcjonalności środka tego rodzaju w danej sprawie. Jeśli jednak takiej informacji nie ma, gwarancje wynikające z innych kryteriów stają się jeszcze ważniejsze. </w:t>
      </w:r>
      <w:r>
        <w:rPr>
          <w:rFonts w:asciiTheme="minorHAnsi" w:hAnsiTheme="minorHAnsi"/>
          <w:sz w:val="24"/>
          <w:lang w:val="pl-PL"/>
        </w:rPr>
        <w:t>Trybunał j</w:t>
      </w:r>
      <w:r w:rsidRPr="00B15C52">
        <w:rPr>
          <w:rFonts w:asciiTheme="minorHAnsi" w:hAnsiTheme="minorHAnsi"/>
          <w:sz w:val="24"/>
          <w:lang w:val="pl-PL"/>
        </w:rPr>
        <w:t>ednocześnie</w:t>
      </w:r>
      <w:r>
        <w:rPr>
          <w:rFonts w:asciiTheme="minorHAnsi" w:hAnsiTheme="minorHAnsi"/>
          <w:sz w:val="24"/>
          <w:lang w:val="pl-PL"/>
        </w:rPr>
        <w:t xml:space="preserve"> zastrzegł</w:t>
      </w:r>
      <w:r w:rsidRPr="00B15C52">
        <w:rPr>
          <w:rFonts w:asciiTheme="minorHAnsi" w:hAnsiTheme="minorHAnsi"/>
          <w:sz w:val="24"/>
          <w:lang w:val="pl-PL"/>
        </w:rPr>
        <w:t xml:space="preserve">, </w:t>
      </w:r>
      <w:r>
        <w:rPr>
          <w:rFonts w:asciiTheme="minorHAnsi" w:hAnsiTheme="minorHAnsi"/>
          <w:sz w:val="24"/>
          <w:lang w:val="pl-PL"/>
        </w:rPr>
        <w:t xml:space="preserve">że </w:t>
      </w:r>
      <w:r w:rsidRPr="00B15C52">
        <w:rPr>
          <w:rFonts w:asciiTheme="minorHAnsi" w:hAnsiTheme="minorHAnsi"/>
          <w:sz w:val="24"/>
          <w:lang w:val="pl-PL"/>
        </w:rPr>
        <w:t xml:space="preserve">zważywszy na znaczenie prawa do informacji w takich sprawach, jedynie nadrzędny wymóg dotyczący ochrony istotnych interesów publicznych lub prywatnych może uzasadniać brak uprzedniej informacji. </w:t>
      </w:r>
    </w:p>
    <w:p w14:paraId="7A076193" w14:textId="77777777" w:rsidR="00950534" w:rsidRDefault="00950534" w:rsidP="00950534">
      <w:pPr>
        <w:pStyle w:val="ClinContent"/>
        <w:widowControl w:val="0"/>
        <w:spacing w:before="0"/>
        <w:rPr>
          <w:rFonts w:asciiTheme="minorHAnsi" w:hAnsiTheme="minorHAnsi"/>
          <w:sz w:val="24"/>
          <w:lang w:val="pl-PL"/>
        </w:rPr>
      </w:pPr>
    </w:p>
    <w:p w14:paraId="08374E20"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 ocenie Trybunału s</w:t>
      </w:r>
      <w:r w:rsidRPr="00B15C52">
        <w:rPr>
          <w:rFonts w:asciiTheme="minorHAnsi" w:hAnsiTheme="minorHAnsi"/>
          <w:sz w:val="24"/>
          <w:lang w:val="pl-PL"/>
        </w:rPr>
        <w:t>ądy pracy, które badały roszczenia skarżących, przeprowadziły szczegółowe wyważenie między ich prawem do poszanowania życia prywatnego z jednej strony a interesem pracodawcy w zapewnieniu ochrony swej własności i sprawnego działania spółki z drugiej strony. Sądy krajowe zweryfikowały, czy nadzór wideo był uzasadniony uprawnionym celem i czy środki przyjęte do realizacji tego celu były odpowiednie i proporcjonalne, zauważywszy w szczególności, że uprawniony cel, do którego dążył pracodawca, nie mógł być osiągnięty przez środki mniej ingerujące w prawa skarżących.</w:t>
      </w:r>
      <w:r>
        <w:rPr>
          <w:rFonts w:asciiTheme="minorHAnsi" w:hAnsiTheme="minorHAnsi"/>
          <w:sz w:val="24"/>
          <w:lang w:val="pl-PL"/>
        </w:rPr>
        <w:t xml:space="preserve"> </w:t>
      </w:r>
    </w:p>
    <w:p w14:paraId="4CBCCFB5" w14:textId="77777777" w:rsidR="00950534" w:rsidRDefault="00950534" w:rsidP="00950534">
      <w:pPr>
        <w:pStyle w:val="ClinContent"/>
        <w:widowControl w:val="0"/>
        <w:spacing w:before="0"/>
        <w:rPr>
          <w:rFonts w:asciiTheme="minorHAnsi" w:hAnsiTheme="minorHAnsi"/>
          <w:sz w:val="24"/>
          <w:lang w:val="pl-PL"/>
        </w:rPr>
      </w:pPr>
    </w:p>
    <w:p w14:paraId="0279216F" w14:textId="3DECD08E"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szczególnych okolicznościach sprawy, uwzględniając w szczególności zakres ingerencji</w:t>
      </w:r>
      <w:r>
        <w:rPr>
          <w:rFonts w:asciiTheme="minorHAnsi" w:hAnsiTheme="minorHAnsi"/>
          <w:sz w:val="24"/>
          <w:lang w:val="pl-PL"/>
        </w:rPr>
        <w:t xml:space="preserve"> </w:t>
      </w:r>
      <w:r w:rsidRPr="00B15C52">
        <w:rPr>
          <w:rFonts w:asciiTheme="minorHAnsi" w:hAnsiTheme="minorHAnsi"/>
          <w:sz w:val="24"/>
          <w:lang w:val="pl-PL"/>
        </w:rPr>
        <w:t>w</w:t>
      </w:r>
      <w:r w:rsidR="00092E2B">
        <w:rPr>
          <w:rFonts w:asciiTheme="minorHAnsi" w:hAnsiTheme="minorHAnsi"/>
          <w:sz w:val="24"/>
          <w:lang w:val="pl-PL"/>
        </w:rPr>
        <w:t> </w:t>
      </w:r>
      <w:r w:rsidRPr="00B15C52">
        <w:rPr>
          <w:rFonts w:asciiTheme="minorHAnsi" w:hAnsiTheme="minorHAnsi"/>
          <w:sz w:val="24"/>
          <w:lang w:val="pl-PL"/>
        </w:rPr>
        <w:t>prywatność skarżących i uprawnione powody uzasadniające zainstalowanie nadzoru wideo, sądy pracy były w stanie uznać</w:t>
      </w:r>
      <w:r>
        <w:rPr>
          <w:rFonts w:asciiTheme="minorHAnsi" w:hAnsiTheme="minorHAnsi"/>
          <w:sz w:val="24"/>
          <w:lang w:val="pl-PL"/>
        </w:rPr>
        <w:t>,</w:t>
      </w:r>
      <w:r w:rsidRPr="00B15C52">
        <w:rPr>
          <w:rFonts w:asciiTheme="minorHAnsi" w:hAnsiTheme="minorHAnsi"/>
          <w:sz w:val="24"/>
          <w:lang w:val="pl-PL"/>
        </w:rPr>
        <w:t xml:space="preserve"> nie przekraczając marginesu oceny przyznanego władzom krajowym, że ingerencja w prywatność skarżących była proporcjonalna. </w:t>
      </w:r>
      <w:r>
        <w:rPr>
          <w:rFonts w:asciiTheme="minorHAnsi" w:hAnsiTheme="minorHAnsi"/>
          <w:sz w:val="24"/>
          <w:lang w:val="pl-PL"/>
        </w:rPr>
        <w:t>Chociaż</w:t>
      </w:r>
      <w:r w:rsidRPr="00B15C52">
        <w:rPr>
          <w:rFonts w:asciiTheme="minorHAnsi" w:hAnsiTheme="minorHAnsi"/>
          <w:sz w:val="24"/>
          <w:lang w:val="pl-PL"/>
        </w:rPr>
        <w:t xml:space="preserve"> Trybunał nie m</w:t>
      </w:r>
      <w:r>
        <w:rPr>
          <w:rFonts w:asciiTheme="minorHAnsi" w:hAnsiTheme="minorHAnsi"/>
          <w:sz w:val="24"/>
          <w:lang w:val="pl-PL"/>
        </w:rPr>
        <w:t>ógł</w:t>
      </w:r>
      <w:r w:rsidRPr="00B15C52">
        <w:rPr>
          <w:rFonts w:asciiTheme="minorHAnsi" w:hAnsiTheme="minorHAnsi"/>
          <w:sz w:val="24"/>
          <w:lang w:val="pl-PL"/>
        </w:rPr>
        <w:t xml:space="preserve"> zgodzić się z</w:t>
      </w:r>
      <w:r>
        <w:rPr>
          <w:rFonts w:asciiTheme="minorHAnsi" w:hAnsiTheme="minorHAnsi"/>
          <w:sz w:val="24"/>
          <w:lang w:val="pl-PL"/>
        </w:rPr>
        <w:t xml:space="preserve"> twierdzeniem</w:t>
      </w:r>
      <w:r w:rsidRPr="00B15C52">
        <w:rPr>
          <w:rFonts w:asciiTheme="minorHAnsi" w:hAnsiTheme="minorHAnsi"/>
          <w:sz w:val="24"/>
          <w:lang w:val="pl-PL"/>
        </w:rPr>
        <w:t xml:space="preserve">, </w:t>
      </w:r>
      <w:r>
        <w:rPr>
          <w:rFonts w:asciiTheme="minorHAnsi" w:hAnsiTheme="minorHAnsi"/>
          <w:sz w:val="24"/>
          <w:lang w:val="pl-PL"/>
        </w:rPr>
        <w:t>jako</w:t>
      </w:r>
      <w:r w:rsidRPr="00B15C52">
        <w:rPr>
          <w:rFonts w:asciiTheme="minorHAnsi" w:hAnsiTheme="minorHAnsi"/>
          <w:sz w:val="24"/>
          <w:lang w:val="pl-PL"/>
        </w:rPr>
        <w:t xml:space="preserve">by, ogólnie rzecz ujmując, nawet najmniejsze podejrzenie przywłaszczenia lub innego niewłaściwego działania pracowników mogło uzasadniać zainstalowanie przez pracodawcę ukrytego nadzoru wideo, istnienie uzasadnionego podejrzenia, że zostało popełnione poważne przewinienie, oraz zakres zidentyfikowanych strat w sprawie </w:t>
      </w:r>
      <w:r>
        <w:rPr>
          <w:rFonts w:asciiTheme="minorHAnsi" w:hAnsiTheme="minorHAnsi"/>
          <w:sz w:val="24"/>
          <w:lang w:val="pl-PL"/>
        </w:rPr>
        <w:t xml:space="preserve">stanowiły jednak </w:t>
      </w:r>
      <w:r w:rsidRPr="00B15C52">
        <w:rPr>
          <w:rFonts w:asciiTheme="minorHAnsi" w:hAnsiTheme="minorHAnsi"/>
          <w:sz w:val="24"/>
          <w:lang w:val="pl-PL"/>
        </w:rPr>
        <w:t xml:space="preserve">poważne uzasadnienie. Było tak tym bardziej w sytuacji, w której sprawne funkcjonowanie spółki było zagrożone nie podejrzanym zachowaniem zaledwie pojedynczego pracownika, ale podejrzeniem zorganizowanego działania kilku pracowników, jako że tworzyło to ogólną atmosferę nieufności w miejscu pracy. </w:t>
      </w:r>
    </w:p>
    <w:p w14:paraId="7C044828" w14:textId="77777777" w:rsidR="00950534" w:rsidRDefault="00950534" w:rsidP="00950534">
      <w:pPr>
        <w:pStyle w:val="ClinContent"/>
        <w:widowControl w:val="0"/>
        <w:spacing w:before="0"/>
        <w:rPr>
          <w:rFonts w:asciiTheme="minorHAnsi" w:hAnsiTheme="minorHAnsi"/>
          <w:sz w:val="24"/>
          <w:lang w:val="pl-PL"/>
        </w:rPr>
      </w:pPr>
    </w:p>
    <w:p w14:paraId="4B512683" w14:textId="2B757972"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Mając na względzie istotne gwarancje przewidziane przez ramy prawne obowiązujące w</w:t>
      </w:r>
      <w:r w:rsidR="00092E2B">
        <w:rPr>
          <w:rFonts w:asciiTheme="minorHAnsi" w:hAnsiTheme="minorHAnsi"/>
          <w:sz w:val="24"/>
          <w:lang w:val="pl-PL"/>
        </w:rPr>
        <w:t> </w:t>
      </w:r>
      <w:r w:rsidRPr="00B15C52">
        <w:rPr>
          <w:rFonts w:asciiTheme="minorHAnsi" w:hAnsiTheme="minorHAnsi"/>
          <w:sz w:val="24"/>
          <w:lang w:val="pl-PL"/>
        </w:rPr>
        <w:t xml:space="preserve">Hiszpanii, w tym środki odwoławcze, z których skarżący nie skorzystali, oraz wagę przesłanek uzasadniających nadzór wideo w formie, w jakiej zostały one uwzględnione przez sądy krajowe, </w:t>
      </w:r>
      <w:r>
        <w:rPr>
          <w:rFonts w:asciiTheme="minorHAnsi" w:hAnsiTheme="minorHAnsi"/>
          <w:sz w:val="24"/>
          <w:lang w:val="pl-PL"/>
        </w:rPr>
        <w:t xml:space="preserve">Trybunał uznał, że </w:t>
      </w:r>
      <w:r w:rsidRPr="00B15C52">
        <w:rPr>
          <w:rFonts w:asciiTheme="minorHAnsi" w:hAnsiTheme="minorHAnsi"/>
          <w:sz w:val="24"/>
          <w:lang w:val="pl-PL"/>
        </w:rPr>
        <w:t xml:space="preserve">władze krajowe nie uchybiły swym obowiązkom pozytywnym na podstawie art. 8 </w:t>
      </w:r>
      <w:r>
        <w:rPr>
          <w:rFonts w:asciiTheme="minorHAnsi" w:hAnsiTheme="minorHAnsi"/>
          <w:sz w:val="24"/>
          <w:lang w:val="pl-PL"/>
        </w:rPr>
        <w:t xml:space="preserve">Konwencji </w:t>
      </w:r>
      <w:r w:rsidRPr="00B15C52">
        <w:rPr>
          <w:rFonts w:asciiTheme="minorHAnsi" w:hAnsiTheme="minorHAnsi"/>
          <w:sz w:val="24"/>
          <w:lang w:val="pl-PL"/>
        </w:rPr>
        <w:t xml:space="preserve">w sposób, który wykraczałby poza ich margines oceny. </w:t>
      </w:r>
    </w:p>
    <w:p w14:paraId="033F4370" w14:textId="77777777" w:rsidR="00950534" w:rsidRDefault="00950534" w:rsidP="00950534">
      <w:pPr>
        <w:pStyle w:val="ClinContent"/>
        <w:widowControl w:val="0"/>
        <w:spacing w:before="0"/>
        <w:rPr>
          <w:rFonts w:asciiTheme="minorHAnsi" w:hAnsiTheme="minorHAnsi"/>
          <w:sz w:val="24"/>
          <w:lang w:val="pl-PL"/>
        </w:rPr>
      </w:pPr>
    </w:p>
    <w:p w14:paraId="2D0ADCFB" w14:textId="02E5529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tych okolicznościach Trybunał orzekł, </w:t>
      </w:r>
      <w:r w:rsidRPr="00B15C52">
        <w:rPr>
          <w:rFonts w:asciiTheme="minorHAnsi" w:hAnsiTheme="minorHAnsi"/>
          <w:sz w:val="24"/>
          <w:lang w:val="pl-PL"/>
        </w:rPr>
        <w:t>c</w:t>
      </w:r>
      <w:r>
        <w:rPr>
          <w:rFonts w:asciiTheme="minorHAnsi" w:hAnsiTheme="minorHAnsi"/>
          <w:sz w:val="24"/>
          <w:lang w:val="pl-PL"/>
        </w:rPr>
        <w:t>zternastoma głosami do trzech, że nie doszło do</w:t>
      </w:r>
      <w:r w:rsidR="00092E2B">
        <w:rPr>
          <w:rFonts w:asciiTheme="minorHAnsi" w:hAnsiTheme="minorHAnsi"/>
          <w:sz w:val="24"/>
          <w:lang w:val="pl-PL"/>
        </w:rPr>
        <w:t> </w:t>
      </w:r>
      <w:r>
        <w:rPr>
          <w:rFonts w:asciiTheme="minorHAnsi" w:hAnsiTheme="minorHAnsi"/>
          <w:sz w:val="24"/>
          <w:lang w:val="pl-PL"/>
        </w:rPr>
        <w:t xml:space="preserve">naruszenia art. 8 Konwencji w sprawie skarżących. </w:t>
      </w:r>
    </w:p>
    <w:p w14:paraId="14CC52FE" w14:textId="77777777" w:rsidR="00950534" w:rsidRDefault="00950534" w:rsidP="00950534">
      <w:pPr>
        <w:pStyle w:val="ClinContent"/>
        <w:widowControl w:val="0"/>
        <w:spacing w:before="0"/>
        <w:rPr>
          <w:rFonts w:asciiTheme="minorHAnsi" w:hAnsiTheme="minorHAnsi"/>
          <w:sz w:val="24"/>
          <w:lang w:val="pl-PL"/>
        </w:rPr>
      </w:pPr>
    </w:p>
    <w:p w14:paraId="7D98A187" w14:textId="01CDEA2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III. </w:t>
      </w:r>
      <w:r w:rsidRPr="00B15C52">
        <w:rPr>
          <w:rFonts w:asciiTheme="minorHAnsi" w:hAnsiTheme="minorHAnsi"/>
          <w:sz w:val="24"/>
          <w:lang w:val="pl-PL"/>
        </w:rPr>
        <w:t xml:space="preserve">Trybunał orzekł również, jednogłośnie, że nie doszło do naruszenia </w:t>
      </w:r>
      <w:r w:rsidRPr="00382F8A">
        <w:rPr>
          <w:rFonts w:asciiTheme="minorHAnsi" w:hAnsiTheme="minorHAnsi"/>
          <w:sz w:val="24"/>
          <w:u w:val="single"/>
          <w:lang w:val="pl-PL"/>
        </w:rPr>
        <w:t>prawa do rzetelnego procesu sądowego</w:t>
      </w:r>
      <w:r>
        <w:rPr>
          <w:rFonts w:asciiTheme="minorHAnsi" w:hAnsiTheme="minorHAnsi"/>
          <w:sz w:val="24"/>
          <w:lang w:val="pl-PL"/>
        </w:rPr>
        <w:t xml:space="preserve"> (</w:t>
      </w:r>
      <w:r w:rsidRPr="00B15C52">
        <w:rPr>
          <w:rFonts w:asciiTheme="minorHAnsi" w:hAnsiTheme="minorHAnsi"/>
          <w:sz w:val="24"/>
          <w:lang w:val="pl-PL"/>
        </w:rPr>
        <w:t>art. 6 ust. 1</w:t>
      </w:r>
      <w:r>
        <w:rPr>
          <w:rFonts w:asciiTheme="minorHAnsi" w:hAnsiTheme="minorHAnsi"/>
          <w:sz w:val="24"/>
          <w:lang w:val="pl-PL"/>
        </w:rPr>
        <w:t>)</w:t>
      </w:r>
      <w:r w:rsidRPr="00B15C52">
        <w:rPr>
          <w:rFonts w:asciiTheme="minorHAnsi" w:hAnsiTheme="minorHAnsi"/>
          <w:sz w:val="24"/>
          <w:lang w:val="pl-PL"/>
        </w:rPr>
        <w:t xml:space="preserve"> w odniesieniu do wykorzystania </w:t>
      </w:r>
      <w:r>
        <w:rPr>
          <w:rFonts w:asciiTheme="minorHAnsi" w:hAnsiTheme="minorHAnsi"/>
          <w:sz w:val="24"/>
          <w:lang w:val="pl-PL"/>
        </w:rPr>
        <w:t>nagrań</w:t>
      </w:r>
      <w:r w:rsidRPr="00B15C52">
        <w:rPr>
          <w:rFonts w:asciiTheme="minorHAnsi" w:hAnsiTheme="minorHAnsi"/>
          <w:sz w:val="24"/>
          <w:lang w:val="pl-PL"/>
        </w:rPr>
        <w:t xml:space="preserve"> z nadzoru wideo</w:t>
      </w:r>
      <w:r>
        <w:rPr>
          <w:rFonts w:asciiTheme="minorHAnsi" w:hAnsiTheme="minorHAnsi"/>
          <w:sz w:val="24"/>
          <w:lang w:val="pl-PL"/>
        </w:rPr>
        <w:t xml:space="preserve"> w</w:t>
      </w:r>
      <w:r w:rsidR="00092E2B">
        <w:rPr>
          <w:rFonts w:asciiTheme="minorHAnsi" w:hAnsiTheme="minorHAnsi"/>
          <w:sz w:val="24"/>
          <w:lang w:val="pl-PL"/>
        </w:rPr>
        <w:t> </w:t>
      </w:r>
      <w:r>
        <w:rPr>
          <w:rFonts w:asciiTheme="minorHAnsi" w:hAnsiTheme="minorHAnsi"/>
          <w:sz w:val="24"/>
          <w:lang w:val="pl-PL"/>
        </w:rPr>
        <w:t>postępowaniu przed sądem pracy</w:t>
      </w:r>
      <w:r w:rsidRPr="00B15C52">
        <w:rPr>
          <w:rFonts w:asciiTheme="minorHAnsi" w:hAnsiTheme="minorHAnsi"/>
          <w:sz w:val="24"/>
          <w:lang w:val="pl-PL"/>
        </w:rPr>
        <w:t>.</w:t>
      </w:r>
      <w:r>
        <w:rPr>
          <w:rFonts w:asciiTheme="minorHAnsi" w:hAnsiTheme="minorHAnsi"/>
          <w:sz w:val="24"/>
          <w:lang w:val="pl-PL"/>
        </w:rPr>
        <w:t xml:space="preserve"> Trybunał odnotował m.in., że nie było wątpliwości co</w:t>
      </w:r>
      <w:r w:rsidR="00092E2B">
        <w:rPr>
          <w:rFonts w:asciiTheme="minorHAnsi" w:hAnsiTheme="minorHAnsi"/>
          <w:sz w:val="24"/>
          <w:lang w:val="pl-PL"/>
        </w:rPr>
        <w:t> </w:t>
      </w:r>
      <w:r>
        <w:rPr>
          <w:rFonts w:asciiTheme="minorHAnsi" w:hAnsiTheme="minorHAnsi"/>
          <w:sz w:val="24"/>
          <w:lang w:val="pl-PL"/>
        </w:rPr>
        <w:t>do autentyczności nagrań i nie stanowiły one jedynego dowodu w sprawie skarżących. Trybunał nie dopatrzył się też naruszenia prawa do rzetelnego procesu sądowego w</w:t>
      </w:r>
      <w:r w:rsidR="00092E2B">
        <w:rPr>
          <w:rFonts w:asciiTheme="minorHAnsi" w:hAnsiTheme="minorHAnsi"/>
          <w:sz w:val="24"/>
          <w:lang w:val="pl-PL"/>
        </w:rPr>
        <w:t> </w:t>
      </w:r>
      <w:r>
        <w:rPr>
          <w:rFonts w:asciiTheme="minorHAnsi" w:hAnsiTheme="minorHAnsi"/>
          <w:sz w:val="24"/>
          <w:lang w:val="pl-PL"/>
        </w:rPr>
        <w:t xml:space="preserve">odniesieniu do dopuszczenia przez sądy pracy jako dowodu ugód podpisanych przez niektórych skarżących z pracodawcą. W szczególności nic nie świadczyło, że ugody te zostały podpisane pod przymusem lub w wyniku wprowadzenia w błąd. </w:t>
      </w:r>
      <w:r w:rsidRPr="00B15C52">
        <w:rPr>
          <w:rFonts w:asciiTheme="minorHAnsi" w:hAnsiTheme="minorHAnsi"/>
          <w:sz w:val="24"/>
          <w:lang w:val="pl-PL"/>
        </w:rPr>
        <w:t xml:space="preserve"> </w:t>
      </w:r>
    </w:p>
    <w:p w14:paraId="6379AE47" w14:textId="77777777" w:rsidR="00950534" w:rsidRDefault="00950534" w:rsidP="00950534">
      <w:pPr>
        <w:pStyle w:val="ClinContent"/>
        <w:widowControl w:val="0"/>
        <w:spacing w:before="0"/>
        <w:rPr>
          <w:rFonts w:asciiTheme="minorHAnsi" w:hAnsiTheme="minorHAnsi"/>
          <w:sz w:val="24"/>
          <w:lang w:val="pl-PL"/>
        </w:rPr>
      </w:pPr>
    </w:p>
    <w:p w14:paraId="4E1FCBE9" w14:textId="5FB3A950"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lastRenderedPageBreak/>
        <w:t>Znaczenie wyroku dla Polski</w:t>
      </w:r>
      <w:r w:rsidRPr="00490945">
        <w:rPr>
          <w:rFonts w:asciiTheme="minorHAnsi" w:hAnsiTheme="minorHAnsi" w:cs="Verdana"/>
          <w:bCs/>
          <w:sz w:val="24"/>
          <w:lang w:val="pl-PL"/>
        </w:rPr>
        <w:t xml:space="preserve"> – </w:t>
      </w:r>
      <w:r>
        <w:rPr>
          <w:rFonts w:asciiTheme="minorHAnsi" w:hAnsiTheme="minorHAnsi" w:cs="Verdana"/>
          <w:bCs/>
          <w:sz w:val="24"/>
          <w:lang w:val="pl-PL"/>
        </w:rPr>
        <w:t>Kolejny w ostatnim czasie w</w:t>
      </w:r>
      <w:r w:rsidRPr="00490945">
        <w:rPr>
          <w:rFonts w:asciiTheme="minorHAnsi" w:hAnsiTheme="minorHAnsi" w:cs="Verdana"/>
          <w:bCs/>
          <w:sz w:val="24"/>
          <w:lang w:val="pl-PL"/>
        </w:rPr>
        <w:t xml:space="preserve">yrok </w:t>
      </w:r>
      <w:r>
        <w:rPr>
          <w:rFonts w:asciiTheme="minorHAnsi" w:hAnsiTheme="minorHAnsi" w:cs="Verdana"/>
          <w:bCs/>
          <w:sz w:val="24"/>
          <w:lang w:val="pl-PL"/>
        </w:rPr>
        <w:t>dotyczący stosowania środków nadzoru wobec pracowników w miejscu pracy w celu wyegzekwowania przestrzegania przez nich obowiązujących w miejscu pracy zasad i uregulowań.</w:t>
      </w:r>
      <w:r w:rsidRPr="003F5A6F">
        <w:rPr>
          <w:lang w:val="pl-PL"/>
        </w:rPr>
        <w:t xml:space="preserve"> </w:t>
      </w:r>
      <w:r w:rsidRPr="003F5A6F">
        <w:rPr>
          <w:rFonts w:asciiTheme="minorHAnsi" w:hAnsiTheme="minorHAnsi" w:cs="Verdana"/>
          <w:bCs/>
          <w:sz w:val="24"/>
          <w:lang w:val="pl-PL"/>
        </w:rPr>
        <w:t>Wyrok stanowi rozwinięcie orzecznictwa Trybunału w sprawach dotyczących prawa do</w:t>
      </w:r>
      <w:r w:rsidR="00092E2B">
        <w:rPr>
          <w:rFonts w:asciiTheme="minorHAnsi" w:hAnsiTheme="minorHAnsi" w:cs="Verdana"/>
          <w:bCs/>
          <w:sz w:val="24"/>
          <w:lang w:val="pl-PL"/>
        </w:rPr>
        <w:t> </w:t>
      </w:r>
      <w:r w:rsidRPr="003F5A6F">
        <w:rPr>
          <w:rFonts w:asciiTheme="minorHAnsi" w:hAnsiTheme="minorHAnsi" w:cs="Verdana"/>
          <w:bCs/>
          <w:sz w:val="24"/>
          <w:lang w:val="pl-PL"/>
        </w:rPr>
        <w:t>poszanowania życia pracowników w miejscu pracy i prowadzenia przez pracodawcę nadzoru wideo.</w:t>
      </w:r>
      <w:r>
        <w:rPr>
          <w:rFonts w:asciiTheme="minorHAnsi" w:hAnsiTheme="minorHAnsi" w:cs="Verdana"/>
          <w:bCs/>
          <w:sz w:val="24"/>
          <w:lang w:val="pl-PL"/>
        </w:rPr>
        <w:t xml:space="preserve"> Wskazuje na okoliczności, w których wyjątkowo tego typu nadzór może być zastosowany bez uprzedniego poinformowania o nim pracowników. Warunkiem tego jest jednak m.in. istnienie ważnych uprawnionych powodów zastosowania takiego nadzoru, a</w:t>
      </w:r>
      <w:r w:rsidR="00092E2B">
        <w:rPr>
          <w:rFonts w:asciiTheme="minorHAnsi" w:hAnsiTheme="minorHAnsi" w:cs="Verdana"/>
          <w:bCs/>
          <w:sz w:val="24"/>
          <w:lang w:val="pl-PL"/>
        </w:rPr>
        <w:t> </w:t>
      </w:r>
      <w:r>
        <w:rPr>
          <w:rFonts w:asciiTheme="minorHAnsi" w:hAnsiTheme="minorHAnsi" w:cs="Verdana"/>
          <w:bCs/>
          <w:sz w:val="24"/>
          <w:lang w:val="pl-PL"/>
        </w:rPr>
        <w:t xml:space="preserve">także przeprowadzenie przez sąd krajowy dokładnego zbadania sprawy i wyważenia wchodzących w grę interesów pracownika i pracodawcy, z uwzględnieniem kryteriów wynikających z art. 8 Konwencji i orzecznictwa Trybunału. </w:t>
      </w:r>
    </w:p>
    <w:p w14:paraId="34DE759F" w14:textId="77777777" w:rsidR="00950534" w:rsidRDefault="00950534" w:rsidP="00950534">
      <w:pPr>
        <w:pStyle w:val="ClinContent"/>
        <w:widowControl w:val="0"/>
        <w:spacing w:before="0"/>
        <w:rPr>
          <w:rFonts w:asciiTheme="minorHAnsi" w:hAnsiTheme="minorHAnsi" w:cs="Verdana"/>
          <w:bCs/>
          <w:sz w:val="24"/>
          <w:lang w:val="pl-PL"/>
        </w:rPr>
      </w:pPr>
    </w:p>
    <w:p w14:paraId="555335A5"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 xml:space="preserve">Wyrok może mieć w szczególności znaczenie dla sądów pracy, Sądu Najwyższego, organizacji pracowników i pracodawców, Urzędu Ochrony Danych Osobowych, Ministerstwa Rodziny, Pracy i Polityki Społecznej i Trybunału Konstytucyjnego. </w:t>
      </w:r>
    </w:p>
    <w:p w14:paraId="743DCF75" w14:textId="77777777" w:rsidR="00950534" w:rsidRDefault="00950534" w:rsidP="00950534">
      <w:pPr>
        <w:pStyle w:val="ClinContent"/>
        <w:widowControl w:val="0"/>
        <w:spacing w:before="0"/>
        <w:rPr>
          <w:rFonts w:asciiTheme="minorHAnsi" w:hAnsiTheme="minorHAnsi"/>
          <w:sz w:val="24"/>
          <w:lang w:val="pl-PL"/>
        </w:rPr>
      </w:pPr>
    </w:p>
    <w:p w14:paraId="024CB784" w14:textId="77777777" w:rsidR="00950534" w:rsidRDefault="00950534" w:rsidP="00950534">
      <w:pPr>
        <w:pStyle w:val="ClinContent"/>
        <w:widowControl w:val="0"/>
        <w:spacing w:before="0"/>
        <w:rPr>
          <w:rFonts w:asciiTheme="minorHAnsi" w:hAnsiTheme="minorHAnsi"/>
          <w:sz w:val="24"/>
          <w:lang w:val="pl-PL"/>
        </w:rPr>
      </w:pPr>
    </w:p>
    <w:p w14:paraId="5428E7BE"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13" w:name="_Toc35632476"/>
      <w:r w:rsidRPr="00A450C9">
        <w:rPr>
          <w:rFonts w:asciiTheme="minorHAnsi" w:hAnsiTheme="minorHAnsi"/>
          <w:i/>
          <w:color w:val="auto"/>
          <w:sz w:val="24"/>
          <w:szCs w:val="24"/>
        </w:rPr>
        <w:t>Marcello Viola p. Włochom (nr 2</w:t>
      </w:r>
      <w:r w:rsidRPr="00077E55">
        <w:rPr>
          <w:rFonts w:asciiTheme="minorHAnsi" w:hAnsiTheme="minorHAnsi"/>
          <w:i/>
          <w:color w:val="auto"/>
          <w:sz w:val="24"/>
          <w:szCs w:val="24"/>
        </w:rPr>
        <w:t>)</w:t>
      </w:r>
      <w:r w:rsidRPr="00077E55">
        <w:rPr>
          <w:rFonts w:asciiTheme="minorHAnsi" w:hAnsiTheme="minorHAnsi"/>
          <w:color w:val="auto"/>
          <w:sz w:val="24"/>
          <w:szCs w:val="24"/>
        </w:rPr>
        <w:t>, skarga nr 77633/16, wyrok Izby z dnia 13 czerwca 2019 r.</w:t>
      </w:r>
      <w:bookmarkEnd w:id="13"/>
    </w:p>
    <w:p w14:paraId="404F44FC" w14:textId="77777777"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naruszenie art. 3 Konwencji (zakaz tortur – aspekty poniżającego i nieludzkiego karania) z uwagi na uzależnienie możliwości</w:t>
      </w:r>
      <w:r w:rsidRPr="00097BCF">
        <w:rPr>
          <w:b/>
          <w:iCs/>
          <w:color w:val="000000" w:themeColor="text1"/>
          <w:sz w:val="24"/>
          <w:szCs w:val="24"/>
          <w:lang w:val="pl-PL"/>
        </w:rPr>
        <w:t xml:space="preserve"> skrócenia kary dożywotniego pozbawienia wolności nałożonej na szef</w:t>
      </w:r>
      <w:r>
        <w:rPr>
          <w:b/>
          <w:iCs/>
          <w:color w:val="000000" w:themeColor="text1"/>
          <w:sz w:val="24"/>
          <w:szCs w:val="24"/>
          <w:lang w:val="pl-PL"/>
        </w:rPr>
        <w:t>a</w:t>
      </w:r>
      <w:r w:rsidRPr="00097BCF">
        <w:rPr>
          <w:b/>
          <w:iCs/>
          <w:color w:val="000000" w:themeColor="text1"/>
          <w:sz w:val="24"/>
          <w:szCs w:val="24"/>
          <w:lang w:val="pl-PL"/>
        </w:rPr>
        <w:t xml:space="preserve"> organizacji mafijnej od współpracy z policją</w:t>
      </w:r>
    </w:p>
    <w:p w14:paraId="3C1643AD" w14:textId="77777777"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zobowiązanie pozwanego państwa na podstawie art. 46 Konwencji (moc obowiązująca i wykonanie wyroków) do zreformowania, najlepiej w drodze zmian ustawowych, systemu kary dożywotniego pozbawienia wolności orzekanej wobec osób skazanych za udział w organizacji mafijnej poprzez zagwarantowanie możliwości ponownego zbadania kary w celu określenia, czy w świetle postępu skazanego w zakresie resocjalizacji wciąż istnieją względy penologiczne uzasadniające dalsze pozbawienie wolności</w:t>
      </w:r>
    </w:p>
    <w:p w14:paraId="3D2F0C4E" w14:textId="77777777" w:rsidR="00950534" w:rsidRPr="00A80201" w:rsidRDefault="00950534" w:rsidP="00950534">
      <w:pPr>
        <w:pStyle w:val="ClinContent"/>
        <w:widowControl w:val="0"/>
        <w:spacing w:before="0"/>
        <w:rPr>
          <w:rFonts w:asciiTheme="minorHAnsi" w:hAnsiTheme="minorHAnsi"/>
          <w:sz w:val="24"/>
          <w:lang w:val="pl-PL"/>
        </w:rPr>
      </w:pPr>
    </w:p>
    <w:p w14:paraId="50F7D89D"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1999 r. i 2002 r. (w postępowaniu apelacyjnym) skarżący został skazany na karę pozbawienia wolności za członkostwo w zorganizowanej grupie przestępczej typu mafijnego. Fakt, że był on przywódcą grupy, został uznany za okoliczność obciążającą. Zastosowanie miał co do zasady reżim „dożywotniej” kary pozbawienia wolności. W świetle prawa krajowego jakakolwiek perspektywa zwolnienia takich więźniów była uzależniona od ich współpracy z policją. Osoba zainteresowana musiała dostarczyć władzom decydujących informacji w celu zapobieżenia dalszym skutkom przestępstwa lub umożliwiających ustalenie faktów i zidentyfikowanie sprawców przestępstw (z wyjątkiem sytuacji, w których taka współpraca była niemożliwa lub niewykonalna, a osoba zainteresowana mogła udowodnić, że zerwała wszystkie </w:t>
      </w:r>
      <w:r>
        <w:rPr>
          <w:rFonts w:asciiTheme="minorHAnsi" w:hAnsiTheme="minorHAnsi"/>
          <w:sz w:val="24"/>
          <w:lang w:val="pl-PL"/>
        </w:rPr>
        <w:t>istnieją</w:t>
      </w:r>
      <w:r w:rsidRPr="00B15C52">
        <w:rPr>
          <w:rFonts w:asciiTheme="minorHAnsi" w:hAnsiTheme="minorHAnsi"/>
          <w:sz w:val="24"/>
          <w:lang w:val="pl-PL"/>
        </w:rPr>
        <w:t>ce powiązania z organizacją o charakterze mafijnym).</w:t>
      </w:r>
      <w:r>
        <w:rPr>
          <w:rFonts w:asciiTheme="minorHAnsi" w:hAnsiTheme="minorHAnsi"/>
          <w:sz w:val="24"/>
          <w:lang w:val="pl-PL"/>
        </w:rPr>
        <w:t xml:space="preserve"> </w:t>
      </w:r>
    </w:p>
    <w:p w14:paraId="4F3DD56D" w14:textId="77777777" w:rsidR="00950534" w:rsidRDefault="00950534" w:rsidP="00950534">
      <w:pPr>
        <w:pStyle w:val="ClinContent"/>
        <w:widowControl w:val="0"/>
        <w:spacing w:before="0"/>
        <w:rPr>
          <w:rFonts w:asciiTheme="minorHAnsi" w:hAnsiTheme="minorHAnsi"/>
          <w:sz w:val="24"/>
          <w:lang w:val="pl-PL"/>
        </w:rPr>
      </w:pPr>
    </w:p>
    <w:p w14:paraId="1231A100" w14:textId="5F08FFBB"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Skarżący odmówił takiej współpracy, powołując się na swe szczere przekonanie o swej niewinności i obawę przed odwetem przeciwko niemu lub jego rodzinie. W rezultacie, pomimo że wypracował prawo do potencjalnego obniżenia kary</w:t>
      </w:r>
      <w:r>
        <w:rPr>
          <w:rFonts w:asciiTheme="minorHAnsi" w:hAnsiTheme="minorHAnsi"/>
          <w:sz w:val="24"/>
          <w:lang w:val="pl-PL"/>
        </w:rPr>
        <w:t xml:space="preserve"> o pięć lat</w:t>
      </w:r>
      <w:r w:rsidRPr="00B15C52">
        <w:rPr>
          <w:rFonts w:asciiTheme="minorHAnsi" w:hAnsiTheme="minorHAnsi"/>
          <w:sz w:val="24"/>
          <w:lang w:val="pl-PL"/>
        </w:rPr>
        <w:t xml:space="preserve"> poprzez udział w</w:t>
      </w:r>
      <w:r w:rsidR="00277D0F">
        <w:rPr>
          <w:rFonts w:asciiTheme="minorHAnsi" w:hAnsiTheme="minorHAnsi"/>
          <w:sz w:val="24"/>
          <w:lang w:val="pl-PL"/>
        </w:rPr>
        <w:t> </w:t>
      </w:r>
      <w:r w:rsidRPr="00B15C52">
        <w:rPr>
          <w:rFonts w:asciiTheme="minorHAnsi" w:hAnsiTheme="minorHAnsi"/>
          <w:sz w:val="24"/>
          <w:lang w:val="pl-PL"/>
        </w:rPr>
        <w:t>programie resocjalizacji, w praktyce był pozbawiony tego obniżenia.</w:t>
      </w:r>
      <w:r>
        <w:rPr>
          <w:rFonts w:asciiTheme="minorHAnsi" w:hAnsiTheme="minorHAnsi"/>
          <w:sz w:val="24"/>
          <w:lang w:val="pl-PL"/>
        </w:rPr>
        <w:t xml:space="preserve"> </w:t>
      </w:r>
    </w:p>
    <w:p w14:paraId="14FA2DC8" w14:textId="77777777" w:rsidR="00950534" w:rsidRDefault="00950534" w:rsidP="00950534">
      <w:pPr>
        <w:pStyle w:val="ClinContent"/>
        <w:widowControl w:val="0"/>
        <w:spacing w:before="0"/>
        <w:rPr>
          <w:rFonts w:asciiTheme="minorHAnsi" w:hAnsiTheme="minorHAnsi"/>
          <w:sz w:val="24"/>
          <w:lang w:val="pl-PL"/>
        </w:rPr>
      </w:pPr>
    </w:p>
    <w:p w14:paraId="5CBB0EA5" w14:textId="39597A18"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Odmawiając uwzględnienia wniosku skarżącego o zwolnienie warunkowe, sąd nadzorujący wykonywanie kar odnotował brak jego współpracy z organami sądowymi, </w:t>
      </w:r>
      <w:r w:rsidRPr="00B15C52">
        <w:rPr>
          <w:rFonts w:asciiTheme="minorHAnsi" w:hAnsiTheme="minorHAnsi"/>
          <w:sz w:val="24"/>
          <w:lang w:val="pl-PL"/>
        </w:rPr>
        <w:lastRenderedPageBreak/>
        <w:t>ale</w:t>
      </w:r>
      <w:r w:rsidR="00277D0F">
        <w:rPr>
          <w:rFonts w:asciiTheme="minorHAnsi" w:hAnsiTheme="minorHAnsi"/>
          <w:sz w:val="24"/>
          <w:lang w:val="pl-PL"/>
        </w:rPr>
        <w:t> </w:t>
      </w:r>
      <w:r w:rsidRPr="00B15C52">
        <w:rPr>
          <w:rFonts w:asciiTheme="minorHAnsi" w:hAnsiTheme="minorHAnsi"/>
          <w:sz w:val="24"/>
          <w:lang w:val="pl-PL"/>
        </w:rPr>
        <w:t>nie</w:t>
      </w:r>
      <w:r w:rsidR="00277D0F">
        <w:rPr>
          <w:rFonts w:asciiTheme="minorHAnsi" w:hAnsiTheme="minorHAnsi"/>
          <w:sz w:val="24"/>
          <w:lang w:val="pl-PL"/>
        </w:rPr>
        <w:t> </w:t>
      </w:r>
      <w:r w:rsidRPr="00B15C52">
        <w:rPr>
          <w:rFonts w:asciiTheme="minorHAnsi" w:hAnsiTheme="minorHAnsi"/>
          <w:sz w:val="24"/>
          <w:lang w:val="pl-PL"/>
        </w:rPr>
        <w:t>przeprowadził żadnej oceny postępu, jakiego skarżący dokonał</w:t>
      </w:r>
      <w:r>
        <w:rPr>
          <w:rFonts w:asciiTheme="minorHAnsi" w:hAnsiTheme="minorHAnsi"/>
          <w:sz w:val="24"/>
          <w:lang w:val="pl-PL"/>
        </w:rPr>
        <w:t>, jak twierdził,</w:t>
      </w:r>
      <w:r w:rsidRPr="00B15C52">
        <w:rPr>
          <w:rFonts w:asciiTheme="minorHAnsi" w:hAnsiTheme="minorHAnsi"/>
          <w:sz w:val="24"/>
          <w:lang w:val="pl-PL"/>
        </w:rPr>
        <w:t xml:space="preserve"> od czasu skazania.</w:t>
      </w:r>
      <w:r>
        <w:rPr>
          <w:rFonts w:asciiTheme="minorHAnsi" w:hAnsiTheme="minorHAnsi"/>
          <w:sz w:val="24"/>
          <w:lang w:val="pl-PL"/>
        </w:rPr>
        <w:t xml:space="preserve"> </w:t>
      </w:r>
    </w:p>
    <w:p w14:paraId="0F2DCA9A" w14:textId="77777777" w:rsidR="00950534" w:rsidRDefault="00950534" w:rsidP="00950534">
      <w:pPr>
        <w:pStyle w:val="ClinContent"/>
        <w:widowControl w:val="0"/>
        <w:spacing w:before="0"/>
        <w:rPr>
          <w:rFonts w:asciiTheme="minorHAnsi" w:hAnsiTheme="minorHAnsi"/>
          <w:sz w:val="24"/>
          <w:lang w:val="pl-PL"/>
        </w:rPr>
      </w:pPr>
    </w:p>
    <w:p w14:paraId="6AC236AE" w14:textId="04FE39DD"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I. Trybunał zbadał karę dożywotniego pozbawienia wolności nałożoną na skarżącego w</w:t>
      </w:r>
      <w:r w:rsidR="00092E2B">
        <w:rPr>
          <w:rFonts w:asciiTheme="minorHAnsi" w:hAnsiTheme="minorHAnsi"/>
          <w:sz w:val="24"/>
          <w:lang w:val="pl-PL"/>
        </w:rPr>
        <w:t> </w:t>
      </w:r>
      <w:r>
        <w:rPr>
          <w:rFonts w:asciiTheme="minorHAnsi" w:hAnsiTheme="minorHAnsi"/>
          <w:sz w:val="24"/>
          <w:lang w:val="pl-PL"/>
        </w:rPr>
        <w:t xml:space="preserve">świetle zakazu nieludzkiego lub poniżającego traktowania zakazanego przez art. 3 Konwencji, oceniając, </w:t>
      </w:r>
      <w:r w:rsidRPr="00426991">
        <w:rPr>
          <w:rFonts w:asciiTheme="minorHAnsi" w:hAnsiTheme="minorHAnsi"/>
          <w:i/>
          <w:sz w:val="24"/>
          <w:u w:val="single"/>
          <w:lang w:val="pl-PL"/>
        </w:rPr>
        <w:t>czy istniały dla skarżącego perspektywy zwolnienia oraz możliwość ubiegania się o zwolnienie warunkowe</w:t>
      </w:r>
      <w:r>
        <w:rPr>
          <w:rFonts w:asciiTheme="minorHAnsi" w:hAnsiTheme="minorHAnsi"/>
          <w:sz w:val="24"/>
          <w:lang w:val="pl-PL"/>
        </w:rPr>
        <w:t xml:space="preserve">. </w:t>
      </w:r>
    </w:p>
    <w:p w14:paraId="37B8AF04" w14:textId="77777777" w:rsidR="00950534" w:rsidRDefault="00950534" w:rsidP="00950534">
      <w:pPr>
        <w:pStyle w:val="ClinContent"/>
        <w:widowControl w:val="0"/>
        <w:spacing w:before="0"/>
        <w:rPr>
          <w:rFonts w:asciiTheme="minorHAnsi" w:hAnsiTheme="minorHAnsi"/>
          <w:sz w:val="24"/>
          <w:lang w:val="pl-PL"/>
        </w:rPr>
      </w:pPr>
    </w:p>
    <w:p w14:paraId="431F0551" w14:textId="6D47D8B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Odnotował, że w</w:t>
      </w:r>
      <w:r w:rsidRPr="00B15C52">
        <w:rPr>
          <w:rFonts w:asciiTheme="minorHAnsi" w:hAnsiTheme="minorHAnsi"/>
          <w:sz w:val="24"/>
          <w:lang w:val="pl-PL"/>
        </w:rPr>
        <w:t xml:space="preserve"> niniejszej sprawie ustawodawstwo krajowe nie nakładało automatycznego </w:t>
      </w:r>
      <w:r>
        <w:rPr>
          <w:rFonts w:asciiTheme="minorHAnsi" w:hAnsiTheme="minorHAnsi"/>
          <w:sz w:val="24"/>
          <w:lang w:val="pl-PL"/>
        </w:rPr>
        <w:t>generalnego</w:t>
      </w:r>
      <w:r w:rsidRPr="00B15C52">
        <w:rPr>
          <w:rFonts w:asciiTheme="minorHAnsi" w:hAnsiTheme="minorHAnsi"/>
          <w:sz w:val="24"/>
          <w:lang w:val="pl-PL"/>
        </w:rPr>
        <w:t xml:space="preserve"> zakazu korzystania ze zwolnienia warunkowego lub innego dostosowania kary, ale uzależniało dostęp do niego od „współpracy z organami sądowymi”. Z uwagi na istnienie okoliczności obciążających, związanych z pełnieniem przez skarżącego roli szefa grupy o</w:t>
      </w:r>
      <w:r w:rsidR="00092E2B">
        <w:rPr>
          <w:rFonts w:asciiTheme="minorHAnsi" w:hAnsiTheme="minorHAnsi"/>
          <w:sz w:val="24"/>
          <w:lang w:val="pl-PL"/>
        </w:rPr>
        <w:t> </w:t>
      </w:r>
      <w:r w:rsidRPr="00B15C52">
        <w:rPr>
          <w:rFonts w:asciiTheme="minorHAnsi" w:hAnsiTheme="minorHAnsi"/>
          <w:sz w:val="24"/>
          <w:lang w:val="pl-PL"/>
        </w:rPr>
        <w:t xml:space="preserve">charakterze mafijnym, do której należał, jego współpraca z władzami nie zostałaby uznana za „niemożliwą” lub „niewykonalną” na potrzeby prawa krajowego. </w:t>
      </w:r>
    </w:p>
    <w:p w14:paraId="181BDE9A" w14:textId="77777777" w:rsidR="00950534" w:rsidRDefault="00950534" w:rsidP="00950534">
      <w:pPr>
        <w:pStyle w:val="ClinContent"/>
        <w:widowControl w:val="0"/>
        <w:spacing w:before="0"/>
        <w:rPr>
          <w:rFonts w:asciiTheme="minorHAnsi" w:hAnsiTheme="minorHAnsi"/>
          <w:sz w:val="24"/>
          <w:lang w:val="pl-PL"/>
        </w:rPr>
      </w:pPr>
    </w:p>
    <w:p w14:paraId="00377C30" w14:textId="597C475D"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Chociaż</w:t>
      </w:r>
      <w:r w:rsidRPr="00B15C52">
        <w:rPr>
          <w:rFonts w:asciiTheme="minorHAnsi" w:hAnsiTheme="minorHAnsi"/>
          <w:sz w:val="24"/>
          <w:lang w:val="pl-PL"/>
        </w:rPr>
        <w:t xml:space="preserve"> co prawda system krajowy zapewniał skazanym więźniom wybór, czy</w:t>
      </w:r>
      <w:r w:rsidR="00092E2B">
        <w:rPr>
          <w:rFonts w:asciiTheme="minorHAnsi" w:hAnsiTheme="minorHAnsi"/>
          <w:sz w:val="24"/>
          <w:lang w:val="pl-PL"/>
        </w:rPr>
        <w:t> </w:t>
      </w:r>
      <w:r w:rsidRPr="00B15C52">
        <w:rPr>
          <w:rFonts w:asciiTheme="minorHAnsi" w:hAnsiTheme="minorHAnsi"/>
          <w:sz w:val="24"/>
          <w:lang w:val="pl-PL"/>
        </w:rPr>
        <w:t xml:space="preserve">współpracować z władzami, Trybunał miał wątpliwości co do swobody tego wyboru oraz zasadności zrównywania braku współpracy z zagrożeniem dla społeczeństwa stwarzanym przez więźnia. </w:t>
      </w:r>
    </w:p>
    <w:p w14:paraId="6BA3E06D" w14:textId="77777777" w:rsidR="00950534" w:rsidRDefault="00950534" w:rsidP="00950534">
      <w:pPr>
        <w:pStyle w:val="ClinContent"/>
        <w:widowControl w:val="0"/>
        <w:spacing w:before="0"/>
        <w:rPr>
          <w:rFonts w:asciiTheme="minorHAnsi" w:hAnsiTheme="minorHAnsi"/>
          <w:sz w:val="24"/>
          <w:lang w:val="pl-PL"/>
        </w:rPr>
      </w:pPr>
    </w:p>
    <w:p w14:paraId="08E5AF23"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Brak współpracy nie zawsze wynik</w:t>
      </w:r>
      <w:r>
        <w:rPr>
          <w:rFonts w:asciiTheme="minorHAnsi" w:hAnsiTheme="minorHAnsi"/>
          <w:sz w:val="24"/>
          <w:lang w:val="pl-PL"/>
        </w:rPr>
        <w:t>a z</w:t>
      </w:r>
      <w:r w:rsidRPr="00B15C52">
        <w:rPr>
          <w:rFonts w:asciiTheme="minorHAnsi" w:hAnsiTheme="minorHAnsi"/>
          <w:sz w:val="24"/>
          <w:lang w:val="pl-PL"/>
        </w:rPr>
        <w:t xml:space="preserve"> wolnego i świadomego wyboru ani też niekoniecznie odzwierciedla on trwające przywiązanie do „wartości przestępczych” lub utrzymujące się powiązania z przedmiotową organizacją. Odmowa współpracy może wynik</w:t>
      </w:r>
      <w:r>
        <w:rPr>
          <w:rFonts w:asciiTheme="minorHAnsi" w:hAnsiTheme="minorHAnsi"/>
          <w:sz w:val="24"/>
          <w:lang w:val="pl-PL"/>
        </w:rPr>
        <w:t>ać z</w:t>
      </w:r>
      <w:r w:rsidRPr="00B15C52">
        <w:rPr>
          <w:rFonts w:asciiTheme="minorHAnsi" w:hAnsiTheme="minorHAnsi"/>
          <w:sz w:val="24"/>
          <w:lang w:val="pl-PL"/>
        </w:rPr>
        <w:t xml:space="preserve"> innych okoliczności lub względów (takich jak obawa przed odwetem przeciwko danej osobie lub jej rodzinie). I odwrotnie, decyzja o współpracy może wynikać z czysto op</w:t>
      </w:r>
      <w:r>
        <w:rPr>
          <w:rFonts w:asciiTheme="minorHAnsi" w:hAnsiTheme="minorHAnsi"/>
          <w:sz w:val="24"/>
          <w:lang w:val="pl-PL"/>
        </w:rPr>
        <w:t>ortunistycznych pobudek</w:t>
      </w:r>
      <w:r w:rsidRPr="00B15C52">
        <w:rPr>
          <w:rFonts w:asciiTheme="minorHAnsi" w:hAnsiTheme="minorHAnsi"/>
          <w:sz w:val="24"/>
          <w:lang w:val="pl-PL"/>
        </w:rPr>
        <w:t xml:space="preserve">. </w:t>
      </w:r>
    </w:p>
    <w:p w14:paraId="6E7C850A" w14:textId="77777777" w:rsidR="00950534" w:rsidRDefault="00950534" w:rsidP="00950534">
      <w:pPr>
        <w:pStyle w:val="ClinContent"/>
        <w:widowControl w:val="0"/>
        <w:spacing w:before="0"/>
        <w:rPr>
          <w:rFonts w:asciiTheme="minorHAnsi" w:hAnsiTheme="minorHAnsi"/>
          <w:sz w:val="24"/>
          <w:lang w:val="pl-PL"/>
        </w:rPr>
      </w:pPr>
    </w:p>
    <w:p w14:paraId="3A08BABB"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takich sytuacjach zrównywanie braku współpracy z niemożliwym do obalenia domniemaniem zagrożenia dla społeczeństwa nie odzwierciedla w ostatecznym rozrachunku rzeczywistego postępu danej osoby na drodze ku resocjalizacji. </w:t>
      </w:r>
    </w:p>
    <w:p w14:paraId="7BF07990" w14:textId="77777777" w:rsidR="00950534" w:rsidRDefault="00950534" w:rsidP="00950534">
      <w:pPr>
        <w:pStyle w:val="ClinContent"/>
        <w:widowControl w:val="0"/>
        <w:spacing w:before="0"/>
        <w:rPr>
          <w:rFonts w:asciiTheme="minorHAnsi" w:hAnsiTheme="minorHAnsi"/>
          <w:sz w:val="24"/>
          <w:lang w:val="pl-PL"/>
        </w:rPr>
      </w:pPr>
    </w:p>
    <w:p w14:paraId="53747D27" w14:textId="6B0D804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wcześniej stwierdzał na podstawie art. 5 Konwencji, że</w:t>
      </w:r>
      <w:r>
        <w:rPr>
          <w:rFonts w:asciiTheme="minorHAnsi" w:hAnsiTheme="minorHAnsi"/>
          <w:sz w:val="24"/>
          <w:lang w:val="pl-PL"/>
        </w:rPr>
        <w:t xml:space="preserve"> prawne domniemanie zagrożenia </w:t>
      </w:r>
      <w:r w:rsidRPr="00B15C52">
        <w:rPr>
          <w:rFonts w:asciiTheme="minorHAnsi" w:hAnsiTheme="minorHAnsi"/>
          <w:sz w:val="24"/>
          <w:lang w:val="pl-PL"/>
        </w:rPr>
        <w:t>dla społeczeństwa może być uzasadnione, zwłaszcza jeśli nie jest ono bezwzględne, a może być obalone dowodem przeciwnym. Ma to szczególnie zastosowanie do art. 3</w:t>
      </w:r>
      <w:r>
        <w:rPr>
          <w:rFonts w:asciiTheme="minorHAnsi" w:hAnsiTheme="minorHAnsi"/>
          <w:sz w:val="24"/>
          <w:lang w:val="pl-PL"/>
        </w:rPr>
        <w:t xml:space="preserve"> Konwencji</w:t>
      </w:r>
      <w:r w:rsidRPr="00B15C52">
        <w:rPr>
          <w:rFonts w:asciiTheme="minorHAnsi" w:hAnsiTheme="minorHAnsi"/>
          <w:sz w:val="24"/>
          <w:lang w:val="pl-PL"/>
        </w:rPr>
        <w:t>, którego bezwzględny charakter nie dopuszcza żadnych wyjątków. Uważanie współpracy z władzami za jedyną możliwą wskazówkę, że więzień zerwał kontakt z</w:t>
      </w:r>
      <w:r w:rsidR="00092E2B">
        <w:rPr>
          <w:rFonts w:asciiTheme="minorHAnsi" w:hAnsiTheme="minorHAnsi"/>
          <w:sz w:val="24"/>
          <w:lang w:val="pl-PL"/>
        </w:rPr>
        <w:t> </w:t>
      </w:r>
      <w:r w:rsidRPr="00B15C52">
        <w:rPr>
          <w:rFonts w:asciiTheme="minorHAnsi" w:hAnsiTheme="minorHAnsi"/>
          <w:sz w:val="24"/>
          <w:lang w:val="pl-PL"/>
        </w:rPr>
        <w:t>kręgami przestępczymi i uległ resocjalizacji, w żaden sposób nie uwzględnia innych wskaźników, które mogłyby zostać wykorzystane do oceny jego postępu.</w:t>
      </w:r>
      <w:r>
        <w:rPr>
          <w:rFonts w:asciiTheme="minorHAnsi" w:hAnsiTheme="minorHAnsi"/>
          <w:sz w:val="24"/>
          <w:lang w:val="pl-PL"/>
        </w:rPr>
        <w:t xml:space="preserve"> </w:t>
      </w:r>
    </w:p>
    <w:p w14:paraId="36F2141D" w14:textId="77777777" w:rsidR="00950534" w:rsidRDefault="00950534" w:rsidP="00950534">
      <w:pPr>
        <w:pStyle w:val="ClinContent"/>
        <w:widowControl w:val="0"/>
        <w:spacing w:before="0"/>
        <w:rPr>
          <w:rFonts w:asciiTheme="minorHAnsi" w:hAnsiTheme="minorHAnsi"/>
          <w:sz w:val="24"/>
          <w:lang w:val="pl-PL"/>
        </w:rPr>
      </w:pPr>
    </w:p>
    <w:p w14:paraId="7FFA794B"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niniejszej sprawie włoski system penitencjarny przewidywał szereg progresywnych możliwości kontaktu ze społeczeństwem</w:t>
      </w:r>
      <w:r w:rsidRPr="003A5707">
        <w:rPr>
          <w:rFonts w:asciiTheme="minorHAnsi" w:hAnsiTheme="minorHAnsi"/>
          <w:sz w:val="24"/>
          <w:lang w:val="pl-PL"/>
        </w:rPr>
        <w:t xml:space="preserve"> </w:t>
      </w:r>
      <w:r w:rsidRPr="00B15C52">
        <w:rPr>
          <w:rFonts w:asciiTheme="minorHAnsi" w:hAnsiTheme="minorHAnsi"/>
          <w:sz w:val="24"/>
          <w:lang w:val="pl-PL"/>
        </w:rPr>
        <w:t>mających na celu ułatwienie resocjalizacji więźnia – takich jak praca na zewnątrz, przepustka więzienna, półotwarty reżim wi</w:t>
      </w:r>
      <w:r>
        <w:rPr>
          <w:rFonts w:asciiTheme="minorHAnsi" w:hAnsiTheme="minorHAnsi"/>
          <w:sz w:val="24"/>
          <w:lang w:val="pl-PL"/>
        </w:rPr>
        <w:t>ęzienny i zwolnienie warunkowe</w:t>
      </w:r>
      <w:r w:rsidRPr="00B15C52">
        <w:rPr>
          <w:rFonts w:asciiTheme="minorHAnsi" w:hAnsiTheme="minorHAnsi"/>
          <w:sz w:val="24"/>
          <w:lang w:val="pl-PL"/>
        </w:rPr>
        <w:t xml:space="preserve">. Jednakże skarżącemu nie dano żadnych z tych możliwości reintegracji społecznej, pomimo że różne dowody w sprawie krajowej wskazywały na pozytywną zmianę jego osobowości i postęp na drodze ku resocjalizacji. </w:t>
      </w:r>
    </w:p>
    <w:p w14:paraId="470C2D81" w14:textId="77777777" w:rsidR="00950534" w:rsidRDefault="00950534" w:rsidP="00950534">
      <w:pPr>
        <w:pStyle w:val="ClinContent"/>
        <w:widowControl w:val="0"/>
        <w:spacing w:before="0"/>
        <w:rPr>
          <w:rFonts w:asciiTheme="minorHAnsi" w:hAnsiTheme="minorHAnsi"/>
          <w:sz w:val="24"/>
          <w:lang w:val="pl-PL"/>
        </w:rPr>
      </w:pPr>
    </w:p>
    <w:p w14:paraId="393A800F" w14:textId="74E4BB2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że o</w:t>
      </w:r>
      <w:r w:rsidRPr="00B15C52">
        <w:rPr>
          <w:rFonts w:asciiTheme="minorHAnsi" w:hAnsiTheme="minorHAnsi"/>
          <w:sz w:val="24"/>
          <w:lang w:val="pl-PL"/>
        </w:rPr>
        <w:t xml:space="preserve">sobowość skazanego więźnia nie pozostaje niezmienna od czasu popełnienia czynu: może ona ewoluować w trakcie odbywania kary, odzwierciedlając proces </w:t>
      </w:r>
      <w:r w:rsidRPr="00B15C52">
        <w:rPr>
          <w:rFonts w:asciiTheme="minorHAnsi" w:hAnsiTheme="minorHAnsi"/>
          <w:sz w:val="24"/>
          <w:lang w:val="pl-PL"/>
        </w:rPr>
        <w:lastRenderedPageBreak/>
        <w:t xml:space="preserve">resocjalizacji. W </w:t>
      </w:r>
      <w:r>
        <w:rPr>
          <w:rFonts w:asciiTheme="minorHAnsi" w:hAnsiTheme="minorHAnsi"/>
          <w:sz w:val="24"/>
          <w:lang w:val="pl-PL"/>
        </w:rPr>
        <w:t>omawianej sp</w:t>
      </w:r>
      <w:r w:rsidRPr="00B15C52">
        <w:rPr>
          <w:rFonts w:asciiTheme="minorHAnsi" w:hAnsiTheme="minorHAnsi"/>
          <w:sz w:val="24"/>
          <w:lang w:val="pl-PL"/>
        </w:rPr>
        <w:t>rawie brak „współpracy z władzami sądowymi” skutkował niemożliwym do obalenia domniemaniem zagrożenia, które pozbawiało skarżącego jakichkolwiek realnych perspektyw zwolnienia. Skarżący nie mógł wykazać, że jego pozbawienie wolności nie jest już uzasadnione uprawn</w:t>
      </w:r>
      <w:r>
        <w:rPr>
          <w:rFonts w:asciiTheme="minorHAnsi" w:hAnsiTheme="minorHAnsi"/>
          <w:sz w:val="24"/>
          <w:lang w:val="pl-PL"/>
        </w:rPr>
        <w:t>ionymi względami penologicznymi.</w:t>
      </w:r>
      <w:r w:rsidRPr="00B15C52">
        <w:rPr>
          <w:rFonts w:asciiTheme="minorHAnsi" w:hAnsiTheme="minorHAnsi"/>
          <w:sz w:val="24"/>
          <w:lang w:val="pl-PL"/>
        </w:rPr>
        <w:t xml:space="preserve"> </w:t>
      </w:r>
      <w:r>
        <w:rPr>
          <w:rFonts w:asciiTheme="minorHAnsi" w:hAnsiTheme="minorHAnsi"/>
          <w:sz w:val="24"/>
          <w:lang w:val="pl-PL"/>
        </w:rPr>
        <w:t>P</w:t>
      </w:r>
      <w:r w:rsidRPr="00B15C52">
        <w:rPr>
          <w:rFonts w:asciiTheme="minorHAnsi" w:hAnsiTheme="minorHAnsi"/>
          <w:sz w:val="24"/>
          <w:lang w:val="pl-PL"/>
        </w:rPr>
        <w:t xml:space="preserve">oprzez ciągłe zrównywanie braku współpracy z niemożliwym do obalenia domniemaniem zagrożenia dla społeczeństwa obowiązujący reżim </w:t>
      </w:r>
      <w:r>
        <w:rPr>
          <w:rFonts w:asciiTheme="minorHAnsi" w:hAnsiTheme="minorHAnsi"/>
          <w:sz w:val="24"/>
          <w:lang w:val="pl-PL"/>
        </w:rPr>
        <w:t xml:space="preserve">prawny </w:t>
      </w:r>
      <w:r w:rsidRPr="00B15C52">
        <w:rPr>
          <w:rFonts w:asciiTheme="minorHAnsi" w:hAnsiTheme="minorHAnsi"/>
          <w:sz w:val="24"/>
          <w:lang w:val="pl-PL"/>
        </w:rPr>
        <w:t>w istocie oceniał zagrożenie ze</w:t>
      </w:r>
      <w:r w:rsidR="00092E2B">
        <w:rPr>
          <w:rFonts w:asciiTheme="minorHAnsi" w:hAnsiTheme="minorHAnsi"/>
          <w:sz w:val="24"/>
          <w:lang w:val="pl-PL"/>
        </w:rPr>
        <w:t> </w:t>
      </w:r>
      <w:r w:rsidRPr="00B15C52">
        <w:rPr>
          <w:rFonts w:asciiTheme="minorHAnsi" w:hAnsiTheme="minorHAnsi"/>
          <w:sz w:val="24"/>
          <w:lang w:val="pl-PL"/>
        </w:rPr>
        <w:t xml:space="preserve">strony osoby w odniesieniu do czasu, gdy zostało popełnione przestępstwo, zamiast uwzględnić proces resocjalizacji i ewentualny postęp dokonany przez tę osobę od czasu skazania. </w:t>
      </w:r>
    </w:p>
    <w:p w14:paraId="144FA342" w14:textId="77777777" w:rsidR="00950534" w:rsidRDefault="00950534" w:rsidP="00950534">
      <w:pPr>
        <w:pStyle w:val="ClinContent"/>
        <w:widowControl w:val="0"/>
        <w:spacing w:before="0"/>
        <w:rPr>
          <w:rFonts w:asciiTheme="minorHAnsi" w:hAnsiTheme="minorHAnsi"/>
          <w:sz w:val="24"/>
          <w:lang w:val="pl-PL"/>
        </w:rPr>
      </w:pPr>
    </w:p>
    <w:p w14:paraId="4E36CC5B" w14:textId="4405B3BD"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Niemożliwe do obalenia domniemanie w istocie uniemożliwiło zbadanie przez właściwy sąd wniosku o zwolnienie warunkowe i ustalenie, czy dana osoba zmieniła się w trakcie pozbawienia wolności i poczyniła postęp w kierunku resocjalizacji do tego stopnia, że jej dalsze pozbawienie wolności nie jest już uzasadnione względami penologicznymi. Udział sądu został ograniczony do stwierdzenia, że nie zostały spełnione warunki dotyczące współpracy, i nie mógł on ocenić indywidualnej historii więźnia i jego postępu na drodze do</w:t>
      </w:r>
      <w:r w:rsidR="00092E2B">
        <w:rPr>
          <w:rFonts w:asciiTheme="minorHAnsi" w:hAnsiTheme="minorHAnsi"/>
          <w:sz w:val="24"/>
          <w:lang w:val="pl-PL"/>
        </w:rPr>
        <w:t> </w:t>
      </w:r>
      <w:r w:rsidRPr="00B15C52">
        <w:rPr>
          <w:rFonts w:asciiTheme="minorHAnsi" w:hAnsiTheme="minorHAnsi"/>
          <w:sz w:val="24"/>
          <w:lang w:val="pl-PL"/>
        </w:rPr>
        <w:t xml:space="preserve">resocjalizacji. </w:t>
      </w:r>
    </w:p>
    <w:p w14:paraId="274A8D6F" w14:textId="77777777" w:rsidR="00950534" w:rsidRDefault="00950534" w:rsidP="00950534">
      <w:pPr>
        <w:pStyle w:val="ClinContent"/>
        <w:widowControl w:val="0"/>
        <w:spacing w:before="0"/>
        <w:rPr>
          <w:rFonts w:asciiTheme="minorHAnsi" w:hAnsiTheme="minorHAnsi"/>
          <w:sz w:val="24"/>
          <w:lang w:val="pl-PL"/>
        </w:rPr>
      </w:pPr>
    </w:p>
    <w:p w14:paraId="7220B503" w14:textId="40F85EC4"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zgodził się, że </w:t>
      </w:r>
      <w:r w:rsidRPr="00B15C52">
        <w:rPr>
          <w:rFonts w:asciiTheme="minorHAnsi" w:hAnsiTheme="minorHAnsi"/>
          <w:sz w:val="24"/>
          <w:lang w:val="pl-PL"/>
        </w:rPr>
        <w:t>przestępstwa, za które został skazany skarżący, dotyczyły zjawiska szczególnie groźnego dla społeczeństwa. Ponadto reforma więzienna, która doprowadziła do</w:t>
      </w:r>
      <w:r w:rsidR="00092E2B">
        <w:rPr>
          <w:rFonts w:asciiTheme="minorHAnsi" w:hAnsiTheme="minorHAnsi"/>
          <w:sz w:val="24"/>
          <w:lang w:val="pl-PL"/>
        </w:rPr>
        <w:t> </w:t>
      </w:r>
      <w:r w:rsidRPr="00B15C52">
        <w:rPr>
          <w:rFonts w:asciiTheme="minorHAnsi" w:hAnsiTheme="minorHAnsi"/>
          <w:sz w:val="24"/>
          <w:lang w:val="pl-PL"/>
        </w:rPr>
        <w:t>wprowadzenia tego reżimu</w:t>
      </w:r>
      <w:r>
        <w:rPr>
          <w:rFonts w:asciiTheme="minorHAnsi" w:hAnsiTheme="minorHAnsi"/>
          <w:sz w:val="24"/>
          <w:lang w:val="pl-PL"/>
        </w:rPr>
        <w:t xml:space="preserve"> prawnego</w:t>
      </w:r>
      <w:r w:rsidRPr="00B15C52">
        <w:rPr>
          <w:rFonts w:asciiTheme="minorHAnsi" w:hAnsiTheme="minorHAnsi"/>
          <w:sz w:val="24"/>
          <w:lang w:val="pl-PL"/>
        </w:rPr>
        <w:t xml:space="preserve">, została przyjęta w 1992 r. w kontekście sytuacji nadzwyczajnej po wydarzeniu, który głęboko naznaczyło Włochy. </w:t>
      </w:r>
      <w:r>
        <w:rPr>
          <w:rFonts w:asciiTheme="minorHAnsi" w:hAnsiTheme="minorHAnsi"/>
          <w:sz w:val="24"/>
          <w:lang w:val="pl-PL"/>
        </w:rPr>
        <w:t>Trybunał jednak podkreślił, że</w:t>
      </w:r>
      <w:r w:rsidRPr="00B15C52">
        <w:rPr>
          <w:rFonts w:asciiTheme="minorHAnsi" w:hAnsiTheme="minorHAnsi"/>
          <w:sz w:val="24"/>
          <w:lang w:val="pl-PL"/>
        </w:rPr>
        <w:t xml:space="preserve"> wysiłki mające na celu poradzenie sobie z tą plagą </w:t>
      </w:r>
      <w:r>
        <w:rPr>
          <w:rFonts w:asciiTheme="minorHAnsi" w:hAnsiTheme="minorHAnsi"/>
          <w:sz w:val="24"/>
          <w:lang w:val="pl-PL"/>
        </w:rPr>
        <w:t xml:space="preserve">społeczną </w:t>
      </w:r>
      <w:r w:rsidRPr="00B15C52">
        <w:rPr>
          <w:rFonts w:asciiTheme="minorHAnsi" w:hAnsiTheme="minorHAnsi"/>
          <w:sz w:val="24"/>
          <w:lang w:val="pl-PL"/>
        </w:rPr>
        <w:t>nie mogą uzasadniać odstępstwa od postanowień art. 3 Konwencji, który w sposób bezwzględny zakazuje nieludzkiego lub poniżającego traktowania. Charakter przestępstw, za które został skazany skarżący, nie miał zatem znaczenia w obecnym kontekście. Ponadto ostatecznym celem resocjalizacji jest zapobieganie powrotowi do przestępstwa i ochrona społeczeństwa.</w:t>
      </w:r>
      <w:r>
        <w:rPr>
          <w:rFonts w:asciiTheme="minorHAnsi" w:hAnsiTheme="minorHAnsi"/>
          <w:sz w:val="24"/>
          <w:lang w:val="pl-PL"/>
        </w:rPr>
        <w:t xml:space="preserve"> </w:t>
      </w:r>
    </w:p>
    <w:p w14:paraId="6BCD1E30" w14:textId="77777777" w:rsidR="00950534" w:rsidRDefault="00950534" w:rsidP="00950534">
      <w:pPr>
        <w:pStyle w:val="ClinContent"/>
        <w:widowControl w:val="0"/>
        <w:spacing w:before="0"/>
        <w:rPr>
          <w:rFonts w:asciiTheme="minorHAnsi" w:hAnsiTheme="minorHAnsi"/>
          <w:sz w:val="24"/>
          <w:lang w:val="pl-PL"/>
        </w:rPr>
      </w:pPr>
    </w:p>
    <w:p w14:paraId="370BF912" w14:textId="318DAEEE"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Co się tyczy możliwości uzyskania ułaskawienia lub zwolnienia ze względów humanitarnych (takich jak podeszły wiek lub zły stan zdrowia), Trybunał wcześniej orzekał, że tego typu środek nie oznacza „perspektywy zwolnienia” w rozumieniu tego terminu stosowanym </w:t>
      </w:r>
      <w:r>
        <w:rPr>
          <w:rFonts w:asciiTheme="minorHAnsi" w:hAnsiTheme="minorHAnsi"/>
          <w:sz w:val="24"/>
          <w:lang w:val="pl-PL"/>
        </w:rPr>
        <w:t xml:space="preserve">przez Trybunał </w:t>
      </w:r>
      <w:r w:rsidRPr="00B15C52">
        <w:rPr>
          <w:rFonts w:asciiTheme="minorHAnsi" w:hAnsiTheme="minorHAnsi"/>
          <w:sz w:val="24"/>
          <w:lang w:val="pl-PL"/>
        </w:rPr>
        <w:t xml:space="preserve">od czasu wyroku w sprawie </w:t>
      </w:r>
      <w:r w:rsidRPr="00B15C52">
        <w:rPr>
          <w:rFonts w:asciiTheme="minorHAnsi" w:hAnsiTheme="minorHAnsi"/>
          <w:i/>
          <w:sz w:val="24"/>
          <w:lang w:val="pl-PL"/>
        </w:rPr>
        <w:t>Kafkaris p. Cyprowi</w:t>
      </w:r>
      <w:r w:rsidRPr="00B15C52">
        <w:rPr>
          <w:rFonts w:asciiTheme="minorHAnsi" w:hAnsiTheme="minorHAnsi"/>
          <w:sz w:val="24"/>
          <w:lang w:val="pl-PL"/>
        </w:rPr>
        <w:t xml:space="preserve"> [WI], nr 21906/04, 12 lutego 2008</w:t>
      </w:r>
      <w:r w:rsidR="00277D0F">
        <w:rPr>
          <w:rFonts w:asciiTheme="minorHAnsi" w:hAnsiTheme="minorHAnsi"/>
          <w:sz w:val="24"/>
          <w:lang w:val="pl-PL"/>
        </w:rPr>
        <w:t> </w:t>
      </w:r>
      <w:r w:rsidRPr="00B15C52">
        <w:rPr>
          <w:rFonts w:asciiTheme="minorHAnsi" w:hAnsiTheme="minorHAnsi"/>
          <w:sz w:val="24"/>
          <w:lang w:val="pl-PL"/>
        </w:rPr>
        <w:t xml:space="preserve">r., </w:t>
      </w:r>
      <w:hyperlink r:id="rId23" w:history="1">
        <w:r w:rsidRPr="00B15C52">
          <w:rPr>
            <w:rStyle w:val="Hipercze"/>
            <w:rFonts w:asciiTheme="minorHAnsi" w:hAnsiTheme="minorHAnsi"/>
            <w:sz w:val="24"/>
            <w:lang w:val="pl-PL"/>
          </w:rPr>
          <w:t>Nota informacyjna nr 105</w:t>
        </w:r>
      </w:hyperlink>
      <w:r w:rsidRPr="00B15C52">
        <w:rPr>
          <w:rFonts w:asciiTheme="minorHAnsi" w:hAnsiTheme="minorHAnsi"/>
          <w:sz w:val="24"/>
          <w:lang w:val="pl-PL"/>
        </w:rPr>
        <w:t>). Ponadto rząd nie przedstawił żadnych przykładów, w</w:t>
      </w:r>
      <w:r w:rsidR="00277D0F">
        <w:rPr>
          <w:rFonts w:asciiTheme="minorHAnsi" w:hAnsiTheme="minorHAnsi"/>
          <w:sz w:val="24"/>
          <w:lang w:val="pl-PL"/>
        </w:rPr>
        <w:t> </w:t>
      </w:r>
      <w:r w:rsidRPr="00B15C52">
        <w:rPr>
          <w:rFonts w:asciiTheme="minorHAnsi" w:hAnsiTheme="minorHAnsi"/>
          <w:sz w:val="24"/>
          <w:lang w:val="pl-PL"/>
        </w:rPr>
        <w:t xml:space="preserve">których skazani więźniowie w podobnej sytuacji uzyskali dostosowanie ich kary w drodze ułaskawienia przez prezydenta. </w:t>
      </w:r>
    </w:p>
    <w:p w14:paraId="615EF517" w14:textId="77777777" w:rsidR="00950534" w:rsidRDefault="00950534" w:rsidP="00950534">
      <w:pPr>
        <w:pStyle w:val="ClinContent"/>
        <w:widowControl w:val="0"/>
        <w:spacing w:before="0"/>
        <w:rPr>
          <w:rFonts w:asciiTheme="minorHAnsi" w:hAnsiTheme="minorHAnsi"/>
          <w:sz w:val="24"/>
          <w:lang w:val="pl-PL"/>
        </w:rPr>
      </w:pPr>
    </w:p>
    <w:p w14:paraId="12ED4D1F" w14:textId="404B9A48"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uznał zatem, że r</w:t>
      </w:r>
      <w:r w:rsidRPr="00B15C52">
        <w:rPr>
          <w:rFonts w:asciiTheme="minorHAnsi" w:hAnsiTheme="minorHAnsi"/>
          <w:sz w:val="24"/>
          <w:lang w:val="pl-PL"/>
        </w:rPr>
        <w:t>eżim</w:t>
      </w:r>
      <w:r>
        <w:rPr>
          <w:rFonts w:asciiTheme="minorHAnsi" w:hAnsiTheme="minorHAnsi"/>
          <w:sz w:val="24"/>
          <w:lang w:val="pl-PL"/>
        </w:rPr>
        <w:t xml:space="preserve"> prawny</w:t>
      </w:r>
      <w:r w:rsidRPr="00B15C52">
        <w:rPr>
          <w:rFonts w:asciiTheme="minorHAnsi" w:hAnsiTheme="minorHAnsi"/>
          <w:sz w:val="24"/>
          <w:lang w:val="pl-PL"/>
        </w:rPr>
        <w:t>, który miał zastosowanie wobec skarżącego, w</w:t>
      </w:r>
      <w:r w:rsidR="00092E2B">
        <w:rPr>
          <w:rFonts w:asciiTheme="minorHAnsi" w:hAnsiTheme="minorHAnsi"/>
          <w:sz w:val="24"/>
          <w:lang w:val="pl-PL"/>
        </w:rPr>
        <w:t> </w:t>
      </w:r>
      <w:r w:rsidRPr="00B15C52">
        <w:rPr>
          <w:rFonts w:asciiTheme="minorHAnsi" w:hAnsiTheme="minorHAnsi"/>
          <w:sz w:val="24"/>
          <w:lang w:val="pl-PL"/>
        </w:rPr>
        <w:t xml:space="preserve">nadmiernym stopniu ograniczał perspektywy jego zwolnienia oraz możliwość </w:t>
      </w:r>
      <w:r>
        <w:rPr>
          <w:rFonts w:asciiTheme="minorHAnsi" w:hAnsiTheme="minorHAnsi"/>
          <w:sz w:val="24"/>
          <w:lang w:val="pl-PL"/>
        </w:rPr>
        <w:t>ponownego zbadania</w:t>
      </w:r>
      <w:r w:rsidRPr="00B15C52">
        <w:rPr>
          <w:rFonts w:asciiTheme="minorHAnsi" w:hAnsiTheme="minorHAnsi"/>
          <w:sz w:val="24"/>
          <w:lang w:val="pl-PL"/>
        </w:rPr>
        <w:t xml:space="preserve"> wymierzonej mu kary. W związku z powyższym nałożon</w:t>
      </w:r>
      <w:r>
        <w:rPr>
          <w:rFonts w:asciiTheme="minorHAnsi" w:hAnsiTheme="minorHAnsi"/>
          <w:sz w:val="24"/>
          <w:lang w:val="pl-PL"/>
        </w:rPr>
        <w:t>ej</w:t>
      </w:r>
      <w:r w:rsidRPr="00B15C52">
        <w:rPr>
          <w:rFonts w:asciiTheme="minorHAnsi" w:hAnsiTheme="minorHAnsi"/>
          <w:sz w:val="24"/>
          <w:lang w:val="pl-PL"/>
        </w:rPr>
        <w:t xml:space="preserve"> na ni</w:t>
      </w:r>
      <w:r>
        <w:rPr>
          <w:rFonts w:asciiTheme="minorHAnsi" w:hAnsiTheme="minorHAnsi"/>
          <w:sz w:val="24"/>
          <w:lang w:val="pl-PL"/>
        </w:rPr>
        <w:t>ego kary</w:t>
      </w:r>
      <w:r w:rsidRPr="00B15C52">
        <w:rPr>
          <w:rFonts w:asciiTheme="minorHAnsi" w:hAnsiTheme="minorHAnsi"/>
          <w:sz w:val="24"/>
          <w:lang w:val="pl-PL"/>
        </w:rPr>
        <w:t xml:space="preserve"> dożywotniego pozbawienia wolności nie </w:t>
      </w:r>
      <w:r>
        <w:rPr>
          <w:rFonts w:asciiTheme="minorHAnsi" w:hAnsiTheme="minorHAnsi"/>
          <w:sz w:val="24"/>
          <w:lang w:val="pl-PL"/>
        </w:rPr>
        <w:t xml:space="preserve">można uznać </w:t>
      </w:r>
      <w:r w:rsidRPr="00B15C52">
        <w:rPr>
          <w:rFonts w:asciiTheme="minorHAnsi" w:hAnsiTheme="minorHAnsi"/>
          <w:sz w:val="24"/>
          <w:lang w:val="pl-PL"/>
        </w:rPr>
        <w:t>za możliwą do skrócenia</w:t>
      </w:r>
      <w:r>
        <w:rPr>
          <w:rFonts w:asciiTheme="minorHAnsi" w:hAnsiTheme="minorHAnsi"/>
          <w:sz w:val="24"/>
          <w:lang w:val="pl-PL"/>
        </w:rPr>
        <w:t xml:space="preserve"> (skracalną)</w:t>
      </w:r>
      <w:r w:rsidRPr="00B15C52">
        <w:rPr>
          <w:rFonts w:asciiTheme="minorHAnsi" w:hAnsiTheme="minorHAnsi"/>
          <w:sz w:val="24"/>
          <w:lang w:val="pl-PL"/>
        </w:rPr>
        <w:t xml:space="preserve">, co narusza zasadę poszanowania ludzkiej godności zawartą w Konwencji, a w szczególności w </w:t>
      </w:r>
      <w:r>
        <w:rPr>
          <w:rFonts w:asciiTheme="minorHAnsi" w:hAnsiTheme="minorHAnsi"/>
          <w:sz w:val="24"/>
          <w:lang w:val="pl-PL"/>
        </w:rPr>
        <w:t xml:space="preserve">jej </w:t>
      </w:r>
      <w:r w:rsidRPr="00B15C52">
        <w:rPr>
          <w:rFonts w:asciiTheme="minorHAnsi" w:hAnsiTheme="minorHAnsi"/>
          <w:sz w:val="24"/>
          <w:lang w:val="pl-PL"/>
        </w:rPr>
        <w:t xml:space="preserve">art. 3. </w:t>
      </w:r>
    </w:p>
    <w:p w14:paraId="34B468F7" w14:textId="77777777" w:rsidR="00950534" w:rsidRDefault="00950534" w:rsidP="00950534">
      <w:pPr>
        <w:pStyle w:val="ClinContent"/>
        <w:widowControl w:val="0"/>
        <w:spacing w:before="0"/>
        <w:rPr>
          <w:rFonts w:asciiTheme="minorHAnsi" w:hAnsiTheme="minorHAnsi"/>
          <w:sz w:val="24"/>
          <w:lang w:val="pl-PL"/>
        </w:rPr>
      </w:pPr>
    </w:p>
    <w:p w14:paraId="082BA93F" w14:textId="251D9F6D" w:rsidR="00950534" w:rsidRDefault="00950534" w:rsidP="00950534">
      <w:pPr>
        <w:pStyle w:val="ClinContent"/>
        <w:widowControl w:val="0"/>
        <w:spacing w:before="0"/>
        <w:rPr>
          <w:rFonts w:asciiTheme="minorHAnsi" w:hAnsiTheme="minorHAnsi"/>
          <w:sz w:val="24"/>
          <w:lang w:val="pl-PL"/>
        </w:rPr>
      </w:pPr>
      <w:r w:rsidRPr="00AF5E88">
        <w:rPr>
          <w:rFonts w:asciiTheme="minorHAnsi" w:hAnsiTheme="minorHAnsi"/>
          <w:sz w:val="24"/>
          <w:lang w:val="pl-PL"/>
        </w:rPr>
        <w:t>W tych okolicznościach Trybunał stwierdził, sześcioma głosami do jednego, że doszło do</w:t>
      </w:r>
      <w:r w:rsidR="00092E2B">
        <w:rPr>
          <w:rFonts w:asciiTheme="minorHAnsi" w:hAnsiTheme="minorHAnsi"/>
          <w:sz w:val="24"/>
          <w:lang w:val="pl-PL"/>
        </w:rPr>
        <w:t> </w:t>
      </w:r>
      <w:r w:rsidRPr="00AF5E88">
        <w:rPr>
          <w:rFonts w:asciiTheme="minorHAnsi" w:hAnsiTheme="minorHAnsi"/>
          <w:sz w:val="24"/>
          <w:lang w:val="pl-PL"/>
        </w:rPr>
        <w:t>naruszenia art. 3 Konwencji.</w:t>
      </w:r>
      <w:r>
        <w:rPr>
          <w:rFonts w:asciiTheme="minorHAnsi" w:hAnsiTheme="minorHAnsi"/>
          <w:sz w:val="24"/>
          <w:lang w:val="pl-PL"/>
        </w:rPr>
        <w:t xml:space="preserve"> </w:t>
      </w:r>
    </w:p>
    <w:p w14:paraId="0E087D61" w14:textId="77777777" w:rsidR="00950534" w:rsidRDefault="00950534" w:rsidP="00950534">
      <w:pPr>
        <w:pStyle w:val="ClinContent"/>
        <w:widowControl w:val="0"/>
        <w:spacing w:before="0"/>
        <w:rPr>
          <w:rFonts w:asciiTheme="minorHAnsi" w:hAnsiTheme="minorHAnsi"/>
          <w:sz w:val="24"/>
          <w:lang w:val="pl-PL"/>
        </w:rPr>
      </w:pPr>
    </w:p>
    <w:p w14:paraId="76BE9B2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Trybunał doprecyzował jednak, że to stwierdzenie nie może być rozumiane jako przyznanie skarżącemu perspektywy natychmiastowego zwolnienia. </w:t>
      </w:r>
    </w:p>
    <w:p w14:paraId="0952E164" w14:textId="77777777" w:rsidR="00950534" w:rsidRDefault="00950534" w:rsidP="00950534">
      <w:pPr>
        <w:pStyle w:val="ClinContent"/>
        <w:widowControl w:val="0"/>
        <w:spacing w:before="0"/>
        <w:rPr>
          <w:rFonts w:asciiTheme="minorHAnsi" w:hAnsiTheme="minorHAnsi"/>
          <w:sz w:val="24"/>
          <w:lang w:val="pl-PL"/>
        </w:rPr>
      </w:pPr>
    </w:p>
    <w:p w14:paraId="4B9D720C" w14:textId="69A4CEE8"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Orzekł też, że </w:t>
      </w:r>
      <w:r w:rsidRPr="00B15C52">
        <w:rPr>
          <w:rFonts w:asciiTheme="minorHAnsi" w:hAnsiTheme="minorHAnsi"/>
          <w:sz w:val="24"/>
          <w:lang w:val="pl-PL"/>
        </w:rPr>
        <w:t>stwierdzenie naruszenia stanowi wystarczające słuszne zadośćuczynienie w</w:t>
      </w:r>
      <w:r w:rsidR="00092E2B">
        <w:rPr>
          <w:rFonts w:asciiTheme="minorHAnsi" w:hAnsiTheme="minorHAnsi"/>
          <w:sz w:val="24"/>
          <w:lang w:val="pl-PL"/>
        </w:rPr>
        <w:t> </w:t>
      </w:r>
      <w:r w:rsidRPr="00B15C52">
        <w:rPr>
          <w:rFonts w:asciiTheme="minorHAnsi" w:hAnsiTheme="minorHAnsi"/>
          <w:sz w:val="24"/>
          <w:lang w:val="pl-PL"/>
        </w:rPr>
        <w:t>odniesieniu do szkody niemajątkowej</w:t>
      </w:r>
      <w:r>
        <w:rPr>
          <w:rFonts w:asciiTheme="minorHAnsi" w:hAnsiTheme="minorHAnsi"/>
          <w:sz w:val="24"/>
          <w:lang w:val="pl-PL"/>
        </w:rPr>
        <w:t xml:space="preserve"> i oddalił roszczenie skarżącego o przyznanie kwoty pieniężnej z tego tytułu. </w:t>
      </w:r>
    </w:p>
    <w:p w14:paraId="722D2374" w14:textId="77777777" w:rsidR="00950534" w:rsidRDefault="00950534" w:rsidP="00950534">
      <w:pPr>
        <w:pStyle w:val="ClinContent"/>
        <w:widowControl w:val="0"/>
        <w:spacing w:before="0"/>
        <w:rPr>
          <w:rFonts w:asciiTheme="minorHAnsi" w:hAnsiTheme="minorHAnsi"/>
          <w:sz w:val="24"/>
          <w:lang w:val="pl-PL"/>
        </w:rPr>
      </w:pPr>
    </w:p>
    <w:p w14:paraId="48B604F6" w14:textId="5F3644F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 Trybunał postanowił również wskazać pozwanemu państwu </w:t>
      </w:r>
      <w:r w:rsidRPr="00426991">
        <w:rPr>
          <w:rFonts w:asciiTheme="minorHAnsi" w:hAnsiTheme="minorHAnsi"/>
          <w:i/>
          <w:sz w:val="24"/>
          <w:u w:val="single"/>
          <w:lang w:val="pl-PL"/>
        </w:rPr>
        <w:t>działania niezbędne do</w:t>
      </w:r>
      <w:r w:rsidR="00092E2B">
        <w:rPr>
          <w:rFonts w:asciiTheme="minorHAnsi" w:hAnsiTheme="minorHAnsi"/>
          <w:i/>
          <w:sz w:val="24"/>
          <w:u w:val="single"/>
          <w:lang w:val="pl-PL"/>
        </w:rPr>
        <w:t> </w:t>
      </w:r>
      <w:r w:rsidRPr="00426991">
        <w:rPr>
          <w:rFonts w:asciiTheme="minorHAnsi" w:hAnsiTheme="minorHAnsi"/>
          <w:i/>
          <w:sz w:val="24"/>
          <w:u w:val="single"/>
          <w:lang w:val="pl-PL"/>
        </w:rPr>
        <w:t>wykonania wyroku na podstawie art. 46 Konwencji</w:t>
      </w:r>
      <w:r>
        <w:rPr>
          <w:rFonts w:asciiTheme="minorHAnsi" w:hAnsiTheme="minorHAnsi"/>
          <w:sz w:val="24"/>
          <w:lang w:val="pl-PL"/>
        </w:rPr>
        <w:t xml:space="preserve"> (moc obowiązująca i wykonanie wyroków). </w:t>
      </w:r>
    </w:p>
    <w:p w14:paraId="09E939E5" w14:textId="77777777" w:rsidR="00950534" w:rsidRDefault="00950534" w:rsidP="00950534">
      <w:pPr>
        <w:pStyle w:val="ClinContent"/>
        <w:widowControl w:val="0"/>
        <w:spacing w:before="0"/>
        <w:rPr>
          <w:rFonts w:asciiTheme="minorHAnsi" w:hAnsiTheme="minorHAnsi"/>
          <w:sz w:val="24"/>
          <w:lang w:val="pl-PL"/>
        </w:rPr>
      </w:pPr>
    </w:p>
    <w:p w14:paraId="535EC89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Podkreślił, że c</w:t>
      </w:r>
      <w:r w:rsidRPr="00B15C52">
        <w:rPr>
          <w:rFonts w:asciiTheme="minorHAnsi" w:hAnsiTheme="minorHAnsi"/>
          <w:sz w:val="24"/>
          <w:lang w:val="pl-PL"/>
        </w:rPr>
        <w:t xml:space="preserve">harakter stwierdzonego naruszenia jest tego rodzaju, że państwo powinno podjąć reformę reżimu kary </w:t>
      </w:r>
      <w:r>
        <w:rPr>
          <w:rFonts w:asciiTheme="minorHAnsi" w:hAnsiTheme="minorHAnsi"/>
          <w:sz w:val="24"/>
          <w:lang w:val="pl-PL"/>
        </w:rPr>
        <w:t xml:space="preserve">dożywotniego </w:t>
      </w:r>
      <w:r w:rsidRPr="00B15C52">
        <w:rPr>
          <w:rFonts w:asciiTheme="minorHAnsi" w:hAnsiTheme="minorHAnsi"/>
          <w:sz w:val="24"/>
          <w:lang w:val="pl-PL"/>
        </w:rPr>
        <w:t xml:space="preserve">pozbawienia wolności, najlepiej poprzez wprowadzenie ustawodawstwa, w celu zagwarantowania możliwości </w:t>
      </w:r>
      <w:r>
        <w:rPr>
          <w:rFonts w:asciiTheme="minorHAnsi" w:hAnsiTheme="minorHAnsi"/>
          <w:sz w:val="24"/>
          <w:lang w:val="pl-PL"/>
        </w:rPr>
        <w:t>ponownego zbadania</w:t>
      </w:r>
      <w:r w:rsidRPr="00B15C52">
        <w:rPr>
          <w:rFonts w:asciiTheme="minorHAnsi" w:hAnsiTheme="minorHAnsi"/>
          <w:sz w:val="24"/>
          <w:lang w:val="pl-PL"/>
        </w:rPr>
        <w:t xml:space="preserve"> wymierzonej kary. </w:t>
      </w:r>
    </w:p>
    <w:p w14:paraId="7641AD0E" w14:textId="77777777" w:rsidR="00950534" w:rsidRDefault="00950534" w:rsidP="00950534">
      <w:pPr>
        <w:pStyle w:val="ClinContent"/>
        <w:widowControl w:val="0"/>
        <w:spacing w:before="0"/>
        <w:rPr>
          <w:rFonts w:asciiTheme="minorHAnsi" w:hAnsiTheme="minorHAnsi"/>
          <w:sz w:val="24"/>
          <w:lang w:val="pl-PL"/>
        </w:rPr>
      </w:pPr>
    </w:p>
    <w:p w14:paraId="5098E360"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Reforma ta p</w:t>
      </w:r>
      <w:r w:rsidRPr="00B15C52">
        <w:rPr>
          <w:rFonts w:asciiTheme="minorHAnsi" w:hAnsiTheme="minorHAnsi"/>
          <w:sz w:val="24"/>
          <w:lang w:val="pl-PL"/>
        </w:rPr>
        <w:t xml:space="preserve">owinna </w:t>
      </w:r>
      <w:r>
        <w:rPr>
          <w:rFonts w:asciiTheme="minorHAnsi" w:hAnsiTheme="minorHAnsi"/>
          <w:sz w:val="24"/>
          <w:lang w:val="pl-PL"/>
        </w:rPr>
        <w:t>umożliwić władzom określa</w:t>
      </w:r>
      <w:r w:rsidRPr="00B15C52">
        <w:rPr>
          <w:rFonts w:asciiTheme="minorHAnsi" w:hAnsiTheme="minorHAnsi"/>
          <w:sz w:val="24"/>
          <w:lang w:val="pl-PL"/>
        </w:rPr>
        <w:t>nie, czy w trakcie odbywania kary osadzony zmienił się i dokonał postępu na drodze ku resocjalizacji w takim stopniu, że jego pozbawienie wolności nie jest już dłużej uzasadnione w oparciu o uprawnione względy penologiczne</w:t>
      </w:r>
      <w:r>
        <w:rPr>
          <w:rFonts w:asciiTheme="minorHAnsi" w:hAnsiTheme="minorHAnsi"/>
          <w:sz w:val="24"/>
          <w:lang w:val="pl-PL"/>
        </w:rPr>
        <w:t>. O</w:t>
      </w:r>
      <w:r w:rsidRPr="00B15C52">
        <w:rPr>
          <w:rFonts w:asciiTheme="minorHAnsi" w:hAnsiTheme="minorHAnsi"/>
          <w:sz w:val="24"/>
          <w:lang w:val="pl-PL"/>
        </w:rPr>
        <w:t>sadzon</w:t>
      </w:r>
      <w:r>
        <w:rPr>
          <w:rFonts w:asciiTheme="minorHAnsi" w:hAnsiTheme="minorHAnsi"/>
          <w:sz w:val="24"/>
          <w:lang w:val="pl-PL"/>
        </w:rPr>
        <w:t>y skazany powinien mieć możliwość dowiedzenia się</w:t>
      </w:r>
      <w:r w:rsidRPr="00B15C52">
        <w:rPr>
          <w:rFonts w:asciiTheme="minorHAnsi" w:hAnsiTheme="minorHAnsi"/>
          <w:sz w:val="24"/>
          <w:lang w:val="pl-PL"/>
        </w:rPr>
        <w:t xml:space="preserve">, co powinien zrobić, by kwalifikować się do zwolnienia i jakie warunki się z tym wiążą. </w:t>
      </w:r>
    </w:p>
    <w:p w14:paraId="1457CC4B" w14:textId="77777777" w:rsidR="00950534" w:rsidRDefault="00950534" w:rsidP="00950534">
      <w:pPr>
        <w:pStyle w:val="ClinContent"/>
        <w:widowControl w:val="0"/>
        <w:spacing w:before="0"/>
        <w:rPr>
          <w:rFonts w:asciiTheme="minorHAnsi" w:hAnsiTheme="minorHAnsi"/>
          <w:sz w:val="24"/>
          <w:lang w:val="pl-PL"/>
        </w:rPr>
      </w:pPr>
    </w:p>
    <w:p w14:paraId="07451ABD"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wyjaśnił, że zerwanie powiązań</w:t>
      </w:r>
      <w:r w:rsidRPr="00B15C52">
        <w:rPr>
          <w:rFonts w:asciiTheme="minorHAnsi" w:hAnsiTheme="minorHAnsi"/>
          <w:sz w:val="24"/>
          <w:lang w:val="pl-PL"/>
        </w:rPr>
        <w:t xml:space="preserve"> z kręgami mafijnymi może być wyrażone w inny sposób niż współpraca z władzami sądowymi i automatyczny mechanizm przewidziany </w:t>
      </w:r>
      <w:r>
        <w:rPr>
          <w:rFonts w:asciiTheme="minorHAnsi" w:hAnsiTheme="minorHAnsi"/>
          <w:sz w:val="24"/>
          <w:lang w:val="pl-PL"/>
        </w:rPr>
        <w:t xml:space="preserve">zaskarżonym </w:t>
      </w:r>
      <w:r w:rsidRPr="00B15C52">
        <w:rPr>
          <w:rFonts w:asciiTheme="minorHAnsi" w:hAnsiTheme="minorHAnsi"/>
          <w:sz w:val="24"/>
          <w:lang w:val="pl-PL"/>
        </w:rPr>
        <w:t xml:space="preserve">ustawodawstwem. </w:t>
      </w:r>
    </w:p>
    <w:p w14:paraId="011F6EB3" w14:textId="77777777" w:rsidR="00950534" w:rsidRDefault="00950534" w:rsidP="00950534">
      <w:pPr>
        <w:pStyle w:val="ClinContent"/>
        <w:widowControl w:val="0"/>
        <w:spacing w:before="0"/>
        <w:rPr>
          <w:rFonts w:asciiTheme="minorHAnsi" w:hAnsiTheme="minorHAnsi"/>
          <w:sz w:val="24"/>
          <w:lang w:val="pl-PL"/>
        </w:rPr>
      </w:pPr>
    </w:p>
    <w:p w14:paraId="2DE678A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Wskazał też</w:t>
      </w:r>
      <w:r w:rsidRPr="00B15C52">
        <w:rPr>
          <w:rFonts w:asciiTheme="minorHAnsi" w:hAnsiTheme="minorHAnsi"/>
          <w:sz w:val="24"/>
          <w:lang w:val="pl-PL"/>
        </w:rPr>
        <w:t xml:space="preserve">, że możliwość wnioskowania o zwolnienie </w:t>
      </w:r>
      <w:r>
        <w:rPr>
          <w:rFonts w:asciiTheme="minorHAnsi" w:hAnsiTheme="minorHAnsi"/>
          <w:sz w:val="24"/>
          <w:lang w:val="pl-PL"/>
        </w:rPr>
        <w:t>nie wyklucza oddalenia</w:t>
      </w:r>
      <w:r w:rsidRPr="00B15C52">
        <w:rPr>
          <w:rFonts w:asciiTheme="minorHAnsi" w:hAnsiTheme="minorHAnsi"/>
          <w:sz w:val="24"/>
          <w:lang w:val="pl-PL"/>
        </w:rPr>
        <w:t xml:space="preserve"> wniosku przez władze w sytuacji, gdy zainteresowana osoba nadal stanowi zagrożenie dla społeczeństwa</w:t>
      </w:r>
      <w:r>
        <w:rPr>
          <w:rStyle w:val="Odwoanieprzypisudolnego"/>
          <w:rFonts w:asciiTheme="minorHAnsi" w:hAnsiTheme="minorHAnsi"/>
          <w:sz w:val="24"/>
          <w:lang w:val="pl-PL"/>
        </w:rPr>
        <w:footnoteReference w:id="15"/>
      </w:r>
      <w:r w:rsidRPr="00B15C52">
        <w:rPr>
          <w:rFonts w:asciiTheme="minorHAnsi" w:hAnsiTheme="minorHAnsi"/>
          <w:sz w:val="24"/>
          <w:lang w:val="pl-PL"/>
        </w:rPr>
        <w:t xml:space="preserve">. </w:t>
      </w:r>
    </w:p>
    <w:p w14:paraId="7DB09921" w14:textId="77777777" w:rsidR="00950534" w:rsidRDefault="00950534" w:rsidP="00950534">
      <w:pPr>
        <w:pStyle w:val="ClinContent"/>
        <w:widowControl w:val="0"/>
        <w:spacing w:before="0"/>
        <w:rPr>
          <w:rFonts w:asciiTheme="minorHAnsi" w:hAnsiTheme="minorHAnsi"/>
          <w:sz w:val="24"/>
          <w:lang w:val="pl-PL"/>
        </w:rPr>
      </w:pPr>
    </w:p>
    <w:p w14:paraId="7AEF7E3C" w14:textId="3B0278C4"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t>
      </w:r>
      <w:r>
        <w:rPr>
          <w:rFonts w:asciiTheme="minorHAnsi" w:hAnsiTheme="minorHAnsi" w:cs="Verdana"/>
          <w:bCs/>
          <w:sz w:val="24"/>
          <w:lang w:val="pl-PL"/>
        </w:rPr>
        <w:t>Kolejny już wyrok Trybunału podkreślający niezgodność z art. 3 Konwencji uregulowań prawnych wykluczających możliwość skrócenia kary dożywotniego pozbawienia wolności mimo postępu dokonanego przez skazanego w kierunku resocjalizacji. Z wyroku wynika, że prawo do uzyskania ponownego zbadania i przedterminowego skrócenia kary dożywotniego pozbawienia wolności w razie, gdy jej dalsze trwanie nie jest niezbędne ze względów penologicznych</w:t>
      </w:r>
      <w:r w:rsidRPr="0051274D">
        <w:rPr>
          <w:rFonts w:asciiTheme="minorHAnsi" w:hAnsiTheme="minorHAnsi" w:cs="Verdana"/>
          <w:bCs/>
          <w:sz w:val="24"/>
          <w:lang w:val="pl-PL"/>
        </w:rPr>
        <w:t>, powinno być dostępne we wszystkich przypadkach, nawet dla sprawców najpoważniejszych przestępstw, w tym takich jak kierowanie organizacją o charakterze mafijnym. Wyrok wskazuje</w:t>
      </w:r>
      <w:r>
        <w:rPr>
          <w:rFonts w:asciiTheme="minorHAnsi" w:hAnsiTheme="minorHAnsi" w:cs="Verdana"/>
          <w:bCs/>
          <w:sz w:val="24"/>
          <w:lang w:val="pl-PL"/>
        </w:rPr>
        <w:t xml:space="preserve"> też, że warunki, które są sformułowane w taki sposób, że </w:t>
      </w:r>
      <w:r w:rsidRPr="00565BB2">
        <w:rPr>
          <w:rFonts w:asciiTheme="minorHAnsi" w:hAnsiTheme="minorHAnsi" w:cs="Verdana"/>
          <w:bCs/>
          <w:i/>
          <w:sz w:val="24"/>
          <w:lang w:val="pl-PL"/>
        </w:rPr>
        <w:t>de facto</w:t>
      </w:r>
      <w:r>
        <w:rPr>
          <w:rFonts w:asciiTheme="minorHAnsi" w:hAnsiTheme="minorHAnsi" w:cs="Verdana"/>
          <w:bCs/>
          <w:sz w:val="24"/>
          <w:lang w:val="pl-PL"/>
        </w:rPr>
        <w:t xml:space="preserve"> uniemożliwiają ubieganie się o przedterminowe zwolnienie lub</w:t>
      </w:r>
      <w:r w:rsidR="00092E2B">
        <w:rPr>
          <w:rFonts w:asciiTheme="minorHAnsi" w:hAnsiTheme="minorHAnsi" w:cs="Verdana"/>
          <w:bCs/>
          <w:sz w:val="24"/>
          <w:lang w:val="pl-PL"/>
        </w:rPr>
        <w:t> </w:t>
      </w:r>
      <w:r>
        <w:rPr>
          <w:rFonts w:asciiTheme="minorHAnsi" w:hAnsiTheme="minorHAnsi" w:cs="Verdana"/>
          <w:bCs/>
          <w:sz w:val="24"/>
          <w:lang w:val="pl-PL"/>
        </w:rPr>
        <w:t>wprowadzają niemożliwe do obalenia domniemanie utrzymywania się zagrożenia dla</w:t>
      </w:r>
      <w:r w:rsidR="00092E2B">
        <w:rPr>
          <w:rFonts w:asciiTheme="minorHAnsi" w:hAnsiTheme="minorHAnsi" w:cs="Verdana"/>
          <w:bCs/>
          <w:sz w:val="24"/>
          <w:lang w:val="pl-PL"/>
        </w:rPr>
        <w:t> </w:t>
      </w:r>
      <w:r>
        <w:rPr>
          <w:rFonts w:asciiTheme="minorHAnsi" w:hAnsiTheme="minorHAnsi" w:cs="Verdana"/>
          <w:bCs/>
          <w:sz w:val="24"/>
          <w:lang w:val="pl-PL"/>
        </w:rPr>
        <w:t>społeczeństwa ze strony osadzonego, nie są zgodne z art. 3 Konwencji. Dla zapewnienia zgodności z art. 3 Konwencji nie są też wystarczające możliwości ubiegania się o</w:t>
      </w:r>
      <w:r w:rsidR="00092E2B">
        <w:rPr>
          <w:rFonts w:asciiTheme="minorHAnsi" w:hAnsiTheme="minorHAnsi" w:cs="Verdana"/>
          <w:bCs/>
          <w:sz w:val="24"/>
          <w:lang w:val="pl-PL"/>
        </w:rPr>
        <w:t> </w:t>
      </w:r>
      <w:r>
        <w:rPr>
          <w:rFonts w:asciiTheme="minorHAnsi" w:hAnsiTheme="minorHAnsi" w:cs="Verdana"/>
          <w:bCs/>
          <w:sz w:val="24"/>
          <w:lang w:val="pl-PL"/>
        </w:rPr>
        <w:t xml:space="preserve">ułaskawienie lub przedterminowe zwolnienie ze względów humanitarnych (zdrowotnych). </w:t>
      </w:r>
      <w:r>
        <w:rPr>
          <w:rFonts w:asciiTheme="minorHAnsi" w:hAnsiTheme="minorHAnsi" w:cs="Verdana"/>
          <w:bCs/>
          <w:sz w:val="24"/>
          <w:lang w:val="pl-PL"/>
        </w:rPr>
        <w:lastRenderedPageBreak/>
        <w:t>Skazany powinien mieć możliwość dowiedzenia się z góry, jakie warunki musi spełnić, by</w:t>
      </w:r>
      <w:r w:rsidR="00092E2B">
        <w:rPr>
          <w:rFonts w:asciiTheme="minorHAnsi" w:hAnsiTheme="minorHAnsi" w:cs="Verdana"/>
          <w:bCs/>
          <w:sz w:val="24"/>
          <w:lang w:val="pl-PL"/>
        </w:rPr>
        <w:t> </w:t>
      </w:r>
      <w:r>
        <w:rPr>
          <w:rFonts w:asciiTheme="minorHAnsi" w:hAnsiTheme="minorHAnsi" w:cs="Verdana"/>
          <w:bCs/>
          <w:sz w:val="24"/>
          <w:lang w:val="pl-PL"/>
        </w:rPr>
        <w:t>uzyskać przedterminowe zwolnienie. Z uwagi na fakt, że źródłem naruszenia w tej sprawie były niezgodne z Konwencją przepisy krajowe, które skutkowały napływem do Trybunału większej liczby podobnych spraw, Trybunał nakazał wprost pozwanemu państwu na</w:t>
      </w:r>
      <w:r w:rsidR="00092E2B">
        <w:rPr>
          <w:rFonts w:asciiTheme="minorHAnsi" w:hAnsiTheme="minorHAnsi" w:cs="Verdana"/>
          <w:bCs/>
          <w:sz w:val="24"/>
          <w:lang w:val="pl-PL"/>
        </w:rPr>
        <w:t> </w:t>
      </w:r>
      <w:r>
        <w:rPr>
          <w:rFonts w:asciiTheme="minorHAnsi" w:hAnsiTheme="minorHAnsi" w:cs="Verdana"/>
          <w:bCs/>
          <w:sz w:val="24"/>
          <w:lang w:val="pl-PL"/>
        </w:rPr>
        <w:t xml:space="preserve">podstawie art. 46 Konwencji dokonanie reformy systemu kary dożywotniego pozbawienia wolności poprzez wprowadzenie możliwości kontroli i skrócenia tej kary. Trybunał jednak podkreślił, że chodzi o zapewnienie szansy zwolnienia, a nie prawa do zwolnienia w razie gdyby więzień nadal stanowił zagrożenie dla społeczeństwa. </w:t>
      </w:r>
    </w:p>
    <w:p w14:paraId="50CAB3F7" w14:textId="77777777" w:rsidR="00950534" w:rsidRDefault="00950534" w:rsidP="00950534">
      <w:pPr>
        <w:pStyle w:val="ClinContent"/>
        <w:widowControl w:val="0"/>
        <w:spacing w:before="0"/>
        <w:rPr>
          <w:rFonts w:asciiTheme="minorHAnsi" w:hAnsiTheme="minorHAnsi" w:cs="Verdana"/>
          <w:bCs/>
          <w:sz w:val="24"/>
          <w:lang w:val="pl-PL"/>
        </w:rPr>
      </w:pPr>
    </w:p>
    <w:p w14:paraId="0B66E16D"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 xml:space="preserve">Wyrok może mieć w szczególności znaczenie dla Ministerstwa Sprawiedliwości, Trybunału Konstytucyjnego, Sądu Najwyższego, organów właściwych do wykonywania kary dożywotniego pozbawienia wolności i Służby Więziennej. </w:t>
      </w:r>
    </w:p>
    <w:p w14:paraId="04E2CC26" w14:textId="77777777" w:rsidR="00950534" w:rsidRDefault="00950534" w:rsidP="00950534">
      <w:pPr>
        <w:pStyle w:val="ClinContent"/>
        <w:widowControl w:val="0"/>
        <w:spacing w:before="0"/>
        <w:rPr>
          <w:rFonts w:asciiTheme="minorHAnsi" w:hAnsiTheme="minorHAnsi"/>
          <w:sz w:val="24"/>
          <w:lang w:val="pl-PL"/>
        </w:rPr>
      </w:pPr>
    </w:p>
    <w:p w14:paraId="0BBE6E1A" w14:textId="77777777" w:rsidR="00950534" w:rsidRDefault="00950534" w:rsidP="00950534">
      <w:pPr>
        <w:pStyle w:val="ClinContent"/>
        <w:widowControl w:val="0"/>
        <w:spacing w:before="0"/>
        <w:rPr>
          <w:rFonts w:asciiTheme="minorHAnsi" w:hAnsiTheme="minorHAnsi"/>
          <w:sz w:val="24"/>
          <w:lang w:val="pl-PL"/>
        </w:rPr>
      </w:pPr>
    </w:p>
    <w:p w14:paraId="239299F0"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14" w:name="_Toc35632477"/>
      <w:r w:rsidRPr="00A450C9">
        <w:rPr>
          <w:rFonts w:asciiTheme="minorHAnsi" w:hAnsiTheme="minorHAnsi"/>
          <w:i/>
          <w:color w:val="auto"/>
          <w:sz w:val="24"/>
          <w:szCs w:val="24"/>
        </w:rPr>
        <w:t>Mifsud p. Malcie</w:t>
      </w:r>
      <w:r w:rsidRPr="00077E55">
        <w:rPr>
          <w:rFonts w:asciiTheme="minorHAnsi" w:hAnsiTheme="minorHAnsi"/>
          <w:color w:val="auto"/>
          <w:sz w:val="24"/>
          <w:szCs w:val="24"/>
        </w:rPr>
        <w:t>, skarga nr 62257/15, wyrok Izby z dnia 29 stycznia 2019 r.</w:t>
      </w:r>
      <w:bookmarkEnd w:id="14"/>
    </w:p>
    <w:p w14:paraId="4A285265" w14:textId="7CA4E74D"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brak naruszenia art. 8 Konwencji (prawo do poszanowania życia prywatnego i</w:t>
      </w:r>
      <w:r w:rsidR="00092E2B">
        <w:rPr>
          <w:b/>
          <w:iCs/>
          <w:color w:val="000000" w:themeColor="text1"/>
          <w:sz w:val="24"/>
          <w:szCs w:val="24"/>
          <w:lang w:val="pl-PL"/>
        </w:rPr>
        <w:t> </w:t>
      </w:r>
      <w:r>
        <w:rPr>
          <w:b/>
          <w:iCs/>
          <w:color w:val="000000" w:themeColor="text1"/>
          <w:sz w:val="24"/>
          <w:szCs w:val="24"/>
          <w:lang w:val="pl-PL"/>
        </w:rPr>
        <w:t>rodzinnego – aspekt prawa do poszanowania życia prywatnego) w odniesieniu do</w:t>
      </w:r>
      <w:r w:rsidR="00092E2B">
        <w:rPr>
          <w:b/>
          <w:iCs/>
          <w:color w:val="000000" w:themeColor="text1"/>
          <w:sz w:val="24"/>
          <w:szCs w:val="24"/>
          <w:lang w:val="pl-PL"/>
        </w:rPr>
        <w:t> </w:t>
      </w:r>
      <w:r>
        <w:rPr>
          <w:b/>
          <w:iCs/>
          <w:color w:val="000000" w:themeColor="text1"/>
          <w:sz w:val="24"/>
          <w:szCs w:val="24"/>
          <w:lang w:val="pl-PL"/>
        </w:rPr>
        <w:t>nakazania skarżącemu</w:t>
      </w:r>
      <w:r w:rsidRPr="00097BCF">
        <w:rPr>
          <w:b/>
          <w:iCs/>
          <w:color w:val="000000" w:themeColor="text1"/>
          <w:sz w:val="24"/>
          <w:szCs w:val="24"/>
          <w:lang w:val="pl-PL"/>
        </w:rPr>
        <w:t xml:space="preserve"> dostarczenia próbki materiału genetycznego w kontekście postępowania dotyczącego ustalenia ojcostwa</w:t>
      </w:r>
    </w:p>
    <w:p w14:paraId="07EDCE1A" w14:textId="77777777" w:rsidR="00950534" w:rsidRPr="00A80201" w:rsidRDefault="00950534" w:rsidP="00950534">
      <w:pPr>
        <w:pStyle w:val="ClinContent"/>
        <w:widowControl w:val="0"/>
        <w:spacing w:before="0"/>
        <w:rPr>
          <w:rFonts w:asciiTheme="minorHAnsi" w:hAnsiTheme="minorHAnsi"/>
          <w:sz w:val="24"/>
          <w:lang w:val="pl-PL"/>
        </w:rPr>
      </w:pPr>
    </w:p>
    <w:p w14:paraId="49087404" w14:textId="0CC02E0C"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Skarżący </w:t>
      </w:r>
      <w:r>
        <w:rPr>
          <w:rFonts w:asciiTheme="minorHAnsi" w:hAnsiTheme="minorHAnsi"/>
          <w:sz w:val="24"/>
          <w:lang w:val="pl-PL"/>
        </w:rPr>
        <w:t>po</w:t>
      </w:r>
      <w:r w:rsidRPr="00B15C52">
        <w:rPr>
          <w:rFonts w:asciiTheme="minorHAnsi" w:hAnsiTheme="minorHAnsi"/>
          <w:sz w:val="24"/>
          <w:lang w:val="pl-PL"/>
        </w:rPr>
        <w:t>skarżył się na prawo</w:t>
      </w:r>
      <w:r>
        <w:rPr>
          <w:rFonts w:asciiTheme="minorHAnsi" w:hAnsiTheme="minorHAnsi"/>
          <w:sz w:val="24"/>
          <w:lang w:val="pl-PL"/>
        </w:rPr>
        <w:t xml:space="preserve"> krajowe</w:t>
      </w:r>
      <w:r w:rsidRPr="00B15C52">
        <w:rPr>
          <w:rFonts w:asciiTheme="minorHAnsi" w:hAnsiTheme="minorHAnsi"/>
          <w:sz w:val="24"/>
          <w:lang w:val="pl-PL"/>
        </w:rPr>
        <w:t>, które przewidywało obowiązek dostarczenia próbki materiału genetycznego w postępowaniu dotyczącym ustalenia ojcostwa, oraz na fakt, że</w:t>
      </w:r>
      <w:r w:rsidR="00092E2B">
        <w:rPr>
          <w:rFonts w:asciiTheme="minorHAnsi" w:hAnsiTheme="minorHAnsi"/>
          <w:sz w:val="24"/>
          <w:lang w:val="pl-PL"/>
        </w:rPr>
        <w:t> </w:t>
      </w:r>
      <w:r w:rsidRPr="00B15C52">
        <w:rPr>
          <w:rFonts w:asciiTheme="minorHAnsi" w:hAnsiTheme="minorHAnsi"/>
          <w:sz w:val="24"/>
          <w:lang w:val="pl-PL"/>
        </w:rPr>
        <w:t xml:space="preserve">wydano taki nakaz wobec niego wbrew jego woli. </w:t>
      </w:r>
    </w:p>
    <w:p w14:paraId="64579C9C" w14:textId="77777777" w:rsidR="00950534" w:rsidRDefault="00950534" w:rsidP="00950534">
      <w:pPr>
        <w:pStyle w:val="ClinContent"/>
        <w:widowControl w:val="0"/>
        <w:spacing w:before="0"/>
        <w:rPr>
          <w:rFonts w:asciiTheme="minorHAnsi" w:hAnsiTheme="minorHAnsi"/>
          <w:sz w:val="24"/>
          <w:lang w:val="pl-PL"/>
        </w:rPr>
      </w:pPr>
    </w:p>
    <w:p w14:paraId="102000BD"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zbadał skargę z punktu widzenia gwarancji prawa do poszanowania życia prywatnego na podstawie art. 8 Konwencji. </w:t>
      </w:r>
    </w:p>
    <w:p w14:paraId="36C91400" w14:textId="77777777" w:rsidR="00950534" w:rsidRDefault="00950534" w:rsidP="00950534">
      <w:pPr>
        <w:pStyle w:val="ClinContent"/>
        <w:widowControl w:val="0"/>
        <w:spacing w:before="0"/>
        <w:rPr>
          <w:rFonts w:asciiTheme="minorHAnsi" w:hAnsiTheme="minorHAnsi"/>
          <w:sz w:val="24"/>
          <w:lang w:val="pl-PL"/>
        </w:rPr>
      </w:pPr>
    </w:p>
    <w:p w14:paraId="5B11067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Przypomniał, że badanie</w:t>
      </w:r>
      <w:r w:rsidRPr="00B15C52">
        <w:rPr>
          <w:rFonts w:asciiTheme="minorHAnsi" w:hAnsiTheme="minorHAnsi"/>
          <w:sz w:val="24"/>
          <w:lang w:val="pl-PL"/>
        </w:rPr>
        <w:t xml:space="preserve"> DNA stanowi metodę naukową dostępną w celu dokładnego określenia ojcostwa dziecka, a jego wartość dowodowa znacząco przewyższa wszelkie inne dowody przedstawiane przez strony celem udowodnienia lub zaprzeczenia ojcostwa biologicznego. To samo w sobie nie podważa praw stron postępowania. Istotne jest</w:t>
      </w:r>
      <w:r>
        <w:rPr>
          <w:rFonts w:asciiTheme="minorHAnsi" w:hAnsiTheme="minorHAnsi"/>
          <w:sz w:val="24"/>
          <w:lang w:val="pl-PL"/>
        </w:rPr>
        <w:t xml:space="preserve"> jednak</w:t>
      </w:r>
      <w:r w:rsidRPr="00B15C52">
        <w:rPr>
          <w:rFonts w:asciiTheme="minorHAnsi" w:hAnsiTheme="minorHAnsi"/>
          <w:sz w:val="24"/>
          <w:lang w:val="pl-PL"/>
        </w:rPr>
        <w:t xml:space="preserve">, by miały one możliwość osobistego uczestniczenia w postępowaniu sądowym. </w:t>
      </w:r>
    </w:p>
    <w:p w14:paraId="3731BB21" w14:textId="77777777" w:rsidR="00950534" w:rsidRDefault="00950534" w:rsidP="00950534">
      <w:pPr>
        <w:pStyle w:val="ClinContent"/>
        <w:widowControl w:val="0"/>
        <w:spacing w:before="0"/>
        <w:rPr>
          <w:rFonts w:asciiTheme="minorHAnsi" w:hAnsiTheme="minorHAnsi"/>
          <w:sz w:val="24"/>
          <w:lang w:val="pl-PL"/>
        </w:rPr>
      </w:pPr>
    </w:p>
    <w:p w14:paraId="09E4A7CD" w14:textId="4F7C0169"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też, że w</w:t>
      </w:r>
      <w:r w:rsidRPr="00B15C52">
        <w:rPr>
          <w:rFonts w:asciiTheme="minorHAnsi" w:hAnsiTheme="minorHAnsi"/>
          <w:sz w:val="24"/>
          <w:lang w:val="pl-PL"/>
        </w:rPr>
        <w:t xml:space="preserve"> obszarze prawa karnego art. 8 </w:t>
      </w:r>
      <w:r>
        <w:rPr>
          <w:rFonts w:asciiTheme="minorHAnsi" w:hAnsiTheme="minorHAnsi"/>
          <w:sz w:val="24"/>
          <w:lang w:val="pl-PL"/>
        </w:rPr>
        <w:t xml:space="preserve">Konwencji </w:t>
      </w:r>
      <w:r w:rsidRPr="00B15C52">
        <w:rPr>
          <w:rFonts w:asciiTheme="minorHAnsi" w:hAnsiTheme="minorHAnsi"/>
          <w:sz w:val="24"/>
          <w:lang w:val="pl-PL"/>
        </w:rPr>
        <w:t>sam w sobie nie</w:t>
      </w:r>
      <w:r w:rsidR="00277D0F">
        <w:rPr>
          <w:rFonts w:asciiTheme="minorHAnsi" w:hAnsiTheme="minorHAnsi"/>
          <w:sz w:val="24"/>
          <w:lang w:val="pl-PL"/>
        </w:rPr>
        <w:t> </w:t>
      </w:r>
      <w:r w:rsidRPr="00B15C52">
        <w:rPr>
          <w:rFonts w:asciiTheme="minorHAnsi" w:hAnsiTheme="minorHAnsi"/>
          <w:sz w:val="24"/>
          <w:lang w:val="pl-PL"/>
        </w:rPr>
        <w:t xml:space="preserve">zakazuje stosowania wbrew woli podejrzanego lub świadka procedur medycznych w celu uzyskania dowodu. </w:t>
      </w:r>
      <w:r>
        <w:rPr>
          <w:rFonts w:asciiTheme="minorHAnsi" w:hAnsiTheme="minorHAnsi"/>
          <w:sz w:val="24"/>
          <w:lang w:val="pl-PL"/>
        </w:rPr>
        <w:t>N</w:t>
      </w:r>
      <w:r w:rsidRPr="00B15C52">
        <w:rPr>
          <w:rFonts w:asciiTheme="minorHAnsi" w:hAnsiTheme="minorHAnsi"/>
          <w:sz w:val="24"/>
          <w:lang w:val="pl-PL"/>
        </w:rPr>
        <w:t>ajważniejsze znaczenie</w:t>
      </w:r>
      <w:r>
        <w:rPr>
          <w:rFonts w:asciiTheme="minorHAnsi" w:hAnsiTheme="minorHAnsi"/>
          <w:sz w:val="24"/>
          <w:lang w:val="pl-PL"/>
        </w:rPr>
        <w:t xml:space="preserve"> ma </w:t>
      </w:r>
      <w:r w:rsidRPr="00B15C52">
        <w:rPr>
          <w:rFonts w:asciiTheme="minorHAnsi" w:hAnsiTheme="minorHAnsi"/>
          <w:sz w:val="24"/>
          <w:lang w:val="pl-PL"/>
        </w:rPr>
        <w:t>kwestia, czy środek był zgodny z istotnymi wymogami Konwencji. A zatem takie metody, również w sferze prawa cywilnego, nie</w:t>
      </w:r>
      <w:r w:rsidR="00277D0F">
        <w:rPr>
          <w:rFonts w:asciiTheme="minorHAnsi" w:hAnsiTheme="minorHAnsi"/>
          <w:sz w:val="24"/>
          <w:lang w:val="pl-PL"/>
        </w:rPr>
        <w:t> </w:t>
      </w:r>
      <w:r w:rsidRPr="00B15C52">
        <w:rPr>
          <w:rFonts w:asciiTheme="minorHAnsi" w:hAnsiTheme="minorHAnsi"/>
          <w:sz w:val="24"/>
          <w:lang w:val="pl-PL"/>
        </w:rPr>
        <w:t>są</w:t>
      </w:r>
      <w:r w:rsidR="00277D0F">
        <w:rPr>
          <w:rFonts w:asciiTheme="minorHAnsi" w:hAnsiTheme="minorHAnsi"/>
          <w:sz w:val="24"/>
          <w:lang w:val="pl-PL"/>
        </w:rPr>
        <w:t> </w:t>
      </w:r>
      <w:r w:rsidRPr="00B15C52">
        <w:rPr>
          <w:rFonts w:asciiTheme="minorHAnsi" w:hAnsiTheme="minorHAnsi"/>
          <w:sz w:val="24"/>
          <w:lang w:val="pl-PL"/>
        </w:rPr>
        <w:t xml:space="preserve">same w sobie sprzeczne z zasadą praworządności i naturalnym poczuciem sprawiedliwości. </w:t>
      </w:r>
    </w:p>
    <w:p w14:paraId="2406098A" w14:textId="77777777" w:rsidR="00950534" w:rsidRDefault="00950534" w:rsidP="00950534">
      <w:pPr>
        <w:pStyle w:val="ClinContent"/>
        <w:widowControl w:val="0"/>
        <w:spacing w:before="0"/>
        <w:rPr>
          <w:rFonts w:asciiTheme="minorHAnsi" w:hAnsiTheme="minorHAnsi"/>
          <w:sz w:val="24"/>
          <w:lang w:val="pl-PL"/>
        </w:rPr>
      </w:pPr>
    </w:p>
    <w:p w14:paraId="16A8B11A" w14:textId="0E2D62A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Przy ocenie, czy środek był zgodny z istotnymi wymogami Konwencji, szczególne znaczenie ma uprawniony cel</w:t>
      </w:r>
      <w:r>
        <w:rPr>
          <w:rFonts w:asciiTheme="minorHAnsi" w:hAnsiTheme="minorHAnsi"/>
          <w:sz w:val="24"/>
          <w:lang w:val="pl-PL"/>
        </w:rPr>
        <w:t xml:space="preserve"> jego stosowania</w:t>
      </w:r>
      <w:r w:rsidRPr="00B15C52">
        <w:rPr>
          <w:rFonts w:asciiTheme="minorHAnsi" w:hAnsiTheme="minorHAnsi"/>
          <w:sz w:val="24"/>
          <w:lang w:val="pl-PL"/>
        </w:rPr>
        <w:t>. W sprawie skarżącego przedmiotowy środek miał na</w:t>
      </w:r>
      <w:r w:rsidR="00277D0F">
        <w:rPr>
          <w:rFonts w:asciiTheme="minorHAnsi" w:hAnsiTheme="minorHAnsi"/>
          <w:sz w:val="24"/>
          <w:lang w:val="pl-PL"/>
        </w:rPr>
        <w:t> </w:t>
      </w:r>
      <w:r w:rsidRPr="00B15C52">
        <w:rPr>
          <w:rFonts w:asciiTheme="minorHAnsi" w:hAnsiTheme="minorHAnsi"/>
          <w:sz w:val="24"/>
          <w:lang w:val="pl-PL"/>
        </w:rPr>
        <w:t xml:space="preserve">celu zapewnienie realizacji przez państwo obowiązku pozytywnego wynikającego z art. 8 </w:t>
      </w:r>
      <w:r>
        <w:rPr>
          <w:rFonts w:asciiTheme="minorHAnsi" w:hAnsiTheme="minorHAnsi"/>
          <w:sz w:val="24"/>
          <w:lang w:val="pl-PL"/>
        </w:rPr>
        <w:t xml:space="preserve">Konwencji </w:t>
      </w:r>
      <w:r w:rsidRPr="00B15C52">
        <w:rPr>
          <w:rFonts w:asciiTheme="minorHAnsi" w:hAnsiTheme="minorHAnsi"/>
          <w:sz w:val="24"/>
          <w:lang w:val="pl-PL"/>
        </w:rPr>
        <w:t xml:space="preserve">względem domniemanej córki skarżącego. </w:t>
      </w:r>
      <w:r w:rsidRPr="00031D14">
        <w:rPr>
          <w:rFonts w:asciiTheme="minorHAnsi" w:hAnsiTheme="minorHAnsi"/>
          <w:sz w:val="24"/>
          <w:lang w:val="pl-PL"/>
        </w:rPr>
        <w:t>Poszanowanie życia prywatnego wymaga</w:t>
      </w:r>
      <w:r>
        <w:rPr>
          <w:rFonts w:asciiTheme="minorHAnsi" w:hAnsiTheme="minorHAnsi"/>
          <w:sz w:val="24"/>
          <w:lang w:val="pl-PL"/>
        </w:rPr>
        <w:t xml:space="preserve"> bowiem</w:t>
      </w:r>
      <w:r w:rsidRPr="00031D14">
        <w:rPr>
          <w:rFonts w:asciiTheme="minorHAnsi" w:hAnsiTheme="minorHAnsi"/>
          <w:sz w:val="24"/>
          <w:lang w:val="pl-PL"/>
        </w:rPr>
        <w:t xml:space="preserve">, aby każdy był w stanie ustalić szczegóły dotyczące swej tożsamości jako indywidualnej istoty ludzkiej, a prawo danej osoby do takiej informacji jest ważne ze względu na ich implikacje dla kształtowania jej osobowości. Obejmuje to uzyskanie informacji potrzebnych do odkrycia prawdy dotyczącej ważnych aspektów tożsamości osobistej, takich </w:t>
      </w:r>
      <w:r w:rsidRPr="00031D14">
        <w:rPr>
          <w:rFonts w:asciiTheme="minorHAnsi" w:hAnsiTheme="minorHAnsi"/>
          <w:sz w:val="24"/>
          <w:lang w:val="pl-PL"/>
        </w:rPr>
        <w:lastRenderedPageBreak/>
        <w:t xml:space="preserve">jak tożsamość rodziców. </w:t>
      </w:r>
      <w:r>
        <w:rPr>
          <w:rFonts w:asciiTheme="minorHAnsi" w:hAnsiTheme="minorHAnsi"/>
          <w:sz w:val="24"/>
          <w:lang w:val="pl-PL"/>
        </w:rPr>
        <w:t>Niemniej jednak Trybunał musiał ustalić w omawianej sprawie, czy</w:t>
      </w:r>
      <w:r w:rsidR="00092E2B">
        <w:rPr>
          <w:rFonts w:asciiTheme="minorHAnsi" w:hAnsiTheme="minorHAnsi"/>
          <w:sz w:val="24"/>
          <w:lang w:val="pl-PL"/>
        </w:rPr>
        <w:t> </w:t>
      </w:r>
      <w:r>
        <w:rPr>
          <w:rFonts w:asciiTheme="minorHAnsi" w:hAnsiTheme="minorHAnsi"/>
          <w:sz w:val="24"/>
          <w:lang w:val="pl-PL"/>
        </w:rPr>
        <w:t>zachowano sprawiedliwą równowagę w świetle praw skarżącego chronionych na</w:t>
      </w:r>
      <w:r w:rsidR="00277D0F">
        <w:rPr>
          <w:rFonts w:asciiTheme="minorHAnsi" w:hAnsiTheme="minorHAnsi"/>
          <w:sz w:val="24"/>
          <w:lang w:val="pl-PL"/>
        </w:rPr>
        <w:t> </w:t>
      </w:r>
      <w:r>
        <w:rPr>
          <w:rFonts w:asciiTheme="minorHAnsi" w:hAnsiTheme="minorHAnsi"/>
          <w:sz w:val="24"/>
          <w:lang w:val="pl-PL"/>
        </w:rPr>
        <w:t xml:space="preserve">podstawie art. 8 Konwencji. </w:t>
      </w:r>
    </w:p>
    <w:p w14:paraId="609EEE3D" w14:textId="77777777" w:rsidR="00950534" w:rsidRDefault="00950534" w:rsidP="00950534">
      <w:pPr>
        <w:pStyle w:val="ClinContent"/>
        <w:widowControl w:val="0"/>
        <w:spacing w:before="0"/>
        <w:rPr>
          <w:rFonts w:asciiTheme="minorHAnsi" w:hAnsiTheme="minorHAnsi"/>
          <w:sz w:val="24"/>
          <w:lang w:val="pl-PL"/>
        </w:rPr>
      </w:pPr>
    </w:p>
    <w:p w14:paraId="4C26720D" w14:textId="051D3655" w:rsidR="00950534" w:rsidRPr="00031D1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na wstępie odnotował, że prawa skarżącego do składania własnych dowodów i</w:t>
      </w:r>
      <w:r w:rsidR="00092E2B">
        <w:rPr>
          <w:rFonts w:asciiTheme="minorHAnsi" w:hAnsiTheme="minorHAnsi"/>
          <w:sz w:val="24"/>
          <w:lang w:val="pl-PL"/>
        </w:rPr>
        <w:t> </w:t>
      </w:r>
      <w:r>
        <w:rPr>
          <w:rFonts w:asciiTheme="minorHAnsi" w:hAnsiTheme="minorHAnsi"/>
          <w:sz w:val="24"/>
          <w:lang w:val="pl-PL"/>
        </w:rPr>
        <w:t>wniosków dowodowych nie były ograniczone i mógł z tych praw korzystać na równi z</w:t>
      </w:r>
      <w:r w:rsidR="00092E2B">
        <w:rPr>
          <w:rFonts w:asciiTheme="minorHAnsi" w:hAnsiTheme="minorHAnsi"/>
          <w:sz w:val="24"/>
          <w:lang w:val="pl-PL"/>
        </w:rPr>
        <w:t> </w:t>
      </w:r>
      <w:r>
        <w:rPr>
          <w:rFonts w:asciiTheme="minorHAnsi" w:hAnsiTheme="minorHAnsi"/>
          <w:sz w:val="24"/>
          <w:lang w:val="pl-PL"/>
        </w:rPr>
        <w:t xml:space="preserve">pozostałymi stronami. </w:t>
      </w:r>
    </w:p>
    <w:p w14:paraId="79F23908" w14:textId="77777777" w:rsidR="00950534" w:rsidRPr="00031D14" w:rsidRDefault="00950534" w:rsidP="00950534">
      <w:pPr>
        <w:pStyle w:val="ClinContent"/>
        <w:widowControl w:val="0"/>
        <w:spacing w:before="0"/>
        <w:rPr>
          <w:rFonts w:asciiTheme="minorHAnsi" w:hAnsiTheme="minorHAnsi"/>
          <w:i/>
          <w:sz w:val="24"/>
          <w:lang w:val="pl-PL"/>
        </w:rPr>
      </w:pPr>
    </w:p>
    <w:p w14:paraId="5C82DFB7" w14:textId="362A8A5B"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Teoretycznie środek wydawał się obowiązkowy</w:t>
      </w:r>
      <w:r>
        <w:rPr>
          <w:rFonts w:asciiTheme="minorHAnsi" w:hAnsiTheme="minorHAnsi"/>
          <w:sz w:val="24"/>
          <w:lang w:val="pl-PL"/>
        </w:rPr>
        <w:t xml:space="preserve"> w niniejszej sprawie</w:t>
      </w:r>
      <w:r w:rsidRPr="00B15C52">
        <w:rPr>
          <w:rFonts w:asciiTheme="minorHAnsi" w:hAnsiTheme="minorHAnsi"/>
          <w:sz w:val="24"/>
          <w:lang w:val="pl-PL"/>
        </w:rPr>
        <w:t xml:space="preserve">. Trybunał nie był jednak przekonany, że w praktyce nakaz takiego testu zostałby zarządzony </w:t>
      </w:r>
      <w:r>
        <w:rPr>
          <w:rFonts w:asciiTheme="minorHAnsi" w:hAnsiTheme="minorHAnsi"/>
          <w:sz w:val="24"/>
          <w:lang w:val="pl-PL"/>
        </w:rPr>
        <w:t xml:space="preserve">bez istnienia </w:t>
      </w:r>
      <w:r w:rsidRPr="00B15C52">
        <w:rPr>
          <w:rFonts w:asciiTheme="minorHAnsi" w:hAnsiTheme="minorHAnsi"/>
          <w:sz w:val="24"/>
          <w:lang w:val="pl-PL"/>
        </w:rPr>
        <w:t xml:space="preserve">jakichkolwiek innych przesłanek, takich jak na przykład wykazanie sprawy </w:t>
      </w:r>
      <w:r w:rsidRPr="00B15C52">
        <w:rPr>
          <w:rFonts w:asciiTheme="minorHAnsi" w:hAnsiTheme="minorHAnsi"/>
          <w:i/>
          <w:sz w:val="24"/>
          <w:lang w:val="pl-PL"/>
        </w:rPr>
        <w:t xml:space="preserve">prima facie. </w:t>
      </w:r>
      <w:r w:rsidRPr="00B15C52">
        <w:rPr>
          <w:rFonts w:asciiTheme="minorHAnsi" w:hAnsiTheme="minorHAnsi"/>
          <w:sz w:val="24"/>
          <w:lang w:val="pl-PL"/>
        </w:rPr>
        <w:t>Po</w:t>
      </w:r>
      <w:r w:rsidR="00092E2B">
        <w:rPr>
          <w:rFonts w:asciiTheme="minorHAnsi" w:hAnsiTheme="minorHAnsi"/>
          <w:sz w:val="24"/>
          <w:lang w:val="pl-PL"/>
        </w:rPr>
        <w:t> </w:t>
      </w:r>
      <w:r w:rsidRPr="00B15C52">
        <w:rPr>
          <w:rFonts w:asciiTheme="minorHAnsi" w:hAnsiTheme="minorHAnsi"/>
          <w:sz w:val="24"/>
          <w:lang w:val="pl-PL"/>
        </w:rPr>
        <w:t>wydaniu takiego nakazu zainteresowana osoba mogła również złożyć przeciwko niemu zażalenie. W sprawie skarżącego sąd cywilny powstrzymał się od nakazywania</w:t>
      </w:r>
      <w:r>
        <w:rPr>
          <w:rFonts w:asciiTheme="minorHAnsi" w:hAnsiTheme="minorHAnsi"/>
          <w:sz w:val="24"/>
          <w:lang w:val="pl-PL"/>
        </w:rPr>
        <w:t xml:space="preserve"> badania</w:t>
      </w:r>
      <w:r w:rsidRPr="00B15C52">
        <w:rPr>
          <w:rFonts w:asciiTheme="minorHAnsi" w:hAnsiTheme="minorHAnsi"/>
          <w:sz w:val="24"/>
          <w:lang w:val="pl-PL"/>
        </w:rPr>
        <w:t>, gdy</w:t>
      </w:r>
      <w:r w:rsidR="00092E2B">
        <w:rPr>
          <w:rFonts w:asciiTheme="minorHAnsi" w:hAnsiTheme="minorHAnsi"/>
          <w:sz w:val="24"/>
          <w:lang w:val="pl-PL"/>
        </w:rPr>
        <w:t> </w:t>
      </w:r>
      <w:r w:rsidRPr="00B15C52">
        <w:rPr>
          <w:rFonts w:asciiTheme="minorHAnsi" w:hAnsiTheme="minorHAnsi"/>
          <w:sz w:val="24"/>
          <w:lang w:val="pl-PL"/>
        </w:rPr>
        <w:t>złożono taki wniosek. Zamiast tego zorganizował rozprawę w celu zbadania zastrzeżeń skarżącego. Po wysłuchaniu stanowisk uznał, że obawy skarżącego nie m</w:t>
      </w:r>
      <w:r>
        <w:rPr>
          <w:rFonts w:asciiTheme="minorHAnsi" w:hAnsiTheme="minorHAnsi"/>
          <w:sz w:val="24"/>
          <w:lang w:val="pl-PL"/>
        </w:rPr>
        <w:t>ają</w:t>
      </w:r>
      <w:r w:rsidRPr="00B15C52">
        <w:rPr>
          <w:rFonts w:asciiTheme="minorHAnsi" w:hAnsiTheme="minorHAnsi"/>
          <w:sz w:val="24"/>
          <w:lang w:val="pl-PL"/>
        </w:rPr>
        <w:t xml:space="preserve"> charakteru błahego ani pieniaczego, i skierował podnoszone przez </w:t>
      </w:r>
      <w:r>
        <w:rPr>
          <w:rFonts w:asciiTheme="minorHAnsi" w:hAnsiTheme="minorHAnsi"/>
          <w:sz w:val="24"/>
          <w:lang w:val="pl-PL"/>
        </w:rPr>
        <w:t xml:space="preserve">niego </w:t>
      </w:r>
      <w:r w:rsidRPr="00B15C52">
        <w:rPr>
          <w:rFonts w:asciiTheme="minorHAnsi" w:hAnsiTheme="minorHAnsi"/>
          <w:sz w:val="24"/>
          <w:lang w:val="pl-PL"/>
        </w:rPr>
        <w:t>kwestie do organów zajmujący</w:t>
      </w:r>
      <w:r>
        <w:rPr>
          <w:rFonts w:asciiTheme="minorHAnsi" w:hAnsiTheme="minorHAnsi"/>
          <w:sz w:val="24"/>
          <w:lang w:val="pl-PL"/>
        </w:rPr>
        <w:t>ch się sprawami konstytucyjnymi. Organy te</w:t>
      </w:r>
      <w:r w:rsidRPr="00B15C52">
        <w:rPr>
          <w:rFonts w:asciiTheme="minorHAnsi" w:hAnsiTheme="minorHAnsi"/>
          <w:sz w:val="24"/>
          <w:lang w:val="pl-PL"/>
        </w:rPr>
        <w:t xml:space="preserve"> w dwóch instancjach przeprowadziły ocenę wchodzących w grę interesów. Stwierdziły one, że w okolicznościach tej sprawy interesy domniemanej córki skarżącego w ustaleniu, kto jest jej ojcem, przeważały nad</w:t>
      </w:r>
      <w:r w:rsidR="00092E2B">
        <w:rPr>
          <w:rFonts w:asciiTheme="minorHAnsi" w:hAnsiTheme="minorHAnsi"/>
          <w:sz w:val="24"/>
          <w:lang w:val="pl-PL"/>
        </w:rPr>
        <w:t> </w:t>
      </w:r>
      <w:r w:rsidRPr="00B15C52">
        <w:rPr>
          <w:rFonts w:asciiTheme="minorHAnsi" w:hAnsiTheme="minorHAnsi"/>
          <w:sz w:val="24"/>
          <w:lang w:val="pl-PL"/>
        </w:rPr>
        <w:t xml:space="preserve">interesami skarżącego. </w:t>
      </w:r>
    </w:p>
    <w:p w14:paraId="23CD5A68" w14:textId="77777777" w:rsidR="00950534" w:rsidRDefault="00950534" w:rsidP="00950534">
      <w:pPr>
        <w:pStyle w:val="ClinContent"/>
        <w:widowControl w:val="0"/>
        <w:spacing w:before="0"/>
        <w:rPr>
          <w:rFonts w:asciiTheme="minorHAnsi" w:hAnsiTheme="minorHAnsi"/>
          <w:sz w:val="24"/>
          <w:lang w:val="pl-PL"/>
        </w:rPr>
      </w:pPr>
    </w:p>
    <w:p w14:paraId="181202FA" w14:textId="15BDB11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Zdaniem Trybunału w</w:t>
      </w:r>
      <w:r w:rsidRPr="00B15C52">
        <w:rPr>
          <w:rFonts w:asciiTheme="minorHAnsi" w:hAnsiTheme="minorHAnsi"/>
          <w:sz w:val="24"/>
          <w:lang w:val="pl-PL"/>
        </w:rPr>
        <w:t xml:space="preserve"> decyzjach tych, które zostały podjęte w świetle orzecznictwa Trybunału, brak było arbitralności. Wykonanie </w:t>
      </w:r>
      <w:r>
        <w:rPr>
          <w:rFonts w:asciiTheme="minorHAnsi" w:hAnsiTheme="minorHAnsi"/>
          <w:sz w:val="24"/>
          <w:lang w:val="pl-PL"/>
        </w:rPr>
        <w:t>badania</w:t>
      </w:r>
      <w:r w:rsidRPr="00B15C52">
        <w:rPr>
          <w:rFonts w:asciiTheme="minorHAnsi" w:hAnsiTheme="minorHAnsi"/>
          <w:sz w:val="24"/>
          <w:lang w:val="pl-PL"/>
        </w:rPr>
        <w:t xml:space="preserve"> zostało zarządzone dopiero po</w:t>
      </w:r>
      <w:r w:rsidR="00092E2B">
        <w:rPr>
          <w:rFonts w:asciiTheme="minorHAnsi" w:hAnsiTheme="minorHAnsi"/>
          <w:sz w:val="24"/>
          <w:lang w:val="pl-PL"/>
        </w:rPr>
        <w:t> </w:t>
      </w:r>
      <w:r w:rsidRPr="00B15C52">
        <w:rPr>
          <w:rFonts w:asciiTheme="minorHAnsi" w:hAnsiTheme="minorHAnsi"/>
          <w:sz w:val="24"/>
          <w:lang w:val="pl-PL"/>
        </w:rPr>
        <w:t xml:space="preserve">przeprowadzeniu na wniosek skarżącego pełnoprawnego postępowania w sprawie konstytucyjności. Była to droga sądowa dostępna dla skarżącego, z której skorzystał z pełną świadomością swych praw proceduralnych i gwarancji dostępnych na poziomie krajowym. Nie można twierdzić, że procedura ta nie służyła </w:t>
      </w:r>
      <w:r>
        <w:rPr>
          <w:rFonts w:asciiTheme="minorHAnsi" w:hAnsiTheme="minorHAnsi"/>
          <w:sz w:val="24"/>
          <w:lang w:val="pl-PL"/>
        </w:rPr>
        <w:t>zbadaniu</w:t>
      </w:r>
      <w:r w:rsidRPr="00B15C52">
        <w:rPr>
          <w:rFonts w:asciiTheme="minorHAnsi" w:hAnsiTheme="minorHAnsi"/>
          <w:sz w:val="24"/>
          <w:lang w:val="pl-PL"/>
        </w:rPr>
        <w:t xml:space="preserve"> wchodząc</w:t>
      </w:r>
      <w:r>
        <w:rPr>
          <w:rFonts w:asciiTheme="minorHAnsi" w:hAnsiTheme="minorHAnsi"/>
          <w:sz w:val="24"/>
          <w:lang w:val="pl-PL"/>
        </w:rPr>
        <w:t>ych w grę interesów i</w:t>
      </w:r>
      <w:r w:rsidR="00092E2B">
        <w:rPr>
          <w:rFonts w:asciiTheme="minorHAnsi" w:hAnsiTheme="minorHAnsi"/>
          <w:sz w:val="24"/>
          <w:lang w:val="pl-PL"/>
        </w:rPr>
        <w:t> </w:t>
      </w:r>
      <w:r>
        <w:rPr>
          <w:rFonts w:asciiTheme="minorHAnsi" w:hAnsiTheme="minorHAnsi"/>
          <w:sz w:val="24"/>
          <w:lang w:val="pl-PL"/>
        </w:rPr>
        <w:t>określeniu</w:t>
      </w:r>
      <w:r w:rsidRPr="00B15C52">
        <w:rPr>
          <w:rFonts w:asciiTheme="minorHAnsi" w:hAnsiTheme="minorHAnsi"/>
          <w:sz w:val="24"/>
          <w:lang w:val="pl-PL"/>
        </w:rPr>
        <w:t xml:space="preserve">, czy nakazanie </w:t>
      </w:r>
      <w:r>
        <w:rPr>
          <w:rFonts w:asciiTheme="minorHAnsi" w:hAnsiTheme="minorHAnsi"/>
          <w:sz w:val="24"/>
          <w:lang w:val="pl-PL"/>
        </w:rPr>
        <w:t xml:space="preserve">badania DNA </w:t>
      </w:r>
      <w:r w:rsidRPr="00B15C52">
        <w:rPr>
          <w:rFonts w:asciiTheme="minorHAnsi" w:hAnsiTheme="minorHAnsi"/>
          <w:sz w:val="24"/>
          <w:lang w:val="pl-PL"/>
        </w:rPr>
        <w:t>naruszałoby prawa skarżącego na podstawie art. 8</w:t>
      </w:r>
      <w:r>
        <w:rPr>
          <w:rFonts w:asciiTheme="minorHAnsi" w:hAnsiTheme="minorHAnsi"/>
          <w:sz w:val="24"/>
          <w:lang w:val="pl-PL"/>
        </w:rPr>
        <w:t xml:space="preserve"> Konwencji</w:t>
      </w:r>
      <w:r w:rsidRPr="00B15C52">
        <w:rPr>
          <w:rFonts w:asciiTheme="minorHAnsi" w:hAnsiTheme="minorHAnsi"/>
          <w:sz w:val="24"/>
          <w:lang w:val="pl-PL"/>
        </w:rPr>
        <w:t xml:space="preserve">. </w:t>
      </w:r>
    </w:p>
    <w:p w14:paraId="0608F755" w14:textId="77777777" w:rsidR="00950534" w:rsidRDefault="00950534" w:rsidP="00950534">
      <w:pPr>
        <w:pStyle w:val="ClinContent"/>
        <w:widowControl w:val="0"/>
        <w:spacing w:before="0"/>
        <w:rPr>
          <w:rFonts w:asciiTheme="minorHAnsi" w:hAnsiTheme="minorHAnsi"/>
          <w:sz w:val="24"/>
          <w:lang w:val="pl-PL"/>
        </w:rPr>
      </w:pPr>
    </w:p>
    <w:p w14:paraId="2105286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Na tej podstawie Trybunał uznał, że </w:t>
      </w:r>
      <w:r w:rsidRPr="00B15C52">
        <w:rPr>
          <w:rFonts w:asciiTheme="minorHAnsi" w:hAnsiTheme="minorHAnsi"/>
          <w:sz w:val="24"/>
          <w:lang w:val="pl-PL"/>
        </w:rPr>
        <w:t xml:space="preserve">nakaz poddania się </w:t>
      </w:r>
      <w:r>
        <w:rPr>
          <w:rFonts w:asciiTheme="minorHAnsi" w:hAnsiTheme="minorHAnsi"/>
          <w:sz w:val="24"/>
          <w:lang w:val="pl-PL"/>
        </w:rPr>
        <w:t xml:space="preserve">przez skarżącego badaniu </w:t>
      </w:r>
      <w:r w:rsidRPr="00B15C52">
        <w:rPr>
          <w:rFonts w:asciiTheme="minorHAnsi" w:hAnsiTheme="minorHAnsi"/>
          <w:sz w:val="24"/>
          <w:lang w:val="pl-PL"/>
        </w:rPr>
        <w:t xml:space="preserve">nie został wydany w oparciu o jego obowiązkowy charakter. </w:t>
      </w:r>
    </w:p>
    <w:p w14:paraId="5DECF8C6" w14:textId="77777777" w:rsidR="00950534" w:rsidRDefault="00950534" w:rsidP="00950534">
      <w:pPr>
        <w:pStyle w:val="ClinContent"/>
        <w:widowControl w:val="0"/>
        <w:spacing w:before="0"/>
        <w:rPr>
          <w:rFonts w:asciiTheme="minorHAnsi" w:hAnsiTheme="minorHAnsi"/>
          <w:sz w:val="24"/>
          <w:lang w:val="pl-PL"/>
        </w:rPr>
      </w:pPr>
    </w:p>
    <w:p w14:paraId="6710A496" w14:textId="5C56BA7D"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 ocenie Trybunału p</w:t>
      </w:r>
      <w:r w:rsidRPr="00B15C52">
        <w:rPr>
          <w:rFonts w:asciiTheme="minorHAnsi" w:hAnsiTheme="minorHAnsi"/>
          <w:sz w:val="24"/>
          <w:lang w:val="pl-PL"/>
        </w:rPr>
        <w:t xml:space="preserve">roces decyzyjny oceniany jako całość był rzetelny i zapewnił skarżącemu niezbędną ochronę jego interesów gwarantowanych przez art. 8. Nakazując skarżącemu poddanie się badaniu DNA – po uprzednim przeprowadzeniu niezbędnego procesu wyważenia wchodzących w grę interesów – w postępowaniu sądowym, w którym skarżący uczestniczył reprezentowany przez prawnika z wyboru i w którym jego prawa do obrony były poszanowane na równi z prawami jego przeciwnika procesowego, sądy </w:t>
      </w:r>
      <w:r>
        <w:rPr>
          <w:rFonts w:asciiTheme="minorHAnsi" w:hAnsiTheme="minorHAnsi"/>
          <w:sz w:val="24"/>
          <w:lang w:val="pl-PL"/>
        </w:rPr>
        <w:t xml:space="preserve">krajowe </w:t>
      </w:r>
      <w:r w:rsidRPr="00B15C52">
        <w:rPr>
          <w:rFonts w:asciiTheme="minorHAnsi" w:hAnsiTheme="minorHAnsi"/>
          <w:sz w:val="24"/>
          <w:lang w:val="pl-PL"/>
        </w:rPr>
        <w:t>zachowały sprawiedliwą równowagę między interesami domniemanej córki skarżącego w</w:t>
      </w:r>
      <w:r w:rsidR="00092E2B">
        <w:rPr>
          <w:rFonts w:asciiTheme="minorHAnsi" w:hAnsiTheme="minorHAnsi"/>
          <w:sz w:val="24"/>
          <w:lang w:val="pl-PL"/>
        </w:rPr>
        <w:t> </w:t>
      </w:r>
      <w:r w:rsidRPr="00B15C52">
        <w:rPr>
          <w:rFonts w:asciiTheme="minorHAnsi" w:hAnsiTheme="minorHAnsi"/>
          <w:sz w:val="24"/>
          <w:lang w:val="pl-PL"/>
        </w:rPr>
        <w:t xml:space="preserve">ustaleniu ojcostwa a interesami skarżącego w niepodleganiu badaniu DNA. </w:t>
      </w:r>
    </w:p>
    <w:p w14:paraId="0486F479" w14:textId="77777777" w:rsidR="00950534" w:rsidRDefault="00950534" w:rsidP="00950534">
      <w:pPr>
        <w:pStyle w:val="ClinContent"/>
        <w:widowControl w:val="0"/>
        <w:spacing w:before="0"/>
        <w:rPr>
          <w:rFonts w:asciiTheme="minorHAnsi" w:hAnsiTheme="minorHAnsi"/>
          <w:sz w:val="24"/>
          <w:lang w:val="pl-PL"/>
        </w:rPr>
      </w:pPr>
    </w:p>
    <w:p w14:paraId="485D819A" w14:textId="77777777" w:rsidR="00950534" w:rsidRDefault="00950534" w:rsidP="00950534">
      <w:pPr>
        <w:pStyle w:val="ClinContent"/>
        <w:widowControl w:val="0"/>
        <w:spacing w:before="0"/>
        <w:rPr>
          <w:lang w:val="pl-PL"/>
        </w:rPr>
      </w:pPr>
      <w:r>
        <w:rPr>
          <w:rFonts w:asciiTheme="minorHAnsi" w:hAnsiTheme="minorHAnsi"/>
          <w:sz w:val="24"/>
          <w:lang w:val="pl-PL"/>
        </w:rPr>
        <w:t>Z powyższych względów Trybunał jednogłośnie orzekł, że nie doszło do naruszenia art. 8 Konwencji w sprawie skarżącego</w:t>
      </w:r>
      <w:r>
        <w:rPr>
          <w:rStyle w:val="Odwoanieprzypisudolnego"/>
          <w:rFonts w:asciiTheme="minorHAnsi" w:hAnsiTheme="minorHAnsi"/>
          <w:sz w:val="24"/>
          <w:lang w:val="pl-PL"/>
        </w:rPr>
        <w:footnoteReference w:id="16"/>
      </w:r>
      <w:r>
        <w:rPr>
          <w:rFonts w:asciiTheme="minorHAnsi" w:hAnsiTheme="minorHAnsi"/>
          <w:sz w:val="24"/>
          <w:lang w:val="pl-PL"/>
        </w:rPr>
        <w:t xml:space="preserve">. </w:t>
      </w:r>
    </w:p>
    <w:p w14:paraId="4641BAE6" w14:textId="77777777" w:rsidR="00950534" w:rsidRDefault="00950534" w:rsidP="00950534">
      <w:pPr>
        <w:pStyle w:val="ClinContent"/>
        <w:widowControl w:val="0"/>
        <w:spacing w:before="0"/>
        <w:rPr>
          <w:lang w:val="pl-PL"/>
        </w:rPr>
      </w:pPr>
    </w:p>
    <w:p w14:paraId="62ABEE1B" w14:textId="03F6A7E6"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lastRenderedPageBreak/>
        <w:t>Znaczenie wyroku dla Polski</w:t>
      </w:r>
      <w:r w:rsidRPr="00490945">
        <w:rPr>
          <w:rFonts w:asciiTheme="minorHAnsi" w:hAnsiTheme="minorHAnsi" w:cs="Verdana"/>
          <w:bCs/>
          <w:sz w:val="24"/>
          <w:lang w:val="pl-PL"/>
        </w:rPr>
        <w:t xml:space="preserve"> – </w:t>
      </w:r>
      <w:r>
        <w:rPr>
          <w:rFonts w:asciiTheme="minorHAnsi" w:hAnsiTheme="minorHAnsi" w:cs="Verdana"/>
          <w:bCs/>
          <w:sz w:val="24"/>
          <w:lang w:val="pl-PL"/>
        </w:rPr>
        <w:t>Pierwszy w</w:t>
      </w:r>
      <w:r w:rsidRPr="00490945">
        <w:rPr>
          <w:rFonts w:asciiTheme="minorHAnsi" w:hAnsiTheme="minorHAnsi" w:cs="Verdana"/>
          <w:bCs/>
          <w:sz w:val="24"/>
          <w:lang w:val="pl-PL"/>
        </w:rPr>
        <w:t xml:space="preserve">yrok </w:t>
      </w:r>
      <w:r>
        <w:rPr>
          <w:rFonts w:asciiTheme="minorHAnsi" w:hAnsiTheme="minorHAnsi" w:cs="Verdana"/>
          <w:bCs/>
          <w:sz w:val="24"/>
          <w:lang w:val="pl-PL"/>
        </w:rPr>
        <w:t>Trybunału dotyczący dopuszczalności nakładania obowiązku poddania się testowi DNA na pozwanego w postępowaniu dotyczącym ustalenia ojcostwa. Trybunał nie zgodził się, że dowód ten powinien być niedopuszczalny jako mający charakter samooskarżenia, i potwierdził możliwość nakładania takiego obowiązku na stronę, jednak pod warunkiem, że spełnione będą wymogi przewidziane przez art. 8 ust. 2 Konwencji, w szczególności istnienie uprawnionego celu w</w:t>
      </w:r>
      <w:r w:rsidR="00092E2B">
        <w:rPr>
          <w:rFonts w:asciiTheme="minorHAnsi" w:hAnsiTheme="minorHAnsi" w:cs="Verdana"/>
          <w:bCs/>
          <w:sz w:val="24"/>
          <w:lang w:val="pl-PL"/>
        </w:rPr>
        <w:t> </w:t>
      </w:r>
      <w:r>
        <w:rPr>
          <w:rFonts w:asciiTheme="minorHAnsi" w:hAnsiTheme="minorHAnsi" w:cs="Verdana"/>
          <w:bCs/>
          <w:sz w:val="24"/>
          <w:lang w:val="pl-PL"/>
        </w:rPr>
        <w:t>rozumieniu Konwencji. Uprawnionym celem może być konieczność zapewnienia ochrony prawa innej osoby do ustalenia szczegółów dotyczących jej tożsamości, takich jak tożsamość jej rodziców. Ponadto obowiązek ten nie powinien być nakładany w sposób automatyczny i</w:t>
      </w:r>
      <w:r w:rsidR="00092E2B">
        <w:rPr>
          <w:rFonts w:asciiTheme="minorHAnsi" w:hAnsiTheme="minorHAnsi" w:cs="Verdana"/>
          <w:bCs/>
          <w:sz w:val="24"/>
          <w:lang w:val="pl-PL"/>
        </w:rPr>
        <w:t> </w:t>
      </w:r>
      <w:r>
        <w:rPr>
          <w:rFonts w:asciiTheme="minorHAnsi" w:hAnsiTheme="minorHAnsi" w:cs="Verdana"/>
          <w:bCs/>
          <w:sz w:val="24"/>
          <w:lang w:val="pl-PL"/>
        </w:rPr>
        <w:t>bezwzględny, a dopiero po przeprowadzeniu procesu ważenia wchodzących w grę interesów stron i z zachowaniem gwarancji procesowych umożliwiających udział zainteresowanej osoby w postępowaniu (takich jak prawo do obecności na posiedzeniach, składania własnych dowodów i przesłuchiwania świadków). Dodatkowo wyrok stanowi przykład, w którym Trybunał uwzględnił faktyczny sposób zastosowania przez sądy prawa, a</w:t>
      </w:r>
      <w:r w:rsidR="00092E2B">
        <w:rPr>
          <w:rFonts w:asciiTheme="minorHAnsi" w:hAnsiTheme="minorHAnsi" w:cs="Verdana"/>
          <w:bCs/>
          <w:sz w:val="24"/>
          <w:lang w:val="pl-PL"/>
        </w:rPr>
        <w:t> </w:t>
      </w:r>
      <w:r>
        <w:rPr>
          <w:rFonts w:asciiTheme="minorHAnsi" w:hAnsiTheme="minorHAnsi" w:cs="Verdana"/>
          <w:bCs/>
          <w:sz w:val="24"/>
          <w:lang w:val="pl-PL"/>
        </w:rPr>
        <w:t>nie literę tego prawa, które mogło budzić wątpliwości z punktu widzenia zgodności z</w:t>
      </w:r>
      <w:r w:rsidR="00092E2B">
        <w:rPr>
          <w:rFonts w:asciiTheme="minorHAnsi" w:hAnsiTheme="minorHAnsi" w:cs="Verdana"/>
          <w:bCs/>
          <w:sz w:val="24"/>
          <w:lang w:val="pl-PL"/>
        </w:rPr>
        <w:t> </w:t>
      </w:r>
      <w:r>
        <w:rPr>
          <w:rFonts w:asciiTheme="minorHAnsi" w:hAnsiTheme="minorHAnsi" w:cs="Verdana"/>
          <w:bCs/>
          <w:sz w:val="24"/>
          <w:lang w:val="pl-PL"/>
        </w:rPr>
        <w:t>Konwencją. Zawiera interesujące rozważania Trybunału odnoszące się do jego roli w</w:t>
      </w:r>
      <w:r w:rsidR="00092E2B">
        <w:rPr>
          <w:rFonts w:asciiTheme="minorHAnsi" w:hAnsiTheme="minorHAnsi" w:cs="Verdana"/>
          <w:bCs/>
          <w:sz w:val="24"/>
          <w:lang w:val="pl-PL"/>
        </w:rPr>
        <w:t> </w:t>
      </w:r>
      <w:r>
        <w:rPr>
          <w:rFonts w:asciiTheme="minorHAnsi" w:hAnsiTheme="minorHAnsi" w:cs="Verdana"/>
          <w:bCs/>
          <w:sz w:val="24"/>
          <w:lang w:val="pl-PL"/>
        </w:rPr>
        <w:t>zakresie oceniania prawa krajowego.</w:t>
      </w:r>
    </w:p>
    <w:p w14:paraId="78DA78DE" w14:textId="77777777" w:rsidR="00950534" w:rsidRDefault="00950534" w:rsidP="00950534">
      <w:pPr>
        <w:pStyle w:val="ClinContent"/>
        <w:widowControl w:val="0"/>
        <w:spacing w:before="0"/>
        <w:rPr>
          <w:rFonts w:asciiTheme="minorHAnsi" w:hAnsiTheme="minorHAnsi" w:cs="Verdana"/>
          <w:bCs/>
          <w:sz w:val="24"/>
          <w:lang w:val="pl-PL"/>
        </w:rPr>
      </w:pPr>
    </w:p>
    <w:p w14:paraId="705BCE89"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 xml:space="preserve">Wyrok może mieć w szczególności znaczenie dla Ministerstwa Sprawiedliwości, Trybunału Konstytucyjnego, sądów rodzinnych, Urzędu Ochrony Danych Osobowych, Rzecznika Praw Pacjenta. </w:t>
      </w:r>
    </w:p>
    <w:p w14:paraId="1C05F09E" w14:textId="77777777" w:rsidR="008F71FD" w:rsidRDefault="008F71FD" w:rsidP="00950534">
      <w:pPr>
        <w:pStyle w:val="ClinContent"/>
        <w:widowControl w:val="0"/>
        <w:spacing w:before="0"/>
        <w:rPr>
          <w:rFonts w:asciiTheme="minorHAnsi" w:hAnsiTheme="minorHAnsi"/>
          <w:sz w:val="24"/>
          <w:lang w:val="pl-PL"/>
        </w:rPr>
      </w:pPr>
    </w:p>
    <w:p w14:paraId="221EE500" w14:textId="77777777" w:rsidR="00950534" w:rsidRDefault="00950534" w:rsidP="00950534">
      <w:pPr>
        <w:pStyle w:val="ClinContent"/>
        <w:widowControl w:val="0"/>
        <w:spacing w:before="0"/>
        <w:rPr>
          <w:rFonts w:asciiTheme="minorHAnsi" w:hAnsiTheme="minorHAnsi"/>
          <w:sz w:val="24"/>
          <w:lang w:val="pl-PL"/>
        </w:rPr>
      </w:pPr>
    </w:p>
    <w:p w14:paraId="1643E501"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15" w:name="_Toc35632478"/>
      <w:r w:rsidRPr="00A450C9">
        <w:rPr>
          <w:rFonts w:asciiTheme="minorHAnsi" w:hAnsiTheme="minorHAnsi"/>
          <w:i/>
          <w:color w:val="auto"/>
          <w:sz w:val="24"/>
          <w:szCs w:val="24"/>
        </w:rPr>
        <w:t>Mihalache p. Rumunii</w:t>
      </w:r>
      <w:r w:rsidRPr="00077E55">
        <w:rPr>
          <w:rFonts w:asciiTheme="minorHAnsi" w:hAnsiTheme="minorHAnsi"/>
          <w:color w:val="auto"/>
          <w:sz w:val="24"/>
          <w:szCs w:val="24"/>
        </w:rPr>
        <w:t>, skarga nr 54012/10, wyrok Wielkiej Izby z dnia 8 lipca 2019 r.</w:t>
      </w:r>
      <w:bookmarkEnd w:id="15"/>
    </w:p>
    <w:p w14:paraId="45B50D16" w14:textId="77777777"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naruszenie art. 4 Protokołu nr 7 do Konwencji (zakaz ponownego sądzenia lub karania) z uwagi na w</w:t>
      </w:r>
      <w:r w:rsidRPr="00097BCF">
        <w:rPr>
          <w:b/>
          <w:iCs/>
          <w:color w:val="000000" w:themeColor="text1"/>
          <w:sz w:val="24"/>
          <w:szCs w:val="24"/>
          <w:lang w:val="pl-PL"/>
        </w:rPr>
        <w:t xml:space="preserve">znowienie przez </w:t>
      </w:r>
      <w:r>
        <w:rPr>
          <w:b/>
          <w:iCs/>
          <w:color w:val="000000" w:themeColor="text1"/>
          <w:sz w:val="24"/>
          <w:szCs w:val="24"/>
          <w:lang w:val="pl-PL"/>
        </w:rPr>
        <w:t xml:space="preserve">prokuratora </w:t>
      </w:r>
      <w:r w:rsidRPr="00097BCF">
        <w:rPr>
          <w:b/>
          <w:iCs/>
          <w:color w:val="000000" w:themeColor="text1"/>
          <w:sz w:val="24"/>
          <w:szCs w:val="24"/>
          <w:lang w:val="pl-PL"/>
        </w:rPr>
        <w:t>wyższego szczebla</w:t>
      </w:r>
      <w:r w:rsidRPr="00953FF6">
        <w:rPr>
          <w:b/>
          <w:iCs/>
          <w:color w:val="000000" w:themeColor="text1"/>
          <w:sz w:val="24"/>
          <w:szCs w:val="24"/>
          <w:lang w:val="pl-PL"/>
        </w:rPr>
        <w:t xml:space="preserve"> </w:t>
      </w:r>
      <w:r w:rsidRPr="00097BCF">
        <w:rPr>
          <w:b/>
          <w:iCs/>
          <w:color w:val="000000" w:themeColor="text1"/>
          <w:sz w:val="24"/>
          <w:szCs w:val="24"/>
          <w:lang w:val="pl-PL"/>
        </w:rPr>
        <w:t>z urzędu postępowania karnego, które zostało zastąpione grzywną administracyjną</w:t>
      </w:r>
      <w:r>
        <w:rPr>
          <w:b/>
          <w:iCs/>
          <w:color w:val="000000" w:themeColor="text1"/>
          <w:sz w:val="24"/>
          <w:szCs w:val="24"/>
          <w:lang w:val="pl-PL"/>
        </w:rPr>
        <w:t>, w sytuacji, gdy brak było</w:t>
      </w:r>
      <w:r w:rsidRPr="00097BCF">
        <w:rPr>
          <w:b/>
          <w:iCs/>
          <w:color w:val="000000" w:themeColor="text1"/>
          <w:sz w:val="24"/>
          <w:szCs w:val="24"/>
          <w:lang w:val="pl-PL"/>
        </w:rPr>
        <w:t xml:space="preserve"> nowych okoliczności faktycznych lub fundamentalnyc</w:t>
      </w:r>
      <w:r>
        <w:rPr>
          <w:b/>
          <w:iCs/>
          <w:color w:val="000000" w:themeColor="text1"/>
          <w:sz w:val="24"/>
          <w:szCs w:val="24"/>
          <w:lang w:val="pl-PL"/>
        </w:rPr>
        <w:t>h wad wymagających skorygowania</w:t>
      </w:r>
      <w:r w:rsidRPr="00097BCF">
        <w:rPr>
          <w:b/>
          <w:iCs/>
          <w:color w:val="000000" w:themeColor="text1"/>
          <w:sz w:val="24"/>
          <w:szCs w:val="24"/>
          <w:lang w:val="pl-PL"/>
        </w:rPr>
        <w:t xml:space="preserve"> </w:t>
      </w:r>
    </w:p>
    <w:p w14:paraId="4DC3E7E6" w14:textId="77777777" w:rsidR="00950534" w:rsidRPr="00A80201" w:rsidRDefault="00950534" w:rsidP="00950534">
      <w:pPr>
        <w:pStyle w:val="ClinContent"/>
        <w:widowControl w:val="0"/>
        <w:spacing w:before="0"/>
        <w:rPr>
          <w:rFonts w:asciiTheme="minorHAnsi" w:hAnsiTheme="minorHAnsi"/>
          <w:sz w:val="24"/>
          <w:lang w:val="pl-PL"/>
        </w:rPr>
      </w:pPr>
    </w:p>
    <w:p w14:paraId="6FA4336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Wobec skarżącego toczyło się postępowanie karne o odmowę </w:t>
      </w:r>
      <w:r w:rsidRPr="00B15C52">
        <w:rPr>
          <w:rFonts w:asciiTheme="minorHAnsi" w:hAnsiTheme="minorHAnsi"/>
          <w:sz w:val="24"/>
          <w:lang w:val="pl-PL"/>
        </w:rPr>
        <w:t>udostępnienia próbki jego materiału biologicznego w celu określenia poziomu zawartości alkoholu w</w:t>
      </w:r>
      <w:r>
        <w:rPr>
          <w:rFonts w:asciiTheme="minorHAnsi" w:hAnsiTheme="minorHAnsi"/>
          <w:sz w:val="24"/>
          <w:lang w:val="pl-PL"/>
        </w:rPr>
        <w:t>e</w:t>
      </w:r>
      <w:r w:rsidRPr="00B15C52">
        <w:rPr>
          <w:rFonts w:asciiTheme="minorHAnsi" w:hAnsiTheme="minorHAnsi"/>
          <w:sz w:val="24"/>
          <w:lang w:val="pl-PL"/>
        </w:rPr>
        <w:t xml:space="preserve"> krwi</w:t>
      </w:r>
      <w:r>
        <w:rPr>
          <w:rFonts w:asciiTheme="minorHAnsi" w:hAnsiTheme="minorHAnsi"/>
          <w:sz w:val="24"/>
          <w:lang w:val="pl-PL"/>
        </w:rPr>
        <w:t xml:space="preserve">. </w:t>
      </w:r>
    </w:p>
    <w:p w14:paraId="0954CFE3" w14:textId="77777777" w:rsidR="00950534" w:rsidRDefault="00950534" w:rsidP="00950534">
      <w:pPr>
        <w:pStyle w:val="ClinContent"/>
        <w:widowControl w:val="0"/>
        <w:spacing w:before="0"/>
        <w:rPr>
          <w:rFonts w:asciiTheme="minorHAnsi" w:hAnsiTheme="minorHAnsi"/>
          <w:sz w:val="24"/>
          <w:lang w:val="pl-PL"/>
        </w:rPr>
      </w:pPr>
    </w:p>
    <w:p w14:paraId="15B7E673" w14:textId="34E51716"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i/>
          <w:sz w:val="24"/>
          <w:lang w:val="pl-PL"/>
        </w:rPr>
        <w:t xml:space="preserve">Pierwsze postępowanie: </w:t>
      </w:r>
      <w:r w:rsidRPr="00B15C52">
        <w:rPr>
          <w:rFonts w:asciiTheme="minorHAnsi" w:hAnsiTheme="minorHAnsi"/>
          <w:sz w:val="24"/>
          <w:lang w:val="pl-PL"/>
        </w:rPr>
        <w:t>W sierpniu 2008 r., stwierdzając, że popełnione czyny nie były na</w:t>
      </w:r>
      <w:r w:rsidR="00092E2B">
        <w:rPr>
          <w:rFonts w:asciiTheme="minorHAnsi" w:hAnsiTheme="minorHAnsi"/>
          <w:sz w:val="24"/>
          <w:lang w:val="pl-PL"/>
        </w:rPr>
        <w:t> </w:t>
      </w:r>
      <w:r w:rsidRPr="00B15C52">
        <w:rPr>
          <w:rFonts w:asciiTheme="minorHAnsi" w:hAnsiTheme="minorHAnsi"/>
          <w:sz w:val="24"/>
          <w:lang w:val="pl-PL"/>
        </w:rPr>
        <w:t>tyle poważne, by stanowić przestępstwo, prokuratura umorzyła postępowanie karne wszczęte przeciwko skarżącemu. Zamiast tego nałożono na niego karę administracyjną (250</w:t>
      </w:r>
      <w:r w:rsidR="00092E2B">
        <w:rPr>
          <w:rFonts w:asciiTheme="minorHAnsi" w:hAnsiTheme="minorHAnsi"/>
          <w:sz w:val="24"/>
          <w:lang w:val="pl-PL"/>
        </w:rPr>
        <w:t> </w:t>
      </w:r>
      <w:r w:rsidRPr="00B15C52">
        <w:rPr>
          <w:rFonts w:asciiTheme="minorHAnsi" w:hAnsiTheme="minorHAnsi"/>
          <w:sz w:val="24"/>
          <w:lang w:val="pl-PL"/>
        </w:rPr>
        <w:t xml:space="preserve">euro). Skarżący nie odwoływał się od tej decyzji w przewidzianym w prawie krajowym terminie 20 dni i zapłacił grzywnę. </w:t>
      </w:r>
    </w:p>
    <w:p w14:paraId="4B1078FB" w14:textId="77777777" w:rsidR="00950534" w:rsidRDefault="00950534" w:rsidP="00950534">
      <w:pPr>
        <w:pStyle w:val="ClinContent"/>
        <w:widowControl w:val="0"/>
        <w:spacing w:before="0"/>
        <w:rPr>
          <w:rFonts w:asciiTheme="minorHAnsi" w:hAnsiTheme="minorHAnsi"/>
          <w:sz w:val="24"/>
          <w:lang w:val="pl-PL"/>
        </w:rPr>
      </w:pPr>
    </w:p>
    <w:p w14:paraId="51FE1FA8" w14:textId="51E90149"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i/>
          <w:sz w:val="24"/>
          <w:lang w:val="pl-PL"/>
        </w:rPr>
        <w:t xml:space="preserve">Drugie postępowanie: </w:t>
      </w:r>
      <w:r w:rsidRPr="00B15C52">
        <w:rPr>
          <w:rFonts w:asciiTheme="minorHAnsi" w:hAnsiTheme="minorHAnsi"/>
          <w:sz w:val="24"/>
          <w:lang w:val="pl-PL"/>
        </w:rPr>
        <w:t>W styczniu 2009 r. prokuratura wyższego szczebla uchyliła postanowienie o umorzeniu i karę grzywny administracyjnej</w:t>
      </w:r>
      <w:r>
        <w:rPr>
          <w:rFonts w:asciiTheme="minorHAnsi" w:hAnsiTheme="minorHAnsi"/>
          <w:sz w:val="24"/>
          <w:lang w:val="pl-PL"/>
        </w:rPr>
        <w:t>,</w:t>
      </w:r>
      <w:r w:rsidRPr="00B15C52">
        <w:rPr>
          <w:rFonts w:asciiTheme="minorHAnsi" w:hAnsiTheme="minorHAnsi"/>
          <w:sz w:val="24"/>
          <w:lang w:val="pl-PL"/>
        </w:rPr>
        <w:t xml:space="preserve"> nałożoną w pierwszym postępowaniu, stwierdzając, że okoliczności oraz zagrożenie społeczne czynów skarżącego przemawiały za uznaniem, że sama kara administracyjna była nieodpowiednia. </w:t>
      </w:r>
      <w:r>
        <w:rPr>
          <w:rFonts w:asciiTheme="minorHAnsi" w:hAnsiTheme="minorHAnsi"/>
          <w:sz w:val="24"/>
          <w:lang w:val="pl-PL"/>
        </w:rPr>
        <w:t>Skarżącemu wymierzono</w:t>
      </w:r>
      <w:r w:rsidRPr="00B15C52">
        <w:rPr>
          <w:rFonts w:asciiTheme="minorHAnsi" w:hAnsiTheme="minorHAnsi"/>
          <w:sz w:val="24"/>
          <w:lang w:val="pl-PL"/>
        </w:rPr>
        <w:t xml:space="preserve"> następnie karę pozbawienia wolności jednego roku w zawieszeniu. Sąd</w:t>
      </w:r>
      <w:r w:rsidR="00092E2B">
        <w:rPr>
          <w:rFonts w:asciiTheme="minorHAnsi" w:hAnsiTheme="minorHAnsi"/>
          <w:sz w:val="24"/>
          <w:lang w:val="pl-PL"/>
        </w:rPr>
        <w:t> </w:t>
      </w:r>
      <w:r w:rsidRPr="00B15C52">
        <w:rPr>
          <w:rFonts w:asciiTheme="minorHAnsi" w:hAnsiTheme="minorHAnsi"/>
          <w:sz w:val="24"/>
          <w:lang w:val="pl-PL"/>
        </w:rPr>
        <w:t xml:space="preserve">stwierdził, że nie można w sposób skuteczny powoływać się na zasadę </w:t>
      </w:r>
      <w:r w:rsidRPr="00B15C52">
        <w:rPr>
          <w:rFonts w:asciiTheme="minorHAnsi" w:hAnsiTheme="minorHAnsi"/>
          <w:i/>
          <w:sz w:val="24"/>
          <w:lang w:val="pl-PL"/>
        </w:rPr>
        <w:t xml:space="preserve">ne bis in idem, </w:t>
      </w:r>
      <w:r w:rsidRPr="00B15C52">
        <w:rPr>
          <w:rFonts w:asciiTheme="minorHAnsi" w:hAnsiTheme="minorHAnsi"/>
          <w:sz w:val="24"/>
          <w:lang w:val="pl-PL"/>
        </w:rPr>
        <w:t>ponieważ postanowienie o umorzeniu nie stanowiło wyroku skazującego lub</w:t>
      </w:r>
      <w:r w:rsidR="00092E2B">
        <w:rPr>
          <w:rFonts w:asciiTheme="minorHAnsi" w:hAnsiTheme="minorHAnsi"/>
          <w:sz w:val="24"/>
          <w:lang w:val="pl-PL"/>
        </w:rPr>
        <w:t> </w:t>
      </w:r>
      <w:r w:rsidRPr="00B15C52">
        <w:rPr>
          <w:rFonts w:asciiTheme="minorHAnsi" w:hAnsiTheme="minorHAnsi"/>
          <w:sz w:val="24"/>
          <w:lang w:val="pl-PL"/>
        </w:rPr>
        <w:t>uniewinniającego. Skarżący nie podjął działań w odniesieniu do zaoferowanej mu</w:t>
      </w:r>
      <w:r w:rsidR="00092E2B">
        <w:rPr>
          <w:rFonts w:asciiTheme="minorHAnsi" w:hAnsiTheme="minorHAnsi"/>
          <w:sz w:val="24"/>
          <w:lang w:val="pl-PL"/>
        </w:rPr>
        <w:t> </w:t>
      </w:r>
      <w:r w:rsidRPr="00B15C52">
        <w:rPr>
          <w:rFonts w:asciiTheme="minorHAnsi" w:hAnsiTheme="minorHAnsi"/>
          <w:sz w:val="24"/>
          <w:lang w:val="pl-PL"/>
        </w:rPr>
        <w:t xml:space="preserve">możliwości zwrotu zapłaconej grzywny. </w:t>
      </w:r>
    </w:p>
    <w:p w14:paraId="1D114E25" w14:textId="77777777" w:rsidR="00950534" w:rsidRDefault="00950534" w:rsidP="00950534">
      <w:pPr>
        <w:pStyle w:val="ClinContent"/>
        <w:widowControl w:val="0"/>
        <w:spacing w:before="0"/>
        <w:rPr>
          <w:rFonts w:asciiTheme="minorHAnsi" w:hAnsiTheme="minorHAnsi"/>
          <w:sz w:val="24"/>
          <w:lang w:val="pl-PL"/>
        </w:rPr>
      </w:pPr>
    </w:p>
    <w:p w14:paraId="3BEF9A50"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zbadał skargę z punktu widzenia zakazu ponownego sądzenia lub karania, przewidzianego w art. 4 Protokołu nr 7 do Konwencji. </w:t>
      </w:r>
    </w:p>
    <w:p w14:paraId="71FFC3BB" w14:textId="77777777" w:rsidR="00950534" w:rsidRDefault="00950534" w:rsidP="00950534">
      <w:pPr>
        <w:pStyle w:val="ClinContent"/>
        <w:widowControl w:val="0"/>
        <w:spacing w:before="0"/>
        <w:rPr>
          <w:rFonts w:asciiTheme="minorHAnsi" w:hAnsiTheme="minorHAnsi"/>
          <w:sz w:val="24"/>
          <w:lang w:val="pl-PL"/>
        </w:rPr>
      </w:pPr>
    </w:p>
    <w:p w14:paraId="7C04C083" w14:textId="77777777" w:rsidR="00950534" w:rsidRDefault="00950534" w:rsidP="00950534">
      <w:pPr>
        <w:pStyle w:val="ClinContent"/>
        <w:widowControl w:val="0"/>
        <w:spacing w:before="0"/>
        <w:rPr>
          <w:rFonts w:asciiTheme="minorHAnsi" w:hAnsiTheme="minorHAnsi"/>
          <w:i/>
          <w:sz w:val="24"/>
          <w:lang w:val="pl-PL"/>
        </w:rPr>
      </w:pPr>
      <w:r>
        <w:rPr>
          <w:rFonts w:asciiTheme="minorHAnsi" w:hAnsiTheme="minorHAnsi"/>
          <w:sz w:val="24"/>
          <w:lang w:val="pl-PL"/>
        </w:rPr>
        <w:t>Trybunał uznał na wstępie, że n</w:t>
      </w:r>
      <w:r w:rsidRPr="00B15C52">
        <w:rPr>
          <w:rFonts w:asciiTheme="minorHAnsi" w:hAnsiTheme="minorHAnsi"/>
          <w:sz w:val="24"/>
          <w:lang w:val="pl-PL"/>
        </w:rPr>
        <w:t>ałożona grzywna</w:t>
      </w:r>
      <w:r>
        <w:rPr>
          <w:rFonts w:asciiTheme="minorHAnsi" w:hAnsiTheme="minorHAnsi"/>
          <w:sz w:val="24"/>
          <w:lang w:val="pl-PL"/>
        </w:rPr>
        <w:t>, chociaż określana w Kodeksie karnym jako administracyjna,</w:t>
      </w:r>
      <w:r w:rsidRPr="00B15C52">
        <w:rPr>
          <w:rFonts w:asciiTheme="minorHAnsi" w:hAnsiTheme="minorHAnsi"/>
          <w:sz w:val="24"/>
          <w:lang w:val="pl-PL"/>
        </w:rPr>
        <w:t xml:space="preserve"> </w:t>
      </w:r>
      <w:r>
        <w:rPr>
          <w:rFonts w:asciiTheme="minorHAnsi" w:hAnsiTheme="minorHAnsi"/>
          <w:sz w:val="24"/>
          <w:lang w:val="pl-PL"/>
        </w:rPr>
        <w:t xml:space="preserve">z uwagi na swój charakter </w:t>
      </w:r>
      <w:r w:rsidRPr="00B15C52">
        <w:rPr>
          <w:rFonts w:asciiTheme="minorHAnsi" w:hAnsiTheme="minorHAnsi"/>
          <w:sz w:val="24"/>
          <w:lang w:val="pl-PL"/>
        </w:rPr>
        <w:t xml:space="preserve">może być uznana za karę w rozumieniu prawa karnego. </w:t>
      </w:r>
      <w:r>
        <w:rPr>
          <w:rFonts w:asciiTheme="minorHAnsi" w:hAnsiTheme="minorHAnsi"/>
          <w:sz w:val="24"/>
          <w:lang w:val="pl-PL"/>
        </w:rPr>
        <w:t>Ponadto f</w:t>
      </w:r>
      <w:r w:rsidRPr="00B15C52">
        <w:rPr>
          <w:rFonts w:asciiTheme="minorHAnsi" w:hAnsiTheme="minorHAnsi"/>
          <w:sz w:val="24"/>
          <w:lang w:val="pl-PL"/>
        </w:rPr>
        <w:t>akty, do których odnosiły się oba postępowania, były tożsame („</w:t>
      </w:r>
      <w:r w:rsidRPr="00B15C52">
        <w:rPr>
          <w:rFonts w:asciiTheme="minorHAnsi" w:hAnsiTheme="minorHAnsi"/>
          <w:i/>
          <w:sz w:val="24"/>
          <w:lang w:val="pl-PL"/>
        </w:rPr>
        <w:t>idem</w:t>
      </w:r>
      <w:r w:rsidRPr="00B15C52">
        <w:rPr>
          <w:rFonts w:asciiTheme="minorHAnsi" w:hAnsiTheme="minorHAnsi"/>
          <w:sz w:val="24"/>
          <w:lang w:val="pl-PL"/>
        </w:rPr>
        <w:t xml:space="preserve">”). Należało </w:t>
      </w:r>
      <w:r>
        <w:rPr>
          <w:rFonts w:asciiTheme="minorHAnsi" w:hAnsiTheme="minorHAnsi"/>
          <w:sz w:val="24"/>
          <w:lang w:val="pl-PL"/>
        </w:rPr>
        <w:t xml:space="preserve">zatem </w:t>
      </w:r>
      <w:r w:rsidRPr="00B15C52">
        <w:rPr>
          <w:rFonts w:asciiTheme="minorHAnsi" w:hAnsiTheme="minorHAnsi"/>
          <w:sz w:val="24"/>
          <w:lang w:val="pl-PL"/>
        </w:rPr>
        <w:t xml:space="preserve">ustalić, czy doszło do </w:t>
      </w:r>
      <w:r>
        <w:rPr>
          <w:rFonts w:asciiTheme="minorHAnsi" w:hAnsiTheme="minorHAnsi"/>
          <w:sz w:val="24"/>
          <w:lang w:val="pl-PL"/>
        </w:rPr>
        <w:t>powielenia</w:t>
      </w:r>
      <w:r w:rsidRPr="00B15C52">
        <w:rPr>
          <w:rFonts w:asciiTheme="minorHAnsi" w:hAnsiTheme="minorHAnsi"/>
          <w:sz w:val="24"/>
          <w:lang w:val="pl-PL"/>
        </w:rPr>
        <w:t xml:space="preserve"> postępowania („</w:t>
      </w:r>
      <w:r w:rsidRPr="00B15C52">
        <w:rPr>
          <w:rFonts w:asciiTheme="minorHAnsi" w:hAnsiTheme="minorHAnsi"/>
          <w:i/>
          <w:sz w:val="24"/>
          <w:lang w:val="pl-PL"/>
        </w:rPr>
        <w:t>bis</w:t>
      </w:r>
      <w:r w:rsidRPr="00B15C52">
        <w:rPr>
          <w:rFonts w:asciiTheme="minorHAnsi" w:hAnsiTheme="minorHAnsi"/>
          <w:sz w:val="24"/>
          <w:lang w:val="pl-PL"/>
        </w:rPr>
        <w:t xml:space="preserve">”). </w:t>
      </w:r>
    </w:p>
    <w:p w14:paraId="5D5A4ADD" w14:textId="77777777" w:rsidR="00950534" w:rsidRDefault="00950534" w:rsidP="00950534">
      <w:pPr>
        <w:pStyle w:val="ClinContent"/>
        <w:widowControl w:val="0"/>
        <w:spacing w:before="0"/>
        <w:rPr>
          <w:rFonts w:asciiTheme="minorHAnsi" w:hAnsiTheme="minorHAnsi"/>
          <w:i/>
          <w:sz w:val="24"/>
          <w:lang w:val="pl-PL"/>
        </w:rPr>
      </w:pPr>
    </w:p>
    <w:p w14:paraId="6BF6E210" w14:textId="11EAC942" w:rsidR="00950534" w:rsidRDefault="00950534" w:rsidP="00950534">
      <w:pPr>
        <w:pStyle w:val="ClinContent"/>
        <w:widowControl w:val="0"/>
        <w:spacing w:before="0"/>
        <w:rPr>
          <w:rFonts w:asciiTheme="minorHAnsi" w:hAnsiTheme="minorHAnsi"/>
          <w:sz w:val="24"/>
          <w:lang w:val="pl-PL"/>
        </w:rPr>
      </w:pPr>
      <w:r w:rsidRPr="0009692F">
        <w:rPr>
          <w:rFonts w:asciiTheme="minorHAnsi" w:hAnsiTheme="minorHAnsi"/>
          <w:sz w:val="24"/>
          <w:lang w:val="pl-PL"/>
        </w:rPr>
        <w:t>i)</w:t>
      </w:r>
      <w:r w:rsidRPr="00B15C52">
        <w:rPr>
          <w:rFonts w:asciiTheme="minorHAnsi" w:hAnsiTheme="minorHAnsi"/>
          <w:i/>
          <w:sz w:val="24"/>
          <w:lang w:val="pl-PL"/>
        </w:rPr>
        <w:t xml:space="preserve"> </w:t>
      </w:r>
      <w:r>
        <w:rPr>
          <w:rFonts w:asciiTheme="minorHAnsi" w:hAnsiTheme="minorHAnsi"/>
          <w:sz w:val="24"/>
          <w:lang w:val="pl-PL"/>
        </w:rPr>
        <w:t xml:space="preserve">W pierwszej kolejności Trybunał zbadał, </w:t>
      </w:r>
      <w:r w:rsidRPr="00E82AF9">
        <w:rPr>
          <w:rFonts w:asciiTheme="minorHAnsi" w:hAnsiTheme="minorHAnsi"/>
          <w:sz w:val="24"/>
          <w:u w:val="single"/>
          <w:lang w:val="pl-PL"/>
        </w:rPr>
        <w:t xml:space="preserve">czy </w:t>
      </w:r>
      <w:r w:rsidRPr="00E82AF9">
        <w:rPr>
          <w:rFonts w:asciiTheme="minorHAnsi" w:hAnsiTheme="minorHAnsi"/>
          <w:i/>
          <w:sz w:val="24"/>
          <w:u w:val="single"/>
          <w:lang w:val="pl-PL"/>
        </w:rPr>
        <w:t>oba postępowania były komplementarne</w:t>
      </w:r>
      <w:r w:rsidRPr="00E82AF9">
        <w:rPr>
          <w:rFonts w:asciiTheme="minorHAnsi" w:hAnsiTheme="minorHAnsi"/>
          <w:i/>
          <w:sz w:val="24"/>
          <w:lang w:val="pl-PL"/>
        </w:rPr>
        <w:t xml:space="preserve"> </w:t>
      </w:r>
      <w:r w:rsidRPr="00E82AF9">
        <w:rPr>
          <w:rFonts w:asciiTheme="minorHAnsi" w:hAnsiTheme="minorHAnsi"/>
          <w:sz w:val="24"/>
          <w:lang w:val="pl-PL"/>
        </w:rPr>
        <w:t>i</w:t>
      </w:r>
      <w:r w:rsidR="00092E2B">
        <w:rPr>
          <w:rFonts w:asciiTheme="minorHAnsi" w:hAnsiTheme="minorHAnsi"/>
          <w:sz w:val="24"/>
          <w:lang w:val="pl-PL"/>
        </w:rPr>
        <w:t> </w:t>
      </w:r>
      <w:r w:rsidRPr="00E82AF9">
        <w:rPr>
          <w:rFonts w:asciiTheme="minorHAnsi" w:hAnsiTheme="minorHAnsi"/>
          <w:sz w:val="24"/>
          <w:lang w:val="pl-PL"/>
        </w:rPr>
        <w:t>uznał, że nie miało to miejsca.</w:t>
      </w:r>
    </w:p>
    <w:p w14:paraId="794B8196" w14:textId="77777777" w:rsidR="00950534" w:rsidRDefault="00950534" w:rsidP="00950534">
      <w:pPr>
        <w:pStyle w:val="ClinContent"/>
        <w:widowControl w:val="0"/>
        <w:spacing w:before="0"/>
        <w:rPr>
          <w:rFonts w:asciiTheme="minorHAnsi" w:hAnsiTheme="minorHAnsi"/>
          <w:sz w:val="24"/>
          <w:lang w:val="pl-PL"/>
        </w:rPr>
      </w:pPr>
    </w:p>
    <w:p w14:paraId="60B74868" w14:textId="3B778D84"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Oba postępowania dotyczyły jednego przestępstwa podlegającego karze na mocy tego samego przepisu. Oba dążyły do realizacji tego samego ogólnego celu, były prowadzone przez ten sam organ ścigania, a dowody były te same. Miały one miejsce jedno po drugim i w</w:t>
      </w:r>
      <w:r w:rsidR="00092E2B">
        <w:rPr>
          <w:rFonts w:asciiTheme="minorHAnsi" w:hAnsiTheme="minorHAnsi"/>
          <w:sz w:val="24"/>
          <w:lang w:val="pl-PL"/>
        </w:rPr>
        <w:t> </w:t>
      </w:r>
      <w:r w:rsidRPr="00B15C52">
        <w:rPr>
          <w:rFonts w:asciiTheme="minorHAnsi" w:hAnsiTheme="minorHAnsi"/>
          <w:sz w:val="24"/>
          <w:lang w:val="pl-PL"/>
        </w:rPr>
        <w:t>żadnym momencie nie były prowadzone jednocześnie. Ponadto obie kary nie były łączone: albo jedna, albo druga powinna być nałożona w zależności od tego, czy organy uznały, że</w:t>
      </w:r>
      <w:r w:rsidR="00092E2B">
        <w:rPr>
          <w:rFonts w:asciiTheme="minorHAnsi" w:hAnsiTheme="minorHAnsi"/>
          <w:sz w:val="24"/>
          <w:lang w:val="pl-PL"/>
        </w:rPr>
        <w:t> </w:t>
      </w:r>
      <w:r w:rsidRPr="00B15C52">
        <w:rPr>
          <w:rFonts w:asciiTheme="minorHAnsi" w:hAnsiTheme="minorHAnsi"/>
          <w:sz w:val="24"/>
          <w:lang w:val="pl-PL"/>
        </w:rPr>
        <w:t>fakty wypełniały znamiona przestępstwa.</w:t>
      </w:r>
      <w:r>
        <w:rPr>
          <w:rFonts w:asciiTheme="minorHAnsi" w:hAnsiTheme="minorHAnsi"/>
          <w:sz w:val="24"/>
          <w:lang w:val="pl-PL"/>
        </w:rPr>
        <w:t xml:space="preserve"> </w:t>
      </w:r>
    </w:p>
    <w:p w14:paraId="7261B3CA" w14:textId="77777777" w:rsidR="00950534" w:rsidRDefault="00950534" w:rsidP="00950534">
      <w:pPr>
        <w:pStyle w:val="ClinContent"/>
        <w:widowControl w:val="0"/>
        <w:spacing w:before="0"/>
        <w:rPr>
          <w:rFonts w:asciiTheme="minorHAnsi" w:hAnsiTheme="minorHAnsi"/>
          <w:sz w:val="24"/>
          <w:lang w:val="pl-PL"/>
        </w:rPr>
      </w:pPr>
    </w:p>
    <w:p w14:paraId="293B4FCF" w14:textId="74C5B0B5" w:rsidR="00950534" w:rsidRDefault="00950534" w:rsidP="00950534">
      <w:pPr>
        <w:pStyle w:val="ClinContent"/>
        <w:widowControl w:val="0"/>
        <w:spacing w:before="0"/>
        <w:rPr>
          <w:rFonts w:asciiTheme="minorHAnsi" w:hAnsiTheme="minorHAnsi"/>
          <w:i/>
          <w:sz w:val="24"/>
          <w:lang w:val="pl-PL"/>
        </w:rPr>
      </w:pPr>
      <w:r>
        <w:rPr>
          <w:rFonts w:asciiTheme="minorHAnsi" w:hAnsiTheme="minorHAnsi"/>
          <w:sz w:val="24"/>
          <w:lang w:val="pl-PL"/>
        </w:rPr>
        <w:t>ii)</w:t>
      </w:r>
      <w:r w:rsidRPr="00B15C52">
        <w:rPr>
          <w:rFonts w:asciiTheme="minorHAnsi" w:hAnsiTheme="minorHAnsi"/>
          <w:i/>
          <w:sz w:val="24"/>
          <w:lang w:val="pl-PL"/>
        </w:rPr>
        <w:t xml:space="preserve"> </w:t>
      </w:r>
      <w:r>
        <w:rPr>
          <w:rFonts w:asciiTheme="minorHAnsi" w:hAnsiTheme="minorHAnsi"/>
          <w:sz w:val="24"/>
          <w:lang w:val="pl-PL"/>
        </w:rPr>
        <w:t xml:space="preserve">Następnie Trybunał przeanalizował, </w:t>
      </w:r>
      <w:r w:rsidRPr="00E82AF9">
        <w:rPr>
          <w:rFonts w:asciiTheme="minorHAnsi" w:hAnsiTheme="minorHAnsi"/>
          <w:sz w:val="24"/>
          <w:u w:val="single"/>
          <w:lang w:val="pl-PL"/>
        </w:rPr>
        <w:t>c</w:t>
      </w:r>
      <w:r w:rsidRPr="00E82AF9">
        <w:rPr>
          <w:rFonts w:asciiTheme="minorHAnsi" w:hAnsiTheme="minorHAnsi"/>
          <w:i/>
          <w:sz w:val="24"/>
          <w:u w:val="single"/>
          <w:lang w:val="pl-PL"/>
        </w:rPr>
        <w:t>zy postanowienie prokuratora może być uznane za</w:t>
      </w:r>
      <w:r w:rsidR="00092E2B">
        <w:rPr>
          <w:rFonts w:asciiTheme="minorHAnsi" w:hAnsiTheme="minorHAnsi"/>
          <w:i/>
          <w:sz w:val="24"/>
          <w:u w:val="single"/>
          <w:lang w:val="pl-PL"/>
        </w:rPr>
        <w:t> </w:t>
      </w:r>
      <w:r w:rsidRPr="00E82AF9">
        <w:rPr>
          <w:rFonts w:asciiTheme="minorHAnsi" w:hAnsiTheme="minorHAnsi"/>
          <w:i/>
          <w:sz w:val="24"/>
          <w:u w:val="single"/>
          <w:lang w:val="pl-PL"/>
        </w:rPr>
        <w:t>„</w:t>
      </w:r>
      <w:r>
        <w:rPr>
          <w:rFonts w:asciiTheme="minorHAnsi" w:hAnsiTheme="minorHAnsi"/>
          <w:i/>
          <w:sz w:val="24"/>
          <w:u w:val="single"/>
          <w:lang w:val="pl-PL"/>
        </w:rPr>
        <w:t>prawomocne</w:t>
      </w:r>
      <w:r w:rsidRPr="00E82AF9">
        <w:rPr>
          <w:rFonts w:asciiTheme="minorHAnsi" w:hAnsiTheme="minorHAnsi"/>
          <w:i/>
          <w:sz w:val="24"/>
          <w:u w:val="single"/>
          <w:lang w:val="pl-PL"/>
        </w:rPr>
        <w:t xml:space="preserve"> uniewinnienie lub skazanie”</w:t>
      </w:r>
      <w:r>
        <w:rPr>
          <w:rFonts w:asciiTheme="minorHAnsi" w:hAnsiTheme="minorHAnsi"/>
          <w:i/>
          <w:sz w:val="24"/>
          <w:u w:val="single"/>
          <w:lang w:val="pl-PL"/>
        </w:rPr>
        <w:t>.</w:t>
      </w:r>
    </w:p>
    <w:p w14:paraId="637182C0" w14:textId="77777777" w:rsidR="00950534" w:rsidRDefault="00950534" w:rsidP="00950534">
      <w:pPr>
        <w:pStyle w:val="ClinContent"/>
        <w:widowControl w:val="0"/>
        <w:spacing w:before="0"/>
        <w:rPr>
          <w:rFonts w:asciiTheme="minorHAnsi" w:hAnsiTheme="minorHAnsi"/>
          <w:i/>
          <w:sz w:val="24"/>
          <w:lang w:val="pl-PL"/>
        </w:rPr>
      </w:pPr>
    </w:p>
    <w:p w14:paraId="14B1F5B1" w14:textId="40E163C4"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Na podstawie przeprowadzonej analizy Trybunał uznał</w:t>
      </w:r>
      <w:r w:rsidRPr="00E82AF9">
        <w:rPr>
          <w:rFonts w:asciiTheme="minorHAnsi" w:hAnsiTheme="minorHAnsi"/>
          <w:sz w:val="24"/>
          <w:lang w:val="pl-PL"/>
        </w:rPr>
        <w:t>, że a</w:t>
      </w:r>
      <w:r w:rsidRPr="00B15C52">
        <w:rPr>
          <w:rFonts w:asciiTheme="minorHAnsi" w:hAnsiTheme="minorHAnsi"/>
          <w:sz w:val="24"/>
          <w:lang w:val="pl-PL"/>
        </w:rPr>
        <w:t xml:space="preserve">by decyzja była uwzględniona </w:t>
      </w:r>
      <w:r>
        <w:rPr>
          <w:rFonts w:asciiTheme="minorHAnsi" w:hAnsiTheme="minorHAnsi"/>
          <w:sz w:val="24"/>
          <w:lang w:val="pl-PL"/>
        </w:rPr>
        <w:t xml:space="preserve">jako uniewinnienie lub skazanie </w:t>
      </w:r>
      <w:r w:rsidRPr="00B15C52">
        <w:rPr>
          <w:rFonts w:asciiTheme="minorHAnsi" w:hAnsiTheme="minorHAnsi"/>
          <w:sz w:val="24"/>
          <w:lang w:val="pl-PL"/>
        </w:rPr>
        <w:t>do celów</w:t>
      </w:r>
      <w:r>
        <w:rPr>
          <w:rFonts w:asciiTheme="minorHAnsi" w:hAnsiTheme="minorHAnsi"/>
          <w:sz w:val="24"/>
          <w:lang w:val="pl-PL"/>
        </w:rPr>
        <w:t xml:space="preserve"> art. 4 Protokołu nr 7</w:t>
      </w:r>
      <w:r w:rsidRPr="00B15C52">
        <w:rPr>
          <w:rFonts w:asciiTheme="minorHAnsi" w:hAnsiTheme="minorHAnsi"/>
          <w:sz w:val="24"/>
          <w:lang w:val="pl-PL"/>
        </w:rPr>
        <w:t>, nie jest konieczna interwencja sądu. Liczy się to, czy przedmiotowa decyzja została wydana przez organ uczestniczący w wymiarze sprawiedliwości w danym krajowym systemie prawnym i</w:t>
      </w:r>
      <w:r w:rsidR="00092E2B">
        <w:rPr>
          <w:rFonts w:asciiTheme="minorHAnsi" w:hAnsiTheme="minorHAnsi"/>
          <w:sz w:val="24"/>
          <w:lang w:val="pl-PL"/>
        </w:rPr>
        <w:t> </w:t>
      </w:r>
      <w:r w:rsidRPr="00B15C52">
        <w:rPr>
          <w:rFonts w:asciiTheme="minorHAnsi" w:hAnsiTheme="minorHAnsi"/>
          <w:sz w:val="24"/>
          <w:lang w:val="pl-PL"/>
        </w:rPr>
        <w:t>czy</w:t>
      </w:r>
      <w:r w:rsidR="00092E2B">
        <w:rPr>
          <w:rFonts w:asciiTheme="minorHAnsi" w:hAnsiTheme="minorHAnsi"/>
          <w:sz w:val="24"/>
          <w:lang w:val="pl-PL"/>
        </w:rPr>
        <w:t> </w:t>
      </w:r>
      <w:r w:rsidRPr="00B15C52">
        <w:rPr>
          <w:rFonts w:asciiTheme="minorHAnsi" w:hAnsiTheme="minorHAnsi"/>
          <w:sz w:val="24"/>
          <w:lang w:val="pl-PL"/>
        </w:rPr>
        <w:t>organ ten był właściwy w świetle prawa krajowego do ustalenia niezgodnego z prawem zachowania oskarżonej o nie osoby</w:t>
      </w:r>
      <w:r>
        <w:rPr>
          <w:rFonts w:asciiTheme="minorHAnsi" w:hAnsiTheme="minorHAnsi"/>
          <w:sz w:val="24"/>
          <w:lang w:val="pl-PL"/>
        </w:rPr>
        <w:t xml:space="preserve"> </w:t>
      </w:r>
      <w:r w:rsidRPr="00B15C52">
        <w:rPr>
          <w:rFonts w:asciiTheme="minorHAnsi" w:hAnsiTheme="minorHAnsi"/>
          <w:sz w:val="24"/>
          <w:lang w:val="pl-PL"/>
        </w:rPr>
        <w:t xml:space="preserve">i </w:t>
      </w:r>
      <w:r>
        <w:rPr>
          <w:rFonts w:asciiTheme="minorHAnsi" w:hAnsiTheme="minorHAnsi"/>
          <w:sz w:val="24"/>
          <w:lang w:val="pl-PL"/>
        </w:rPr>
        <w:t xml:space="preserve">do jej </w:t>
      </w:r>
      <w:r w:rsidRPr="00B15C52">
        <w:rPr>
          <w:rFonts w:asciiTheme="minorHAnsi" w:hAnsiTheme="minorHAnsi"/>
          <w:sz w:val="24"/>
          <w:lang w:val="pl-PL"/>
        </w:rPr>
        <w:t>ukarania</w:t>
      </w:r>
      <w:r>
        <w:rPr>
          <w:rFonts w:asciiTheme="minorHAnsi" w:hAnsiTheme="minorHAnsi"/>
          <w:sz w:val="24"/>
          <w:lang w:val="pl-PL"/>
        </w:rPr>
        <w:t xml:space="preserve">, </w:t>
      </w:r>
      <w:r w:rsidRPr="00B15C52">
        <w:rPr>
          <w:rFonts w:asciiTheme="minorHAnsi" w:hAnsiTheme="minorHAnsi"/>
          <w:sz w:val="24"/>
          <w:lang w:val="pl-PL"/>
        </w:rPr>
        <w:t xml:space="preserve">gdy to stosowne. Nie ma większego znaczenia to, że przedmiotowa decyzja nie została wydana w formie wyroku, gdyż taki aspekt proceduralny i formalny nie może mieć wpływu na jej skutki. </w:t>
      </w:r>
    </w:p>
    <w:p w14:paraId="0A2B3709" w14:textId="77777777" w:rsidR="00950534" w:rsidRDefault="00950534" w:rsidP="00950534">
      <w:pPr>
        <w:pStyle w:val="ClinContent"/>
        <w:widowControl w:val="0"/>
        <w:spacing w:before="0"/>
        <w:rPr>
          <w:rFonts w:asciiTheme="minorHAnsi" w:hAnsiTheme="minorHAnsi"/>
          <w:sz w:val="24"/>
          <w:lang w:val="pl-PL"/>
        </w:rPr>
      </w:pPr>
    </w:p>
    <w:p w14:paraId="36EAFC6F" w14:textId="7039BB1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odniesieniu do kwestii, </w:t>
      </w:r>
      <w:r w:rsidRPr="0009692F">
        <w:rPr>
          <w:rFonts w:asciiTheme="minorHAnsi" w:hAnsiTheme="minorHAnsi"/>
          <w:sz w:val="24"/>
          <w:u w:val="single"/>
          <w:lang w:val="pl-PL"/>
        </w:rPr>
        <w:t>k</w:t>
      </w:r>
      <w:r w:rsidRPr="0009692F">
        <w:rPr>
          <w:rFonts w:asciiTheme="minorHAnsi" w:hAnsiTheme="minorHAnsi"/>
          <w:i/>
          <w:sz w:val="24"/>
          <w:u w:val="single"/>
          <w:lang w:val="pl-PL"/>
        </w:rPr>
        <w:t>iedy można powiedzieć o osobie oskarżonej, że została „uniewinniona” lub „skazana”,</w:t>
      </w:r>
      <w:r>
        <w:rPr>
          <w:rFonts w:asciiTheme="minorHAnsi" w:hAnsiTheme="minorHAnsi"/>
          <w:i/>
          <w:sz w:val="24"/>
          <w:lang w:val="pl-PL"/>
        </w:rPr>
        <w:t xml:space="preserve"> </w:t>
      </w:r>
      <w:r>
        <w:rPr>
          <w:rFonts w:asciiTheme="minorHAnsi" w:hAnsiTheme="minorHAnsi"/>
          <w:sz w:val="24"/>
          <w:lang w:val="pl-PL"/>
        </w:rPr>
        <w:t>Trybunał wskazał, że</w:t>
      </w:r>
      <w:r w:rsidRPr="00B15C52">
        <w:rPr>
          <w:rFonts w:asciiTheme="minorHAnsi" w:hAnsiTheme="minorHAnsi"/>
          <w:sz w:val="24"/>
          <w:lang w:val="pl-PL"/>
        </w:rPr>
        <w:t xml:space="preserve"> świadomy wybór słów „skazany […] lub</w:t>
      </w:r>
      <w:r w:rsidR="00092E2B">
        <w:rPr>
          <w:rFonts w:asciiTheme="minorHAnsi" w:hAnsiTheme="minorHAnsi"/>
          <w:sz w:val="24"/>
          <w:lang w:val="pl-PL"/>
        </w:rPr>
        <w:t> </w:t>
      </w:r>
      <w:r w:rsidRPr="00B15C52">
        <w:rPr>
          <w:rFonts w:asciiTheme="minorHAnsi" w:hAnsiTheme="minorHAnsi"/>
          <w:sz w:val="24"/>
          <w:lang w:val="pl-PL"/>
        </w:rPr>
        <w:t>uniewinniony” w tekście Protokołu nr 7 oznacza, że odpowiedzialność „karna” oskarżonego została ustalona po ocenie okoliczności sprawy. Aby taka ocena miała miejsce, kluczowe jest, by organ wydający decyzję miał przyznane prawem krajowym uprawnienie decyzyjne w tym zakresie. Ustalenie, że doszło do oceny istoty sprawy, może być poparte postępem w postępowaniu. Ma to zastosowanie, na przykład, gdy</w:t>
      </w:r>
      <w:r>
        <w:rPr>
          <w:rFonts w:asciiTheme="minorHAnsi" w:hAnsiTheme="minorHAnsi"/>
          <w:sz w:val="24"/>
          <w:lang w:val="pl-PL"/>
        </w:rPr>
        <w:t>:</w:t>
      </w:r>
    </w:p>
    <w:p w14:paraId="6FE2EF96" w14:textId="77777777" w:rsidR="00950534" w:rsidRDefault="00950534" w:rsidP="00950534">
      <w:pPr>
        <w:pStyle w:val="ClinContent"/>
        <w:widowControl w:val="0"/>
        <w:numPr>
          <w:ilvl w:val="0"/>
          <w:numId w:val="37"/>
        </w:numPr>
        <w:spacing w:before="0"/>
        <w:rPr>
          <w:rFonts w:asciiTheme="minorHAnsi" w:hAnsiTheme="minorHAnsi"/>
          <w:sz w:val="24"/>
          <w:lang w:val="pl-PL"/>
        </w:rPr>
      </w:pPr>
      <w:r>
        <w:rPr>
          <w:rFonts w:asciiTheme="minorHAnsi" w:hAnsiTheme="minorHAnsi"/>
          <w:sz w:val="24"/>
          <w:lang w:val="pl-PL"/>
        </w:rPr>
        <w:t>wszczęto</w:t>
      </w:r>
      <w:r w:rsidRPr="00B15C52">
        <w:rPr>
          <w:rFonts w:asciiTheme="minorHAnsi" w:hAnsiTheme="minorHAnsi"/>
          <w:sz w:val="24"/>
          <w:lang w:val="pl-PL"/>
        </w:rPr>
        <w:t xml:space="preserve"> śledztwo karne z postawieniem zarzutów oskarżonemu, </w:t>
      </w:r>
      <w:r>
        <w:rPr>
          <w:rFonts w:asciiTheme="minorHAnsi" w:hAnsiTheme="minorHAnsi"/>
          <w:sz w:val="24"/>
          <w:lang w:val="pl-PL"/>
        </w:rPr>
        <w:t>przesłuchano ofiarę</w:t>
      </w:r>
      <w:r w:rsidRPr="00B15C52">
        <w:rPr>
          <w:rFonts w:asciiTheme="minorHAnsi" w:hAnsiTheme="minorHAnsi"/>
          <w:sz w:val="24"/>
          <w:lang w:val="pl-PL"/>
        </w:rPr>
        <w:t xml:space="preserve">, </w:t>
      </w:r>
      <w:r>
        <w:rPr>
          <w:rFonts w:asciiTheme="minorHAnsi" w:hAnsiTheme="minorHAnsi"/>
          <w:sz w:val="24"/>
          <w:lang w:val="pl-PL"/>
        </w:rPr>
        <w:t xml:space="preserve">właściwy organ zebrał i zbadał </w:t>
      </w:r>
      <w:r w:rsidRPr="00B15C52">
        <w:rPr>
          <w:rFonts w:asciiTheme="minorHAnsi" w:hAnsiTheme="minorHAnsi"/>
          <w:sz w:val="24"/>
          <w:lang w:val="pl-PL"/>
        </w:rPr>
        <w:t xml:space="preserve">dowody oraz </w:t>
      </w:r>
      <w:r>
        <w:rPr>
          <w:rFonts w:asciiTheme="minorHAnsi" w:hAnsiTheme="minorHAnsi"/>
          <w:sz w:val="24"/>
          <w:lang w:val="pl-PL"/>
        </w:rPr>
        <w:t>wydano decyzję</w:t>
      </w:r>
      <w:r w:rsidRPr="00B15C52">
        <w:rPr>
          <w:rFonts w:asciiTheme="minorHAnsi" w:hAnsiTheme="minorHAnsi"/>
          <w:sz w:val="24"/>
          <w:lang w:val="pl-PL"/>
        </w:rPr>
        <w:t xml:space="preserve"> z uzasadnieniem w oparciu o te dowody; lub </w:t>
      </w:r>
    </w:p>
    <w:p w14:paraId="700E2F59"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właściwy organ zarządził karę na skutek zachowania przypisanego oskarżonemu. </w:t>
      </w:r>
    </w:p>
    <w:p w14:paraId="6B3B4BDC" w14:textId="77777777" w:rsidR="00950534" w:rsidRDefault="00950534" w:rsidP="00950534">
      <w:pPr>
        <w:pStyle w:val="ClinContent"/>
        <w:widowControl w:val="0"/>
        <w:spacing w:before="0"/>
        <w:ind w:left="360"/>
        <w:rPr>
          <w:rFonts w:asciiTheme="minorHAnsi" w:hAnsiTheme="minorHAnsi"/>
          <w:sz w:val="24"/>
          <w:lang w:val="pl-PL"/>
        </w:rPr>
      </w:pPr>
    </w:p>
    <w:p w14:paraId="5CDA31BA"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Mając na uwadze śledztwo prowadzone przez prokuratora, uprawnienia przyznane mu na mocy prawa krajowego oraz fakt, że na skarżącego n</w:t>
      </w:r>
      <w:r>
        <w:rPr>
          <w:rFonts w:asciiTheme="minorHAnsi" w:hAnsiTheme="minorHAnsi"/>
          <w:sz w:val="24"/>
          <w:lang w:val="pl-PL"/>
        </w:rPr>
        <w:t>ałożono</w:t>
      </w:r>
      <w:r w:rsidRPr="00B15C52">
        <w:rPr>
          <w:rFonts w:asciiTheme="minorHAnsi" w:hAnsiTheme="minorHAnsi"/>
          <w:sz w:val="24"/>
          <w:lang w:val="pl-PL"/>
        </w:rPr>
        <w:t xml:space="preserve"> kar</w:t>
      </w:r>
      <w:r>
        <w:rPr>
          <w:rFonts w:asciiTheme="minorHAnsi" w:hAnsiTheme="minorHAnsi"/>
          <w:sz w:val="24"/>
          <w:lang w:val="pl-PL"/>
        </w:rPr>
        <w:t>ę</w:t>
      </w:r>
      <w:r w:rsidRPr="00B15C52">
        <w:rPr>
          <w:rFonts w:asciiTheme="minorHAnsi" w:hAnsiTheme="minorHAnsi"/>
          <w:sz w:val="24"/>
          <w:lang w:val="pl-PL"/>
        </w:rPr>
        <w:t xml:space="preserve"> o charakterze odstraszającym i represyjnym, </w:t>
      </w:r>
      <w:r>
        <w:rPr>
          <w:rFonts w:asciiTheme="minorHAnsi" w:hAnsiTheme="minorHAnsi"/>
          <w:sz w:val="24"/>
          <w:lang w:val="pl-PL"/>
        </w:rPr>
        <w:t xml:space="preserve">Trybunał uznał, że </w:t>
      </w:r>
      <w:r w:rsidRPr="00B15C52">
        <w:rPr>
          <w:rFonts w:asciiTheme="minorHAnsi" w:hAnsiTheme="minorHAnsi"/>
          <w:sz w:val="24"/>
          <w:lang w:val="pl-PL"/>
        </w:rPr>
        <w:t xml:space="preserve">przedmiotowe postanowienie </w:t>
      </w:r>
      <w:r>
        <w:rPr>
          <w:rFonts w:asciiTheme="minorHAnsi" w:hAnsiTheme="minorHAnsi"/>
          <w:sz w:val="24"/>
          <w:lang w:val="pl-PL"/>
        </w:rPr>
        <w:t xml:space="preserve">prokuratora </w:t>
      </w:r>
      <w:r w:rsidRPr="00B15C52">
        <w:rPr>
          <w:rFonts w:asciiTheme="minorHAnsi" w:hAnsiTheme="minorHAnsi"/>
          <w:sz w:val="24"/>
          <w:lang w:val="pl-PL"/>
        </w:rPr>
        <w:t xml:space="preserve">w istocie pociągało za sobą „skazanie” w materialnym znaczeniu tego pojęcia. </w:t>
      </w:r>
    </w:p>
    <w:p w14:paraId="39B2A1AF" w14:textId="77777777" w:rsidR="00950534" w:rsidRDefault="00950534" w:rsidP="00950534">
      <w:pPr>
        <w:pStyle w:val="ClinContent"/>
        <w:widowControl w:val="0"/>
        <w:spacing w:before="0"/>
        <w:rPr>
          <w:rFonts w:asciiTheme="minorHAnsi" w:hAnsiTheme="minorHAnsi"/>
          <w:sz w:val="24"/>
          <w:lang w:val="pl-PL"/>
        </w:rPr>
      </w:pPr>
    </w:p>
    <w:p w14:paraId="14F18CBF" w14:textId="77777777" w:rsidR="00950534" w:rsidRDefault="00950534" w:rsidP="00950534">
      <w:pPr>
        <w:pStyle w:val="ClinContent"/>
        <w:widowControl w:val="0"/>
        <w:spacing w:before="0"/>
        <w:rPr>
          <w:rFonts w:asciiTheme="minorHAnsi" w:hAnsiTheme="minorHAnsi"/>
          <w:i/>
          <w:sz w:val="24"/>
          <w:u w:val="single"/>
          <w:lang w:val="pl-PL"/>
        </w:rPr>
      </w:pPr>
      <w:r>
        <w:rPr>
          <w:rFonts w:asciiTheme="minorHAnsi" w:hAnsiTheme="minorHAnsi"/>
          <w:sz w:val="24"/>
          <w:lang w:val="pl-PL"/>
        </w:rPr>
        <w:lastRenderedPageBreak/>
        <w:t xml:space="preserve">iii) Trybunał ocenił ponadto, </w:t>
      </w:r>
      <w:r w:rsidRPr="00D60F6D">
        <w:rPr>
          <w:rFonts w:asciiTheme="minorHAnsi" w:hAnsiTheme="minorHAnsi"/>
          <w:sz w:val="24"/>
          <w:u w:val="single"/>
          <w:lang w:val="pl-PL"/>
        </w:rPr>
        <w:t>c</w:t>
      </w:r>
      <w:r w:rsidRPr="00D60F6D">
        <w:rPr>
          <w:rFonts w:asciiTheme="minorHAnsi" w:hAnsiTheme="minorHAnsi"/>
          <w:i/>
          <w:sz w:val="24"/>
          <w:u w:val="single"/>
          <w:lang w:val="pl-PL"/>
        </w:rPr>
        <w:t>zy pierwotne „skazanie” skarżącego przez prokuratora było „prawomocne”</w:t>
      </w:r>
      <w:r>
        <w:rPr>
          <w:rFonts w:asciiTheme="minorHAnsi" w:hAnsiTheme="minorHAnsi"/>
          <w:i/>
          <w:sz w:val="24"/>
          <w:u w:val="single"/>
          <w:lang w:val="pl-PL"/>
        </w:rPr>
        <w:t xml:space="preserve">. </w:t>
      </w:r>
    </w:p>
    <w:p w14:paraId="11B12A85" w14:textId="77777777" w:rsidR="00950534" w:rsidRDefault="00950534" w:rsidP="00950534">
      <w:pPr>
        <w:pStyle w:val="ClinContent"/>
        <w:widowControl w:val="0"/>
        <w:spacing w:before="0"/>
        <w:rPr>
          <w:rFonts w:asciiTheme="minorHAnsi" w:hAnsiTheme="minorHAnsi"/>
          <w:i/>
          <w:sz w:val="24"/>
          <w:u w:val="single"/>
          <w:lang w:val="pl-PL"/>
        </w:rPr>
      </w:pPr>
    </w:p>
    <w:p w14:paraId="54B8ED75" w14:textId="7AC1C579"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Chociaż tekst art. 4 Protokołu nr 7 zawiera wyraźne odwołanie do prawa państwa, które wydało przedmiotowe orzeczenie, niemniej jednak orzecznictwo Trybunału sugeruje, że</w:t>
      </w:r>
      <w:r w:rsidR="00092E2B">
        <w:rPr>
          <w:rFonts w:asciiTheme="minorHAnsi" w:hAnsiTheme="minorHAnsi"/>
          <w:sz w:val="24"/>
          <w:lang w:val="pl-PL"/>
        </w:rPr>
        <w:t> </w:t>
      </w:r>
      <w:r w:rsidRPr="00B15C52">
        <w:rPr>
          <w:rFonts w:asciiTheme="minorHAnsi" w:hAnsiTheme="minorHAnsi"/>
          <w:sz w:val="24"/>
          <w:lang w:val="pl-PL"/>
        </w:rPr>
        <w:t>termin „prawomocny” należy interpretować w sposób do pewnego stopnia autonomiczny, gdy uzasadniają to poważne powody.</w:t>
      </w:r>
      <w:r>
        <w:rPr>
          <w:rFonts w:asciiTheme="minorHAnsi" w:hAnsiTheme="minorHAnsi"/>
          <w:sz w:val="24"/>
          <w:lang w:val="pl-PL"/>
        </w:rPr>
        <w:t xml:space="preserve"> </w:t>
      </w:r>
    </w:p>
    <w:p w14:paraId="557A83BC" w14:textId="77777777" w:rsidR="00950534" w:rsidRDefault="00950534" w:rsidP="00950534">
      <w:pPr>
        <w:pStyle w:val="ClinContent"/>
        <w:widowControl w:val="0"/>
        <w:spacing w:before="0"/>
        <w:rPr>
          <w:rFonts w:asciiTheme="minorHAnsi" w:hAnsiTheme="minorHAnsi"/>
          <w:sz w:val="24"/>
          <w:lang w:val="pl-PL"/>
        </w:rPr>
      </w:pPr>
    </w:p>
    <w:p w14:paraId="581CA228"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Decyzję należy uważać za „prawomocną”, jeśli nie podlega już dłużej „zwyczajnym środkom odwoławczym”. Ustalając „zwyczajne” środki odwoławcze w konkretnej sprawie, Trybunał uwzględni</w:t>
      </w:r>
      <w:r>
        <w:rPr>
          <w:rFonts w:asciiTheme="minorHAnsi" w:hAnsiTheme="minorHAnsi"/>
          <w:sz w:val="24"/>
          <w:lang w:val="pl-PL"/>
        </w:rPr>
        <w:t>a</w:t>
      </w:r>
      <w:r w:rsidRPr="00B15C52">
        <w:rPr>
          <w:rFonts w:asciiTheme="minorHAnsi" w:hAnsiTheme="minorHAnsi"/>
          <w:sz w:val="24"/>
          <w:lang w:val="pl-PL"/>
        </w:rPr>
        <w:t xml:space="preserve"> jako punkt wyjścia krajowe prawo i procedurę. </w:t>
      </w:r>
    </w:p>
    <w:p w14:paraId="5D85B0B8" w14:textId="77777777" w:rsidR="00950534" w:rsidRDefault="00950534" w:rsidP="00950534">
      <w:pPr>
        <w:pStyle w:val="ClinContent"/>
        <w:widowControl w:val="0"/>
        <w:spacing w:before="0"/>
        <w:rPr>
          <w:rFonts w:asciiTheme="minorHAnsi" w:hAnsiTheme="minorHAnsi"/>
          <w:sz w:val="24"/>
          <w:lang w:val="pl-PL"/>
        </w:rPr>
      </w:pPr>
    </w:p>
    <w:p w14:paraId="6CD97B07" w14:textId="7DA1990E"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Zasada pewności prawnej wymaga, po pierwsze, by zakres takiego środka odwoławczego był</w:t>
      </w:r>
      <w:r w:rsidR="00092E2B">
        <w:rPr>
          <w:rFonts w:asciiTheme="minorHAnsi" w:hAnsiTheme="minorHAnsi"/>
          <w:sz w:val="24"/>
          <w:lang w:val="pl-PL"/>
        </w:rPr>
        <w:t> </w:t>
      </w:r>
      <w:r w:rsidRPr="00B15C52">
        <w:rPr>
          <w:rFonts w:asciiTheme="minorHAnsi" w:hAnsiTheme="minorHAnsi"/>
          <w:sz w:val="24"/>
          <w:lang w:val="pl-PL"/>
        </w:rPr>
        <w:t xml:space="preserve">jasno ograniczony w czasie, a po drugie, by procedura jego wykorzystywania była jasna dla stron, które są uprawnione do skorzystania z niego. Innymi słowy, środek powinien funkcjonować w sposób zapewniający jasność co do terminu, w którym decyzja staje się ostateczna. </w:t>
      </w:r>
    </w:p>
    <w:p w14:paraId="6E51A2DE" w14:textId="77777777" w:rsidR="00950534" w:rsidRDefault="00950534" w:rsidP="00950534">
      <w:pPr>
        <w:pStyle w:val="ClinContent"/>
        <w:widowControl w:val="0"/>
        <w:spacing w:before="0"/>
        <w:rPr>
          <w:rFonts w:asciiTheme="minorHAnsi" w:hAnsiTheme="minorHAnsi"/>
          <w:sz w:val="24"/>
          <w:lang w:val="pl-PL"/>
        </w:rPr>
      </w:pPr>
    </w:p>
    <w:p w14:paraId="4CE20B12" w14:textId="77777777" w:rsidR="00950534" w:rsidRDefault="00950534" w:rsidP="00950534">
      <w:pPr>
        <w:pStyle w:val="ClinContent"/>
        <w:widowControl w:val="0"/>
        <w:spacing w:before="0"/>
        <w:rPr>
          <w:rFonts w:asciiTheme="minorHAnsi" w:hAnsiTheme="minorHAnsi"/>
          <w:sz w:val="24"/>
          <w:lang w:val="pl-PL"/>
        </w:rPr>
      </w:pPr>
      <w:r w:rsidRPr="00D60F6D">
        <w:rPr>
          <w:rFonts w:asciiTheme="minorHAnsi" w:hAnsiTheme="minorHAnsi"/>
          <w:sz w:val="24"/>
          <w:lang w:val="pl-PL"/>
        </w:rPr>
        <w:t xml:space="preserve">W </w:t>
      </w:r>
      <w:r>
        <w:rPr>
          <w:rFonts w:asciiTheme="minorHAnsi" w:hAnsiTheme="minorHAnsi"/>
          <w:sz w:val="24"/>
          <w:lang w:val="pl-PL"/>
        </w:rPr>
        <w:t>omawianej sp</w:t>
      </w:r>
      <w:r w:rsidRPr="00D60F6D">
        <w:rPr>
          <w:rFonts w:asciiTheme="minorHAnsi" w:hAnsiTheme="minorHAnsi"/>
          <w:sz w:val="24"/>
          <w:lang w:val="pl-PL"/>
        </w:rPr>
        <w:t xml:space="preserve">rawie </w:t>
      </w:r>
      <w:r>
        <w:rPr>
          <w:rFonts w:asciiTheme="minorHAnsi" w:hAnsiTheme="minorHAnsi"/>
          <w:sz w:val="24"/>
          <w:lang w:val="pl-PL"/>
        </w:rPr>
        <w:t>m</w:t>
      </w:r>
      <w:r w:rsidRPr="00B15C52">
        <w:rPr>
          <w:rFonts w:asciiTheme="minorHAnsi" w:hAnsiTheme="minorHAnsi"/>
          <w:sz w:val="24"/>
          <w:lang w:val="pl-PL"/>
        </w:rPr>
        <w:t>ożliwość wznowienia postępowania z urzędu przez prokuraturę wyższego szczebla bez ograniczenia jakimkolwiek terminem</w:t>
      </w:r>
      <w:r w:rsidRPr="00B15C52">
        <w:rPr>
          <w:rFonts w:asciiTheme="minorHAnsi" w:hAnsiTheme="minorHAnsi"/>
          <w:i/>
          <w:sz w:val="24"/>
          <w:lang w:val="pl-PL"/>
        </w:rPr>
        <w:t xml:space="preserve"> </w:t>
      </w:r>
      <w:r w:rsidRPr="00B15C52">
        <w:rPr>
          <w:rFonts w:asciiTheme="minorHAnsi" w:hAnsiTheme="minorHAnsi"/>
          <w:sz w:val="24"/>
          <w:lang w:val="pl-PL"/>
        </w:rPr>
        <w:t xml:space="preserve">nie stanowiła „zwyczajnego środka odwoławczego”. Nie była zatem istotna dla ustalenia, czy pierwotne skazanie skarżącego było „prawomocne” w autonomicznym znaczeniu tego pojęcia w art. 4 Protokołu nr 7. </w:t>
      </w:r>
    </w:p>
    <w:p w14:paraId="16CF8516" w14:textId="77777777" w:rsidR="00950534" w:rsidRDefault="00950534" w:rsidP="00950534">
      <w:pPr>
        <w:pStyle w:val="ClinContent"/>
        <w:widowControl w:val="0"/>
        <w:spacing w:before="0"/>
        <w:rPr>
          <w:rFonts w:asciiTheme="minorHAnsi" w:hAnsiTheme="minorHAnsi"/>
          <w:sz w:val="24"/>
          <w:lang w:val="pl-PL"/>
        </w:rPr>
      </w:pPr>
    </w:p>
    <w:p w14:paraId="323164C6" w14:textId="24BE2D8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że t</w:t>
      </w:r>
      <w:r w:rsidRPr="00B15C52">
        <w:rPr>
          <w:rFonts w:asciiTheme="minorHAnsi" w:hAnsiTheme="minorHAnsi"/>
          <w:sz w:val="24"/>
          <w:lang w:val="pl-PL"/>
        </w:rPr>
        <w:t>ylko dostępna skarżącemu możliwość zaskarżenia postanowienia o</w:t>
      </w:r>
      <w:r w:rsidR="00092E2B">
        <w:rPr>
          <w:rFonts w:asciiTheme="minorHAnsi" w:hAnsiTheme="minorHAnsi"/>
          <w:sz w:val="24"/>
          <w:lang w:val="pl-PL"/>
        </w:rPr>
        <w:t> </w:t>
      </w:r>
      <w:r w:rsidRPr="00B15C52">
        <w:rPr>
          <w:rFonts w:asciiTheme="minorHAnsi" w:hAnsiTheme="minorHAnsi"/>
          <w:sz w:val="24"/>
          <w:lang w:val="pl-PL"/>
        </w:rPr>
        <w:t>umorzeniu mogła być uznana za „zwyczajny” środek odwoławczy z tego względu, że jego wykorzystanie było ograniczone terminem 20 dni. A zatem z upływem tego terminu, do</w:t>
      </w:r>
      <w:r w:rsidR="00092E2B">
        <w:rPr>
          <w:rFonts w:asciiTheme="minorHAnsi" w:hAnsiTheme="minorHAnsi"/>
          <w:sz w:val="24"/>
          <w:lang w:val="pl-PL"/>
        </w:rPr>
        <w:t> </w:t>
      </w:r>
      <w:r>
        <w:rPr>
          <w:rFonts w:asciiTheme="minorHAnsi" w:hAnsiTheme="minorHAnsi"/>
          <w:sz w:val="24"/>
          <w:lang w:val="pl-PL"/>
        </w:rPr>
        <w:t xml:space="preserve">czego </w:t>
      </w:r>
      <w:r w:rsidRPr="00B15C52">
        <w:rPr>
          <w:rFonts w:asciiTheme="minorHAnsi" w:hAnsiTheme="minorHAnsi"/>
          <w:sz w:val="24"/>
          <w:lang w:val="pl-PL"/>
        </w:rPr>
        <w:t>dopuścił skarżący, przedmiotowe postanowienie stało się „prawomocne” w</w:t>
      </w:r>
      <w:r w:rsidR="00092E2B">
        <w:rPr>
          <w:rFonts w:asciiTheme="minorHAnsi" w:hAnsiTheme="minorHAnsi"/>
          <w:sz w:val="24"/>
          <w:lang w:val="pl-PL"/>
        </w:rPr>
        <w:t> </w:t>
      </w:r>
      <w:r w:rsidRPr="00B15C52">
        <w:rPr>
          <w:rFonts w:asciiTheme="minorHAnsi" w:hAnsiTheme="minorHAnsi"/>
          <w:sz w:val="24"/>
          <w:lang w:val="pl-PL"/>
        </w:rPr>
        <w:t>autonomicznym konwencyjnym znaczeniu tego pojęcia</w:t>
      </w:r>
      <w:r>
        <w:rPr>
          <w:rFonts w:asciiTheme="minorHAnsi" w:hAnsiTheme="minorHAnsi"/>
          <w:sz w:val="24"/>
          <w:lang w:val="pl-PL"/>
        </w:rPr>
        <w:t xml:space="preserve">. Stało się to </w:t>
      </w:r>
      <w:r w:rsidRPr="00B15C52">
        <w:rPr>
          <w:rFonts w:asciiTheme="minorHAnsi" w:hAnsiTheme="minorHAnsi"/>
          <w:sz w:val="24"/>
          <w:lang w:val="pl-PL"/>
        </w:rPr>
        <w:t>na długo przed uznaniowym wznowieniem postępowania karnego przez prokuratora wyższego szczebla.</w:t>
      </w:r>
      <w:r>
        <w:rPr>
          <w:rFonts w:asciiTheme="minorHAnsi" w:hAnsiTheme="minorHAnsi"/>
          <w:sz w:val="24"/>
          <w:lang w:val="pl-PL"/>
        </w:rPr>
        <w:t xml:space="preserve"> </w:t>
      </w:r>
    </w:p>
    <w:p w14:paraId="2BF3DA38" w14:textId="77777777" w:rsidR="00950534" w:rsidRDefault="00950534" w:rsidP="00950534">
      <w:pPr>
        <w:pStyle w:val="ClinContent"/>
        <w:widowControl w:val="0"/>
        <w:spacing w:before="0"/>
        <w:rPr>
          <w:rFonts w:asciiTheme="minorHAnsi" w:hAnsiTheme="minorHAnsi"/>
          <w:sz w:val="24"/>
          <w:lang w:val="pl-PL"/>
        </w:rPr>
      </w:pPr>
    </w:p>
    <w:p w14:paraId="45076B76" w14:textId="77777777" w:rsidR="00950534" w:rsidRDefault="00950534" w:rsidP="00950534">
      <w:pPr>
        <w:pStyle w:val="ClinContent"/>
        <w:widowControl w:val="0"/>
        <w:spacing w:before="0"/>
        <w:rPr>
          <w:rFonts w:asciiTheme="minorHAnsi" w:hAnsiTheme="minorHAnsi"/>
          <w:i/>
          <w:sz w:val="24"/>
          <w:lang w:val="pl-PL"/>
        </w:rPr>
      </w:pPr>
      <w:r>
        <w:rPr>
          <w:rFonts w:asciiTheme="minorHAnsi" w:hAnsiTheme="minorHAnsi"/>
          <w:sz w:val="24"/>
          <w:lang w:val="pl-PL"/>
        </w:rPr>
        <w:t xml:space="preserve">iv) Wreszcie Trybunał zbadał, </w:t>
      </w:r>
      <w:r w:rsidRPr="0009692F">
        <w:rPr>
          <w:rFonts w:asciiTheme="minorHAnsi" w:hAnsiTheme="minorHAnsi"/>
          <w:i/>
          <w:sz w:val="24"/>
          <w:u w:val="single"/>
          <w:lang w:val="pl-PL"/>
        </w:rPr>
        <w:t>czy po</w:t>
      </w:r>
      <w:r>
        <w:rPr>
          <w:rFonts w:asciiTheme="minorHAnsi" w:hAnsiTheme="minorHAnsi"/>
          <w:i/>
          <w:sz w:val="24"/>
          <w:u w:val="single"/>
          <w:lang w:val="pl-PL"/>
        </w:rPr>
        <w:t>wielenie</w:t>
      </w:r>
      <w:r w:rsidRPr="0009692F">
        <w:rPr>
          <w:rFonts w:asciiTheme="minorHAnsi" w:hAnsiTheme="minorHAnsi"/>
          <w:i/>
          <w:sz w:val="24"/>
          <w:u w:val="single"/>
          <w:lang w:val="pl-PL"/>
        </w:rPr>
        <w:t xml:space="preserve"> postępowania wchodziło w zakres dozwolonych wyjątków od zasady zakazu ponownego sądzenia lub karania</w:t>
      </w:r>
      <w:r>
        <w:rPr>
          <w:rFonts w:asciiTheme="minorHAnsi" w:hAnsiTheme="minorHAnsi"/>
          <w:i/>
          <w:sz w:val="24"/>
          <w:u w:val="single"/>
          <w:lang w:val="pl-PL"/>
        </w:rPr>
        <w:t>.</w:t>
      </w:r>
    </w:p>
    <w:p w14:paraId="48B274E5" w14:textId="77777777" w:rsidR="00950534" w:rsidRDefault="00950534" w:rsidP="00950534">
      <w:pPr>
        <w:pStyle w:val="ClinContent"/>
        <w:widowControl w:val="0"/>
        <w:spacing w:before="0"/>
        <w:rPr>
          <w:rFonts w:asciiTheme="minorHAnsi" w:hAnsiTheme="minorHAnsi"/>
          <w:i/>
          <w:sz w:val="24"/>
          <w:lang w:val="pl-PL"/>
        </w:rPr>
      </w:pPr>
    </w:p>
    <w:p w14:paraId="013B45AB"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przypomniał, że w </w:t>
      </w:r>
      <w:r w:rsidRPr="00B15C52">
        <w:rPr>
          <w:rFonts w:asciiTheme="minorHAnsi" w:hAnsiTheme="minorHAnsi"/>
          <w:sz w:val="24"/>
          <w:lang w:val="pl-PL"/>
        </w:rPr>
        <w:t>świetle Protokołu nr 7</w:t>
      </w:r>
      <w:r w:rsidRPr="00B15C52">
        <w:rPr>
          <w:rFonts w:asciiTheme="minorHAnsi" w:hAnsiTheme="minorHAnsi"/>
          <w:i/>
          <w:sz w:val="24"/>
          <w:lang w:val="pl-PL"/>
        </w:rPr>
        <w:t xml:space="preserve"> </w:t>
      </w:r>
      <w:r w:rsidRPr="00B15C52">
        <w:rPr>
          <w:rFonts w:asciiTheme="minorHAnsi" w:hAnsiTheme="minorHAnsi"/>
          <w:sz w:val="24"/>
          <w:lang w:val="pl-PL"/>
        </w:rPr>
        <w:t>wznowienie postępowania jest możliwe, ale podlega ścisłym warunkom</w:t>
      </w:r>
      <w:r>
        <w:rPr>
          <w:rFonts w:asciiTheme="minorHAnsi" w:hAnsiTheme="minorHAnsi"/>
          <w:sz w:val="24"/>
          <w:lang w:val="pl-PL"/>
        </w:rPr>
        <w:t>, takim jak</w:t>
      </w:r>
      <w:r w:rsidRPr="00B15C52">
        <w:rPr>
          <w:rFonts w:asciiTheme="minorHAnsi" w:hAnsiTheme="minorHAnsi"/>
          <w:sz w:val="24"/>
          <w:lang w:val="pl-PL"/>
        </w:rPr>
        <w:t xml:space="preserve">: </w:t>
      </w:r>
    </w:p>
    <w:p w14:paraId="59EC67BE"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pojawienie się nowych lub nowo odkrytych faktów</w:t>
      </w:r>
      <w:r>
        <w:rPr>
          <w:rFonts w:asciiTheme="minorHAnsi" w:hAnsiTheme="minorHAnsi"/>
          <w:sz w:val="24"/>
          <w:lang w:val="pl-PL"/>
        </w:rPr>
        <w:t>;</w:t>
      </w:r>
      <w:r w:rsidRPr="00B15C52">
        <w:rPr>
          <w:rFonts w:asciiTheme="minorHAnsi" w:hAnsiTheme="minorHAnsi"/>
          <w:sz w:val="24"/>
          <w:lang w:val="pl-PL"/>
        </w:rPr>
        <w:t xml:space="preserve"> lub </w:t>
      </w:r>
    </w:p>
    <w:p w14:paraId="5D54CDD2" w14:textId="77777777" w:rsidR="00950534" w:rsidRDefault="00950534" w:rsidP="00950534">
      <w:pPr>
        <w:pStyle w:val="ClinContent"/>
        <w:widowControl w:val="0"/>
        <w:numPr>
          <w:ilvl w:val="0"/>
          <w:numId w:val="37"/>
        </w:numPr>
        <w:spacing w:before="0"/>
        <w:rPr>
          <w:rFonts w:asciiTheme="minorHAnsi" w:hAnsiTheme="minorHAnsi"/>
          <w:sz w:val="24"/>
          <w:lang w:val="pl-PL"/>
        </w:rPr>
      </w:pPr>
      <w:r w:rsidRPr="00B15C52">
        <w:rPr>
          <w:rFonts w:asciiTheme="minorHAnsi" w:hAnsiTheme="minorHAnsi"/>
          <w:sz w:val="24"/>
          <w:lang w:val="pl-PL"/>
        </w:rPr>
        <w:t xml:space="preserve">wykrycie poważnej pomyłki w poprzednim postępowaniu. </w:t>
      </w:r>
    </w:p>
    <w:p w14:paraId="1968E8E1" w14:textId="77777777" w:rsidR="00950534" w:rsidRDefault="00950534" w:rsidP="00950534">
      <w:pPr>
        <w:pStyle w:val="ClinContent"/>
        <w:widowControl w:val="0"/>
        <w:spacing w:before="0"/>
        <w:ind w:left="360"/>
        <w:rPr>
          <w:rFonts w:asciiTheme="minorHAnsi" w:hAnsiTheme="minorHAnsi"/>
          <w:sz w:val="24"/>
          <w:lang w:val="pl-PL"/>
        </w:rPr>
      </w:pPr>
    </w:p>
    <w:p w14:paraId="68BAAF51" w14:textId="0C1225CA"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Warunki te mają charakter alternatywny, nie są wymagane łącznie. W obu jednak przypadkach nowo odkryte fakty lub wada muszą być takie, by „mieć wpływ na wynik sprawy” zarówno na korzyść, jak i na niekorzyść zainteresowanej osoby. Trybunał ocenia w</w:t>
      </w:r>
      <w:r w:rsidR="00092E2B">
        <w:rPr>
          <w:rFonts w:asciiTheme="minorHAnsi" w:hAnsiTheme="minorHAnsi"/>
          <w:sz w:val="24"/>
          <w:lang w:val="pl-PL"/>
        </w:rPr>
        <w:t> </w:t>
      </w:r>
      <w:r w:rsidRPr="00B15C52">
        <w:rPr>
          <w:rFonts w:asciiTheme="minorHAnsi" w:hAnsiTheme="minorHAnsi"/>
          <w:sz w:val="24"/>
          <w:lang w:val="pl-PL"/>
        </w:rPr>
        <w:t>poszczególnych sprawach, czy okoliczności, na które powołały się wła</w:t>
      </w:r>
      <w:r>
        <w:rPr>
          <w:rFonts w:asciiTheme="minorHAnsi" w:hAnsiTheme="minorHAnsi"/>
          <w:sz w:val="24"/>
          <w:lang w:val="pl-PL"/>
        </w:rPr>
        <w:t>dze wyższej instancji, spełniały</w:t>
      </w:r>
      <w:r w:rsidRPr="00B15C52">
        <w:rPr>
          <w:rFonts w:asciiTheme="minorHAnsi" w:hAnsiTheme="minorHAnsi"/>
          <w:sz w:val="24"/>
          <w:lang w:val="pl-PL"/>
        </w:rPr>
        <w:t xml:space="preserve"> te warunki.</w:t>
      </w:r>
      <w:r>
        <w:rPr>
          <w:rFonts w:asciiTheme="minorHAnsi" w:hAnsiTheme="minorHAnsi"/>
          <w:sz w:val="24"/>
          <w:lang w:val="pl-PL"/>
        </w:rPr>
        <w:t xml:space="preserve"> </w:t>
      </w:r>
    </w:p>
    <w:p w14:paraId="5CE49D60" w14:textId="77777777" w:rsidR="00950534" w:rsidRDefault="00950534" w:rsidP="00950534">
      <w:pPr>
        <w:pStyle w:val="ClinContent"/>
        <w:widowControl w:val="0"/>
        <w:spacing w:before="0"/>
        <w:rPr>
          <w:rFonts w:asciiTheme="minorHAnsi" w:hAnsiTheme="minorHAnsi"/>
          <w:i/>
          <w:sz w:val="24"/>
          <w:lang w:val="pl-PL"/>
        </w:rPr>
      </w:pPr>
    </w:p>
    <w:p w14:paraId="49765BBE" w14:textId="5304E74B"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wyjaśnił, że p</w:t>
      </w:r>
      <w:r w:rsidRPr="00B15C52">
        <w:rPr>
          <w:rFonts w:asciiTheme="minorHAnsi" w:hAnsiTheme="minorHAnsi"/>
          <w:sz w:val="24"/>
          <w:lang w:val="pl-PL"/>
        </w:rPr>
        <w:t>ojęcie „poważnej pomyłki” zdaje się sugerować, że tylko poważne naruszenie zasady proceduralnej</w:t>
      </w:r>
      <w:r>
        <w:rPr>
          <w:rFonts w:asciiTheme="minorHAnsi" w:hAnsiTheme="minorHAnsi"/>
          <w:sz w:val="24"/>
          <w:lang w:val="pl-PL"/>
        </w:rPr>
        <w:t>,</w:t>
      </w:r>
      <w:r w:rsidRPr="00B15C52">
        <w:rPr>
          <w:rFonts w:asciiTheme="minorHAnsi" w:hAnsiTheme="minorHAnsi"/>
          <w:sz w:val="24"/>
          <w:lang w:val="pl-PL"/>
        </w:rPr>
        <w:t xml:space="preserve"> </w:t>
      </w:r>
      <w:r>
        <w:rPr>
          <w:rFonts w:asciiTheme="minorHAnsi" w:hAnsiTheme="minorHAnsi"/>
          <w:sz w:val="24"/>
          <w:lang w:val="pl-PL"/>
        </w:rPr>
        <w:t xml:space="preserve">znacząco </w:t>
      </w:r>
      <w:r w:rsidRPr="00B15C52">
        <w:rPr>
          <w:rFonts w:asciiTheme="minorHAnsi" w:hAnsiTheme="minorHAnsi"/>
          <w:sz w:val="24"/>
          <w:lang w:val="pl-PL"/>
        </w:rPr>
        <w:t xml:space="preserve">podważające integralność poprzedniego postępowania może służyć za podstawę do jego wznowienia na niekorzyść oskarżonego, </w:t>
      </w:r>
      <w:r w:rsidRPr="00B15C52">
        <w:rPr>
          <w:rFonts w:asciiTheme="minorHAnsi" w:hAnsiTheme="minorHAnsi"/>
          <w:sz w:val="24"/>
          <w:lang w:val="pl-PL"/>
        </w:rPr>
        <w:lastRenderedPageBreak/>
        <w:t>gdy</w:t>
      </w:r>
      <w:r w:rsidR="00092E2B">
        <w:rPr>
          <w:rFonts w:asciiTheme="minorHAnsi" w:hAnsiTheme="minorHAnsi"/>
          <w:sz w:val="24"/>
          <w:lang w:val="pl-PL"/>
        </w:rPr>
        <w:t> </w:t>
      </w:r>
      <w:r w:rsidRPr="00B15C52">
        <w:rPr>
          <w:rFonts w:asciiTheme="minorHAnsi" w:hAnsiTheme="minorHAnsi"/>
          <w:sz w:val="24"/>
          <w:lang w:val="pl-PL"/>
        </w:rPr>
        <w:t>został on uniewinniony lub ukarany za przestępstwo mniej poważne niż przewidywało prawo mające zastosowanie. Zwykła ponowna ocena dowodów przez prokuratora lub sąd wyższej instancji nie może spełniać tego kryterium. W sprawach, w których zamierzone wznowienie może działać na korzyść oskarżonego, charakter pomyłki należy oceniać głównie z punktu widzenia tego, czy doszło do naruszenia prawa do obrony, a zatem przeszkody dla właściwego wymiaru sprawiedliwości.</w:t>
      </w:r>
    </w:p>
    <w:p w14:paraId="5CAA6921" w14:textId="77777777" w:rsidR="00950534" w:rsidRDefault="00950534" w:rsidP="00950534">
      <w:pPr>
        <w:pStyle w:val="ClinContent"/>
        <w:widowControl w:val="0"/>
        <w:spacing w:before="0"/>
        <w:rPr>
          <w:rFonts w:asciiTheme="minorHAnsi" w:hAnsiTheme="minorHAnsi"/>
          <w:sz w:val="24"/>
          <w:lang w:val="pl-PL"/>
        </w:rPr>
      </w:pPr>
    </w:p>
    <w:p w14:paraId="1090006A" w14:textId="477E0C58"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 odniesieniu do omawianej sprawy Trybunał zauważył, że p</w:t>
      </w:r>
      <w:r w:rsidRPr="00B15C52">
        <w:rPr>
          <w:rFonts w:asciiTheme="minorHAnsi" w:hAnsiTheme="minorHAnsi"/>
          <w:sz w:val="24"/>
          <w:lang w:val="pl-PL"/>
        </w:rPr>
        <w:t>rokurator wyższego szczebla dążył do zbadania tych samych faktów. Brak było w aktach „nowych” dowodów ani też nie</w:t>
      </w:r>
      <w:r w:rsidR="00092E2B">
        <w:rPr>
          <w:rFonts w:asciiTheme="minorHAnsi" w:hAnsiTheme="minorHAnsi"/>
          <w:sz w:val="24"/>
          <w:lang w:val="pl-PL"/>
        </w:rPr>
        <w:t> </w:t>
      </w:r>
      <w:r w:rsidRPr="00B15C52">
        <w:rPr>
          <w:rFonts w:asciiTheme="minorHAnsi" w:hAnsiTheme="minorHAnsi"/>
          <w:sz w:val="24"/>
          <w:lang w:val="pl-PL"/>
        </w:rPr>
        <w:t xml:space="preserve">zachodziła żadna „poważna pomyłka” wymagająca naprawienia. Żadna z dwóch </w:t>
      </w:r>
      <w:r>
        <w:rPr>
          <w:rFonts w:asciiTheme="minorHAnsi" w:hAnsiTheme="minorHAnsi"/>
          <w:sz w:val="24"/>
          <w:lang w:val="pl-PL"/>
        </w:rPr>
        <w:t xml:space="preserve">dopuszczalnych </w:t>
      </w:r>
      <w:r w:rsidRPr="00B15C52">
        <w:rPr>
          <w:rFonts w:asciiTheme="minorHAnsi" w:hAnsiTheme="minorHAnsi"/>
          <w:sz w:val="24"/>
          <w:lang w:val="pl-PL"/>
        </w:rPr>
        <w:t xml:space="preserve">przesłanek </w:t>
      </w:r>
      <w:r>
        <w:rPr>
          <w:rFonts w:asciiTheme="minorHAnsi" w:hAnsiTheme="minorHAnsi"/>
          <w:sz w:val="24"/>
          <w:lang w:val="pl-PL"/>
        </w:rPr>
        <w:t xml:space="preserve">wznowienia, przewidzianych w art. 4 ust. 2 Protokołu nr 7, </w:t>
      </w:r>
      <w:r w:rsidRPr="00B15C52">
        <w:rPr>
          <w:rFonts w:asciiTheme="minorHAnsi" w:hAnsiTheme="minorHAnsi"/>
          <w:sz w:val="24"/>
          <w:lang w:val="pl-PL"/>
        </w:rPr>
        <w:t>nie</w:t>
      </w:r>
      <w:r w:rsidR="00092E2B">
        <w:rPr>
          <w:rFonts w:asciiTheme="minorHAnsi" w:hAnsiTheme="minorHAnsi"/>
          <w:sz w:val="24"/>
          <w:lang w:val="pl-PL"/>
        </w:rPr>
        <w:t> </w:t>
      </w:r>
      <w:r w:rsidRPr="00B15C52">
        <w:rPr>
          <w:rFonts w:asciiTheme="minorHAnsi" w:hAnsiTheme="minorHAnsi"/>
          <w:sz w:val="24"/>
          <w:lang w:val="pl-PL"/>
        </w:rPr>
        <w:t xml:space="preserve">obejmowała podstaw wskazanych wyraźnie w postanowieniu o wznowieniu </w:t>
      </w:r>
      <w:r>
        <w:rPr>
          <w:rFonts w:asciiTheme="minorHAnsi" w:hAnsiTheme="minorHAnsi"/>
          <w:sz w:val="24"/>
          <w:lang w:val="pl-PL"/>
        </w:rPr>
        <w:t xml:space="preserve">sprawy skarżącego </w:t>
      </w:r>
      <w:r w:rsidRPr="00B15C52">
        <w:rPr>
          <w:rFonts w:asciiTheme="minorHAnsi" w:hAnsiTheme="minorHAnsi"/>
          <w:sz w:val="24"/>
          <w:lang w:val="pl-PL"/>
        </w:rPr>
        <w:t>(ponowne zbadanie faktów) ani chęci ujednolicenia praktyki prokuratur w</w:t>
      </w:r>
      <w:r w:rsidR="00092E2B">
        <w:rPr>
          <w:rFonts w:asciiTheme="minorHAnsi" w:hAnsiTheme="minorHAnsi"/>
          <w:sz w:val="24"/>
          <w:lang w:val="pl-PL"/>
        </w:rPr>
        <w:t> </w:t>
      </w:r>
      <w:r w:rsidRPr="00B15C52">
        <w:rPr>
          <w:rFonts w:asciiTheme="minorHAnsi" w:hAnsiTheme="minorHAnsi"/>
          <w:sz w:val="24"/>
          <w:lang w:val="pl-PL"/>
        </w:rPr>
        <w:t xml:space="preserve">odniesieniu do oceny „powagi” pewnych rodzajów zachowania, </w:t>
      </w:r>
      <w:r>
        <w:rPr>
          <w:rFonts w:asciiTheme="minorHAnsi" w:hAnsiTheme="minorHAnsi"/>
          <w:sz w:val="24"/>
          <w:lang w:val="pl-PL"/>
        </w:rPr>
        <w:t>która leżała</w:t>
      </w:r>
      <w:r w:rsidRPr="00B15C52">
        <w:rPr>
          <w:rFonts w:asciiTheme="minorHAnsi" w:hAnsiTheme="minorHAnsi"/>
          <w:sz w:val="24"/>
          <w:lang w:val="pl-PL"/>
        </w:rPr>
        <w:t xml:space="preserve"> u podstaw postanowienia prokuratora. </w:t>
      </w:r>
    </w:p>
    <w:p w14:paraId="7F6CABC9" w14:textId="77777777" w:rsidR="00950534" w:rsidRDefault="00950534" w:rsidP="00950534">
      <w:pPr>
        <w:pStyle w:val="ClinContent"/>
        <w:widowControl w:val="0"/>
        <w:spacing w:before="0"/>
        <w:rPr>
          <w:rFonts w:asciiTheme="minorHAnsi" w:hAnsiTheme="minorHAnsi"/>
          <w:sz w:val="24"/>
          <w:lang w:val="pl-PL"/>
        </w:rPr>
      </w:pPr>
    </w:p>
    <w:p w14:paraId="07073097"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sumie </w:t>
      </w:r>
      <w:r>
        <w:rPr>
          <w:rFonts w:asciiTheme="minorHAnsi" w:hAnsiTheme="minorHAnsi"/>
          <w:sz w:val="24"/>
          <w:lang w:val="pl-PL"/>
        </w:rPr>
        <w:t xml:space="preserve">Trybunał uznał, że </w:t>
      </w:r>
      <w:r w:rsidRPr="00B15C52">
        <w:rPr>
          <w:rFonts w:asciiTheme="minorHAnsi" w:hAnsiTheme="minorHAnsi"/>
          <w:sz w:val="24"/>
          <w:lang w:val="pl-PL"/>
        </w:rPr>
        <w:t xml:space="preserve">nie zostały spełnione ścisłe warunki przewidziane w </w:t>
      </w:r>
      <w:r>
        <w:rPr>
          <w:rFonts w:asciiTheme="minorHAnsi" w:hAnsiTheme="minorHAnsi"/>
          <w:sz w:val="24"/>
          <w:lang w:val="pl-PL"/>
        </w:rPr>
        <w:t>art. 4 ust. 2</w:t>
      </w:r>
      <w:r w:rsidRPr="00B15C52">
        <w:rPr>
          <w:rFonts w:asciiTheme="minorHAnsi" w:hAnsiTheme="minorHAnsi"/>
          <w:sz w:val="24"/>
          <w:lang w:val="pl-PL"/>
        </w:rPr>
        <w:t xml:space="preserve">. </w:t>
      </w:r>
    </w:p>
    <w:p w14:paraId="39DFB9FE" w14:textId="77777777" w:rsidR="00950534" w:rsidRDefault="00950534" w:rsidP="00950534">
      <w:pPr>
        <w:pStyle w:val="ClinContent"/>
        <w:widowControl w:val="0"/>
        <w:spacing w:before="0"/>
        <w:rPr>
          <w:rFonts w:asciiTheme="minorHAnsi" w:hAnsiTheme="minorHAnsi"/>
          <w:sz w:val="24"/>
          <w:lang w:val="pl-PL"/>
        </w:rPr>
      </w:pPr>
    </w:p>
    <w:p w14:paraId="56EF146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Z powyższych względów Trybunał jednogłośnie orzekł, że doszło do naruszenia art. 4 Protokołu nr 7 do Konwencji. </w:t>
      </w:r>
    </w:p>
    <w:p w14:paraId="2CEE5FB4" w14:textId="77777777" w:rsidR="00950534" w:rsidRDefault="00950534" w:rsidP="00950534">
      <w:pPr>
        <w:pStyle w:val="ClinContent"/>
        <w:widowControl w:val="0"/>
        <w:spacing w:before="0"/>
        <w:rPr>
          <w:rFonts w:asciiTheme="minorHAnsi" w:hAnsiTheme="minorHAnsi"/>
          <w:sz w:val="24"/>
          <w:lang w:val="pl-PL"/>
        </w:rPr>
      </w:pPr>
    </w:p>
    <w:p w14:paraId="4FDA3D47"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Na tej podstawie Trybunał zasądził na rzecz skarżącego kwotę </w:t>
      </w:r>
      <w:r w:rsidRPr="00B15C52">
        <w:rPr>
          <w:rFonts w:asciiTheme="minorHAnsi" w:hAnsiTheme="minorHAnsi"/>
          <w:sz w:val="24"/>
          <w:lang w:val="pl-PL"/>
        </w:rPr>
        <w:t xml:space="preserve">5000 euro tytułem szkody niemajątkowej. </w:t>
      </w:r>
    </w:p>
    <w:p w14:paraId="026DB22D" w14:textId="77777777" w:rsidR="00950534" w:rsidRDefault="00950534" w:rsidP="00950534">
      <w:pPr>
        <w:pStyle w:val="ClinContent"/>
        <w:widowControl w:val="0"/>
        <w:spacing w:before="0"/>
        <w:rPr>
          <w:rFonts w:asciiTheme="minorHAnsi" w:hAnsiTheme="minorHAnsi" w:cs="Verdana"/>
          <w:bCs/>
          <w:sz w:val="24"/>
          <w:u w:val="single"/>
          <w:lang w:val="pl-PL"/>
        </w:rPr>
      </w:pPr>
    </w:p>
    <w:p w14:paraId="4559129B" w14:textId="6AE7CC8D"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Wyrok </w:t>
      </w:r>
      <w:r>
        <w:rPr>
          <w:rFonts w:asciiTheme="minorHAnsi" w:hAnsiTheme="minorHAnsi" w:cs="Verdana"/>
          <w:bCs/>
          <w:sz w:val="24"/>
          <w:lang w:val="pl-PL"/>
        </w:rPr>
        <w:t>zawiera całościową analizę i wykładnię zasad wynikających z art. 4 Protokołu nr 7 do Konwencji, dotyczących zakazu ponownego sądzenia lub karania. Trybunał po raz pierwszy doprecyzował sposób rozumienia takich pojęć jak</w:t>
      </w:r>
      <w:r w:rsidR="00092E2B">
        <w:rPr>
          <w:rFonts w:asciiTheme="minorHAnsi" w:hAnsiTheme="minorHAnsi" w:cs="Verdana"/>
          <w:bCs/>
          <w:sz w:val="24"/>
          <w:lang w:val="pl-PL"/>
        </w:rPr>
        <w:t> </w:t>
      </w:r>
      <w:r>
        <w:rPr>
          <w:rFonts w:asciiTheme="minorHAnsi" w:hAnsiTheme="minorHAnsi" w:cs="Verdana"/>
          <w:bCs/>
          <w:sz w:val="24"/>
          <w:lang w:val="pl-PL"/>
        </w:rPr>
        <w:t>skazanie lub uniewinnienie oraz sposób ustalania ich prawomocności na potrzeby art. 4 Protokołu nr 7 i wskazał kryteria służące do oceny tych kwestii. Rozstrzygając rozbieżność między wersjami art. 4 Protokołu nr 7 w języku angielskim i francuskim, uznał, że sytuacja skazania lub uniewinnienia nie jest ograniczona jedynie do przypadków wydania wyroku, ale</w:t>
      </w:r>
      <w:r w:rsidR="00092E2B">
        <w:rPr>
          <w:rFonts w:asciiTheme="minorHAnsi" w:hAnsiTheme="minorHAnsi" w:cs="Verdana"/>
          <w:bCs/>
          <w:sz w:val="24"/>
          <w:lang w:val="pl-PL"/>
        </w:rPr>
        <w:t> </w:t>
      </w:r>
      <w:r>
        <w:rPr>
          <w:rFonts w:asciiTheme="minorHAnsi" w:hAnsiTheme="minorHAnsi" w:cs="Verdana"/>
          <w:bCs/>
          <w:sz w:val="24"/>
          <w:lang w:val="pl-PL"/>
        </w:rPr>
        <w:t>może mieć miejsce także w przypadku wydania postanowienia co do meritum, nie tylko przez sąd, ale także przez inny właściwy organ uczestniczący w wymiarze sprawiedliwości danego systemu prawnego, np. przez prokuratora. Dla Trybunału istotna jest treść decyzji, tak więc do skazania lub uniewinnienia w materialnym znaczeniu tych słów dochodzi, gdy</w:t>
      </w:r>
      <w:r w:rsidR="00092E2B">
        <w:rPr>
          <w:rFonts w:asciiTheme="minorHAnsi" w:hAnsiTheme="minorHAnsi" w:cs="Verdana"/>
          <w:bCs/>
          <w:sz w:val="24"/>
          <w:lang w:val="pl-PL"/>
        </w:rPr>
        <w:t> </w:t>
      </w:r>
      <w:r w:rsidRPr="00B15C52">
        <w:rPr>
          <w:rFonts w:asciiTheme="minorHAnsi" w:hAnsiTheme="minorHAnsi"/>
          <w:sz w:val="24"/>
          <w:lang w:val="pl-PL"/>
        </w:rPr>
        <w:t>odpowiedzialność „karna” oskarżonego zosta</w:t>
      </w:r>
      <w:r>
        <w:rPr>
          <w:rFonts w:asciiTheme="minorHAnsi" w:hAnsiTheme="minorHAnsi"/>
          <w:sz w:val="24"/>
          <w:lang w:val="pl-PL"/>
        </w:rPr>
        <w:t>nie</w:t>
      </w:r>
      <w:r w:rsidRPr="00B15C52">
        <w:rPr>
          <w:rFonts w:asciiTheme="minorHAnsi" w:hAnsiTheme="minorHAnsi"/>
          <w:sz w:val="24"/>
          <w:lang w:val="pl-PL"/>
        </w:rPr>
        <w:t xml:space="preserve"> ustalona po </w:t>
      </w:r>
      <w:r>
        <w:rPr>
          <w:rFonts w:asciiTheme="minorHAnsi" w:hAnsiTheme="minorHAnsi"/>
          <w:sz w:val="24"/>
          <w:lang w:val="pl-PL"/>
        </w:rPr>
        <w:t>dokonaniu przez taki organ oceny</w:t>
      </w:r>
      <w:r w:rsidRPr="00B15C52">
        <w:rPr>
          <w:rFonts w:asciiTheme="minorHAnsi" w:hAnsiTheme="minorHAnsi"/>
          <w:sz w:val="24"/>
          <w:lang w:val="pl-PL"/>
        </w:rPr>
        <w:t xml:space="preserve"> okoliczności sprawy</w:t>
      </w:r>
      <w:r>
        <w:rPr>
          <w:rFonts w:asciiTheme="minorHAnsi" w:hAnsiTheme="minorHAnsi" w:cs="Verdana"/>
          <w:bCs/>
          <w:sz w:val="24"/>
          <w:lang w:val="pl-PL"/>
        </w:rPr>
        <w:t>. Może to objąć także postanowienia o umorzeniu, jeśli wiąże się z</w:t>
      </w:r>
      <w:r w:rsidR="00092E2B">
        <w:rPr>
          <w:rFonts w:asciiTheme="minorHAnsi" w:hAnsiTheme="minorHAnsi" w:cs="Verdana"/>
          <w:bCs/>
          <w:sz w:val="24"/>
          <w:lang w:val="pl-PL"/>
        </w:rPr>
        <w:t> </w:t>
      </w:r>
      <w:r>
        <w:rPr>
          <w:rFonts w:asciiTheme="minorHAnsi" w:hAnsiTheme="minorHAnsi" w:cs="Verdana"/>
          <w:bCs/>
          <w:sz w:val="24"/>
          <w:lang w:val="pl-PL"/>
        </w:rPr>
        <w:t>nimi zastosowanie środków o charakterze karnym (np. grzywny). Trybunał doprecyzował także zasady ustalania prawomocności skazania lub uniewinnienia, podkreślając, że</w:t>
      </w:r>
      <w:r w:rsidR="00092E2B">
        <w:rPr>
          <w:rFonts w:asciiTheme="minorHAnsi" w:hAnsiTheme="minorHAnsi" w:cs="Verdana"/>
          <w:bCs/>
          <w:sz w:val="24"/>
          <w:lang w:val="pl-PL"/>
        </w:rPr>
        <w:t> </w:t>
      </w:r>
      <w:r>
        <w:rPr>
          <w:rFonts w:asciiTheme="minorHAnsi" w:hAnsiTheme="minorHAnsi" w:cs="Verdana"/>
          <w:bCs/>
          <w:sz w:val="24"/>
          <w:lang w:val="pl-PL"/>
        </w:rPr>
        <w:t>do</w:t>
      </w:r>
      <w:r w:rsidR="00092E2B">
        <w:rPr>
          <w:rFonts w:asciiTheme="minorHAnsi" w:hAnsiTheme="minorHAnsi" w:cs="Verdana"/>
          <w:bCs/>
          <w:sz w:val="24"/>
          <w:lang w:val="pl-PL"/>
        </w:rPr>
        <w:t> </w:t>
      </w:r>
      <w:r>
        <w:rPr>
          <w:rFonts w:asciiTheme="minorHAnsi" w:hAnsiTheme="minorHAnsi" w:cs="Verdana"/>
          <w:bCs/>
          <w:sz w:val="24"/>
          <w:lang w:val="pl-PL"/>
        </w:rPr>
        <w:t>uprawomocnienia dochodzi po upływie terminu na złożenie zwyczajnych środków zaskarżenia. Z wyroku może wynikać konieczność doprecyzowania terminu wznawiania przez prokuratora wyższego sz</w:t>
      </w:r>
      <w:r w:rsidR="00AA5444">
        <w:rPr>
          <w:rFonts w:asciiTheme="minorHAnsi" w:hAnsiTheme="minorHAnsi" w:cs="Verdana"/>
          <w:bCs/>
          <w:sz w:val="24"/>
          <w:lang w:val="pl-PL"/>
        </w:rPr>
        <w:t xml:space="preserve">czebla umorzonego postępowania </w:t>
      </w:r>
      <w:r>
        <w:rPr>
          <w:rFonts w:asciiTheme="minorHAnsi" w:hAnsiTheme="minorHAnsi" w:cs="Verdana"/>
          <w:bCs/>
          <w:sz w:val="24"/>
          <w:lang w:val="pl-PL"/>
        </w:rPr>
        <w:t xml:space="preserve">karnego, jeśli to umorzenie wypełnia przesłanki „uniewinnienia” lub „skazania” zdefiniowane przez Trybunał. Jednocześnie Trybunał wykluczył możliwość wznowienia prawomocnie umorzonego postępowania na niekorzyść oskarżonego wyłącznie w celu dokonania ponownej oceny okoliczności sprawy i wymierzonej kary z zamiarem ujednolicenia praktyki orzeczniczej. Trybunał wyjaśnił również rozumienie pojęcia „poważnej pomyłki” jako dopuszczalnej podstawy wznowienia postępowania na korzyść lub niekorzyść oskarżonego. Wyrok </w:t>
      </w:r>
      <w:r>
        <w:rPr>
          <w:rFonts w:asciiTheme="minorHAnsi" w:hAnsiTheme="minorHAnsi" w:cs="Verdana"/>
          <w:bCs/>
          <w:sz w:val="24"/>
          <w:lang w:val="pl-PL"/>
        </w:rPr>
        <w:lastRenderedPageBreak/>
        <w:t>zasługuje na dokładniejszą analizę.</w:t>
      </w:r>
    </w:p>
    <w:p w14:paraId="052BAF3D" w14:textId="77777777" w:rsidR="00950534" w:rsidRDefault="00950534" w:rsidP="00950534">
      <w:pPr>
        <w:pStyle w:val="ClinContent"/>
        <w:widowControl w:val="0"/>
        <w:spacing w:before="0"/>
        <w:rPr>
          <w:rFonts w:asciiTheme="minorHAnsi" w:hAnsiTheme="minorHAnsi" w:cs="Verdana"/>
          <w:bCs/>
          <w:sz w:val="24"/>
          <w:lang w:val="pl-PL"/>
        </w:rPr>
      </w:pPr>
    </w:p>
    <w:p w14:paraId="77EE62FD"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 xml:space="preserve">Wyrok może mieć w szczególności znaczenie dla sądów karnych, Sądu Najwyższego, prokuratury, Ministerstwa Sprawiedliwości i Trybunału Konstytucyjnego. </w:t>
      </w:r>
    </w:p>
    <w:p w14:paraId="2AEC9692" w14:textId="77777777" w:rsidR="008F71FD" w:rsidRDefault="008F71FD" w:rsidP="00950534">
      <w:pPr>
        <w:pStyle w:val="ClinContent"/>
        <w:widowControl w:val="0"/>
        <w:spacing w:before="0"/>
        <w:rPr>
          <w:rFonts w:asciiTheme="minorHAnsi" w:hAnsiTheme="minorHAnsi"/>
          <w:sz w:val="24"/>
          <w:lang w:val="pl-PL"/>
        </w:rPr>
      </w:pPr>
    </w:p>
    <w:p w14:paraId="534F6D01" w14:textId="77777777" w:rsidR="00950534" w:rsidRDefault="00950534" w:rsidP="00950534">
      <w:pPr>
        <w:pStyle w:val="ClinContent"/>
        <w:widowControl w:val="0"/>
        <w:spacing w:before="0"/>
        <w:rPr>
          <w:rFonts w:asciiTheme="minorHAnsi" w:hAnsiTheme="minorHAnsi"/>
          <w:sz w:val="24"/>
          <w:lang w:val="pl-PL"/>
        </w:rPr>
      </w:pPr>
    </w:p>
    <w:p w14:paraId="2915B41A" w14:textId="49D3F513" w:rsidR="00950534" w:rsidRPr="00533FAE"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16" w:name="_Toc35632479"/>
      <w:r w:rsidRPr="00533FAE">
        <w:rPr>
          <w:rFonts w:asciiTheme="minorHAnsi" w:hAnsiTheme="minorHAnsi"/>
          <w:i/>
          <w:color w:val="auto"/>
          <w:sz w:val="24"/>
          <w:szCs w:val="24"/>
        </w:rPr>
        <w:t>Nicolae Virgiliu Tănase p. Rumunii</w:t>
      </w:r>
      <w:r w:rsidRPr="00533FAE">
        <w:rPr>
          <w:rFonts w:asciiTheme="minorHAnsi" w:hAnsiTheme="minorHAnsi"/>
          <w:color w:val="auto"/>
          <w:sz w:val="24"/>
          <w:szCs w:val="24"/>
        </w:rPr>
        <w:t>, skarga nr 41720/13, wyrok Wielkiej Izby z dnia 25</w:t>
      </w:r>
      <w:r w:rsidR="00092E2B">
        <w:rPr>
          <w:rFonts w:asciiTheme="minorHAnsi" w:hAnsiTheme="minorHAnsi"/>
          <w:color w:val="auto"/>
          <w:sz w:val="24"/>
          <w:szCs w:val="24"/>
        </w:rPr>
        <w:t> </w:t>
      </w:r>
      <w:r w:rsidRPr="00533FAE">
        <w:rPr>
          <w:rFonts w:asciiTheme="minorHAnsi" w:hAnsiTheme="minorHAnsi"/>
          <w:color w:val="auto"/>
          <w:sz w:val="24"/>
          <w:szCs w:val="24"/>
        </w:rPr>
        <w:t>czerwca 2019 r.</w:t>
      </w:r>
      <w:bookmarkEnd w:id="16"/>
    </w:p>
    <w:p w14:paraId="40AB2322" w14:textId="77777777"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533FAE">
        <w:rPr>
          <w:b/>
          <w:iCs/>
          <w:color w:val="000000" w:themeColor="text1"/>
          <w:sz w:val="24"/>
          <w:szCs w:val="24"/>
          <w:lang w:val="pl-PL"/>
        </w:rPr>
        <w:t>zastosowalność i brak naruszenia art. 2 Konwencji (prawo do życia – aspekt skutecznego</w:t>
      </w:r>
      <w:r>
        <w:rPr>
          <w:b/>
          <w:iCs/>
          <w:color w:val="000000" w:themeColor="text1"/>
          <w:sz w:val="24"/>
          <w:szCs w:val="24"/>
          <w:lang w:val="pl-PL"/>
        </w:rPr>
        <w:t xml:space="preserve"> śledztwa) w odniesieniu do z</w:t>
      </w:r>
      <w:r w:rsidRPr="00097BCF">
        <w:rPr>
          <w:b/>
          <w:iCs/>
          <w:color w:val="000000" w:themeColor="text1"/>
          <w:sz w:val="24"/>
          <w:szCs w:val="24"/>
          <w:lang w:val="pl-PL"/>
        </w:rPr>
        <w:t>arzut</w:t>
      </w:r>
      <w:r>
        <w:rPr>
          <w:b/>
          <w:iCs/>
          <w:color w:val="000000" w:themeColor="text1"/>
          <w:sz w:val="24"/>
          <w:szCs w:val="24"/>
          <w:lang w:val="pl-PL"/>
        </w:rPr>
        <w:t>u</w:t>
      </w:r>
      <w:r w:rsidRPr="00097BCF">
        <w:rPr>
          <w:b/>
          <w:iCs/>
          <w:color w:val="000000" w:themeColor="text1"/>
          <w:sz w:val="24"/>
          <w:szCs w:val="24"/>
          <w:lang w:val="pl-PL"/>
        </w:rPr>
        <w:t xml:space="preserve"> nieprzeprowadzenia skutecznego śledztwa w sprawie nieumyślnego wypadku drogowego, w którym osoba doznała obrażeń zagrażających życiu</w:t>
      </w:r>
      <w:r>
        <w:rPr>
          <w:b/>
          <w:iCs/>
          <w:color w:val="000000" w:themeColor="text1"/>
          <w:sz w:val="24"/>
          <w:szCs w:val="24"/>
          <w:lang w:val="pl-PL"/>
        </w:rPr>
        <w:t xml:space="preserve"> </w:t>
      </w:r>
    </w:p>
    <w:p w14:paraId="006FB974" w14:textId="69287CDB"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brak zastosowalności art. 3 (zakaz tortur – aspekty poniżającego i nieludzkiego traktowania) i art. 8 Konwencji (prawo do poszanowania życia prywatnego i</w:t>
      </w:r>
      <w:r w:rsidR="00092E2B">
        <w:rPr>
          <w:b/>
          <w:iCs/>
          <w:color w:val="000000" w:themeColor="text1"/>
          <w:sz w:val="24"/>
          <w:szCs w:val="24"/>
          <w:lang w:val="pl-PL"/>
        </w:rPr>
        <w:t> </w:t>
      </w:r>
      <w:r>
        <w:rPr>
          <w:b/>
          <w:iCs/>
          <w:color w:val="000000" w:themeColor="text1"/>
          <w:sz w:val="24"/>
          <w:szCs w:val="24"/>
          <w:lang w:val="pl-PL"/>
        </w:rPr>
        <w:t>rodzinnego – aspekt prawa do poszanowania życia prywatnego) w odniesieniu do</w:t>
      </w:r>
      <w:r w:rsidR="00092E2B">
        <w:rPr>
          <w:b/>
          <w:iCs/>
          <w:color w:val="000000" w:themeColor="text1"/>
          <w:sz w:val="24"/>
          <w:szCs w:val="24"/>
          <w:lang w:val="pl-PL"/>
        </w:rPr>
        <w:t> </w:t>
      </w:r>
      <w:r>
        <w:rPr>
          <w:b/>
          <w:iCs/>
          <w:color w:val="000000" w:themeColor="text1"/>
          <w:sz w:val="24"/>
          <w:szCs w:val="24"/>
          <w:lang w:val="pl-PL"/>
        </w:rPr>
        <w:t>z</w:t>
      </w:r>
      <w:r w:rsidRPr="00097BCF">
        <w:rPr>
          <w:b/>
          <w:iCs/>
          <w:color w:val="000000" w:themeColor="text1"/>
          <w:sz w:val="24"/>
          <w:szCs w:val="24"/>
          <w:lang w:val="pl-PL"/>
        </w:rPr>
        <w:t>arzut</w:t>
      </w:r>
      <w:r>
        <w:rPr>
          <w:b/>
          <w:iCs/>
          <w:color w:val="000000" w:themeColor="text1"/>
          <w:sz w:val="24"/>
          <w:szCs w:val="24"/>
          <w:lang w:val="pl-PL"/>
        </w:rPr>
        <w:t>u</w:t>
      </w:r>
      <w:r w:rsidRPr="00097BCF">
        <w:rPr>
          <w:b/>
          <w:iCs/>
          <w:color w:val="000000" w:themeColor="text1"/>
          <w:sz w:val="24"/>
          <w:szCs w:val="24"/>
          <w:lang w:val="pl-PL"/>
        </w:rPr>
        <w:t xml:space="preserve"> nieprzeprowadzenia skutecznego śledztwa w sprawie nieumyślnego wypadku drogowego, w którym osoba doznała obrażeń zagrażających życiu</w:t>
      </w:r>
    </w:p>
    <w:p w14:paraId="592A5268" w14:textId="3ADF0087" w:rsidR="00950534" w:rsidRPr="00A71E9F"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A71E9F">
        <w:rPr>
          <w:b/>
          <w:iCs/>
          <w:color w:val="000000" w:themeColor="text1"/>
          <w:sz w:val="24"/>
          <w:szCs w:val="24"/>
          <w:lang w:val="pl-PL"/>
        </w:rPr>
        <w:t>brak naruszenia art. 6 ust. 1 Konwencji (prawo do rzetelnego procesu sądowego – aspekt dostępu do sądu) w odniesieniu do zarzutu pozbawienia drogi sądowej do</w:t>
      </w:r>
      <w:r w:rsidR="00092E2B">
        <w:rPr>
          <w:b/>
          <w:iCs/>
          <w:color w:val="000000" w:themeColor="text1"/>
          <w:sz w:val="24"/>
          <w:szCs w:val="24"/>
          <w:lang w:val="pl-PL"/>
        </w:rPr>
        <w:t> </w:t>
      </w:r>
      <w:r w:rsidRPr="00A71E9F">
        <w:rPr>
          <w:b/>
          <w:iCs/>
          <w:color w:val="000000" w:themeColor="text1"/>
          <w:sz w:val="24"/>
          <w:szCs w:val="24"/>
          <w:lang w:val="pl-PL"/>
        </w:rPr>
        <w:t>rozpatrzenia roszczenia o odszkodowanie za wypadek poprzez umorzenie postępowania karnego przez prokuratora – dostępna była droga przed sądami cywilnym</w:t>
      </w:r>
    </w:p>
    <w:p w14:paraId="47A8539F" w14:textId="77777777" w:rsidR="00950534" w:rsidRPr="00A71E9F"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A71E9F">
        <w:rPr>
          <w:b/>
          <w:iCs/>
          <w:color w:val="000000" w:themeColor="text1"/>
          <w:sz w:val="24"/>
          <w:szCs w:val="24"/>
          <w:lang w:val="pl-PL"/>
        </w:rPr>
        <w:t xml:space="preserve">brak naruszenia art. 6 ust. 1 Konwencji (prawo do rzetelnego procesu sądowego – aspekt rozpatrzenia sprawy w rozsądnym terminie) w odniesieniu do trwającego </w:t>
      </w:r>
      <w:r>
        <w:rPr>
          <w:b/>
          <w:iCs/>
          <w:color w:val="000000" w:themeColor="text1"/>
          <w:sz w:val="24"/>
          <w:szCs w:val="24"/>
          <w:lang w:val="pl-PL"/>
        </w:rPr>
        <w:t xml:space="preserve">prawie </w:t>
      </w:r>
      <w:r w:rsidRPr="00A71E9F">
        <w:rPr>
          <w:b/>
          <w:iCs/>
          <w:color w:val="000000" w:themeColor="text1"/>
          <w:sz w:val="24"/>
          <w:szCs w:val="24"/>
          <w:lang w:val="pl-PL"/>
        </w:rPr>
        <w:t>8 lat dochodzenia w sprawie okoliczności wypadku</w:t>
      </w:r>
    </w:p>
    <w:p w14:paraId="1F9CD906" w14:textId="39B265C0"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niedopuszczalność skargi dotyczącej naruszenia art. 3 Konwencji (zakaz tortur) w</w:t>
      </w:r>
      <w:r w:rsidR="00092E2B">
        <w:rPr>
          <w:b/>
          <w:iCs/>
          <w:color w:val="000000" w:themeColor="text1"/>
          <w:sz w:val="24"/>
          <w:szCs w:val="24"/>
          <w:lang w:val="pl-PL"/>
        </w:rPr>
        <w:t> </w:t>
      </w:r>
      <w:r>
        <w:rPr>
          <w:b/>
          <w:iCs/>
          <w:color w:val="000000" w:themeColor="text1"/>
          <w:sz w:val="24"/>
          <w:szCs w:val="24"/>
          <w:lang w:val="pl-PL"/>
        </w:rPr>
        <w:t>odniesieniu do sposobu traktowania skarżącego przez władze – skarga w sposób oczywisty nieuzasadniona</w:t>
      </w:r>
    </w:p>
    <w:p w14:paraId="5F3E81FC" w14:textId="77777777" w:rsidR="00950534" w:rsidRPr="00A80201" w:rsidRDefault="00950534" w:rsidP="00950534">
      <w:pPr>
        <w:pStyle w:val="ClinContent"/>
        <w:widowControl w:val="0"/>
        <w:spacing w:before="0"/>
        <w:rPr>
          <w:rFonts w:asciiTheme="minorHAnsi" w:hAnsiTheme="minorHAnsi"/>
          <w:sz w:val="24"/>
          <w:lang w:val="pl-PL"/>
        </w:rPr>
      </w:pPr>
    </w:p>
    <w:p w14:paraId="7C0D935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2004 r. skarżący doznał </w:t>
      </w:r>
      <w:r>
        <w:rPr>
          <w:rFonts w:asciiTheme="minorHAnsi" w:hAnsiTheme="minorHAnsi"/>
          <w:sz w:val="24"/>
          <w:lang w:val="pl-PL"/>
        </w:rPr>
        <w:t>groź</w:t>
      </w:r>
      <w:r w:rsidRPr="00B15C52">
        <w:rPr>
          <w:rFonts w:asciiTheme="minorHAnsi" w:hAnsiTheme="minorHAnsi"/>
          <w:sz w:val="24"/>
          <w:lang w:val="pl-PL"/>
        </w:rPr>
        <w:t xml:space="preserve">nego wypadku drogowego, który </w:t>
      </w:r>
      <w:r>
        <w:rPr>
          <w:rFonts w:asciiTheme="minorHAnsi" w:hAnsiTheme="minorHAnsi"/>
          <w:sz w:val="24"/>
          <w:lang w:val="pl-PL"/>
        </w:rPr>
        <w:t>spowodował u niego poważną niepełnosprawność</w:t>
      </w:r>
      <w:r w:rsidRPr="00B15C52">
        <w:rPr>
          <w:rFonts w:asciiTheme="minorHAnsi" w:hAnsiTheme="minorHAnsi"/>
          <w:sz w:val="24"/>
          <w:lang w:val="pl-PL"/>
        </w:rPr>
        <w:t>. Wypadek zdarzył się nocą na drodze publicznej i uczestniczyli w nim dwaj inni kierowcy. Samochód skarżącego został wtoczony przez</w:t>
      </w:r>
      <w:r>
        <w:rPr>
          <w:rFonts w:asciiTheme="minorHAnsi" w:hAnsiTheme="minorHAnsi"/>
          <w:sz w:val="24"/>
          <w:lang w:val="pl-PL"/>
        </w:rPr>
        <w:t xml:space="preserve"> pojazd </w:t>
      </w:r>
      <w:r w:rsidRPr="00B15C52">
        <w:rPr>
          <w:rFonts w:asciiTheme="minorHAnsi" w:hAnsiTheme="minorHAnsi"/>
          <w:sz w:val="24"/>
          <w:lang w:val="pl-PL"/>
        </w:rPr>
        <w:t>poruszający się</w:t>
      </w:r>
      <w:r>
        <w:rPr>
          <w:rFonts w:asciiTheme="minorHAnsi" w:hAnsiTheme="minorHAnsi"/>
          <w:sz w:val="24"/>
          <w:lang w:val="pl-PL"/>
        </w:rPr>
        <w:t xml:space="preserve"> w pojazd zaparkowany</w:t>
      </w:r>
      <w:r w:rsidRPr="00B15C52">
        <w:rPr>
          <w:rFonts w:asciiTheme="minorHAnsi" w:hAnsiTheme="minorHAnsi"/>
          <w:sz w:val="24"/>
          <w:lang w:val="pl-PL"/>
        </w:rPr>
        <w:t>. Władze bezzwłocznie wszczęły śledztwo przeciwko skarżącemu oraz dwóm innym osobom zaangażowanym</w:t>
      </w:r>
      <w:r>
        <w:rPr>
          <w:rFonts w:asciiTheme="minorHAnsi" w:hAnsiTheme="minorHAnsi"/>
          <w:sz w:val="24"/>
          <w:lang w:val="pl-PL"/>
        </w:rPr>
        <w:t xml:space="preserve"> w wypadek</w:t>
      </w:r>
      <w:r w:rsidRPr="00B15C52">
        <w:rPr>
          <w:rFonts w:asciiTheme="minorHAnsi" w:hAnsiTheme="minorHAnsi"/>
          <w:sz w:val="24"/>
          <w:lang w:val="pl-PL"/>
        </w:rPr>
        <w:t>. Śledztwo to, a w szczególności badanie odpowiedzialności jednego z dwóch pozostałych kierowców, zostało jednak ostatecznie umorzone przez prokuraturę w 2012 r. z uwagi na fakt, że nie zostały wypełnione wszystkie znamiona przestępstwa. Decyzja prokuratora została utrzymana w mocy przez sąd rejonowy, który oddalił zażalenie skarżącego jako przedawnione.</w:t>
      </w:r>
      <w:r>
        <w:rPr>
          <w:rFonts w:asciiTheme="minorHAnsi" w:hAnsiTheme="minorHAnsi"/>
          <w:sz w:val="24"/>
          <w:lang w:val="pl-PL"/>
        </w:rPr>
        <w:t xml:space="preserve"> </w:t>
      </w:r>
    </w:p>
    <w:p w14:paraId="2FDA2E93" w14:textId="77777777" w:rsidR="00950534" w:rsidRDefault="00950534" w:rsidP="00950534">
      <w:pPr>
        <w:pStyle w:val="ClinContent"/>
        <w:widowControl w:val="0"/>
        <w:spacing w:before="0"/>
        <w:rPr>
          <w:rFonts w:asciiTheme="minorHAnsi" w:hAnsiTheme="minorHAnsi"/>
          <w:sz w:val="24"/>
          <w:lang w:val="pl-PL"/>
        </w:rPr>
      </w:pPr>
    </w:p>
    <w:p w14:paraId="6039794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skardze do Trybunału skarżący zarzucił na podstawie art. 3</w:t>
      </w:r>
      <w:r>
        <w:rPr>
          <w:rFonts w:asciiTheme="minorHAnsi" w:hAnsiTheme="minorHAnsi"/>
          <w:sz w:val="24"/>
          <w:lang w:val="pl-PL"/>
        </w:rPr>
        <w:t xml:space="preserve"> Konwencji</w:t>
      </w:r>
      <w:r w:rsidRPr="00B15C52">
        <w:rPr>
          <w:rFonts w:asciiTheme="minorHAnsi" w:hAnsiTheme="minorHAnsi"/>
          <w:sz w:val="24"/>
          <w:lang w:val="pl-PL"/>
        </w:rPr>
        <w:t xml:space="preserve">, że władze krajowe nie zbadały sprawy co do istoty lub nie wyjaśniły okoliczności wypadku i zastosowały specjalny termin przedawnienia wobec kierowcy, który rzekomo spowodował wypadek. </w:t>
      </w:r>
    </w:p>
    <w:p w14:paraId="17EE2AEE" w14:textId="77777777" w:rsidR="00950534" w:rsidRDefault="00950534" w:rsidP="00950534">
      <w:pPr>
        <w:pStyle w:val="ClinContent"/>
        <w:widowControl w:val="0"/>
        <w:spacing w:before="0"/>
        <w:rPr>
          <w:rFonts w:asciiTheme="minorHAnsi" w:hAnsiTheme="minorHAnsi"/>
          <w:sz w:val="24"/>
          <w:lang w:val="pl-PL"/>
        </w:rPr>
      </w:pPr>
    </w:p>
    <w:p w14:paraId="26F19E4A"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dniu 18 maja 2017 r. Izba rozpoznająca sprawę zrzekła się właściwości na rzecz Wielkiej Izby. </w:t>
      </w:r>
    </w:p>
    <w:p w14:paraId="1E524EB5" w14:textId="77777777" w:rsidR="00950534" w:rsidRDefault="00950534" w:rsidP="00950534">
      <w:pPr>
        <w:pStyle w:val="ClinContent"/>
        <w:widowControl w:val="0"/>
        <w:spacing w:before="0"/>
        <w:rPr>
          <w:rFonts w:asciiTheme="minorHAnsi" w:hAnsiTheme="minorHAnsi"/>
          <w:sz w:val="24"/>
          <w:lang w:val="pl-PL"/>
        </w:rPr>
      </w:pPr>
    </w:p>
    <w:p w14:paraId="7E2DB930" w14:textId="77777777" w:rsidR="00277D0F" w:rsidRDefault="00277D0F" w:rsidP="00950534">
      <w:pPr>
        <w:pStyle w:val="ClinContent"/>
        <w:widowControl w:val="0"/>
        <w:spacing w:before="0"/>
        <w:rPr>
          <w:rFonts w:asciiTheme="minorHAnsi" w:hAnsiTheme="minorHAnsi"/>
          <w:sz w:val="24"/>
          <w:lang w:val="pl-PL"/>
        </w:rPr>
      </w:pPr>
    </w:p>
    <w:p w14:paraId="3B266C8F" w14:textId="77777777" w:rsidR="00277D0F" w:rsidRDefault="00277D0F" w:rsidP="00950534">
      <w:pPr>
        <w:pStyle w:val="ClinContent"/>
        <w:widowControl w:val="0"/>
        <w:spacing w:before="0"/>
        <w:rPr>
          <w:rFonts w:asciiTheme="minorHAnsi" w:hAnsiTheme="minorHAnsi"/>
          <w:sz w:val="24"/>
          <w:lang w:val="pl-PL"/>
        </w:rPr>
      </w:pPr>
    </w:p>
    <w:p w14:paraId="56A236B7" w14:textId="77777777" w:rsidR="00950534" w:rsidRDefault="00950534" w:rsidP="00950534">
      <w:pPr>
        <w:pStyle w:val="ClinContent"/>
        <w:widowControl w:val="0"/>
        <w:spacing w:before="0"/>
        <w:rPr>
          <w:rFonts w:asciiTheme="minorHAnsi" w:hAnsiTheme="minorHAnsi"/>
          <w:sz w:val="24"/>
          <w:u w:val="single"/>
          <w:lang w:val="pl-PL"/>
        </w:rPr>
      </w:pPr>
      <w:r w:rsidRPr="00A96867">
        <w:rPr>
          <w:rFonts w:asciiTheme="minorHAnsi" w:hAnsiTheme="minorHAnsi"/>
          <w:sz w:val="24"/>
          <w:u w:val="single"/>
          <w:lang w:val="pl-PL"/>
        </w:rPr>
        <w:lastRenderedPageBreak/>
        <w:t>I. Zarzut</w:t>
      </w:r>
      <w:r>
        <w:rPr>
          <w:rFonts w:asciiTheme="minorHAnsi" w:hAnsiTheme="minorHAnsi"/>
          <w:sz w:val="24"/>
          <w:u w:val="single"/>
          <w:lang w:val="pl-PL"/>
        </w:rPr>
        <w:t>y skargi dotyczące</w:t>
      </w:r>
      <w:r w:rsidRPr="00A96867">
        <w:rPr>
          <w:rFonts w:asciiTheme="minorHAnsi" w:hAnsiTheme="minorHAnsi"/>
          <w:sz w:val="24"/>
          <w:u w:val="single"/>
          <w:lang w:val="pl-PL"/>
        </w:rPr>
        <w:t xml:space="preserve"> przebiegu śledztwa</w:t>
      </w:r>
    </w:p>
    <w:p w14:paraId="2819F6D4" w14:textId="77777777" w:rsidR="00950534" w:rsidRDefault="00950534" w:rsidP="00950534">
      <w:pPr>
        <w:pStyle w:val="ClinContent"/>
        <w:widowControl w:val="0"/>
        <w:spacing w:before="0"/>
        <w:rPr>
          <w:rFonts w:asciiTheme="minorHAnsi" w:hAnsiTheme="minorHAnsi"/>
          <w:sz w:val="24"/>
          <w:u w:val="single"/>
          <w:lang w:val="pl-PL"/>
        </w:rPr>
      </w:pPr>
    </w:p>
    <w:p w14:paraId="071EEF8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kontekście </w:t>
      </w:r>
      <w:r>
        <w:rPr>
          <w:rFonts w:asciiTheme="minorHAnsi" w:hAnsiTheme="minorHAnsi"/>
          <w:sz w:val="24"/>
          <w:lang w:val="pl-PL"/>
        </w:rPr>
        <w:t>omawianej sp</w:t>
      </w:r>
      <w:r w:rsidRPr="00B15C52">
        <w:rPr>
          <w:rFonts w:asciiTheme="minorHAnsi" w:hAnsiTheme="minorHAnsi"/>
          <w:sz w:val="24"/>
          <w:lang w:val="pl-PL"/>
        </w:rPr>
        <w:t xml:space="preserve">rawy Trybunał </w:t>
      </w:r>
      <w:r>
        <w:rPr>
          <w:rFonts w:asciiTheme="minorHAnsi" w:hAnsiTheme="minorHAnsi"/>
          <w:sz w:val="24"/>
          <w:lang w:val="pl-PL"/>
        </w:rPr>
        <w:t xml:space="preserve">postanowił </w:t>
      </w:r>
      <w:r w:rsidRPr="00B15C52">
        <w:rPr>
          <w:rFonts w:asciiTheme="minorHAnsi" w:hAnsiTheme="minorHAnsi"/>
          <w:sz w:val="24"/>
          <w:lang w:val="pl-PL"/>
        </w:rPr>
        <w:t xml:space="preserve">wyjaśnić </w:t>
      </w:r>
      <w:r>
        <w:rPr>
          <w:rFonts w:asciiTheme="minorHAnsi" w:hAnsiTheme="minorHAnsi"/>
          <w:sz w:val="24"/>
          <w:lang w:val="pl-PL"/>
        </w:rPr>
        <w:t xml:space="preserve">zastosowalność i </w:t>
      </w:r>
      <w:r w:rsidRPr="00B15C52">
        <w:rPr>
          <w:rFonts w:asciiTheme="minorHAnsi" w:hAnsiTheme="minorHAnsi"/>
          <w:sz w:val="24"/>
          <w:lang w:val="pl-PL"/>
        </w:rPr>
        <w:t xml:space="preserve">zakres </w:t>
      </w:r>
      <w:r>
        <w:rPr>
          <w:rFonts w:asciiTheme="minorHAnsi" w:hAnsiTheme="minorHAnsi"/>
          <w:sz w:val="24"/>
          <w:lang w:val="pl-PL"/>
        </w:rPr>
        <w:t xml:space="preserve">przedmiotowy </w:t>
      </w:r>
      <w:r w:rsidRPr="00B15C52">
        <w:rPr>
          <w:rFonts w:asciiTheme="minorHAnsi" w:hAnsiTheme="minorHAnsi"/>
          <w:sz w:val="24"/>
          <w:lang w:val="pl-PL"/>
        </w:rPr>
        <w:t>właściwych gwarancji proceduralnych przewidzianych nie tylko w art. 3, 6 ust. 1 oraz 13, na które powołał się skarżący, ale także w art. 2 i 8 Konwencji</w:t>
      </w:r>
      <w:r>
        <w:rPr>
          <w:rStyle w:val="Odwoanieprzypisudolnego"/>
          <w:rFonts w:asciiTheme="minorHAnsi" w:hAnsiTheme="minorHAnsi"/>
          <w:sz w:val="24"/>
          <w:lang w:val="pl-PL"/>
        </w:rPr>
        <w:footnoteReference w:id="17"/>
      </w:r>
      <w:r w:rsidRPr="00B15C52">
        <w:rPr>
          <w:rFonts w:asciiTheme="minorHAnsi" w:hAnsiTheme="minorHAnsi"/>
          <w:sz w:val="24"/>
          <w:lang w:val="pl-PL"/>
        </w:rPr>
        <w:t xml:space="preserve">. </w:t>
      </w:r>
    </w:p>
    <w:p w14:paraId="48D78640" w14:textId="77777777" w:rsidR="00950534" w:rsidRDefault="00950534" w:rsidP="00950534">
      <w:pPr>
        <w:pStyle w:val="ClinContent"/>
        <w:widowControl w:val="0"/>
        <w:spacing w:before="0"/>
        <w:rPr>
          <w:rFonts w:asciiTheme="minorHAnsi" w:hAnsiTheme="minorHAnsi"/>
          <w:sz w:val="24"/>
          <w:lang w:val="pl-PL"/>
        </w:rPr>
      </w:pPr>
    </w:p>
    <w:p w14:paraId="0F46234A"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 xml:space="preserve">i) </w:t>
      </w:r>
      <w:r w:rsidRPr="008A0A20">
        <w:rPr>
          <w:rFonts w:asciiTheme="minorHAnsi" w:hAnsiTheme="minorHAnsi"/>
          <w:i/>
          <w:sz w:val="24"/>
          <w:u w:val="single"/>
          <w:lang w:val="pl-PL"/>
        </w:rPr>
        <w:t>Zastosowalność art. 3 Konwencji (zakaz tortur – aspekty poniżającego i nieludzkiego traktowania)</w:t>
      </w:r>
    </w:p>
    <w:p w14:paraId="10C47FCA" w14:textId="77777777" w:rsidR="00950534" w:rsidRDefault="00950534" w:rsidP="00950534">
      <w:pPr>
        <w:pStyle w:val="ClinContent"/>
        <w:widowControl w:val="0"/>
        <w:spacing w:before="0"/>
        <w:rPr>
          <w:rFonts w:asciiTheme="minorHAnsi" w:hAnsiTheme="minorHAnsi"/>
          <w:i/>
          <w:sz w:val="24"/>
          <w:lang w:val="pl-PL"/>
        </w:rPr>
      </w:pPr>
    </w:p>
    <w:p w14:paraId="5D671ACF" w14:textId="0308A7D5"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zgodził się, że p</w:t>
      </w:r>
      <w:r w:rsidRPr="00B15C52">
        <w:rPr>
          <w:rFonts w:asciiTheme="minorHAnsi" w:hAnsiTheme="minorHAnsi"/>
          <w:sz w:val="24"/>
          <w:lang w:val="pl-PL"/>
        </w:rPr>
        <w:t>roblemy zdrowotne skarżącego były bezpośrednio, a przynajmniej pośrednio, związane z jego wypadkiem. Uszczerbek na jego zdrowiu był spowodowany albo zdarzeniami losowymi, albo niedbałym zachowaniem. Śledztwo wszczęte przez władze w</w:t>
      </w:r>
      <w:r w:rsidR="00092E2B">
        <w:rPr>
          <w:rFonts w:asciiTheme="minorHAnsi" w:hAnsiTheme="minorHAnsi"/>
          <w:sz w:val="24"/>
          <w:lang w:val="pl-PL"/>
        </w:rPr>
        <w:t> </w:t>
      </w:r>
      <w:r w:rsidRPr="00B15C52">
        <w:rPr>
          <w:rFonts w:asciiTheme="minorHAnsi" w:hAnsiTheme="minorHAnsi"/>
          <w:sz w:val="24"/>
          <w:lang w:val="pl-PL"/>
        </w:rPr>
        <w:t xml:space="preserve">sprawie okoliczności wypadku dotyczyło przestępstwa nieumyślnego. </w:t>
      </w:r>
    </w:p>
    <w:p w14:paraId="577C5A67" w14:textId="77777777" w:rsidR="00950534" w:rsidRDefault="00950534" w:rsidP="00950534">
      <w:pPr>
        <w:pStyle w:val="ClinContent"/>
        <w:widowControl w:val="0"/>
        <w:spacing w:before="0"/>
        <w:rPr>
          <w:rFonts w:asciiTheme="minorHAnsi" w:hAnsiTheme="minorHAnsi"/>
          <w:sz w:val="24"/>
          <w:lang w:val="pl-PL"/>
        </w:rPr>
      </w:pPr>
    </w:p>
    <w:p w14:paraId="58A50E23" w14:textId="7A2EEE3C"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uznał jednak, że o</w:t>
      </w:r>
      <w:r w:rsidRPr="00B15C52">
        <w:rPr>
          <w:rFonts w:asciiTheme="minorHAnsi" w:hAnsiTheme="minorHAnsi"/>
          <w:sz w:val="24"/>
          <w:lang w:val="pl-PL"/>
        </w:rPr>
        <w:t>brażeń fizycznych lub cierpień psychicznych osoby w wyniku wypadku samochodowego spowodowanego zdarzeniami losowymi lub niedbałym zachowaniem nie można uznać ze wynik „traktowania”, któremu kogoś „poddano”, w</w:t>
      </w:r>
      <w:r w:rsidR="00092E2B">
        <w:rPr>
          <w:rFonts w:asciiTheme="minorHAnsi" w:hAnsiTheme="minorHAnsi"/>
          <w:sz w:val="24"/>
          <w:lang w:val="pl-PL"/>
        </w:rPr>
        <w:t> </w:t>
      </w:r>
      <w:r w:rsidRPr="00B15C52">
        <w:rPr>
          <w:rFonts w:asciiTheme="minorHAnsi" w:hAnsiTheme="minorHAnsi"/>
          <w:sz w:val="24"/>
          <w:lang w:val="pl-PL"/>
        </w:rPr>
        <w:t>rozumieniu art. 3</w:t>
      </w:r>
      <w:r>
        <w:rPr>
          <w:rFonts w:asciiTheme="minorHAnsi" w:hAnsiTheme="minorHAnsi"/>
          <w:sz w:val="24"/>
          <w:lang w:val="pl-PL"/>
        </w:rPr>
        <w:t xml:space="preserve"> Konwencji</w:t>
      </w:r>
      <w:r w:rsidRPr="00B15C52">
        <w:rPr>
          <w:rFonts w:asciiTheme="minorHAnsi" w:hAnsiTheme="minorHAnsi"/>
          <w:sz w:val="24"/>
          <w:lang w:val="pl-PL"/>
        </w:rPr>
        <w:t xml:space="preserve">. </w:t>
      </w:r>
      <w:r>
        <w:rPr>
          <w:rFonts w:asciiTheme="minorHAnsi" w:hAnsiTheme="minorHAnsi"/>
          <w:sz w:val="24"/>
          <w:lang w:val="pl-PL"/>
        </w:rPr>
        <w:t>T</w:t>
      </w:r>
      <w:r w:rsidRPr="00B15C52">
        <w:rPr>
          <w:rFonts w:asciiTheme="minorHAnsi" w:hAnsiTheme="minorHAnsi"/>
          <w:sz w:val="24"/>
          <w:lang w:val="pl-PL"/>
        </w:rPr>
        <w:t xml:space="preserve">raktowanie </w:t>
      </w:r>
      <w:r>
        <w:rPr>
          <w:rFonts w:asciiTheme="minorHAnsi" w:hAnsiTheme="minorHAnsi"/>
          <w:sz w:val="24"/>
          <w:lang w:val="pl-PL"/>
        </w:rPr>
        <w:t xml:space="preserve">w rozumieniu art. 3 </w:t>
      </w:r>
      <w:r w:rsidRPr="00B15C52">
        <w:rPr>
          <w:rFonts w:asciiTheme="minorHAnsi" w:hAnsiTheme="minorHAnsi"/>
          <w:sz w:val="24"/>
          <w:lang w:val="pl-PL"/>
        </w:rPr>
        <w:t xml:space="preserve">charakteryzuje się głównie, </w:t>
      </w:r>
      <w:r>
        <w:rPr>
          <w:rFonts w:asciiTheme="minorHAnsi" w:hAnsiTheme="minorHAnsi"/>
          <w:sz w:val="24"/>
          <w:lang w:val="pl-PL"/>
        </w:rPr>
        <w:t>chociaż</w:t>
      </w:r>
      <w:r w:rsidRPr="00B15C52">
        <w:rPr>
          <w:rFonts w:asciiTheme="minorHAnsi" w:hAnsiTheme="minorHAnsi"/>
          <w:sz w:val="24"/>
          <w:lang w:val="pl-PL"/>
        </w:rPr>
        <w:t xml:space="preserve"> nie wyłącznie, zamiarem spowodowania uszczerbku, upokorzenia lub poniżenia osoby poprzez podważenie lub pomniejszenie jej godności ludzkiej lub próbą wzbudzenia uczucia strachu, niepokoju lub niższości mogących złamać moral</w:t>
      </w:r>
      <w:r>
        <w:rPr>
          <w:rFonts w:asciiTheme="minorHAnsi" w:hAnsiTheme="minorHAnsi"/>
          <w:sz w:val="24"/>
          <w:lang w:val="pl-PL"/>
        </w:rPr>
        <w:t>ną i fizyczną odporność danej osoby</w:t>
      </w:r>
      <w:r w:rsidRPr="00B15C52">
        <w:rPr>
          <w:rFonts w:asciiTheme="minorHAnsi" w:hAnsiTheme="minorHAnsi"/>
          <w:sz w:val="24"/>
          <w:lang w:val="pl-PL"/>
        </w:rPr>
        <w:t xml:space="preserve">. </w:t>
      </w:r>
    </w:p>
    <w:p w14:paraId="4F1C440F" w14:textId="77777777" w:rsidR="00950534" w:rsidRDefault="00950534" w:rsidP="00950534">
      <w:pPr>
        <w:pStyle w:val="ClinContent"/>
        <w:widowControl w:val="0"/>
        <w:spacing w:before="0"/>
        <w:rPr>
          <w:rFonts w:asciiTheme="minorHAnsi" w:hAnsiTheme="minorHAnsi"/>
          <w:sz w:val="24"/>
          <w:lang w:val="pl-PL"/>
        </w:rPr>
      </w:pPr>
    </w:p>
    <w:p w14:paraId="0A6BCA25"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Z powyższych względów Trybunał uznał, że zarzut skargi na podstawie art. 3 Konwencji jest niezgodny </w:t>
      </w:r>
      <w:r>
        <w:rPr>
          <w:rFonts w:asciiTheme="minorHAnsi" w:hAnsiTheme="minorHAnsi"/>
          <w:i/>
          <w:sz w:val="24"/>
          <w:lang w:val="pl-PL"/>
        </w:rPr>
        <w:t xml:space="preserve">ratione materiae </w:t>
      </w:r>
      <w:r>
        <w:rPr>
          <w:rFonts w:asciiTheme="minorHAnsi" w:hAnsiTheme="minorHAnsi"/>
          <w:sz w:val="24"/>
          <w:lang w:val="pl-PL"/>
        </w:rPr>
        <w:t xml:space="preserve">z Konwencją i jako taki niedopuszczalny. </w:t>
      </w:r>
    </w:p>
    <w:p w14:paraId="6436A6FC" w14:textId="77777777" w:rsidR="00950534" w:rsidRDefault="00950534" w:rsidP="00950534">
      <w:pPr>
        <w:pStyle w:val="ClinContent"/>
        <w:widowControl w:val="0"/>
        <w:spacing w:before="0"/>
        <w:rPr>
          <w:rFonts w:asciiTheme="minorHAnsi" w:hAnsiTheme="minorHAnsi"/>
          <w:sz w:val="24"/>
          <w:lang w:val="pl-PL"/>
        </w:rPr>
      </w:pPr>
    </w:p>
    <w:p w14:paraId="1FB0FE92"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ii)</w:t>
      </w:r>
      <w:r>
        <w:rPr>
          <w:rFonts w:asciiTheme="minorHAnsi" w:hAnsiTheme="minorHAnsi"/>
          <w:sz w:val="24"/>
          <w:lang w:val="pl-PL"/>
        </w:rPr>
        <w:t xml:space="preserve"> </w:t>
      </w:r>
      <w:r w:rsidRPr="008A0A20">
        <w:rPr>
          <w:rFonts w:asciiTheme="minorHAnsi" w:hAnsiTheme="minorHAnsi"/>
          <w:i/>
          <w:sz w:val="24"/>
          <w:u w:val="single"/>
          <w:lang w:val="pl-PL"/>
        </w:rPr>
        <w:t>Zastosowalność art. 8 Konwencji (prawo do poszanowania życia prywatnego i rodzinnego – aspekt prawa do poszanowania życia prywatnego)</w:t>
      </w:r>
    </w:p>
    <w:p w14:paraId="6422E587" w14:textId="77777777" w:rsidR="00950534" w:rsidRDefault="00950534" w:rsidP="00950534">
      <w:pPr>
        <w:pStyle w:val="ClinContent"/>
        <w:widowControl w:val="0"/>
        <w:spacing w:before="0"/>
        <w:rPr>
          <w:rFonts w:asciiTheme="minorHAnsi" w:hAnsiTheme="minorHAnsi"/>
          <w:sz w:val="24"/>
          <w:lang w:val="pl-PL"/>
        </w:rPr>
      </w:pPr>
    </w:p>
    <w:p w14:paraId="29CC589E" w14:textId="6A55FAC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Po pierwsze, </w:t>
      </w:r>
      <w:r>
        <w:rPr>
          <w:rFonts w:asciiTheme="minorHAnsi" w:hAnsiTheme="minorHAnsi"/>
          <w:sz w:val="24"/>
          <w:lang w:val="pl-PL"/>
        </w:rPr>
        <w:t xml:space="preserve">Trybunał wskazał, że </w:t>
      </w:r>
      <w:r w:rsidRPr="00B15C52">
        <w:rPr>
          <w:rFonts w:asciiTheme="minorHAnsi" w:hAnsiTheme="minorHAnsi"/>
          <w:sz w:val="24"/>
          <w:lang w:val="pl-PL"/>
        </w:rPr>
        <w:t>odniesione przez skarżącego obrażenia wynikły z</w:t>
      </w:r>
      <w:r w:rsidR="00092E2B">
        <w:rPr>
          <w:rFonts w:asciiTheme="minorHAnsi" w:hAnsiTheme="minorHAnsi"/>
          <w:sz w:val="24"/>
          <w:lang w:val="pl-PL"/>
        </w:rPr>
        <w:t> </w:t>
      </w:r>
      <w:r w:rsidRPr="00B15C52">
        <w:rPr>
          <w:rFonts w:asciiTheme="minorHAnsi" w:hAnsiTheme="minorHAnsi"/>
          <w:sz w:val="24"/>
          <w:lang w:val="pl-PL"/>
        </w:rPr>
        <w:t>dobrowolnego uczestniczenia przez niego w działalności – kierowaniu samochodem na</w:t>
      </w:r>
      <w:r w:rsidR="00092E2B">
        <w:rPr>
          <w:rFonts w:asciiTheme="minorHAnsi" w:hAnsiTheme="minorHAnsi"/>
          <w:sz w:val="24"/>
          <w:lang w:val="pl-PL"/>
        </w:rPr>
        <w:t> </w:t>
      </w:r>
      <w:r w:rsidRPr="00B15C52">
        <w:rPr>
          <w:rFonts w:asciiTheme="minorHAnsi" w:hAnsiTheme="minorHAnsi"/>
          <w:sz w:val="24"/>
          <w:lang w:val="pl-PL"/>
        </w:rPr>
        <w:t>drodze publicznej – która zasadniczo miała miejsce publicznie. Prawdą jest, że z uwagi na</w:t>
      </w:r>
      <w:r w:rsidR="00092E2B">
        <w:rPr>
          <w:rFonts w:asciiTheme="minorHAnsi" w:hAnsiTheme="minorHAnsi"/>
          <w:sz w:val="24"/>
          <w:lang w:val="pl-PL"/>
        </w:rPr>
        <w:t> </w:t>
      </w:r>
      <w:r w:rsidRPr="00B15C52">
        <w:rPr>
          <w:rFonts w:asciiTheme="minorHAnsi" w:hAnsiTheme="minorHAnsi"/>
          <w:sz w:val="24"/>
          <w:lang w:val="pl-PL"/>
        </w:rPr>
        <w:t xml:space="preserve">swój charakter działalność ta w razie wypadku pociągała za sobą ryzyko wystąpienia poważnej szkody osobistej. Ryzyko to było jednak zminimalizowane przez uregulowania drogowe mające zapewnić bezpieczeństwo drogowe wszystkich użytkowników drogi. </w:t>
      </w:r>
    </w:p>
    <w:p w14:paraId="1F706072" w14:textId="77777777" w:rsidR="00950534" w:rsidRDefault="00950534" w:rsidP="00950534">
      <w:pPr>
        <w:pStyle w:val="ClinContent"/>
        <w:widowControl w:val="0"/>
        <w:spacing w:before="0"/>
        <w:rPr>
          <w:rFonts w:asciiTheme="minorHAnsi" w:hAnsiTheme="minorHAnsi"/>
          <w:sz w:val="24"/>
          <w:lang w:val="pl-PL"/>
        </w:rPr>
      </w:pPr>
    </w:p>
    <w:p w14:paraId="3530ADFC" w14:textId="37CF5A9F"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Po drugie, wypadek nie nastąpił na skutek aktu przemocy popełnionego z zamiarem wyrządzenia uszczerbku </w:t>
      </w:r>
      <w:r>
        <w:rPr>
          <w:rFonts w:asciiTheme="minorHAnsi" w:hAnsiTheme="minorHAnsi"/>
          <w:sz w:val="24"/>
          <w:lang w:val="pl-PL"/>
        </w:rPr>
        <w:t>dla</w:t>
      </w:r>
      <w:r w:rsidRPr="00B15C52">
        <w:rPr>
          <w:rFonts w:asciiTheme="minorHAnsi" w:hAnsiTheme="minorHAnsi"/>
          <w:sz w:val="24"/>
          <w:lang w:val="pl-PL"/>
        </w:rPr>
        <w:t xml:space="preserve"> fizycznej lub psychicznej integralności skarżącego. Nie można go</w:t>
      </w:r>
      <w:r w:rsidR="00092E2B">
        <w:rPr>
          <w:rFonts w:asciiTheme="minorHAnsi" w:hAnsiTheme="minorHAnsi"/>
          <w:sz w:val="24"/>
          <w:lang w:val="pl-PL"/>
        </w:rPr>
        <w:t> </w:t>
      </w:r>
      <w:r w:rsidRPr="00B15C52">
        <w:rPr>
          <w:rFonts w:asciiTheme="minorHAnsi" w:hAnsiTheme="minorHAnsi"/>
          <w:sz w:val="24"/>
          <w:lang w:val="pl-PL"/>
        </w:rPr>
        <w:t xml:space="preserve">także przyrównać do żadnego innego rodzaju sytuacji, w których Trybunał wcześniej stwierdzał, że w grę wchodził pozytywny obowiązek państwa ochrony integralności fizycznej i psychicznej osób. </w:t>
      </w:r>
    </w:p>
    <w:p w14:paraId="4C1F892F" w14:textId="77777777" w:rsidR="00277D0F" w:rsidRDefault="00277D0F" w:rsidP="00950534">
      <w:pPr>
        <w:pStyle w:val="ClinContent"/>
        <w:widowControl w:val="0"/>
        <w:spacing w:before="0"/>
        <w:rPr>
          <w:rFonts w:asciiTheme="minorHAnsi" w:hAnsiTheme="minorHAnsi"/>
          <w:sz w:val="24"/>
          <w:lang w:val="pl-PL"/>
        </w:rPr>
      </w:pPr>
    </w:p>
    <w:p w14:paraId="278F7BB5" w14:textId="77777777" w:rsidR="00950534" w:rsidRDefault="00950534" w:rsidP="00950534">
      <w:pPr>
        <w:pStyle w:val="ClinContent"/>
        <w:widowControl w:val="0"/>
        <w:spacing w:before="0"/>
        <w:rPr>
          <w:rFonts w:asciiTheme="minorHAnsi" w:hAnsiTheme="minorHAnsi"/>
          <w:sz w:val="24"/>
          <w:lang w:val="pl-PL"/>
        </w:rPr>
      </w:pPr>
    </w:p>
    <w:p w14:paraId="46899C74" w14:textId="7589F27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lastRenderedPageBreak/>
        <w:t>Trybunał nie dopatrzył się w sprawie skarżącego żadnego szczególnego</w:t>
      </w:r>
      <w:r w:rsidRPr="00B15C52">
        <w:rPr>
          <w:rFonts w:asciiTheme="minorHAnsi" w:hAnsiTheme="minorHAnsi"/>
          <w:sz w:val="24"/>
          <w:lang w:val="pl-PL"/>
        </w:rPr>
        <w:t xml:space="preserve"> aspekt</w:t>
      </w:r>
      <w:r>
        <w:rPr>
          <w:rFonts w:asciiTheme="minorHAnsi" w:hAnsiTheme="minorHAnsi"/>
          <w:sz w:val="24"/>
          <w:lang w:val="pl-PL"/>
        </w:rPr>
        <w:t>u</w:t>
      </w:r>
      <w:r w:rsidRPr="00B15C52">
        <w:rPr>
          <w:rFonts w:asciiTheme="minorHAnsi" w:hAnsiTheme="minorHAnsi"/>
          <w:sz w:val="24"/>
          <w:lang w:val="pl-PL"/>
        </w:rPr>
        <w:t xml:space="preserve"> interakcji lub kontaktu między osobami, który mógłby pociągać za sobą zastosowanie art. 8</w:t>
      </w:r>
      <w:r>
        <w:rPr>
          <w:rFonts w:asciiTheme="minorHAnsi" w:hAnsiTheme="minorHAnsi"/>
          <w:sz w:val="24"/>
          <w:lang w:val="pl-PL"/>
        </w:rPr>
        <w:t xml:space="preserve"> Konwencji </w:t>
      </w:r>
      <w:r w:rsidRPr="00B15C52">
        <w:rPr>
          <w:rFonts w:asciiTheme="minorHAnsi" w:hAnsiTheme="minorHAnsi"/>
          <w:sz w:val="24"/>
          <w:lang w:val="pl-PL"/>
        </w:rPr>
        <w:t>w</w:t>
      </w:r>
      <w:r w:rsidR="00092E2B">
        <w:rPr>
          <w:rFonts w:asciiTheme="minorHAnsi" w:hAnsiTheme="minorHAnsi"/>
          <w:sz w:val="24"/>
          <w:lang w:val="pl-PL"/>
        </w:rPr>
        <w:t> </w:t>
      </w:r>
      <w:r w:rsidRPr="00B15C52">
        <w:rPr>
          <w:rFonts w:asciiTheme="minorHAnsi" w:hAnsiTheme="minorHAnsi"/>
          <w:sz w:val="24"/>
          <w:lang w:val="pl-PL"/>
        </w:rPr>
        <w:t xml:space="preserve">niniejszej sprawie. </w:t>
      </w:r>
    </w:p>
    <w:p w14:paraId="2843F5D8" w14:textId="77777777" w:rsidR="00950534" w:rsidRDefault="00950534" w:rsidP="00950534">
      <w:pPr>
        <w:pStyle w:val="ClinContent"/>
        <w:widowControl w:val="0"/>
        <w:spacing w:before="0"/>
        <w:rPr>
          <w:rFonts w:asciiTheme="minorHAnsi" w:hAnsiTheme="minorHAnsi"/>
          <w:sz w:val="24"/>
          <w:lang w:val="pl-PL"/>
        </w:rPr>
      </w:pPr>
    </w:p>
    <w:p w14:paraId="523B21EE"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Z powyższych względów Trybunał uznał, że zarzut skargi na podstawie art. 8 jest niezgodny </w:t>
      </w:r>
      <w:r>
        <w:rPr>
          <w:rFonts w:asciiTheme="minorHAnsi" w:hAnsiTheme="minorHAnsi"/>
          <w:i/>
          <w:sz w:val="24"/>
          <w:lang w:val="pl-PL"/>
        </w:rPr>
        <w:t xml:space="preserve">ratione materiae </w:t>
      </w:r>
      <w:r>
        <w:rPr>
          <w:rFonts w:asciiTheme="minorHAnsi" w:hAnsiTheme="minorHAnsi"/>
          <w:sz w:val="24"/>
          <w:lang w:val="pl-PL"/>
        </w:rPr>
        <w:t xml:space="preserve">z Konwencją i jako taki niedopuszczalny. </w:t>
      </w:r>
    </w:p>
    <w:p w14:paraId="419185B9" w14:textId="77777777" w:rsidR="00950534" w:rsidRDefault="00950534" w:rsidP="00950534">
      <w:pPr>
        <w:pStyle w:val="ClinContent"/>
        <w:widowControl w:val="0"/>
        <w:spacing w:before="0"/>
        <w:rPr>
          <w:rFonts w:asciiTheme="minorHAnsi" w:hAnsiTheme="minorHAnsi"/>
          <w:sz w:val="24"/>
          <w:lang w:val="pl-PL"/>
        </w:rPr>
      </w:pPr>
    </w:p>
    <w:p w14:paraId="06C3D10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iii)</w:t>
      </w:r>
      <w:r>
        <w:rPr>
          <w:rFonts w:asciiTheme="minorHAnsi" w:hAnsiTheme="minorHAnsi"/>
          <w:sz w:val="24"/>
          <w:lang w:val="pl-PL"/>
        </w:rPr>
        <w:t xml:space="preserve"> </w:t>
      </w:r>
      <w:r w:rsidRPr="008A0A20">
        <w:rPr>
          <w:rFonts w:asciiTheme="minorHAnsi" w:hAnsiTheme="minorHAnsi"/>
          <w:i/>
          <w:sz w:val="24"/>
          <w:u w:val="single"/>
          <w:lang w:val="pl-PL"/>
        </w:rPr>
        <w:t>Zastosowalność</w:t>
      </w:r>
      <w:r w:rsidRPr="008A0A20">
        <w:rPr>
          <w:rFonts w:asciiTheme="minorHAnsi" w:hAnsiTheme="minorHAnsi"/>
          <w:sz w:val="24"/>
          <w:u w:val="single"/>
          <w:lang w:val="pl-PL"/>
        </w:rPr>
        <w:t xml:space="preserve"> </w:t>
      </w:r>
      <w:r w:rsidRPr="008A0A20">
        <w:rPr>
          <w:rFonts w:asciiTheme="minorHAnsi" w:hAnsiTheme="minorHAnsi"/>
          <w:i/>
          <w:sz w:val="24"/>
          <w:u w:val="single"/>
          <w:lang w:val="pl-PL"/>
        </w:rPr>
        <w:t>art. 2 Konwencji (prawo do życia – aspekt skutecznego śledztwa)</w:t>
      </w:r>
    </w:p>
    <w:p w14:paraId="213652E2" w14:textId="77777777" w:rsidR="00950534" w:rsidRDefault="00950534" w:rsidP="00950534">
      <w:pPr>
        <w:pStyle w:val="ClinContent"/>
        <w:widowControl w:val="0"/>
        <w:spacing w:before="0"/>
        <w:rPr>
          <w:rFonts w:asciiTheme="minorHAnsi" w:hAnsiTheme="minorHAnsi"/>
          <w:sz w:val="24"/>
          <w:lang w:val="pl-PL"/>
        </w:rPr>
      </w:pPr>
    </w:p>
    <w:p w14:paraId="3C166611" w14:textId="71D60C4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uznał, że w</w:t>
      </w:r>
      <w:r w:rsidRPr="00B15C52">
        <w:rPr>
          <w:rFonts w:asciiTheme="minorHAnsi" w:hAnsiTheme="minorHAnsi"/>
          <w:sz w:val="24"/>
          <w:lang w:val="pl-PL"/>
        </w:rPr>
        <w:t xml:space="preserve"> kontekście wypadków oraz rzekomego niedbałego zachowania zastosowanie ma art. 2</w:t>
      </w:r>
      <w:r>
        <w:rPr>
          <w:rFonts w:asciiTheme="minorHAnsi" w:hAnsiTheme="minorHAnsi"/>
          <w:sz w:val="24"/>
          <w:lang w:val="pl-PL"/>
        </w:rPr>
        <w:t xml:space="preserve"> Konwencji</w:t>
      </w:r>
      <w:r w:rsidRPr="00B15C52">
        <w:rPr>
          <w:rFonts w:asciiTheme="minorHAnsi" w:hAnsiTheme="minorHAnsi"/>
          <w:sz w:val="24"/>
          <w:lang w:val="pl-PL"/>
        </w:rPr>
        <w:t>, jeśli dana działalność jest niebezpieczna ze swej natury i</w:t>
      </w:r>
      <w:r w:rsidR="00092E2B">
        <w:rPr>
          <w:rFonts w:asciiTheme="minorHAnsi" w:hAnsiTheme="minorHAnsi"/>
          <w:sz w:val="24"/>
          <w:lang w:val="pl-PL"/>
        </w:rPr>
        <w:t> </w:t>
      </w:r>
      <w:r w:rsidRPr="00B15C52">
        <w:rPr>
          <w:rFonts w:asciiTheme="minorHAnsi" w:hAnsiTheme="minorHAnsi"/>
          <w:sz w:val="24"/>
          <w:lang w:val="pl-PL"/>
        </w:rPr>
        <w:t>naraża życie skarżącego na rzeczywiste i bezpośrednie zagrożenie lub jeśli obrażenia, których doznał skarżący, poważnie zagrażały życiu. W takich sytuacjach zastosowanie ma</w:t>
      </w:r>
      <w:r w:rsidR="00092E2B">
        <w:rPr>
          <w:rFonts w:asciiTheme="minorHAnsi" w:hAnsiTheme="minorHAnsi"/>
          <w:sz w:val="24"/>
          <w:lang w:val="pl-PL"/>
        </w:rPr>
        <w:t> </w:t>
      </w:r>
      <w:r w:rsidRPr="00B15C52">
        <w:rPr>
          <w:rFonts w:asciiTheme="minorHAnsi" w:hAnsiTheme="minorHAnsi"/>
          <w:sz w:val="24"/>
          <w:lang w:val="pl-PL"/>
        </w:rPr>
        <w:t xml:space="preserve">obowiązek proceduralny przeprowadzenia skutecznego śledztwa. </w:t>
      </w:r>
    </w:p>
    <w:p w14:paraId="42567C55" w14:textId="77777777" w:rsidR="00950534" w:rsidRDefault="00950534" w:rsidP="00950534">
      <w:pPr>
        <w:pStyle w:val="ClinContent"/>
        <w:widowControl w:val="0"/>
        <w:spacing w:before="0"/>
        <w:rPr>
          <w:rFonts w:asciiTheme="minorHAnsi" w:hAnsiTheme="minorHAnsi"/>
          <w:sz w:val="24"/>
          <w:lang w:val="pl-PL"/>
        </w:rPr>
      </w:pPr>
    </w:p>
    <w:p w14:paraId="0AECA0C6" w14:textId="498B9C7F"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Im mniej oczywiste jest istnienie rzeczywistego i bezpośredniego zagrożenia wynikającego z</w:t>
      </w:r>
      <w:r w:rsidR="00092E2B">
        <w:rPr>
          <w:rFonts w:asciiTheme="minorHAnsi" w:hAnsiTheme="minorHAnsi"/>
          <w:sz w:val="24"/>
          <w:lang w:val="pl-PL"/>
        </w:rPr>
        <w:t> </w:t>
      </w:r>
      <w:r w:rsidRPr="00B15C52">
        <w:rPr>
          <w:rFonts w:asciiTheme="minorHAnsi" w:hAnsiTheme="minorHAnsi"/>
          <w:sz w:val="24"/>
          <w:lang w:val="pl-PL"/>
        </w:rPr>
        <w:t xml:space="preserve">charakteru działalności, tym istotniejsze są wymogi dotyczące stopnia obrażeń odniesionych przez skarżącego. Ma to miejsce szczególnie wówczas, gdy prywatną działalność o wysokim ryzyku regulują szczegółowe ramy ustawowe i administracyjne, </w:t>
      </w:r>
      <w:r>
        <w:rPr>
          <w:rFonts w:asciiTheme="minorHAnsi" w:hAnsiTheme="minorHAnsi"/>
          <w:sz w:val="24"/>
          <w:lang w:val="pl-PL"/>
        </w:rPr>
        <w:t>co</w:t>
      </w:r>
      <w:r w:rsidR="00092E2B">
        <w:rPr>
          <w:rFonts w:asciiTheme="minorHAnsi" w:hAnsiTheme="minorHAnsi"/>
          <w:sz w:val="24"/>
          <w:lang w:val="pl-PL"/>
        </w:rPr>
        <w:t> </w:t>
      </w:r>
      <w:r>
        <w:rPr>
          <w:rFonts w:asciiTheme="minorHAnsi" w:hAnsiTheme="minorHAnsi"/>
          <w:sz w:val="24"/>
          <w:lang w:val="pl-PL"/>
        </w:rPr>
        <w:t>do</w:t>
      </w:r>
      <w:r w:rsidR="00092E2B">
        <w:rPr>
          <w:rFonts w:asciiTheme="minorHAnsi" w:hAnsiTheme="minorHAnsi"/>
          <w:sz w:val="24"/>
          <w:lang w:val="pl-PL"/>
        </w:rPr>
        <w:t> </w:t>
      </w:r>
      <w:r>
        <w:rPr>
          <w:rFonts w:asciiTheme="minorHAnsi" w:hAnsiTheme="minorHAnsi"/>
          <w:sz w:val="24"/>
          <w:lang w:val="pl-PL"/>
        </w:rPr>
        <w:t xml:space="preserve">których </w:t>
      </w:r>
      <w:r w:rsidRPr="00B15C52">
        <w:rPr>
          <w:rFonts w:asciiTheme="minorHAnsi" w:hAnsiTheme="minorHAnsi"/>
          <w:sz w:val="24"/>
          <w:lang w:val="pl-PL"/>
        </w:rPr>
        <w:t xml:space="preserve">nie ma wątpliwości lub nie kwestionuje się, że są odpowiednie i wystarczające dla zmniejszenia wchodzącego w grę ryzyka dla życia osób. </w:t>
      </w:r>
    </w:p>
    <w:p w14:paraId="32E081E1" w14:textId="77777777" w:rsidR="00950534" w:rsidRDefault="00950534" w:rsidP="00950534">
      <w:pPr>
        <w:pStyle w:val="ClinContent"/>
        <w:widowControl w:val="0"/>
        <w:spacing w:before="0"/>
        <w:rPr>
          <w:rFonts w:asciiTheme="minorHAnsi" w:hAnsiTheme="minorHAnsi"/>
          <w:sz w:val="24"/>
          <w:lang w:val="pl-PL"/>
        </w:rPr>
      </w:pPr>
    </w:p>
    <w:p w14:paraId="69E3662F"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sytuacjach, w których w momencie wydarzenia lub incydentu nie jest jasne, czy życie ofiary narażone jest na rzeczywiste i bezpośrednie zagrożenie lub czy odniesione obrażenia poważnie zagrażają życiu, Trybunał uważa, że dla zastosowalności art. 2 wystarczające będzie, jeśli zagrożenie to wydaje się rzeczywiste i bezpośrednie lub jeśli obrażenia wydają się groźne dla życia w czasie, gdy następują. </w:t>
      </w:r>
    </w:p>
    <w:p w14:paraId="53D403EC" w14:textId="77777777" w:rsidR="00950534" w:rsidRDefault="00950534" w:rsidP="00950534">
      <w:pPr>
        <w:pStyle w:val="ClinContent"/>
        <w:widowControl w:val="0"/>
        <w:spacing w:before="0"/>
        <w:rPr>
          <w:rFonts w:asciiTheme="minorHAnsi" w:hAnsiTheme="minorHAnsi"/>
          <w:sz w:val="24"/>
          <w:lang w:val="pl-PL"/>
        </w:rPr>
      </w:pPr>
    </w:p>
    <w:p w14:paraId="07A74F54"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Gdy władze uzyskają o tym wiedzę, art. 2 </w:t>
      </w:r>
      <w:r w:rsidRPr="00B15C52">
        <w:rPr>
          <w:rFonts w:asciiTheme="minorHAnsi" w:hAnsiTheme="minorHAnsi"/>
          <w:i/>
          <w:sz w:val="24"/>
          <w:lang w:val="pl-PL"/>
        </w:rPr>
        <w:t>ipso facto</w:t>
      </w:r>
      <w:r w:rsidRPr="00B15C52">
        <w:rPr>
          <w:rFonts w:asciiTheme="minorHAnsi" w:hAnsiTheme="minorHAnsi"/>
          <w:sz w:val="24"/>
          <w:lang w:val="pl-PL"/>
        </w:rPr>
        <w:t xml:space="preserve"> nakłada na państwo obowiązek przeprowadzenia skutecznego śledztwa. Obowiązek ten trwa tak długo, aż zostanie ustalone, że zagrożenie dla życia nie było rzeczywiste i bezpośrednie lub że obrażenia najwyraźniej nie stanowiły zagrożenia dla życia. </w:t>
      </w:r>
    </w:p>
    <w:p w14:paraId="389AEDC8" w14:textId="77777777" w:rsidR="00950534" w:rsidRDefault="00950534" w:rsidP="00950534">
      <w:pPr>
        <w:pStyle w:val="ClinContent"/>
        <w:widowControl w:val="0"/>
        <w:spacing w:before="0"/>
        <w:rPr>
          <w:rFonts w:asciiTheme="minorHAnsi" w:hAnsiTheme="minorHAnsi"/>
          <w:sz w:val="24"/>
          <w:lang w:val="pl-PL"/>
        </w:rPr>
      </w:pPr>
    </w:p>
    <w:p w14:paraId="2AA0E833"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Niezależnie od tego, czy kierowanie samochodem można postrzegać jako działalność szczególnie niebezpieczną, czy nie, gdy ryzyko wynikające z charakteru działalności jest mniej oczywiste, większego znaczenia nabiera stopień obrażeń odniesionych przez skarżącego. W czasie wypadku </w:t>
      </w:r>
      <w:r>
        <w:rPr>
          <w:rFonts w:asciiTheme="minorHAnsi" w:hAnsiTheme="minorHAnsi"/>
          <w:sz w:val="24"/>
          <w:lang w:val="pl-PL"/>
        </w:rPr>
        <w:t xml:space="preserve">skarżącego </w:t>
      </w:r>
      <w:r w:rsidRPr="00B15C52">
        <w:rPr>
          <w:rFonts w:asciiTheme="minorHAnsi" w:hAnsiTheme="minorHAnsi"/>
          <w:sz w:val="24"/>
          <w:lang w:val="pl-PL"/>
        </w:rPr>
        <w:t xml:space="preserve">można było uzasadnić twierdzenie, że jego obrażenia były wystarczająco poważne, by stanowić poważne zagrożenie dla jego życia. </w:t>
      </w:r>
    </w:p>
    <w:p w14:paraId="79F8BE7F" w14:textId="77777777" w:rsidR="00950534" w:rsidRDefault="00950534" w:rsidP="00950534">
      <w:pPr>
        <w:pStyle w:val="ClinContent"/>
        <w:widowControl w:val="0"/>
        <w:spacing w:before="0"/>
        <w:rPr>
          <w:rFonts w:asciiTheme="minorHAnsi" w:hAnsiTheme="minorHAnsi"/>
          <w:sz w:val="24"/>
          <w:lang w:val="pl-PL"/>
        </w:rPr>
      </w:pPr>
    </w:p>
    <w:p w14:paraId="56B1036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Z powyższych względów Trybunał uznał, że art. 2 Konwencji miał zastosowanie w sprawie skarżącego. </w:t>
      </w:r>
    </w:p>
    <w:p w14:paraId="5FDC443B" w14:textId="77777777" w:rsidR="00950534" w:rsidRDefault="00950534" w:rsidP="00950534">
      <w:pPr>
        <w:pStyle w:val="ClinContent"/>
        <w:widowControl w:val="0"/>
        <w:spacing w:before="0"/>
        <w:rPr>
          <w:rFonts w:asciiTheme="minorHAnsi" w:hAnsiTheme="minorHAnsi"/>
          <w:sz w:val="24"/>
          <w:lang w:val="pl-PL"/>
        </w:rPr>
      </w:pPr>
    </w:p>
    <w:p w14:paraId="20328605"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iv)</w:t>
      </w:r>
      <w:r>
        <w:rPr>
          <w:rFonts w:asciiTheme="minorHAnsi" w:hAnsiTheme="minorHAnsi"/>
          <w:sz w:val="24"/>
          <w:lang w:val="pl-PL"/>
        </w:rPr>
        <w:t xml:space="preserve"> Ocena </w:t>
      </w:r>
      <w:r w:rsidRPr="008A0A20">
        <w:rPr>
          <w:rFonts w:asciiTheme="minorHAnsi" w:hAnsiTheme="minorHAnsi"/>
          <w:i/>
          <w:sz w:val="24"/>
          <w:u w:val="single"/>
          <w:lang w:val="pl-PL"/>
        </w:rPr>
        <w:t>przedmiotu skargi na podstawie art. 2 Konwencji (prawo do życia – aspekt skutecznego śledztwa)</w:t>
      </w:r>
    </w:p>
    <w:p w14:paraId="4D4C2796" w14:textId="77777777" w:rsidR="00950534" w:rsidRDefault="00950534" w:rsidP="00950534">
      <w:pPr>
        <w:pStyle w:val="ClinContent"/>
        <w:widowControl w:val="0"/>
        <w:spacing w:before="0"/>
        <w:rPr>
          <w:rFonts w:asciiTheme="minorHAnsi" w:hAnsiTheme="minorHAnsi"/>
          <w:i/>
          <w:sz w:val="24"/>
          <w:lang w:val="pl-PL"/>
        </w:rPr>
      </w:pPr>
    </w:p>
    <w:p w14:paraId="7D97810D" w14:textId="28B23BAE"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wyjaśnił, że w</w:t>
      </w:r>
      <w:r w:rsidRPr="00B15C52">
        <w:rPr>
          <w:rFonts w:asciiTheme="minorHAnsi" w:hAnsiTheme="minorHAnsi"/>
          <w:sz w:val="24"/>
          <w:lang w:val="pl-PL"/>
        </w:rPr>
        <w:t xml:space="preserve"> sprawach dotyczących nieumyślnego spowodowania śmierci lub</w:t>
      </w:r>
      <w:r w:rsidR="00092E2B">
        <w:rPr>
          <w:rFonts w:asciiTheme="minorHAnsi" w:hAnsiTheme="minorHAnsi"/>
          <w:sz w:val="24"/>
          <w:lang w:val="pl-PL"/>
        </w:rPr>
        <w:t> </w:t>
      </w:r>
      <w:r w:rsidRPr="00B15C52">
        <w:rPr>
          <w:rFonts w:asciiTheme="minorHAnsi" w:hAnsiTheme="minorHAnsi"/>
          <w:sz w:val="24"/>
          <w:lang w:val="pl-PL"/>
        </w:rPr>
        <w:t>nieumyślnego narażenia życia obowiązek proceduralny wynikający z art. 2 wymaga, by</w:t>
      </w:r>
      <w:r w:rsidR="00092E2B">
        <w:rPr>
          <w:rFonts w:asciiTheme="minorHAnsi" w:hAnsiTheme="minorHAnsi"/>
          <w:sz w:val="24"/>
          <w:lang w:val="pl-PL"/>
        </w:rPr>
        <w:t> </w:t>
      </w:r>
      <w:r w:rsidRPr="00B15C52">
        <w:rPr>
          <w:rFonts w:asciiTheme="minorHAnsi" w:hAnsiTheme="minorHAnsi"/>
          <w:sz w:val="24"/>
          <w:lang w:val="pl-PL"/>
        </w:rPr>
        <w:t>system prawny państwa zapewniał skarżącym środe</w:t>
      </w:r>
      <w:r>
        <w:rPr>
          <w:rFonts w:asciiTheme="minorHAnsi" w:hAnsiTheme="minorHAnsi"/>
          <w:sz w:val="24"/>
          <w:lang w:val="pl-PL"/>
        </w:rPr>
        <w:t xml:space="preserve">k odwoławczy do sądów cywilnych. </w:t>
      </w:r>
      <w:r>
        <w:rPr>
          <w:rFonts w:asciiTheme="minorHAnsi" w:hAnsiTheme="minorHAnsi"/>
          <w:sz w:val="24"/>
          <w:lang w:val="pl-PL"/>
        </w:rPr>
        <w:lastRenderedPageBreak/>
        <w:t>N</w:t>
      </w:r>
      <w:r w:rsidRPr="00B15C52">
        <w:rPr>
          <w:rFonts w:asciiTheme="minorHAnsi" w:hAnsiTheme="minorHAnsi"/>
          <w:sz w:val="24"/>
          <w:lang w:val="pl-PL"/>
        </w:rPr>
        <w:t xml:space="preserve">ie wymaga </w:t>
      </w:r>
      <w:r>
        <w:rPr>
          <w:rFonts w:asciiTheme="minorHAnsi" w:hAnsiTheme="minorHAnsi"/>
          <w:sz w:val="24"/>
          <w:lang w:val="pl-PL"/>
        </w:rPr>
        <w:t xml:space="preserve">natomiast </w:t>
      </w:r>
      <w:r w:rsidRPr="00B15C52">
        <w:rPr>
          <w:rFonts w:asciiTheme="minorHAnsi" w:hAnsiTheme="minorHAnsi"/>
          <w:sz w:val="24"/>
          <w:lang w:val="pl-PL"/>
        </w:rPr>
        <w:t>przeprowadzenia śledztwa karnego w sprawi</w:t>
      </w:r>
      <w:r>
        <w:rPr>
          <w:rFonts w:asciiTheme="minorHAnsi" w:hAnsiTheme="minorHAnsi"/>
          <w:sz w:val="24"/>
          <w:lang w:val="pl-PL"/>
        </w:rPr>
        <w:t>e okoliczności wypadku</w:t>
      </w:r>
      <w:r w:rsidRPr="00B15C52">
        <w:rPr>
          <w:rFonts w:asciiTheme="minorHAnsi" w:hAnsiTheme="minorHAnsi"/>
          <w:sz w:val="24"/>
          <w:lang w:val="pl-PL"/>
        </w:rPr>
        <w:t xml:space="preserve"> </w:t>
      </w:r>
      <w:r>
        <w:rPr>
          <w:rFonts w:asciiTheme="minorHAnsi" w:hAnsiTheme="minorHAnsi"/>
          <w:sz w:val="24"/>
          <w:lang w:val="pl-PL"/>
        </w:rPr>
        <w:t>(Trybunał wskazał jednak wyjątki, w których dochodzenie karne może być mimo wszystko wymagane).</w:t>
      </w:r>
      <w:r w:rsidRPr="00B15C52">
        <w:rPr>
          <w:rFonts w:asciiTheme="minorHAnsi" w:hAnsiTheme="minorHAnsi"/>
          <w:sz w:val="24"/>
          <w:lang w:val="pl-PL"/>
        </w:rPr>
        <w:t xml:space="preserve"> Jednocześnie nic nie stoi na przeszkodzie, by prawo krajowe zapewniało taką możliwość.</w:t>
      </w:r>
    </w:p>
    <w:p w14:paraId="383ECE94" w14:textId="77777777" w:rsidR="00950534" w:rsidRDefault="00950534" w:rsidP="00950534">
      <w:pPr>
        <w:pStyle w:val="ClinContent"/>
        <w:widowControl w:val="0"/>
        <w:spacing w:before="0"/>
        <w:rPr>
          <w:rFonts w:asciiTheme="minorHAnsi" w:hAnsiTheme="minorHAnsi"/>
          <w:sz w:val="24"/>
          <w:lang w:val="pl-PL"/>
        </w:rPr>
      </w:pPr>
    </w:p>
    <w:p w14:paraId="5C87CB2C" w14:textId="1B674E31" w:rsidR="00950534" w:rsidRDefault="00950534" w:rsidP="00950534">
      <w:pPr>
        <w:pStyle w:val="ClinContent"/>
        <w:widowControl w:val="0"/>
        <w:spacing w:before="0"/>
        <w:rPr>
          <w:rFonts w:asciiTheme="minorHAnsi" w:hAnsiTheme="minorHAnsi"/>
          <w:sz w:val="24"/>
          <w:lang w:val="pl-PL"/>
        </w:rPr>
      </w:pPr>
      <w:r w:rsidRPr="005B1412">
        <w:rPr>
          <w:rFonts w:asciiTheme="minorHAnsi" w:hAnsiTheme="minorHAnsi"/>
          <w:sz w:val="24"/>
          <w:lang w:val="pl-PL"/>
        </w:rPr>
        <w:t>W odniesieniu do śmierci lub obrażeń zagrażających życiu spowodowanych incy</w:t>
      </w:r>
      <w:r>
        <w:rPr>
          <w:rFonts w:asciiTheme="minorHAnsi" w:hAnsiTheme="minorHAnsi"/>
          <w:sz w:val="24"/>
          <w:lang w:val="pl-PL"/>
        </w:rPr>
        <w:t>dentami drogowymi Trybunał doprecyzował jednak</w:t>
      </w:r>
      <w:r w:rsidRPr="005B1412">
        <w:rPr>
          <w:rFonts w:asciiTheme="minorHAnsi" w:hAnsiTheme="minorHAnsi"/>
          <w:sz w:val="24"/>
          <w:lang w:val="pl-PL"/>
        </w:rPr>
        <w:t xml:space="preserve">, że </w:t>
      </w:r>
      <w:r>
        <w:rPr>
          <w:rFonts w:asciiTheme="minorHAnsi" w:hAnsiTheme="minorHAnsi"/>
          <w:sz w:val="24"/>
          <w:lang w:val="pl-PL"/>
        </w:rPr>
        <w:t xml:space="preserve">gdy </w:t>
      </w:r>
      <w:r w:rsidRPr="005B1412">
        <w:rPr>
          <w:rFonts w:asciiTheme="minorHAnsi" w:hAnsiTheme="minorHAnsi"/>
          <w:sz w:val="24"/>
          <w:lang w:val="pl-PL"/>
        </w:rPr>
        <w:t xml:space="preserve">tylko </w:t>
      </w:r>
      <w:r>
        <w:rPr>
          <w:rFonts w:asciiTheme="minorHAnsi" w:hAnsiTheme="minorHAnsi"/>
          <w:sz w:val="24"/>
          <w:lang w:val="pl-PL"/>
        </w:rPr>
        <w:t xml:space="preserve">władze </w:t>
      </w:r>
      <w:r w:rsidRPr="005B1412">
        <w:rPr>
          <w:rFonts w:asciiTheme="minorHAnsi" w:hAnsiTheme="minorHAnsi"/>
          <w:sz w:val="24"/>
          <w:lang w:val="pl-PL"/>
        </w:rPr>
        <w:t>dowiedzą się o incydencie</w:t>
      </w:r>
      <w:r>
        <w:rPr>
          <w:rFonts w:asciiTheme="minorHAnsi" w:hAnsiTheme="minorHAnsi"/>
          <w:sz w:val="24"/>
          <w:lang w:val="pl-PL"/>
        </w:rPr>
        <w:t xml:space="preserve">, </w:t>
      </w:r>
      <w:r w:rsidRPr="005B1412">
        <w:rPr>
          <w:rFonts w:asciiTheme="minorHAnsi" w:hAnsiTheme="minorHAnsi"/>
          <w:sz w:val="24"/>
          <w:lang w:val="pl-PL"/>
        </w:rPr>
        <w:t>muszą podjąć wszelkie uzasadnione starania</w:t>
      </w:r>
      <w:r>
        <w:rPr>
          <w:rFonts w:asciiTheme="minorHAnsi" w:hAnsiTheme="minorHAnsi"/>
          <w:sz w:val="24"/>
          <w:lang w:val="pl-PL"/>
        </w:rPr>
        <w:t xml:space="preserve"> celem zapewnienia</w:t>
      </w:r>
      <w:r w:rsidRPr="005B1412">
        <w:rPr>
          <w:rFonts w:asciiTheme="minorHAnsi" w:hAnsiTheme="minorHAnsi"/>
          <w:sz w:val="24"/>
          <w:lang w:val="pl-PL"/>
        </w:rPr>
        <w:t xml:space="preserve"> szybkie</w:t>
      </w:r>
      <w:r>
        <w:rPr>
          <w:rFonts w:asciiTheme="minorHAnsi" w:hAnsiTheme="minorHAnsi"/>
          <w:sz w:val="24"/>
          <w:lang w:val="pl-PL"/>
        </w:rPr>
        <w:t>go</w:t>
      </w:r>
      <w:r w:rsidRPr="005B1412">
        <w:rPr>
          <w:rFonts w:asciiTheme="minorHAnsi" w:hAnsiTheme="minorHAnsi"/>
          <w:sz w:val="24"/>
          <w:lang w:val="pl-PL"/>
        </w:rPr>
        <w:t xml:space="preserve"> i dokładne</w:t>
      </w:r>
      <w:r>
        <w:rPr>
          <w:rFonts w:asciiTheme="minorHAnsi" w:hAnsiTheme="minorHAnsi"/>
          <w:sz w:val="24"/>
          <w:lang w:val="pl-PL"/>
        </w:rPr>
        <w:t>go</w:t>
      </w:r>
      <w:r w:rsidRPr="005B1412">
        <w:rPr>
          <w:rFonts w:asciiTheme="minorHAnsi" w:hAnsiTheme="minorHAnsi"/>
          <w:sz w:val="24"/>
          <w:lang w:val="pl-PL"/>
        </w:rPr>
        <w:t xml:space="preserve"> </w:t>
      </w:r>
      <w:r>
        <w:rPr>
          <w:rFonts w:asciiTheme="minorHAnsi" w:hAnsiTheme="minorHAnsi"/>
          <w:sz w:val="24"/>
          <w:lang w:val="pl-PL"/>
        </w:rPr>
        <w:t>zabezpieczenia i zgromadzenia</w:t>
      </w:r>
      <w:r w:rsidRPr="005B1412">
        <w:rPr>
          <w:rFonts w:asciiTheme="minorHAnsi" w:hAnsiTheme="minorHAnsi"/>
          <w:sz w:val="24"/>
          <w:lang w:val="pl-PL"/>
        </w:rPr>
        <w:t xml:space="preserve"> dowodów na miejscu i innych istotnych dowodów </w:t>
      </w:r>
      <w:r>
        <w:rPr>
          <w:rFonts w:asciiTheme="minorHAnsi" w:hAnsiTheme="minorHAnsi"/>
          <w:sz w:val="24"/>
          <w:lang w:val="pl-PL"/>
        </w:rPr>
        <w:t xml:space="preserve">oraz </w:t>
      </w:r>
      <w:r w:rsidRPr="005B1412">
        <w:rPr>
          <w:rFonts w:asciiTheme="minorHAnsi" w:hAnsiTheme="minorHAnsi"/>
          <w:sz w:val="24"/>
          <w:lang w:val="pl-PL"/>
        </w:rPr>
        <w:t>wyeliminowania lub zminimalizowania ryzyka pominięcia, które mo</w:t>
      </w:r>
      <w:r>
        <w:rPr>
          <w:rFonts w:asciiTheme="minorHAnsi" w:hAnsiTheme="minorHAnsi"/>
          <w:sz w:val="24"/>
          <w:lang w:val="pl-PL"/>
        </w:rPr>
        <w:t>głoby</w:t>
      </w:r>
      <w:r w:rsidRPr="005B1412">
        <w:rPr>
          <w:rFonts w:asciiTheme="minorHAnsi" w:hAnsiTheme="minorHAnsi"/>
          <w:sz w:val="24"/>
          <w:lang w:val="pl-PL"/>
        </w:rPr>
        <w:t xml:space="preserve"> później zagrozić możliwości ustalenia odpowiedzialności i </w:t>
      </w:r>
      <w:r>
        <w:rPr>
          <w:rFonts w:asciiTheme="minorHAnsi" w:hAnsiTheme="minorHAnsi"/>
          <w:sz w:val="24"/>
          <w:lang w:val="pl-PL"/>
        </w:rPr>
        <w:t>pociągnięcia do niej osoby odpowiedzialnej</w:t>
      </w:r>
      <w:r w:rsidRPr="005B1412">
        <w:rPr>
          <w:rFonts w:asciiTheme="minorHAnsi" w:hAnsiTheme="minorHAnsi"/>
          <w:sz w:val="24"/>
          <w:lang w:val="pl-PL"/>
        </w:rPr>
        <w:t xml:space="preserve">. Odpowiedzialność </w:t>
      </w:r>
      <w:r>
        <w:rPr>
          <w:rFonts w:asciiTheme="minorHAnsi" w:hAnsiTheme="minorHAnsi"/>
          <w:sz w:val="24"/>
          <w:lang w:val="pl-PL"/>
        </w:rPr>
        <w:t xml:space="preserve">za to </w:t>
      </w:r>
      <w:r w:rsidRPr="005B1412">
        <w:rPr>
          <w:rFonts w:asciiTheme="minorHAnsi" w:hAnsiTheme="minorHAnsi"/>
          <w:sz w:val="24"/>
          <w:lang w:val="pl-PL"/>
        </w:rPr>
        <w:t>spoczywa na władzach i nie można</w:t>
      </w:r>
      <w:r>
        <w:rPr>
          <w:rFonts w:asciiTheme="minorHAnsi" w:hAnsiTheme="minorHAnsi"/>
          <w:sz w:val="24"/>
          <w:lang w:val="pl-PL"/>
        </w:rPr>
        <w:t xml:space="preserve"> </w:t>
      </w:r>
      <w:r w:rsidRPr="005B1412">
        <w:rPr>
          <w:rFonts w:asciiTheme="minorHAnsi" w:hAnsiTheme="minorHAnsi"/>
          <w:sz w:val="24"/>
          <w:lang w:val="pl-PL"/>
        </w:rPr>
        <w:t xml:space="preserve">pozostawić </w:t>
      </w:r>
      <w:r>
        <w:rPr>
          <w:rFonts w:asciiTheme="minorHAnsi" w:hAnsiTheme="minorHAnsi"/>
          <w:sz w:val="24"/>
          <w:lang w:val="pl-PL"/>
        </w:rPr>
        <w:t xml:space="preserve">tych kwestii </w:t>
      </w:r>
      <w:r w:rsidRPr="005B1412">
        <w:rPr>
          <w:rFonts w:asciiTheme="minorHAnsi" w:hAnsiTheme="minorHAnsi"/>
          <w:sz w:val="24"/>
          <w:lang w:val="pl-PL"/>
        </w:rPr>
        <w:t xml:space="preserve">inicjatywie ofiary lub jej najbliższej rodziny. Obowiązek gromadzenia dowodów powinien obowiązywać co najmniej do czasu wyjaśnienia charakteru odpowiedzialności i upewnienia się </w:t>
      </w:r>
      <w:r>
        <w:rPr>
          <w:rFonts w:asciiTheme="minorHAnsi" w:hAnsiTheme="minorHAnsi"/>
          <w:sz w:val="24"/>
          <w:lang w:val="pl-PL"/>
        </w:rPr>
        <w:t xml:space="preserve">przez </w:t>
      </w:r>
      <w:r w:rsidRPr="005B1412">
        <w:rPr>
          <w:rFonts w:asciiTheme="minorHAnsi" w:hAnsiTheme="minorHAnsi"/>
          <w:sz w:val="24"/>
          <w:lang w:val="pl-PL"/>
        </w:rPr>
        <w:t>władz</w:t>
      </w:r>
      <w:r>
        <w:rPr>
          <w:rFonts w:asciiTheme="minorHAnsi" w:hAnsiTheme="minorHAnsi"/>
          <w:sz w:val="24"/>
          <w:lang w:val="pl-PL"/>
        </w:rPr>
        <w:t>e</w:t>
      </w:r>
      <w:r w:rsidRPr="005B1412">
        <w:rPr>
          <w:rFonts w:asciiTheme="minorHAnsi" w:hAnsiTheme="minorHAnsi"/>
          <w:sz w:val="24"/>
          <w:lang w:val="pl-PL"/>
        </w:rPr>
        <w:t>, że nie ma podstaw do prowadzenia lub kontynuowania dochodzenia karnego.</w:t>
      </w:r>
    </w:p>
    <w:p w14:paraId="608A34CB" w14:textId="77777777" w:rsidR="00950534" w:rsidRDefault="00950534" w:rsidP="00950534">
      <w:pPr>
        <w:pStyle w:val="ClinContent"/>
        <w:widowControl w:val="0"/>
        <w:spacing w:before="0"/>
        <w:rPr>
          <w:rFonts w:asciiTheme="minorHAnsi" w:hAnsiTheme="minorHAnsi"/>
          <w:sz w:val="24"/>
          <w:lang w:val="pl-PL"/>
        </w:rPr>
      </w:pPr>
    </w:p>
    <w:p w14:paraId="31183979"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Rząd zarzucił, że skarżący nie wykorzystał krajowych środków odwoławczych, gdyż nie złożył odrębnego powództwa cywilnego przeciwko dwóm kierowcom uczestniczącym w wypadku.</w:t>
      </w:r>
    </w:p>
    <w:p w14:paraId="096195C0" w14:textId="77777777" w:rsidR="00950534" w:rsidRDefault="00950534" w:rsidP="00950534">
      <w:pPr>
        <w:pStyle w:val="ClinContent"/>
        <w:widowControl w:val="0"/>
        <w:spacing w:before="0"/>
        <w:rPr>
          <w:rFonts w:asciiTheme="minorHAnsi" w:hAnsiTheme="minorHAnsi"/>
          <w:sz w:val="24"/>
          <w:lang w:val="pl-PL"/>
        </w:rPr>
      </w:pPr>
    </w:p>
    <w:p w14:paraId="7FBAA277" w14:textId="38DE340F"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Dokonany przez skarżącego wybór, by przyłączyć się jako strona cywilna do postępowania karnego wszczętego przez władze, nie </w:t>
      </w:r>
      <w:r>
        <w:rPr>
          <w:rFonts w:asciiTheme="minorHAnsi" w:hAnsiTheme="minorHAnsi"/>
          <w:sz w:val="24"/>
          <w:lang w:val="pl-PL"/>
        </w:rPr>
        <w:t>został jednak uznany przez Trybunał za</w:t>
      </w:r>
      <w:r w:rsidR="00092E2B">
        <w:rPr>
          <w:rFonts w:asciiTheme="minorHAnsi" w:hAnsiTheme="minorHAnsi"/>
          <w:sz w:val="24"/>
          <w:lang w:val="pl-PL"/>
        </w:rPr>
        <w:t> </w:t>
      </w:r>
      <w:r w:rsidRPr="00B15C52">
        <w:rPr>
          <w:rFonts w:asciiTheme="minorHAnsi" w:hAnsiTheme="minorHAnsi"/>
          <w:sz w:val="24"/>
          <w:lang w:val="pl-PL"/>
        </w:rPr>
        <w:t>nieuzasadniony. Władze krajowe przez znaczny czas uważały, że istnieją podstawy do</w:t>
      </w:r>
      <w:r w:rsidR="00092E2B">
        <w:rPr>
          <w:rFonts w:asciiTheme="minorHAnsi" w:hAnsiTheme="minorHAnsi"/>
          <w:sz w:val="24"/>
          <w:lang w:val="pl-PL"/>
        </w:rPr>
        <w:t> </w:t>
      </w:r>
      <w:r w:rsidRPr="00B15C52">
        <w:rPr>
          <w:rFonts w:asciiTheme="minorHAnsi" w:hAnsiTheme="minorHAnsi"/>
          <w:sz w:val="24"/>
          <w:lang w:val="pl-PL"/>
        </w:rPr>
        <w:t>śledztwa w sprawie. Ponadto środek ten zapewniał łączne zbadanie odpowiedzialności karnej i cywilnej wynikającej z tego samego zawinionego zachowania, ułatwiając w ten sposób całościową ochronę proceduralną wchodzących w grę praw. Wybór roszczenia cywilnego w postępowaniu karnym mógł być lepszy dla skarżącego, gdyż – chociaż ponosił on ciężar udowodnienia zasadności swego roszczenia – organy prowadzące śledztwo miały również obowiązek gromadzenia dowodów, w tym dowodów znalezionych na miejscu wypadku. Opinie biegłych, zlecone przez organy prowadzące śledztwo, i inne zebrane przez nie dowody w postępowaniu karnym mogły zostać wykorzystane przez skarżącego w</w:t>
      </w:r>
      <w:r w:rsidR="00092E2B">
        <w:rPr>
          <w:rFonts w:asciiTheme="minorHAnsi" w:hAnsiTheme="minorHAnsi"/>
          <w:sz w:val="24"/>
          <w:lang w:val="pl-PL"/>
        </w:rPr>
        <w:t> </w:t>
      </w:r>
      <w:r w:rsidRPr="00B15C52">
        <w:rPr>
          <w:rFonts w:asciiTheme="minorHAnsi" w:hAnsiTheme="minorHAnsi"/>
          <w:sz w:val="24"/>
          <w:lang w:val="pl-PL"/>
        </w:rPr>
        <w:t>jakimkolwiek postępowaniu cywilnym i byłyby prawdopodobnie kluczowe dla rozpoznania jego roszczenia cywilnego.</w:t>
      </w:r>
      <w:r>
        <w:rPr>
          <w:rFonts w:asciiTheme="minorHAnsi" w:hAnsiTheme="minorHAnsi"/>
          <w:sz w:val="24"/>
          <w:lang w:val="pl-PL"/>
        </w:rPr>
        <w:t xml:space="preserve"> </w:t>
      </w:r>
    </w:p>
    <w:p w14:paraId="35F7A684" w14:textId="77777777" w:rsidR="00950534" w:rsidRDefault="00950534" w:rsidP="00950534">
      <w:pPr>
        <w:pStyle w:val="ClinContent"/>
        <w:widowControl w:val="0"/>
        <w:spacing w:before="0"/>
        <w:rPr>
          <w:rFonts w:asciiTheme="minorHAnsi" w:hAnsiTheme="minorHAnsi"/>
          <w:sz w:val="24"/>
          <w:lang w:val="pl-PL"/>
        </w:rPr>
      </w:pPr>
    </w:p>
    <w:p w14:paraId="78BBF662"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Mając na uwadze ponawiane przez władze krajowe próby wyjaśnienia okoliczności wypadku, Tryb</w:t>
      </w:r>
      <w:r>
        <w:rPr>
          <w:rFonts w:asciiTheme="minorHAnsi" w:hAnsiTheme="minorHAnsi"/>
          <w:sz w:val="24"/>
          <w:lang w:val="pl-PL"/>
        </w:rPr>
        <w:t>unał uznał</w:t>
      </w:r>
      <w:r w:rsidRPr="00B15C52">
        <w:rPr>
          <w:rFonts w:asciiTheme="minorHAnsi" w:hAnsiTheme="minorHAnsi"/>
          <w:sz w:val="24"/>
          <w:lang w:val="pl-PL"/>
        </w:rPr>
        <w:t xml:space="preserve">, że skarżący mógł w sposób uzasadniony oczekiwać, że wspomniane postępowanie karne odniesie się do jego zarzutów. W tych okolicznościach fakt, że skarżący nie złożył odrębnego powództwa cywilnego przeciwko dwóm kierowcom, nie może być wykorzystywany przeciwko niemu przy ocenie, czy wyczerpał krajowe środki odwoławcze. </w:t>
      </w:r>
      <w:r>
        <w:rPr>
          <w:rFonts w:asciiTheme="minorHAnsi" w:hAnsiTheme="minorHAnsi"/>
          <w:sz w:val="24"/>
          <w:lang w:val="pl-PL"/>
        </w:rPr>
        <w:t>Trybunał oddalił zatem z</w:t>
      </w:r>
      <w:r w:rsidRPr="00B15C52">
        <w:rPr>
          <w:rFonts w:asciiTheme="minorHAnsi" w:hAnsiTheme="minorHAnsi"/>
          <w:sz w:val="24"/>
          <w:lang w:val="pl-PL"/>
        </w:rPr>
        <w:t xml:space="preserve">astrzeżenie rządu w sprawie niewyczerpania krajowych środków odwoławczych. </w:t>
      </w:r>
    </w:p>
    <w:p w14:paraId="5DE80509" w14:textId="77777777" w:rsidR="00950534" w:rsidRDefault="00950534" w:rsidP="00950534">
      <w:pPr>
        <w:pStyle w:val="ClinContent"/>
        <w:widowControl w:val="0"/>
        <w:spacing w:before="0"/>
        <w:rPr>
          <w:rFonts w:asciiTheme="minorHAnsi" w:hAnsiTheme="minorHAnsi"/>
          <w:sz w:val="24"/>
          <w:lang w:val="pl-PL"/>
        </w:rPr>
      </w:pPr>
    </w:p>
    <w:p w14:paraId="291618CA" w14:textId="7A4DB86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Odnosząc się do kwestii, czy postępowanie karne w sprawie było przeprowadzone zgodnie z</w:t>
      </w:r>
      <w:r w:rsidR="00092E2B">
        <w:rPr>
          <w:rFonts w:asciiTheme="minorHAnsi" w:hAnsiTheme="minorHAnsi"/>
          <w:sz w:val="24"/>
          <w:lang w:val="pl-PL"/>
        </w:rPr>
        <w:t> </w:t>
      </w:r>
      <w:r>
        <w:rPr>
          <w:rFonts w:asciiTheme="minorHAnsi" w:hAnsiTheme="minorHAnsi"/>
          <w:sz w:val="24"/>
          <w:lang w:val="pl-PL"/>
        </w:rPr>
        <w:t>obowiązkami proceduralnymi państwa na podstawie art. 2 Konwencji, Trybunał uznał, że</w:t>
      </w:r>
      <w:r w:rsidR="00092E2B">
        <w:rPr>
          <w:rFonts w:asciiTheme="minorHAnsi" w:hAnsiTheme="minorHAnsi"/>
          <w:sz w:val="24"/>
          <w:lang w:val="pl-PL"/>
        </w:rPr>
        <w:t> </w:t>
      </w:r>
      <w:r w:rsidRPr="00B15C52">
        <w:rPr>
          <w:rFonts w:asciiTheme="minorHAnsi" w:hAnsiTheme="minorHAnsi"/>
          <w:sz w:val="24"/>
          <w:lang w:val="pl-PL"/>
        </w:rPr>
        <w:t xml:space="preserve">przedmiotowe postępowanie karne, jeśli byłoby uznane za skuteczne, było w stanie samo w sobie wypełnić obowiązek państwa na podstawie art. 2 dotyczący zapewnienia skutecznego systemu sądowego. </w:t>
      </w:r>
    </w:p>
    <w:p w14:paraId="4FC1D426" w14:textId="77777777" w:rsidR="00950534" w:rsidRDefault="00950534" w:rsidP="00950534">
      <w:pPr>
        <w:pStyle w:val="ClinContent"/>
        <w:widowControl w:val="0"/>
        <w:spacing w:before="0"/>
        <w:rPr>
          <w:rFonts w:asciiTheme="minorHAnsi" w:hAnsiTheme="minorHAnsi"/>
          <w:sz w:val="24"/>
          <w:lang w:val="pl-PL"/>
        </w:rPr>
      </w:pPr>
    </w:p>
    <w:p w14:paraId="59F49CAE" w14:textId="356EDCE1"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 xml:space="preserve">W tym względzie </w:t>
      </w:r>
      <w:r>
        <w:rPr>
          <w:rFonts w:asciiTheme="minorHAnsi" w:hAnsiTheme="minorHAnsi"/>
          <w:sz w:val="24"/>
          <w:lang w:val="pl-PL"/>
        </w:rPr>
        <w:t xml:space="preserve">Trybunał zauważył, że </w:t>
      </w:r>
      <w:r w:rsidRPr="00B15C52">
        <w:rPr>
          <w:rFonts w:asciiTheme="minorHAnsi" w:hAnsiTheme="minorHAnsi"/>
          <w:sz w:val="24"/>
          <w:lang w:val="pl-PL"/>
        </w:rPr>
        <w:t xml:space="preserve">niezwłocznie po wypadku policja wszczęła z urzędu dochodzenie karne w sprawie jego okoliczności i zebrała dowody mogące wyjaśnić okoliczności, w jakich się on wydarzył. </w:t>
      </w:r>
      <w:r>
        <w:rPr>
          <w:rFonts w:asciiTheme="minorHAnsi" w:hAnsiTheme="minorHAnsi"/>
          <w:sz w:val="24"/>
          <w:lang w:val="pl-PL"/>
        </w:rPr>
        <w:t>W</w:t>
      </w:r>
      <w:r w:rsidRPr="00B15C52">
        <w:rPr>
          <w:rFonts w:asciiTheme="minorHAnsi" w:hAnsiTheme="minorHAnsi"/>
          <w:sz w:val="24"/>
          <w:lang w:val="pl-PL"/>
        </w:rPr>
        <w:t>ładze prowadzące śledztwo zidentyfikowały wszystkich kierowców biorących udział w wypadku, w tym skarżącego, oraz uzyskały ich zeznania, a także zeznania naocznych świadków. Gdy tylko stan zdrowia skarżącego na</w:t>
      </w:r>
      <w:r w:rsidR="00092E2B">
        <w:rPr>
          <w:rFonts w:asciiTheme="minorHAnsi" w:hAnsiTheme="minorHAnsi"/>
          <w:sz w:val="24"/>
          <w:lang w:val="pl-PL"/>
        </w:rPr>
        <w:t> </w:t>
      </w:r>
      <w:r w:rsidRPr="00B15C52">
        <w:rPr>
          <w:rFonts w:asciiTheme="minorHAnsi" w:hAnsiTheme="minorHAnsi"/>
          <w:sz w:val="24"/>
          <w:lang w:val="pl-PL"/>
        </w:rPr>
        <w:t>to</w:t>
      </w:r>
      <w:r w:rsidR="00092E2B">
        <w:rPr>
          <w:rFonts w:asciiTheme="minorHAnsi" w:hAnsiTheme="minorHAnsi"/>
          <w:sz w:val="24"/>
          <w:lang w:val="pl-PL"/>
        </w:rPr>
        <w:t> </w:t>
      </w:r>
      <w:r w:rsidRPr="00B15C52">
        <w:rPr>
          <w:rFonts w:asciiTheme="minorHAnsi" w:hAnsiTheme="minorHAnsi"/>
          <w:sz w:val="24"/>
          <w:lang w:val="pl-PL"/>
        </w:rPr>
        <w:t xml:space="preserve">pozwolił, aktywnie włączono go do postępowania. Zarówno w trakcie postępowania przygotowawczego, jak też na etapie kontroli sądowej </w:t>
      </w:r>
      <w:r>
        <w:rPr>
          <w:rFonts w:asciiTheme="minorHAnsi" w:hAnsiTheme="minorHAnsi"/>
          <w:sz w:val="24"/>
          <w:lang w:val="pl-PL"/>
        </w:rPr>
        <w:t xml:space="preserve">skarżący </w:t>
      </w:r>
      <w:r w:rsidRPr="00B15C52">
        <w:rPr>
          <w:rFonts w:asciiTheme="minorHAnsi" w:hAnsiTheme="minorHAnsi"/>
          <w:sz w:val="24"/>
          <w:lang w:val="pl-PL"/>
        </w:rPr>
        <w:t>miał dostęp do akt sprawy, był w stanie kwestionować niezależność i bezstronność właściwych władz oraz czynności i</w:t>
      </w:r>
      <w:r w:rsidR="00092E2B">
        <w:rPr>
          <w:rFonts w:asciiTheme="minorHAnsi" w:hAnsiTheme="minorHAnsi"/>
          <w:sz w:val="24"/>
          <w:lang w:val="pl-PL"/>
        </w:rPr>
        <w:t> </w:t>
      </w:r>
      <w:r w:rsidRPr="00B15C52">
        <w:rPr>
          <w:rFonts w:asciiTheme="minorHAnsi" w:hAnsiTheme="minorHAnsi"/>
          <w:sz w:val="24"/>
          <w:lang w:val="pl-PL"/>
        </w:rPr>
        <w:t>środki przez nie podjęte, a także wnioskować o dołączenie dodatkowych dowodów do akt. Fakt, że niektóre z jego dodatkowych wniosków dowodowych</w:t>
      </w:r>
      <w:r>
        <w:rPr>
          <w:rFonts w:asciiTheme="minorHAnsi" w:hAnsiTheme="minorHAnsi"/>
          <w:sz w:val="24"/>
          <w:lang w:val="pl-PL"/>
        </w:rPr>
        <w:t xml:space="preserve"> oraz zażaleń były oddalane lub</w:t>
      </w:r>
      <w:r w:rsidR="00092E2B">
        <w:rPr>
          <w:rFonts w:asciiTheme="minorHAnsi" w:hAnsiTheme="minorHAnsi"/>
          <w:sz w:val="24"/>
          <w:lang w:val="pl-PL"/>
        </w:rPr>
        <w:t> </w:t>
      </w:r>
      <w:r w:rsidRPr="00B15C52">
        <w:rPr>
          <w:rFonts w:asciiTheme="minorHAnsi" w:hAnsiTheme="minorHAnsi"/>
          <w:sz w:val="24"/>
          <w:lang w:val="pl-PL"/>
        </w:rPr>
        <w:t>że Sąd Kasacyjny ostatecznie uwzględnił jeden z jego wniosków o przeniesienie sprawy z</w:t>
      </w:r>
      <w:r w:rsidR="00092E2B">
        <w:rPr>
          <w:rFonts w:asciiTheme="minorHAnsi" w:hAnsiTheme="minorHAnsi"/>
          <w:sz w:val="24"/>
          <w:lang w:val="pl-PL"/>
        </w:rPr>
        <w:t> </w:t>
      </w:r>
      <w:r w:rsidRPr="00B15C52">
        <w:rPr>
          <w:rFonts w:asciiTheme="minorHAnsi" w:hAnsiTheme="minorHAnsi"/>
          <w:sz w:val="24"/>
          <w:lang w:val="pl-PL"/>
        </w:rPr>
        <w:t xml:space="preserve">uwagi na uprawnione podejrzenie, nie wskazuje, że władze prowadzące śledztwo i sądy krajowe nie chciały ustalić okoliczności wypadku i odpowiedzialności biorących w nim udział osób lub że brakowało im wymaganej niezależności. </w:t>
      </w:r>
    </w:p>
    <w:p w14:paraId="182BA81D" w14:textId="77777777" w:rsidR="00950534" w:rsidRDefault="00950534" w:rsidP="00950534">
      <w:pPr>
        <w:pStyle w:val="ClinContent"/>
        <w:widowControl w:val="0"/>
        <w:spacing w:before="0"/>
        <w:rPr>
          <w:rFonts w:asciiTheme="minorHAnsi" w:hAnsiTheme="minorHAnsi"/>
          <w:sz w:val="24"/>
          <w:lang w:val="pl-PL"/>
        </w:rPr>
      </w:pPr>
    </w:p>
    <w:p w14:paraId="5DDD1F66" w14:textId="5474EF29"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Ponadto, pomimo nieprawidłowości przy pobraniu próbek krwi skarżącego, zważywszy na</w:t>
      </w:r>
      <w:r w:rsidR="00092E2B">
        <w:rPr>
          <w:rFonts w:asciiTheme="minorHAnsi" w:hAnsiTheme="minorHAnsi"/>
          <w:sz w:val="24"/>
          <w:lang w:val="pl-PL"/>
        </w:rPr>
        <w:t> </w:t>
      </w:r>
      <w:r w:rsidRPr="00B15C52">
        <w:rPr>
          <w:rFonts w:asciiTheme="minorHAnsi" w:hAnsiTheme="minorHAnsi"/>
          <w:sz w:val="24"/>
          <w:lang w:val="pl-PL"/>
        </w:rPr>
        <w:t xml:space="preserve">dostępne dowody, Trybunał nie znalazł wystarczających podstaw, by uznać, że śledztwo lub zbieranie dowodów było ostatecznie niewystarczająco dogłębne. </w:t>
      </w:r>
    </w:p>
    <w:p w14:paraId="070A751C" w14:textId="77777777" w:rsidR="00950534" w:rsidRDefault="00950534" w:rsidP="00950534">
      <w:pPr>
        <w:pStyle w:val="ClinContent"/>
        <w:widowControl w:val="0"/>
        <w:spacing w:before="0"/>
        <w:rPr>
          <w:rFonts w:asciiTheme="minorHAnsi" w:hAnsiTheme="minorHAnsi"/>
          <w:sz w:val="24"/>
          <w:lang w:val="pl-PL"/>
        </w:rPr>
      </w:pPr>
    </w:p>
    <w:p w14:paraId="373B599C" w14:textId="3B5304F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Zdaniem Trybunału d</w:t>
      </w:r>
      <w:r w:rsidRPr="00B15C52">
        <w:rPr>
          <w:rFonts w:asciiTheme="minorHAnsi" w:hAnsiTheme="minorHAnsi"/>
          <w:sz w:val="24"/>
          <w:lang w:val="pl-PL"/>
        </w:rPr>
        <w:t>ecyzja władz krajowych o umorzeniu postępowania nie została podjęta pospiesznie lub arbitralnie, a nastąpiła po latach pracy dochodzeniowej, która doprowadziła do zebrania obszernego materiału dowodowego, w tym dowodów kryminalistycznych i</w:t>
      </w:r>
      <w:r w:rsidR="00092E2B">
        <w:rPr>
          <w:rFonts w:asciiTheme="minorHAnsi" w:hAnsiTheme="minorHAnsi"/>
          <w:sz w:val="24"/>
          <w:lang w:val="pl-PL"/>
        </w:rPr>
        <w:t> </w:t>
      </w:r>
      <w:r w:rsidRPr="00B15C52">
        <w:rPr>
          <w:rFonts w:asciiTheme="minorHAnsi" w:hAnsiTheme="minorHAnsi"/>
          <w:sz w:val="24"/>
          <w:lang w:val="pl-PL"/>
        </w:rPr>
        <w:t xml:space="preserve">technicznych. Dowody odnosiły się do kwestii podniesionych w ramach postępowania karnego, w tym dotyczących zachowania kierowców uczestniczących w wypadku oraz jego przyczyn. Władze oddaliły niektóre wnioski dowodowe skarżącego, ale należy im przyznać pewną swobodę w decydowaniu, jakie dowody są istotne dla organów śledczych. </w:t>
      </w:r>
    </w:p>
    <w:p w14:paraId="7AE9967A" w14:textId="77777777" w:rsidR="00950534" w:rsidRDefault="00950534" w:rsidP="00950534">
      <w:pPr>
        <w:pStyle w:val="ClinContent"/>
        <w:widowControl w:val="0"/>
        <w:spacing w:before="0"/>
        <w:rPr>
          <w:rFonts w:asciiTheme="minorHAnsi" w:hAnsiTheme="minorHAnsi"/>
          <w:sz w:val="24"/>
          <w:lang w:val="pl-PL"/>
        </w:rPr>
      </w:pPr>
    </w:p>
    <w:p w14:paraId="6E3EBA3B" w14:textId="22C74FE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w:t>
      </w:r>
      <w:r w:rsidRPr="00B15C52">
        <w:rPr>
          <w:rFonts w:asciiTheme="minorHAnsi" w:hAnsiTheme="minorHAnsi"/>
          <w:sz w:val="24"/>
          <w:lang w:val="pl-PL"/>
        </w:rPr>
        <w:t xml:space="preserve">ostępowanie dotyczące okoliczności wypadku trwało ponad osiem lat. </w:t>
      </w:r>
      <w:r>
        <w:rPr>
          <w:rFonts w:asciiTheme="minorHAnsi" w:hAnsiTheme="minorHAnsi"/>
          <w:sz w:val="24"/>
          <w:lang w:val="pl-PL"/>
        </w:rPr>
        <w:t>Chociaż</w:t>
      </w:r>
      <w:r w:rsidRPr="00B15C52">
        <w:rPr>
          <w:rFonts w:asciiTheme="minorHAnsi" w:hAnsiTheme="minorHAnsi"/>
          <w:sz w:val="24"/>
          <w:lang w:val="pl-PL"/>
        </w:rPr>
        <w:t xml:space="preserve"> co prawda </w:t>
      </w:r>
      <w:r>
        <w:rPr>
          <w:rFonts w:asciiTheme="minorHAnsi" w:hAnsiTheme="minorHAnsi"/>
          <w:sz w:val="24"/>
          <w:lang w:val="pl-PL"/>
        </w:rPr>
        <w:t xml:space="preserve">Trybunał odnotował, że </w:t>
      </w:r>
      <w:r w:rsidRPr="00B15C52">
        <w:rPr>
          <w:rFonts w:asciiTheme="minorHAnsi" w:hAnsiTheme="minorHAnsi"/>
          <w:sz w:val="24"/>
          <w:lang w:val="pl-PL"/>
        </w:rPr>
        <w:t xml:space="preserve">w postępowaniu doszło do pewnych opóźnień, to </w:t>
      </w:r>
      <w:r>
        <w:rPr>
          <w:rFonts w:asciiTheme="minorHAnsi" w:hAnsiTheme="minorHAnsi"/>
          <w:sz w:val="24"/>
          <w:lang w:val="pl-PL"/>
        </w:rPr>
        <w:t xml:space="preserve">jednak z uwagi </w:t>
      </w:r>
      <w:r w:rsidRPr="00B15C52">
        <w:rPr>
          <w:rFonts w:asciiTheme="minorHAnsi" w:hAnsiTheme="minorHAnsi"/>
          <w:sz w:val="24"/>
          <w:lang w:val="pl-PL"/>
        </w:rPr>
        <w:t>na</w:t>
      </w:r>
      <w:r w:rsidR="00092E2B">
        <w:rPr>
          <w:rFonts w:asciiTheme="minorHAnsi" w:hAnsiTheme="minorHAnsi"/>
          <w:sz w:val="24"/>
          <w:lang w:val="pl-PL"/>
        </w:rPr>
        <w:t> </w:t>
      </w:r>
      <w:r w:rsidRPr="00B15C52">
        <w:rPr>
          <w:rFonts w:asciiTheme="minorHAnsi" w:hAnsiTheme="minorHAnsi"/>
          <w:sz w:val="24"/>
          <w:lang w:val="pl-PL"/>
        </w:rPr>
        <w:t xml:space="preserve">powody niektórych </w:t>
      </w:r>
      <w:r>
        <w:rPr>
          <w:rFonts w:asciiTheme="minorHAnsi" w:hAnsiTheme="minorHAnsi"/>
          <w:sz w:val="24"/>
          <w:lang w:val="pl-PL"/>
        </w:rPr>
        <w:t xml:space="preserve">z </w:t>
      </w:r>
      <w:r w:rsidRPr="00B15C52">
        <w:rPr>
          <w:rFonts w:asciiTheme="minorHAnsi" w:hAnsiTheme="minorHAnsi"/>
          <w:sz w:val="24"/>
          <w:lang w:val="pl-PL"/>
        </w:rPr>
        <w:t>tych opóźnień</w:t>
      </w:r>
      <w:r>
        <w:rPr>
          <w:rFonts w:asciiTheme="minorHAnsi" w:hAnsiTheme="minorHAnsi"/>
          <w:sz w:val="24"/>
          <w:lang w:val="pl-PL"/>
        </w:rPr>
        <w:t>,</w:t>
      </w:r>
      <w:r w:rsidRPr="00B15C52">
        <w:rPr>
          <w:rFonts w:asciiTheme="minorHAnsi" w:hAnsiTheme="minorHAnsi"/>
          <w:sz w:val="24"/>
          <w:lang w:val="pl-PL"/>
        </w:rPr>
        <w:t xml:space="preserve"> nie </w:t>
      </w:r>
      <w:r>
        <w:rPr>
          <w:rFonts w:asciiTheme="minorHAnsi" w:hAnsiTheme="minorHAnsi"/>
          <w:sz w:val="24"/>
          <w:lang w:val="pl-PL"/>
        </w:rPr>
        <w:t>uznał on</w:t>
      </w:r>
      <w:r w:rsidRPr="00B15C52">
        <w:rPr>
          <w:rFonts w:asciiTheme="minorHAnsi" w:hAnsiTheme="minorHAnsi"/>
          <w:sz w:val="24"/>
          <w:lang w:val="pl-PL"/>
        </w:rPr>
        <w:t xml:space="preserve">, że zmniejszyły one skuteczność śledztwa. </w:t>
      </w:r>
    </w:p>
    <w:p w14:paraId="777B69A2" w14:textId="77777777" w:rsidR="00950534" w:rsidRDefault="00950534" w:rsidP="00950534">
      <w:pPr>
        <w:pStyle w:val="ClinContent"/>
        <w:widowControl w:val="0"/>
        <w:spacing w:before="0"/>
        <w:rPr>
          <w:rFonts w:asciiTheme="minorHAnsi" w:hAnsiTheme="minorHAnsi"/>
          <w:sz w:val="24"/>
          <w:lang w:val="pl-PL"/>
        </w:rPr>
      </w:pPr>
    </w:p>
    <w:p w14:paraId="549063F6" w14:textId="41F83152"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przypomniał, że zgodność z wymogami proceduralnymi art. 2</w:t>
      </w:r>
      <w:r>
        <w:rPr>
          <w:rFonts w:asciiTheme="minorHAnsi" w:hAnsiTheme="minorHAnsi"/>
          <w:sz w:val="24"/>
          <w:lang w:val="pl-PL"/>
        </w:rPr>
        <w:t xml:space="preserve"> Konwencji</w:t>
      </w:r>
      <w:r w:rsidRPr="00B15C52">
        <w:rPr>
          <w:rFonts w:asciiTheme="minorHAnsi" w:hAnsiTheme="minorHAnsi"/>
          <w:sz w:val="24"/>
          <w:lang w:val="pl-PL"/>
        </w:rPr>
        <w:t xml:space="preserve"> ocenia</w:t>
      </w:r>
      <w:r>
        <w:rPr>
          <w:rFonts w:asciiTheme="minorHAnsi" w:hAnsiTheme="minorHAnsi"/>
          <w:sz w:val="24"/>
          <w:lang w:val="pl-PL"/>
        </w:rPr>
        <w:t xml:space="preserve"> się</w:t>
      </w:r>
      <w:r w:rsidRPr="00B15C52">
        <w:rPr>
          <w:rFonts w:asciiTheme="minorHAnsi" w:hAnsiTheme="minorHAnsi"/>
          <w:sz w:val="24"/>
          <w:lang w:val="pl-PL"/>
        </w:rPr>
        <w:t xml:space="preserve"> na podstawie kilku istotnych parametrów, które są wzajemnie powiązane, ale żaden z tych parametrów traktowany odrębnie nie stanowi celu samego w sobie</w:t>
      </w:r>
      <w:r>
        <w:rPr>
          <w:rFonts w:asciiTheme="minorHAnsi" w:hAnsiTheme="minorHAnsi"/>
          <w:sz w:val="24"/>
          <w:lang w:val="pl-PL"/>
        </w:rPr>
        <w:t xml:space="preserve"> (a więc </w:t>
      </w:r>
      <w:r w:rsidRPr="00B15C52">
        <w:rPr>
          <w:rFonts w:asciiTheme="minorHAnsi" w:hAnsiTheme="minorHAnsi"/>
          <w:sz w:val="24"/>
          <w:lang w:val="pl-PL"/>
        </w:rPr>
        <w:t xml:space="preserve">inaczej </w:t>
      </w:r>
      <w:r>
        <w:rPr>
          <w:rFonts w:asciiTheme="minorHAnsi" w:hAnsiTheme="minorHAnsi"/>
          <w:sz w:val="24"/>
          <w:lang w:val="pl-PL"/>
        </w:rPr>
        <w:t xml:space="preserve">niż </w:t>
      </w:r>
      <w:r w:rsidRPr="00B15C52">
        <w:rPr>
          <w:rFonts w:asciiTheme="minorHAnsi" w:hAnsiTheme="minorHAnsi"/>
          <w:sz w:val="24"/>
          <w:lang w:val="pl-PL"/>
        </w:rPr>
        <w:t>w</w:t>
      </w:r>
      <w:r w:rsidR="00092E2B">
        <w:rPr>
          <w:rFonts w:asciiTheme="minorHAnsi" w:hAnsiTheme="minorHAnsi"/>
          <w:sz w:val="24"/>
          <w:lang w:val="pl-PL"/>
        </w:rPr>
        <w:t> </w:t>
      </w:r>
      <w:r w:rsidRPr="00B15C52">
        <w:rPr>
          <w:rFonts w:asciiTheme="minorHAnsi" w:hAnsiTheme="minorHAnsi"/>
          <w:sz w:val="24"/>
          <w:lang w:val="pl-PL"/>
        </w:rPr>
        <w:t>przypadku wymogów rzetelnego procesu sądowego określonych w</w:t>
      </w:r>
      <w:r>
        <w:rPr>
          <w:rFonts w:asciiTheme="minorHAnsi" w:hAnsiTheme="minorHAnsi"/>
          <w:sz w:val="24"/>
          <w:lang w:val="pl-PL"/>
        </w:rPr>
        <w:t xml:space="preserve"> art. 6 Konwencji)</w:t>
      </w:r>
      <w:r w:rsidRPr="00B15C52">
        <w:rPr>
          <w:rFonts w:asciiTheme="minorHAnsi" w:hAnsiTheme="minorHAnsi"/>
          <w:sz w:val="24"/>
          <w:lang w:val="pl-PL"/>
        </w:rPr>
        <w:t>. Stanowią one kryteria, które łącznie umożliwiają ocenę stopnia skuteczności śledztwa. To</w:t>
      </w:r>
      <w:r w:rsidR="00092E2B">
        <w:rPr>
          <w:rFonts w:asciiTheme="minorHAnsi" w:hAnsiTheme="minorHAnsi"/>
          <w:sz w:val="24"/>
          <w:lang w:val="pl-PL"/>
        </w:rPr>
        <w:t> </w:t>
      </w:r>
      <w:r w:rsidRPr="00B15C52">
        <w:rPr>
          <w:rFonts w:asciiTheme="minorHAnsi" w:hAnsiTheme="minorHAnsi"/>
          <w:sz w:val="24"/>
          <w:lang w:val="pl-PL"/>
        </w:rPr>
        <w:t>w</w:t>
      </w:r>
      <w:r w:rsidR="00092E2B">
        <w:rPr>
          <w:rFonts w:asciiTheme="minorHAnsi" w:hAnsiTheme="minorHAnsi"/>
          <w:sz w:val="24"/>
          <w:lang w:val="pl-PL"/>
        </w:rPr>
        <w:t> </w:t>
      </w:r>
      <w:r w:rsidRPr="00B15C52">
        <w:rPr>
          <w:rFonts w:asciiTheme="minorHAnsi" w:hAnsiTheme="minorHAnsi"/>
          <w:sz w:val="24"/>
          <w:lang w:val="pl-PL"/>
        </w:rPr>
        <w:t xml:space="preserve">odniesieniu do tego celu skutecznego śledztwa należy oceniać wszelkie pojawiające się kwestie, w tym dotyczące szybkości i rozsądnej celowości (zobacz </w:t>
      </w:r>
      <w:r w:rsidRPr="00B15C52">
        <w:rPr>
          <w:rFonts w:asciiTheme="minorHAnsi" w:hAnsiTheme="minorHAnsi"/>
          <w:i/>
          <w:sz w:val="24"/>
          <w:lang w:val="pl-PL"/>
        </w:rPr>
        <w:t>Mustafa Tunç i Fecire Tunç p. Turcji</w:t>
      </w:r>
      <w:r w:rsidRPr="00B15C52">
        <w:rPr>
          <w:rFonts w:asciiTheme="minorHAnsi" w:hAnsiTheme="minorHAnsi"/>
          <w:sz w:val="24"/>
          <w:lang w:val="pl-PL"/>
        </w:rPr>
        <w:t xml:space="preserve"> [WI], skarga nr 24014/05, 14 kwietnia 2015 r., </w:t>
      </w:r>
      <w:hyperlink r:id="rId24" w:history="1">
        <w:r w:rsidRPr="00B15C52">
          <w:rPr>
            <w:rStyle w:val="Hipercze"/>
            <w:rFonts w:asciiTheme="minorHAnsi" w:hAnsiTheme="minorHAnsi"/>
            <w:sz w:val="24"/>
            <w:lang w:val="pl-PL"/>
          </w:rPr>
          <w:t>Nota informacyjna nr 184</w:t>
        </w:r>
      </w:hyperlink>
      <w:r w:rsidRPr="00B15C52">
        <w:rPr>
          <w:rFonts w:asciiTheme="minorHAnsi" w:hAnsiTheme="minorHAnsi"/>
          <w:sz w:val="24"/>
          <w:lang w:val="pl-PL"/>
        </w:rPr>
        <w:t xml:space="preserve">). </w:t>
      </w:r>
    </w:p>
    <w:p w14:paraId="4257B4CD" w14:textId="77777777" w:rsidR="00950534" w:rsidRDefault="00950534" w:rsidP="00950534">
      <w:pPr>
        <w:pStyle w:val="ClinContent"/>
        <w:widowControl w:val="0"/>
        <w:spacing w:before="0"/>
        <w:rPr>
          <w:rFonts w:asciiTheme="minorHAnsi" w:hAnsiTheme="minorHAnsi"/>
          <w:sz w:val="24"/>
          <w:lang w:val="pl-PL"/>
        </w:rPr>
      </w:pPr>
    </w:p>
    <w:p w14:paraId="39BFED8C" w14:textId="4287849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Wreszcie Trybunał podkreślił, że a</w:t>
      </w:r>
      <w:r w:rsidRPr="00B15C52">
        <w:rPr>
          <w:rFonts w:asciiTheme="minorHAnsi" w:hAnsiTheme="minorHAnsi"/>
          <w:sz w:val="24"/>
          <w:lang w:val="pl-PL"/>
        </w:rPr>
        <w:t>rt. 2</w:t>
      </w:r>
      <w:r>
        <w:rPr>
          <w:rFonts w:asciiTheme="minorHAnsi" w:hAnsiTheme="minorHAnsi"/>
          <w:sz w:val="24"/>
          <w:lang w:val="pl-PL"/>
        </w:rPr>
        <w:t xml:space="preserve"> Konwencji</w:t>
      </w:r>
      <w:r w:rsidRPr="00B15C52">
        <w:rPr>
          <w:rFonts w:asciiTheme="minorHAnsi" w:hAnsiTheme="minorHAnsi"/>
          <w:sz w:val="24"/>
          <w:lang w:val="pl-PL"/>
        </w:rPr>
        <w:t xml:space="preserve"> nie gwarantuje prawa do uzyskania skazania strony trzeciej w postępowaniu karnym. W sytuacji, gdy nie zachodzi widoczny brak staranności w badaniu przez władze okoliczności wypadku skarżącego, ich decyzja o</w:t>
      </w:r>
      <w:r w:rsidR="00092E2B">
        <w:rPr>
          <w:rFonts w:asciiTheme="minorHAnsi" w:hAnsiTheme="minorHAnsi"/>
          <w:sz w:val="24"/>
          <w:lang w:val="pl-PL"/>
        </w:rPr>
        <w:t> </w:t>
      </w:r>
      <w:r w:rsidRPr="00B15C52">
        <w:rPr>
          <w:rFonts w:asciiTheme="minorHAnsi" w:hAnsiTheme="minorHAnsi"/>
          <w:sz w:val="24"/>
          <w:lang w:val="pl-PL"/>
        </w:rPr>
        <w:t xml:space="preserve">odmowie ścigania nie wystarcza do stwierdzenia odpowiedzialności państwa z tytułu obowiązku proceduralnego wynikającego z art. 2. </w:t>
      </w:r>
    </w:p>
    <w:p w14:paraId="1308DBDE" w14:textId="77777777" w:rsidR="00950534" w:rsidRDefault="00950534" w:rsidP="00950534">
      <w:pPr>
        <w:pStyle w:val="ClinContent"/>
        <w:widowControl w:val="0"/>
        <w:spacing w:before="0"/>
        <w:rPr>
          <w:rFonts w:asciiTheme="minorHAnsi" w:hAnsiTheme="minorHAnsi"/>
          <w:sz w:val="24"/>
          <w:lang w:val="pl-PL"/>
        </w:rPr>
      </w:pPr>
    </w:p>
    <w:p w14:paraId="70DEA4BE" w14:textId="77777777" w:rsidR="00277D0F" w:rsidRDefault="00277D0F" w:rsidP="00950534">
      <w:pPr>
        <w:pStyle w:val="ClinContent"/>
        <w:widowControl w:val="0"/>
        <w:spacing w:before="0"/>
        <w:rPr>
          <w:rFonts w:asciiTheme="minorHAnsi" w:hAnsiTheme="minorHAnsi"/>
          <w:sz w:val="24"/>
          <w:lang w:val="pl-PL"/>
        </w:rPr>
      </w:pPr>
    </w:p>
    <w:p w14:paraId="55E79C7A" w14:textId="560570F1"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Biorąc pod uwagę ogólną ocenę śledztwa, Trybunał uznał, że nie można stwierdzić, że</w:t>
      </w:r>
      <w:r w:rsidR="00092E2B">
        <w:rPr>
          <w:rFonts w:asciiTheme="minorHAnsi" w:hAnsiTheme="minorHAnsi"/>
          <w:sz w:val="24"/>
          <w:lang w:val="pl-PL"/>
        </w:rPr>
        <w:t> </w:t>
      </w:r>
      <w:r>
        <w:rPr>
          <w:rFonts w:asciiTheme="minorHAnsi" w:hAnsiTheme="minorHAnsi"/>
          <w:sz w:val="24"/>
          <w:lang w:val="pl-PL"/>
        </w:rPr>
        <w:t>w</w:t>
      </w:r>
      <w:r w:rsidR="00092E2B">
        <w:rPr>
          <w:rFonts w:asciiTheme="minorHAnsi" w:hAnsiTheme="minorHAnsi"/>
          <w:sz w:val="24"/>
          <w:lang w:val="pl-PL"/>
        </w:rPr>
        <w:t> </w:t>
      </w:r>
      <w:r w:rsidRPr="00B15C52">
        <w:rPr>
          <w:rFonts w:asciiTheme="minorHAnsi" w:hAnsiTheme="minorHAnsi"/>
          <w:sz w:val="24"/>
          <w:lang w:val="pl-PL"/>
        </w:rPr>
        <w:t>system</w:t>
      </w:r>
      <w:r>
        <w:rPr>
          <w:rFonts w:asciiTheme="minorHAnsi" w:hAnsiTheme="minorHAnsi"/>
          <w:sz w:val="24"/>
          <w:lang w:val="pl-PL"/>
        </w:rPr>
        <w:t>ie</w:t>
      </w:r>
      <w:r w:rsidRPr="00B15C52">
        <w:rPr>
          <w:rFonts w:asciiTheme="minorHAnsi" w:hAnsiTheme="minorHAnsi"/>
          <w:sz w:val="24"/>
          <w:lang w:val="pl-PL"/>
        </w:rPr>
        <w:t xml:space="preserve"> prawny</w:t>
      </w:r>
      <w:r>
        <w:rPr>
          <w:rFonts w:asciiTheme="minorHAnsi" w:hAnsiTheme="minorHAnsi"/>
          <w:sz w:val="24"/>
          <w:lang w:val="pl-PL"/>
        </w:rPr>
        <w:t>m</w:t>
      </w:r>
      <w:r w:rsidRPr="00B15C52">
        <w:rPr>
          <w:rFonts w:asciiTheme="minorHAnsi" w:hAnsiTheme="minorHAnsi"/>
          <w:sz w:val="24"/>
          <w:lang w:val="pl-PL"/>
        </w:rPr>
        <w:t xml:space="preserve"> zastosowany</w:t>
      </w:r>
      <w:r>
        <w:rPr>
          <w:rFonts w:asciiTheme="minorHAnsi" w:hAnsiTheme="minorHAnsi"/>
          <w:sz w:val="24"/>
          <w:lang w:val="pl-PL"/>
        </w:rPr>
        <w:t>m</w:t>
      </w:r>
      <w:r w:rsidRPr="00B15C52">
        <w:rPr>
          <w:rFonts w:asciiTheme="minorHAnsi" w:hAnsiTheme="minorHAnsi"/>
          <w:sz w:val="24"/>
          <w:lang w:val="pl-PL"/>
        </w:rPr>
        <w:t xml:space="preserve"> w sprawie skarżącego nie </w:t>
      </w:r>
      <w:r>
        <w:rPr>
          <w:rFonts w:asciiTheme="minorHAnsi" w:hAnsiTheme="minorHAnsi"/>
          <w:sz w:val="24"/>
          <w:lang w:val="pl-PL"/>
        </w:rPr>
        <w:t>zapewniono odpowiedniego rozpatrzenia</w:t>
      </w:r>
      <w:r w:rsidRPr="00B15C52">
        <w:rPr>
          <w:rFonts w:asciiTheme="minorHAnsi" w:hAnsiTheme="minorHAnsi"/>
          <w:sz w:val="24"/>
          <w:lang w:val="pl-PL"/>
        </w:rPr>
        <w:t xml:space="preserve"> sprawy skarżącego.</w:t>
      </w:r>
      <w:r>
        <w:rPr>
          <w:rFonts w:asciiTheme="minorHAnsi" w:hAnsiTheme="minorHAnsi"/>
          <w:sz w:val="24"/>
          <w:lang w:val="pl-PL"/>
        </w:rPr>
        <w:t xml:space="preserve"> </w:t>
      </w:r>
    </w:p>
    <w:p w14:paraId="316AE371" w14:textId="77777777" w:rsidR="00950534" w:rsidRDefault="00950534" w:rsidP="00950534">
      <w:pPr>
        <w:pStyle w:val="ClinContent"/>
        <w:widowControl w:val="0"/>
        <w:spacing w:before="0"/>
        <w:rPr>
          <w:rFonts w:asciiTheme="minorHAnsi" w:hAnsiTheme="minorHAnsi"/>
          <w:sz w:val="24"/>
          <w:lang w:val="pl-PL"/>
        </w:rPr>
      </w:pPr>
    </w:p>
    <w:p w14:paraId="6CA427D6" w14:textId="5FA3EC1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związku z powyższym Trybunał orzekł, </w:t>
      </w:r>
      <w:r w:rsidRPr="00B15C52">
        <w:rPr>
          <w:rFonts w:asciiTheme="minorHAnsi" w:hAnsiTheme="minorHAnsi"/>
          <w:sz w:val="24"/>
          <w:lang w:val="pl-PL"/>
        </w:rPr>
        <w:t>tr</w:t>
      </w:r>
      <w:r>
        <w:rPr>
          <w:rFonts w:asciiTheme="minorHAnsi" w:hAnsiTheme="minorHAnsi"/>
          <w:sz w:val="24"/>
          <w:lang w:val="pl-PL"/>
        </w:rPr>
        <w:t>zynastoma głosami do czterech, że nie doszło do</w:t>
      </w:r>
      <w:r w:rsidR="00092E2B">
        <w:rPr>
          <w:rFonts w:asciiTheme="minorHAnsi" w:hAnsiTheme="minorHAnsi"/>
          <w:sz w:val="24"/>
          <w:lang w:val="pl-PL"/>
        </w:rPr>
        <w:t> </w:t>
      </w:r>
      <w:r>
        <w:rPr>
          <w:rFonts w:asciiTheme="minorHAnsi" w:hAnsiTheme="minorHAnsi"/>
          <w:sz w:val="24"/>
          <w:lang w:val="pl-PL"/>
        </w:rPr>
        <w:t xml:space="preserve">naruszenia art. 2 Konwencji. </w:t>
      </w:r>
    </w:p>
    <w:p w14:paraId="70992903" w14:textId="77777777" w:rsidR="00950534" w:rsidRDefault="00950534" w:rsidP="00950534">
      <w:pPr>
        <w:pStyle w:val="ClinContent"/>
        <w:widowControl w:val="0"/>
        <w:spacing w:before="0"/>
        <w:rPr>
          <w:rFonts w:asciiTheme="minorHAnsi" w:hAnsiTheme="minorHAnsi"/>
          <w:sz w:val="24"/>
          <w:lang w:val="pl-PL"/>
        </w:rPr>
      </w:pPr>
    </w:p>
    <w:p w14:paraId="3EC74410"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v) Ocena przedmiotu skargi </w:t>
      </w:r>
      <w:r w:rsidRPr="00B15C52">
        <w:rPr>
          <w:rFonts w:asciiTheme="minorHAnsi" w:hAnsiTheme="minorHAnsi"/>
          <w:sz w:val="24"/>
          <w:lang w:val="pl-PL"/>
        </w:rPr>
        <w:t xml:space="preserve">na podstawie </w:t>
      </w:r>
      <w:r w:rsidRPr="00B92E34">
        <w:rPr>
          <w:rFonts w:asciiTheme="minorHAnsi" w:hAnsiTheme="minorHAnsi"/>
          <w:i/>
          <w:sz w:val="24"/>
          <w:u w:val="single"/>
          <w:lang w:val="pl-PL"/>
        </w:rPr>
        <w:t>art. 13 (prawo do skutecznego środka odwoławczego) i 6 ust. 1 Konwencji (prawo do rzetelnego procesu sądowego</w:t>
      </w:r>
      <w:r>
        <w:rPr>
          <w:rFonts w:asciiTheme="minorHAnsi" w:hAnsiTheme="minorHAnsi"/>
          <w:i/>
          <w:sz w:val="24"/>
          <w:u w:val="single"/>
          <w:lang w:val="pl-PL"/>
        </w:rPr>
        <w:t xml:space="preserve"> – aspekty prawa dostępu do sądu i rozsądnego terminu</w:t>
      </w:r>
      <w:r w:rsidRPr="00B92E34">
        <w:rPr>
          <w:rFonts w:asciiTheme="minorHAnsi" w:hAnsiTheme="minorHAnsi"/>
          <w:i/>
          <w:sz w:val="24"/>
          <w:u w:val="single"/>
          <w:lang w:val="pl-PL"/>
        </w:rPr>
        <w:t>)</w:t>
      </w:r>
    </w:p>
    <w:p w14:paraId="7D8AE9E8" w14:textId="77777777" w:rsidR="00950534" w:rsidRDefault="00950534" w:rsidP="00950534">
      <w:pPr>
        <w:pStyle w:val="ClinContent"/>
        <w:widowControl w:val="0"/>
        <w:spacing w:before="0"/>
        <w:rPr>
          <w:rFonts w:asciiTheme="minorHAnsi" w:hAnsiTheme="minorHAnsi"/>
          <w:sz w:val="24"/>
          <w:lang w:val="pl-PL"/>
        </w:rPr>
      </w:pPr>
    </w:p>
    <w:p w14:paraId="553C7027"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jednogłośnie uznał, że nie jest konieczne badanie skargi dotyczącej skuteczności śledztwa na podstawie art. 13</w:t>
      </w:r>
      <w:r>
        <w:rPr>
          <w:rFonts w:asciiTheme="minorHAnsi" w:hAnsiTheme="minorHAnsi"/>
          <w:sz w:val="24"/>
          <w:lang w:val="pl-PL"/>
        </w:rPr>
        <w:t>, gwarantującego prawo do skutecznego środka odwoławczego</w:t>
      </w:r>
      <w:r w:rsidRPr="00B15C52">
        <w:rPr>
          <w:rFonts w:asciiTheme="minorHAnsi" w:hAnsiTheme="minorHAnsi"/>
          <w:sz w:val="24"/>
          <w:lang w:val="pl-PL"/>
        </w:rPr>
        <w:t xml:space="preserve">. </w:t>
      </w:r>
    </w:p>
    <w:p w14:paraId="0AA76036" w14:textId="77777777" w:rsidR="00950534" w:rsidRDefault="00950534" w:rsidP="00950534">
      <w:pPr>
        <w:pStyle w:val="ClinContent"/>
        <w:widowControl w:val="0"/>
        <w:spacing w:before="0"/>
        <w:rPr>
          <w:rFonts w:asciiTheme="minorHAnsi" w:hAnsiTheme="minorHAnsi"/>
          <w:sz w:val="24"/>
          <w:lang w:val="pl-PL"/>
        </w:rPr>
      </w:pPr>
    </w:p>
    <w:p w14:paraId="5222BB80" w14:textId="479DBACF"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Trybunał stwierdził również, szesnastoma głosami do jednego, że nie doszło do </w:t>
      </w:r>
      <w:r>
        <w:rPr>
          <w:rFonts w:asciiTheme="minorHAnsi" w:hAnsiTheme="minorHAnsi"/>
          <w:sz w:val="24"/>
          <w:lang w:val="pl-PL"/>
        </w:rPr>
        <w:t>pozbawienia skarżącego prawa dostępu do sądu (art. 6 ust. 1 Konwencji)</w:t>
      </w:r>
      <w:r w:rsidRPr="00B15C52">
        <w:rPr>
          <w:rFonts w:asciiTheme="minorHAnsi" w:hAnsiTheme="minorHAnsi"/>
          <w:sz w:val="24"/>
          <w:lang w:val="pl-PL"/>
        </w:rPr>
        <w:t>, gdyż nie można uznać, że</w:t>
      </w:r>
      <w:r w:rsidR="00092E2B">
        <w:rPr>
          <w:rFonts w:asciiTheme="minorHAnsi" w:hAnsiTheme="minorHAnsi"/>
          <w:sz w:val="24"/>
          <w:lang w:val="pl-PL"/>
        </w:rPr>
        <w:t> </w:t>
      </w:r>
      <w:r w:rsidRPr="00B15C52">
        <w:rPr>
          <w:rFonts w:asciiTheme="minorHAnsi" w:hAnsiTheme="minorHAnsi"/>
          <w:sz w:val="24"/>
          <w:lang w:val="pl-PL"/>
        </w:rPr>
        <w:t>w</w:t>
      </w:r>
      <w:r w:rsidR="00092E2B">
        <w:rPr>
          <w:rFonts w:asciiTheme="minorHAnsi" w:hAnsiTheme="minorHAnsi"/>
          <w:sz w:val="24"/>
          <w:lang w:val="pl-PL"/>
        </w:rPr>
        <w:t> </w:t>
      </w:r>
      <w:r>
        <w:rPr>
          <w:rFonts w:asciiTheme="minorHAnsi" w:hAnsiTheme="minorHAnsi"/>
          <w:sz w:val="24"/>
          <w:lang w:val="pl-PL"/>
        </w:rPr>
        <w:t xml:space="preserve">rezultacie umorzenia postępowania </w:t>
      </w:r>
      <w:r w:rsidRPr="00B15C52">
        <w:rPr>
          <w:rFonts w:asciiTheme="minorHAnsi" w:hAnsiTheme="minorHAnsi"/>
          <w:sz w:val="24"/>
          <w:lang w:val="pl-PL"/>
        </w:rPr>
        <w:t xml:space="preserve">karnego </w:t>
      </w:r>
      <w:r>
        <w:rPr>
          <w:rFonts w:asciiTheme="minorHAnsi" w:hAnsiTheme="minorHAnsi"/>
          <w:sz w:val="24"/>
          <w:lang w:val="pl-PL"/>
        </w:rPr>
        <w:t xml:space="preserve">przez prokuraturę </w:t>
      </w:r>
      <w:r w:rsidRPr="00B15C52">
        <w:rPr>
          <w:rFonts w:asciiTheme="minorHAnsi" w:hAnsiTheme="minorHAnsi"/>
          <w:sz w:val="24"/>
          <w:lang w:val="pl-PL"/>
        </w:rPr>
        <w:t>skarżącemu odmówiono dostępu do sądu w celu rozstrzygnięcia o jego prawach o charakterze cywilnym</w:t>
      </w:r>
      <w:r>
        <w:rPr>
          <w:rFonts w:asciiTheme="minorHAnsi" w:hAnsiTheme="minorHAnsi"/>
          <w:sz w:val="24"/>
          <w:lang w:val="pl-PL"/>
        </w:rPr>
        <w:t xml:space="preserve"> (skarżący miał nadal możliwość złożenia odrębnego powództwa cywilnego, miał też możliwość wytoczenia takiego powództwa również w momencie podjęcia decyzji o przyłączeniu się do</w:t>
      </w:r>
      <w:r w:rsidR="00092E2B">
        <w:rPr>
          <w:rFonts w:asciiTheme="minorHAnsi" w:hAnsiTheme="minorHAnsi"/>
          <w:sz w:val="24"/>
          <w:lang w:val="pl-PL"/>
        </w:rPr>
        <w:t> </w:t>
      </w:r>
      <w:r>
        <w:rPr>
          <w:rFonts w:asciiTheme="minorHAnsi" w:hAnsiTheme="minorHAnsi"/>
          <w:sz w:val="24"/>
          <w:lang w:val="pl-PL"/>
        </w:rPr>
        <w:t>postępowania karnego)</w:t>
      </w:r>
      <w:r w:rsidRPr="00B15C52">
        <w:rPr>
          <w:rFonts w:asciiTheme="minorHAnsi" w:hAnsiTheme="minorHAnsi"/>
          <w:sz w:val="24"/>
          <w:lang w:val="pl-PL"/>
        </w:rPr>
        <w:t xml:space="preserve">. </w:t>
      </w:r>
    </w:p>
    <w:p w14:paraId="19800D12" w14:textId="77777777" w:rsidR="00950534" w:rsidRDefault="00950534" w:rsidP="00950534">
      <w:pPr>
        <w:pStyle w:val="ClinContent"/>
        <w:widowControl w:val="0"/>
        <w:spacing w:before="0"/>
        <w:rPr>
          <w:rFonts w:asciiTheme="minorHAnsi" w:hAnsiTheme="minorHAnsi"/>
          <w:sz w:val="24"/>
          <w:lang w:val="pl-PL"/>
        </w:rPr>
      </w:pPr>
    </w:p>
    <w:p w14:paraId="608230C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stwierdził ponadto, dziesięcioma głosami do siedmiu, że nie doszło do naruszenia art. 6 ust. 1 w odniesieniu do wymogu „rozsądnego terminu”</w:t>
      </w:r>
      <w:r>
        <w:rPr>
          <w:rFonts w:asciiTheme="minorHAnsi" w:hAnsiTheme="minorHAnsi"/>
          <w:sz w:val="24"/>
          <w:lang w:val="pl-PL"/>
        </w:rPr>
        <w:t xml:space="preserve">, mając na uwadze </w:t>
      </w:r>
      <w:r w:rsidRPr="00B15C52">
        <w:rPr>
          <w:rFonts w:asciiTheme="minorHAnsi" w:hAnsiTheme="minorHAnsi"/>
          <w:sz w:val="24"/>
          <w:lang w:val="pl-PL"/>
        </w:rPr>
        <w:t>skomplikowany charakter sprawy i fakt, że władze pozostawały aktywne przez całe postępowanie karne.</w:t>
      </w:r>
    </w:p>
    <w:p w14:paraId="7D95EF79" w14:textId="77777777" w:rsidR="00950534" w:rsidRDefault="00950534" w:rsidP="00950534">
      <w:pPr>
        <w:pStyle w:val="ClinContent"/>
        <w:widowControl w:val="0"/>
        <w:spacing w:before="0"/>
        <w:rPr>
          <w:rFonts w:asciiTheme="minorHAnsi" w:hAnsiTheme="minorHAnsi"/>
          <w:sz w:val="24"/>
          <w:lang w:val="pl-PL"/>
        </w:rPr>
      </w:pPr>
    </w:p>
    <w:p w14:paraId="7C10E319" w14:textId="77777777" w:rsidR="00950534" w:rsidRDefault="00950534" w:rsidP="00950534">
      <w:pPr>
        <w:pStyle w:val="ClinContent"/>
        <w:widowControl w:val="0"/>
        <w:spacing w:before="0"/>
        <w:rPr>
          <w:rFonts w:asciiTheme="minorHAnsi" w:hAnsiTheme="minorHAnsi"/>
          <w:sz w:val="24"/>
          <w:u w:val="single"/>
          <w:lang w:val="pl-PL"/>
        </w:rPr>
      </w:pPr>
      <w:r>
        <w:rPr>
          <w:rFonts w:asciiTheme="minorHAnsi" w:hAnsiTheme="minorHAnsi"/>
          <w:sz w:val="24"/>
          <w:lang w:val="pl-PL"/>
        </w:rPr>
        <w:t>III.</w:t>
      </w:r>
      <w:r>
        <w:rPr>
          <w:rFonts w:asciiTheme="minorHAnsi" w:hAnsiTheme="minorHAnsi"/>
          <w:i/>
          <w:sz w:val="24"/>
          <w:lang w:val="pl-PL"/>
        </w:rPr>
        <w:t xml:space="preserve"> </w:t>
      </w:r>
      <w:r w:rsidRPr="00CA1DEF">
        <w:rPr>
          <w:rFonts w:asciiTheme="minorHAnsi" w:hAnsiTheme="minorHAnsi"/>
          <w:sz w:val="24"/>
          <w:u w:val="single"/>
          <w:lang w:val="pl-PL"/>
        </w:rPr>
        <w:t xml:space="preserve">Zarzut skargi dotyczący </w:t>
      </w:r>
      <w:r w:rsidRPr="00172080">
        <w:rPr>
          <w:rFonts w:asciiTheme="minorHAnsi" w:hAnsiTheme="minorHAnsi"/>
          <w:sz w:val="24"/>
          <w:u w:val="single"/>
          <w:lang w:val="pl-PL"/>
        </w:rPr>
        <w:t>nieludzkiego lub poniżającego traktowania skarżącego przez organy odpowiedzialne za śledztwo (art. 3 Konwencji)</w:t>
      </w:r>
    </w:p>
    <w:p w14:paraId="2EE536E3" w14:textId="77777777" w:rsidR="00950534" w:rsidRDefault="00950534" w:rsidP="00950534">
      <w:pPr>
        <w:pStyle w:val="ClinContent"/>
        <w:widowControl w:val="0"/>
        <w:spacing w:before="0"/>
        <w:rPr>
          <w:rFonts w:asciiTheme="minorHAnsi" w:hAnsiTheme="minorHAnsi"/>
          <w:sz w:val="24"/>
          <w:u w:val="single"/>
          <w:lang w:val="pl-PL"/>
        </w:rPr>
      </w:pPr>
    </w:p>
    <w:p w14:paraId="2A775F3C" w14:textId="77777777" w:rsidR="00950534" w:rsidRDefault="00950534" w:rsidP="00950534">
      <w:pPr>
        <w:pStyle w:val="ClinContent"/>
        <w:widowControl w:val="0"/>
        <w:spacing w:before="0"/>
        <w:rPr>
          <w:rFonts w:asciiTheme="minorHAnsi" w:hAnsiTheme="minorHAnsi"/>
          <w:i/>
          <w:sz w:val="24"/>
          <w:lang w:val="pl-PL"/>
        </w:rPr>
      </w:pPr>
      <w:r w:rsidRPr="00B15C52">
        <w:rPr>
          <w:rFonts w:asciiTheme="minorHAnsi" w:hAnsiTheme="minorHAnsi"/>
          <w:sz w:val="24"/>
          <w:lang w:val="pl-PL"/>
        </w:rPr>
        <w:t>W niektórych poprzednich sprawach, takich jak dotyczące krewnych zaginionych osób (</w:t>
      </w:r>
      <w:r w:rsidRPr="00B15C52">
        <w:rPr>
          <w:rFonts w:asciiTheme="minorHAnsi" w:hAnsiTheme="minorHAnsi"/>
          <w:i/>
          <w:sz w:val="24"/>
          <w:lang w:val="pl-PL"/>
        </w:rPr>
        <w:t xml:space="preserve">Kurt p. Turcji, </w:t>
      </w:r>
      <w:r w:rsidRPr="00B15C52">
        <w:rPr>
          <w:rFonts w:asciiTheme="minorHAnsi" w:hAnsiTheme="minorHAnsi"/>
          <w:sz w:val="24"/>
          <w:lang w:val="pl-PL"/>
        </w:rPr>
        <w:t>nr</w:t>
      </w:r>
      <w:r w:rsidRPr="00B15C52">
        <w:rPr>
          <w:rFonts w:asciiTheme="minorHAnsi" w:hAnsiTheme="minorHAnsi"/>
          <w:i/>
          <w:sz w:val="24"/>
          <w:lang w:val="pl-PL"/>
        </w:rPr>
        <w:t xml:space="preserve"> </w:t>
      </w:r>
      <w:hyperlink r:id="rId25" w:history="1">
        <w:r w:rsidRPr="00B15C52">
          <w:rPr>
            <w:rStyle w:val="Hipercze"/>
            <w:rFonts w:asciiTheme="minorHAnsi" w:hAnsiTheme="minorHAnsi"/>
            <w:sz w:val="24"/>
            <w:lang w:val="pl-PL"/>
          </w:rPr>
          <w:t>24276/94</w:t>
        </w:r>
      </w:hyperlink>
      <w:r w:rsidRPr="00B15C52">
        <w:rPr>
          <w:rFonts w:asciiTheme="minorHAnsi" w:hAnsiTheme="minorHAnsi"/>
          <w:sz w:val="24"/>
          <w:lang w:val="pl-PL"/>
        </w:rPr>
        <w:t xml:space="preserve">, 25 maja 1998 r.; </w:t>
      </w:r>
      <w:r w:rsidRPr="00B15C52">
        <w:rPr>
          <w:rFonts w:asciiTheme="minorHAnsi" w:hAnsiTheme="minorHAnsi"/>
          <w:i/>
          <w:sz w:val="24"/>
          <w:lang w:val="pl-PL"/>
        </w:rPr>
        <w:t>Çakıcı p. Turcji</w:t>
      </w:r>
      <w:r w:rsidRPr="00B15C52">
        <w:rPr>
          <w:rFonts w:asciiTheme="minorHAnsi" w:hAnsiTheme="minorHAnsi"/>
          <w:sz w:val="24"/>
          <w:lang w:val="pl-PL"/>
        </w:rPr>
        <w:t xml:space="preserve"> [WI], nr 23657/94, 8 lipca 1999 r., </w:t>
      </w:r>
      <w:hyperlink r:id="rId26" w:history="1">
        <w:r w:rsidRPr="00B15C52">
          <w:rPr>
            <w:rStyle w:val="Hipercze"/>
            <w:rFonts w:asciiTheme="minorHAnsi" w:hAnsiTheme="minorHAnsi"/>
            <w:sz w:val="24"/>
            <w:lang w:val="pl-PL"/>
          </w:rPr>
          <w:t>Nota informacyjna nr 8</w:t>
        </w:r>
      </w:hyperlink>
      <w:r w:rsidRPr="00B15C52">
        <w:rPr>
          <w:rFonts w:asciiTheme="minorHAnsi" w:hAnsiTheme="minorHAnsi"/>
          <w:sz w:val="24"/>
          <w:lang w:val="pl-PL"/>
        </w:rPr>
        <w:t xml:space="preserve">; oraz </w:t>
      </w:r>
      <w:r w:rsidRPr="00B15C52">
        <w:rPr>
          <w:rFonts w:asciiTheme="minorHAnsi" w:hAnsiTheme="minorHAnsi"/>
          <w:i/>
          <w:sz w:val="24"/>
          <w:lang w:val="pl-PL"/>
        </w:rPr>
        <w:t>Varnava i Inni p. Turcji</w:t>
      </w:r>
      <w:r w:rsidRPr="00B15C52">
        <w:rPr>
          <w:rFonts w:asciiTheme="minorHAnsi" w:hAnsiTheme="minorHAnsi"/>
          <w:sz w:val="24"/>
          <w:lang w:val="pl-PL"/>
        </w:rPr>
        <w:t xml:space="preserve"> [WI], nr 16064/90 </w:t>
      </w:r>
      <w:r w:rsidRPr="00B15C52">
        <w:rPr>
          <w:rFonts w:asciiTheme="minorHAnsi" w:hAnsiTheme="minorHAnsi"/>
          <w:i/>
          <w:sz w:val="24"/>
          <w:lang w:val="pl-PL"/>
        </w:rPr>
        <w:t>et al.</w:t>
      </w:r>
      <w:r w:rsidRPr="00B15C52">
        <w:rPr>
          <w:rFonts w:asciiTheme="minorHAnsi" w:hAnsiTheme="minorHAnsi"/>
          <w:sz w:val="24"/>
          <w:lang w:val="pl-PL"/>
        </w:rPr>
        <w:t xml:space="preserve">, 18 września 2009 r., </w:t>
      </w:r>
      <w:hyperlink r:id="rId27" w:history="1">
        <w:r w:rsidRPr="00B15C52">
          <w:rPr>
            <w:rStyle w:val="Hipercze"/>
            <w:rFonts w:asciiTheme="minorHAnsi" w:hAnsiTheme="minorHAnsi"/>
            <w:sz w:val="24"/>
            <w:lang w:val="pl-PL"/>
          </w:rPr>
          <w:t>Nota informacyjna nr 122</w:t>
        </w:r>
      </w:hyperlink>
      <w:r w:rsidRPr="00B15C52">
        <w:rPr>
          <w:rFonts w:asciiTheme="minorHAnsi" w:hAnsiTheme="minorHAnsi"/>
          <w:sz w:val="24"/>
          <w:lang w:val="pl-PL"/>
        </w:rPr>
        <w:t>), Trybunał uwzględniał sposób, w jaki władze prowadziły śledztwo, badając, czy ich zachowanie stanowiło nieludzkie lub poniżające traktowanie naruszające art. 3</w:t>
      </w:r>
      <w:r>
        <w:rPr>
          <w:rFonts w:asciiTheme="minorHAnsi" w:hAnsiTheme="minorHAnsi"/>
          <w:sz w:val="24"/>
          <w:lang w:val="pl-PL"/>
        </w:rPr>
        <w:t xml:space="preserve"> Konwencji w jego aspekcie materialnym</w:t>
      </w:r>
      <w:r w:rsidRPr="00B15C52">
        <w:rPr>
          <w:rFonts w:asciiTheme="minorHAnsi" w:hAnsiTheme="minorHAnsi"/>
          <w:sz w:val="24"/>
          <w:lang w:val="pl-PL"/>
        </w:rPr>
        <w:t xml:space="preserve">. </w:t>
      </w:r>
    </w:p>
    <w:p w14:paraId="408D4030" w14:textId="77777777" w:rsidR="00950534" w:rsidRDefault="00950534" w:rsidP="00950534">
      <w:pPr>
        <w:pStyle w:val="ClinContent"/>
        <w:widowControl w:val="0"/>
        <w:spacing w:before="0"/>
        <w:rPr>
          <w:rFonts w:asciiTheme="minorHAnsi" w:hAnsiTheme="minorHAnsi"/>
          <w:i/>
          <w:sz w:val="24"/>
          <w:lang w:val="pl-PL"/>
        </w:rPr>
      </w:pPr>
    </w:p>
    <w:p w14:paraId="05E43E8B"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takich sprawach Trybunał uwzględnia</w:t>
      </w:r>
      <w:r>
        <w:rPr>
          <w:rFonts w:asciiTheme="minorHAnsi" w:hAnsiTheme="minorHAnsi"/>
          <w:sz w:val="24"/>
          <w:lang w:val="pl-PL"/>
        </w:rPr>
        <w:t>ł</w:t>
      </w:r>
      <w:r w:rsidRPr="00B15C52">
        <w:rPr>
          <w:rFonts w:asciiTheme="minorHAnsi" w:hAnsiTheme="minorHAnsi"/>
          <w:sz w:val="24"/>
          <w:lang w:val="pl-PL"/>
        </w:rPr>
        <w:t xml:space="preserve"> różne czynniki przy ocenie, czy sposób, w który prowadzono śledztwo, sam w sobie stanowił sprzeczne z art. 3 traktowanie krewnych ofiar. Istotne elementy obejm</w:t>
      </w:r>
      <w:r>
        <w:rPr>
          <w:rFonts w:asciiTheme="minorHAnsi" w:hAnsiTheme="minorHAnsi"/>
          <w:sz w:val="24"/>
          <w:lang w:val="pl-PL"/>
        </w:rPr>
        <w:t>owały</w:t>
      </w:r>
      <w:r w:rsidRPr="00B15C52">
        <w:rPr>
          <w:rFonts w:asciiTheme="minorHAnsi" w:hAnsiTheme="minorHAnsi"/>
          <w:sz w:val="24"/>
          <w:lang w:val="pl-PL"/>
        </w:rPr>
        <w:t xml:space="preserve"> bliskość więzi rodzinnych, zakres, w jakim członek rodziny był świadkiem przedmiotowych wydarzeń, udział członka rodziny w próbach uzyskania informacji na temat osoby zaginionej oraz sposób, w jaki władze odpowiedziały na te zapytania. </w:t>
      </w:r>
    </w:p>
    <w:p w14:paraId="20400A74" w14:textId="77777777" w:rsidR="00950534" w:rsidRDefault="00950534" w:rsidP="00950534">
      <w:pPr>
        <w:pStyle w:val="ClinContent"/>
        <w:widowControl w:val="0"/>
        <w:spacing w:before="0"/>
        <w:rPr>
          <w:rFonts w:asciiTheme="minorHAnsi" w:hAnsiTheme="minorHAnsi"/>
          <w:sz w:val="24"/>
          <w:lang w:val="pl-PL"/>
        </w:rPr>
      </w:pPr>
    </w:p>
    <w:p w14:paraId="53DDC13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stosował również zasady ustalone w następujących sprawach:</w:t>
      </w:r>
    </w:p>
    <w:p w14:paraId="7D49E983" w14:textId="723E2769"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 xml:space="preserve">pozbawienie wolności i </w:t>
      </w:r>
      <w:r w:rsidRPr="00B15C52">
        <w:rPr>
          <w:rFonts w:asciiTheme="minorHAnsi" w:hAnsiTheme="minorHAnsi"/>
          <w:i/>
          <w:sz w:val="24"/>
          <w:lang w:val="pl-PL"/>
        </w:rPr>
        <w:t xml:space="preserve">refoulement </w:t>
      </w:r>
      <w:r w:rsidRPr="00B15C52">
        <w:rPr>
          <w:rFonts w:asciiTheme="minorHAnsi" w:hAnsiTheme="minorHAnsi"/>
          <w:sz w:val="24"/>
          <w:lang w:val="pl-PL"/>
        </w:rPr>
        <w:t>małoletniej osoby bez opieki ubiegającej się o</w:t>
      </w:r>
      <w:r w:rsidR="00092E2B">
        <w:rPr>
          <w:rFonts w:asciiTheme="minorHAnsi" w:hAnsiTheme="minorHAnsi"/>
          <w:sz w:val="24"/>
          <w:lang w:val="pl-PL"/>
        </w:rPr>
        <w:t> </w:t>
      </w:r>
      <w:r w:rsidRPr="00B15C52">
        <w:rPr>
          <w:rFonts w:asciiTheme="minorHAnsi" w:hAnsiTheme="minorHAnsi"/>
          <w:sz w:val="24"/>
          <w:lang w:val="pl-PL"/>
        </w:rPr>
        <w:t>azyl (</w:t>
      </w:r>
      <w:r w:rsidRPr="00B15C52">
        <w:rPr>
          <w:rFonts w:asciiTheme="minorHAnsi" w:hAnsiTheme="minorHAnsi"/>
          <w:i/>
          <w:sz w:val="24"/>
          <w:lang w:val="pl-PL"/>
        </w:rPr>
        <w:t>Mubilanzila Mayeka i Kaniki Mitunga p. Belgii</w:t>
      </w:r>
      <w:r w:rsidRPr="00B15C52">
        <w:rPr>
          <w:rFonts w:asciiTheme="minorHAnsi" w:hAnsiTheme="minorHAnsi"/>
          <w:sz w:val="24"/>
          <w:lang w:val="pl-PL"/>
        </w:rPr>
        <w:t xml:space="preserve">, nr 13178/03, 12 października </w:t>
      </w:r>
      <w:r w:rsidRPr="00B15C52">
        <w:rPr>
          <w:rFonts w:asciiTheme="minorHAnsi" w:hAnsiTheme="minorHAnsi"/>
          <w:sz w:val="24"/>
          <w:lang w:val="pl-PL"/>
        </w:rPr>
        <w:lastRenderedPageBreak/>
        <w:t xml:space="preserve">2006 r., </w:t>
      </w:r>
      <w:hyperlink r:id="rId28" w:history="1">
        <w:r w:rsidRPr="00B15C52">
          <w:rPr>
            <w:rStyle w:val="Hipercze"/>
            <w:rFonts w:asciiTheme="minorHAnsi" w:hAnsiTheme="minorHAnsi"/>
            <w:sz w:val="24"/>
            <w:lang w:val="pl-PL"/>
          </w:rPr>
          <w:t>Nota informacyjna nr 90</w:t>
        </w:r>
      </w:hyperlink>
      <w:r w:rsidRPr="00B15C52">
        <w:rPr>
          <w:rFonts w:asciiTheme="minorHAnsi" w:hAnsiTheme="minorHAnsi"/>
          <w:sz w:val="24"/>
          <w:lang w:val="pl-PL"/>
        </w:rPr>
        <w:t>);</w:t>
      </w:r>
    </w:p>
    <w:p w14:paraId="17904FF0" w14:textId="66E4B4AF"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zarzuty wykorzystywania seksualnego dziecka w rodzinie (</w:t>
      </w:r>
      <w:r w:rsidRPr="00B15C52">
        <w:rPr>
          <w:rFonts w:asciiTheme="minorHAnsi" w:hAnsiTheme="minorHAnsi"/>
          <w:i/>
          <w:sz w:val="24"/>
          <w:lang w:val="pl-PL"/>
        </w:rPr>
        <w:t>M.P. i Inni p. Bułgarii</w:t>
      </w:r>
      <w:r w:rsidRPr="00B15C52">
        <w:rPr>
          <w:rFonts w:asciiTheme="minorHAnsi" w:hAnsiTheme="minorHAnsi"/>
          <w:sz w:val="24"/>
          <w:lang w:val="pl-PL"/>
        </w:rPr>
        <w:t>, nr</w:t>
      </w:r>
      <w:r w:rsidR="00092E2B">
        <w:rPr>
          <w:rFonts w:asciiTheme="minorHAnsi" w:hAnsiTheme="minorHAnsi"/>
          <w:sz w:val="24"/>
          <w:lang w:val="pl-PL"/>
        </w:rPr>
        <w:t> </w:t>
      </w:r>
      <w:hyperlink r:id="rId29" w:history="1">
        <w:r w:rsidRPr="00B15C52">
          <w:rPr>
            <w:rStyle w:val="Hipercze"/>
            <w:rFonts w:asciiTheme="minorHAnsi" w:hAnsiTheme="minorHAnsi"/>
            <w:sz w:val="24"/>
            <w:lang w:val="pl-PL"/>
          </w:rPr>
          <w:t>22457/08</w:t>
        </w:r>
      </w:hyperlink>
      <w:r w:rsidRPr="00B15C52">
        <w:rPr>
          <w:rFonts w:asciiTheme="minorHAnsi" w:hAnsiTheme="minorHAnsi"/>
          <w:sz w:val="24"/>
          <w:lang w:val="pl-PL"/>
        </w:rPr>
        <w:t xml:space="preserve">, 15 listopada 2011 r.); </w:t>
      </w:r>
    </w:p>
    <w:p w14:paraId="16575BB8" w14:textId="77777777"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warunki przechowywania zwłok zmarłych krewnych w czasie procesu identyfikacji (</w:t>
      </w:r>
      <w:r w:rsidRPr="00B15C52">
        <w:rPr>
          <w:rFonts w:asciiTheme="minorHAnsi" w:hAnsiTheme="minorHAnsi"/>
          <w:i/>
          <w:sz w:val="24"/>
          <w:lang w:val="pl-PL"/>
        </w:rPr>
        <w:t>Sabanchiyeva i Inni p. Rosji</w:t>
      </w:r>
      <w:r w:rsidRPr="00B15C52">
        <w:rPr>
          <w:rFonts w:asciiTheme="minorHAnsi" w:hAnsiTheme="minorHAnsi"/>
          <w:sz w:val="24"/>
          <w:lang w:val="pl-PL"/>
        </w:rPr>
        <w:t xml:space="preserve">, nr 38450/05, 6 czerwca 2013 r., </w:t>
      </w:r>
      <w:hyperlink r:id="rId30" w:history="1">
        <w:r w:rsidRPr="00B15C52">
          <w:rPr>
            <w:rStyle w:val="Hipercze"/>
            <w:rFonts w:asciiTheme="minorHAnsi" w:hAnsiTheme="minorHAnsi"/>
            <w:sz w:val="24"/>
            <w:lang w:val="pl-PL"/>
          </w:rPr>
          <w:t>Nota informacyjna nr 164</w:t>
        </w:r>
      </w:hyperlink>
      <w:r w:rsidRPr="00B15C52">
        <w:rPr>
          <w:rFonts w:asciiTheme="minorHAnsi" w:hAnsiTheme="minorHAnsi"/>
          <w:sz w:val="24"/>
          <w:lang w:val="pl-PL"/>
        </w:rPr>
        <w:t>);</w:t>
      </w:r>
    </w:p>
    <w:p w14:paraId="306657CB" w14:textId="35CC35B4"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śmierć osoby przy braku odpowiedniej opieki medycznej w trakcie pozbawienia wolności i następnie brak odpowiedniego dochodzenia krajowego (</w:t>
      </w:r>
      <w:r w:rsidRPr="00B15C52">
        <w:rPr>
          <w:rFonts w:asciiTheme="minorHAnsi" w:hAnsiTheme="minorHAnsi"/>
          <w:i/>
          <w:sz w:val="24"/>
          <w:lang w:val="pl-PL"/>
        </w:rPr>
        <w:t>Salakhov i</w:t>
      </w:r>
      <w:r w:rsidR="00092E2B">
        <w:rPr>
          <w:rFonts w:asciiTheme="minorHAnsi" w:hAnsiTheme="minorHAnsi"/>
          <w:i/>
          <w:sz w:val="24"/>
          <w:lang w:val="pl-PL"/>
        </w:rPr>
        <w:t> </w:t>
      </w:r>
      <w:r w:rsidRPr="00B15C52">
        <w:rPr>
          <w:rFonts w:asciiTheme="minorHAnsi" w:hAnsiTheme="minorHAnsi"/>
          <w:i/>
          <w:sz w:val="24"/>
          <w:lang w:val="pl-PL"/>
        </w:rPr>
        <w:t>Islyamova p. Ukrainie</w:t>
      </w:r>
      <w:r w:rsidRPr="00B15C52">
        <w:rPr>
          <w:rFonts w:asciiTheme="minorHAnsi" w:hAnsiTheme="minorHAnsi"/>
          <w:sz w:val="24"/>
          <w:lang w:val="pl-PL"/>
        </w:rPr>
        <w:t xml:space="preserve">, nr 28005/08, 14 marca 2013 r., </w:t>
      </w:r>
      <w:hyperlink r:id="rId31" w:history="1">
        <w:r w:rsidRPr="00B15C52">
          <w:rPr>
            <w:rStyle w:val="Hipercze"/>
            <w:rFonts w:asciiTheme="minorHAnsi" w:hAnsiTheme="minorHAnsi"/>
            <w:sz w:val="24"/>
            <w:lang w:val="pl-PL"/>
          </w:rPr>
          <w:t>Nota informacyjna nr 161</w:t>
        </w:r>
      </w:hyperlink>
      <w:r w:rsidRPr="00B15C52">
        <w:rPr>
          <w:rFonts w:asciiTheme="minorHAnsi" w:hAnsiTheme="minorHAnsi"/>
          <w:sz w:val="24"/>
          <w:lang w:val="pl-PL"/>
        </w:rPr>
        <w:t>); oraz</w:t>
      </w:r>
    </w:p>
    <w:p w14:paraId="6142D831" w14:textId="6C58F87C"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cierpienie emocjonalne spowodowane pobraniem tkanki z ciała zmarłego bez wiedzy i zgody krewnej (</w:t>
      </w:r>
      <w:r w:rsidRPr="00B15C52">
        <w:rPr>
          <w:rFonts w:asciiTheme="minorHAnsi" w:hAnsiTheme="minorHAnsi"/>
          <w:i/>
          <w:sz w:val="24"/>
          <w:lang w:val="pl-PL"/>
        </w:rPr>
        <w:t>Elberte p. Łotwie</w:t>
      </w:r>
      <w:r w:rsidRPr="00B15C52">
        <w:rPr>
          <w:rFonts w:asciiTheme="minorHAnsi" w:hAnsiTheme="minorHAnsi"/>
          <w:sz w:val="24"/>
          <w:lang w:val="pl-PL"/>
        </w:rPr>
        <w:t xml:space="preserve">, nr 61243/08, 13 stycznia 2015 r., </w:t>
      </w:r>
      <w:hyperlink r:id="rId32" w:history="1">
        <w:r w:rsidRPr="00B15C52">
          <w:rPr>
            <w:rStyle w:val="Hipercze"/>
            <w:rFonts w:asciiTheme="minorHAnsi" w:hAnsiTheme="minorHAnsi"/>
            <w:sz w:val="24"/>
            <w:lang w:val="pl-PL"/>
          </w:rPr>
          <w:t>Nota</w:t>
        </w:r>
        <w:r w:rsidR="00092E2B">
          <w:rPr>
            <w:rStyle w:val="Hipercze"/>
            <w:rFonts w:asciiTheme="minorHAnsi" w:hAnsiTheme="minorHAnsi"/>
            <w:sz w:val="24"/>
            <w:lang w:val="pl-PL"/>
          </w:rPr>
          <w:t> </w:t>
        </w:r>
        <w:r w:rsidRPr="00B15C52">
          <w:rPr>
            <w:rStyle w:val="Hipercze"/>
            <w:rFonts w:asciiTheme="minorHAnsi" w:hAnsiTheme="minorHAnsi"/>
            <w:sz w:val="24"/>
            <w:lang w:val="pl-PL"/>
          </w:rPr>
          <w:t>informacyjna nr 181</w:t>
        </w:r>
      </w:hyperlink>
      <w:r w:rsidRPr="00B15C52">
        <w:rPr>
          <w:rFonts w:asciiTheme="minorHAnsi" w:hAnsiTheme="minorHAnsi"/>
          <w:sz w:val="24"/>
          <w:lang w:val="pl-PL"/>
        </w:rPr>
        <w:t>).</w:t>
      </w:r>
    </w:p>
    <w:p w14:paraId="5C6CBAA6" w14:textId="77777777" w:rsidR="00950534" w:rsidRDefault="00950534" w:rsidP="00950534">
      <w:pPr>
        <w:pStyle w:val="ClinContent"/>
        <w:widowControl w:val="0"/>
        <w:spacing w:before="0"/>
        <w:ind w:left="360"/>
        <w:rPr>
          <w:rFonts w:asciiTheme="minorHAnsi" w:hAnsiTheme="minorHAnsi"/>
          <w:sz w:val="24"/>
          <w:lang w:val="pl-PL"/>
        </w:rPr>
      </w:pPr>
    </w:p>
    <w:p w14:paraId="52414CE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uznał jednak, że omawiana</w:t>
      </w:r>
      <w:r w:rsidRPr="00B15C52">
        <w:rPr>
          <w:rFonts w:asciiTheme="minorHAnsi" w:hAnsiTheme="minorHAnsi"/>
          <w:sz w:val="24"/>
          <w:lang w:val="pl-PL"/>
        </w:rPr>
        <w:t xml:space="preserve"> sprawa nie wchodziła w zakres okoliczności którejkolwiek ze spraw wskazanych wyżej.</w:t>
      </w:r>
    </w:p>
    <w:p w14:paraId="2E2FB7D2" w14:textId="77777777" w:rsidR="00950534" w:rsidRDefault="00950534" w:rsidP="00950534">
      <w:pPr>
        <w:pStyle w:val="ClinContent"/>
        <w:widowControl w:val="0"/>
        <w:spacing w:before="0"/>
        <w:rPr>
          <w:rFonts w:asciiTheme="minorHAnsi" w:hAnsiTheme="minorHAnsi"/>
          <w:sz w:val="24"/>
          <w:lang w:val="pl-PL"/>
        </w:rPr>
      </w:pPr>
    </w:p>
    <w:p w14:paraId="77ABC9D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związku z powyższym Trybunał orzekł, że ten zarzut skargi jest w </w:t>
      </w:r>
      <w:r w:rsidRPr="00B15C52">
        <w:rPr>
          <w:rFonts w:asciiTheme="minorHAnsi" w:hAnsiTheme="minorHAnsi"/>
          <w:sz w:val="24"/>
          <w:lang w:val="pl-PL"/>
        </w:rPr>
        <w:t>sposób oczywisty nieuzasadniony</w:t>
      </w:r>
      <w:r>
        <w:rPr>
          <w:rFonts w:asciiTheme="minorHAnsi" w:hAnsiTheme="minorHAnsi"/>
          <w:sz w:val="24"/>
          <w:lang w:val="pl-PL"/>
        </w:rPr>
        <w:t xml:space="preserve"> i jako taki niedopuszczalny. </w:t>
      </w:r>
    </w:p>
    <w:p w14:paraId="146AC25A" w14:textId="77777777" w:rsidR="00950534" w:rsidRDefault="00950534" w:rsidP="00950534">
      <w:pPr>
        <w:pStyle w:val="ClinContent"/>
        <w:widowControl w:val="0"/>
        <w:spacing w:before="0"/>
        <w:rPr>
          <w:rFonts w:asciiTheme="minorHAnsi" w:hAnsiTheme="minorHAnsi" w:cs="Verdana"/>
          <w:bCs/>
          <w:sz w:val="24"/>
          <w:u w:val="single"/>
          <w:lang w:val="pl-PL"/>
        </w:rPr>
      </w:pPr>
    </w:p>
    <w:p w14:paraId="5EAEC5BE" w14:textId="082B9DDF"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t>
      </w:r>
      <w:r>
        <w:rPr>
          <w:rFonts w:asciiTheme="minorHAnsi" w:hAnsiTheme="minorHAnsi" w:cs="Verdana"/>
          <w:bCs/>
          <w:sz w:val="24"/>
          <w:lang w:val="pl-PL"/>
        </w:rPr>
        <w:t>Wyrok określa obowiązki pozytywne państwa po wypadku samochodowym, w którym osoba doznaje obrażeń zagrażających życiu. Trybunał ujednolicił pewne rozbieżności pojawiające się w jego wcześniejszym orzecznictwie w zakresie zastosowalności art. 3 Konwencji (zakaz tortur oraz nieludzkiego lub poniżającego traktowania) do przypadków nieumyślnego spowodowania wypadku samochodowego powodującego uszczerbek na zdrowiu. Trybunał uznał obecnie, że w tego typu nieumyślnych sytuacjach, w których państwo dopełniło obowiązku wprowadzenia odpowiednich ram regulacyjnych mających zapewnić bezpieczeństwo na drodze, nie mamy do czynienia z</w:t>
      </w:r>
      <w:r w:rsidR="00092E2B">
        <w:rPr>
          <w:rFonts w:asciiTheme="minorHAnsi" w:hAnsiTheme="minorHAnsi" w:cs="Verdana"/>
          <w:bCs/>
          <w:sz w:val="24"/>
          <w:lang w:val="pl-PL"/>
        </w:rPr>
        <w:t> </w:t>
      </w:r>
      <w:r>
        <w:rPr>
          <w:rFonts w:asciiTheme="minorHAnsi" w:hAnsiTheme="minorHAnsi" w:cs="Verdana"/>
          <w:bCs/>
          <w:sz w:val="24"/>
          <w:lang w:val="pl-PL"/>
        </w:rPr>
        <w:t xml:space="preserve">„traktowaniem” osoby w rozumieniu art. 3 Konwencji. Natomiast jeśli </w:t>
      </w:r>
      <w:r w:rsidRPr="001A5031">
        <w:rPr>
          <w:rFonts w:asciiTheme="minorHAnsi" w:hAnsiTheme="minorHAnsi" w:cs="Verdana"/>
          <w:bCs/>
          <w:sz w:val="24"/>
          <w:lang w:val="pl-PL"/>
        </w:rPr>
        <w:t xml:space="preserve">dana działalność jest niebezpieczna ze swej natury i naraża życie skarżącego na rzeczywiste i bezpośrednie zagrożenie lub jeśli </w:t>
      </w:r>
      <w:r>
        <w:rPr>
          <w:rFonts w:asciiTheme="minorHAnsi" w:hAnsiTheme="minorHAnsi" w:cs="Verdana"/>
          <w:bCs/>
          <w:sz w:val="24"/>
          <w:lang w:val="pl-PL"/>
        </w:rPr>
        <w:t xml:space="preserve">doznane </w:t>
      </w:r>
      <w:r w:rsidRPr="001A5031">
        <w:rPr>
          <w:rFonts w:asciiTheme="minorHAnsi" w:hAnsiTheme="minorHAnsi" w:cs="Verdana"/>
          <w:bCs/>
          <w:sz w:val="24"/>
          <w:lang w:val="pl-PL"/>
        </w:rPr>
        <w:t>obrażenia</w:t>
      </w:r>
      <w:r>
        <w:rPr>
          <w:rFonts w:asciiTheme="minorHAnsi" w:hAnsiTheme="minorHAnsi" w:cs="Verdana"/>
          <w:bCs/>
          <w:sz w:val="24"/>
          <w:lang w:val="pl-PL"/>
        </w:rPr>
        <w:t xml:space="preserve"> </w:t>
      </w:r>
      <w:r w:rsidRPr="001A5031">
        <w:rPr>
          <w:rFonts w:asciiTheme="minorHAnsi" w:hAnsiTheme="minorHAnsi" w:cs="Verdana"/>
          <w:bCs/>
          <w:sz w:val="24"/>
          <w:lang w:val="pl-PL"/>
        </w:rPr>
        <w:t xml:space="preserve">poważnie zagrażały </w:t>
      </w:r>
      <w:r>
        <w:rPr>
          <w:rFonts w:asciiTheme="minorHAnsi" w:hAnsiTheme="minorHAnsi" w:cs="Verdana"/>
          <w:bCs/>
          <w:sz w:val="24"/>
          <w:lang w:val="pl-PL"/>
        </w:rPr>
        <w:t xml:space="preserve">jego </w:t>
      </w:r>
      <w:r w:rsidRPr="001A5031">
        <w:rPr>
          <w:rFonts w:asciiTheme="minorHAnsi" w:hAnsiTheme="minorHAnsi" w:cs="Verdana"/>
          <w:bCs/>
          <w:sz w:val="24"/>
          <w:lang w:val="pl-PL"/>
        </w:rPr>
        <w:t>życiu</w:t>
      </w:r>
      <w:r>
        <w:rPr>
          <w:rFonts w:asciiTheme="minorHAnsi" w:hAnsiTheme="minorHAnsi" w:cs="Verdana"/>
          <w:bCs/>
          <w:sz w:val="24"/>
          <w:lang w:val="pl-PL"/>
        </w:rPr>
        <w:t xml:space="preserve">, </w:t>
      </w:r>
      <w:r w:rsidRPr="001A5031">
        <w:rPr>
          <w:rFonts w:asciiTheme="minorHAnsi" w:hAnsiTheme="minorHAnsi" w:cs="Verdana"/>
          <w:bCs/>
          <w:sz w:val="24"/>
          <w:lang w:val="pl-PL"/>
        </w:rPr>
        <w:t>zastosowanie ma</w:t>
      </w:r>
      <w:r w:rsidR="00092E2B">
        <w:rPr>
          <w:rFonts w:asciiTheme="minorHAnsi" w:hAnsiTheme="minorHAnsi" w:cs="Verdana"/>
          <w:bCs/>
          <w:sz w:val="24"/>
          <w:lang w:val="pl-PL"/>
        </w:rPr>
        <w:t> </w:t>
      </w:r>
      <w:r w:rsidRPr="001A5031">
        <w:rPr>
          <w:rFonts w:asciiTheme="minorHAnsi" w:hAnsiTheme="minorHAnsi" w:cs="Verdana"/>
          <w:bCs/>
          <w:sz w:val="24"/>
          <w:lang w:val="pl-PL"/>
        </w:rPr>
        <w:t>obowiązek proceduralny przeprowadzenia skutecznego śledztwa</w:t>
      </w:r>
      <w:r>
        <w:rPr>
          <w:rFonts w:asciiTheme="minorHAnsi" w:hAnsiTheme="minorHAnsi" w:cs="Verdana"/>
          <w:bCs/>
          <w:sz w:val="24"/>
          <w:lang w:val="pl-PL"/>
        </w:rPr>
        <w:t xml:space="preserve"> na podstawie art. 2 Konwencji, chroniącego prawo do życia. Przy czym art. 2 ma zastosowanie</w:t>
      </w:r>
      <w:r w:rsidRPr="001A5031">
        <w:rPr>
          <w:rFonts w:asciiTheme="minorHAnsi" w:hAnsiTheme="minorHAnsi" w:cs="Verdana"/>
          <w:bCs/>
          <w:sz w:val="24"/>
          <w:lang w:val="pl-PL"/>
        </w:rPr>
        <w:t>, jeśli zagrożenie to</w:t>
      </w:r>
      <w:r w:rsidR="00092E2B">
        <w:rPr>
          <w:rFonts w:asciiTheme="minorHAnsi" w:hAnsiTheme="minorHAnsi" w:cs="Verdana"/>
          <w:bCs/>
          <w:sz w:val="24"/>
          <w:lang w:val="pl-PL"/>
        </w:rPr>
        <w:t> </w:t>
      </w:r>
      <w:r w:rsidRPr="001A5031">
        <w:rPr>
          <w:rFonts w:asciiTheme="minorHAnsi" w:hAnsiTheme="minorHAnsi" w:cs="Verdana"/>
          <w:bCs/>
          <w:sz w:val="24"/>
          <w:lang w:val="pl-PL"/>
        </w:rPr>
        <w:t>wydaje się rzeczywiste i bezpośrednie lub jeśli obrażenia wydają się groźne dla życia w</w:t>
      </w:r>
      <w:r w:rsidR="00092E2B">
        <w:rPr>
          <w:rFonts w:asciiTheme="minorHAnsi" w:hAnsiTheme="minorHAnsi" w:cs="Verdana"/>
          <w:bCs/>
          <w:sz w:val="24"/>
          <w:lang w:val="pl-PL"/>
        </w:rPr>
        <w:t> </w:t>
      </w:r>
      <w:r w:rsidRPr="001A5031">
        <w:rPr>
          <w:rFonts w:asciiTheme="minorHAnsi" w:hAnsiTheme="minorHAnsi" w:cs="Verdana"/>
          <w:bCs/>
          <w:sz w:val="24"/>
          <w:lang w:val="pl-PL"/>
        </w:rPr>
        <w:t>czasie, gdy następują</w:t>
      </w:r>
      <w:r>
        <w:rPr>
          <w:rFonts w:asciiTheme="minorHAnsi" w:hAnsiTheme="minorHAnsi" w:cs="Verdana"/>
          <w:bCs/>
          <w:sz w:val="24"/>
          <w:lang w:val="pl-PL"/>
        </w:rPr>
        <w:t>, a o</w:t>
      </w:r>
      <w:r w:rsidRPr="001A5031">
        <w:rPr>
          <w:rFonts w:asciiTheme="minorHAnsi" w:hAnsiTheme="minorHAnsi" w:cs="Verdana"/>
          <w:bCs/>
          <w:sz w:val="24"/>
          <w:lang w:val="pl-PL"/>
        </w:rPr>
        <w:t xml:space="preserve">bowiązek </w:t>
      </w:r>
      <w:r>
        <w:rPr>
          <w:rFonts w:asciiTheme="minorHAnsi" w:hAnsiTheme="minorHAnsi" w:cs="Verdana"/>
          <w:bCs/>
          <w:sz w:val="24"/>
          <w:lang w:val="pl-PL"/>
        </w:rPr>
        <w:t xml:space="preserve">skutecznego śledztwa </w:t>
      </w:r>
      <w:r w:rsidRPr="001A5031">
        <w:rPr>
          <w:rFonts w:asciiTheme="minorHAnsi" w:hAnsiTheme="minorHAnsi" w:cs="Verdana"/>
          <w:bCs/>
          <w:sz w:val="24"/>
          <w:lang w:val="pl-PL"/>
        </w:rPr>
        <w:t xml:space="preserve">trwa </w:t>
      </w:r>
      <w:r>
        <w:rPr>
          <w:rFonts w:asciiTheme="minorHAnsi" w:hAnsiTheme="minorHAnsi" w:cs="Verdana"/>
          <w:bCs/>
          <w:sz w:val="24"/>
          <w:lang w:val="pl-PL"/>
        </w:rPr>
        <w:t>do czasu ustalenia</w:t>
      </w:r>
      <w:r w:rsidRPr="001A5031">
        <w:rPr>
          <w:rFonts w:asciiTheme="minorHAnsi" w:hAnsiTheme="minorHAnsi" w:cs="Verdana"/>
          <w:bCs/>
          <w:sz w:val="24"/>
          <w:lang w:val="pl-PL"/>
        </w:rPr>
        <w:t>, że</w:t>
      </w:r>
      <w:r w:rsidR="00092E2B">
        <w:rPr>
          <w:rFonts w:asciiTheme="minorHAnsi" w:hAnsiTheme="minorHAnsi" w:cs="Verdana"/>
          <w:bCs/>
          <w:sz w:val="24"/>
          <w:lang w:val="pl-PL"/>
        </w:rPr>
        <w:t> </w:t>
      </w:r>
      <w:r w:rsidRPr="001A5031">
        <w:rPr>
          <w:rFonts w:asciiTheme="minorHAnsi" w:hAnsiTheme="minorHAnsi" w:cs="Verdana"/>
          <w:bCs/>
          <w:sz w:val="24"/>
          <w:lang w:val="pl-PL"/>
        </w:rPr>
        <w:t>zagrożenie dla życia nie było rzeczywiste i bezpośrednie lub że obrażenia nie stanowiły zagrożenia dla życia.</w:t>
      </w:r>
      <w:r>
        <w:rPr>
          <w:rFonts w:asciiTheme="minorHAnsi" w:hAnsiTheme="minorHAnsi" w:cs="Verdana"/>
          <w:bCs/>
          <w:sz w:val="24"/>
          <w:lang w:val="pl-PL"/>
        </w:rPr>
        <w:t xml:space="preserve"> Wyrok doprecyzowuje, w jakim zakresie władze mają obowiązek przeprowadzenia postępowania karnego, a w jakim zakresie wystarczające będą środki o</w:t>
      </w:r>
      <w:r w:rsidR="00092E2B">
        <w:rPr>
          <w:rFonts w:asciiTheme="minorHAnsi" w:hAnsiTheme="minorHAnsi" w:cs="Verdana"/>
          <w:bCs/>
          <w:sz w:val="24"/>
          <w:lang w:val="pl-PL"/>
        </w:rPr>
        <w:t> </w:t>
      </w:r>
      <w:r>
        <w:rPr>
          <w:rFonts w:asciiTheme="minorHAnsi" w:hAnsiTheme="minorHAnsi" w:cs="Verdana"/>
          <w:bCs/>
          <w:sz w:val="24"/>
          <w:lang w:val="pl-PL"/>
        </w:rPr>
        <w:t xml:space="preserve">charakterze cywilny. Umorzenie postępowania karnego przez prokuraturę z uwagi na brak znamion przestępstwa, w którym poszkodowany zgłosił powództwo adhezyjne, nie stanowi pozbawienia go prawa dostępu do sądu w rozumieniu art. 6 ust. 1 Konwencji, jeśli zachowuje on nadal skuteczną możliwość złożenia odrębnego powództwa cywilnego. </w:t>
      </w:r>
    </w:p>
    <w:p w14:paraId="71E4FC10" w14:textId="77777777" w:rsidR="00950534" w:rsidRDefault="00950534" w:rsidP="00950534">
      <w:pPr>
        <w:pStyle w:val="ClinContent"/>
        <w:widowControl w:val="0"/>
        <w:spacing w:before="0"/>
        <w:rPr>
          <w:rFonts w:asciiTheme="minorHAnsi" w:hAnsiTheme="minorHAnsi" w:cs="Verdana"/>
          <w:bCs/>
          <w:sz w:val="24"/>
          <w:lang w:val="pl-PL"/>
        </w:rPr>
      </w:pPr>
    </w:p>
    <w:p w14:paraId="78A6DD2E" w14:textId="14C64936"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Wyrok może mieć w szczególności znaczenie dla policji, prokuratury, sądów karnych i</w:t>
      </w:r>
      <w:r w:rsidR="00092E2B">
        <w:rPr>
          <w:rFonts w:asciiTheme="minorHAnsi" w:hAnsiTheme="minorHAnsi" w:cs="Verdana"/>
          <w:bCs/>
          <w:sz w:val="24"/>
          <w:lang w:val="pl-PL"/>
        </w:rPr>
        <w:t> </w:t>
      </w:r>
      <w:r>
        <w:rPr>
          <w:rFonts w:asciiTheme="minorHAnsi" w:hAnsiTheme="minorHAnsi" w:cs="Verdana"/>
          <w:bCs/>
          <w:sz w:val="24"/>
          <w:lang w:val="pl-PL"/>
        </w:rPr>
        <w:t xml:space="preserve">cywilnych, Ministerstwa Sprawiedliwości, a w zakresie dotyczącym obowiązku zapewnienia odpowiednich ram regulacyjnych dotyczących bezpieczeństwa na drogach – także Ministerstwa Infrastruktury i Ministerstwa Spraw Wewnętrznych i Administracji. </w:t>
      </w:r>
    </w:p>
    <w:p w14:paraId="34803927" w14:textId="77777777" w:rsidR="00950534" w:rsidRDefault="00950534" w:rsidP="00950534">
      <w:pPr>
        <w:pStyle w:val="ClinContent"/>
        <w:widowControl w:val="0"/>
        <w:spacing w:before="0"/>
        <w:rPr>
          <w:rFonts w:asciiTheme="minorHAnsi" w:hAnsiTheme="minorHAnsi"/>
          <w:sz w:val="24"/>
          <w:lang w:val="pl-PL"/>
        </w:rPr>
      </w:pPr>
    </w:p>
    <w:p w14:paraId="361D685B" w14:textId="77777777" w:rsidR="00950534" w:rsidRDefault="00950534" w:rsidP="00950534">
      <w:pPr>
        <w:pStyle w:val="ClinContent"/>
        <w:widowControl w:val="0"/>
        <w:spacing w:before="0"/>
        <w:rPr>
          <w:rFonts w:asciiTheme="minorHAnsi" w:hAnsiTheme="minorHAnsi"/>
          <w:sz w:val="24"/>
          <w:lang w:val="pl-PL"/>
        </w:rPr>
      </w:pPr>
    </w:p>
    <w:p w14:paraId="21394713"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17" w:name="_Toc35632480"/>
      <w:r w:rsidRPr="009C209D">
        <w:rPr>
          <w:rFonts w:asciiTheme="minorHAnsi" w:hAnsiTheme="minorHAnsi"/>
          <w:i/>
          <w:color w:val="auto"/>
          <w:sz w:val="24"/>
          <w:szCs w:val="24"/>
        </w:rPr>
        <w:t>Romeo Castaño p. Belgii</w:t>
      </w:r>
      <w:r w:rsidRPr="009C209D">
        <w:rPr>
          <w:rFonts w:asciiTheme="minorHAnsi" w:hAnsiTheme="minorHAnsi"/>
          <w:color w:val="auto"/>
          <w:sz w:val="24"/>
          <w:szCs w:val="24"/>
        </w:rPr>
        <w:t>, skarga nr 8351/17, wyrok Izby z dnia 9 lipca 2019 r.</w:t>
      </w:r>
      <w:bookmarkEnd w:id="17"/>
    </w:p>
    <w:p w14:paraId="2D68597A" w14:textId="35FAB05C" w:rsidR="00950534" w:rsidRDefault="00950534" w:rsidP="00950534">
      <w:pPr>
        <w:pStyle w:val="Akapitzlist"/>
        <w:widowControl w:val="0"/>
        <w:numPr>
          <w:ilvl w:val="0"/>
          <w:numId w:val="17"/>
        </w:numPr>
        <w:spacing w:after="0" w:line="240" w:lineRule="auto"/>
        <w:jc w:val="both"/>
        <w:outlineLvl w:val="2"/>
        <w:rPr>
          <w:b/>
          <w:color w:val="000000" w:themeColor="text1"/>
          <w:sz w:val="24"/>
          <w:szCs w:val="24"/>
          <w:lang w:val="pl-PL"/>
        </w:rPr>
      </w:pPr>
      <w:r>
        <w:rPr>
          <w:b/>
          <w:color w:val="000000" w:themeColor="text1"/>
          <w:sz w:val="24"/>
          <w:szCs w:val="24"/>
          <w:lang w:val="pl-PL"/>
        </w:rPr>
        <w:t>stwierdzenie jurysdykcji</w:t>
      </w:r>
      <w:r w:rsidRPr="00072B78">
        <w:rPr>
          <w:b/>
          <w:color w:val="000000" w:themeColor="text1"/>
          <w:sz w:val="24"/>
          <w:szCs w:val="24"/>
          <w:lang w:val="pl-PL"/>
        </w:rPr>
        <w:t xml:space="preserve"> Belgii </w:t>
      </w:r>
      <w:r w:rsidRPr="00AD64AD">
        <w:rPr>
          <w:b/>
          <w:iCs/>
          <w:color w:val="000000" w:themeColor="text1"/>
          <w:sz w:val="24"/>
          <w:szCs w:val="24"/>
          <w:lang w:val="pl-PL"/>
        </w:rPr>
        <w:t>na podstawie art. 1 Konwencji (</w:t>
      </w:r>
      <w:r>
        <w:rPr>
          <w:b/>
          <w:iCs/>
          <w:color w:val="000000" w:themeColor="text1"/>
          <w:sz w:val="24"/>
          <w:szCs w:val="24"/>
          <w:lang w:val="pl-PL"/>
        </w:rPr>
        <w:t>obowiązek przestrzegania praw człowieka</w:t>
      </w:r>
      <w:r w:rsidRPr="00AD64AD">
        <w:rPr>
          <w:b/>
          <w:iCs/>
          <w:color w:val="000000" w:themeColor="text1"/>
          <w:sz w:val="24"/>
          <w:szCs w:val="24"/>
          <w:lang w:val="pl-PL"/>
        </w:rPr>
        <w:t xml:space="preserve">) </w:t>
      </w:r>
      <w:r>
        <w:rPr>
          <w:b/>
          <w:color w:val="000000" w:themeColor="text1"/>
          <w:sz w:val="24"/>
          <w:szCs w:val="24"/>
          <w:lang w:val="pl-PL"/>
        </w:rPr>
        <w:t>wynikającej</w:t>
      </w:r>
      <w:r w:rsidRPr="00072B78">
        <w:rPr>
          <w:b/>
          <w:color w:val="000000" w:themeColor="text1"/>
          <w:sz w:val="24"/>
          <w:szCs w:val="24"/>
          <w:lang w:val="pl-PL"/>
        </w:rPr>
        <w:t xml:space="preserve"> z odmowy wykonania europejskiego nakazu aresztowania, utrudniającej przeprowadzenie śledztwa w sprawie zabójstwa w</w:t>
      </w:r>
      <w:r w:rsidR="00092E2B">
        <w:rPr>
          <w:b/>
          <w:color w:val="000000" w:themeColor="text1"/>
          <w:sz w:val="24"/>
          <w:szCs w:val="24"/>
          <w:lang w:val="pl-PL"/>
        </w:rPr>
        <w:t> </w:t>
      </w:r>
      <w:r w:rsidRPr="00072B78">
        <w:rPr>
          <w:b/>
          <w:color w:val="000000" w:themeColor="text1"/>
          <w:sz w:val="24"/>
          <w:szCs w:val="24"/>
          <w:lang w:val="pl-PL"/>
        </w:rPr>
        <w:t xml:space="preserve">Hiszpanii </w:t>
      </w:r>
    </w:p>
    <w:p w14:paraId="173D724B" w14:textId="2E2A5DF8" w:rsidR="00950534" w:rsidRDefault="00950534" w:rsidP="00950534">
      <w:pPr>
        <w:pStyle w:val="Akapitzlist"/>
        <w:widowControl w:val="0"/>
        <w:numPr>
          <w:ilvl w:val="0"/>
          <w:numId w:val="17"/>
        </w:numPr>
        <w:spacing w:after="0" w:line="240" w:lineRule="auto"/>
        <w:jc w:val="both"/>
        <w:outlineLvl w:val="2"/>
        <w:rPr>
          <w:b/>
          <w:iCs/>
          <w:color w:val="000000" w:themeColor="text1"/>
          <w:sz w:val="24"/>
          <w:szCs w:val="24"/>
          <w:lang w:val="pl-PL"/>
        </w:rPr>
      </w:pPr>
      <w:r>
        <w:rPr>
          <w:b/>
          <w:iCs/>
          <w:color w:val="000000" w:themeColor="text1"/>
          <w:sz w:val="24"/>
          <w:szCs w:val="24"/>
          <w:lang w:val="pl-PL"/>
        </w:rPr>
        <w:t xml:space="preserve">naruszenie </w:t>
      </w:r>
      <w:r w:rsidRPr="002F0678">
        <w:rPr>
          <w:b/>
          <w:iCs/>
          <w:color w:val="000000" w:themeColor="text1"/>
          <w:sz w:val="24"/>
          <w:szCs w:val="24"/>
          <w:lang w:val="pl-PL"/>
        </w:rPr>
        <w:t xml:space="preserve">art. 2 Konwencji (prawo do życia – aspekt </w:t>
      </w:r>
      <w:r>
        <w:rPr>
          <w:b/>
          <w:iCs/>
          <w:color w:val="000000" w:themeColor="text1"/>
          <w:sz w:val="24"/>
          <w:szCs w:val="24"/>
          <w:lang w:val="pl-PL"/>
        </w:rPr>
        <w:t xml:space="preserve">proceduralny </w:t>
      </w:r>
      <w:r w:rsidRPr="002F0678">
        <w:rPr>
          <w:b/>
          <w:iCs/>
          <w:color w:val="000000" w:themeColor="text1"/>
          <w:sz w:val="24"/>
          <w:szCs w:val="24"/>
          <w:lang w:val="pl-PL"/>
        </w:rPr>
        <w:t xml:space="preserve">skutecznego śledztwa) </w:t>
      </w:r>
      <w:r>
        <w:rPr>
          <w:b/>
          <w:iCs/>
          <w:color w:val="000000" w:themeColor="text1"/>
          <w:sz w:val="24"/>
          <w:szCs w:val="24"/>
          <w:lang w:val="pl-PL"/>
        </w:rPr>
        <w:t>z uwagi na fakt, że odmowa</w:t>
      </w:r>
      <w:r w:rsidRPr="00072B78">
        <w:rPr>
          <w:b/>
          <w:iCs/>
          <w:color w:val="000000" w:themeColor="text1"/>
          <w:sz w:val="24"/>
          <w:szCs w:val="24"/>
          <w:lang w:val="pl-PL"/>
        </w:rPr>
        <w:t xml:space="preserve"> wykonania europejskiego n</w:t>
      </w:r>
      <w:r>
        <w:rPr>
          <w:b/>
          <w:iCs/>
          <w:color w:val="000000" w:themeColor="text1"/>
          <w:sz w:val="24"/>
          <w:szCs w:val="24"/>
          <w:lang w:val="pl-PL"/>
        </w:rPr>
        <w:t>akazu aresztowania, utrudniająca</w:t>
      </w:r>
      <w:r w:rsidRPr="00072B78">
        <w:rPr>
          <w:b/>
          <w:iCs/>
          <w:color w:val="000000" w:themeColor="text1"/>
          <w:sz w:val="24"/>
          <w:szCs w:val="24"/>
          <w:lang w:val="pl-PL"/>
        </w:rPr>
        <w:t xml:space="preserve"> przeprowadzenie śledztwa w sprawie zabójstwa w Hiszpanii, oparta </w:t>
      </w:r>
      <w:r>
        <w:rPr>
          <w:b/>
          <w:iCs/>
          <w:color w:val="000000" w:themeColor="text1"/>
          <w:sz w:val="24"/>
          <w:szCs w:val="24"/>
          <w:lang w:val="pl-PL"/>
        </w:rPr>
        <w:t xml:space="preserve">była </w:t>
      </w:r>
      <w:r w:rsidRPr="00072B78">
        <w:rPr>
          <w:b/>
          <w:iCs/>
          <w:color w:val="000000" w:themeColor="text1"/>
          <w:sz w:val="24"/>
          <w:szCs w:val="24"/>
          <w:lang w:val="pl-PL"/>
        </w:rPr>
        <w:t>na niedostatecznie uzasadnionym ryzyku złych warunków pozbawienia wolności</w:t>
      </w:r>
      <w:r>
        <w:rPr>
          <w:b/>
          <w:iCs/>
          <w:color w:val="000000" w:themeColor="text1"/>
          <w:sz w:val="24"/>
          <w:szCs w:val="24"/>
          <w:lang w:val="pl-PL"/>
        </w:rPr>
        <w:t xml:space="preserve"> w</w:t>
      </w:r>
      <w:r w:rsidR="00092E2B">
        <w:rPr>
          <w:b/>
          <w:iCs/>
          <w:color w:val="000000" w:themeColor="text1"/>
          <w:sz w:val="24"/>
          <w:szCs w:val="24"/>
          <w:lang w:val="pl-PL"/>
        </w:rPr>
        <w:t> </w:t>
      </w:r>
      <w:r>
        <w:rPr>
          <w:b/>
          <w:iCs/>
          <w:color w:val="000000" w:themeColor="text1"/>
          <w:sz w:val="24"/>
          <w:szCs w:val="24"/>
          <w:lang w:val="pl-PL"/>
        </w:rPr>
        <w:t>państwie wnioskującym</w:t>
      </w:r>
      <w:r w:rsidRPr="00072B78">
        <w:rPr>
          <w:b/>
          <w:iCs/>
          <w:color w:val="000000" w:themeColor="text1"/>
          <w:sz w:val="24"/>
          <w:szCs w:val="24"/>
          <w:lang w:val="pl-PL"/>
        </w:rPr>
        <w:t xml:space="preserve"> </w:t>
      </w:r>
    </w:p>
    <w:p w14:paraId="2B5659F9" w14:textId="77777777" w:rsidR="00950534" w:rsidRPr="00A80201" w:rsidRDefault="00950534" w:rsidP="00950534">
      <w:pPr>
        <w:pStyle w:val="ClinContent"/>
        <w:widowControl w:val="0"/>
        <w:spacing w:before="0"/>
        <w:rPr>
          <w:rFonts w:asciiTheme="minorHAnsi" w:hAnsiTheme="minorHAnsi"/>
          <w:sz w:val="24"/>
          <w:lang w:val="pl-PL"/>
        </w:rPr>
      </w:pPr>
    </w:p>
    <w:p w14:paraId="2AC67E2C" w14:textId="50948BB0"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1981 r. ojciec skarżących został zamordowany przez jednostkę komandosów należącą do</w:t>
      </w:r>
      <w:r w:rsidR="00092E2B">
        <w:rPr>
          <w:rFonts w:asciiTheme="minorHAnsi" w:hAnsiTheme="minorHAnsi"/>
          <w:sz w:val="24"/>
          <w:lang w:val="pl-PL"/>
        </w:rPr>
        <w:t> </w:t>
      </w:r>
      <w:r w:rsidRPr="00B15C52">
        <w:rPr>
          <w:rFonts w:asciiTheme="minorHAnsi" w:hAnsiTheme="minorHAnsi"/>
          <w:sz w:val="24"/>
          <w:lang w:val="pl-PL"/>
        </w:rPr>
        <w:t>organizacji terrorystycznej ETA. W 2007 r. wszyscy członkowie jednostki komandosów zostali skazani przez sądy hiszpańskie – z wyjątkiem N.J.E., która uciekła do Belgii.</w:t>
      </w:r>
      <w:r>
        <w:rPr>
          <w:rFonts w:asciiTheme="minorHAnsi" w:hAnsiTheme="minorHAnsi"/>
          <w:sz w:val="24"/>
          <w:lang w:val="pl-PL"/>
        </w:rPr>
        <w:t xml:space="preserve"> </w:t>
      </w:r>
    </w:p>
    <w:p w14:paraId="1BE33A39" w14:textId="77777777" w:rsidR="00950534" w:rsidRDefault="00950534" w:rsidP="00950534">
      <w:pPr>
        <w:pStyle w:val="ClinContent"/>
        <w:widowControl w:val="0"/>
        <w:spacing w:before="0"/>
        <w:rPr>
          <w:rFonts w:asciiTheme="minorHAnsi" w:hAnsiTheme="minorHAnsi"/>
          <w:sz w:val="24"/>
          <w:lang w:val="pl-PL"/>
        </w:rPr>
      </w:pPr>
    </w:p>
    <w:p w14:paraId="773D672F" w14:textId="06F389E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2004 r., 2005 r. i 2015 r. hiszpański sędzia śledczy wydał europejskie nakazy aresztowania w odniesieniu do N.J.E. w celu przeprowadzenia postępowania karnego. Jednak w 2013 r. i</w:t>
      </w:r>
      <w:r w:rsidR="00092E2B">
        <w:rPr>
          <w:rFonts w:asciiTheme="minorHAnsi" w:hAnsiTheme="minorHAnsi"/>
          <w:sz w:val="24"/>
          <w:lang w:val="pl-PL"/>
        </w:rPr>
        <w:t> </w:t>
      </w:r>
      <w:r w:rsidRPr="00B15C52">
        <w:rPr>
          <w:rFonts w:asciiTheme="minorHAnsi" w:hAnsiTheme="minorHAnsi"/>
          <w:sz w:val="24"/>
          <w:lang w:val="pl-PL"/>
        </w:rPr>
        <w:t>2016 r. wydział oskarżeń sądu belgijskiego odmówił wykonania nakazów, stwierdzając, że</w:t>
      </w:r>
      <w:r w:rsidR="00092E2B">
        <w:rPr>
          <w:rFonts w:asciiTheme="minorHAnsi" w:hAnsiTheme="minorHAnsi"/>
          <w:sz w:val="24"/>
          <w:lang w:val="pl-PL"/>
        </w:rPr>
        <w:t> </w:t>
      </w:r>
      <w:r w:rsidRPr="00B15C52">
        <w:rPr>
          <w:rFonts w:asciiTheme="minorHAnsi" w:hAnsiTheme="minorHAnsi"/>
          <w:sz w:val="24"/>
          <w:lang w:val="pl-PL"/>
        </w:rPr>
        <w:t xml:space="preserve">istnieją poważne powody, by sądzić, że ich wykonanie naruszy prawa podstawowe N.J.E. Belgijska Prokuratura Federalna złożyła kasacje od tych wyroków, ale zostały one oddalone przez Sąd Kasacyjny w 2013 r. i 2016 r. </w:t>
      </w:r>
    </w:p>
    <w:p w14:paraId="09AC650C" w14:textId="77777777" w:rsidR="00950534" w:rsidRDefault="00950534" w:rsidP="00950534">
      <w:pPr>
        <w:pStyle w:val="ClinContent"/>
        <w:widowControl w:val="0"/>
        <w:spacing w:before="0"/>
        <w:rPr>
          <w:rFonts w:asciiTheme="minorHAnsi" w:hAnsiTheme="minorHAnsi"/>
          <w:sz w:val="24"/>
          <w:lang w:val="pl-PL"/>
        </w:rPr>
      </w:pPr>
    </w:p>
    <w:p w14:paraId="35AD3149"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Skarżący zarzucili</w:t>
      </w:r>
      <w:r>
        <w:rPr>
          <w:rFonts w:asciiTheme="minorHAnsi" w:hAnsiTheme="minorHAnsi"/>
          <w:sz w:val="24"/>
          <w:lang w:val="pl-PL"/>
        </w:rPr>
        <w:t xml:space="preserve"> przed Trybunałem</w:t>
      </w:r>
      <w:r w:rsidRPr="00B15C52">
        <w:rPr>
          <w:rFonts w:asciiTheme="minorHAnsi" w:hAnsiTheme="minorHAnsi"/>
          <w:sz w:val="24"/>
          <w:lang w:val="pl-PL"/>
        </w:rPr>
        <w:t>, że odmowa wykonania przez władze belgijskie europejskich nakazów aresztowania w ramach systemu funkcjonującego w Unii Europejskiej uniemożliwiła władzom hiszpańskim ściganie N.J.E.</w:t>
      </w:r>
      <w:r>
        <w:rPr>
          <w:rFonts w:asciiTheme="minorHAnsi" w:hAnsiTheme="minorHAnsi"/>
          <w:sz w:val="24"/>
          <w:lang w:val="pl-PL"/>
        </w:rPr>
        <w:t xml:space="preserve"> </w:t>
      </w:r>
    </w:p>
    <w:p w14:paraId="504892A3" w14:textId="77777777" w:rsidR="00950534" w:rsidRDefault="00950534" w:rsidP="00950534">
      <w:pPr>
        <w:pStyle w:val="ClinContent"/>
        <w:widowControl w:val="0"/>
        <w:spacing w:before="0"/>
        <w:rPr>
          <w:rFonts w:asciiTheme="minorHAnsi" w:hAnsiTheme="minorHAnsi"/>
          <w:sz w:val="24"/>
          <w:lang w:val="pl-PL"/>
        </w:rPr>
      </w:pPr>
    </w:p>
    <w:p w14:paraId="0B2E5E3F" w14:textId="64E541BE" w:rsidR="00950534" w:rsidRPr="00EF0ED5" w:rsidRDefault="00950534" w:rsidP="00950534">
      <w:pPr>
        <w:pStyle w:val="ClinContent"/>
        <w:widowControl w:val="0"/>
        <w:spacing w:before="0"/>
        <w:rPr>
          <w:rFonts w:asciiTheme="minorHAnsi" w:hAnsiTheme="minorHAnsi"/>
          <w:i/>
          <w:sz w:val="24"/>
          <w:u w:val="single"/>
          <w:lang w:val="pl-PL"/>
        </w:rPr>
      </w:pPr>
      <w:r>
        <w:rPr>
          <w:rFonts w:asciiTheme="minorHAnsi" w:hAnsiTheme="minorHAnsi"/>
          <w:sz w:val="24"/>
          <w:lang w:val="pl-PL"/>
        </w:rPr>
        <w:t xml:space="preserve">I. Trybunał w pierwszej kolejności zbadał, </w:t>
      </w:r>
      <w:r w:rsidRPr="00EF0ED5">
        <w:rPr>
          <w:rFonts w:asciiTheme="minorHAnsi" w:hAnsiTheme="minorHAnsi"/>
          <w:i/>
          <w:sz w:val="24"/>
          <w:u w:val="single"/>
          <w:lang w:val="pl-PL"/>
        </w:rPr>
        <w:t>czy Belgia sprawowała jurysdykcję ratione loci w</w:t>
      </w:r>
      <w:r w:rsidR="00092E2B">
        <w:rPr>
          <w:rFonts w:asciiTheme="minorHAnsi" w:hAnsiTheme="minorHAnsi"/>
          <w:i/>
          <w:sz w:val="24"/>
          <w:u w:val="single"/>
          <w:lang w:val="pl-PL"/>
        </w:rPr>
        <w:t> </w:t>
      </w:r>
      <w:r w:rsidRPr="00EF0ED5">
        <w:rPr>
          <w:rFonts w:asciiTheme="minorHAnsi" w:hAnsiTheme="minorHAnsi"/>
          <w:i/>
          <w:sz w:val="24"/>
          <w:u w:val="single"/>
          <w:lang w:val="pl-PL"/>
        </w:rPr>
        <w:t xml:space="preserve">sprawie w rozumieniu art. 1 Konwencji. </w:t>
      </w:r>
    </w:p>
    <w:p w14:paraId="0CE24100" w14:textId="77777777" w:rsidR="00950534" w:rsidRDefault="00950534" w:rsidP="00950534">
      <w:pPr>
        <w:pStyle w:val="ClinContent"/>
        <w:widowControl w:val="0"/>
        <w:spacing w:before="0"/>
        <w:rPr>
          <w:rFonts w:asciiTheme="minorHAnsi" w:hAnsiTheme="minorHAnsi"/>
          <w:sz w:val="24"/>
          <w:u w:val="single"/>
          <w:lang w:val="pl-PL"/>
        </w:rPr>
      </w:pPr>
    </w:p>
    <w:p w14:paraId="5EE4539F" w14:textId="1819AC4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Zauważył, że z</w:t>
      </w:r>
      <w:r w:rsidRPr="00B15C52">
        <w:rPr>
          <w:rFonts w:asciiTheme="minorHAnsi" w:hAnsiTheme="minorHAnsi"/>
          <w:sz w:val="24"/>
          <w:lang w:val="pl-PL"/>
        </w:rPr>
        <w:t xml:space="preserve">arzut skarżących na podstawie art. 2 Konwencji </w:t>
      </w:r>
      <w:r>
        <w:rPr>
          <w:rFonts w:asciiTheme="minorHAnsi" w:hAnsiTheme="minorHAnsi"/>
          <w:sz w:val="24"/>
          <w:lang w:val="pl-PL"/>
        </w:rPr>
        <w:t xml:space="preserve">(prawo do życia) </w:t>
      </w:r>
      <w:r w:rsidRPr="00B15C52">
        <w:rPr>
          <w:rFonts w:asciiTheme="minorHAnsi" w:hAnsiTheme="minorHAnsi"/>
          <w:sz w:val="24"/>
          <w:lang w:val="pl-PL"/>
        </w:rPr>
        <w:t xml:space="preserve">dotyczący Belgii odnosił się do braku współpracy władz belgijskich z ich hiszpańskimi odpowiednikami </w:t>
      </w:r>
      <w:r>
        <w:rPr>
          <w:rFonts w:asciiTheme="minorHAnsi" w:hAnsiTheme="minorHAnsi"/>
          <w:sz w:val="24"/>
          <w:lang w:val="pl-PL"/>
        </w:rPr>
        <w:t>po</w:t>
      </w:r>
      <w:r w:rsidRPr="00B15C52">
        <w:rPr>
          <w:rFonts w:asciiTheme="minorHAnsi" w:hAnsiTheme="minorHAnsi"/>
          <w:sz w:val="24"/>
          <w:lang w:val="pl-PL"/>
        </w:rPr>
        <w:t>przez brak podjęcia koniecznych kroków w celu umożliwienia postawienia przed sądem w</w:t>
      </w:r>
      <w:r w:rsidR="00092E2B">
        <w:rPr>
          <w:rFonts w:asciiTheme="minorHAnsi" w:hAnsiTheme="minorHAnsi"/>
          <w:sz w:val="24"/>
          <w:lang w:val="pl-PL"/>
        </w:rPr>
        <w:t> </w:t>
      </w:r>
      <w:r w:rsidRPr="00B15C52">
        <w:rPr>
          <w:rFonts w:asciiTheme="minorHAnsi" w:hAnsiTheme="minorHAnsi"/>
          <w:sz w:val="24"/>
          <w:lang w:val="pl-PL"/>
        </w:rPr>
        <w:t xml:space="preserve">Hiszpanii </w:t>
      </w:r>
      <w:r>
        <w:rPr>
          <w:rFonts w:asciiTheme="minorHAnsi" w:hAnsiTheme="minorHAnsi"/>
          <w:sz w:val="24"/>
          <w:lang w:val="pl-PL"/>
        </w:rPr>
        <w:t xml:space="preserve">osoby </w:t>
      </w:r>
      <w:r w:rsidRPr="00B15C52">
        <w:rPr>
          <w:rFonts w:asciiTheme="minorHAnsi" w:hAnsiTheme="minorHAnsi"/>
          <w:sz w:val="24"/>
          <w:lang w:val="pl-PL"/>
        </w:rPr>
        <w:t>podejrzanej o zabójstwo ojca skarżących, która zbiegła do Belgii. Skarga nie opierał</w:t>
      </w:r>
      <w:r>
        <w:rPr>
          <w:rFonts w:asciiTheme="minorHAnsi" w:hAnsiTheme="minorHAnsi"/>
          <w:sz w:val="24"/>
          <w:lang w:val="pl-PL"/>
        </w:rPr>
        <w:t>a</w:t>
      </w:r>
      <w:r w:rsidRPr="00B15C52">
        <w:rPr>
          <w:rFonts w:asciiTheme="minorHAnsi" w:hAnsiTheme="minorHAnsi"/>
          <w:sz w:val="24"/>
          <w:lang w:val="pl-PL"/>
        </w:rPr>
        <w:t xml:space="preserve"> się zatem na zarzucie niewypełnienia przez Belgię ewentualnego obowiązku proceduralnego przeprowadzenia własnego śledztwa w sprawie zabójstwa. </w:t>
      </w:r>
    </w:p>
    <w:p w14:paraId="7868E48F" w14:textId="77777777" w:rsidR="00950534" w:rsidRDefault="00950534" w:rsidP="00950534">
      <w:pPr>
        <w:pStyle w:val="ClinContent"/>
        <w:widowControl w:val="0"/>
        <w:spacing w:before="0"/>
        <w:rPr>
          <w:rFonts w:asciiTheme="minorHAnsi" w:hAnsiTheme="minorHAnsi"/>
          <w:sz w:val="24"/>
          <w:lang w:val="pl-PL"/>
        </w:rPr>
      </w:pPr>
    </w:p>
    <w:p w14:paraId="6B152E12" w14:textId="4FD9DE0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kontekście istnienia wzajemnych zobowiązań dwóch zainteresowanych państw do</w:t>
      </w:r>
      <w:r w:rsidR="00092E2B">
        <w:rPr>
          <w:rFonts w:asciiTheme="minorHAnsi" w:hAnsiTheme="minorHAnsi"/>
          <w:sz w:val="24"/>
          <w:lang w:val="pl-PL"/>
        </w:rPr>
        <w:t> </w:t>
      </w:r>
      <w:r w:rsidRPr="00B15C52">
        <w:rPr>
          <w:rFonts w:asciiTheme="minorHAnsi" w:hAnsiTheme="minorHAnsi"/>
          <w:sz w:val="24"/>
          <w:lang w:val="pl-PL"/>
        </w:rPr>
        <w:t>współpracy w sprawach karnych w ramach procedury europejskiego nakazu aresztowania władze belgijskie zostały poinformowane o zamiarze władz hiszpańskich ścigania N.J.E</w:t>
      </w:r>
      <w:r>
        <w:rPr>
          <w:rFonts w:asciiTheme="minorHAnsi" w:hAnsiTheme="minorHAnsi"/>
          <w:sz w:val="24"/>
          <w:lang w:val="pl-PL"/>
        </w:rPr>
        <w:t>.</w:t>
      </w:r>
      <w:r w:rsidRPr="00B15C52">
        <w:rPr>
          <w:rFonts w:asciiTheme="minorHAnsi" w:hAnsiTheme="minorHAnsi"/>
          <w:sz w:val="24"/>
          <w:lang w:val="pl-PL"/>
        </w:rPr>
        <w:t xml:space="preserve"> i</w:t>
      </w:r>
      <w:r w:rsidR="00092E2B">
        <w:rPr>
          <w:rFonts w:asciiTheme="minorHAnsi" w:hAnsiTheme="minorHAnsi"/>
          <w:sz w:val="24"/>
          <w:lang w:val="pl-PL"/>
        </w:rPr>
        <w:t> </w:t>
      </w:r>
      <w:r w:rsidRPr="00B15C52">
        <w:rPr>
          <w:rFonts w:asciiTheme="minorHAnsi" w:hAnsiTheme="minorHAnsi"/>
          <w:sz w:val="24"/>
          <w:lang w:val="pl-PL"/>
        </w:rPr>
        <w:t>zostały poproszone o jej zatrzymanie i wydanie.</w:t>
      </w:r>
      <w:r>
        <w:rPr>
          <w:rFonts w:asciiTheme="minorHAnsi" w:hAnsiTheme="minorHAnsi"/>
          <w:sz w:val="24"/>
          <w:lang w:val="pl-PL"/>
        </w:rPr>
        <w:t xml:space="preserve"> </w:t>
      </w:r>
    </w:p>
    <w:p w14:paraId="26954693" w14:textId="77777777" w:rsidR="00950534" w:rsidRDefault="00950534" w:rsidP="00950534">
      <w:pPr>
        <w:pStyle w:val="ClinContent"/>
        <w:widowControl w:val="0"/>
        <w:spacing w:before="0"/>
        <w:rPr>
          <w:rFonts w:asciiTheme="minorHAnsi" w:hAnsiTheme="minorHAnsi"/>
          <w:sz w:val="24"/>
          <w:lang w:val="pl-PL"/>
        </w:rPr>
      </w:pPr>
    </w:p>
    <w:p w14:paraId="47C14DBE" w14:textId="2B52C802"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Okoliczności te były wystarczające do stwierdzenia przez Trybunał, że na potrzeby art. 1 </w:t>
      </w:r>
      <w:r>
        <w:rPr>
          <w:rFonts w:asciiTheme="minorHAnsi" w:hAnsiTheme="minorHAnsi"/>
          <w:sz w:val="24"/>
          <w:lang w:val="pl-PL"/>
        </w:rPr>
        <w:t xml:space="preserve">Konwencji </w:t>
      </w:r>
      <w:r w:rsidRPr="00B15C52">
        <w:rPr>
          <w:rFonts w:asciiTheme="minorHAnsi" w:hAnsiTheme="minorHAnsi"/>
          <w:sz w:val="24"/>
          <w:lang w:val="pl-PL"/>
        </w:rPr>
        <w:t>istniało powiązanie jurysdykcyjne między skarżącymi a Belgią w odniesieniu do</w:t>
      </w:r>
      <w:r w:rsidR="00092E2B">
        <w:rPr>
          <w:rFonts w:asciiTheme="minorHAnsi" w:hAnsiTheme="minorHAnsi"/>
          <w:sz w:val="24"/>
          <w:lang w:val="pl-PL"/>
        </w:rPr>
        <w:t> </w:t>
      </w:r>
      <w:r w:rsidRPr="00B15C52">
        <w:rPr>
          <w:rFonts w:asciiTheme="minorHAnsi" w:hAnsiTheme="minorHAnsi"/>
          <w:sz w:val="24"/>
          <w:lang w:val="pl-PL"/>
        </w:rPr>
        <w:t xml:space="preserve">zarzutu </w:t>
      </w:r>
      <w:r>
        <w:rPr>
          <w:rFonts w:asciiTheme="minorHAnsi" w:hAnsiTheme="minorHAnsi"/>
          <w:sz w:val="24"/>
          <w:lang w:val="pl-PL"/>
        </w:rPr>
        <w:t>skargi</w:t>
      </w:r>
      <w:r w:rsidRPr="00B15C52">
        <w:rPr>
          <w:rFonts w:asciiTheme="minorHAnsi" w:hAnsiTheme="minorHAnsi"/>
          <w:sz w:val="24"/>
          <w:lang w:val="pl-PL"/>
        </w:rPr>
        <w:t xml:space="preserve"> na podstawie art. 2 w jego aspekcie proceduralnym. </w:t>
      </w:r>
    </w:p>
    <w:p w14:paraId="5DD051C8" w14:textId="77777777" w:rsidR="00950534" w:rsidRDefault="00950534" w:rsidP="00950534">
      <w:pPr>
        <w:pStyle w:val="ClinContent"/>
        <w:widowControl w:val="0"/>
        <w:spacing w:before="0"/>
        <w:rPr>
          <w:rFonts w:asciiTheme="minorHAnsi" w:hAnsiTheme="minorHAnsi"/>
          <w:sz w:val="24"/>
          <w:lang w:val="pl-PL"/>
        </w:rPr>
      </w:pPr>
    </w:p>
    <w:p w14:paraId="1BDE44BE"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Na tej podstawie Trybunał oddalił jednogłośnie zastrzeżenie wstępne rządu belgijskiego, który podnosił brak swej jurysdykcji w sprawie. </w:t>
      </w:r>
    </w:p>
    <w:p w14:paraId="38FFF3C2" w14:textId="77777777" w:rsidR="00950534" w:rsidRDefault="00950534" w:rsidP="00950534">
      <w:pPr>
        <w:pStyle w:val="ClinContent"/>
        <w:widowControl w:val="0"/>
        <w:spacing w:before="0"/>
        <w:rPr>
          <w:rFonts w:asciiTheme="minorHAnsi" w:hAnsiTheme="minorHAnsi"/>
          <w:sz w:val="24"/>
          <w:lang w:val="pl-PL"/>
        </w:rPr>
      </w:pPr>
    </w:p>
    <w:p w14:paraId="4E371EEF" w14:textId="3BAA688E"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 Następnie Trybunał zbadał, </w:t>
      </w:r>
      <w:r w:rsidRPr="00EF0ED5">
        <w:rPr>
          <w:rFonts w:asciiTheme="minorHAnsi" w:hAnsiTheme="minorHAnsi"/>
          <w:i/>
          <w:sz w:val="24"/>
          <w:u w:val="single"/>
          <w:lang w:val="pl-PL"/>
        </w:rPr>
        <w:t>czy Belgia wypełniła swe obowiązki proceduralne wynikające z</w:t>
      </w:r>
      <w:r w:rsidR="00092E2B">
        <w:rPr>
          <w:rFonts w:asciiTheme="minorHAnsi" w:hAnsiTheme="minorHAnsi"/>
          <w:i/>
          <w:sz w:val="24"/>
          <w:u w:val="single"/>
          <w:lang w:val="pl-PL"/>
        </w:rPr>
        <w:t> </w:t>
      </w:r>
      <w:r w:rsidRPr="00EF0ED5">
        <w:rPr>
          <w:rFonts w:asciiTheme="minorHAnsi" w:hAnsiTheme="minorHAnsi"/>
          <w:i/>
          <w:sz w:val="24"/>
          <w:u w:val="single"/>
          <w:lang w:val="pl-PL"/>
        </w:rPr>
        <w:t>art. 2 chroniącego prawo do życia</w:t>
      </w:r>
      <w:r>
        <w:rPr>
          <w:rFonts w:asciiTheme="minorHAnsi" w:hAnsiTheme="minorHAnsi"/>
          <w:sz w:val="24"/>
          <w:lang w:val="pl-PL"/>
        </w:rPr>
        <w:t xml:space="preserve">. </w:t>
      </w:r>
    </w:p>
    <w:p w14:paraId="33AA9F46" w14:textId="77777777" w:rsidR="00950534" w:rsidRDefault="00950534" w:rsidP="00950534">
      <w:pPr>
        <w:pStyle w:val="ClinContent"/>
        <w:widowControl w:val="0"/>
        <w:spacing w:before="0"/>
        <w:rPr>
          <w:rFonts w:asciiTheme="minorHAnsi" w:hAnsiTheme="minorHAnsi"/>
          <w:sz w:val="24"/>
          <w:lang w:val="pl-PL"/>
        </w:rPr>
      </w:pPr>
    </w:p>
    <w:p w14:paraId="33AD2236" w14:textId="2F4A721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w</w:t>
      </w:r>
      <w:r w:rsidRPr="00B15C52">
        <w:rPr>
          <w:rFonts w:asciiTheme="minorHAnsi" w:hAnsiTheme="minorHAnsi"/>
          <w:sz w:val="24"/>
          <w:lang w:val="pl-PL"/>
        </w:rPr>
        <w:t xml:space="preserve"> kontekście wykonywania europejskiego nakazu aresztowania przez państwo członkowskie UE</w:t>
      </w:r>
      <w:r>
        <w:rPr>
          <w:rFonts w:asciiTheme="minorHAnsi" w:hAnsiTheme="minorHAnsi"/>
          <w:sz w:val="24"/>
          <w:lang w:val="pl-PL"/>
        </w:rPr>
        <w:t>, że</w:t>
      </w:r>
      <w:r w:rsidRPr="00B15C52">
        <w:rPr>
          <w:rFonts w:asciiTheme="minorHAnsi" w:hAnsiTheme="minorHAnsi"/>
          <w:sz w:val="24"/>
          <w:lang w:val="pl-PL"/>
        </w:rPr>
        <w:t xml:space="preserve"> mechanizmu wzajemnego uznawania nie należy stosować w</w:t>
      </w:r>
      <w:r w:rsidR="00092E2B">
        <w:rPr>
          <w:rFonts w:asciiTheme="minorHAnsi" w:hAnsiTheme="minorHAnsi"/>
          <w:sz w:val="24"/>
          <w:lang w:val="pl-PL"/>
        </w:rPr>
        <w:t> </w:t>
      </w:r>
      <w:r w:rsidRPr="00B15C52">
        <w:rPr>
          <w:rFonts w:asciiTheme="minorHAnsi" w:hAnsiTheme="minorHAnsi"/>
          <w:sz w:val="24"/>
          <w:lang w:val="pl-PL"/>
        </w:rPr>
        <w:t xml:space="preserve">sposób automatyczny i mechaniczny, ze szkodą dla praw podstawowych. W świetle domniemania poszanowania praw podstawowych przez państwo wydające nakaz, </w:t>
      </w:r>
      <w:r>
        <w:rPr>
          <w:rFonts w:asciiTheme="minorHAnsi" w:hAnsiTheme="minorHAnsi"/>
          <w:sz w:val="24"/>
          <w:lang w:val="pl-PL"/>
        </w:rPr>
        <w:t>które to</w:t>
      </w:r>
      <w:r w:rsidR="00092E2B">
        <w:rPr>
          <w:rFonts w:asciiTheme="minorHAnsi" w:hAnsiTheme="minorHAnsi"/>
          <w:sz w:val="24"/>
          <w:lang w:val="pl-PL"/>
        </w:rPr>
        <w:t> </w:t>
      </w:r>
      <w:r>
        <w:rPr>
          <w:rFonts w:asciiTheme="minorHAnsi" w:hAnsiTheme="minorHAnsi"/>
          <w:sz w:val="24"/>
          <w:lang w:val="pl-PL"/>
        </w:rPr>
        <w:t xml:space="preserve">domniemanie </w:t>
      </w:r>
      <w:r w:rsidRPr="00B15C52">
        <w:rPr>
          <w:rFonts w:asciiTheme="minorHAnsi" w:hAnsiTheme="minorHAnsi"/>
          <w:sz w:val="24"/>
          <w:lang w:val="pl-PL"/>
        </w:rPr>
        <w:t>leż</w:t>
      </w:r>
      <w:r>
        <w:rPr>
          <w:rFonts w:asciiTheme="minorHAnsi" w:hAnsiTheme="minorHAnsi"/>
          <w:sz w:val="24"/>
          <w:lang w:val="pl-PL"/>
        </w:rPr>
        <w:t>y</w:t>
      </w:r>
      <w:r w:rsidRPr="00B15C52">
        <w:rPr>
          <w:rFonts w:asciiTheme="minorHAnsi" w:hAnsiTheme="minorHAnsi"/>
          <w:sz w:val="24"/>
          <w:lang w:val="pl-PL"/>
        </w:rPr>
        <w:t xml:space="preserve"> u podstaw koncepcji wzajemnego zaufania między państwami członkowskimi UE, odmowa wydania osoby powinna być uzasadniona w </w:t>
      </w:r>
      <w:r>
        <w:rPr>
          <w:rFonts w:asciiTheme="minorHAnsi" w:hAnsiTheme="minorHAnsi"/>
          <w:sz w:val="24"/>
          <w:lang w:val="pl-PL"/>
        </w:rPr>
        <w:t>oparciu o</w:t>
      </w:r>
      <w:r w:rsidR="00092E2B">
        <w:rPr>
          <w:rFonts w:asciiTheme="minorHAnsi" w:hAnsiTheme="minorHAnsi"/>
          <w:sz w:val="24"/>
          <w:lang w:val="pl-PL"/>
        </w:rPr>
        <w:t> </w:t>
      </w:r>
      <w:r>
        <w:rPr>
          <w:rFonts w:asciiTheme="minorHAnsi" w:hAnsiTheme="minorHAnsi"/>
          <w:sz w:val="24"/>
          <w:lang w:val="pl-PL"/>
        </w:rPr>
        <w:t>szczegółowe informacje wskazujące</w:t>
      </w:r>
      <w:r w:rsidRPr="00B15C52">
        <w:rPr>
          <w:rFonts w:asciiTheme="minorHAnsi" w:hAnsiTheme="minorHAnsi"/>
          <w:sz w:val="24"/>
          <w:lang w:val="pl-PL"/>
        </w:rPr>
        <w:t xml:space="preserve"> na wyraźne zagrożenie dla</w:t>
      </w:r>
      <w:r>
        <w:rPr>
          <w:rFonts w:asciiTheme="minorHAnsi" w:hAnsiTheme="minorHAnsi"/>
          <w:sz w:val="24"/>
          <w:lang w:val="pl-PL"/>
        </w:rPr>
        <w:t xml:space="preserve"> praw podstawowych osoby, będące</w:t>
      </w:r>
      <w:r w:rsidRPr="00B15C52">
        <w:rPr>
          <w:rFonts w:asciiTheme="minorHAnsi" w:hAnsiTheme="minorHAnsi"/>
          <w:sz w:val="24"/>
          <w:lang w:val="pl-PL"/>
        </w:rPr>
        <w:t xml:space="preserve"> w stanie obalić to domniemanie. </w:t>
      </w:r>
    </w:p>
    <w:p w14:paraId="14064D08" w14:textId="77777777" w:rsidR="00950534" w:rsidRDefault="00950534" w:rsidP="00950534">
      <w:pPr>
        <w:pStyle w:val="ClinContent"/>
        <w:widowControl w:val="0"/>
        <w:spacing w:before="0"/>
        <w:rPr>
          <w:rFonts w:asciiTheme="minorHAnsi" w:hAnsiTheme="minorHAnsi"/>
          <w:sz w:val="24"/>
          <w:lang w:val="pl-PL"/>
        </w:rPr>
      </w:pPr>
    </w:p>
    <w:p w14:paraId="50C5F676" w14:textId="55D6F97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odnotował, że w</w:t>
      </w:r>
      <w:r w:rsidRPr="00B15C52">
        <w:rPr>
          <w:rFonts w:asciiTheme="minorHAnsi" w:hAnsiTheme="minorHAnsi"/>
          <w:sz w:val="24"/>
          <w:lang w:val="pl-PL"/>
        </w:rPr>
        <w:t xml:space="preserve"> </w:t>
      </w:r>
      <w:r>
        <w:rPr>
          <w:rFonts w:asciiTheme="minorHAnsi" w:hAnsiTheme="minorHAnsi"/>
          <w:sz w:val="24"/>
          <w:lang w:val="pl-PL"/>
        </w:rPr>
        <w:t>omawianej sp</w:t>
      </w:r>
      <w:r w:rsidRPr="00B15C52">
        <w:rPr>
          <w:rFonts w:asciiTheme="minorHAnsi" w:hAnsiTheme="minorHAnsi"/>
          <w:sz w:val="24"/>
          <w:lang w:val="pl-PL"/>
        </w:rPr>
        <w:t>rawie sądy belgijskie uzasadniły swą decyzję o</w:t>
      </w:r>
      <w:r w:rsidR="00092E2B">
        <w:rPr>
          <w:rFonts w:asciiTheme="minorHAnsi" w:hAnsiTheme="minorHAnsi"/>
          <w:sz w:val="24"/>
          <w:lang w:val="pl-PL"/>
        </w:rPr>
        <w:t> </w:t>
      </w:r>
      <w:r w:rsidRPr="00B15C52">
        <w:rPr>
          <w:rFonts w:asciiTheme="minorHAnsi" w:hAnsiTheme="minorHAnsi"/>
          <w:sz w:val="24"/>
          <w:lang w:val="pl-PL"/>
        </w:rPr>
        <w:t>niewykonaniu europejskiego nakazu aresztowania wydanego przez hiszpańskiego sędziego śledczego, powołując się na zagrożenie, że w razie wydania N.J.E. do Hiszpanii warunki jej</w:t>
      </w:r>
      <w:r w:rsidR="00092E2B">
        <w:rPr>
          <w:rFonts w:asciiTheme="minorHAnsi" w:hAnsiTheme="minorHAnsi"/>
          <w:sz w:val="24"/>
          <w:lang w:val="pl-PL"/>
        </w:rPr>
        <w:t> </w:t>
      </w:r>
      <w:r w:rsidRPr="00B15C52">
        <w:rPr>
          <w:rFonts w:asciiTheme="minorHAnsi" w:hAnsiTheme="minorHAnsi"/>
          <w:sz w:val="24"/>
          <w:lang w:val="pl-PL"/>
        </w:rPr>
        <w:t>pozbawienia wolności będą sprzeczne z art. 3 Konwencji</w:t>
      </w:r>
      <w:r>
        <w:rPr>
          <w:rFonts w:asciiTheme="minorHAnsi" w:hAnsiTheme="minorHAnsi"/>
          <w:sz w:val="24"/>
          <w:lang w:val="pl-PL"/>
        </w:rPr>
        <w:t xml:space="preserve"> (zakaz tortur)</w:t>
      </w:r>
      <w:r w:rsidRPr="00B15C52">
        <w:rPr>
          <w:rFonts w:asciiTheme="minorHAnsi" w:hAnsiTheme="minorHAnsi"/>
          <w:sz w:val="24"/>
          <w:lang w:val="pl-PL"/>
        </w:rPr>
        <w:t xml:space="preserve">. </w:t>
      </w:r>
      <w:r>
        <w:rPr>
          <w:rFonts w:asciiTheme="minorHAnsi" w:hAnsiTheme="minorHAnsi"/>
          <w:sz w:val="24"/>
          <w:lang w:val="pl-PL"/>
        </w:rPr>
        <w:t xml:space="preserve">Zdaniem Trybunału </w:t>
      </w:r>
      <w:r w:rsidRPr="00B15C52">
        <w:rPr>
          <w:rFonts w:asciiTheme="minorHAnsi" w:hAnsiTheme="minorHAnsi"/>
          <w:sz w:val="24"/>
          <w:lang w:val="pl-PL"/>
        </w:rPr>
        <w:t xml:space="preserve">może </w:t>
      </w:r>
      <w:r>
        <w:rPr>
          <w:rFonts w:asciiTheme="minorHAnsi" w:hAnsiTheme="minorHAnsi"/>
          <w:sz w:val="24"/>
          <w:lang w:val="pl-PL"/>
        </w:rPr>
        <w:t>t</w:t>
      </w:r>
      <w:r w:rsidRPr="00B15C52">
        <w:rPr>
          <w:rFonts w:asciiTheme="minorHAnsi" w:hAnsiTheme="minorHAnsi"/>
          <w:sz w:val="24"/>
          <w:lang w:val="pl-PL"/>
        </w:rPr>
        <w:t xml:space="preserve">o stanowić uprawnioną podstawę odmowy wykonania nakazu aresztowania, a zatem odmowy współpracy z Hiszpanią. Jednak z uwagi na fakt, że w grę wchodzą prawa strony trzeciej, stwierdzenie istnienia takiego zagrożenia musi mieć wystarczającą podstawę faktyczną. </w:t>
      </w:r>
    </w:p>
    <w:p w14:paraId="558CDC71" w14:textId="77777777" w:rsidR="00950534" w:rsidRDefault="00950534" w:rsidP="00950534">
      <w:pPr>
        <w:pStyle w:val="ClinContent"/>
        <w:widowControl w:val="0"/>
        <w:spacing w:before="0"/>
        <w:rPr>
          <w:rFonts w:asciiTheme="minorHAnsi" w:hAnsiTheme="minorHAnsi"/>
          <w:sz w:val="24"/>
          <w:lang w:val="pl-PL"/>
        </w:rPr>
      </w:pPr>
    </w:p>
    <w:p w14:paraId="17F1B125" w14:textId="5014D74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Tymczasem w</w:t>
      </w:r>
      <w:r w:rsidRPr="00B15C52">
        <w:rPr>
          <w:rFonts w:asciiTheme="minorHAnsi" w:hAnsiTheme="minorHAnsi"/>
          <w:sz w:val="24"/>
          <w:lang w:val="pl-PL"/>
        </w:rPr>
        <w:t>ydział oskarżeń oparł swą decyzję głównie na raportach międzynarodowych z</w:t>
      </w:r>
      <w:r w:rsidR="00092E2B">
        <w:rPr>
          <w:rFonts w:asciiTheme="minorHAnsi" w:hAnsiTheme="minorHAnsi"/>
          <w:sz w:val="24"/>
          <w:lang w:val="pl-PL"/>
        </w:rPr>
        <w:t> </w:t>
      </w:r>
      <w:r w:rsidRPr="00B15C52">
        <w:rPr>
          <w:rFonts w:asciiTheme="minorHAnsi" w:hAnsiTheme="minorHAnsi"/>
          <w:sz w:val="24"/>
          <w:lang w:val="pl-PL"/>
        </w:rPr>
        <w:t xml:space="preserve">2011 r. i 2014 r. i </w:t>
      </w:r>
      <w:r>
        <w:rPr>
          <w:rFonts w:asciiTheme="minorHAnsi" w:hAnsiTheme="minorHAnsi"/>
          <w:sz w:val="24"/>
          <w:lang w:val="pl-PL"/>
        </w:rPr>
        <w:t>odwołał się do kontekstu</w:t>
      </w:r>
      <w:r w:rsidRPr="00B15C52">
        <w:rPr>
          <w:rFonts w:asciiTheme="minorHAnsi" w:hAnsiTheme="minorHAnsi"/>
          <w:sz w:val="24"/>
          <w:lang w:val="pl-PL"/>
        </w:rPr>
        <w:t xml:space="preserve"> „współczesnej historii politycznej Hiszpanii”. Nie</w:t>
      </w:r>
      <w:r w:rsidR="00092E2B">
        <w:rPr>
          <w:rFonts w:asciiTheme="minorHAnsi" w:hAnsiTheme="minorHAnsi"/>
          <w:sz w:val="24"/>
          <w:lang w:val="pl-PL"/>
        </w:rPr>
        <w:t> </w:t>
      </w:r>
      <w:r w:rsidRPr="00B15C52">
        <w:rPr>
          <w:rFonts w:asciiTheme="minorHAnsi" w:hAnsiTheme="minorHAnsi"/>
          <w:sz w:val="24"/>
          <w:lang w:val="pl-PL"/>
        </w:rPr>
        <w:t>przeprowadził szczegółowego, zaktualizowanego badania sytuacji mającej miejsce</w:t>
      </w:r>
      <w:r>
        <w:rPr>
          <w:rFonts w:asciiTheme="minorHAnsi" w:hAnsiTheme="minorHAnsi"/>
          <w:sz w:val="24"/>
          <w:lang w:val="pl-PL"/>
        </w:rPr>
        <w:t xml:space="preserve"> w</w:t>
      </w:r>
      <w:r w:rsidR="00092E2B">
        <w:rPr>
          <w:rFonts w:asciiTheme="minorHAnsi" w:hAnsiTheme="minorHAnsi"/>
          <w:sz w:val="24"/>
          <w:lang w:val="pl-PL"/>
        </w:rPr>
        <w:t> </w:t>
      </w:r>
      <w:r w:rsidRPr="00B15C52">
        <w:rPr>
          <w:rFonts w:asciiTheme="minorHAnsi" w:hAnsiTheme="minorHAnsi"/>
          <w:sz w:val="24"/>
          <w:lang w:val="pl-PL"/>
        </w:rPr>
        <w:t>2016 r. i nie próbował stwierdzić rzeczywistego indywidualnego ryzyka naruszenia praw konwencyjnych N.J.E. ani jakichkolwiek wad systemowych do</w:t>
      </w:r>
      <w:r>
        <w:rPr>
          <w:rFonts w:asciiTheme="minorHAnsi" w:hAnsiTheme="minorHAnsi"/>
          <w:sz w:val="24"/>
          <w:lang w:val="pl-PL"/>
        </w:rPr>
        <w:t>tyczących</w:t>
      </w:r>
      <w:r w:rsidRPr="00B15C52">
        <w:rPr>
          <w:rFonts w:asciiTheme="minorHAnsi" w:hAnsiTheme="minorHAnsi"/>
          <w:sz w:val="24"/>
          <w:lang w:val="pl-PL"/>
        </w:rPr>
        <w:t xml:space="preserve"> warunków pozbawienia wolności w Hiszpanii.</w:t>
      </w:r>
      <w:r>
        <w:rPr>
          <w:rFonts w:asciiTheme="minorHAnsi" w:hAnsiTheme="minorHAnsi"/>
          <w:sz w:val="24"/>
          <w:lang w:val="pl-PL"/>
        </w:rPr>
        <w:t xml:space="preserve"> </w:t>
      </w:r>
    </w:p>
    <w:p w14:paraId="2E25A6F8" w14:textId="77777777" w:rsidR="00950534" w:rsidRDefault="00950534" w:rsidP="00950534">
      <w:pPr>
        <w:pStyle w:val="ClinContent"/>
        <w:widowControl w:val="0"/>
        <w:spacing w:before="0"/>
        <w:rPr>
          <w:rFonts w:asciiTheme="minorHAnsi" w:hAnsiTheme="minorHAnsi"/>
          <w:sz w:val="24"/>
          <w:lang w:val="pl-PL"/>
        </w:rPr>
      </w:pPr>
    </w:p>
    <w:p w14:paraId="7583395A" w14:textId="2B14BB95"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przypomniał, że w</w:t>
      </w:r>
      <w:r w:rsidRPr="00B15C52">
        <w:rPr>
          <w:rFonts w:asciiTheme="minorHAnsi" w:hAnsiTheme="minorHAnsi"/>
          <w:sz w:val="24"/>
          <w:lang w:val="pl-PL"/>
        </w:rPr>
        <w:t xml:space="preserve"> przeszłości zostały wykonane liczne europejskie nakazy aresztowania w odniesieniu do domniemanych członków ETA, a państwa wykonujące te</w:t>
      </w:r>
      <w:r w:rsidR="00092E2B">
        <w:rPr>
          <w:rFonts w:asciiTheme="minorHAnsi" w:hAnsiTheme="minorHAnsi"/>
          <w:sz w:val="24"/>
          <w:lang w:val="pl-PL"/>
        </w:rPr>
        <w:t> </w:t>
      </w:r>
      <w:r w:rsidRPr="00B15C52">
        <w:rPr>
          <w:rFonts w:asciiTheme="minorHAnsi" w:hAnsiTheme="minorHAnsi"/>
          <w:sz w:val="24"/>
          <w:lang w:val="pl-PL"/>
        </w:rPr>
        <w:t>nakazy, w tym Belgia, nie dostrzegały ryzyka naruszenia praw podstawowych osób, o</w:t>
      </w:r>
      <w:r w:rsidR="00092E2B">
        <w:rPr>
          <w:rFonts w:asciiTheme="minorHAnsi" w:hAnsiTheme="minorHAnsi"/>
          <w:sz w:val="24"/>
          <w:lang w:val="pl-PL"/>
        </w:rPr>
        <w:t> </w:t>
      </w:r>
      <w:r w:rsidRPr="00B15C52">
        <w:rPr>
          <w:rFonts w:asciiTheme="minorHAnsi" w:hAnsiTheme="minorHAnsi"/>
          <w:sz w:val="24"/>
          <w:lang w:val="pl-PL"/>
        </w:rPr>
        <w:t xml:space="preserve">których wydanie wnioskowano. </w:t>
      </w:r>
    </w:p>
    <w:p w14:paraId="463C39EA" w14:textId="77777777" w:rsidR="00950534" w:rsidRDefault="00950534" w:rsidP="00950534">
      <w:pPr>
        <w:pStyle w:val="ClinContent"/>
        <w:widowControl w:val="0"/>
        <w:spacing w:before="0"/>
        <w:rPr>
          <w:rFonts w:asciiTheme="minorHAnsi" w:hAnsiTheme="minorHAnsi"/>
          <w:sz w:val="24"/>
          <w:lang w:val="pl-PL"/>
        </w:rPr>
      </w:pPr>
    </w:p>
    <w:p w14:paraId="0F86A88B" w14:textId="58DA665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uznał, że w</w:t>
      </w:r>
      <w:r w:rsidRPr="00B15C52">
        <w:rPr>
          <w:rFonts w:asciiTheme="minorHAnsi" w:hAnsiTheme="minorHAnsi"/>
          <w:sz w:val="24"/>
          <w:lang w:val="pl-PL"/>
        </w:rPr>
        <w:t xml:space="preserve"> świetle okoliczności sprawy i wchodzących w grę interesów </w:t>
      </w:r>
      <w:r>
        <w:rPr>
          <w:rFonts w:asciiTheme="minorHAnsi" w:hAnsiTheme="minorHAnsi"/>
          <w:sz w:val="24"/>
          <w:lang w:val="pl-PL"/>
        </w:rPr>
        <w:t>i</w:t>
      </w:r>
      <w:r w:rsidR="00092E2B">
        <w:rPr>
          <w:rFonts w:asciiTheme="minorHAnsi" w:hAnsiTheme="minorHAnsi"/>
          <w:sz w:val="24"/>
          <w:lang w:val="pl-PL"/>
        </w:rPr>
        <w:t> </w:t>
      </w:r>
      <w:r w:rsidRPr="00B15C52">
        <w:rPr>
          <w:rFonts w:asciiTheme="minorHAnsi" w:hAnsiTheme="minorHAnsi"/>
          <w:sz w:val="24"/>
          <w:lang w:val="pl-PL"/>
        </w:rPr>
        <w:t>wykorzystując możliwość prz</w:t>
      </w:r>
      <w:r>
        <w:rPr>
          <w:rFonts w:asciiTheme="minorHAnsi" w:hAnsiTheme="minorHAnsi"/>
          <w:sz w:val="24"/>
          <w:lang w:val="pl-PL"/>
        </w:rPr>
        <w:t>ewidzianą</w:t>
      </w:r>
      <w:r w:rsidRPr="00B15C52">
        <w:rPr>
          <w:rFonts w:asciiTheme="minorHAnsi" w:hAnsiTheme="minorHAnsi"/>
          <w:sz w:val="24"/>
          <w:lang w:val="pl-PL"/>
        </w:rPr>
        <w:t xml:space="preserve"> na podstawie prawa krajowego, władze belgijskie powinny były zwrócić się o dodatkowe informacje na temat reżimu więziennego w sprawie N.J.E., a konkretnie miejsca i warunków pozbawienia wolności, w celu zweryfikowania, czy</w:t>
      </w:r>
      <w:r w:rsidR="00092E2B">
        <w:rPr>
          <w:rFonts w:asciiTheme="minorHAnsi" w:hAnsiTheme="minorHAnsi"/>
          <w:sz w:val="24"/>
          <w:lang w:val="pl-PL"/>
        </w:rPr>
        <w:t> </w:t>
      </w:r>
      <w:r w:rsidRPr="00B15C52">
        <w:rPr>
          <w:rFonts w:asciiTheme="minorHAnsi" w:hAnsiTheme="minorHAnsi"/>
          <w:sz w:val="24"/>
          <w:lang w:val="pl-PL"/>
        </w:rPr>
        <w:t xml:space="preserve">wydanie jej pociągałoby za sobą rzeczywiste i konkretne ryzyko naruszenia Konwencji. </w:t>
      </w:r>
    </w:p>
    <w:p w14:paraId="3BFC8A81" w14:textId="77777777" w:rsidR="00950534" w:rsidRDefault="00950534" w:rsidP="00950534">
      <w:pPr>
        <w:pStyle w:val="ClinContent"/>
        <w:widowControl w:val="0"/>
        <w:spacing w:before="0"/>
        <w:rPr>
          <w:rFonts w:asciiTheme="minorHAnsi" w:hAnsiTheme="minorHAnsi"/>
          <w:sz w:val="24"/>
          <w:lang w:val="pl-PL"/>
        </w:rPr>
      </w:pPr>
    </w:p>
    <w:p w14:paraId="625A3E91"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Kontrola dokonana przez sądy belgijskie w trakcie procedury wydania nie była zatem wystarczająco dogłębna, by Trybunał mógł uznać, że przesłanki, na których oparły one swą odmowę wydania N.J.E., ze szkodą dla praw skarżących, miały wystarczającą podstawę faktyczną. </w:t>
      </w:r>
    </w:p>
    <w:p w14:paraId="2862F09B" w14:textId="77777777" w:rsidR="00277D0F" w:rsidRDefault="00277D0F" w:rsidP="00950534">
      <w:pPr>
        <w:pStyle w:val="ClinContent"/>
        <w:widowControl w:val="0"/>
        <w:spacing w:before="0"/>
        <w:rPr>
          <w:rFonts w:asciiTheme="minorHAnsi" w:hAnsiTheme="minorHAnsi"/>
          <w:sz w:val="24"/>
          <w:lang w:val="pl-PL"/>
        </w:rPr>
      </w:pPr>
    </w:p>
    <w:p w14:paraId="76B52D37" w14:textId="77777777" w:rsidR="00277D0F" w:rsidRDefault="00277D0F" w:rsidP="00950534">
      <w:pPr>
        <w:pStyle w:val="ClinContent"/>
        <w:widowControl w:val="0"/>
        <w:spacing w:before="0"/>
        <w:rPr>
          <w:rFonts w:asciiTheme="minorHAnsi" w:hAnsiTheme="minorHAnsi"/>
          <w:sz w:val="24"/>
          <w:lang w:val="pl-PL"/>
        </w:rPr>
      </w:pPr>
    </w:p>
    <w:p w14:paraId="1F949F0D" w14:textId="77777777" w:rsidR="00277D0F" w:rsidRDefault="00277D0F" w:rsidP="00950534">
      <w:pPr>
        <w:pStyle w:val="ClinContent"/>
        <w:widowControl w:val="0"/>
        <w:spacing w:before="0"/>
        <w:rPr>
          <w:rFonts w:asciiTheme="minorHAnsi" w:hAnsiTheme="minorHAnsi"/>
          <w:sz w:val="24"/>
          <w:lang w:val="pl-PL"/>
        </w:rPr>
      </w:pPr>
    </w:p>
    <w:p w14:paraId="3B1F3A5C" w14:textId="77777777" w:rsidR="00950534" w:rsidRDefault="00950534" w:rsidP="00950534">
      <w:pPr>
        <w:pStyle w:val="ClinContent"/>
        <w:widowControl w:val="0"/>
        <w:spacing w:before="0"/>
        <w:rPr>
          <w:rFonts w:asciiTheme="minorHAnsi" w:hAnsiTheme="minorHAnsi"/>
          <w:sz w:val="24"/>
          <w:lang w:val="pl-PL"/>
        </w:rPr>
      </w:pPr>
    </w:p>
    <w:p w14:paraId="380EB4AA" w14:textId="69AE49AA"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lastRenderedPageBreak/>
        <w:t xml:space="preserve">Zważywszy na powyższe, Trybunał jednogłośnie orzekł, że </w:t>
      </w:r>
      <w:r w:rsidRPr="00B15C52">
        <w:rPr>
          <w:rFonts w:asciiTheme="minorHAnsi" w:hAnsiTheme="minorHAnsi"/>
          <w:sz w:val="24"/>
          <w:lang w:val="pl-PL"/>
        </w:rPr>
        <w:t xml:space="preserve">Belgia nie wypełniła swego obowiązku współpracy wynikającego z proceduralnego aspektu art. 2 </w:t>
      </w:r>
      <w:r>
        <w:rPr>
          <w:rFonts w:asciiTheme="minorHAnsi" w:hAnsiTheme="minorHAnsi"/>
          <w:sz w:val="24"/>
          <w:lang w:val="pl-PL"/>
        </w:rPr>
        <w:t xml:space="preserve">Konwencji </w:t>
      </w:r>
      <w:r w:rsidRPr="00B15C52">
        <w:rPr>
          <w:rFonts w:asciiTheme="minorHAnsi" w:hAnsiTheme="minorHAnsi"/>
          <w:sz w:val="24"/>
          <w:lang w:val="pl-PL"/>
        </w:rPr>
        <w:t>i doszło do</w:t>
      </w:r>
      <w:r w:rsidR="00092E2B">
        <w:rPr>
          <w:rFonts w:asciiTheme="minorHAnsi" w:hAnsiTheme="minorHAnsi"/>
          <w:sz w:val="24"/>
          <w:lang w:val="pl-PL"/>
        </w:rPr>
        <w:t> </w:t>
      </w:r>
      <w:r w:rsidRPr="00B15C52">
        <w:rPr>
          <w:rFonts w:asciiTheme="minorHAnsi" w:hAnsiTheme="minorHAnsi"/>
          <w:sz w:val="24"/>
          <w:lang w:val="pl-PL"/>
        </w:rPr>
        <w:t>naruszenia tego postanowienia</w:t>
      </w:r>
      <w:r>
        <w:rPr>
          <w:rStyle w:val="Odwoanieprzypisudolnego"/>
          <w:rFonts w:asciiTheme="minorHAnsi" w:hAnsiTheme="minorHAnsi"/>
          <w:sz w:val="24"/>
          <w:lang w:val="pl-PL"/>
        </w:rPr>
        <w:footnoteReference w:id="18"/>
      </w:r>
      <w:r w:rsidRPr="00B15C52">
        <w:rPr>
          <w:rFonts w:asciiTheme="minorHAnsi" w:hAnsiTheme="minorHAnsi"/>
          <w:sz w:val="24"/>
          <w:lang w:val="pl-PL"/>
        </w:rPr>
        <w:t xml:space="preserve">. </w:t>
      </w:r>
    </w:p>
    <w:p w14:paraId="27359E0C" w14:textId="77777777" w:rsidR="00950534" w:rsidRDefault="00950534" w:rsidP="00950534">
      <w:pPr>
        <w:pStyle w:val="ClinContent"/>
        <w:widowControl w:val="0"/>
        <w:spacing w:before="0"/>
        <w:rPr>
          <w:rFonts w:asciiTheme="minorHAnsi" w:hAnsiTheme="minorHAnsi"/>
          <w:sz w:val="24"/>
          <w:lang w:val="pl-PL"/>
        </w:rPr>
      </w:pPr>
    </w:p>
    <w:p w14:paraId="4EFD065A"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Na tej podstawie</w:t>
      </w:r>
      <w:r w:rsidRPr="00B15C52">
        <w:rPr>
          <w:rFonts w:asciiTheme="minorHAnsi" w:hAnsiTheme="minorHAnsi"/>
          <w:sz w:val="24"/>
          <w:lang w:val="pl-PL"/>
        </w:rPr>
        <w:t xml:space="preserve"> </w:t>
      </w:r>
      <w:r>
        <w:rPr>
          <w:rFonts w:asciiTheme="minorHAnsi" w:hAnsiTheme="minorHAnsi"/>
          <w:sz w:val="24"/>
          <w:lang w:val="pl-PL"/>
        </w:rPr>
        <w:t xml:space="preserve">Trybunał zasądził po </w:t>
      </w:r>
      <w:r w:rsidRPr="00B15C52">
        <w:rPr>
          <w:rFonts w:asciiTheme="minorHAnsi" w:hAnsiTheme="minorHAnsi"/>
          <w:sz w:val="24"/>
          <w:lang w:val="pl-PL"/>
        </w:rPr>
        <w:t xml:space="preserve">5000 euro dla każdego ze skarżących tytułem szkody niemajątkowej. </w:t>
      </w:r>
    </w:p>
    <w:p w14:paraId="5BE99C49" w14:textId="77777777" w:rsidR="00950534" w:rsidRDefault="00950534" w:rsidP="00950534">
      <w:pPr>
        <w:pStyle w:val="ClinContent"/>
        <w:widowControl w:val="0"/>
        <w:spacing w:before="0"/>
        <w:rPr>
          <w:rFonts w:asciiTheme="minorHAnsi" w:hAnsiTheme="minorHAnsi"/>
          <w:sz w:val="24"/>
          <w:lang w:val="pl-PL"/>
        </w:rPr>
      </w:pPr>
    </w:p>
    <w:p w14:paraId="2C1D8472" w14:textId="3DFC3EE4"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Jednocześnie Trybunał wyjaśnił, że to jego s</w:t>
      </w:r>
      <w:r w:rsidRPr="00B15C52">
        <w:rPr>
          <w:rFonts w:asciiTheme="minorHAnsi" w:hAnsiTheme="minorHAnsi"/>
          <w:sz w:val="24"/>
          <w:lang w:val="pl-PL"/>
        </w:rPr>
        <w:t xml:space="preserve">twierdzenie nie przesądza, że Belgia </w:t>
      </w:r>
      <w:r>
        <w:rPr>
          <w:rFonts w:asciiTheme="minorHAnsi" w:hAnsiTheme="minorHAnsi"/>
          <w:sz w:val="24"/>
          <w:lang w:val="pl-PL"/>
        </w:rPr>
        <w:t xml:space="preserve">jest zobowiązana </w:t>
      </w:r>
      <w:r w:rsidRPr="00B15C52">
        <w:rPr>
          <w:rFonts w:asciiTheme="minorHAnsi" w:hAnsiTheme="minorHAnsi"/>
          <w:sz w:val="24"/>
          <w:lang w:val="pl-PL"/>
        </w:rPr>
        <w:t xml:space="preserve">wydać N.J.E. władzom hiszpańskim. Do stwierdzenia przez Trybunał naruszenia art. 2 doprowadził </w:t>
      </w:r>
      <w:r>
        <w:rPr>
          <w:rFonts w:asciiTheme="minorHAnsi" w:hAnsiTheme="minorHAnsi"/>
          <w:sz w:val="24"/>
          <w:lang w:val="pl-PL"/>
        </w:rPr>
        <w:t xml:space="preserve">bowiem </w:t>
      </w:r>
      <w:r w:rsidRPr="00B15C52">
        <w:rPr>
          <w:rFonts w:asciiTheme="minorHAnsi" w:hAnsiTheme="minorHAnsi"/>
          <w:sz w:val="24"/>
          <w:lang w:val="pl-PL"/>
        </w:rPr>
        <w:t>brak wystarczających podstaw faktycznych dla odmowy wydania. W żaden sposób nie zmniejsza to obowiązku władz belgijskich dokonania weryfikacji, czy</w:t>
      </w:r>
      <w:r w:rsidR="00092E2B">
        <w:rPr>
          <w:rFonts w:asciiTheme="minorHAnsi" w:hAnsiTheme="minorHAnsi"/>
          <w:sz w:val="24"/>
          <w:lang w:val="pl-PL"/>
        </w:rPr>
        <w:t> </w:t>
      </w:r>
      <w:r w:rsidRPr="00B15C52">
        <w:rPr>
          <w:rFonts w:asciiTheme="minorHAnsi" w:hAnsiTheme="minorHAnsi"/>
          <w:sz w:val="24"/>
          <w:lang w:val="pl-PL"/>
        </w:rPr>
        <w:t>w</w:t>
      </w:r>
      <w:r w:rsidR="00092E2B">
        <w:rPr>
          <w:rFonts w:asciiTheme="minorHAnsi" w:hAnsiTheme="minorHAnsi"/>
          <w:sz w:val="24"/>
          <w:lang w:val="pl-PL"/>
        </w:rPr>
        <w:t> </w:t>
      </w:r>
      <w:r w:rsidRPr="00B15C52">
        <w:rPr>
          <w:rFonts w:asciiTheme="minorHAnsi" w:hAnsiTheme="minorHAnsi"/>
          <w:sz w:val="24"/>
          <w:lang w:val="pl-PL"/>
        </w:rPr>
        <w:t>razie wydania N.J.E.</w:t>
      </w:r>
      <w:r>
        <w:rPr>
          <w:rFonts w:asciiTheme="minorHAnsi" w:hAnsiTheme="minorHAnsi"/>
          <w:sz w:val="24"/>
          <w:lang w:val="pl-PL"/>
        </w:rPr>
        <w:t xml:space="preserve"> </w:t>
      </w:r>
      <w:r w:rsidRPr="00B15C52">
        <w:rPr>
          <w:rFonts w:asciiTheme="minorHAnsi" w:hAnsiTheme="minorHAnsi"/>
          <w:sz w:val="24"/>
          <w:lang w:val="pl-PL"/>
        </w:rPr>
        <w:t xml:space="preserve">władzom hiszpańskim nie będzie </w:t>
      </w:r>
      <w:r>
        <w:rPr>
          <w:rFonts w:asciiTheme="minorHAnsi" w:hAnsiTheme="minorHAnsi"/>
          <w:sz w:val="24"/>
          <w:lang w:val="pl-PL"/>
        </w:rPr>
        <w:t xml:space="preserve">ona </w:t>
      </w:r>
      <w:r w:rsidRPr="00B15C52">
        <w:rPr>
          <w:rFonts w:asciiTheme="minorHAnsi" w:hAnsiTheme="minorHAnsi"/>
          <w:sz w:val="24"/>
          <w:lang w:val="pl-PL"/>
        </w:rPr>
        <w:t>narażona na ryzyko traktowania sprzecznego z art. 3</w:t>
      </w:r>
      <w:r>
        <w:rPr>
          <w:rFonts w:asciiTheme="minorHAnsi" w:hAnsiTheme="minorHAnsi"/>
          <w:sz w:val="24"/>
          <w:lang w:val="pl-PL"/>
        </w:rPr>
        <w:t xml:space="preserve"> Konwencji</w:t>
      </w:r>
      <w:r w:rsidRPr="00B15C52">
        <w:rPr>
          <w:rFonts w:asciiTheme="minorHAnsi" w:hAnsiTheme="minorHAnsi"/>
          <w:sz w:val="24"/>
          <w:lang w:val="pl-PL"/>
        </w:rPr>
        <w:t xml:space="preserve">. </w:t>
      </w:r>
      <w:r>
        <w:rPr>
          <w:rFonts w:asciiTheme="minorHAnsi" w:hAnsiTheme="minorHAnsi"/>
          <w:sz w:val="24"/>
          <w:lang w:val="pl-PL"/>
        </w:rPr>
        <w:t>N</w:t>
      </w:r>
      <w:r w:rsidRPr="00B15C52">
        <w:rPr>
          <w:rFonts w:asciiTheme="minorHAnsi" w:hAnsiTheme="minorHAnsi"/>
          <w:sz w:val="24"/>
          <w:lang w:val="pl-PL"/>
        </w:rPr>
        <w:t>ie należy rozumieć o</w:t>
      </w:r>
      <w:r>
        <w:rPr>
          <w:rFonts w:asciiTheme="minorHAnsi" w:hAnsiTheme="minorHAnsi"/>
          <w:sz w:val="24"/>
          <w:lang w:val="pl-PL"/>
        </w:rPr>
        <w:t>mawianego</w:t>
      </w:r>
      <w:r w:rsidRPr="00B15C52">
        <w:rPr>
          <w:rFonts w:asciiTheme="minorHAnsi" w:hAnsiTheme="minorHAnsi"/>
          <w:sz w:val="24"/>
          <w:lang w:val="pl-PL"/>
        </w:rPr>
        <w:t xml:space="preserve"> wyroku jako zmn</w:t>
      </w:r>
      <w:r>
        <w:rPr>
          <w:rFonts w:asciiTheme="minorHAnsi" w:hAnsiTheme="minorHAnsi"/>
          <w:sz w:val="24"/>
          <w:lang w:val="pl-PL"/>
        </w:rPr>
        <w:t>iejszającego obowiązek państw</w:t>
      </w:r>
      <w:r w:rsidRPr="00B15C52">
        <w:rPr>
          <w:rFonts w:asciiTheme="minorHAnsi" w:hAnsiTheme="minorHAnsi"/>
          <w:sz w:val="24"/>
          <w:lang w:val="pl-PL"/>
        </w:rPr>
        <w:t xml:space="preserve"> powstrzymania się od ekstradycji osoby do państwa wnioskującego w przypadku, gdy zachodzą istotne powody, by sądzić, że w razie ekstradycji do tego państwa osoba ta będzie narażona na rzeczywiste ryzyko traktowania sprzecznego z</w:t>
      </w:r>
      <w:r w:rsidR="00092E2B">
        <w:rPr>
          <w:rFonts w:asciiTheme="minorHAnsi" w:hAnsiTheme="minorHAnsi"/>
          <w:sz w:val="24"/>
          <w:lang w:val="pl-PL"/>
        </w:rPr>
        <w:t> </w:t>
      </w:r>
      <w:r w:rsidRPr="00B15C52">
        <w:rPr>
          <w:rFonts w:asciiTheme="minorHAnsi" w:hAnsiTheme="minorHAnsi"/>
          <w:sz w:val="24"/>
          <w:lang w:val="pl-PL"/>
        </w:rPr>
        <w:t>art. 3</w:t>
      </w:r>
      <w:r>
        <w:rPr>
          <w:rFonts w:asciiTheme="minorHAnsi" w:hAnsiTheme="minorHAnsi"/>
          <w:sz w:val="24"/>
          <w:lang w:val="pl-PL"/>
        </w:rPr>
        <w:t xml:space="preserve"> Konwencji, a zatem</w:t>
      </w:r>
      <w:r w:rsidRPr="00B15C52">
        <w:rPr>
          <w:rFonts w:asciiTheme="minorHAnsi" w:hAnsiTheme="minorHAnsi"/>
          <w:sz w:val="24"/>
          <w:lang w:val="pl-PL"/>
        </w:rPr>
        <w:t xml:space="preserve"> weryfikowania, czy nie istnieje takie ryzyko. </w:t>
      </w:r>
    </w:p>
    <w:p w14:paraId="036EE0C9" w14:textId="77777777" w:rsidR="00950534" w:rsidRDefault="00950534" w:rsidP="00950534">
      <w:pPr>
        <w:pStyle w:val="ClinContent"/>
        <w:widowControl w:val="0"/>
        <w:spacing w:before="0"/>
        <w:rPr>
          <w:rFonts w:asciiTheme="minorHAnsi" w:hAnsiTheme="minorHAnsi" w:cs="Verdana"/>
          <w:bCs/>
          <w:sz w:val="24"/>
          <w:u w:val="single"/>
          <w:lang w:val="pl-PL"/>
        </w:rPr>
      </w:pPr>
    </w:p>
    <w:p w14:paraId="4FB22A8D" w14:textId="1D9708EF" w:rsidR="00950534" w:rsidRDefault="00950534" w:rsidP="00950534">
      <w:pPr>
        <w:pStyle w:val="ClinContent"/>
        <w:widowControl w:val="0"/>
        <w:spacing w:before="0"/>
        <w:rPr>
          <w:rFonts w:asciiTheme="minorHAnsi" w:hAnsiTheme="minorHAnsi"/>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Wyrok </w:t>
      </w:r>
      <w:r>
        <w:rPr>
          <w:rFonts w:asciiTheme="minorHAnsi" w:hAnsiTheme="minorHAnsi" w:cs="Verdana"/>
          <w:bCs/>
          <w:sz w:val="24"/>
          <w:lang w:val="pl-PL"/>
        </w:rPr>
        <w:t>jest interesujący w kilku aspektach. Po pierwsze, wskazuje, że poprzez odmowę wydania osoby, o której ekstradycję ubiega się inne państwo celem przeprowadzenia postępowania karnego w sprawie o zabójstwo, powstaje powiązanie jurysdykcyjne z państwem odmawiającym na potrzeby Konwencji. Dla powstania takiego powiązania jurysdykcyjnego na podstawie art. 1 Konwencji nie jest zatem konieczne, by dane państwo wszczęło śledztwo w sprawie śmierci osoby, która nastąpiła poza jego terytorium. W takiej sytuacji Trybunał może zbadać, czy odmowa wydania była zgodna z art. 2 Konwencji. Po drugie wyrok wskazuje na okoliczności, w których powstaje proceduralny obowiązek współpracy państw w sprawach karnych dotyczących przypadków zabójstwa na</w:t>
      </w:r>
      <w:r w:rsidR="00092E2B">
        <w:rPr>
          <w:rFonts w:asciiTheme="minorHAnsi" w:hAnsiTheme="minorHAnsi" w:cs="Verdana"/>
          <w:bCs/>
          <w:sz w:val="24"/>
          <w:lang w:val="pl-PL"/>
        </w:rPr>
        <w:t> </w:t>
      </w:r>
      <w:r>
        <w:rPr>
          <w:rFonts w:asciiTheme="minorHAnsi" w:hAnsiTheme="minorHAnsi" w:cs="Verdana"/>
          <w:bCs/>
          <w:sz w:val="24"/>
          <w:lang w:val="pl-PL"/>
        </w:rPr>
        <w:t xml:space="preserve">podstawie art. 2 Konwencji. W tym zakresie wyrok przywołuje zasady określone w wyroku Wielkiej Izby w sprawie </w:t>
      </w:r>
      <w:r w:rsidRPr="00A4400C">
        <w:rPr>
          <w:rFonts w:asciiTheme="minorHAnsi" w:hAnsiTheme="minorHAnsi"/>
          <w:i/>
          <w:sz w:val="24"/>
          <w:lang w:val="pl-PL"/>
        </w:rPr>
        <w:t>Güzelyurtlu i Inni p. Cyprowi i Turcj</w:t>
      </w:r>
      <w:r>
        <w:rPr>
          <w:rFonts w:asciiTheme="minorHAnsi" w:hAnsiTheme="minorHAnsi"/>
          <w:i/>
          <w:sz w:val="24"/>
          <w:lang w:val="pl-PL"/>
        </w:rPr>
        <w:t xml:space="preserve">i </w:t>
      </w:r>
      <w:r w:rsidRPr="00A4400C">
        <w:rPr>
          <w:rFonts w:asciiTheme="minorHAnsi" w:hAnsiTheme="minorHAnsi"/>
          <w:sz w:val="24"/>
          <w:lang w:val="pl-PL"/>
        </w:rPr>
        <w:t>(skarga nr 36925/07, 29 stycznia 2019 r.</w:t>
      </w:r>
      <w:r>
        <w:rPr>
          <w:rFonts w:asciiTheme="minorHAnsi" w:hAnsiTheme="minorHAnsi"/>
          <w:sz w:val="24"/>
          <w:lang w:val="pl-PL"/>
        </w:rPr>
        <w:t xml:space="preserve"> – omówiony w pkt 6 niniejszego przeglądu). </w:t>
      </w:r>
    </w:p>
    <w:p w14:paraId="01175185" w14:textId="77777777" w:rsidR="00950534" w:rsidRDefault="00950534" w:rsidP="00950534">
      <w:pPr>
        <w:pStyle w:val="ClinContent"/>
        <w:widowControl w:val="0"/>
        <w:spacing w:before="0"/>
        <w:rPr>
          <w:rFonts w:asciiTheme="minorHAnsi" w:hAnsiTheme="minorHAnsi"/>
          <w:sz w:val="24"/>
          <w:lang w:val="pl-PL"/>
        </w:rPr>
      </w:pPr>
    </w:p>
    <w:p w14:paraId="769F1D2D" w14:textId="0B818DB8"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Po trzecie, wyrok dotyczy relacji między strasburskim a unijnym systemem ochrony praw człowieka. Trybunał wskazuje, że stosowanie mechanizmu współpracy na podstawie europejskiego nakazu aresztowania nie może mieć charakteru automatycznego. Państwo ma</w:t>
      </w:r>
      <w:r w:rsidR="00092E2B">
        <w:rPr>
          <w:rFonts w:asciiTheme="minorHAnsi" w:hAnsiTheme="minorHAnsi" w:cs="Verdana"/>
          <w:bCs/>
          <w:sz w:val="24"/>
          <w:lang w:val="pl-PL"/>
        </w:rPr>
        <w:t> </w:t>
      </w:r>
      <w:r>
        <w:rPr>
          <w:rFonts w:asciiTheme="minorHAnsi" w:hAnsiTheme="minorHAnsi" w:cs="Verdana"/>
          <w:bCs/>
          <w:sz w:val="24"/>
          <w:lang w:val="pl-PL"/>
        </w:rPr>
        <w:t>prawo i obowiązek zweryfikowania, czy w razie ekstradycji osoba nie będzie narażona na</w:t>
      </w:r>
      <w:r w:rsidR="00092E2B">
        <w:rPr>
          <w:rFonts w:asciiTheme="minorHAnsi" w:hAnsiTheme="minorHAnsi" w:cs="Verdana"/>
          <w:bCs/>
          <w:sz w:val="24"/>
          <w:lang w:val="pl-PL"/>
        </w:rPr>
        <w:t> </w:t>
      </w:r>
      <w:r>
        <w:rPr>
          <w:rFonts w:asciiTheme="minorHAnsi" w:hAnsiTheme="minorHAnsi" w:cs="Verdana"/>
          <w:bCs/>
          <w:sz w:val="24"/>
          <w:lang w:val="pl-PL"/>
        </w:rPr>
        <w:t>rzeczywiste ryzyko traktowania sprzecznego z art. 3 Konwencji (w tym w zakresie warunków pozbawienia wolności). Po czwarte wreszcie, odmowa wydania będzie zgodna z</w:t>
      </w:r>
      <w:r w:rsidR="00092E2B">
        <w:rPr>
          <w:rFonts w:asciiTheme="minorHAnsi" w:hAnsiTheme="minorHAnsi" w:cs="Verdana"/>
          <w:bCs/>
          <w:sz w:val="24"/>
          <w:lang w:val="pl-PL"/>
        </w:rPr>
        <w:t> </w:t>
      </w:r>
      <w:r>
        <w:rPr>
          <w:rFonts w:asciiTheme="minorHAnsi" w:hAnsiTheme="minorHAnsi" w:cs="Verdana"/>
          <w:bCs/>
          <w:sz w:val="24"/>
          <w:lang w:val="pl-PL"/>
        </w:rPr>
        <w:t>art. 2 Konwencji i obowiązkiem współpracy jedynie pod warunkiem, że będzie oparta na</w:t>
      </w:r>
      <w:r w:rsidR="00092E2B">
        <w:rPr>
          <w:rFonts w:asciiTheme="minorHAnsi" w:hAnsiTheme="minorHAnsi" w:cs="Verdana"/>
          <w:bCs/>
          <w:sz w:val="24"/>
          <w:lang w:val="pl-PL"/>
        </w:rPr>
        <w:t> </w:t>
      </w:r>
      <w:r>
        <w:rPr>
          <w:rFonts w:asciiTheme="minorHAnsi" w:hAnsiTheme="minorHAnsi" w:cs="Verdana"/>
          <w:bCs/>
          <w:sz w:val="24"/>
          <w:lang w:val="pl-PL"/>
        </w:rPr>
        <w:t xml:space="preserve">szczegółowej analizie i zostanie uzasadniona w sposób zgodny z wymogami wynikającymi z orzecznictwa Trybunału. Trybunał wskazał też na konieczność pozyskania od państwa </w:t>
      </w:r>
      <w:r>
        <w:rPr>
          <w:rFonts w:asciiTheme="minorHAnsi" w:hAnsiTheme="minorHAnsi" w:cs="Verdana"/>
          <w:bCs/>
          <w:sz w:val="24"/>
          <w:lang w:val="pl-PL"/>
        </w:rPr>
        <w:lastRenderedPageBreak/>
        <w:t>wnioskującego dodatkowych informacji celem wyjaśnienia wątpliwości dotyczących możliwej niezgodności wydania z art. 3 Konwencji. Wyrok wskazuje na konieczność respektowania przez wydające państwo zarówno praw przysługujących na podstawie art. 3 Konwencji osobie, która ma być wydana, jak też praw do skutecznego śledztwa przysługujących na</w:t>
      </w:r>
      <w:r w:rsidR="00092E2B">
        <w:rPr>
          <w:rFonts w:asciiTheme="minorHAnsi" w:hAnsiTheme="minorHAnsi" w:cs="Verdana"/>
          <w:bCs/>
          <w:sz w:val="24"/>
          <w:lang w:val="pl-PL"/>
        </w:rPr>
        <w:t> </w:t>
      </w:r>
      <w:r>
        <w:rPr>
          <w:rFonts w:asciiTheme="minorHAnsi" w:hAnsiTheme="minorHAnsi" w:cs="Verdana"/>
          <w:bCs/>
          <w:sz w:val="24"/>
          <w:lang w:val="pl-PL"/>
        </w:rPr>
        <w:t xml:space="preserve">podstawie art. 2 krewnym ofiary zabójstwa. </w:t>
      </w:r>
    </w:p>
    <w:p w14:paraId="512F3A96" w14:textId="77777777" w:rsidR="00950534" w:rsidRDefault="00950534" w:rsidP="00950534">
      <w:pPr>
        <w:pStyle w:val="ClinContent"/>
        <w:widowControl w:val="0"/>
        <w:spacing w:before="0"/>
        <w:rPr>
          <w:rFonts w:asciiTheme="minorHAnsi" w:hAnsiTheme="minorHAnsi" w:cs="Verdana"/>
          <w:bCs/>
          <w:sz w:val="24"/>
          <w:lang w:val="pl-PL"/>
        </w:rPr>
      </w:pPr>
    </w:p>
    <w:p w14:paraId="1BE77FC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 xml:space="preserve">Wyrok może mieć w szczególności znaczenie dla Sądu Najwyższego, sądów karnych, prokuratury, Ministerstwa Sprawiedliwości, a pośrednio także dla Służby Więziennej. </w:t>
      </w:r>
    </w:p>
    <w:p w14:paraId="1B1EF095" w14:textId="77777777" w:rsidR="00950534" w:rsidRDefault="00950534" w:rsidP="00950534">
      <w:pPr>
        <w:pStyle w:val="ClinContent"/>
        <w:widowControl w:val="0"/>
        <w:spacing w:before="0"/>
        <w:rPr>
          <w:rFonts w:asciiTheme="minorHAnsi" w:hAnsiTheme="minorHAnsi"/>
          <w:sz w:val="24"/>
          <w:lang w:val="pl-PL"/>
        </w:rPr>
      </w:pPr>
    </w:p>
    <w:p w14:paraId="0D004971" w14:textId="77777777" w:rsidR="00950534" w:rsidRDefault="00950534" w:rsidP="00950534">
      <w:pPr>
        <w:pStyle w:val="ClinContent"/>
        <w:widowControl w:val="0"/>
        <w:spacing w:before="0"/>
        <w:rPr>
          <w:rFonts w:asciiTheme="minorHAnsi" w:hAnsiTheme="minorHAnsi"/>
          <w:sz w:val="24"/>
          <w:lang w:val="pl-PL"/>
        </w:rPr>
      </w:pPr>
    </w:p>
    <w:p w14:paraId="5F0E2833"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18" w:name="_Toc35632481"/>
      <w:r w:rsidRPr="00A450C9">
        <w:rPr>
          <w:rFonts w:asciiTheme="minorHAnsi" w:hAnsiTheme="minorHAnsi"/>
          <w:i/>
          <w:color w:val="auto"/>
          <w:sz w:val="24"/>
          <w:szCs w:val="24"/>
        </w:rPr>
        <w:t>Rooman p. Belgii</w:t>
      </w:r>
      <w:r w:rsidRPr="00077E55">
        <w:rPr>
          <w:rFonts w:asciiTheme="minorHAnsi" w:hAnsiTheme="minorHAnsi"/>
          <w:color w:val="auto"/>
          <w:sz w:val="24"/>
          <w:szCs w:val="24"/>
        </w:rPr>
        <w:t>, skarga nr 18052/11, wyrok Wielkiej Izby z dnia 31 stycznia 2019 r.</w:t>
      </w:r>
      <w:bookmarkEnd w:id="18"/>
    </w:p>
    <w:p w14:paraId="3D29168D" w14:textId="472F00D4" w:rsidR="00950534" w:rsidRDefault="00950534" w:rsidP="00950534">
      <w:pPr>
        <w:pStyle w:val="Akapitzlist"/>
        <w:widowControl w:val="0"/>
        <w:numPr>
          <w:ilvl w:val="0"/>
          <w:numId w:val="17"/>
        </w:numPr>
        <w:spacing w:after="0" w:line="240" w:lineRule="auto"/>
        <w:jc w:val="both"/>
        <w:outlineLvl w:val="2"/>
        <w:rPr>
          <w:b/>
          <w:iCs/>
          <w:color w:val="000000" w:themeColor="text1"/>
          <w:sz w:val="24"/>
          <w:szCs w:val="24"/>
          <w:lang w:val="pl-PL"/>
        </w:rPr>
      </w:pPr>
      <w:r>
        <w:rPr>
          <w:b/>
          <w:iCs/>
          <w:color w:val="000000" w:themeColor="text1"/>
          <w:sz w:val="24"/>
          <w:szCs w:val="24"/>
          <w:lang w:val="pl-PL"/>
        </w:rPr>
        <w:t>naruszenie, a następnie</w:t>
      </w:r>
      <w:r w:rsidRPr="00072B78">
        <w:rPr>
          <w:b/>
          <w:iCs/>
          <w:color w:val="000000" w:themeColor="text1"/>
          <w:sz w:val="24"/>
          <w:szCs w:val="24"/>
          <w:lang w:val="pl-PL"/>
        </w:rPr>
        <w:t xml:space="preserve"> brak naruszenia</w:t>
      </w:r>
      <w:r w:rsidRPr="002F0678">
        <w:rPr>
          <w:lang w:val="pl-PL"/>
        </w:rPr>
        <w:t xml:space="preserve"> </w:t>
      </w:r>
      <w:r>
        <w:rPr>
          <w:b/>
          <w:iCs/>
          <w:color w:val="000000" w:themeColor="text1"/>
          <w:sz w:val="24"/>
          <w:szCs w:val="24"/>
          <w:lang w:val="pl-PL"/>
        </w:rPr>
        <w:t>a</w:t>
      </w:r>
      <w:r w:rsidRPr="002F0678">
        <w:rPr>
          <w:b/>
          <w:iCs/>
          <w:color w:val="000000" w:themeColor="text1"/>
          <w:sz w:val="24"/>
          <w:szCs w:val="24"/>
          <w:lang w:val="pl-PL"/>
        </w:rPr>
        <w:t xml:space="preserve">rt. 5 ust. 1 </w:t>
      </w:r>
      <w:r>
        <w:rPr>
          <w:b/>
          <w:iCs/>
          <w:color w:val="000000" w:themeColor="text1"/>
          <w:sz w:val="24"/>
          <w:szCs w:val="24"/>
          <w:lang w:val="pl-PL"/>
        </w:rPr>
        <w:t>Konwencji (prawo do wolności i</w:t>
      </w:r>
      <w:r w:rsidR="00092E2B">
        <w:rPr>
          <w:b/>
          <w:iCs/>
          <w:color w:val="000000" w:themeColor="text1"/>
          <w:sz w:val="24"/>
          <w:szCs w:val="24"/>
          <w:lang w:val="pl-PL"/>
        </w:rPr>
        <w:t> </w:t>
      </w:r>
      <w:r>
        <w:rPr>
          <w:b/>
          <w:iCs/>
          <w:color w:val="000000" w:themeColor="text1"/>
          <w:sz w:val="24"/>
          <w:szCs w:val="24"/>
          <w:lang w:val="pl-PL"/>
        </w:rPr>
        <w:t>bezpieczeństwa osobistego – aspekt pozbawienia wolności osoby umysłowo chorej na</w:t>
      </w:r>
      <w:r w:rsidR="00092E2B">
        <w:rPr>
          <w:b/>
          <w:iCs/>
          <w:color w:val="000000" w:themeColor="text1"/>
          <w:sz w:val="24"/>
          <w:szCs w:val="24"/>
          <w:lang w:val="pl-PL"/>
        </w:rPr>
        <w:t> </w:t>
      </w:r>
      <w:r>
        <w:rPr>
          <w:b/>
          <w:iCs/>
          <w:color w:val="000000" w:themeColor="text1"/>
          <w:sz w:val="24"/>
          <w:szCs w:val="24"/>
          <w:lang w:val="pl-PL"/>
        </w:rPr>
        <w:t xml:space="preserve">podstawie art. 5 ust. 1 </w:t>
      </w:r>
      <w:r w:rsidRPr="002F0678">
        <w:rPr>
          <w:b/>
          <w:iCs/>
          <w:color w:val="000000" w:themeColor="text1"/>
          <w:sz w:val="24"/>
          <w:szCs w:val="24"/>
          <w:lang w:val="pl-PL"/>
        </w:rPr>
        <w:t>lit. e</w:t>
      </w:r>
      <w:r>
        <w:rPr>
          <w:b/>
          <w:iCs/>
          <w:color w:val="000000" w:themeColor="text1"/>
          <w:sz w:val="24"/>
          <w:szCs w:val="24"/>
          <w:lang w:val="pl-PL"/>
        </w:rPr>
        <w:t>) w odniesieniu do o</w:t>
      </w:r>
      <w:r w:rsidRPr="00072B78">
        <w:rPr>
          <w:b/>
          <w:iCs/>
          <w:color w:val="000000" w:themeColor="text1"/>
          <w:sz w:val="24"/>
          <w:szCs w:val="24"/>
          <w:lang w:val="pl-PL"/>
        </w:rPr>
        <w:t>bowiąz</w:t>
      </w:r>
      <w:r>
        <w:rPr>
          <w:b/>
          <w:iCs/>
          <w:color w:val="000000" w:themeColor="text1"/>
          <w:sz w:val="24"/>
          <w:szCs w:val="24"/>
          <w:lang w:val="pl-PL"/>
        </w:rPr>
        <w:t>ku</w:t>
      </w:r>
      <w:r w:rsidRPr="00072B78">
        <w:rPr>
          <w:b/>
          <w:iCs/>
          <w:color w:val="000000" w:themeColor="text1"/>
          <w:sz w:val="24"/>
          <w:szCs w:val="24"/>
          <w:lang w:val="pl-PL"/>
        </w:rPr>
        <w:t xml:space="preserve"> podejmowania środków w</w:t>
      </w:r>
      <w:r w:rsidR="00092E2B">
        <w:rPr>
          <w:b/>
          <w:iCs/>
          <w:color w:val="000000" w:themeColor="text1"/>
          <w:sz w:val="24"/>
          <w:szCs w:val="24"/>
          <w:lang w:val="pl-PL"/>
        </w:rPr>
        <w:t> </w:t>
      </w:r>
      <w:r w:rsidRPr="00072B78">
        <w:rPr>
          <w:b/>
          <w:iCs/>
          <w:color w:val="000000" w:themeColor="text1"/>
          <w:sz w:val="24"/>
          <w:szCs w:val="24"/>
          <w:lang w:val="pl-PL"/>
        </w:rPr>
        <w:t>celu przezwyciężenia przeszkody językowej w leczeniu zaburzeń psychicznych, na</w:t>
      </w:r>
      <w:r w:rsidR="00092E2B">
        <w:rPr>
          <w:b/>
          <w:iCs/>
          <w:color w:val="000000" w:themeColor="text1"/>
          <w:sz w:val="24"/>
          <w:szCs w:val="24"/>
          <w:lang w:val="pl-PL"/>
        </w:rPr>
        <w:t> </w:t>
      </w:r>
      <w:r w:rsidRPr="00072B78">
        <w:rPr>
          <w:b/>
          <w:iCs/>
          <w:color w:val="000000" w:themeColor="text1"/>
          <w:sz w:val="24"/>
          <w:szCs w:val="24"/>
          <w:lang w:val="pl-PL"/>
        </w:rPr>
        <w:t xml:space="preserve">które cierpiała osoba przymusowo umieszczona w </w:t>
      </w:r>
      <w:r>
        <w:rPr>
          <w:b/>
          <w:iCs/>
          <w:color w:val="000000" w:themeColor="text1"/>
          <w:sz w:val="24"/>
          <w:szCs w:val="24"/>
          <w:lang w:val="pl-PL"/>
        </w:rPr>
        <w:t>odosobnieniu</w:t>
      </w:r>
      <w:r w:rsidRPr="00072B78">
        <w:rPr>
          <w:b/>
          <w:iCs/>
          <w:color w:val="000000" w:themeColor="text1"/>
          <w:sz w:val="24"/>
          <w:szCs w:val="24"/>
          <w:lang w:val="pl-PL"/>
        </w:rPr>
        <w:t xml:space="preserve"> </w:t>
      </w:r>
    </w:p>
    <w:p w14:paraId="6C52F9E2" w14:textId="77777777" w:rsidR="00950534" w:rsidRDefault="00950534" w:rsidP="00950534">
      <w:pPr>
        <w:pStyle w:val="Akapitzlist"/>
        <w:widowControl w:val="0"/>
        <w:numPr>
          <w:ilvl w:val="0"/>
          <w:numId w:val="17"/>
        </w:numPr>
        <w:spacing w:after="0" w:line="240" w:lineRule="auto"/>
        <w:jc w:val="both"/>
        <w:outlineLvl w:val="2"/>
        <w:rPr>
          <w:b/>
          <w:iCs/>
          <w:color w:val="000000" w:themeColor="text1"/>
          <w:sz w:val="24"/>
          <w:szCs w:val="24"/>
          <w:lang w:val="pl-PL"/>
        </w:rPr>
      </w:pPr>
      <w:r>
        <w:rPr>
          <w:b/>
          <w:iCs/>
          <w:color w:val="000000" w:themeColor="text1"/>
          <w:sz w:val="24"/>
          <w:szCs w:val="24"/>
          <w:lang w:val="pl-PL"/>
        </w:rPr>
        <w:t>naruszenie, a następnie</w:t>
      </w:r>
      <w:r w:rsidRPr="00072B78">
        <w:rPr>
          <w:b/>
          <w:iCs/>
          <w:color w:val="000000" w:themeColor="text1"/>
          <w:sz w:val="24"/>
          <w:szCs w:val="24"/>
          <w:lang w:val="pl-PL"/>
        </w:rPr>
        <w:t xml:space="preserve"> brak naruszenia</w:t>
      </w:r>
      <w:r w:rsidRPr="002F0678">
        <w:rPr>
          <w:b/>
          <w:iCs/>
          <w:color w:val="000000" w:themeColor="text1"/>
          <w:sz w:val="24"/>
          <w:szCs w:val="24"/>
          <w:lang w:val="pl-PL"/>
        </w:rPr>
        <w:t xml:space="preserve"> art. 3 Konwencji</w:t>
      </w:r>
      <w:r>
        <w:rPr>
          <w:b/>
          <w:iCs/>
          <w:color w:val="000000" w:themeColor="text1"/>
          <w:sz w:val="24"/>
          <w:szCs w:val="24"/>
          <w:lang w:val="pl-PL"/>
        </w:rPr>
        <w:t xml:space="preserve"> (zakaz tortur – aspekt poniżającego traktowania) w odniesieniu do</w:t>
      </w:r>
      <w:r w:rsidRPr="00AE4F43">
        <w:rPr>
          <w:b/>
          <w:iCs/>
          <w:color w:val="000000" w:themeColor="text1"/>
          <w:sz w:val="24"/>
          <w:szCs w:val="24"/>
          <w:lang w:val="pl-PL"/>
        </w:rPr>
        <w:t xml:space="preserve"> o</w:t>
      </w:r>
      <w:r w:rsidRPr="00072B78">
        <w:rPr>
          <w:b/>
          <w:iCs/>
          <w:color w:val="000000" w:themeColor="text1"/>
          <w:sz w:val="24"/>
          <w:szCs w:val="24"/>
          <w:lang w:val="pl-PL"/>
        </w:rPr>
        <w:t>bowiązk</w:t>
      </w:r>
      <w:r>
        <w:rPr>
          <w:b/>
          <w:iCs/>
          <w:color w:val="000000" w:themeColor="text1"/>
          <w:sz w:val="24"/>
          <w:szCs w:val="24"/>
          <w:lang w:val="pl-PL"/>
        </w:rPr>
        <w:t>u</w:t>
      </w:r>
      <w:r w:rsidRPr="00072B78">
        <w:rPr>
          <w:b/>
          <w:iCs/>
          <w:color w:val="000000" w:themeColor="text1"/>
          <w:sz w:val="24"/>
          <w:szCs w:val="24"/>
          <w:lang w:val="pl-PL"/>
        </w:rPr>
        <w:t xml:space="preserve"> podejmowania środków w celu przezwyciężenia przeszkody językowej w leczeniu zaburzeń psychicznych, na które cierpiała osoba prz</w:t>
      </w:r>
      <w:r>
        <w:rPr>
          <w:b/>
          <w:iCs/>
          <w:color w:val="000000" w:themeColor="text1"/>
          <w:sz w:val="24"/>
          <w:szCs w:val="24"/>
          <w:lang w:val="pl-PL"/>
        </w:rPr>
        <w:t xml:space="preserve">ymusowo umieszczona w odosobnieniu </w:t>
      </w:r>
    </w:p>
    <w:p w14:paraId="46494B10" w14:textId="77777777" w:rsidR="00950534" w:rsidRPr="00A80201" w:rsidRDefault="00950534" w:rsidP="00950534">
      <w:pPr>
        <w:pStyle w:val="ClinContent"/>
        <w:widowControl w:val="0"/>
        <w:spacing w:before="0"/>
        <w:rPr>
          <w:rFonts w:asciiTheme="minorHAnsi" w:hAnsiTheme="minorHAnsi"/>
          <w:sz w:val="24"/>
          <w:lang w:val="pl-PL"/>
        </w:rPr>
      </w:pPr>
    </w:p>
    <w:p w14:paraId="04D17750" w14:textId="31E8FBC8"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Skarżący cierpiał na poważne zaburzenie psychiczne, powodujące niezdolność kontrolowania przez niego swych działań</w:t>
      </w:r>
      <w:r>
        <w:rPr>
          <w:rFonts w:asciiTheme="minorHAnsi" w:hAnsiTheme="minorHAnsi"/>
          <w:sz w:val="24"/>
          <w:lang w:val="pl-PL"/>
        </w:rPr>
        <w:t>.</w:t>
      </w:r>
      <w:r w:rsidRPr="00B15C52">
        <w:rPr>
          <w:rFonts w:asciiTheme="minorHAnsi" w:hAnsiTheme="minorHAnsi"/>
          <w:sz w:val="24"/>
          <w:lang w:val="pl-PL"/>
        </w:rPr>
        <w:t xml:space="preserve"> </w:t>
      </w:r>
      <w:r>
        <w:rPr>
          <w:rFonts w:asciiTheme="minorHAnsi" w:hAnsiTheme="minorHAnsi"/>
          <w:sz w:val="24"/>
          <w:lang w:val="pl-PL"/>
        </w:rPr>
        <w:t>O</w:t>
      </w:r>
      <w:r w:rsidRPr="00B15C52">
        <w:rPr>
          <w:rFonts w:asciiTheme="minorHAnsi" w:hAnsiTheme="minorHAnsi"/>
          <w:sz w:val="24"/>
          <w:lang w:val="pl-PL"/>
        </w:rPr>
        <w:t xml:space="preserve">d 2004 r. był przymusowo umieszczony </w:t>
      </w:r>
      <w:r>
        <w:rPr>
          <w:rFonts w:asciiTheme="minorHAnsi" w:hAnsiTheme="minorHAnsi"/>
          <w:sz w:val="24"/>
          <w:lang w:val="pl-PL"/>
        </w:rPr>
        <w:t xml:space="preserve">w </w:t>
      </w:r>
      <w:r w:rsidRPr="0049503D">
        <w:rPr>
          <w:rFonts w:asciiTheme="minorHAnsi" w:hAnsiTheme="minorHAnsi"/>
          <w:sz w:val="24"/>
          <w:lang w:val="pl-PL"/>
        </w:rPr>
        <w:t xml:space="preserve">odosobnieniu </w:t>
      </w:r>
      <w:r w:rsidRPr="00B15C52">
        <w:rPr>
          <w:rFonts w:asciiTheme="minorHAnsi" w:hAnsiTheme="minorHAnsi"/>
          <w:sz w:val="24"/>
          <w:lang w:val="pl-PL"/>
        </w:rPr>
        <w:t>w</w:t>
      </w:r>
      <w:r w:rsidR="00092E2B">
        <w:rPr>
          <w:rFonts w:asciiTheme="minorHAnsi" w:hAnsiTheme="minorHAnsi"/>
          <w:sz w:val="24"/>
          <w:lang w:val="pl-PL"/>
        </w:rPr>
        <w:t> </w:t>
      </w:r>
      <w:r w:rsidRPr="00B15C52">
        <w:rPr>
          <w:rFonts w:asciiTheme="minorHAnsi" w:hAnsiTheme="minorHAnsi"/>
          <w:sz w:val="24"/>
          <w:lang w:val="pl-PL"/>
        </w:rPr>
        <w:t xml:space="preserve">wyspecjalizowanej instytucji, której personel składał się z osób niemówiących w języku niemieckim, </w:t>
      </w:r>
      <w:r>
        <w:rPr>
          <w:rFonts w:asciiTheme="minorHAnsi" w:hAnsiTheme="minorHAnsi"/>
          <w:sz w:val="24"/>
          <w:lang w:val="pl-PL"/>
        </w:rPr>
        <w:t>chociaż</w:t>
      </w:r>
      <w:r w:rsidRPr="00B15C52">
        <w:rPr>
          <w:rFonts w:asciiTheme="minorHAnsi" w:hAnsiTheme="minorHAnsi"/>
          <w:sz w:val="24"/>
          <w:lang w:val="pl-PL"/>
        </w:rPr>
        <w:t xml:space="preserve"> on sam mówił tylko po niemiecku (jednym z trzech języków urzędowych w Belgii). Rada opieki społecznej wielokrotnie wskazywała, że trudności w porozumiewaniu się skutkowały pozbawieniem skarżącego jakiegokolwiek leczenia jego zaburzeń psychicznych (co ponadto uniemożliwi</w:t>
      </w:r>
      <w:r>
        <w:rPr>
          <w:rFonts w:asciiTheme="minorHAnsi" w:hAnsiTheme="minorHAnsi"/>
          <w:sz w:val="24"/>
          <w:lang w:val="pl-PL"/>
        </w:rPr>
        <w:t>ało rozważanie jego zwolnienia).</w:t>
      </w:r>
      <w:r w:rsidRPr="00B15C52">
        <w:rPr>
          <w:rFonts w:asciiTheme="minorHAnsi" w:hAnsiTheme="minorHAnsi"/>
          <w:sz w:val="24"/>
          <w:lang w:val="pl-PL"/>
        </w:rPr>
        <w:t xml:space="preserve"> </w:t>
      </w:r>
      <w:r>
        <w:rPr>
          <w:rFonts w:asciiTheme="minorHAnsi" w:hAnsiTheme="minorHAnsi"/>
          <w:sz w:val="24"/>
          <w:lang w:val="pl-PL"/>
        </w:rPr>
        <w:t>Z</w:t>
      </w:r>
      <w:r w:rsidRPr="00B15C52">
        <w:rPr>
          <w:rFonts w:asciiTheme="minorHAnsi" w:hAnsiTheme="minorHAnsi"/>
          <w:sz w:val="24"/>
          <w:lang w:val="pl-PL"/>
        </w:rPr>
        <w:t xml:space="preserve">alecenia te były </w:t>
      </w:r>
      <w:r>
        <w:rPr>
          <w:rFonts w:asciiTheme="minorHAnsi" w:hAnsiTheme="minorHAnsi"/>
          <w:sz w:val="24"/>
          <w:lang w:val="pl-PL"/>
        </w:rPr>
        <w:t xml:space="preserve">jednak </w:t>
      </w:r>
      <w:r w:rsidRPr="00B15C52">
        <w:rPr>
          <w:rFonts w:asciiTheme="minorHAnsi" w:hAnsiTheme="minorHAnsi"/>
          <w:sz w:val="24"/>
          <w:lang w:val="pl-PL"/>
        </w:rPr>
        <w:t xml:space="preserve">tylko częściowo lub z opóźnieniem realizowane przez władze. Właściwe organy sądowe doszły do podobnych wniosków w 2014 r. </w:t>
      </w:r>
    </w:p>
    <w:p w14:paraId="72DAEB03" w14:textId="77777777" w:rsidR="00950534" w:rsidRDefault="00950534" w:rsidP="00950534">
      <w:pPr>
        <w:pStyle w:val="ClinContent"/>
        <w:widowControl w:val="0"/>
        <w:spacing w:before="0"/>
        <w:rPr>
          <w:rFonts w:asciiTheme="minorHAnsi" w:hAnsiTheme="minorHAnsi"/>
          <w:sz w:val="24"/>
          <w:lang w:val="pl-PL"/>
        </w:rPr>
      </w:pPr>
    </w:p>
    <w:p w14:paraId="5376BFB6" w14:textId="6B500805"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Wyrokiem z dnia 18 lipca 2017 r. (zobacz </w:t>
      </w:r>
      <w:hyperlink r:id="rId33" w:history="1">
        <w:r w:rsidRPr="00B15C52">
          <w:rPr>
            <w:rStyle w:val="Hipercze"/>
            <w:rFonts w:asciiTheme="minorHAnsi" w:hAnsiTheme="minorHAnsi"/>
            <w:sz w:val="24"/>
            <w:lang w:val="pl-PL"/>
          </w:rPr>
          <w:t>Nota informacyjna nr 209</w:t>
        </w:r>
      </w:hyperlink>
      <w:r w:rsidRPr="00B15C52">
        <w:rPr>
          <w:rFonts w:asciiTheme="minorHAnsi" w:hAnsiTheme="minorHAnsi"/>
          <w:sz w:val="24"/>
          <w:lang w:val="pl-PL"/>
        </w:rPr>
        <w:t xml:space="preserve">) Izba Trybunału orzekła, jednogłośnie, że doszło do naruszenia art. 3 </w:t>
      </w:r>
      <w:r>
        <w:rPr>
          <w:rFonts w:asciiTheme="minorHAnsi" w:hAnsiTheme="minorHAnsi"/>
          <w:sz w:val="24"/>
          <w:lang w:val="pl-PL"/>
        </w:rPr>
        <w:t xml:space="preserve">Konwencji </w:t>
      </w:r>
      <w:r w:rsidRPr="00B15C52">
        <w:rPr>
          <w:rFonts w:asciiTheme="minorHAnsi" w:hAnsiTheme="minorHAnsi"/>
          <w:sz w:val="24"/>
          <w:lang w:val="pl-PL"/>
        </w:rPr>
        <w:t>z uwagi na brak zapewnienia odpowiedniego leczenia przez trzynaście lat oraz, sześcioma głosami do jednego, że</w:t>
      </w:r>
      <w:r w:rsidR="00092E2B">
        <w:rPr>
          <w:rFonts w:asciiTheme="minorHAnsi" w:hAnsiTheme="minorHAnsi"/>
          <w:sz w:val="24"/>
          <w:lang w:val="pl-PL"/>
        </w:rPr>
        <w:t> </w:t>
      </w:r>
      <w:r w:rsidRPr="00B15C52">
        <w:rPr>
          <w:rFonts w:asciiTheme="minorHAnsi" w:hAnsiTheme="minorHAnsi"/>
          <w:sz w:val="24"/>
          <w:lang w:val="pl-PL"/>
        </w:rPr>
        <w:t>nie</w:t>
      </w:r>
      <w:r w:rsidR="00092E2B">
        <w:rPr>
          <w:rFonts w:asciiTheme="minorHAnsi" w:hAnsiTheme="minorHAnsi"/>
          <w:sz w:val="24"/>
          <w:lang w:val="pl-PL"/>
        </w:rPr>
        <w:t> </w:t>
      </w:r>
      <w:r w:rsidRPr="00B15C52">
        <w:rPr>
          <w:rFonts w:asciiTheme="minorHAnsi" w:hAnsiTheme="minorHAnsi"/>
          <w:sz w:val="24"/>
          <w:lang w:val="pl-PL"/>
        </w:rPr>
        <w:t>doszło do naruszenia art. 5 ust. 1</w:t>
      </w:r>
      <w:r>
        <w:rPr>
          <w:rFonts w:asciiTheme="minorHAnsi" w:hAnsiTheme="minorHAnsi"/>
          <w:sz w:val="24"/>
          <w:lang w:val="pl-PL"/>
        </w:rPr>
        <w:t xml:space="preserve"> Konwencji</w:t>
      </w:r>
      <w:r w:rsidRPr="00B15C52">
        <w:rPr>
          <w:rFonts w:asciiTheme="minorHAnsi" w:hAnsiTheme="minorHAnsi"/>
          <w:sz w:val="24"/>
          <w:lang w:val="pl-PL"/>
        </w:rPr>
        <w:t xml:space="preserve">, uznając, że przeszkoda w zapewnieniu odpowiedniego leczenia była niezwiązana z rzeczywistym charakterem instytucji. </w:t>
      </w:r>
    </w:p>
    <w:p w14:paraId="0DA57912" w14:textId="77777777" w:rsidR="00950534" w:rsidRDefault="00950534" w:rsidP="00950534">
      <w:pPr>
        <w:pStyle w:val="ClinContent"/>
        <w:widowControl w:val="0"/>
        <w:spacing w:before="0"/>
        <w:rPr>
          <w:rFonts w:asciiTheme="minorHAnsi" w:hAnsiTheme="minorHAnsi"/>
          <w:sz w:val="24"/>
          <w:lang w:val="pl-PL"/>
        </w:rPr>
      </w:pPr>
    </w:p>
    <w:p w14:paraId="202253C0"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Sprawa została przekazana do Wielkiej Izby na wniosek skarżącego.</w:t>
      </w:r>
    </w:p>
    <w:p w14:paraId="5FF3A6AB" w14:textId="77777777" w:rsidR="00950534" w:rsidRDefault="00950534" w:rsidP="00950534">
      <w:pPr>
        <w:pStyle w:val="ClinContent"/>
        <w:widowControl w:val="0"/>
        <w:spacing w:before="0"/>
        <w:rPr>
          <w:rFonts w:asciiTheme="minorHAnsi" w:hAnsiTheme="minorHAnsi"/>
          <w:sz w:val="24"/>
          <w:lang w:val="pl-PL"/>
        </w:rPr>
      </w:pPr>
    </w:p>
    <w:p w14:paraId="214DD79F" w14:textId="450C0A7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Po wyroku Izby, o</w:t>
      </w:r>
      <w:r w:rsidRPr="00B15C52">
        <w:rPr>
          <w:rFonts w:asciiTheme="minorHAnsi" w:hAnsiTheme="minorHAnsi"/>
          <w:sz w:val="24"/>
          <w:lang w:val="pl-PL"/>
        </w:rPr>
        <w:t>d sierpnia 2017 r. podjęte zostały różne środki w celu pomocy skarżącemu: comiesięczne spotkania z psychologiem, potwierdzona dostępność niemieckojęzycznego psychiatry, udział tłumacza w comiesięcznych spotkaniach z lekarzem ogólnym. Skarżący nie</w:t>
      </w:r>
      <w:r w:rsidR="00092E2B">
        <w:rPr>
          <w:rFonts w:asciiTheme="minorHAnsi" w:hAnsiTheme="minorHAnsi"/>
          <w:sz w:val="24"/>
          <w:lang w:val="pl-PL"/>
        </w:rPr>
        <w:t> </w:t>
      </w:r>
      <w:r w:rsidRPr="00B15C52">
        <w:rPr>
          <w:rFonts w:asciiTheme="minorHAnsi" w:hAnsiTheme="minorHAnsi"/>
          <w:sz w:val="24"/>
          <w:lang w:val="pl-PL"/>
        </w:rPr>
        <w:t xml:space="preserve">był jednak szczególnie otwarty na te możliwości </w:t>
      </w:r>
      <w:r>
        <w:rPr>
          <w:rFonts w:asciiTheme="minorHAnsi" w:hAnsiTheme="minorHAnsi"/>
          <w:sz w:val="24"/>
          <w:lang w:val="pl-PL"/>
        </w:rPr>
        <w:t xml:space="preserve">– </w:t>
      </w:r>
      <w:r w:rsidRPr="00B15C52">
        <w:rPr>
          <w:rFonts w:asciiTheme="minorHAnsi" w:hAnsiTheme="minorHAnsi"/>
          <w:sz w:val="24"/>
          <w:lang w:val="pl-PL"/>
        </w:rPr>
        <w:t>nie skorzystał z możliwości konsultacji z psychiatrą i odmówił wyrażenia zgody na przekazanie przez psycholog z zewnątrz jej ustaleń zespołowi zajmującemu się dobro</w:t>
      </w:r>
      <w:r>
        <w:rPr>
          <w:rFonts w:asciiTheme="minorHAnsi" w:hAnsiTheme="minorHAnsi"/>
          <w:sz w:val="24"/>
          <w:lang w:val="pl-PL"/>
        </w:rPr>
        <w:t>stanem psychicznym w instytucji</w:t>
      </w:r>
      <w:r w:rsidRPr="00B15C52">
        <w:rPr>
          <w:rFonts w:asciiTheme="minorHAnsi" w:hAnsiTheme="minorHAnsi"/>
          <w:sz w:val="24"/>
          <w:lang w:val="pl-PL"/>
        </w:rPr>
        <w:t>.</w:t>
      </w:r>
      <w:r>
        <w:rPr>
          <w:rFonts w:asciiTheme="minorHAnsi" w:hAnsiTheme="minorHAnsi"/>
          <w:sz w:val="24"/>
          <w:lang w:val="pl-PL"/>
        </w:rPr>
        <w:t xml:space="preserve"> </w:t>
      </w:r>
    </w:p>
    <w:p w14:paraId="4255BF03" w14:textId="77777777" w:rsidR="00950534" w:rsidRDefault="00950534" w:rsidP="00950534">
      <w:pPr>
        <w:pStyle w:val="ClinContent"/>
        <w:widowControl w:val="0"/>
        <w:spacing w:before="0"/>
        <w:rPr>
          <w:rFonts w:asciiTheme="minorHAnsi" w:hAnsiTheme="minorHAnsi"/>
          <w:sz w:val="24"/>
          <w:lang w:val="pl-PL"/>
        </w:rPr>
      </w:pPr>
    </w:p>
    <w:p w14:paraId="6E8D9E2B" w14:textId="7ABE48CF"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w:t>
      </w:r>
      <w:r w:rsidRPr="00B15C52">
        <w:rPr>
          <w:rFonts w:asciiTheme="minorHAnsi" w:hAnsiTheme="minorHAnsi"/>
          <w:sz w:val="24"/>
          <w:lang w:val="pl-PL"/>
        </w:rPr>
        <w:t>2016 r. weszła w życie nowa ustawa w sprawie przymusowego umieszczenia</w:t>
      </w:r>
      <w:r>
        <w:rPr>
          <w:rFonts w:asciiTheme="minorHAnsi" w:hAnsiTheme="minorHAnsi"/>
          <w:sz w:val="24"/>
          <w:lang w:val="pl-PL"/>
        </w:rPr>
        <w:t xml:space="preserve"> w</w:t>
      </w:r>
      <w:r w:rsidR="00092E2B">
        <w:rPr>
          <w:rFonts w:asciiTheme="minorHAnsi" w:hAnsiTheme="minorHAnsi"/>
          <w:sz w:val="24"/>
          <w:lang w:val="pl-PL"/>
        </w:rPr>
        <w:t> </w:t>
      </w:r>
      <w:r>
        <w:rPr>
          <w:rFonts w:asciiTheme="minorHAnsi" w:hAnsiTheme="minorHAnsi"/>
          <w:sz w:val="24"/>
          <w:lang w:val="pl-PL"/>
        </w:rPr>
        <w:t>odosobnieniu, która p</w:t>
      </w:r>
      <w:r w:rsidRPr="00B15C52">
        <w:rPr>
          <w:rFonts w:asciiTheme="minorHAnsi" w:hAnsiTheme="minorHAnsi"/>
          <w:sz w:val="24"/>
          <w:lang w:val="pl-PL"/>
        </w:rPr>
        <w:t xml:space="preserve">odkreśla konieczność zaoferowania ścieżki opieki osobom </w:t>
      </w:r>
      <w:r w:rsidRPr="00B15C52">
        <w:rPr>
          <w:rFonts w:asciiTheme="minorHAnsi" w:hAnsiTheme="minorHAnsi"/>
          <w:sz w:val="24"/>
          <w:lang w:val="pl-PL"/>
        </w:rPr>
        <w:lastRenderedPageBreak/>
        <w:t xml:space="preserve">przymusowo umieszczonym </w:t>
      </w:r>
      <w:r>
        <w:rPr>
          <w:rFonts w:asciiTheme="minorHAnsi" w:hAnsiTheme="minorHAnsi"/>
          <w:sz w:val="24"/>
          <w:lang w:val="pl-PL"/>
        </w:rPr>
        <w:t>w odosobnieniu</w:t>
      </w:r>
      <w:r w:rsidRPr="00B15C52">
        <w:rPr>
          <w:rFonts w:asciiTheme="minorHAnsi" w:hAnsiTheme="minorHAnsi"/>
          <w:sz w:val="24"/>
          <w:lang w:val="pl-PL"/>
        </w:rPr>
        <w:t xml:space="preserve">. </w:t>
      </w:r>
    </w:p>
    <w:p w14:paraId="49F9CDC8" w14:textId="77777777" w:rsidR="00950534" w:rsidRDefault="00950534" w:rsidP="00950534">
      <w:pPr>
        <w:pStyle w:val="ClinContent"/>
        <w:widowControl w:val="0"/>
        <w:spacing w:before="0"/>
        <w:rPr>
          <w:rFonts w:asciiTheme="minorHAnsi" w:hAnsiTheme="minorHAnsi"/>
          <w:sz w:val="24"/>
          <w:lang w:val="pl-PL"/>
        </w:rPr>
      </w:pPr>
    </w:p>
    <w:p w14:paraId="0F585CBB" w14:textId="16BF8AA6" w:rsidR="00950534" w:rsidRPr="005557DF" w:rsidRDefault="00950534" w:rsidP="00950534">
      <w:pPr>
        <w:pStyle w:val="ClinContent"/>
        <w:widowControl w:val="0"/>
        <w:spacing w:before="0"/>
        <w:rPr>
          <w:rFonts w:asciiTheme="minorHAnsi" w:hAnsiTheme="minorHAnsi"/>
          <w:i/>
          <w:sz w:val="24"/>
          <w:u w:val="single"/>
          <w:lang w:val="pl-PL"/>
        </w:rPr>
      </w:pPr>
      <w:r>
        <w:rPr>
          <w:rFonts w:asciiTheme="minorHAnsi" w:hAnsiTheme="minorHAnsi"/>
          <w:sz w:val="24"/>
          <w:lang w:val="pl-PL"/>
        </w:rPr>
        <w:t xml:space="preserve">I. Trybunał zbadał w pierwszej kolejności, </w:t>
      </w:r>
      <w:r w:rsidRPr="005557DF">
        <w:rPr>
          <w:rFonts w:asciiTheme="minorHAnsi" w:hAnsiTheme="minorHAnsi"/>
          <w:i/>
          <w:sz w:val="24"/>
          <w:u w:val="single"/>
          <w:lang w:val="pl-PL"/>
        </w:rPr>
        <w:t xml:space="preserve">czy doszło do </w:t>
      </w:r>
      <w:r>
        <w:rPr>
          <w:rFonts w:asciiTheme="minorHAnsi" w:hAnsiTheme="minorHAnsi"/>
          <w:i/>
          <w:sz w:val="24"/>
          <w:u w:val="single"/>
          <w:lang w:val="pl-PL"/>
        </w:rPr>
        <w:t xml:space="preserve">poniżającego traktowania skarżącego w rozumieniu art. 3 </w:t>
      </w:r>
      <w:r w:rsidRPr="00E65B36">
        <w:rPr>
          <w:rFonts w:asciiTheme="minorHAnsi" w:hAnsiTheme="minorHAnsi"/>
          <w:i/>
          <w:sz w:val="24"/>
          <w:u w:val="single"/>
          <w:lang w:val="pl-PL"/>
        </w:rPr>
        <w:t>Konwencji w związku z brakiem dostępności leczenia w</w:t>
      </w:r>
      <w:r w:rsidR="00092E2B">
        <w:rPr>
          <w:rFonts w:asciiTheme="minorHAnsi" w:hAnsiTheme="minorHAnsi"/>
          <w:i/>
          <w:sz w:val="24"/>
          <w:u w:val="single"/>
          <w:lang w:val="pl-PL"/>
        </w:rPr>
        <w:t> </w:t>
      </w:r>
      <w:r w:rsidRPr="00E65B36">
        <w:rPr>
          <w:rFonts w:asciiTheme="minorHAnsi" w:hAnsiTheme="minorHAnsi"/>
          <w:i/>
          <w:sz w:val="24"/>
          <w:u w:val="single"/>
          <w:lang w:val="pl-PL"/>
        </w:rPr>
        <w:t>miejscu pozbawienia wolności.</w:t>
      </w:r>
    </w:p>
    <w:p w14:paraId="4BEA3B10" w14:textId="77777777" w:rsidR="00950534" w:rsidRDefault="00950534" w:rsidP="00950534">
      <w:pPr>
        <w:pStyle w:val="ClinContent"/>
        <w:widowControl w:val="0"/>
        <w:spacing w:before="0"/>
        <w:rPr>
          <w:rFonts w:asciiTheme="minorHAnsi" w:hAnsiTheme="minorHAnsi"/>
          <w:sz w:val="24"/>
          <w:lang w:val="pl-PL"/>
        </w:rPr>
      </w:pPr>
    </w:p>
    <w:p w14:paraId="73E8B970" w14:textId="250825B5"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Podkreślił, że</w:t>
      </w:r>
      <w:r w:rsidRPr="00B15C52">
        <w:rPr>
          <w:rFonts w:asciiTheme="minorHAnsi" w:hAnsiTheme="minorHAnsi"/>
          <w:sz w:val="24"/>
          <w:lang w:val="pl-PL"/>
        </w:rPr>
        <w:t xml:space="preserve"> </w:t>
      </w:r>
      <w:r>
        <w:rPr>
          <w:rFonts w:asciiTheme="minorHAnsi" w:hAnsiTheme="minorHAnsi"/>
          <w:sz w:val="24"/>
          <w:lang w:val="pl-PL"/>
        </w:rPr>
        <w:t>c</w:t>
      </w:r>
      <w:r w:rsidRPr="00B15C52">
        <w:rPr>
          <w:rFonts w:asciiTheme="minorHAnsi" w:hAnsiTheme="minorHAnsi"/>
          <w:sz w:val="24"/>
          <w:lang w:val="pl-PL"/>
        </w:rPr>
        <w:t xml:space="preserve">zysto językowy element może </w:t>
      </w:r>
      <w:r>
        <w:rPr>
          <w:rFonts w:asciiTheme="minorHAnsi" w:hAnsiTheme="minorHAnsi"/>
          <w:sz w:val="24"/>
          <w:lang w:val="pl-PL"/>
        </w:rPr>
        <w:t xml:space="preserve">się </w:t>
      </w:r>
      <w:r w:rsidRPr="00B15C52">
        <w:rPr>
          <w:rFonts w:asciiTheme="minorHAnsi" w:hAnsiTheme="minorHAnsi"/>
          <w:sz w:val="24"/>
          <w:lang w:val="pl-PL"/>
        </w:rPr>
        <w:t>okazać decydujący dla udzielania (lub</w:t>
      </w:r>
      <w:r w:rsidR="00092E2B">
        <w:rPr>
          <w:rFonts w:asciiTheme="minorHAnsi" w:hAnsiTheme="minorHAnsi"/>
          <w:sz w:val="24"/>
          <w:lang w:val="pl-PL"/>
        </w:rPr>
        <w:t> </w:t>
      </w:r>
      <w:r w:rsidRPr="00B15C52">
        <w:rPr>
          <w:rFonts w:asciiTheme="minorHAnsi" w:hAnsiTheme="minorHAnsi"/>
          <w:sz w:val="24"/>
          <w:lang w:val="pl-PL"/>
        </w:rPr>
        <w:t>dostępności) odpowiedniego leczenia, ale tylko, jeśli inne czynniki nie są w stanie zrekompensować braku komunikacji</w:t>
      </w:r>
      <w:r>
        <w:rPr>
          <w:rFonts w:asciiTheme="minorHAnsi" w:hAnsiTheme="minorHAnsi"/>
          <w:sz w:val="24"/>
          <w:lang w:val="pl-PL"/>
        </w:rPr>
        <w:t xml:space="preserve"> –</w:t>
      </w:r>
      <w:r w:rsidRPr="00B15C52">
        <w:rPr>
          <w:rFonts w:asciiTheme="minorHAnsi" w:hAnsiTheme="minorHAnsi"/>
          <w:sz w:val="24"/>
          <w:lang w:val="pl-PL"/>
        </w:rPr>
        <w:t xml:space="preserve"> w</w:t>
      </w:r>
      <w:r>
        <w:rPr>
          <w:rFonts w:asciiTheme="minorHAnsi" w:hAnsiTheme="minorHAnsi"/>
          <w:sz w:val="24"/>
          <w:lang w:val="pl-PL"/>
        </w:rPr>
        <w:t xml:space="preserve"> </w:t>
      </w:r>
      <w:r w:rsidRPr="00B15C52">
        <w:rPr>
          <w:rFonts w:asciiTheme="minorHAnsi" w:hAnsiTheme="minorHAnsi"/>
          <w:sz w:val="24"/>
          <w:lang w:val="pl-PL"/>
        </w:rPr>
        <w:t>szczególności leczenie zależy od współpracy ze</w:t>
      </w:r>
      <w:r w:rsidR="00092E2B">
        <w:rPr>
          <w:rFonts w:asciiTheme="minorHAnsi" w:hAnsiTheme="minorHAnsi"/>
          <w:sz w:val="24"/>
          <w:lang w:val="pl-PL"/>
        </w:rPr>
        <w:t> </w:t>
      </w:r>
      <w:r w:rsidRPr="00B15C52">
        <w:rPr>
          <w:rFonts w:asciiTheme="minorHAnsi" w:hAnsiTheme="minorHAnsi"/>
          <w:sz w:val="24"/>
          <w:lang w:val="pl-PL"/>
        </w:rPr>
        <w:t xml:space="preserve">strony zainteresowanej osoby. </w:t>
      </w:r>
    </w:p>
    <w:p w14:paraId="421EFBB8" w14:textId="77777777" w:rsidR="00950534" w:rsidRDefault="00950534" w:rsidP="00950534">
      <w:pPr>
        <w:pStyle w:val="ClinContent"/>
        <w:widowControl w:val="0"/>
        <w:spacing w:before="0"/>
        <w:rPr>
          <w:rFonts w:asciiTheme="minorHAnsi" w:hAnsiTheme="minorHAnsi"/>
          <w:sz w:val="24"/>
          <w:lang w:val="pl-PL"/>
        </w:rPr>
      </w:pPr>
    </w:p>
    <w:p w14:paraId="39AB8967"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uznał za stosowne dokonanie oceny oddzielnie dla dwóch okresów pozbawienia wolności skarżącego.</w:t>
      </w:r>
    </w:p>
    <w:p w14:paraId="04C2F9CE" w14:textId="77777777" w:rsidR="00950534" w:rsidRDefault="00950534" w:rsidP="00950534">
      <w:pPr>
        <w:pStyle w:val="ClinContent"/>
        <w:widowControl w:val="0"/>
        <w:spacing w:before="0"/>
        <w:rPr>
          <w:rFonts w:asciiTheme="minorHAnsi" w:hAnsiTheme="minorHAnsi"/>
          <w:sz w:val="24"/>
          <w:lang w:val="pl-PL"/>
        </w:rPr>
      </w:pPr>
    </w:p>
    <w:p w14:paraId="46F60EF4"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t>
      </w:r>
      <w:r>
        <w:rPr>
          <w:rFonts w:asciiTheme="minorHAnsi" w:hAnsiTheme="minorHAnsi"/>
          <w:sz w:val="24"/>
          <w:lang w:val="pl-PL"/>
        </w:rPr>
        <w:t xml:space="preserve"> </w:t>
      </w:r>
      <w:r w:rsidRPr="00B15C52">
        <w:rPr>
          <w:rFonts w:asciiTheme="minorHAnsi" w:hAnsiTheme="minorHAnsi"/>
          <w:sz w:val="24"/>
          <w:lang w:val="pl-PL"/>
        </w:rPr>
        <w:t xml:space="preserve">Okres od </w:t>
      </w:r>
      <w:r w:rsidRPr="00B15C52">
        <w:rPr>
          <w:rFonts w:asciiTheme="minorHAnsi" w:hAnsiTheme="minorHAnsi"/>
          <w:i/>
          <w:sz w:val="24"/>
          <w:lang w:val="pl-PL"/>
        </w:rPr>
        <w:t>2004 r. do 2017</w:t>
      </w:r>
      <w:r w:rsidRPr="00B15C52">
        <w:rPr>
          <w:rFonts w:asciiTheme="minorHAnsi" w:hAnsiTheme="minorHAnsi"/>
          <w:sz w:val="24"/>
          <w:lang w:val="pl-PL"/>
        </w:rPr>
        <w:t xml:space="preserve"> r. – W tym zakresie Wielka Izba w istocie powtórzyła </w:t>
      </w:r>
      <w:r>
        <w:rPr>
          <w:rFonts w:asciiTheme="minorHAnsi" w:hAnsiTheme="minorHAnsi"/>
          <w:sz w:val="24"/>
          <w:lang w:val="pl-PL"/>
        </w:rPr>
        <w:t xml:space="preserve">krytyczne </w:t>
      </w:r>
      <w:r w:rsidRPr="00B15C52">
        <w:rPr>
          <w:rFonts w:asciiTheme="minorHAnsi" w:hAnsiTheme="minorHAnsi"/>
          <w:sz w:val="24"/>
          <w:lang w:val="pl-PL"/>
        </w:rPr>
        <w:t>stwierdzenia Izby i nie zidentyfikowała czynników rekompensujących. W celu uzasadnienia braku leczenia psychoterapeutycznego władze jedynie odnotow</w:t>
      </w:r>
      <w:r>
        <w:rPr>
          <w:rFonts w:asciiTheme="minorHAnsi" w:hAnsiTheme="minorHAnsi"/>
          <w:sz w:val="24"/>
          <w:lang w:val="pl-PL"/>
        </w:rPr>
        <w:t>yw</w:t>
      </w:r>
      <w:r w:rsidRPr="00B15C52">
        <w:rPr>
          <w:rFonts w:asciiTheme="minorHAnsi" w:hAnsiTheme="minorHAnsi"/>
          <w:sz w:val="24"/>
          <w:lang w:val="pl-PL"/>
        </w:rPr>
        <w:t>ały, że z jednej strony zagrożenie stwarzane przez skarżącego wyklucza umieszczenie go w mniej bezpiecznej placówce niemieckojęzycznej</w:t>
      </w:r>
      <w:r>
        <w:rPr>
          <w:rFonts w:asciiTheme="minorHAnsi" w:hAnsiTheme="minorHAnsi"/>
          <w:sz w:val="24"/>
          <w:lang w:val="pl-PL"/>
        </w:rPr>
        <w:t>, ale</w:t>
      </w:r>
      <w:r w:rsidRPr="00B15C52">
        <w:rPr>
          <w:rFonts w:asciiTheme="minorHAnsi" w:hAnsiTheme="minorHAnsi"/>
          <w:sz w:val="24"/>
          <w:lang w:val="pl-PL"/>
        </w:rPr>
        <w:t xml:space="preserve"> że z drugiej strony w przedmiotowej placówce brak jest personelu niemieckojęzycznego, </w:t>
      </w:r>
      <w:r>
        <w:rPr>
          <w:rFonts w:asciiTheme="minorHAnsi" w:hAnsiTheme="minorHAnsi"/>
          <w:sz w:val="24"/>
          <w:lang w:val="pl-PL"/>
        </w:rPr>
        <w:t>i nie badały</w:t>
      </w:r>
      <w:r w:rsidRPr="00B15C52">
        <w:rPr>
          <w:rFonts w:asciiTheme="minorHAnsi" w:hAnsiTheme="minorHAnsi"/>
          <w:sz w:val="24"/>
          <w:lang w:val="pl-PL"/>
        </w:rPr>
        <w:t xml:space="preserve"> innych możliwości. </w:t>
      </w:r>
    </w:p>
    <w:p w14:paraId="68A88C8A" w14:textId="77777777" w:rsidR="00950534" w:rsidRDefault="00950534" w:rsidP="00950534">
      <w:pPr>
        <w:pStyle w:val="ClinContent"/>
        <w:widowControl w:val="0"/>
        <w:spacing w:before="0"/>
        <w:rPr>
          <w:rFonts w:asciiTheme="minorHAnsi" w:hAnsiTheme="minorHAnsi"/>
          <w:sz w:val="24"/>
          <w:lang w:val="pl-PL"/>
        </w:rPr>
      </w:pPr>
    </w:p>
    <w:p w14:paraId="25248B89"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tej sytuacji Trybunał orzekł, </w:t>
      </w:r>
      <w:r w:rsidRPr="00B15C52">
        <w:rPr>
          <w:rFonts w:asciiTheme="minorHAnsi" w:hAnsiTheme="minorHAnsi"/>
          <w:sz w:val="24"/>
          <w:lang w:val="pl-PL"/>
        </w:rPr>
        <w:t>szesnastoma głosami do jednego</w:t>
      </w:r>
      <w:r>
        <w:rPr>
          <w:rFonts w:asciiTheme="minorHAnsi" w:hAnsiTheme="minorHAnsi"/>
          <w:sz w:val="24"/>
          <w:lang w:val="pl-PL"/>
        </w:rPr>
        <w:t xml:space="preserve">, że doszło do naruszenia art. 3 Konwencji w tym okresie. </w:t>
      </w:r>
    </w:p>
    <w:p w14:paraId="0609D4D9" w14:textId="77777777" w:rsidR="00950534" w:rsidRDefault="00950534" w:rsidP="00950534">
      <w:pPr>
        <w:pStyle w:val="ClinContent"/>
        <w:widowControl w:val="0"/>
        <w:spacing w:before="0"/>
        <w:rPr>
          <w:rFonts w:asciiTheme="minorHAnsi" w:hAnsiTheme="minorHAnsi"/>
          <w:sz w:val="24"/>
          <w:lang w:val="pl-PL"/>
        </w:rPr>
      </w:pPr>
    </w:p>
    <w:p w14:paraId="423746A6" w14:textId="15F6C1B1"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t>
      </w:r>
      <w:r>
        <w:rPr>
          <w:rFonts w:asciiTheme="minorHAnsi" w:hAnsiTheme="minorHAnsi"/>
          <w:sz w:val="24"/>
          <w:lang w:val="pl-PL"/>
        </w:rPr>
        <w:t xml:space="preserve"> </w:t>
      </w:r>
      <w:r w:rsidRPr="00B15C52">
        <w:rPr>
          <w:rFonts w:asciiTheme="minorHAnsi" w:hAnsiTheme="minorHAnsi"/>
          <w:i/>
          <w:sz w:val="24"/>
          <w:lang w:val="pl-PL"/>
        </w:rPr>
        <w:t>Okres od sierpnia 2017 r.</w:t>
      </w:r>
      <w:r w:rsidRPr="00B15C52">
        <w:rPr>
          <w:rFonts w:asciiTheme="minorHAnsi" w:hAnsiTheme="minorHAnsi"/>
          <w:sz w:val="24"/>
          <w:lang w:val="pl-PL"/>
        </w:rPr>
        <w:t xml:space="preserve"> – </w:t>
      </w:r>
      <w:r>
        <w:rPr>
          <w:rFonts w:asciiTheme="minorHAnsi" w:hAnsiTheme="minorHAnsi"/>
          <w:sz w:val="24"/>
          <w:lang w:val="pl-PL"/>
        </w:rPr>
        <w:t>W tym zakresie Wielka Izba podkreśliła, że p</w:t>
      </w:r>
      <w:r w:rsidRPr="00B15C52">
        <w:rPr>
          <w:rFonts w:asciiTheme="minorHAnsi" w:hAnsiTheme="minorHAnsi"/>
          <w:sz w:val="24"/>
          <w:lang w:val="pl-PL"/>
        </w:rPr>
        <w:t>o pierwsze, po</w:t>
      </w:r>
      <w:r w:rsidR="00092E2B">
        <w:rPr>
          <w:rFonts w:asciiTheme="minorHAnsi" w:hAnsiTheme="minorHAnsi"/>
          <w:sz w:val="24"/>
          <w:lang w:val="pl-PL"/>
        </w:rPr>
        <w:t> </w:t>
      </w:r>
      <w:r w:rsidRPr="00B15C52">
        <w:rPr>
          <w:rFonts w:asciiTheme="minorHAnsi" w:hAnsiTheme="minorHAnsi"/>
          <w:sz w:val="24"/>
          <w:lang w:val="pl-PL"/>
        </w:rPr>
        <w:t xml:space="preserve">wyroku Izby władze wykazały rzeczywistą chęć naprawienia sytuacji, podejmując wymierne środki, które </w:t>
      </w:r>
      <w:r w:rsidRPr="00B15C52">
        <w:rPr>
          <w:rFonts w:asciiTheme="minorHAnsi" w:hAnsiTheme="minorHAnsi"/>
          <w:i/>
          <w:sz w:val="24"/>
          <w:lang w:val="pl-PL"/>
        </w:rPr>
        <w:t xml:space="preserve">a priori </w:t>
      </w:r>
      <w:r w:rsidRPr="00B15C52">
        <w:rPr>
          <w:rFonts w:asciiTheme="minorHAnsi" w:hAnsiTheme="minorHAnsi"/>
          <w:sz w:val="24"/>
          <w:lang w:val="pl-PL"/>
        </w:rPr>
        <w:t xml:space="preserve">były zgodne z koncepcją „odpowiedniego leczenia”. </w:t>
      </w:r>
    </w:p>
    <w:p w14:paraId="5D9E2286" w14:textId="77777777" w:rsidR="00950534" w:rsidRDefault="00950534" w:rsidP="00950534">
      <w:pPr>
        <w:pStyle w:val="ClinContent"/>
        <w:widowControl w:val="0"/>
        <w:spacing w:before="0"/>
        <w:rPr>
          <w:rFonts w:asciiTheme="minorHAnsi" w:hAnsiTheme="minorHAnsi"/>
          <w:sz w:val="24"/>
          <w:lang w:val="pl-PL"/>
        </w:rPr>
      </w:pPr>
    </w:p>
    <w:p w14:paraId="169F4ED1" w14:textId="365713BD"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Po drugie, skarżący nie współpracował wystarczająco i nie był otwarty na proponowane leczenie (tj. zewnętrznego psychiatrę, którego mu „udostępniono”). </w:t>
      </w:r>
      <w:r>
        <w:rPr>
          <w:rFonts w:asciiTheme="minorHAnsi" w:hAnsiTheme="minorHAnsi"/>
          <w:sz w:val="24"/>
          <w:lang w:val="pl-PL"/>
        </w:rPr>
        <w:t>Chociaż</w:t>
      </w:r>
      <w:r w:rsidRPr="00B15C52">
        <w:rPr>
          <w:rFonts w:asciiTheme="minorHAnsi" w:hAnsiTheme="minorHAnsi"/>
          <w:sz w:val="24"/>
          <w:lang w:val="pl-PL"/>
        </w:rPr>
        <w:t xml:space="preserve"> na pewno należy wyrazić żal z powodu braku harmonogramu terapeutycznego, nie zmienia to faktu, że</w:t>
      </w:r>
      <w:r w:rsidR="00092E2B">
        <w:rPr>
          <w:rFonts w:asciiTheme="minorHAnsi" w:hAnsiTheme="minorHAnsi"/>
          <w:sz w:val="24"/>
          <w:lang w:val="pl-PL"/>
        </w:rPr>
        <w:t> </w:t>
      </w:r>
      <w:r w:rsidRPr="00B15C52">
        <w:rPr>
          <w:rFonts w:asciiTheme="minorHAnsi" w:hAnsiTheme="minorHAnsi"/>
          <w:sz w:val="24"/>
          <w:lang w:val="pl-PL"/>
        </w:rPr>
        <w:t xml:space="preserve">skarżący nawet nie prosił o skorzystanie z proponowanej konsultacji z psychiatrą. </w:t>
      </w:r>
    </w:p>
    <w:p w14:paraId="789F5D1F" w14:textId="77777777" w:rsidR="00950534" w:rsidRDefault="00950534" w:rsidP="00950534">
      <w:pPr>
        <w:pStyle w:val="ClinContent"/>
        <w:widowControl w:val="0"/>
        <w:spacing w:before="0"/>
        <w:rPr>
          <w:rFonts w:asciiTheme="minorHAnsi" w:hAnsiTheme="minorHAnsi"/>
          <w:sz w:val="24"/>
          <w:lang w:val="pl-PL"/>
        </w:rPr>
      </w:pPr>
    </w:p>
    <w:p w14:paraId="14C46D1E" w14:textId="1E362EF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miał na uwadze, co prawda, że </w:t>
      </w:r>
      <w:r w:rsidRPr="00B15C52">
        <w:rPr>
          <w:rFonts w:asciiTheme="minorHAnsi" w:hAnsiTheme="minorHAnsi"/>
          <w:sz w:val="24"/>
          <w:lang w:val="pl-PL"/>
        </w:rPr>
        <w:t xml:space="preserve">współpraca </w:t>
      </w:r>
      <w:r>
        <w:rPr>
          <w:rFonts w:asciiTheme="minorHAnsi" w:hAnsiTheme="minorHAnsi"/>
          <w:sz w:val="24"/>
          <w:lang w:val="pl-PL"/>
        </w:rPr>
        <w:t xml:space="preserve">skarżącego </w:t>
      </w:r>
      <w:r w:rsidRPr="00B15C52">
        <w:rPr>
          <w:rFonts w:asciiTheme="minorHAnsi" w:hAnsiTheme="minorHAnsi"/>
          <w:sz w:val="24"/>
          <w:lang w:val="pl-PL"/>
        </w:rPr>
        <w:t>była tylko jednym z</w:t>
      </w:r>
      <w:r w:rsidR="00092E2B">
        <w:rPr>
          <w:rFonts w:asciiTheme="minorHAnsi" w:hAnsiTheme="minorHAnsi"/>
          <w:sz w:val="24"/>
          <w:lang w:val="pl-PL"/>
        </w:rPr>
        <w:t> </w:t>
      </w:r>
      <w:r w:rsidRPr="00B15C52">
        <w:rPr>
          <w:rFonts w:asciiTheme="minorHAnsi" w:hAnsiTheme="minorHAnsi"/>
          <w:sz w:val="24"/>
          <w:lang w:val="pl-PL"/>
        </w:rPr>
        <w:t>czynników, które należało uwzględnić przy ocenie skuteczności wymaganego leczenia</w:t>
      </w:r>
      <w:r>
        <w:rPr>
          <w:rFonts w:asciiTheme="minorHAnsi" w:hAnsiTheme="minorHAnsi"/>
          <w:sz w:val="24"/>
          <w:lang w:val="pl-PL"/>
        </w:rPr>
        <w:t xml:space="preserve">, </w:t>
      </w:r>
      <w:r w:rsidRPr="00B15C52">
        <w:rPr>
          <w:rFonts w:asciiTheme="minorHAnsi" w:hAnsiTheme="minorHAnsi"/>
          <w:sz w:val="24"/>
          <w:lang w:val="pl-PL"/>
        </w:rPr>
        <w:t xml:space="preserve">ponieważ jest </w:t>
      </w:r>
      <w:r>
        <w:rPr>
          <w:rFonts w:asciiTheme="minorHAnsi" w:hAnsiTheme="minorHAnsi"/>
          <w:sz w:val="24"/>
          <w:lang w:val="pl-PL"/>
        </w:rPr>
        <w:t xml:space="preserve">on </w:t>
      </w:r>
      <w:r w:rsidRPr="00B15C52">
        <w:rPr>
          <w:rFonts w:asciiTheme="minorHAnsi" w:hAnsiTheme="minorHAnsi"/>
          <w:sz w:val="24"/>
          <w:lang w:val="pl-PL"/>
        </w:rPr>
        <w:t xml:space="preserve">osobą </w:t>
      </w:r>
      <w:r>
        <w:rPr>
          <w:rFonts w:asciiTheme="minorHAnsi" w:hAnsiTheme="minorHAnsi"/>
          <w:sz w:val="24"/>
          <w:lang w:val="pl-PL"/>
        </w:rPr>
        <w:t xml:space="preserve">szczególnie </w:t>
      </w:r>
      <w:r w:rsidRPr="00B15C52">
        <w:rPr>
          <w:rFonts w:asciiTheme="minorHAnsi" w:hAnsiTheme="minorHAnsi"/>
          <w:sz w:val="24"/>
          <w:lang w:val="pl-PL"/>
        </w:rPr>
        <w:t>wrażliwą</w:t>
      </w:r>
      <w:r>
        <w:rPr>
          <w:rFonts w:asciiTheme="minorHAnsi" w:hAnsiTheme="minorHAnsi"/>
          <w:sz w:val="24"/>
          <w:lang w:val="pl-PL"/>
        </w:rPr>
        <w:t>.</w:t>
      </w:r>
      <w:r w:rsidRPr="00B15C52">
        <w:rPr>
          <w:rFonts w:asciiTheme="minorHAnsi" w:hAnsiTheme="minorHAnsi"/>
          <w:sz w:val="24"/>
          <w:lang w:val="pl-PL"/>
        </w:rPr>
        <w:t xml:space="preserve"> </w:t>
      </w:r>
      <w:r>
        <w:rPr>
          <w:rFonts w:asciiTheme="minorHAnsi" w:hAnsiTheme="minorHAnsi"/>
          <w:sz w:val="24"/>
          <w:lang w:val="pl-PL"/>
        </w:rPr>
        <w:t>N</w:t>
      </w:r>
      <w:r w:rsidRPr="00B15C52">
        <w:rPr>
          <w:rFonts w:asciiTheme="minorHAnsi" w:hAnsiTheme="minorHAnsi"/>
          <w:sz w:val="24"/>
          <w:lang w:val="pl-PL"/>
        </w:rPr>
        <w:t xml:space="preserve">iemniej jednak </w:t>
      </w:r>
      <w:r>
        <w:rPr>
          <w:rFonts w:asciiTheme="minorHAnsi" w:hAnsiTheme="minorHAnsi"/>
          <w:sz w:val="24"/>
          <w:lang w:val="pl-PL"/>
        </w:rPr>
        <w:t xml:space="preserve">uznał, że </w:t>
      </w:r>
      <w:r w:rsidRPr="00B15C52">
        <w:rPr>
          <w:rFonts w:asciiTheme="minorHAnsi" w:hAnsiTheme="minorHAnsi"/>
          <w:sz w:val="24"/>
          <w:lang w:val="pl-PL"/>
        </w:rPr>
        <w:t>skarżący, który korzystał z pomocy prawnika przez całe postępowanie krajowe, mógł wykazać otwartość na</w:t>
      </w:r>
      <w:r w:rsidR="00092E2B">
        <w:rPr>
          <w:rFonts w:asciiTheme="minorHAnsi" w:hAnsiTheme="minorHAnsi"/>
          <w:sz w:val="24"/>
          <w:lang w:val="pl-PL"/>
        </w:rPr>
        <w:t> </w:t>
      </w:r>
      <w:r w:rsidRPr="00B15C52">
        <w:rPr>
          <w:rFonts w:asciiTheme="minorHAnsi" w:hAnsiTheme="minorHAnsi"/>
          <w:sz w:val="24"/>
          <w:lang w:val="pl-PL"/>
        </w:rPr>
        <w:t>próby podejmowane przez władze w celu odpowiedz</w:t>
      </w:r>
      <w:r>
        <w:rPr>
          <w:rFonts w:asciiTheme="minorHAnsi" w:hAnsiTheme="minorHAnsi"/>
          <w:sz w:val="24"/>
          <w:lang w:val="pl-PL"/>
        </w:rPr>
        <w:t xml:space="preserve">i </w:t>
      </w:r>
      <w:r w:rsidRPr="00B15C52">
        <w:rPr>
          <w:rFonts w:asciiTheme="minorHAnsi" w:hAnsiTheme="minorHAnsi"/>
          <w:sz w:val="24"/>
          <w:lang w:val="pl-PL"/>
        </w:rPr>
        <w:t xml:space="preserve">na </w:t>
      </w:r>
      <w:r>
        <w:rPr>
          <w:rFonts w:asciiTheme="minorHAnsi" w:hAnsiTheme="minorHAnsi"/>
          <w:sz w:val="24"/>
          <w:lang w:val="pl-PL"/>
        </w:rPr>
        <w:t>wnioski</w:t>
      </w:r>
      <w:r w:rsidRPr="00B15C52">
        <w:rPr>
          <w:rFonts w:asciiTheme="minorHAnsi" w:hAnsiTheme="minorHAnsi"/>
          <w:sz w:val="24"/>
          <w:lang w:val="pl-PL"/>
        </w:rPr>
        <w:t xml:space="preserve"> Izby</w:t>
      </w:r>
      <w:r>
        <w:rPr>
          <w:rFonts w:asciiTheme="minorHAnsi" w:hAnsiTheme="minorHAnsi"/>
          <w:sz w:val="24"/>
          <w:lang w:val="pl-PL"/>
        </w:rPr>
        <w:t xml:space="preserve"> Trybunału</w:t>
      </w:r>
      <w:r w:rsidRPr="00B15C52">
        <w:rPr>
          <w:rFonts w:asciiTheme="minorHAnsi" w:hAnsiTheme="minorHAnsi"/>
          <w:sz w:val="24"/>
          <w:lang w:val="pl-PL"/>
        </w:rPr>
        <w:t>. Prawdą jest, że skarżący był uprawniony do odmówienia skorzystania z proponowanego mu leczenia, w takiej sytuacji ponosił jednak ryzyko, że zmniejszy to szanse jego zwolnienia.</w:t>
      </w:r>
      <w:r>
        <w:rPr>
          <w:rFonts w:asciiTheme="minorHAnsi" w:hAnsiTheme="minorHAnsi"/>
          <w:sz w:val="24"/>
          <w:lang w:val="pl-PL"/>
        </w:rPr>
        <w:t xml:space="preserve"> </w:t>
      </w:r>
    </w:p>
    <w:p w14:paraId="4E9ADF4E" w14:textId="77777777" w:rsidR="00950534" w:rsidRDefault="00950534" w:rsidP="00950534">
      <w:pPr>
        <w:pStyle w:val="ClinContent"/>
        <w:widowControl w:val="0"/>
        <w:spacing w:before="0"/>
        <w:rPr>
          <w:rFonts w:asciiTheme="minorHAnsi" w:hAnsiTheme="minorHAnsi"/>
          <w:sz w:val="24"/>
          <w:lang w:val="pl-PL"/>
        </w:rPr>
      </w:pPr>
    </w:p>
    <w:p w14:paraId="26759126"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Po trzecie, krótki okres, jaki upłynął od wdrożenia zmian, uniemożliwiał ewaluację wpływu tych nowych rozwiązań. </w:t>
      </w:r>
    </w:p>
    <w:p w14:paraId="074E222B" w14:textId="77777777" w:rsidR="00950534" w:rsidRDefault="00950534" w:rsidP="00950534">
      <w:pPr>
        <w:pStyle w:val="ClinContent"/>
        <w:widowControl w:val="0"/>
        <w:spacing w:before="0"/>
        <w:rPr>
          <w:rFonts w:asciiTheme="minorHAnsi" w:hAnsiTheme="minorHAnsi"/>
          <w:sz w:val="24"/>
          <w:lang w:val="pl-PL"/>
        </w:rPr>
      </w:pPr>
    </w:p>
    <w:p w14:paraId="5B818A69" w14:textId="4E400245"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 sumie Trybunał uznał, że p</w:t>
      </w:r>
      <w:r w:rsidRPr="00B15C52">
        <w:rPr>
          <w:rFonts w:asciiTheme="minorHAnsi" w:hAnsiTheme="minorHAnsi"/>
          <w:sz w:val="24"/>
          <w:lang w:val="pl-PL"/>
        </w:rPr>
        <w:t>omimo pewnych niedociągnięć organizacyjnych próg dolegliwości wymagany, by w grę mógł wchodzić art. 3</w:t>
      </w:r>
      <w:r>
        <w:rPr>
          <w:rFonts w:asciiTheme="minorHAnsi" w:hAnsiTheme="minorHAnsi"/>
          <w:sz w:val="24"/>
          <w:lang w:val="pl-PL"/>
        </w:rPr>
        <w:t xml:space="preserve"> Konwencji</w:t>
      </w:r>
      <w:r w:rsidRPr="00B15C52">
        <w:rPr>
          <w:rFonts w:asciiTheme="minorHAnsi" w:hAnsiTheme="minorHAnsi"/>
          <w:sz w:val="24"/>
          <w:lang w:val="pl-PL"/>
        </w:rPr>
        <w:t>, nie został osiągnięty w</w:t>
      </w:r>
      <w:r w:rsidR="00092E2B">
        <w:rPr>
          <w:rFonts w:asciiTheme="minorHAnsi" w:hAnsiTheme="minorHAnsi"/>
          <w:sz w:val="24"/>
          <w:lang w:val="pl-PL"/>
        </w:rPr>
        <w:t> </w:t>
      </w:r>
      <w:r w:rsidRPr="00B15C52">
        <w:rPr>
          <w:rFonts w:asciiTheme="minorHAnsi" w:hAnsiTheme="minorHAnsi"/>
          <w:sz w:val="24"/>
          <w:lang w:val="pl-PL"/>
        </w:rPr>
        <w:t xml:space="preserve">tym okresie. </w:t>
      </w:r>
    </w:p>
    <w:p w14:paraId="13A7C03B" w14:textId="77777777" w:rsidR="00950534" w:rsidRDefault="00950534" w:rsidP="00950534">
      <w:pPr>
        <w:pStyle w:val="ClinContent"/>
        <w:widowControl w:val="0"/>
        <w:spacing w:before="0"/>
        <w:rPr>
          <w:rFonts w:asciiTheme="minorHAnsi" w:hAnsiTheme="minorHAnsi"/>
          <w:sz w:val="24"/>
          <w:lang w:val="pl-PL"/>
        </w:rPr>
      </w:pPr>
    </w:p>
    <w:p w14:paraId="258641FF" w14:textId="163AB824"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lastRenderedPageBreak/>
        <w:t xml:space="preserve">Z powyższych względów Trybunał orzekł, </w:t>
      </w:r>
      <w:r w:rsidRPr="00B15C52">
        <w:rPr>
          <w:rFonts w:asciiTheme="minorHAnsi" w:hAnsiTheme="minorHAnsi"/>
          <w:sz w:val="24"/>
          <w:lang w:val="pl-PL"/>
        </w:rPr>
        <w:t>czternastoma głosami do trzech</w:t>
      </w:r>
      <w:r>
        <w:rPr>
          <w:rFonts w:asciiTheme="minorHAnsi" w:hAnsiTheme="minorHAnsi"/>
          <w:sz w:val="24"/>
          <w:lang w:val="pl-PL"/>
        </w:rPr>
        <w:t>, że nie doszło do</w:t>
      </w:r>
      <w:r w:rsidR="00092E2B">
        <w:rPr>
          <w:rFonts w:asciiTheme="minorHAnsi" w:hAnsiTheme="minorHAnsi"/>
          <w:sz w:val="24"/>
          <w:lang w:val="pl-PL"/>
        </w:rPr>
        <w:t> </w:t>
      </w:r>
      <w:r>
        <w:rPr>
          <w:rFonts w:asciiTheme="minorHAnsi" w:hAnsiTheme="minorHAnsi"/>
          <w:sz w:val="24"/>
          <w:lang w:val="pl-PL"/>
        </w:rPr>
        <w:t>naruszenia art. 3 Konwencji w przedmiotowym czasie</w:t>
      </w:r>
      <w:r w:rsidRPr="00B15C52">
        <w:rPr>
          <w:rFonts w:asciiTheme="minorHAnsi" w:hAnsiTheme="minorHAnsi"/>
          <w:sz w:val="24"/>
          <w:lang w:val="pl-PL"/>
        </w:rPr>
        <w:t xml:space="preserve">. </w:t>
      </w:r>
    </w:p>
    <w:p w14:paraId="2A9E8DB5" w14:textId="77777777" w:rsidR="00950534" w:rsidRDefault="00950534" w:rsidP="00950534">
      <w:pPr>
        <w:pStyle w:val="ClinContent"/>
        <w:widowControl w:val="0"/>
        <w:spacing w:before="0"/>
        <w:rPr>
          <w:rFonts w:asciiTheme="minorHAnsi" w:hAnsiTheme="minorHAnsi"/>
          <w:sz w:val="24"/>
          <w:lang w:val="pl-PL"/>
        </w:rPr>
      </w:pPr>
    </w:p>
    <w:p w14:paraId="1FAF29D4" w14:textId="39732403"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 Następnie Trybunał zbadał, </w:t>
      </w:r>
      <w:r w:rsidRPr="00740043">
        <w:rPr>
          <w:rFonts w:asciiTheme="minorHAnsi" w:hAnsiTheme="minorHAnsi"/>
          <w:i/>
          <w:sz w:val="24"/>
          <w:u w:val="single"/>
          <w:lang w:val="pl-PL"/>
        </w:rPr>
        <w:t>czy w sprawie skarżącego doszło do naruszenia jego prawa do</w:t>
      </w:r>
      <w:r w:rsidR="00092E2B">
        <w:rPr>
          <w:rFonts w:asciiTheme="minorHAnsi" w:hAnsiTheme="minorHAnsi"/>
          <w:i/>
          <w:sz w:val="24"/>
          <w:u w:val="single"/>
          <w:lang w:val="pl-PL"/>
        </w:rPr>
        <w:t> </w:t>
      </w:r>
      <w:r w:rsidRPr="00740043">
        <w:rPr>
          <w:rFonts w:asciiTheme="minorHAnsi" w:hAnsiTheme="minorHAnsi"/>
          <w:i/>
          <w:sz w:val="24"/>
          <w:u w:val="single"/>
          <w:lang w:val="pl-PL"/>
        </w:rPr>
        <w:t>wolności i bezpieczeństwa osobistego (art. 5 ust. 1 Konwencji).</w:t>
      </w:r>
      <w:r>
        <w:rPr>
          <w:rFonts w:asciiTheme="minorHAnsi" w:hAnsiTheme="minorHAnsi"/>
          <w:sz w:val="24"/>
          <w:lang w:val="pl-PL"/>
        </w:rPr>
        <w:t xml:space="preserve"> </w:t>
      </w:r>
    </w:p>
    <w:p w14:paraId="1DE47206" w14:textId="77777777" w:rsidR="00950534" w:rsidRDefault="00950534" w:rsidP="00950534">
      <w:pPr>
        <w:pStyle w:val="ClinContent"/>
        <w:widowControl w:val="0"/>
        <w:spacing w:before="0"/>
        <w:rPr>
          <w:rFonts w:asciiTheme="minorHAnsi" w:hAnsiTheme="minorHAnsi"/>
          <w:sz w:val="24"/>
          <w:lang w:val="pl-PL"/>
        </w:rPr>
      </w:pPr>
    </w:p>
    <w:p w14:paraId="5FF71902" w14:textId="77777777" w:rsidR="00950534" w:rsidRDefault="00950534" w:rsidP="00950534">
      <w:pPr>
        <w:pStyle w:val="ClinContent"/>
        <w:widowControl w:val="0"/>
        <w:spacing w:before="0"/>
        <w:rPr>
          <w:rFonts w:asciiTheme="minorHAnsi" w:hAnsiTheme="minorHAnsi"/>
          <w:i/>
          <w:sz w:val="24"/>
          <w:lang w:val="pl-PL"/>
        </w:rPr>
      </w:pPr>
      <w:r>
        <w:rPr>
          <w:rFonts w:asciiTheme="minorHAnsi" w:hAnsiTheme="minorHAnsi"/>
          <w:sz w:val="24"/>
          <w:lang w:val="pl-PL"/>
        </w:rPr>
        <w:t xml:space="preserve">Na wstępie Trybunał uznał za potrzebne </w:t>
      </w:r>
      <w:r w:rsidRPr="00A139C6">
        <w:rPr>
          <w:rFonts w:asciiTheme="minorHAnsi" w:hAnsiTheme="minorHAnsi"/>
          <w:i/>
          <w:sz w:val="24"/>
          <w:u w:val="single"/>
          <w:lang w:val="pl-PL"/>
        </w:rPr>
        <w:t xml:space="preserve">dookreślenie zasad </w:t>
      </w:r>
      <w:r>
        <w:rPr>
          <w:rFonts w:asciiTheme="minorHAnsi" w:hAnsiTheme="minorHAnsi"/>
          <w:i/>
          <w:sz w:val="24"/>
          <w:u w:val="single"/>
          <w:lang w:val="pl-PL"/>
        </w:rPr>
        <w:t xml:space="preserve">ogólnych </w:t>
      </w:r>
      <w:r w:rsidRPr="00A139C6">
        <w:rPr>
          <w:rFonts w:asciiTheme="minorHAnsi" w:hAnsiTheme="minorHAnsi"/>
          <w:i/>
          <w:sz w:val="24"/>
          <w:u w:val="single"/>
          <w:lang w:val="pl-PL"/>
        </w:rPr>
        <w:t xml:space="preserve">dotyczących obowiązku zapewnienia leczenia osobom przymusowo umieszczonym </w:t>
      </w:r>
      <w:r w:rsidRPr="0049503D">
        <w:rPr>
          <w:rFonts w:asciiTheme="minorHAnsi" w:hAnsiTheme="minorHAnsi"/>
          <w:i/>
          <w:sz w:val="24"/>
          <w:u w:val="single"/>
          <w:lang w:val="pl-PL"/>
        </w:rPr>
        <w:t>w odosobnieniu</w:t>
      </w:r>
    </w:p>
    <w:p w14:paraId="258750D9" w14:textId="77777777" w:rsidR="00950534" w:rsidRDefault="00950534" w:rsidP="00950534">
      <w:pPr>
        <w:pStyle w:val="ClinContent"/>
        <w:widowControl w:val="0"/>
        <w:spacing w:before="0"/>
        <w:rPr>
          <w:rFonts w:asciiTheme="minorHAnsi" w:hAnsiTheme="minorHAnsi"/>
          <w:i/>
          <w:sz w:val="24"/>
          <w:lang w:val="pl-PL"/>
        </w:rPr>
      </w:pPr>
    </w:p>
    <w:p w14:paraId="5335569E" w14:textId="619318C5"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Przypomniał, że n</w:t>
      </w:r>
      <w:r w:rsidRPr="00B15C52">
        <w:rPr>
          <w:rFonts w:asciiTheme="minorHAnsi" w:hAnsiTheme="minorHAnsi"/>
          <w:sz w:val="24"/>
          <w:lang w:val="pl-PL"/>
        </w:rPr>
        <w:t>awet</w:t>
      </w:r>
      <w:r w:rsidRPr="00B15C52">
        <w:rPr>
          <w:rFonts w:asciiTheme="minorHAnsi" w:hAnsiTheme="minorHAnsi"/>
          <w:i/>
          <w:sz w:val="24"/>
          <w:lang w:val="pl-PL"/>
        </w:rPr>
        <w:t xml:space="preserve"> </w:t>
      </w:r>
      <w:r w:rsidRPr="00B15C52">
        <w:rPr>
          <w:rFonts w:asciiTheme="minorHAnsi" w:hAnsiTheme="minorHAnsi"/>
          <w:sz w:val="24"/>
          <w:lang w:val="pl-PL"/>
        </w:rPr>
        <w:t xml:space="preserve">w świetle obecnej wykładni art. 5 </w:t>
      </w:r>
      <w:r>
        <w:rPr>
          <w:rFonts w:asciiTheme="minorHAnsi" w:hAnsiTheme="minorHAnsi"/>
          <w:sz w:val="24"/>
          <w:lang w:val="pl-PL"/>
        </w:rPr>
        <w:t xml:space="preserve">Konwencji </w:t>
      </w:r>
      <w:r w:rsidRPr="00B15C52">
        <w:rPr>
          <w:rFonts w:asciiTheme="minorHAnsi" w:hAnsiTheme="minorHAnsi"/>
          <w:sz w:val="24"/>
          <w:lang w:val="pl-PL"/>
        </w:rPr>
        <w:t>nie zawiera zakazu pozbawienia wolności z uwagi na upośledzenie (w przeciwieństwie do tego, co proponuje Komitet Praw Osób Niepełnosprawnych ONZ). Niemniej jednak pozbawienie wolności na</w:t>
      </w:r>
      <w:r w:rsidR="00092E2B">
        <w:rPr>
          <w:rFonts w:asciiTheme="minorHAnsi" w:hAnsiTheme="minorHAnsi"/>
          <w:sz w:val="24"/>
          <w:lang w:val="pl-PL"/>
        </w:rPr>
        <w:t> </w:t>
      </w:r>
      <w:r w:rsidRPr="00B15C52">
        <w:rPr>
          <w:rFonts w:asciiTheme="minorHAnsi" w:hAnsiTheme="minorHAnsi"/>
          <w:sz w:val="24"/>
          <w:lang w:val="pl-PL"/>
        </w:rPr>
        <w:t>podstawie art. 5 ust. 1 lit. e Konwencji musi wypełniać dwojaką funkcję: z jednej strony funkcję ochrony</w:t>
      </w:r>
      <w:r>
        <w:rPr>
          <w:rFonts w:asciiTheme="minorHAnsi" w:hAnsiTheme="minorHAnsi"/>
          <w:sz w:val="24"/>
          <w:lang w:val="pl-PL"/>
        </w:rPr>
        <w:t xml:space="preserve"> społeczeństwa</w:t>
      </w:r>
      <w:r w:rsidRPr="00B15C52">
        <w:rPr>
          <w:rFonts w:asciiTheme="minorHAnsi" w:hAnsiTheme="minorHAnsi"/>
          <w:sz w:val="24"/>
          <w:lang w:val="pl-PL"/>
        </w:rPr>
        <w:t xml:space="preserve">, a z drugiej strony funkcję terapeutyczną w interesie osoby umysłowo chorej. </w:t>
      </w:r>
    </w:p>
    <w:p w14:paraId="4048D7AC" w14:textId="77777777" w:rsidR="00950534" w:rsidRDefault="00950534" w:rsidP="00950534">
      <w:pPr>
        <w:pStyle w:val="ClinContent"/>
        <w:widowControl w:val="0"/>
        <w:spacing w:before="0"/>
        <w:rPr>
          <w:rFonts w:asciiTheme="minorHAnsi" w:hAnsiTheme="minorHAnsi"/>
          <w:sz w:val="24"/>
          <w:lang w:val="pl-PL"/>
        </w:rPr>
      </w:pPr>
    </w:p>
    <w:p w14:paraId="4586A705" w14:textId="77777777" w:rsidR="00950534" w:rsidRDefault="00950534" w:rsidP="00950534">
      <w:pPr>
        <w:pStyle w:val="ClinContent"/>
        <w:widowControl w:val="0"/>
        <w:spacing w:before="0"/>
        <w:rPr>
          <w:rFonts w:asciiTheme="minorHAnsi" w:hAnsiTheme="minorHAnsi"/>
          <w:i/>
          <w:sz w:val="24"/>
          <w:u w:val="single"/>
          <w:lang w:val="pl-PL"/>
        </w:rPr>
      </w:pPr>
      <w:r w:rsidRPr="00B15C52">
        <w:rPr>
          <w:rFonts w:asciiTheme="minorHAnsi" w:hAnsiTheme="minorHAnsi"/>
          <w:sz w:val="24"/>
          <w:lang w:val="pl-PL"/>
        </w:rPr>
        <w:t xml:space="preserve">Pierwsza funkcja nie powinna, </w:t>
      </w:r>
      <w:r w:rsidRPr="00B15C52">
        <w:rPr>
          <w:rFonts w:asciiTheme="minorHAnsi" w:hAnsiTheme="minorHAnsi"/>
          <w:i/>
          <w:sz w:val="24"/>
          <w:lang w:val="pl-PL"/>
        </w:rPr>
        <w:t xml:space="preserve">a priori, </w:t>
      </w:r>
      <w:r w:rsidRPr="00B15C52">
        <w:rPr>
          <w:rFonts w:asciiTheme="minorHAnsi" w:hAnsiTheme="minorHAnsi"/>
          <w:sz w:val="24"/>
          <w:lang w:val="pl-PL"/>
        </w:rPr>
        <w:t xml:space="preserve">uzasadniać braku środków mających na celu zrealizowanie drugiej. </w:t>
      </w:r>
      <w:r>
        <w:rPr>
          <w:rFonts w:asciiTheme="minorHAnsi" w:hAnsiTheme="minorHAnsi"/>
          <w:sz w:val="24"/>
          <w:lang w:val="pl-PL"/>
        </w:rPr>
        <w:t>Trybunał podkreślił, że n</w:t>
      </w:r>
      <w:r w:rsidRPr="00B15C52">
        <w:rPr>
          <w:rFonts w:asciiTheme="minorHAnsi" w:hAnsiTheme="minorHAnsi"/>
          <w:sz w:val="24"/>
          <w:lang w:val="pl-PL"/>
        </w:rPr>
        <w:t xml:space="preserve">iezależnie od placówki wszelkie pozbawienie wolności osób umysłowo chorych musi mieć cel terapeutyczny, zmierzając w możliwym zakresie do wyleczenia lub złagodzenia ich </w:t>
      </w:r>
      <w:r>
        <w:rPr>
          <w:rFonts w:asciiTheme="minorHAnsi" w:hAnsiTheme="minorHAnsi"/>
          <w:sz w:val="24"/>
          <w:lang w:val="pl-PL"/>
        </w:rPr>
        <w:t xml:space="preserve">schorzenia </w:t>
      </w:r>
      <w:r w:rsidRPr="00B15C52">
        <w:rPr>
          <w:rFonts w:asciiTheme="minorHAnsi" w:hAnsiTheme="minorHAnsi"/>
          <w:sz w:val="24"/>
          <w:lang w:val="pl-PL"/>
        </w:rPr>
        <w:t>psychicznego, w tym, doprowadzenia</w:t>
      </w:r>
      <w:r>
        <w:rPr>
          <w:rFonts w:asciiTheme="minorHAnsi" w:hAnsiTheme="minorHAnsi"/>
          <w:sz w:val="24"/>
          <w:lang w:val="pl-PL"/>
        </w:rPr>
        <w:t>, tam gdzie to właściwe,</w:t>
      </w:r>
      <w:r w:rsidRPr="00B15C52">
        <w:rPr>
          <w:rFonts w:asciiTheme="minorHAnsi" w:hAnsiTheme="minorHAnsi"/>
          <w:sz w:val="24"/>
          <w:lang w:val="pl-PL"/>
        </w:rPr>
        <w:t xml:space="preserve"> do zmniejszenia stwarzanego przez nie zagrożenia lub kontrolowania go, w celu przygotowania do ich ostatecznego zwolnienia. </w:t>
      </w:r>
    </w:p>
    <w:p w14:paraId="59C233DF" w14:textId="77777777" w:rsidR="00950534" w:rsidRDefault="00950534" w:rsidP="00950534">
      <w:pPr>
        <w:pStyle w:val="ClinContent"/>
        <w:widowControl w:val="0"/>
        <w:spacing w:before="0"/>
        <w:rPr>
          <w:rFonts w:asciiTheme="minorHAnsi" w:hAnsiTheme="minorHAnsi"/>
          <w:i/>
          <w:sz w:val="24"/>
          <w:u w:val="single"/>
          <w:lang w:val="pl-PL"/>
        </w:rPr>
      </w:pPr>
    </w:p>
    <w:p w14:paraId="0A4CCFAD" w14:textId="1CD044E9"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Zapewnienie odpowiedniego i spersonalizowanego leczenia jest istotną częścią pojęcia „odpowiedniej instytucji”: możliwe jest, że instytucję, która </w:t>
      </w:r>
      <w:r w:rsidRPr="00B15C52">
        <w:rPr>
          <w:rFonts w:asciiTheme="minorHAnsi" w:hAnsiTheme="minorHAnsi"/>
          <w:i/>
          <w:sz w:val="24"/>
          <w:lang w:val="pl-PL"/>
        </w:rPr>
        <w:t xml:space="preserve">a priori </w:t>
      </w:r>
      <w:r w:rsidRPr="00B15C52">
        <w:rPr>
          <w:rFonts w:asciiTheme="minorHAnsi" w:hAnsiTheme="minorHAnsi"/>
          <w:sz w:val="24"/>
          <w:lang w:val="pl-PL"/>
        </w:rPr>
        <w:t>jest nieodpowiednia, taką jak struktura więzienna, można jednak uznać za zadowalającą, jeśli zapewnia odpowiednią opiekę, i odwrotnie – wyspecjalizowana instytucja psychiatryczna, która z</w:t>
      </w:r>
      <w:r w:rsidR="00092E2B">
        <w:rPr>
          <w:rFonts w:asciiTheme="minorHAnsi" w:hAnsiTheme="minorHAnsi"/>
          <w:sz w:val="24"/>
          <w:lang w:val="pl-PL"/>
        </w:rPr>
        <w:t> </w:t>
      </w:r>
      <w:r w:rsidRPr="00B15C52">
        <w:rPr>
          <w:rFonts w:asciiTheme="minorHAnsi" w:hAnsiTheme="minorHAnsi"/>
          <w:sz w:val="24"/>
          <w:lang w:val="pl-PL"/>
        </w:rPr>
        <w:t>definicji powinna być odpowiednia, może okazać się niezdolna do zapewnienia koniecznego leczenia. Zaledwie „dostęp” do pracowników służby zdrowia, konsultacji i</w:t>
      </w:r>
      <w:r w:rsidR="00092E2B">
        <w:rPr>
          <w:rFonts w:asciiTheme="minorHAnsi" w:hAnsiTheme="minorHAnsi"/>
          <w:sz w:val="24"/>
          <w:lang w:val="pl-PL"/>
        </w:rPr>
        <w:t> </w:t>
      </w:r>
      <w:r w:rsidRPr="007F4A65">
        <w:rPr>
          <w:rFonts w:asciiTheme="minorHAnsi" w:hAnsiTheme="minorHAnsi"/>
          <w:sz w:val="24"/>
          <w:lang w:val="pl-PL"/>
        </w:rPr>
        <w:t>dostarczania leków</w:t>
      </w:r>
      <w:r w:rsidRPr="00B15C52">
        <w:rPr>
          <w:rFonts w:asciiTheme="minorHAnsi" w:hAnsiTheme="minorHAnsi"/>
          <w:sz w:val="24"/>
          <w:lang w:val="pl-PL"/>
        </w:rPr>
        <w:t xml:space="preserve"> może być tu niewystarczający.</w:t>
      </w:r>
    </w:p>
    <w:p w14:paraId="3FC7D546" w14:textId="77777777" w:rsidR="00950534" w:rsidRDefault="00950534" w:rsidP="00950534">
      <w:pPr>
        <w:pStyle w:val="ClinContent"/>
        <w:widowControl w:val="0"/>
        <w:spacing w:before="0"/>
        <w:rPr>
          <w:rFonts w:asciiTheme="minorHAnsi" w:hAnsiTheme="minorHAnsi"/>
          <w:sz w:val="24"/>
          <w:lang w:val="pl-PL"/>
        </w:rPr>
      </w:pPr>
    </w:p>
    <w:p w14:paraId="704DA576"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Nie jest jednak rolą Trybunału analizowanie zakresu ofe</w:t>
      </w:r>
      <w:r>
        <w:rPr>
          <w:rFonts w:asciiTheme="minorHAnsi" w:hAnsiTheme="minorHAnsi"/>
          <w:sz w:val="24"/>
          <w:lang w:val="pl-PL"/>
        </w:rPr>
        <w:t>rowanego i udzielanego leczenia.</w:t>
      </w:r>
      <w:r w:rsidRPr="00B15C52">
        <w:rPr>
          <w:rFonts w:asciiTheme="minorHAnsi" w:hAnsiTheme="minorHAnsi"/>
          <w:sz w:val="24"/>
          <w:lang w:val="pl-PL"/>
        </w:rPr>
        <w:t xml:space="preserve"> </w:t>
      </w:r>
      <w:r>
        <w:rPr>
          <w:rFonts w:asciiTheme="minorHAnsi" w:hAnsiTheme="minorHAnsi"/>
          <w:sz w:val="24"/>
          <w:lang w:val="pl-PL"/>
        </w:rPr>
        <w:t>I</w:t>
      </w:r>
      <w:r w:rsidRPr="00B15C52">
        <w:rPr>
          <w:rFonts w:asciiTheme="minorHAnsi" w:hAnsiTheme="minorHAnsi"/>
          <w:sz w:val="24"/>
          <w:lang w:val="pl-PL"/>
        </w:rPr>
        <w:t xml:space="preserve">stotne jest, by Trybunał mógł zweryfikować, czy został wdrożony „spersonalizowany program” uwzględniający konkretne aspekty zdrowia psychicznego osadzonego w celu przygotowania go do ewentualnego powrotu do społeczeństwa w przyszłości. W tym obszarze Trybunał przyznaje władzom pewną swobodę zarówno </w:t>
      </w:r>
      <w:r>
        <w:rPr>
          <w:rFonts w:asciiTheme="minorHAnsi" w:hAnsiTheme="minorHAnsi"/>
          <w:sz w:val="24"/>
          <w:lang w:val="pl-PL"/>
        </w:rPr>
        <w:t xml:space="preserve">co do </w:t>
      </w:r>
      <w:r w:rsidRPr="00B15C52">
        <w:rPr>
          <w:rFonts w:asciiTheme="minorHAnsi" w:hAnsiTheme="minorHAnsi"/>
          <w:sz w:val="24"/>
          <w:lang w:val="pl-PL"/>
        </w:rPr>
        <w:t xml:space="preserve">formy, jak i zakresu opieki terapeutycznej oraz przedmiotowego programu leczenia. </w:t>
      </w:r>
    </w:p>
    <w:p w14:paraId="6DD18132" w14:textId="77777777" w:rsidR="00950534" w:rsidRDefault="00950534" w:rsidP="00950534">
      <w:pPr>
        <w:pStyle w:val="ClinContent"/>
        <w:widowControl w:val="0"/>
        <w:spacing w:before="0"/>
        <w:rPr>
          <w:rFonts w:asciiTheme="minorHAnsi" w:hAnsiTheme="minorHAnsi"/>
          <w:sz w:val="24"/>
          <w:lang w:val="pl-PL"/>
        </w:rPr>
      </w:pPr>
    </w:p>
    <w:p w14:paraId="19565992" w14:textId="27BCBD4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w:t>
      </w:r>
      <w:r w:rsidRPr="00B15C52">
        <w:rPr>
          <w:rFonts w:asciiTheme="minorHAnsi" w:hAnsiTheme="minorHAnsi"/>
          <w:sz w:val="24"/>
          <w:lang w:val="pl-PL"/>
        </w:rPr>
        <w:t xml:space="preserve"> razie problemu, który utrudnia leczenie skarżącego, potencjalnie negatywne skutki dla</w:t>
      </w:r>
      <w:r w:rsidR="00092E2B">
        <w:rPr>
          <w:rFonts w:asciiTheme="minorHAnsi" w:hAnsiTheme="minorHAnsi"/>
          <w:sz w:val="24"/>
          <w:lang w:val="pl-PL"/>
        </w:rPr>
        <w:t> </w:t>
      </w:r>
      <w:r w:rsidRPr="00B15C52">
        <w:rPr>
          <w:rFonts w:asciiTheme="minorHAnsi" w:hAnsiTheme="minorHAnsi"/>
          <w:sz w:val="24"/>
          <w:lang w:val="pl-PL"/>
        </w:rPr>
        <w:t>perspektywy zmiany w sytuacji osobistej skarżące</w:t>
      </w:r>
      <w:r>
        <w:rPr>
          <w:rFonts w:asciiTheme="minorHAnsi" w:hAnsiTheme="minorHAnsi"/>
          <w:sz w:val="24"/>
          <w:lang w:val="pl-PL"/>
        </w:rPr>
        <w:t>go</w:t>
      </w:r>
      <w:r w:rsidRPr="00B15C52">
        <w:rPr>
          <w:rFonts w:asciiTheme="minorHAnsi" w:hAnsiTheme="minorHAnsi"/>
          <w:sz w:val="24"/>
          <w:lang w:val="pl-PL"/>
        </w:rPr>
        <w:t xml:space="preserve"> niekoniecznie będą prowadzić do</w:t>
      </w:r>
      <w:r w:rsidR="00092E2B">
        <w:rPr>
          <w:rFonts w:asciiTheme="minorHAnsi" w:hAnsiTheme="minorHAnsi"/>
          <w:sz w:val="24"/>
          <w:lang w:val="pl-PL"/>
        </w:rPr>
        <w:t> </w:t>
      </w:r>
      <w:r w:rsidRPr="00B15C52">
        <w:rPr>
          <w:rFonts w:asciiTheme="minorHAnsi" w:hAnsiTheme="minorHAnsi"/>
          <w:sz w:val="24"/>
          <w:lang w:val="pl-PL"/>
        </w:rPr>
        <w:t>stwierdzenia naruszenia art. 5 ust. 1</w:t>
      </w:r>
      <w:r>
        <w:rPr>
          <w:rFonts w:asciiTheme="minorHAnsi" w:hAnsiTheme="minorHAnsi"/>
          <w:sz w:val="24"/>
          <w:lang w:val="pl-PL"/>
        </w:rPr>
        <w:t xml:space="preserve"> Konwencji</w:t>
      </w:r>
      <w:r w:rsidRPr="00B15C52">
        <w:rPr>
          <w:rFonts w:asciiTheme="minorHAnsi" w:hAnsiTheme="minorHAnsi"/>
          <w:sz w:val="24"/>
          <w:lang w:val="pl-PL"/>
        </w:rPr>
        <w:t xml:space="preserve">, pod warunkiem </w:t>
      </w:r>
      <w:r>
        <w:rPr>
          <w:rFonts w:asciiTheme="minorHAnsi" w:hAnsiTheme="minorHAnsi"/>
          <w:sz w:val="24"/>
          <w:lang w:val="pl-PL"/>
        </w:rPr>
        <w:t xml:space="preserve">jednak </w:t>
      </w:r>
      <w:r w:rsidRPr="00B15C52">
        <w:rPr>
          <w:rFonts w:asciiTheme="minorHAnsi" w:hAnsiTheme="minorHAnsi"/>
          <w:sz w:val="24"/>
          <w:lang w:val="pl-PL"/>
        </w:rPr>
        <w:t xml:space="preserve">że władze podjęły wystarczające kroki w celu przezwyciężenia </w:t>
      </w:r>
      <w:r>
        <w:rPr>
          <w:rFonts w:asciiTheme="minorHAnsi" w:hAnsiTheme="minorHAnsi"/>
          <w:sz w:val="24"/>
          <w:lang w:val="pl-PL"/>
        </w:rPr>
        <w:t>te</w:t>
      </w:r>
      <w:r w:rsidRPr="00B15C52">
        <w:rPr>
          <w:rFonts w:asciiTheme="minorHAnsi" w:hAnsiTheme="minorHAnsi"/>
          <w:sz w:val="24"/>
          <w:lang w:val="pl-PL"/>
        </w:rPr>
        <w:t>go</w:t>
      </w:r>
      <w:r>
        <w:rPr>
          <w:rFonts w:asciiTheme="minorHAnsi" w:hAnsiTheme="minorHAnsi"/>
          <w:sz w:val="24"/>
          <w:lang w:val="pl-PL"/>
        </w:rPr>
        <w:t xml:space="preserve"> problemu</w:t>
      </w:r>
      <w:r w:rsidRPr="00B15C52">
        <w:rPr>
          <w:rFonts w:asciiTheme="minorHAnsi" w:hAnsiTheme="minorHAnsi"/>
          <w:sz w:val="24"/>
          <w:lang w:val="pl-PL"/>
        </w:rPr>
        <w:t xml:space="preserve">. </w:t>
      </w:r>
    </w:p>
    <w:p w14:paraId="20B6FA00" w14:textId="77777777" w:rsidR="00950534" w:rsidRDefault="00950534" w:rsidP="00950534">
      <w:pPr>
        <w:pStyle w:val="ClinContent"/>
        <w:widowControl w:val="0"/>
        <w:spacing w:before="0"/>
        <w:rPr>
          <w:rFonts w:asciiTheme="minorHAnsi" w:hAnsiTheme="minorHAnsi"/>
          <w:sz w:val="24"/>
          <w:lang w:val="pl-PL"/>
        </w:rPr>
      </w:pPr>
    </w:p>
    <w:p w14:paraId="26A1A22D" w14:textId="64FF241B"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Intensywność kontroli Trybunału może się różnić w zależności od tego, czy skarga jest składana na podstawie art. 3 </w:t>
      </w:r>
      <w:r>
        <w:rPr>
          <w:rFonts w:asciiTheme="minorHAnsi" w:hAnsiTheme="minorHAnsi"/>
          <w:sz w:val="24"/>
          <w:lang w:val="pl-PL"/>
        </w:rPr>
        <w:t>Konwencji (</w:t>
      </w:r>
      <w:r w:rsidRPr="00B15C52">
        <w:rPr>
          <w:rFonts w:asciiTheme="minorHAnsi" w:hAnsiTheme="minorHAnsi"/>
          <w:sz w:val="24"/>
          <w:lang w:val="pl-PL"/>
        </w:rPr>
        <w:t xml:space="preserve">który wymaga </w:t>
      </w:r>
      <w:r>
        <w:rPr>
          <w:rFonts w:asciiTheme="minorHAnsi" w:hAnsiTheme="minorHAnsi"/>
          <w:sz w:val="24"/>
          <w:lang w:val="pl-PL"/>
        </w:rPr>
        <w:t>osiągnięcia</w:t>
      </w:r>
      <w:r w:rsidRPr="00B15C52">
        <w:rPr>
          <w:rFonts w:asciiTheme="minorHAnsi" w:hAnsiTheme="minorHAnsi"/>
          <w:sz w:val="24"/>
          <w:lang w:val="pl-PL"/>
        </w:rPr>
        <w:t xml:space="preserve"> określonego progu dolegliwości, którego ocena jest względna i zależy od wszystkich okoliczności sprawy</w:t>
      </w:r>
      <w:r>
        <w:rPr>
          <w:rFonts w:asciiTheme="minorHAnsi" w:hAnsiTheme="minorHAnsi"/>
          <w:sz w:val="24"/>
          <w:lang w:val="pl-PL"/>
        </w:rPr>
        <w:t>),</w:t>
      </w:r>
      <w:r w:rsidRPr="00B15C52">
        <w:rPr>
          <w:rFonts w:asciiTheme="minorHAnsi" w:hAnsiTheme="minorHAnsi"/>
          <w:sz w:val="24"/>
          <w:lang w:val="pl-PL"/>
        </w:rPr>
        <w:t xml:space="preserve"> czy</w:t>
      </w:r>
      <w:r w:rsidR="00092E2B">
        <w:rPr>
          <w:rFonts w:asciiTheme="minorHAnsi" w:hAnsiTheme="minorHAnsi"/>
          <w:sz w:val="24"/>
          <w:lang w:val="pl-PL"/>
        </w:rPr>
        <w:t> </w:t>
      </w:r>
      <w:r w:rsidRPr="00B15C52">
        <w:rPr>
          <w:rFonts w:asciiTheme="minorHAnsi" w:hAnsiTheme="minorHAnsi"/>
          <w:sz w:val="24"/>
          <w:lang w:val="pl-PL"/>
        </w:rPr>
        <w:t>na</w:t>
      </w:r>
      <w:r w:rsidR="00092E2B">
        <w:rPr>
          <w:rFonts w:asciiTheme="minorHAnsi" w:hAnsiTheme="minorHAnsi"/>
          <w:sz w:val="24"/>
          <w:lang w:val="pl-PL"/>
        </w:rPr>
        <w:t> </w:t>
      </w:r>
      <w:r w:rsidRPr="00B15C52">
        <w:rPr>
          <w:rFonts w:asciiTheme="minorHAnsi" w:hAnsiTheme="minorHAnsi"/>
          <w:sz w:val="24"/>
          <w:lang w:val="pl-PL"/>
        </w:rPr>
        <w:t xml:space="preserve">podstawie art. 5 ust. 1 </w:t>
      </w:r>
      <w:r>
        <w:rPr>
          <w:rFonts w:asciiTheme="minorHAnsi" w:hAnsiTheme="minorHAnsi"/>
          <w:sz w:val="24"/>
          <w:lang w:val="pl-PL"/>
        </w:rPr>
        <w:t>(</w:t>
      </w:r>
      <w:r w:rsidRPr="00B15C52">
        <w:rPr>
          <w:rFonts w:asciiTheme="minorHAnsi" w:hAnsiTheme="minorHAnsi"/>
          <w:sz w:val="24"/>
          <w:lang w:val="pl-PL"/>
        </w:rPr>
        <w:t>w przypadku którego dominującą kwestią jest to, czy</w:t>
      </w:r>
      <w:r w:rsidR="00092E2B">
        <w:rPr>
          <w:rFonts w:asciiTheme="minorHAnsi" w:hAnsiTheme="minorHAnsi"/>
          <w:sz w:val="24"/>
          <w:lang w:val="pl-PL"/>
        </w:rPr>
        <w:t> </w:t>
      </w:r>
      <w:r w:rsidRPr="00B15C52">
        <w:rPr>
          <w:rFonts w:asciiTheme="minorHAnsi" w:hAnsiTheme="minorHAnsi"/>
          <w:sz w:val="24"/>
          <w:lang w:val="pl-PL"/>
        </w:rPr>
        <w:t>instytucja jest odpowiednia</w:t>
      </w:r>
      <w:r>
        <w:rPr>
          <w:rFonts w:asciiTheme="minorHAnsi" w:hAnsiTheme="minorHAnsi"/>
          <w:sz w:val="24"/>
          <w:lang w:val="pl-PL"/>
        </w:rPr>
        <w:t>,</w:t>
      </w:r>
      <w:r w:rsidRPr="00B15C52">
        <w:rPr>
          <w:rFonts w:asciiTheme="minorHAnsi" w:hAnsiTheme="minorHAnsi"/>
          <w:sz w:val="24"/>
          <w:lang w:val="pl-PL"/>
        </w:rPr>
        <w:t xml:space="preserve"> co jest konieczne dla zachowania związku między </w:t>
      </w:r>
      <w:r w:rsidRPr="00B15C52">
        <w:rPr>
          <w:rFonts w:asciiTheme="minorHAnsi" w:hAnsiTheme="minorHAnsi"/>
          <w:sz w:val="24"/>
          <w:lang w:val="pl-PL"/>
        </w:rPr>
        <w:lastRenderedPageBreak/>
        <w:t xml:space="preserve">przymusowym umieszczeniem </w:t>
      </w:r>
      <w:r w:rsidRPr="0049503D">
        <w:rPr>
          <w:rFonts w:asciiTheme="minorHAnsi" w:hAnsiTheme="minorHAnsi"/>
          <w:sz w:val="24"/>
          <w:lang w:val="pl-PL"/>
        </w:rPr>
        <w:t xml:space="preserve">w odosobnieniu </w:t>
      </w:r>
      <w:r w:rsidRPr="00B15C52">
        <w:rPr>
          <w:rFonts w:asciiTheme="minorHAnsi" w:hAnsiTheme="minorHAnsi"/>
          <w:sz w:val="24"/>
          <w:lang w:val="pl-PL"/>
        </w:rPr>
        <w:t xml:space="preserve">a jego deklarowanym celem). </w:t>
      </w:r>
    </w:p>
    <w:p w14:paraId="21D75976" w14:textId="77777777" w:rsidR="00950534" w:rsidRDefault="00950534" w:rsidP="00950534">
      <w:pPr>
        <w:pStyle w:val="ClinContent"/>
        <w:widowControl w:val="0"/>
        <w:spacing w:before="0"/>
        <w:rPr>
          <w:rFonts w:asciiTheme="minorHAnsi" w:hAnsiTheme="minorHAnsi"/>
          <w:sz w:val="24"/>
          <w:lang w:val="pl-PL"/>
        </w:rPr>
      </w:pPr>
    </w:p>
    <w:p w14:paraId="5D8FD7C9"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Stwierdzenie braku naruszenia art. 3 </w:t>
      </w:r>
      <w:r>
        <w:rPr>
          <w:rFonts w:asciiTheme="minorHAnsi" w:hAnsiTheme="minorHAnsi"/>
          <w:sz w:val="24"/>
          <w:lang w:val="pl-PL"/>
        </w:rPr>
        <w:t xml:space="preserve">Konwencji </w:t>
      </w:r>
      <w:r w:rsidRPr="00B15C52">
        <w:rPr>
          <w:rFonts w:asciiTheme="minorHAnsi" w:hAnsiTheme="minorHAnsi"/>
          <w:sz w:val="24"/>
          <w:lang w:val="pl-PL"/>
        </w:rPr>
        <w:t xml:space="preserve">nie prowadzi automatycznie do stwierdzenia braku naruszenia art. 5 ust. 1, </w:t>
      </w:r>
      <w:r>
        <w:rPr>
          <w:rFonts w:asciiTheme="minorHAnsi" w:hAnsiTheme="minorHAnsi"/>
          <w:sz w:val="24"/>
          <w:lang w:val="pl-PL"/>
        </w:rPr>
        <w:t>chociaż</w:t>
      </w:r>
      <w:r w:rsidRPr="00B15C52">
        <w:rPr>
          <w:rFonts w:asciiTheme="minorHAnsi" w:hAnsiTheme="minorHAnsi"/>
          <w:sz w:val="24"/>
          <w:lang w:val="pl-PL"/>
        </w:rPr>
        <w:t xml:space="preserve"> stwierdzenie naruszenia art. 3 z uwagi na brak odpowiedniego leczenia może skutkować również stwierdzeniem, że z tych samych powodów doszło do naruszenia art. 5 ust. 1. </w:t>
      </w:r>
    </w:p>
    <w:p w14:paraId="725624A4" w14:textId="77777777" w:rsidR="00950534" w:rsidRDefault="00950534" w:rsidP="00950534">
      <w:pPr>
        <w:pStyle w:val="ClinContent"/>
        <w:widowControl w:val="0"/>
        <w:spacing w:before="0"/>
        <w:rPr>
          <w:rFonts w:asciiTheme="minorHAnsi" w:hAnsiTheme="minorHAnsi"/>
          <w:sz w:val="24"/>
          <w:lang w:val="pl-PL"/>
        </w:rPr>
      </w:pPr>
    </w:p>
    <w:p w14:paraId="6DC8939F" w14:textId="7B83D389"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Co prawda art. 5 ust. 1 lit. e </w:t>
      </w:r>
      <w:r>
        <w:rPr>
          <w:rFonts w:asciiTheme="minorHAnsi" w:hAnsiTheme="minorHAnsi"/>
          <w:sz w:val="24"/>
          <w:lang w:val="pl-PL"/>
        </w:rPr>
        <w:t xml:space="preserve">Konwencji </w:t>
      </w:r>
      <w:r w:rsidRPr="00B15C52">
        <w:rPr>
          <w:rFonts w:asciiTheme="minorHAnsi" w:hAnsiTheme="minorHAnsi"/>
          <w:sz w:val="24"/>
          <w:lang w:val="pl-PL"/>
        </w:rPr>
        <w:t xml:space="preserve">nie gwarantuje osobie przymusowo umieszczonej </w:t>
      </w:r>
      <w:r w:rsidRPr="0049503D">
        <w:rPr>
          <w:rFonts w:asciiTheme="minorHAnsi" w:hAnsiTheme="minorHAnsi"/>
          <w:sz w:val="24"/>
          <w:lang w:val="pl-PL"/>
        </w:rPr>
        <w:t>w</w:t>
      </w:r>
      <w:r w:rsidR="00092E2B">
        <w:rPr>
          <w:rFonts w:asciiTheme="minorHAnsi" w:hAnsiTheme="minorHAnsi"/>
          <w:sz w:val="24"/>
          <w:lang w:val="pl-PL"/>
        </w:rPr>
        <w:t> </w:t>
      </w:r>
      <w:r w:rsidRPr="0049503D">
        <w:rPr>
          <w:rFonts w:asciiTheme="minorHAnsi" w:hAnsiTheme="minorHAnsi"/>
          <w:sz w:val="24"/>
          <w:lang w:val="pl-PL"/>
        </w:rPr>
        <w:t xml:space="preserve">odosobnieniu </w:t>
      </w:r>
      <w:r w:rsidRPr="00B15C52">
        <w:rPr>
          <w:rFonts w:asciiTheme="minorHAnsi" w:hAnsiTheme="minorHAnsi"/>
          <w:sz w:val="24"/>
          <w:lang w:val="pl-PL"/>
        </w:rPr>
        <w:t xml:space="preserve">prawa do otrzymywania leczenia w języku, w którym mówi, </w:t>
      </w:r>
      <w:r>
        <w:rPr>
          <w:rFonts w:asciiTheme="minorHAnsi" w:hAnsiTheme="minorHAnsi"/>
          <w:sz w:val="24"/>
          <w:lang w:val="pl-PL"/>
        </w:rPr>
        <w:t xml:space="preserve">to jednak </w:t>
      </w:r>
      <w:r w:rsidRPr="00B15C52">
        <w:rPr>
          <w:rFonts w:asciiTheme="minorHAnsi" w:hAnsiTheme="minorHAnsi"/>
          <w:sz w:val="24"/>
          <w:lang w:val="pl-PL"/>
        </w:rPr>
        <w:t xml:space="preserve">potrzeba spersonalizowanego i odpowiedniego leczenia osób przymusowo umieszczonych </w:t>
      </w:r>
      <w:r w:rsidRPr="0049503D">
        <w:rPr>
          <w:rFonts w:asciiTheme="minorHAnsi" w:hAnsiTheme="minorHAnsi"/>
          <w:sz w:val="24"/>
          <w:lang w:val="pl-PL"/>
        </w:rPr>
        <w:t>w</w:t>
      </w:r>
      <w:r w:rsidR="00092E2B">
        <w:rPr>
          <w:rFonts w:asciiTheme="minorHAnsi" w:hAnsiTheme="minorHAnsi"/>
          <w:sz w:val="24"/>
          <w:lang w:val="pl-PL"/>
        </w:rPr>
        <w:t> </w:t>
      </w:r>
      <w:r w:rsidRPr="0049503D">
        <w:rPr>
          <w:rFonts w:asciiTheme="minorHAnsi" w:hAnsiTheme="minorHAnsi"/>
          <w:sz w:val="24"/>
          <w:lang w:val="pl-PL"/>
        </w:rPr>
        <w:t xml:space="preserve">odosobnieniu </w:t>
      </w:r>
      <w:r w:rsidRPr="00B15C52">
        <w:rPr>
          <w:rFonts w:asciiTheme="minorHAnsi" w:hAnsiTheme="minorHAnsi"/>
          <w:sz w:val="24"/>
          <w:lang w:val="pl-PL"/>
        </w:rPr>
        <w:t xml:space="preserve">została podkreślona w </w:t>
      </w:r>
      <w:hyperlink r:id="rId34" w:history="1">
        <w:r w:rsidRPr="00B15C52">
          <w:rPr>
            <w:rStyle w:val="Hipercze"/>
            <w:rFonts w:asciiTheme="minorHAnsi" w:hAnsiTheme="minorHAnsi"/>
            <w:sz w:val="24"/>
            <w:lang w:val="pl-PL"/>
          </w:rPr>
          <w:t>Konwencji Narodów Zjednoczonych o prawach osób niepełnosprawnych</w:t>
        </w:r>
        <w:r w:rsidRPr="00B15C52">
          <w:rPr>
            <w:rFonts w:asciiTheme="minorHAnsi" w:hAnsiTheme="minorHAnsi"/>
            <w:sz w:val="24"/>
            <w:lang w:val="pl-PL"/>
          </w:rPr>
          <w:t xml:space="preserve"> z 2006 r., a także</w:t>
        </w:r>
        <w:r>
          <w:rPr>
            <w:rFonts w:asciiTheme="minorHAnsi" w:hAnsiTheme="minorHAnsi"/>
            <w:sz w:val="24"/>
            <w:lang w:val="pl-PL"/>
          </w:rPr>
          <w:t xml:space="preserve"> </w:t>
        </w:r>
        <w:r w:rsidRPr="00B15C52">
          <w:rPr>
            <w:rFonts w:asciiTheme="minorHAnsi" w:hAnsiTheme="minorHAnsi"/>
            <w:sz w:val="24"/>
            <w:lang w:val="pl-PL"/>
          </w:rPr>
          <w:t>w</w:t>
        </w:r>
      </w:hyperlink>
      <w:r w:rsidRPr="00B15C52">
        <w:rPr>
          <w:rFonts w:asciiTheme="minorHAnsi" w:hAnsiTheme="minorHAnsi"/>
          <w:sz w:val="24"/>
          <w:lang w:val="pl-PL"/>
        </w:rPr>
        <w:t xml:space="preserve"> Zaleceniu </w:t>
      </w:r>
      <w:hyperlink r:id="rId35" w:history="1">
        <w:r w:rsidRPr="00B15C52">
          <w:rPr>
            <w:rStyle w:val="Hipercze"/>
            <w:rFonts w:asciiTheme="minorHAnsi" w:hAnsiTheme="minorHAnsi"/>
            <w:sz w:val="24"/>
            <w:lang w:val="pl-PL"/>
          </w:rPr>
          <w:t>Rec(2004)10</w:t>
        </w:r>
      </w:hyperlink>
      <w:r w:rsidRPr="00B15C52">
        <w:rPr>
          <w:rFonts w:asciiTheme="minorHAnsi" w:hAnsiTheme="minorHAnsi"/>
          <w:sz w:val="24"/>
          <w:lang w:val="pl-PL"/>
        </w:rPr>
        <w:t xml:space="preserve"> Komitetu Ministrów dla</w:t>
      </w:r>
      <w:r w:rsidR="00092E2B">
        <w:rPr>
          <w:rFonts w:asciiTheme="minorHAnsi" w:hAnsiTheme="minorHAnsi"/>
          <w:sz w:val="24"/>
          <w:lang w:val="pl-PL"/>
        </w:rPr>
        <w:t> </w:t>
      </w:r>
      <w:r w:rsidRPr="00B15C52">
        <w:rPr>
          <w:rFonts w:asciiTheme="minorHAnsi" w:hAnsiTheme="minorHAnsi"/>
          <w:sz w:val="24"/>
          <w:lang w:val="pl-PL"/>
        </w:rPr>
        <w:t>państw członkowskich w sprawie ochrony praw człowieka oraz godności osób z</w:t>
      </w:r>
      <w:r w:rsidR="00092E2B">
        <w:rPr>
          <w:rFonts w:asciiTheme="minorHAnsi" w:hAnsiTheme="minorHAnsi"/>
          <w:sz w:val="24"/>
          <w:lang w:val="pl-PL"/>
        </w:rPr>
        <w:t> </w:t>
      </w:r>
      <w:r w:rsidRPr="00B15C52">
        <w:rPr>
          <w:rFonts w:asciiTheme="minorHAnsi" w:hAnsiTheme="minorHAnsi"/>
          <w:sz w:val="24"/>
          <w:lang w:val="pl-PL"/>
        </w:rPr>
        <w:t>zaburzeniami psychicznymi</w:t>
      </w:r>
      <w:r w:rsidRPr="00B15C52">
        <w:rPr>
          <w:rStyle w:val="Odwoanieprzypisudolnego"/>
          <w:rFonts w:asciiTheme="minorHAnsi" w:eastAsiaTheme="minorEastAsia" w:hAnsiTheme="minorHAnsi"/>
          <w:sz w:val="24"/>
          <w:lang w:val="pl-PL"/>
        </w:rPr>
        <w:footnoteReference w:id="19"/>
      </w:r>
      <w:r>
        <w:rPr>
          <w:rFonts w:asciiTheme="minorHAnsi" w:hAnsiTheme="minorHAnsi"/>
          <w:sz w:val="24"/>
          <w:lang w:val="pl-PL"/>
        </w:rPr>
        <w:t xml:space="preserve">. Zalecenie to </w:t>
      </w:r>
      <w:r w:rsidRPr="00B15C52">
        <w:rPr>
          <w:rFonts w:asciiTheme="minorHAnsi" w:hAnsiTheme="minorHAnsi"/>
          <w:sz w:val="24"/>
          <w:lang w:val="pl-PL"/>
        </w:rPr>
        <w:t xml:space="preserve">w szczególności </w:t>
      </w:r>
      <w:r>
        <w:rPr>
          <w:rFonts w:asciiTheme="minorHAnsi" w:hAnsiTheme="minorHAnsi"/>
          <w:sz w:val="24"/>
          <w:lang w:val="pl-PL"/>
        </w:rPr>
        <w:t xml:space="preserve">rekomenduje </w:t>
      </w:r>
      <w:r w:rsidRPr="00B15C52">
        <w:rPr>
          <w:rFonts w:asciiTheme="minorHAnsi" w:hAnsiTheme="minorHAnsi"/>
          <w:sz w:val="24"/>
          <w:lang w:val="pl-PL"/>
        </w:rPr>
        <w:t>opracowanie odpowiedniego spersonalizowanego planu leczenia po konsultacji (w możliwym zakresie) z</w:t>
      </w:r>
      <w:r w:rsidR="00092E2B">
        <w:rPr>
          <w:rFonts w:asciiTheme="minorHAnsi" w:hAnsiTheme="minorHAnsi"/>
          <w:sz w:val="24"/>
          <w:lang w:val="pl-PL"/>
        </w:rPr>
        <w:t> </w:t>
      </w:r>
      <w:r w:rsidRPr="00B15C52">
        <w:rPr>
          <w:rFonts w:asciiTheme="minorHAnsi" w:hAnsiTheme="minorHAnsi"/>
          <w:sz w:val="24"/>
          <w:lang w:val="pl-PL"/>
        </w:rPr>
        <w:t>osobą zainteresowaną. Naturalne jest uwzględnianie czynnika języka umożliwiającego uzyskanie przez daną osobę niezbędnych informacji na temat jej leczenia (brak tego może zwiększyć wrażliwość tej osoby)</w:t>
      </w:r>
      <w:r>
        <w:rPr>
          <w:rStyle w:val="Odwoanieprzypisudolnego"/>
          <w:rFonts w:asciiTheme="minorHAnsi" w:hAnsiTheme="minorHAnsi"/>
          <w:sz w:val="24"/>
          <w:lang w:val="pl-PL"/>
        </w:rPr>
        <w:footnoteReference w:id="20"/>
      </w:r>
      <w:r w:rsidRPr="00B15C52">
        <w:rPr>
          <w:rFonts w:asciiTheme="minorHAnsi" w:hAnsiTheme="minorHAnsi"/>
          <w:sz w:val="24"/>
          <w:lang w:val="pl-PL"/>
        </w:rPr>
        <w:t>.</w:t>
      </w:r>
    </w:p>
    <w:p w14:paraId="42D43844" w14:textId="77777777" w:rsidR="00950534" w:rsidRDefault="00950534" w:rsidP="00950534">
      <w:pPr>
        <w:pStyle w:val="ClinContent"/>
        <w:widowControl w:val="0"/>
        <w:spacing w:before="0"/>
        <w:rPr>
          <w:rFonts w:asciiTheme="minorHAnsi" w:hAnsiTheme="minorHAnsi"/>
          <w:sz w:val="24"/>
          <w:lang w:val="pl-PL"/>
        </w:rPr>
      </w:pPr>
    </w:p>
    <w:p w14:paraId="627F6C22" w14:textId="77777777" w:rsidR="00950534" w:rsidRDefault="00950534" w:rsidP="00950534">
      <w:pPr>
        <w:pStyle w:val="ClinContent"/>
        <w:widowControl w:val="0"/>
        <w:spacing w:before="0"/>
        <w:rPr>
          <w:rFonts w:asciiTheme="minorHAnsi" w:hAnsiTheme="minorHAnsi"/>
          <w:sz w:val="24"/>
          <w:lang w:val="pl-PL"/>
        </w:rPr>
      </w:pPr>
      <w:r w:rsidRPr="00845351">
        <w:rPr>
          <w:rFonts w:asciiTheme="minorHAnsi" w:hAnsiTheme="minorHAnsi"/>
          <w:i/>
          <w:sz w:val="24"/>
          <w:u w:val="single"/>
          <w:lang w:val="pl-PL"/>
        </w:rPr>
        <w:t xml:space="preserve">Stosując powyższe zasady ogólne w </w:t>
      </w:r>
      <w:r>
        <w:rPr>
          <w:rFonts w:asciiTheme="minorHAnsi" w:hAnsiTheme="minorHAnsi"/>
          <w:i/>
          <w:sz w:val="24"/>
          <w:u w:val="single"/>
          <w:lang w:val="pl-PL"/>
        </w:rPr>
        <w:t>omawianej sp</w:t>
      </w:r>
      <w:r w:rsidRPr="00845351">
        <w:rPr>
          <w:rFonts w:asciiTheme="minorHAnsi" w:hAnsiTheme="minorHAnsi"/>
          <w:i/>
          <w:sz w:val="24"/>
          <w:u w:val="single"/>
          <w:lang w:val="pl-PL"/>
        </w:rPr>
        <w:t>rawie,</w:t>
      </w:r>
      <w:r>
        <w:rPr>
          <w:rFonts w:asciiTheme="minorHAnsi" w:hAnsiTheme="minorHAnsi"/>
          <w:i/>
          <w:sz w:val="24"/>
          <w:lang w:val="pl-PL"/>
        </w:rPr>
        <w:t xml:space="preserve"> </w:t>
      </w:r>
      <w:r>
        <w:rPr>
          <w:rFonts w:asciiTheme="minorHAnsi" w:hAnsiTheme="minorHAnsi"/>
          <w:sz w:val="24"/>
          <w:lang w:val="pl-PL"/>
        </w:rPr>
        <w:t>Trybunał ponownie dokonał rozróżnienia sytuacji skarżącego na dwa okresy.</w:t>
      </w:r>
    </w:p>
    <w:p w14:paraId="4D642F9D" w14:textId="77777777" w:rsidR="00950534" w:rsidRDefault="00950534" w:rsidP="00950534">
      <w:pPr>
        <w:pStyle w:val="ClinContent"/>
        <w:widowControl w:val="0"/>
        <w:spacing w:before="0"/>
        <w:rPr>
          <w:rFonts w:asciiTheme="minorHAnsi" w:hAnsiTheme="minorHAnsi"/>
          <w:sz w:val="24"/>
          <w:lang w:val="pl-PL"/>
        </w:rPr>
      </w:pPr>
    </w:p>
    <w:p w14:paraId="17837D05" w14:textId="2A0DFF81"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t>
      </w:r>
      <w:r>
        <w:rPr>
          <w:rFonts w:asciiTheme="minorHAnsi" w:hAnsiTheme="minorHAnsi"/>
          <w:sz w:val="24"/>
          <w:lang w:val="pl-PL"/>
        </w:rPr>
        <w:t xml:space="preserve"> </w:t>
      </w:r>
      <w:r w:rsidRPr="00B15C52">
        <w:rPr>
          <w:rFonts w:asciiTheme="minorHAnsi" w:hAnsiTheme="minorHAnsi"/>
          <w:i/>
          <w:sz w:val="24"/>
          <w:lang w:val="pl-PL"/>
        </w:rPr>
        <w:t xml:space="preserve">Okres od 2004 r. do 2017 r. – </w:t>
      </w:r>
      <w:r w:rsidRPr="00B15C52">
        <w:rPr>
          <w:rFonts w:asciiTheme="minorHAnsi" w:hAnsiTheme="minorHAnsi"/>
          <w:sz w:val="24"/>
          <w:lang w:val="pl-PL"/>
        </w:rPr>
        <w:t>Chociaż język niemiecki ma status języka urzędowego w</w:t>
      </w:r>
      <w:r w:rsidR="00092E2B">
        <w:rPr>
          <w:rFonts w:asciiTheme="minorHAnsi" w:hAnsiTheme="minorHAnsi"/>
          <w:sz w:val="24"/>
          <w:lang w:val="pl-PL"/>
        </w:rPr>
        <w:t> </w:t>
      </w:r>
      <w:r w:rsidRPr="00B15C52">
        <w:rPr>
          <w:rFonts w:asciiTheme="minorHAnsi" w:hAnsiTheme="minorHAnsi"/>
          <w:sz w:val="24"/>
          <w:lang w:val="pl-PL"/>
        </w:rPr>
        <w:t xml:space="preserve">Belgii, nie mówi się nim często w regionie, w którym znajdowała się przedmiotowa instytucja. Ponadto ustawodawstwo, które miało zastosowanie, nie wymagało, by tego typu instytucja zatrudniała dwujęzyczny personel mówiący w języku francuskim i niemieckim. </w:t>
      </w:r>
    </w:p>
    <w:p w14:paraId="2A5FDA45" w14:textId="77777777" w:rsidR="00950534" w:rsidRDefault="00950534" w:rsidP="00950534">
      <w:pPr>
        <w:pStyle w:val="ClinContent"/>
        <w:widowControl w:val="0"/>
        <w:spacing w:before="0"/>
        <w:rPr>
          <w:rFonts w:asciiTheme="minorHAnsi" w:hAnsiTheme="minorHAnsi"/>
          <w:sz w:val="24"/>
          <w:lang w:val="pl-PL"/>
        </w:rPr>
      </w:pPr>
    </w:p>
    <w:p w14:paraId="3A455E69" w14:textId="6B0D47BA"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przypomniał, że p</w:t>
      </w:r>
      <w:r w:rsidRPr="00B15C52">
        <w:rPr>
          <w:rFonts w:asciiTheme="minorHAnsi" w:hAnsiTheme="minorHAnsi"/>
          <w:sz w:val="24"/>
          <w:lang w:val="pl-PL"/>
        </w:rPr>
        <w:t>rawo skarżącego do mówienia, bycia rozumianym i otrzymywania leczenia w tym języku zostało jednak wyraźnie uznane przez radę opieki społecznej w</w:t>
      </w:r>
      <w:r w:rsidR="00092E2B">
        <w:rPr>
          <w:rFonts w:asciiTheme="minorHAnsi" w:hAnsiTheme="minorHAnsi"/>
          <w:sz w:val="24"/>
          <w:lang w:val="pl-PL"/>
        </w:rPr>
        <w:t> </w:t>
      </w:r>
      <w:r w:rsidRPr="00B15C52">
        <w:rPr>
          <w:rFonts w:asciiTheme="minorHAnsi" w:hAnsiTheme="minorHAnsi"/>
          <w:sz w:val="24"/>
          <w:lang w:val="pl-PL"/>
        </w:rPr>
        <w:t>2009</w:t>
      </w:r>
      <w:r w:rsidR="00092E2B">
        <w:rPr>
          <w:rFonts w:asciiTheme="minorHAnsi" w:hAnsiTheme="minorHAnsi"/>
          <w:sz w:val="24"/>
          <w:lang w:val="pl-PL"/>
        </w:rPr>
        <w:t> </w:t>
      </w:r>
      <w:r w:rsidRPr="00B15C52">
        <w:rPr>
          <w:rFonts w:asciiTheme="minorHAnsi" w:hAnsiTheme="minorHAnsi"/>
          <w:sz w:val="24"/>
          <w:lang w:val="pl-PL"/>
        </w:rPr>
        <w:t xml:space="preserve">r., </w:t>
      </w:r>
      <w:r>
        <w:rPr>
          <w:rFonts w:asciiTheme="minorHAnsi" w:hAnsiTheme="minorHAnsi"/>
          <w:sz w:val="24"/>
          <w:lang w:val="pl-PL"/>
        </w:rPr>
        <w:t>chociaż,</w:t>
      </w:r>
      <w:r w:rsidRPr="00B15C52">
        <w:rPr>
          <w:rFonts w:asciiTheme="minorHAnsi" w:hAnsiTheme="minorHAnsi"/>
          <w:sz w:val="24"/>
          <w:lang w:val="pl-PL"/>
        </w:rPr>
        <w:t xml:space="preserve"> </w:t>
      </w:r>
      <w:r>
        <w:rPr>
          <w:rFonts w:asciiTheme="minorHAnsi" w:hAnsiTheme="minorHAnsi"/>
          <w:sz w:val="24"/>
          <w:lang w:val="pl-PL"/>
        </w:rPr>
        <w:t xml:space="preserve">jak się </w:t>
      </w:r>
      <w:r w:rsidRPr="00B15C52">
        <w:rPr>
          <w:rFonts w:asciiTheme="minorHAnsi" w:hAnsiTheme="minorHAnsi"/>
          <w:sz w:val="24"/>
          <w:lang w:val="pl-PL"/>
        </w:rPr>
        <w:t>wydaje się, zgodziła się ona następnie z poglądem, że aspekt ten nie był decydujący dla postępu</w:t>
      </w:r>
      <w:r>
        <w:rPr>
          <w:rFonts w:asciiTheme="minorHAnsi" w:hAnsiTheme="minorHAnsi"/>
          <w:sz w:val="24"/>
          <w:lang w:val="pl-PL"/>
        </w:rPr>
        <w:t xml:space="preserve"> skarżącego i </w:t>
      </w:r>
      <w:r w:rsidRPr="00B15C52">
        <w:rPr>
          <w:rFonts w:asciiTheme="minorHAnsi" w:hAnsiTheme="minorHAnsi"/>
          <w:sz w:val="24"/>
          <w:lang w:val="pl-PL"/>
        </w:rPr>
        <w:t xml:space="preserve">odmówiła wydania nakazów lub upomnienia władz. </w:t>
      </w:r>
    </w:p>
    <w:p w14:paraId="1243B7B7" w14:textId="77777777" w:rsidR="00950534" w:rsidRDefault="00950534" w:rsidP="00950534">
      <w:pPr>
        <w:pStyle w:val="ClinContent"/>
        <w:widowControl w:val="0"/>
        <w:spacing w:before="0"/>
        <w:rPr>
          <w:rFonts w:asciiTheme="minorHAnsi" w:hAnsiTheme="minorHAnsi"/>
          <w:sz w:val="24"/>
          <w:lang w:val="pl-PL"/>
        </w:rPr>
      </w:pPr>
    </w:p>
    <w:p w14:paraId="4AEBAB97" w14:textId="470F624C"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Trybunał </w:t>
      </w:r>
      <w:r>
        <w:rPr>
          <w:rFonts w:asciiTheme="minorHAnsi" w:hAnsiTheme="minorHAnsi"/>
          <w:sz w:val="24"/>
          <w:lang w:val="pl-PL"/>
        </w:rPr>
        <w:t xml:space="preserve">wyjaśnił, że </w:t>
      </w:r>
      <w:r w:rsidRPr="00B15C52">
        <w:rPr>
          <w:rFonts w:asciiTheme="minorHAnsi" w:hAnsiTheme="minorHAnsi"/>
          <w:sz w:val="24"/>
          <w:lang w:val="pl-PL"/>
        </w:rPr>
        <w:t xml:space="preserve">nie może spekulować, jakie byłyby rezultaty leczenia w języku niemieckim, musi się </w:t>
      </w:r>
      <w:r>
        <w:rPr>
          <w:rFonts w:asciiTheme="minorHAnsi" w:hAnsiTheme="minorHAnsi"/>
          <w:sz w:val="24"/>
          <w:lang w:val="pl-PL"/>
        </w:rPr>
        <w:t xml:space="preserve">on </w:t>
      </w:r>
      <w:r w:rsidRPr="00B15C52">
        <w:rPr>
          <w:rFonts w:asciiTheme="minorHAnsi" w:hAnsiTheme="minorHAnsi"/>
          <w:sz w:val="24"/>
          <w:lang w:val="pl-PL"/>
        </w:rPr>
        <w:t xml:space="preserve">ograniczyć do stwierdzenia braku takiego leczenia. </w:t>
      </w:r>
      <w:r>
        <w:rPr>
          <w:rFonts w:asciiTheme="minorHAnsi" w:hAnsiTheme="minorHAnsi"/>
          <w:sz w:val="24"/>
          <w:lang w:val="pl-PL"/>
        </w:rPr>
        <w:t>Podkreślił też, że</w:t>
      </w:r>
      <w:r w:rsidR="00277D0F">
        <w:rPr>
          <w:rFonts w:asciiTheme="minorHAnsi" w:hAnsiTheme="minorHAnsi"/>
          <w:sz w:val="24"/>
          <w:lang w:val="pl-PL"/>
        </w:rPr>
        <w:t> </w:t>
      </w:r>
      <w:r w:rsidRPr="00B15C52">
        <w:rPr>
          <w:rFonts w:asciiTheme="minorHAnsi" w:hAnsiTheme="minorHAnsi"/>
          <w:sz w:val="24"/>
          <w:lang w:val="pl-PL"/>
        </w:rPr>
        <w:t xml:space="preserve">ewentualność, że dana osoba nie może zostać wyleczona, nie zmniejsza obowiązku zapewnienia leczenia. </w:t>
      </w:r>
    </w:p>
    <w:p w14:paraId="4E229DF7" w14:textId="77777777" w:rsidR="00950534" w:rsidRDefault="00950534" w:rsidP="00950534">
      <w:pPr>
        <w:pStyle w:val="ClinContent"/>
        <w:widowControl w:val="0"/>
        <w:spacing w:before="0"/>
        <w:rPr>
          <w:rFonts w:asciiTheme="minorHAnsi" w:hAnsiTheme="minorHAnsi"/>
          <w:sz w:val="24"/>
          <w:lang w:val="pl-PL"/>
        </w:rPr>
      </w:pPr>
    </w:p>
    <w:p w14:paraId="2112EBF7" w14:textId="66C621D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Mając na względzie wnioski skarżącego o leczenie i zwolnienie, do władz należało znalezienie sposobu przezwyciężenia impasu wynikającego z kwestii komunikacji między skarżącym a</w:t>
      </w:r>
      <w:r w:rsidR="00092E2B">
        <w:rPr>
          <w:rFonts w:asciiTheme="minorHAnsi" w:hAnsiTheme="minorHAnsi"/>
          <w:sz w:val="24"/>
          <w:lang w:val="pl-PL"/>
        </w:rPr>
        <w:t> </w:t>
      </w:r>
      <w:r w:rsidRPr="00B15C52">
        <w:rPr>
          <w:rFonts w:asciiTheme="minorHAnsi" w:hAnsiTheme="minorHAnsi"/>
          <w:sz w:val="24"/>
          <w:lang w:val="pl-PL"/>
        </w:rPr>
        <w:t>osobami świadczącymi opiekę zdrowotną. Nie jest zadaniem Trybunału wydawanie ogólnych rozstrzygnięć co do rodzajów rozwiązań, które mogły</w:t>
      </w:r>
      <w:r>
        <w:rPr>
          <w:rFonts w:asciiTheme="minorHAnsi" w:hAnsiTheme="minorHAnsi"/>
          <w:sz w:val="24"/>
          <w:lang w:val="pl-PL"/>
        </w:rPr>
        <w:t>by</w:t>
      </w:r>
      <w:r w:rsidRPr="00B15C52">
        <w:rPr>
          <w:rFonts w:asciiTheme="minorHAnsi" w:hAnsiTheme="minorHAnsi"/>
          <w:sz w:val="24"/>
          <w:lang w:val="pl-PL"/>
        </w:rPr>
        <w:t xml:space="preserve"> być uznane </w:t>
      </w:r>
      <w:r w:rsidRPr="00B15C52">
        <w:rPr>
          <w:rFonts w:asciiTheme="minorHAnsi" w:hAnsiTheme="minorHAnsi"/>
          <w:sz w:val="24"/>
          <w:lang w:val="pl-PL"/>
        </w:rPr>
        <w:lastRenderedPageBreak/>
        <w:t>za</w:t>
      </w:r>
      <w:r w:rsidR="00092E2B">
        <w:rPr>
          <w:rFonts w:asciiTheme="minorHAnsi" w:hAnsiTheme="minorHAnsi"/>
          <w:sz w:val="24"/>
          <w:lang w:val="pl-PL"/>
        </w:rPr>
        <w:t> </w:t>
      </w:r>
      <w:r w:rsidRPr="00B15C52">
        <w:rPr>
          <w:rFonts w:asciiTheme="minorHAnsi" w:hAnsiTheme="minorHAnsi"/>
          <w:sz w:val="24"/>
          <w:lang w:val="pl-PL"/>
        </w:rPr>
        <w:t xml:space="preserve">wystarczające: wybór ten wchodził w zakres marginesu oceny władz. </w:t>
      </w:r>
    </w:p>
    <w:p w14:paraId="6DF33766" w14:textId="77777777" w:rsidR="00950534" w:rsidRDefault="00950534" w:rsidP="00950534">
      <w:pPr>
        <w:pStyle w:val="ClinContent"/>
        <w:widowControl w:val="0"/>
        <w:spacing w:before="0"/>
        <w:rPr>
          <w:rFonts w:asciiTheme="minorHAnsi" w:hAnsiTheme="minorHAnsi"/>
          <w:sz w:val="24"/>
          <w:lang w:val="pl-PL"/>
        </w:rPr>
      </w:pPr>
    </w:p>
    <w:p w14:paraId="26A127A3" w14:textId="2F6B01C0"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w:t>
      </w:r>
      <w:r>
        <w:rPr>
          <w:rFonts w:asciiTheme="minorHAnsi" w:hAnsiTheme="minorHAnsi"/>
          <w:sz w:val="24"/>
          <w:lang w:val="pl-PL"/>
        </w:rPr>
        <w:t>omawianej sp</w:t>
      </w:r>
      <w:r w:rsidRPr="00B15C52">
        <w:rPr>
          <w:rFonts w:asciiTheme="minorHAnsi" w:hAnsiTheme="minorHAnsi"/>
          <w:sz w:val="24"/>
          <w:lang w:val="pl-PL"/>
        </w:rPr>
        <w:t xml:space="preserve">rawie środki sporadycznie podejmowane przez władze nie </w:t>
      </w:r>
      <w:r>
        <w:rPr>
          <w:rFonts w:asciiTheme="minorHAnsi" w:hAnsiTheme="minorHAnsi"/>
          <w:sz w:val="24"/>
          <w:lang w:val="pl-PL"/>
        </w:rPr>
        <w:t>stanowiły integralnej części</w:t>
      </w:r>
      <w:r w:rsidRPr="00B15C52">
        <w:rPr>
          <w:rFonts w:asciiTheme="minorHAnsi" w:hAnsiTheme="minorHAnsi"/>
          <w:sz w:val="24"/>
          <w:lang w:val="pl-PL"/>
        </w:rPr>
        <w:t xml:space="preserve"> żadnej ścieżki opieki terapeutycznej lub leczenia. Władze badały możliwość leczenia skarżącego w Niemczech, ale brak jest informacji na temat wyników tych wysiłków. W samej Belgii przezwyciężenie problemu dotyczącego użycia języka niemieckiego nie</w:t>
      </w:r>
      <w:r w:rsidR="00092E2B">
        <w:rPr>
          <w:rFonts w:asciiTheme="minorHAnsi" w:hAnsiTheme="minorHAnsi"/>
          <w:sz w:val="24"/>
          <w:lang w:val="pl-PL"/>
        </w:rPr>
        <w:t> </w:t>
      </w:r>
      <w:r w:rsidRPr="00B15C52">
        <w:rPr>
          <w:rFonts w:asciiTheme="minorHAnsi" w:hAnsiTheme="minorHAnsi"/>
          <w:sz w:val="24"/>
          <w:lang w:val="pl-PL"/>
        </w:rPr>
        <w:t xml:space="preserve">wydawało się jednak nierealne, zważywszy że jest to jeden z języków urzędowych tego kraju. </w:t>
      </w:r>
    </w:p>
    <w:p w14:paraId="0F7A5B21" w14:textId="77777777" w:rsidR="00950534" w:rsidRDefault="00950534" w:rsidP="00950534">
      <w:pPr>
        <w:pStyle w:val="ClinContent"/>
        <w:widowControl w:val="0"/>
        <w:spacing w:before="0"/>
        <w:rPr>
          <w:rFonts w:asciiTheme="minorHAnsi" w:hAnsiTheme="minorHAnsi"/>
          <w:sz w:val="24"/>
          <w:lang w:val="pl-PL"/>
        </w:rPr>
      </w:pPr>
    </w:p>
    <w:p w14:paraId="6406BC54" w14:textId="1767B5FB"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 tej sytuacji Trybunał orzekł jednogłośnie, że doszło do naruszenia art. 5 ust. 1 Konwencji w</w:t>
      </w:r>
      <w:r w:rsidR="00092E2B">
        <w:rPr>
          <w:rFonts w:asciiTheme="minorHAnsi" w:hAnsiTheme="minorHAnsi"/>
          <w:sz w:val="24"/>
          <w:lang w:val="pl-PL"/>
        </w:rPr>
        <w:t> </w:t>
      </w:r>
      <w:r>
        <w:rPr>
          <w:rFonts w:asciiTheme="minorHAnsi" w:hAnsiTheme="minorHAnsi"/>
          <w:sz w:val="24"/>
          <w:lang w:val="pl-PL"/>
        </w:rPr>
        <w:t>pierwszym okresie pobytu skarżącego w instytucji z uwagi na fakt, że przebywał w</w:t>
      </w:r>
      <w:r w:rsidR="00092E2B">
        <w:rPr>
          <w:rFonts w:asciiTheme="minorHAnsi" w:hAnsiTheme="minorHAnsi"/>
          <w:sz w:val="24"/>
          <w:lang w:val="pl-PL"/>
        </w:rPr>
        <w:t> </w:t>
      </w:r>
      <w:r>
        <w:rPr>
          <w:rFonts w:asciiTheme="minorHAnsi" w:hAnsiTheme="minorHAnsi"/>
          <w:sz w:val="24"/>
          <w:lang w:val="pl-PL"/>
        </w:rPr>
        <w:t xml:space="preserve">nieodpowiedniej do tego instytucji, zdolnej do zapewnienia mu leczenia odpowiedniego do stanu jego zdrowia. </w:t>
      </w:r>
    </w:p>
    <w:p w14:paraId="7173DD52" w14:textId="77777777" w:rsidR="00950534" w:rsidRDefault="00950534" w:rsidP="00950534">
      <w:pPr>
        <w:pStyle w:val="ClinContent"/>
        <w:widowControl w:val="0"/>
        <w:spacing w:before="0"/>
        <w:rPr>
          <w:rFonts w:asciiTheme="minorHAnsi" w:hAnsiTheme="minorHAnsi"/>
          <w:sz w:val="24"/>
          <w:lang w:val="pl-PL"/>
        </w:rPr>
      </w:pPr>
    </w:p>
    <w:p w14:paraId="04FE87D5" w14:textId="72387C98"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t>
      </w:r>
      <w:r>
        <w:rPr>
          <w:rFonts w:asciiTheme="minorHAnsi" w:hAnsiTheme="minorHAnsi"/>
          <w:sz w:val="24"/>
          <w:lang w:val="pl-PL"/>
        </w:rPr>
        <w:t xml:space="preserve"> </w:t>
      </w:r>
      <w:r w:rsidRPr="00B15C52">
        <w:rPr>
          <w:rFonts w:asciiTheme="minorHAnsi" w:hAnsiTheme="minorHAnsi"/>
          <w:i/>
          <w:sz w:val="24"/>
          <w:lang w:val="pl-PL"/>
        </w:rPr>
        <w:t>Okres od sierpnia 2017 r. –</w:t>
      </w:r>
      <w:r>
        <w:rPr>
          <w:rFonts w:asciiTheme="minorHAnsi" w:hAnsiTheme="minorHAnsi"/>
          <w:i/>
          <w:sz w:val="24"/>
          <w:lang w:val="pl-PL"/>
        </w:rPr>
        <w:t xml:space="preserve"> </w:t>
      </w:r>
      <w:r w:rsidRPr="00B15C52">
        <w:rPr>
          <w:rFonts w:asciiTheme="minorHAnsi" w:hAnsiTheme="minorHAnsi"/>
          <w:sz w:val="24"/>
          <w:lang w:val="pl-PL"/>
        </w:rPr>
        <w:t>Z uwagi na</w:t>
      </w:r>
      <w:r w:rsidRPr="00B15C52">
        <w:rPr>
          <w:rFonts w:asciiTheme="minorHAnsi" w:hAnsiTheme="minorHAnsi"/>
          <w:i/>
          <w:sz w:val="24"/>
          <w:lang w:val="pl-PL"/>
        </w:rPr>
        <w:t xml:space="preserve"> </w:t>
      </w:r>
      <w:r w:rsidRPr="00B15C52">
        <w:rPr>
          <w:rFonts w:asciiTheme="minorHAnsi" w:hAnsiTheme="minorHAnsi"/>
          <w:sz w:val="24"/>
          <w:lang w:val="pl-PL"/>
        </w:rPr>
        <w:t>fakt, że skarżącego uznano za osobę zdolną do</w:t>
      </w:r>
      <w:r w:rsidR="00092E2B">
        <w:rPr>
          <w:rFonts w:asciiTheme="minorHAnsi" w:hAnsiTheme="minorHAnsi"/>
          <w:sz w:val="24"/>
          <w:lang w:val="pl-PL"/>
        </w:rPr>
        <w:t> </w:t>
      </w:r>
      <w:r w:rsidRPr="00B15C52">
        <w:rPr>
          <w:rFonts w:asciiTheme="minorHAnsi" w:hAnsiTheme="minorHAnsi"/>
          <w:sz w:val="24"/>
          <w:lang w:val="pl-PL"/>
        </w:rPr>
        <w:t>podejmowania własnych decyzji i wyrażania zgody, prawo krajowe zakazywało narzucania mu środków terapeutycznych wbrew jego woli. Z definicji jednak jego rozez</w:t>
      </w:r>
      <w:r>
        <w:rPr>
          <w:rFonts w:asciiTheme="minorHAnsi" w:hAnsiTheme="minorHAnsi"/>
          <w:sz w:val="24"/>
          <w:lang w:val="pl-PL"/>
        </w:rPr>
        <w:t xml:space="preserve">nanie było osłabione przez </w:t>
      </w:r>
      <w:r w:rsidRPr="00B15C52">
        <w:rPr>
          <w:rFonts w:asciiTheme="minorHAnsi" w:hAnsiTheme="minorHAnsi"/>
          <w:sz w:val="24"/>
          <w:lang w:val="pl-PL"/>
        </w:rPr>
        <w:t xml:space="preserve">zaburzenia psychologiczne, które zwiększały jego wrażliwość. </w:t>
      </w:r>
      <w:r>
        <w:rPr>
          <w:rFonts w:asciiTheme="minorHAnsi" w:hAnsiTheme="minorHAnsi"/>
          <w:sz w:val="24"/>
          <w:lang w:val="pl-PL"/>
        </w:rPr>
        <w:t>Trybunał był zdania, że obowiązkiem władz było podjęcie prób objęcia</w:t>
      </w:r>
      <w:r w:rsidRPr="00B15C52">
        <w:rPr>
          <w:rFonts w:asciiTheme="minorHAnsi" w:hAnsiTheme="minorHAnsi"/>
          <w:sz w:val="24"/>
          <w:lang w:val="pl-PL"/>
        </w:rPr>
        <w:t xml:space="preserve"> skarżącego</w:t>
      </w:r>
      <w:r>
        <w:rPr>
          <w:rFonts w:asciiTheme="minorHAnsi" w:hAnsiTheme="minorHAnsi"/>
          <w:sz w:val="24"/>
          <w:lang w:val="pl-PL"/>
        </w:rPr>
        <w:t xml:space="preserve">, na ile to było możliwe, </w:t>
      </w:r>
      <w:r w:rsidRPr="00B15C52">
        <w:rPr>
          <w:rFonts w:asciiTheme="minorHAnsi" w:hAnsiTheme="minorHAnsi"/>
          <w:sz w:val="24"/>
          <w:lang w:val="pl-PL"/>
        </w:rPr>
        <w:t>spersonalizowaną opieką zdrowotną będącą w stanie doprowadzić do poprawy stanu jego zdrowia.</w:t>
      </w:r>
      <w:r>
        <w:rPr>
          <w:rFonts w:asciiTheme="minorHAnsi" w:hAnsiTheme="minorHAnsi"/>
          <w:sz w:val="24"/>
          <w:lang w:val="pl-PL"/>
        </w:rPr>
        <w:t xml:space="preserve"> </w:t>
      </w:r>
    </w:p>
    <w:p w14:paraId="33AD9F5E" w14:textId="77777777" w:rsidR="00950534" w:rsidRDefault="00950534" w:rsidP="00950534">
      <w:pPr>
        <w:pStyle w:val="ClinContent"/>
        <w:widowControl w:val="0"/>
        <w:spacing w:before="0"/>
        <w:rPr>
          <w:rFonts w:asciiTheme="minorHAnsi" w:hAnsiTheme="minorHAnsi"/>
          <w:sz w:val="24"/>
          <w:lang w:val="pl-PL"/>
        </w:rPr>
      </w:pPr>
    </w:p>
    <w:p w14:paraId="26C79A57" w14:textId="2D71A90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w:t>
      </w:r>
      <w:r>
        <w:rPr>
          <w:rFonts w:asciiTheme="minorHAnsi" w:hAnsiTheme="minorHAnsi"/>
          <w:sz w:val="24"/>
          <w:lang w:val="pl-PL"/>
        </w:rPr>
        <w:t>omawianej sp</w:t>
      </w:r>
      <w:r w:rsidRPr="00B15C52">
        <w:rPr>
          <w:rFonts w:asciiTheme="minorHAnsi" w:hAnsiTheme="minorHAnsi"/>
          <w:sz w:val="24"/>
          <w:lang w:val="pl-PL"/>
        </w:rPr>
        <w:t xml:space="preserve">rawie władze przyjęły </w:t>
      </w:r>
      <w:r>
        <w:rPr>
          <w:rFonts w:asciiTheme="minorHAnsi" w:hAnsiTheme="minorHAnsi"/>
          <w:sz w:val="24"/>
          <w:lang w:val="pl-PL"/>
        </w:rPr>
        <w:t xml:space="preserve">podejście </w:t>
      </w:r>
      <w:r w:rsidRPr="00B15C52">
        <w:rPr>
          <w:rFonts w:asciiTheme="minorHAnsi" w:hAnsiTheme="minorHAnsi"/>
          <w:sz w:val="24"/>
          <w:lang w:val="pl-PL"/>
        </w:rPr>
        <w:t xml:space="preserve">multidyscyplinarne i </w:t>
      </w:r>
      <w:r>
        <w:rPr>
          <w:rFonts w:asciiTheme="minorHAnsi" w:hAnsiTheme="minorHAnsi"/>
          <w:sz w:val="24"/>
          <w:lang w:val="pl-PL"/>
        </w:rPr>
        <w:t>zapewniające – na</w:t>
      </w:r>
      <w:r w:rsidR="00092E2B">
        <w:rPr>
          <w:rFonts w:asciiTheme="minorHAnsi" w:hAnsiTheme="minorHAnsi"/>
          <w:sz w:val="24"/>
          <w:lang w:val="pl-PL"/>
        </w:rPr>
        <w:t> </w:t>
      </w:r>
      <w:r>
        <w:rPr>
          <w:rFonts w:asciiTheme="minorHAnsi" w:hAnsiTheme="minorHAnsi"/>
          <w:sz w:val="24"/>
          <w:lang w:val="pl-PL"/>
        </w:rPr>
        <w:t>pierwszy rzut oka – spójność</w:t>
      </w:r>
      <w:r w:rsidRPr="00B15C52">
        <w:rPr>
          <w:rFonts w:asciiTheme="minorHAnsi" w:hAnsiTheme="minorHAnsi"/>
          <w:sz w:val="24"/>
          <w:lang w:val="pl-PL"/>
        </w:rPr>
        <w:t xml:space="preserve"> </w:t>
      </w:r>
      <w:r>
        <w:rPr>
          <w:rFonts w:asciiTheme="minorHAnsi" w:hAnsiTheme="minorHAnsi"/>
          <w:sz w:val="24"/>
          <w:lang w:val="pl-PL"/>
        </w:rPr>
        <w:t>oraz współpracę między różnymi podmiotami</w:t>
      </w:r>
      <w:r w:rsidRPr="00B15C52">
        <w:rPr>
          <w:rFonts w:asciiTheme="minorHAnsi" w:hAnsiTheme="minorHAnsi"/>
          <w:sz w:val="24"/>
          <w:lang w:val="pl-PL"/>
        </w:rPr>
        <w:t>, próbując zapewnić skarżącemu „ścieżkę opieki” dostosowaną do jego szczególnych potrzeb komunikacyjnych i schorzenia. Szereg aktywności w języku niemieckim (udostępnienie niemieckojęzycznego psychiatry, psychologa i urzędnika opieki społecznej</w:t>
      </w:r>
      <w:r>
        <w:rPr>
          <w:rFonts w:asciiTheme="minorHAnsi" w:hAnsiTheme="minorHAnsi"/>
          <w:sz w:val="24"/>
          <w:lang w:val="pl-PL"/>
        </w:rPr>
        <w:t>, dostępność tłumacza</w:t>
      </w:r>
      <w:r w:rsidRPr="00B15C52">
        <w:rPr>
          <w:rFonts w:asciiTheme="minorHAnsi" w:hAnsiTheme="minorHAnsi"/>
          <w:sz w:val="24"/>
          <w:lang w:val="pl-PL"/>
        </w:rPr>
        <w:t xml:space="preserve">) mogło ułatwić komunikację i budowanie relacji zaufania. </w:t>
      </w:r>
    </w:p>
    <w:p w14:paraId="5278B021" w14:textId="77777777" w:rsidR="00950534" w:rsidRDefault="00950534" w:rsidP="00950534">
      <w:pPr>
        <w:pStyle w:val="ClinContent"/>
        <w:widowControl w:val="0"/>
        <w:spacing w:before="0"/>
        <w:rPr>
          <w:rFonts w:asciiTheme="minorHAnsi" w:hAnsiTheme="minorHAnsi"/>
          <w:sz w:val="24"/>
          <w:lang w:val="pl-PL"/>
        </w:rPr>
      </w:pPr>
    </w:p>
    <w:p w14:paraId="7B09C87D" w14:textId="4CFCF02A"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uznał też, że </w:t>
      </w:r>
      <w:r w:rsidRPr="00B15C52">
        <w:rPr>
          <w:rFonts w:asciiTheme="minorHAnsi" w:hAnsiTheme="minorHAnsi"/>
          <w:sz w:val="24"/>
          <w:lang w:val="pl-PL"/>
        </w:rPr>
        <w:t>rolą osobistego adwokata lub pełnomocnika skarżącego było, tam</w:t>
      </w:r>
      <w:r w:rsidR="00092E2B">
        <w:rPr>
          <w:rFonts w:asciiTheme="minorHAnsi" w:hAnsiTheme="minorHAnsi"/>
          <w:sz w:val="24"/>
          <w:lang w:val="pl-PL"/>
        </w:rPr>
        <w:t> </w:t>
      </w:r>
      <w:r w:rsidRPr="00B15C52">
        <w:rPr>
          <w:rFonts w:asciiTheme="minorHAnsi" w:hAnsiTheme="minorHAnsi"/>
          <w:sz w:val="24"/>
          <w:lang w:val="pl-PL"/>
        </w:rPr>
        <w:t>gdzie to właściwe, pomagać mu w wykonywaniu jego praw do wyrażenia zgody i</w:t>
      </w:r>
      <w:r w:rsidR="00092E2B">
        <w:rPr>
          <w:rFonts w:asciiTheme="minorHAnsi" w:hAnsiTheme="minorHAnsi"/>
          <w:sz w:val="24"/>
          <w:lang w:val="pl-PL"/>
        </w:rPr>
        <w:t> </w:t>
      </w:r>
      <w:r w:rsidRPr="00B15C52">
        <w:rPr>
          <w:rFonts w:asciiTheme="minorHAnsi" w:hAnsiTheme="minorHAnsi"/>
          <w:sz w:val="24"/>
          <w:lang w:val="pl-PL"/>
        </w:rPr>
        <w:t>korzystania z planu leczenia. Pomimo pomocy sw</w:t>
      </w:r>
      <w:r>
        <w:rPr>
          <w:rFonts w:asciiTheme="minorHAnsi" w:hAnsiTheme="minorHAnsi"/>
          <w:sz w:val="24"/>
          <w:lang w:val="pl-PL"/>
        </w:rPr>
        <w:t>y</w:t>
      </w:r>
      <w:r w:rsidRPr="00B15C52">
        <w:rPr>
          <w:rFonts w:asciiTheme="minorHAnsi" w:hAnsiTheme="minorHAnsi"/>
          <w:sz w:val="24"/>
          <w:lang w:val="pl-PL"/>
        </w:rPr>
        <w:t xml:space="preserve">ch przedstawicieli skarżący odmówił jednak współpracy z personelem medycznym przy opracowaniu ścieżki leczenia. </w:t>
      </w:r>
    </w:p>
    <w:p w14:paraId="415D4FD5" w14:textId="77777777" w:rsidR="00950534" w:rsidRDefault="00950534" w:rsidP="00950534">
      <w:pPr>
        <w:pStyle w:val="ClinContent"/>
        <w:widowControl w:val="0"/>
        <w:spacing w:before="0"/>
        <w:rPr>
          <w:rFonts w:asciiTheme="minorHAnsi" w:hAnsiTheme="minorHAnsi"/>
          <w:sz w:val="24"/>
          <w:lang w:val="pl-PL"/>
        </w:rPr>
      </w:pPr>
    </w:p>
    <w:p w14:paraId="33CC71ED"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tej sytuacji i przy braku informacji</w:t>
      </w:r>
      <w:r>
        <w:rPr>
          <w:rFonts w:asciiTheme="minorHAnsi" w:hAnsiTheme="minorHAnsi"/>
          <w:sz w:val="24"/>
          <w:lang w:val="pl-PL"/>
        </w:rPr>
        <w:t>,</w:t>
      </w:r>
      <w:r w:rsidRPr="00B15C52">
        <w:rPr>
          <w:rFonts w:asciiTheme="minorHAnsi" w:hAnsiTheme="minorHAnsi"/>
          <w:sz w:val="24"/>
          <w:lang w:val="pl-PL"/>
        </w:rPr>
        <w:t xml:space="preserve"> na przykład</w:t>
      </w:r>
      <w:r>
        <w:rPr>
          <w:rFonts w:asciiTheme="minorHAnsi" w:hAnsiTheme="minorHAnsi"/>
          <w:sz w:val="24"/>
          <w:lang w:val="pl-PL"/>
        </w:rPr>
        <w:t>,</w:t>
      </w:r>
      <w:r w:rsidRPr="00B15C52">
        <w:rPr>
          <w:rFonts w:asciiTheme="minorHAnsi" w:hAnsiTheme="minorHAnsi"/>
          <w:sz w:val="24"/>
          <w:lang w:val="pl-PL"/>
        </w:rPr>
        <w:t xml:space="preserve"> o </w:t>
      </w:r>
      <w:r>
        <w:rPr>
          <w:rFonts w:asciiTheme="minorHAnsi" w:hAnsiTheme="minorHAnsi"/>
          <w:sz w:val="24"/>
          <w:lang w:val="pl-PL"/>
        </w:rPr>
        <w:t>wyrażeniu przez niemieckojęzycznego psychiatrę</w:t>
      </w:r>
      <w:r w:rsidRPr="00B15C52">
        <w:rPr>
          <w:rFonts w:asciiTheme="minorHAnsi" w:hAnsiTheme="minorHAnsi"/>
          <w:sz w:val="24"/>
          <w:lang w:val="pl-PL"/>
        </w:rPr>
        <w:t xml:space="preserve"> odmow</w:t>
      </w:r>
      <w:r>
        <w:rPr>
          <w:rFonts w:asciiTheme="minorHAnsi" w:hAnsiTheme="minorHAnsi"/>
          <w:sz w:val="24"/>
          <w:lang w:val="pl-PL"/>
        </w:rPr>
        <w:t>y</w:t>
      </w:r>
      <w:r w:rsidRPr="00B15C52">
        <w:rPr>
          <w:rFonts w:asciiTheme="minorHAnsi" w:hAnsiTheme="minorHAnsi"/>
          <w:sz w:val="24"/>
          <w:lang w:val="pl-PL"/>
        </w:rPr>
        <w:t xml:space="preserve"> spotkania się ze skarżącym i opracowania z nim odpowiedniego projektu terapeutycznego, Trybunał uznał, że obowiązek państwa do podejmowania środków został wypełniony. </w:t>
      </w:r>
    </w:p>
    <w:p w14:paraId="453B58E1" w14:textId="77777777" w:rsidR="00950534" w:rsidRDefault="00950534" w:rsidP="00950534">
      <w:pPr>
        <w:pStyle w:val="ClinContent"/>
        <w:widowControl w:val="0"/>
        <w:spacing w:before="0"/>
        <w:rPr>
          <w:rFonts w:asciiTheme="minorHAnsi" w:hAnsiTheme="minorHAnsi"/>
          <w:sz w:val="24"/>
          <w:lang w:val="pl-PL"/>
        </w:rPr>
      </w:pPr>
    </w:p>
    <w:p w14:paraId="10CD8A08" w14:textId="01C69A70"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sumie, mając na uwadze znaczne wysiłki podejmowane przez władze, </w:t>
      </w:r>
      <w:r>
        <w:rPr>
          <w:rFonts w:asciiTheme="minorHAnsi" w:hAnsiTheme="minorHAnsi"/>
          <w:sz w:val="24"/>
          <w:lang w:val="pl-PL"/>
        </w:rPr>
        <w:t>wydające się</w:t>
      </w:r>
      <w:r w:rsidRPr="00B15C52">
        <w:rPr>
          <w:rFonts w:asciiTheme="minorHAnsi" w:hAnsiTheme="minorHAnsi"/>
          <w:sz w:val="24"/>
          <w:lang w:val="pl-PL"/>
        </w:rPr>
        <w:t xml:space="preserve"> na</w:t>
      </w:r>
      <w:r w:rsidR="00092E2B">
        <w:rPr>
          <w:rFonts w:asciiTheme="minorHAnsi" w:hAnsiTheme="minorHAnsi"/>
          <w:sz w:val="24"/>
          <w:lang w:val="pl-PL"/>
        </w:rPr>
        <w:t> </w:t>
      </w:r>
      <w:r w:rsidRPr="00B15C52">
        <w:rPr>
          <w:rFonts w:asciiTheme="minorHAnsi" w:hAnsiTheme="minorHAnsi"/>
          <w:sz w:val="24"/>
          <w:lang w:val="pl-PL"/>
        </w:rPr>
        <w:t>pierwszy rzut oka spójne i dostosowane do dostępnego obecnie leczenia, krótki okres podlegający badaniu oraz fakt, że skarżący, pomimo pomocy swych przedstawicieli, nie</w:t>
      </w:r>
      <w:r w:rsidR="00092E2B">
        <w:rPr>
          <w:rFonts w:asciiTheme="minorHAnsi" w:hAnsiTheme="minorHAnsi"/>
          <w:sz w:val="24"/>
          <w:lang w:val="pl-PL"/>
        </w:rPr>
        <w:t> </w:t>
      </w:r>
      <w:r w:rsidRPr="00B15C52">
        <w:rPr>
          <w:rFonts w:asciiTheme="minorHAnsi" w:hAnsiTheme="minorHAnsi"/>
          <w:sz w:val="24"/>
          <w:lang w:val="pl-PL"/>
        </w:rPr>
        <w:t xml:space="preserve">zawsze był otwarty na propozycje, </w:t>
      </w:r>
      <w:r>
        <w:rPr>
          <w:rFonts w:asciiTheme="minorHAnsi" w:hAnsiTheme="minorHAnsi"/>
          <w:sz w:val="24"/>
          <w:lang w:val="pl-PL"/>
        </w:rPr>
        <w:t xml:space="preserve">Trybunał stwierdził, że </w:t>
      </w:r>
      <w:r w:rsidRPr="00B15C52">
        <w:rPr>
          <w:rFonts w:asciiTheme="minorHAnsi" w:hAnsiTheme="minorHAnsi"/>
          <w:sz w:val="24"/>
          <w:lang w:val="pl-PL"/>
        </w:rPr>
        <w:t>przymusowe umieszczenie skarżącego</w:t>
      </w:r>
      <w:r w:rsidRPr="00373DA6">
        <w:rPr>
          <w:lang w:val="pl-PL"/>
        </w:rPr>
        <w:t xml:space="preserve"> </w:t>
      </w:r>
      <w:r w:rsidRPr="0049503D">
        <w:rPr>
          <w:rFonts w:asciiTheme="minorHAnsi" w:hAnsiTheme="minorHAnsi"/>
          <w:sz w:val="24"/>
          <w:lang w:val="pl-PL"/>
        </w:rPr>
        <w:t>w odosobnieniu</w:t>
      </w:r>
      <w:r w:rsidRPr="00B15C52">
        <w:rPr>
          <w:rFonts w:asciiTheme="minorHAnsi" w:hAnsiTheme="minorHAnsi"/>
          <w:sz w:val="24"/>
          <w:lang w:val="pl-PL"/>
        </w:rPr>
        <w:t xml:space="preserve"> było zgodne z wymaganym celem terapeutycznym.</w:t>
      </w:r>
    </w:p>
    <w:p w14:paraId="383503AA" w14:textId="77777777" w:rsidR="00950534" w:rsidRDefault="00950534" w:rsidP="00950534">
      <w:pPr>
        <w:pStyle w:val="ClinContent"/>
        <w:widowControl w:val="0"/>
        <w:spacing w:before="0"/>
        <w:rPr>
          <w:rFonts w:asciiTheme="minorHAnsi" w:hAnsiTheme="minorHAnsi"/>
          <w:sz w:val="24"/>
          <w:lang w:val="pl-PL"/>
        </w:rPr>
      </w:pPr>
    </w:p>
    <w:p w14:paraId="64DA516B"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Na tej podstawie Trybunał orzekł,</w:t>
      </w:r>
      <w:r w:rsidRPr="00582907">
        <w:rPr>
          <w:rFonts w:asciiTheme="minorHAnsi" w:hAnsiTheme="minorHAnsi"/>
          <w:sz w:val="24"/>
          <w:lang w:val="pl-PL"/>
        </w:rPr>
        <w:t xml:space="preserve"> </w:t>
      </w:r>
      <w:r w:rsidRPr="00B15C52">
        <w:rPr>
          <w:rFonts w:asciiTheme="minorHAnsi" w:hAnsiTheme="minorHAnsi"/>
          <w:sz w:val="24"/>
          <w:lang w:val="pl-PL"/>
        </w:rPr>
        <w:t>dziesięcioma głosami do siedmiu</w:t>
      </w:r>
      <w:r>
        <w:rPr>
          <w:rFonts w:asciiTheme="minorHAnsi" w:hAnsiTheme="minorHAnsi"/>
          <w:sz w:val="24"/>
          <w:lang w:val="pl-PL"/>
        </w:rPr>
        <w:t xml:space="preserve">, że w drugim okresie pobytu skarżącego w instytucji nie doszło do naruszenia art. 5 ust. 1 Konwencji. </w:t>
      </w:r>
    </w:p>
    <w:p w14:paraId="26726CB6" w14:textId="77777777" w:rsidR="00950534" w:rsidRDefault="00950534" w:rsidP="00950534">
      <w:pPr>
        <w:pStyle w:val="ClinContent"/>
        <w:widowControl w:val="0"/>
        <w:spacing w:before="0"/>
        <w:rPr>
          <w:rFonts w:asciiTheme="minorHAnsi" w:hAnsiTheme="minorHAnsi"/>
          <w:sz w:val="24"/>
          <w:lang w:val="pl-PL"/>
        </w:rPr>
      </w:pPr>
    </w:p>
    <w:p w14:paraId="0EC138BE" w14:textId="57D832D4"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 xml:space="preserve">Trybunał </w:t>
      </w:r>
      <w:r>
        <w:rPr>
          <w:rFonts w:asciiTheme="minorHAnsi" w:hAnsiTheme="minorHAnsi"/>
          <w:sz w:val="24"/>
          <w:lang w:val="pl-PL"/>
        </w:rPr>
        <w:t xml:space="preserve">zaznaczył </w:t>
      </w:r>
      <w:r w:rsidRPr="00B15C52">
        <w:rPr>
          <w:rFonts w:asciiTheme="minorHAnsi" w:hAnsiTheme="minorHAnsi"/>
          <w:sz w:val="24"/>
          <w:lang w:val="pl-PL"/>
        </w:rPr>
        <w:t xml:space="preserve">jednak, że </w:t>
      </w:r>
      <w:r>
        <w:rPr>
          <w:rFonts w:asciiTheme="minorHAnsi" w:hAnsiTheme="minorHAnsi"/>
          <w:sz w:val="24"/>
          <w:lang w:val="pl-PL"/>
        </w:rPr>
        <w:t xml:space="preserve">z uwagi na szczególną </w:t>
      </w:r>
      <w:r w:rsidRPr="00B15C52">
        <w:rPr>
          <w:rFonts w:asciiTheme="minorHAnsi" w:hAnsiTheme="minorHAnsi"/>
          <w:sz w:val="24"/>
          <w:lang w:val="pl-PL"/>
        </w:rPr>
        <w:t>wrażliwość skarżącego i jego zmniejszoną zdolność do podej</w:t>
      </w:r>
      <w:r>
        <w:rPr>
          <w:rFonts w:asciiTheme="minorHAnsi" w:hAnsiTheme="minorHAnsi"/>
          <w:sz w:val="24"/>
          <w:lang w:val="pl-PL"/>
        </w:rPr>
        <w:t>mowania decyzji</w:t>
      </w:r>
      <w:r w:rsidRPr="00B15C52">
        <w:rPr>
          <w:rFonts w:asciiTheme="minorHAnsi" w:hAnsiTheme="minorHAnsi"/>
          <w:sz w:val="24"/>
          <w:lang w:val="pl-PL"/>
        </w:rPr>
        <w:t xml:space="preserve"> na władzach spoczywa obowiązek pod</w:t>
      </w:r>
      <w:r>
        <w:rPr>
          <w:rFonts w:asciiTheme="minorHAnsi" w:hAnsiTheme="minorHAnsi"/>
          <w:sz w:val="24"/>
          <w:lang w:val="pl-PL"/>
        </w:rPr>
        <w:t>ejmowania</w:t>
      </w:r>
      <w:r w:rsidRPr="00B15C52">
        <w:rPr>
          <w:rFonts w:asciiTheme="minorHAnsi" w:hAnsiTheme="minorHAnsi"/>
          <w:sz w:val="24"/>
          <w:lang w:val="pl-PL"/>
        </w:rPr>
        <w:t xml:space="preserve"> wszystkich koniecznych inicjatyw – w perspektywie średnio- i</w:t>
      </w:r>
      <w:r w:rsidR="00092E2B">
        <w:rPr>
          <w:rFonts w:asciiTheme="minorHAnsi" w:hAnsiTheme="minorHAnsi"/>
          <w:sz w:val="24"/>
          <w:lang w:val="pl-PL"/>
        </w:rPr>
        <w:t> </w:t>
      </w:r>
      <w:r w:rsidRPr="00B15C52">
        <w:rPr>
          <w:rFonts w:asciiTheme="minorHAnsi" w:hAnsiTheme="minorHAnsi"/>
          <w:sz w:val="24"/>
          <w:lang w:val="pl-PL"/>
        </w:rPr>
        <w:t>długoterminowej – w celu zapewnienia leczenia psychiatrycznego i psychologicznego oraz</w:t>
      </w:r>
      <w:r w:rsidR="00092E2B">
        <w:rPr>
          <w:rFonts w:asciiTheme="minorHAnsi" w:hAnsiTheme="minorHAnsi"/>
          <w:sz w:val="24"/>
          <w:lang w:val="pl-PL"/>
        </w:rPr>
        <w:t> </w:t>
      </w:r>
      <w:r w:rsidRPr="00B15C52">
        <w:rPr>
          <w:rFonts w:asciiTheme="minorHAnsi" w:hAnsiTheme="minorHAnsi"/>
          <w:sz w:val="24"/>
          <w:lang w:val="pl-PL"/>
        </w:rPr>
        <w:t xml:space="preserve">pomocy społecznej, tak aby zapewnić mu perspektywę zwolnienia. </w:t>
      </w:r>
    </w:p>
    <w:p w14:paraId="25AA9476" w14:textId="77777777" w:rsidR="00950534" w:rsidRDefault="00950534" w:rsidP="00950534">
      <w:pPr>
        <w:pStyle w:val="ClinContent"/>
        <w:widowControl w:val="0"/>
        <w:spacing w:before="0"/>
        <w:rPr>
          <w:rFonts w:asciiTheme="minorHAnsi" w:hAnsiTheme="minorHAnsi"/>
          <w:sz w:val="24"/>
          <w:lang w:val="pl-PL"/>
        </w:rPr>
      </w:pPr>
    </w:p>
    <w:p w14:paraId="1C0E38A1"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odniesieniu do stwierdzonych naruszeń Konwencji Trybunał zasądził na rzecz skarżącego kwotę </w:t>
      </w:r>
      <w:r w:rsidRPr="00B15C52">
        <w:rPr>
          <w:rFonts w:asciiTheme="minorHAnsi" w:hAnsiTheme="minorHAnsi"/>
          <w:sz w:val="24"/>
          <w:lang w:val="pl-PL"/>
        </w:rPr>
        <w:t xml:space="preserve">32 500 euro tytułem szkody niemajątkowej. </w:t>
      </w:r>
    </w:p>
    <w:p w14:paraId="689F3015" w14:textId="77777777" w:rsidR="00950534" w:rsidRDefault="00950534" w:rsidP="00950534">
      <w:pPr>
        <w:pStyle w:val="ClinContent"/>
        <w:widowControl w:val="0"/>
        <w:spacing w:before="0"/>
        <w:rPr>
          <w:rFonts w:asciiTheme="minorHAnsi" w:hAnsiTheme="minorHAnsi"/>
          <w:sz w:val="24"/>
          <w:lang w:val="pl-PL"/>
        </w:rPr>
      </w:pPr>
    </w:p>
    <w:p w14:paraId="3E048D4A" w14:textId="67BE930D"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Wyrok </w:t>
      </w:r>
      <w:r>
        <w:rPr>
          <w:rFonts w:asciiTheme="minorHAnsi" w:hAnsiTheme="minorHAnsi" w:cs="Verdana"/>
          <w:bCs/>
          <w:sz w:val="24"/>
          <w:lang w:val="pl-PL"/>
        </w:rPr>
        <w:t xml:space="preserve">potwierdza dopuszczalność na podstawie art. 5 ust. 1 lit. e Konwencji przymusowego umieszczenia osoby w zakładzie psychiatrycznym. W tym względzie Trybunał nie zdecydował się na podważenie wyraźnego zapisu Konwencji mimo wyraźnej krytyki tego rozwiązania ze strony Komitetu Praw Osób Niepełnosprawnych ONZ (artykułowanej w szczególności w trakcie toczących się obecnie prac nad projektem Protokołu dodatkowego do </w:t>
      </w:r>
      <w:r w:rsidRPr="00BC4E97">
        <w:rPr>
          <w:rFonts w:asciiTheme="minorHAnsi" w:hAnsiTheme="minorHAnsi" w:cs="Verdana"/>
          <w:bCs/>
          <w:sz w:val="24"/>
          <w:lang w:val="pl-PL"/>
        </w:rPr>
        <w:t>Konwencji o prawach człowieka i biomedycynie dotyczącego praw człowieka i godności osób z zaburzeniami psychicznymi wobec przym</w:t>
      </w:r>
      <w:r>
        <w:rPr>
          <w:rFonts w:asciiTheme="minorHAnsi" w:hAnsiTheme="minorHAnsi" w:cs="Verdana"/>
          <w:bCs/>
          <w:sz w:val="24"/>
          <w:lang w:val="pl-PL"/>
        </w:rPr>
        <w:t>usowego umieszczania i leczenia). Trybunał uznał jednak za konieczne podkreślić w sposób jednoznaczny, że jakiekolwiek przymusowe umieszczenie osoby z zaburzeniami psychicznymi w placówce zamkniętej musi realizować cel terapeutyczny (obok celu społecznego, jakim jest ochrona osób przed zagrożeniem). Kwestia ta jest niezbędna, by można było uznać pozbawienie wolności za legalne w rozumieniu art. 5 ust. 1 lit. e Konwencji. Wskazał też na</w:t>
      </w:r>
      <w:r w:rsidR="00227D65">
        <w:rPr>
          <w:rFonts w:asciiTheme="minorHAnsi" w:hAnsiTheme="minorHAnsi" w:cs="Verdana"/>
          <w:bCs/>
          <w:sz w:val="24"/>
          <w:lang w:val="pl-PL"/>
        </w:rPr>
        <w:t> </w:t>
      </w:r>
      <w:r>
        <w:rPr>
          <w:rFonts w:asciiTheme="minorHAnsi" w:hAnsiTheme="minorHAnsi" w:cs="Verdana"/>
          <w:bCs/>
          <w:sz w:val="24"/>
          <w:lang w:val="pl-PL"/>
        </w:rPr>
        <w:t>konieczność opracowania dla każdego pacjenta (bez względu na rokowania) zindywidualizowanej ścieżki leczenia, która w miarę możliwości powinna zmierzać do</w:t>
      </w:r>
      <w:r w:rsidR="00227D65">
        <w:rPr>
          <w:rFonts w:asciiTheme="minorHAnsi" w:hAnsiTheme="minorHAnsi" w:cs="Verdana"/>
          <w:bCs/>
          <w:sz w:val="24"/>
          <w:lang w:val="pl-PL"/>
        </w:rPr>
        <w:t> </w:t>
      </w:r>
      <w:r>
        <w:rPr>
          <w:rFonts w:asciiTheme="minorHAnsi" w:hAnsiTheme="minorHAnsi" w:cs="Verdana"/>
          <w:bCs/>
          <w:sz w:val="24"/>
          <w:lang w:val="pl-PL"/>
        </w:rPr>
        <w:t>przygotowania tej osoby do powrotu do społeczeństwa. Władze mają też obowiązek podejmowania prób przezwyciężenia przeszkód w leczeniu, w tym komunikacyjnych. Niepodejmowanie takich prób przez władze i zaniechanie leczenia pacjenta z zaburzeniami psychiatrycznymi może stanowić naruszenie zarówno zakazu poniżającego traktowania, jak i</w:t>
      </w:r>
      <w:r w:rsidR="00227D65">
        <w:rPr>
          <w:rFonts w:asciiTheme="minorHAnsi" w:hAnsiTheme="minorHAnsi" w:cs="Verdana"/>
          <w:bCs/>
          <w:sz w:val="24"/>
          <w:lang w:val="pl-PL"/>
        </w:rPr>
        <w:t> </w:t>
      </w:r>
      <w:r>
        <w:rPr>
          <w:rFonts w:asciiTheme="minorHAnsi" w:hAnsiTheme="minorHAnsi" w:cs="Verdana"/>
          <w:bCs/>
          <w:sz w:val="24"/>
          <w:lang w:val="pl-PL"/>
        </w:rPr>
        <w:t>prawa do wolności osobistej tej osoby. Jednocześnie Trybunał wskazał, że granicą odpowiedzialności władz może być odmowa współpracy ze strony pacjenta, chociaż nie</w:t>
      </w:r>
      <w:r w:rsidR="00227D65">
        <w:rPr>
          <w:rFonts w:asciiTheme="minorHAnsi" w:hAnsiTheme="minorHAnsi" w:cs="Verdana"/>
          <w:bCs/>
          <w:sz w:val="24"/>
          <w:lang w:val="pl-PL"/>
        </w:rPr>
        <w:t> </w:t>
      </w:r>
      <w:r>
        <w:rPr>
          <w:rFonts w:asciiTheme="minorHAnsi" w:hAnsiTheme="minorHAnsi" w:cs="Verdana"/>
          <w:bCs/>
          <w:sz w:val="24"/>
          <w:lang w:val="pl-PL"/>
        </w:rPr>
        <w:t>zwalnia ona władz z obowiązku kontynuowania starań w celu zapewnienia takiego leczenia. Przy czym Trybunał odnotował, że chociaż choroba spowodowała zmniejszenie zdolności do rozeznania pacjenta, nie oznaczało to, że należało mu narzucić leczenie. N</w:t>
      </w:r>
      <w:r w:rsidRPr="00EE10F2">
        <w:rPr>
          <w:rFonts w:asciiTheme="minorHAnsi" w:hAnsiTheme="minorHAnsi" w:cs="Verdana"/>
          <w:bCs/>
          <w:sz w:val="24"/>
          <w:lang w:val="pl-PL"/>
        </w:rPr>
        <w:t xml:space="preserve">ależało </w:t>
      </w:r>
      <w:r>
        <w:rPr>
          <w:rFonts w:asciiTheme="minorHAnsi" w:hAnsiTheme="minorHAnsi" w:cs="Verdana"/>
          <w:bCs/>
          <w:sz w:val="24"/>
          <w:lang w:val="pl-PL"/>
        </w:rPr>
        <w:t xml:space="preserve">natomiast </w:t>
      </w:r>
      <w:r w:rsidRPr="00EE10F2">
        <w:rPr>
          <w:rFonts w:asciiTheme="minorHAnsi" w:hAnsiTheme="minorHAnsi" w:cs="Verdana"/>
          <w:bCs/>
          <w:sz w:val="24"/>
          <w:lang w:val="pl-PL"/>
        </w:rPr>
        <w:t xml:space="preserve">zaproponować </w:t>
      </w:r>
      <w:r>
        <w:rPr>
          <w:rFonts w:asciiTheme="minorHAnsi" w:hAnsiTheme="minorHAnsi" w:cs="Verdana"/>
          <w:bCs/>
          <w:sz w:val="24"/>
          <w:lang w:val="pl-PL"/>
        </w:rPr>
        <w:t xml:space="preserve">mu </w:t>
      </w:r>
      <w:r w:rsidRPr="00EE10F2">
        <w:rPr>
          <w:rFonts w:asciiTheme="minorHAnsi" w:hAnsiTheme="minorHAnsi" w:cs="Verdana"/>
          <w:bCs/>
          <w:sz w:val="24"/>
          <w:lang w:val="pl-PL"/>
        </w:rPr>
        <w:t>leczenie,</w:t>
      </w:r>
      <w:r>
        <w:rPr>
          <w:rFonts w:asciiTheme="minorHAnsi" w:hAnsiTheme="minorHAnsi" w:cs="Verdana"/>
          <w:bCs/>
          <w:sz w:val="24"/>
          <w:lang w:val="pl-PL"/>
        </w:rPr>
        <w:t xml:space="preserve"> </w:t>
      </w:r>
      <w:r w:rsidRPr="00EE10F2">
        <w:rPr>
          <w:rFonts w:asciiTheme="minorHAnsi" w:hAnsiTheme="minorHAnsi" w:cs="Verdana"/>
          <w:bCs/>
          <w:sz w:val="24"/>
          <w:lang w:val="pl-PL"/>
        </w:rPr>
        <w:t xml:space="preserve">włączając </w:t>
      </w:r>
      <w:r>
        <w:rPr>
          <w:rFonts w:asciiTheme="minorHAnsi" w:hAnsiTheme="minorHAnsi" w:cs="Verdana"/>
          <w:bCs/>
          <w:sz w:val="24"/>
          <w:lang w:val="pl-PL"/>
        </w:rPr>
        <w:t xml:space="preserve">go w możliwie </w:t>
      </w:r>
      <w:r w:rsidRPr="00EE10F2">
        <w:rPr>
          <w:rFonts w:asciiTheme="minorHAnsi" w:hAnsiTheme="minorHAnsi" w:cs="Verdana"/>
          <w:bCs/>
          <w:sz w:val="24"/>
          <w:lang w:val="pl-PL"/>
        </w:rPr>
        <w:t xml:space="preserve">największym stopniu </w:t>
      </w:r>
      <w:r>
        <w:rPr>
          <w:rFonts w:asciiTheme="minorHAnsi" w:hAnsiTheme="minorHAnsi" w:cs="Verdana"/>
          <w:bCs/>
          <w:sz w:val="24"/>
          <w:lang w:val="pl-PL"/>
        </w:rPr>
        <w:t>w proces tworzenia spersonalizowanej ścieżki leczenia i zapewniając</w:t>
      </w:r>
      <w:r w:rsidRPr="00EE10F2">
        <w:rPr>
          <w:rFonts w:asciiTheme="minorHAnsi" w:hAnsiTheme="minorHAnsi" w:cs="Verdana"/>
          <w:bCs/>
          <w:sz w:val="24"/>
          <w:lang w:val="pl-PL"/>
        </w:rPr>
        <w:t xml:space="preserve"> mu wyb</w:t>
      </w:r>
      <w:r>
        <w:rPr>
          <w:rFonts w:asciiTheme="minorHAnsi" w:hAnsiTheme="minorHAnsi" w:cs="Verdana"/>
          <w:bCs/>
          <w:sz w:val="24"/>
          <w:lang w:val="pl-PL"/>
        </w:rPr>
        <w:t>ór</w:t>
      </w:r>
      <w:r w:rsidRPr="00EE10F2">
        <w:rPr>
          <w:rFonts w:asciiTheme="minorHAnsi" w:hAnsiTheme="minorHAnsi" w:cs="Verdana"/>
          <w:bCs/>
          <w:sz w:val="24"/>
          <w:lang w:val="pl-PL"/>
        </w:rPr>
        <w:t xml:space="preserve"> leczenia</w:t>
      </w:r>
      <w:r>
        <w:rPr>
          <w:rFonts w:asciiTheme="minorHAnsi" w:hAnsiTheme="minorHAnsi" w:cs="Verdana"/>
          <w:bCs/>
          <w:sz w:val="24"/>
          <w:lang w:val="pl-PL"/>
        </w:rPr>
        <w:t xml:space="preserve">. Mimo bowiem faktu, że w świetle prawa krajowego skarżący zachowywał zdolność do podejmowania decyzji, to z uwagi na swój stan psychiczny powinien być uznany za osobę szczególnie wrażliwą, co oznacza, że władze miały obowiązek aktywnego podejmowania działań na jego rzecz. </w:t>
      </w:r>
      <w:r w:rsidRPr="003204B7">
        <w:rPr>
          <w:rFonts w:asciiTheme="minorHAnsi" w:hAnsiTheme="minorHAnsi" w:cs="Verdana"/>
          <w:bCs/>
          <w:sz w:val="24"/>
          <w:lang w:val="pl-PL"/>
        </w:rPr>
        <w:t xml:space="preserve">Wyrok zawiera </w:t>
      </w:r>
      <w:r>
        <w:rPr>
          <w:rFonts w:asciiTheme="minorHAnsi" w:hAnsiTheme="minorHAnsi" w:cs="Verdana"/>
          <w:bCs/>
          <w:sz w:val="24"/>
          <w:lang w:val="pl-PL"/>
        </w:rPr>
        <w:t xml:space="preserve">także </w:t>
      </w:r>
      <w:r w:rsidRPr="003204B7">
        <w:rPr>
          <w:rFonts w:asciiTheme="minorHAnsi" w:hAnsiTheme="minorHAnsi" w:cs="Verdana"/>
          <w:bCs/>
          <w:sz w:val="24"/>
          <w:lang w:val="pl-PL"/>
        </w:rPr>
        <w:t>całościowy przegląd orzecznictwa Trybunału na</w:t>
      </w:r>
      <w:r w:rsidR="00227D65">
        <w:rPr>
          <w:rFonts w:asciiTheme="minorHAnsi" w:hAnsiTheme="minorHAnsi" w:cs="Verdana"/>
          <w:bCs/>
          <w:sz w:val="24"/>
          <w:lang w:val="pl-PL"/>
        </w:rPr>
        <w:t> </w:t>
      </w:r>
      <w:r w:rsidRPr="003204B7">
        <w:rPr>
          <w:rFonts w:asciiTheme="minorHAnsi" w:hAnsiTheme="minorHAnsi" w:cs="Verdana"/>
          <w:bCs/>
          <w:sz w:val="24"/>
          <w:lang w:val="pl-PL"/>
        </w:rPr>
        <w:t xml:space="preserve">gruncie art. 3 </w:t>
      </w:r>
      <w:r>
        <w:rPr>
          <w:rFonts w:asciiTheme="minorHAnsi" w:hAnsiTheme="minorHAnsi" w:cs="Verdana"/>
          <w:bCs/>
          <w:sz w:val="24"/>
          <w:lang w:val="pl-PL"/>
        </w:rPr>
        <w:t xml:space="preserve">i 5 </w:t>
      </w:r>
      <w:r w:rsidRPr="003204B7">
        <w:rPr>
          <w:rFonts w:asciiTheme="minorHAnsi" w:hAnsiTheme="minorHAnsi" w:cs="Verdana"/>
          <w:bCs/>
          <w:sz w:val="24"/>
          <w:lang w:val="pl-PL"/>
        </w:rPr>
        <w:t xml:space="preserve">Konwencji dotyczącego leczenia chorych i </w:t>
      </w:r>
      <w:r>
        <w:rPr>
          <w:rFonts w:asciiTheme="minorHAnsi" w:hAnsiTheme="minorHAnsi" w:cs="Verdana"/>
          <w:bCs/>
          <w:sz w:val="24"/>
          <w:lang w:val="pl-PL"/>
        </w:rPr>
        <w:t xml:space="preserve">szczególnie </w:t>
      </w:r>
      <w:r w:rsidRPr="003204B7">
        <w:rPr>
          <w:rFonts w:asciiTheme="minorHAnsi" w:hAnsiTheme="minorHAnsi" w:cs="Verdana"/>
          <w:bCs/>
          <w:sz w:val="24"/>
          <w:lang w:val="pl-PL"/>
        </w:rPr>
        <w:t xml:space="preserve">wrażliwych </w:t>
      </w:r>
      <w:r>
        <w:rPr>
          <w:rFonts w:asciiTheme="minorHAnsi" w:hAnsiTheme="minorHAnsi" w:cs="Verdana"/>
          <w:bCs/>
          <w:sz w:val="24"/>
          <w:lang w:val="pl-PL"/>
        </w:rPr>
        <w:t xml:space="preserve">osób </w:t>
      </w:r>
      <w:r w:rsidRPr="003204B7">
        <w:rPr>
          <w:rFonts w:asciiTheme="minorHAnsi" w:hAnsiTheme="minorHAnsi" w:cs="Verdana"/>
          <w:bCs/>
          <w:sz w:val="24"/>
          <w:lang w:val="pl-PL"/>
        </w:rPr>
        <w:t xml:space="preserve">osadzonych. </w:t>
      </w:r>
    </w:p>
    <w:p w14:paraId="4FAD2CCB" w14:textId="77777777" w:rsidR="00950534" w:rsidRDefault="00950534" w:rsidP="00950534">
      <w:pPr>
        <w:pStyle w:val="ClinContent"/>
        <w:widowControl w:val="0"/>
        <w:spacing w:before="0"/>
        <w:rPr>
          <w:rFonts w:asciiTheme="minorHAnsi" w:hAnsiTheme="minorHAnsi" w:cs="Verdana"/>
          <w:bCs/>
          <w:sz w:val="24"/>
          <w:lang w:val="pl-PL"/>
        </w:rPr>
      </w:pPr>
    </w:p>
    <w:p w14:paraId="419C4A94" w14:textId="77777777" w:rsidR="00950534" w:rsidRDefault="00950534" w:rsidP="00950534">
      <w:pPr>
        <w:pStyle w:val="ClinContent"/>
        <w:widowControl w:val="0"/>
        <w:spacing w:before="0"/>
        <w:rPr>
          <w:rFonts w:asciiTheme="minorHAnsi" w:hAnsiTheme="minorHAnsi"/>
          <w:sz w:val="22"/>
          <w:lang w:val="pl-PL"/>
        </w:rPr>
      </w:pPr>
      <w:r>
        <w:rPr>
          <w:rFonts w:asciiTheme="minorHAnsi" w:hAnsiTheme="minorHAnsi" w:cs="Verdana"/>
          <w:bCs/>
          <w:sz w:val="24"/>
          <w:lang w:val="pl-PL"/>
        </w:rPr>
        <w:t xml:space="preserve">Wyrok może mieć w szczególności znaczenie dla lekarzy i personelu szpitali psychiatrycznych, Rzecznika Praw Pacjenta, organów odpowiedzialności zawodowej służby zdrowia, Ministerstwa Zdrowia, sądów opiekuńczych, Sądu Najwyższego, Ministerstwa Sprawiedliwości i Trybunału Konstytucyjnego. </w:t>
      </w:r>
    </w:p>
    <w:p w14:paraId="23E5D9A6" w14:textId="77777777" w:rsidR="00950534" w:rsidRDefault="00950534" w:rsidP="00950534">
      <w:pPr>
        <w:pStyle w:val="ClinContent"/>
        <w:widowControl w:val="0"/>
        <w:spacing w:before="0"/>
        <w:rPr>
          <w:rFonts w:asciiTheme="minorHAnsi" w:hAnsiTheme="minorHAnsi"/>
          <w:sz w:val="22"/>
          <w:lang w:val="pl-PL"/>
        </w:rPr>
      </w:pPr>
    </w:p>
    <w:p w14:paraId="3B54D5A6" w14:textId="77777777" w:rsidR="00277D0F" w:rsidRDefault="00277D0F" w:rsidP="00950534">
      <w:pPr>
        <w:pStyle w:val="ClinContent"/>
        <w:widowControl w:val="0"/>
        <w:spacing w:before="0"/>
        <w:rPr>
          <w:rFonts w:asciiTheme="minorHAnsi" w:hAnsiTheme="minorHAnsi"/>
          <w:sz w:val="22"/>
          <w:lang w:val="pl-PL"/>
        </w:rPr>
      </w:pPr>
    </w:p>
    <w:p w14:paraId="43DB6C87" w14:textId="77777777" w:rsidR="00950534" w:rsidRDefault="00950534" w:rsidP="00950534">
      <w:pPr>
        <w:pStyle w:val="ClinContent"/>
        <w:widowControl w:val="0"/>
        <w:spacing w:before="0"/>
        <w:rPr>
          <w:rFonts w:asciiTheme="minorHAnsi" w:hAnsiTheme="minorHAnsi"/>
          <w:sz w:val="22"/>
          <w:lang w:val="pl-PL"/>
        </w:rPr>
      </w:pPr>
    </w:p>
    <w:p w14:paraId="53DF4BDC"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19" w:name="_Toc35632482"/>
      <w:r w:rsidRPr="00A450C9">
        <w:rPr>
          <w:rFonts w:asciiTheme="minorHAnsi" w:hAnsiTheme="minorHAnsi"/>
          <w:i/>
          <w:color w:val="auto"/>
          <w:sz w:val="24"/>
          <w:szCs w:val="24"/>
        </w:rPr>
        <w:lastRenderedPageBreak/>
        <w:t>Sigurður Einarsson i Inni p. Islandii</w:t>
      </w:r>
      <w:r w:rsidRPr="00077E55">
        <w:rPr>
          <w:rFonts w:asciiTheme="minorHAnsi" w:hAnsiTheme="minorHAnsi"/>
          <w:color w:val="auto"/>
          <w:sz w:val="24"/>
          <w:szCs w:val="24"/>
        </w:rPr>
        <w:t>, skarga nr 39757/15, wyrok Izby z dnia 4 czerwca 2019 r.</w:t>
      </w:r>
      <w:bookmarkEnd w:id="19"/>
    </w:p>
    <w:p w14:paraId="386E2870" w14:textId="7AC135A1" w:rsidR="00950534" w:rsidRDefault="00950534" w:rsidP="00950534">
      <w:pPr>
        <w:pStyle w:val="Akapitzlist"/>
        <w:widowControl w:val="0"/>
        <w:numPr>
          <w:ilvl w:val="0"/>
          <w:numId w:val="17"/>
        </w:numPr>
        <w:spacing w:after="0" w:line="240" w:lineRule="auto"/>
        <w:jc w:val="both"/>
        <w:outlineLvl w:val="2"/>
        <w:rPr>
          <w:b/>
          <w:iCs/>
          <w:color w:val="000000" w:themeColor="text1"/>
          <w:sz w:val="24"/>
          <w:szCs w:val="24"/>
          <w:lang w:val="pl-PL"/>
        </w:rPr>
      </w:pPr>
      <w:r w:rsidRPr="00072B78">
        <w:rPr>
          <w:b/>
          <w:iCs/>
          <w:color w:val="000000" w:themeColor="text1"/>
          <w:sz w:val="24"/>
          <w:szCs w:val="24"/>
          <w:lang w:val="pl-PL"/>
        </w:rPr>
        <w:t xml:space="preserve">brak naruszenia </w:t>
      </w:r>
      <w:r>
        <w:rPr>
          <w:b/>
          <w:iCs/>
          <w:color w:val="000000" w:themeColor="text1"/>
          <w:sz w:val="24"/>
          <w:szCs w:val="24"/>
          <w:lang w:val="pl-PL"/>
        </w:rPr>
        <w:t>a</w:t>
      </w:r>
      <w:r w:rsidRPr="002F0678">
        <w:rPr>
          <w:b/>
          <w:iCs/>
          <w:color w:val="000000" w:themeColor="text1"/>
          <w:sz w:val="24"/>
          <w:szCs w:val="24"/>
          <w:lang w:val="pl-PL"/>
        </w:rPr>
        <w:t xml:space="preserve">rt. 6 </w:t>
      </w:r>
      <w:r>
        <w:rPr>
          <w:b/>
          <w:iCs/>
          <w:color w:val="000000" w:themeColor="text1"/>
          <w:sz w:val="24"/>
          <w:szCs w:val="24"/>
          <w:lang w:val="pl-PL"/>
        </w:rPr>
        <w:t>ust. 1 i ust</w:t>
      </w:r>
      <w:r w:rsidRPr="002F0678">
        <w:rPr>
          <w:b/>
          <w:iCs/>
          <w:color w:val="000000" w:themeColor="text1"/>
          <w:sz w:val="24"/>
          <w:szCs w:val="24"/>
          <w:lang w:val="pl-PL"/>
        </w:rPr>
        <w:t>. 3 lit. b</w:t>
      </w:r>
      <w:r>
        <w:rPr>
          <w:b/>
          <w:iCs/>
          <w:color w:val="000000" w:themeColor="text1"/>
          <w:sz w:val="24"/>
          <w:szCs w:val="24"/>
          <w:lang w:val="pl-PL"/>
        </w:rPr>
        <w:t xml:space="preserve"> Konwencji (prawo do rzetelnego procesu sądowego i prawo do obrony – aspekt odpowiednich możliwości przygotowania obrony) w odniesieniu do odmówienia</w:t>
      </w:r>
      <w:r w:rsidRPr="00072B78">
        <w:rPr>
          <w:b/>
          <w:iCs/>
          <w:color w:val="000000" w:themeColor="text1"/>
          <w:sz w:val="24"/>
          <w:szCs w:val="24"/>
          <w:lang w:val="pl-PL"/>
        </w:rPr>
        <w:t xml:space="preserve"> obronie dostępu do zbioru masowych danych i</w:t>
      </w:r>
      <w:r w:rsidR="00227D65">
        <w:rPr>
          <w:b/>
          <w:iCs/>
          <w:color w:val="000000" w:themeColor="text1"/>
          <w:sz w:val="24"/>
          <w:szCs w:val="24"/>
          <w:lang w:val="pl-PL"/>
        </w:rPr>
        <w:t> </w:t>
      </w:r>
      <w:r w:rsidRPr="00072B78">
        <w:rPr>
          <w:b/>
          <w:iCs/>
          <w:color w:val="000000" w:themeColor="text1"/>
          <w:sz w:val="24"/>
          <w:szCs w:val="24"/>
          <w:lang w:val="pl-PL"/>
        </w:rPr>
        <w:t>udziału w ich elektronicznym przeszukiwaniu przez prokuraturę przy gromadzeniu informacji istotnych dla śledztwa</w:t>
      </w:r>
      <w:r>
        <w:rPr>
          <w:b/>
          <w:iCs/>
          <w:color w:val="000000" w:themeColor="text1"/>
          <w:sz w:val="24"/>
          <w:szCs w:val="24"/>
          <w:lang w:val="pl-PL"/>
        </w:rPr>
        <w:t xml:space="preserve"> </w:t>
      </w:r>
    </w:p>
    <w:p w14:paraId="751231A4" w14:textId="77777777" w:rsidR="00950534" w:rsidRDefault="00950534" w:rsidP="00950534">
      <w:pPr>
        <w:pStyle w:val="Akapitzlist"/>
        <w:widowControl w:val="0"/>
        <w:numPr>
          <w:ilvl w:val="0"/>
          <w:numId w:val="17"/>
        </w:numPr>
        <w:spacing w:after="0" w:line="240" w:lineRule="auto"/>
        <w:jc w:val="both"/>
        <w:outlineLvl w:val="2"/>
        <w:rPr>
          <w:b/>
          <w:iCs/>
          <w:color w:val="000000" w:themeColor="text1"/>
          <w:sz w:val="24"/>
          <w:szCs w:val="24"/>
          <w:lang w:val="pl-PL"/>
        </w:rPr>
      </w:pPr>
      <w:r>
        <w:rPr>
          <w:b/>
          <w:iCs/>
          <w:color w:val="000000" w:themeColor="text1"/>
          <w:sz w:val="24"/>
          <w:szCs w:val="24"/>
          <w:lang w:val="pl-PL"/>
        </w:rPr>
        <w:t xml:space="preserve">naruszenie art. 6 ust. 1 Konwencji (prawo do rzetelnego procesu sądowego – aspekt bezstronnego sądu) </w:t>
      </w:r>
      <w:r w:rsidRPr="00DE30C0">
        <w:rPr>
          <w:b/>
          <w:iCs/>
          <w:color w:val="000000" w:themeColor="text1"/>
          <w:sz w:val="24"/>
          <w:szCs w:val="24"/>
          <w:lang w:val="pl-PL"/>
        </w:rPr>
        <w:t>z uwagi na brak bezstronności sędziego</w:t>
      </w:r>
      <w:r>
        <w:rPr>
          <w:b/>
          <w:iCs/>
          <w:color w:val="000000" w:themeColor="text1"/>
          <w:sz w:val="24"/>
          <w:szCs w:val="24"/>
          <w:lang w:val="pl-PL"/>
        </w:rPr>
        <w:t xml:space="preserve"> w sprawie karnej</w:t>
      </w:r>
      <w:r w:rsidRPr="00DE30C0">
        <w:rPr>
          <w:b/>
          <w:iCs/>
          <w:color w:val="000000" w:themeColor="text1"/>
          <w:sz w:val="24"/>
          <w:szCs w:val="24"/>
          <w:lang w:val="pl-PL"/>
        </w:rPr>
        <w:t xml:space="preserve"> z uwagi na </w:t>
      </w:r>
      <w:r>
        <w:rPr>
          <w:b/>
          <w:iCs/>
          <w:color w:val="000000" w:themeColor="text1"/>
          <w:sz w:val="24"/>
          <w:szCs w:val="24"/>
          <w:lang w:val="pl-PL"/>
        </w:rPr>
        <w:t xml:space="preserve">zatrudnienie, a następnie status konsultanta </w:t>
      </w:r>
      <w:r w:rsidRPr="00DE30C0">
        <w:rPr>
          <w:b/>
          <w:iCs/>
          <w:color w:val="000000" w:themeColor="text1"/>
          <w:sz w:val="24"/>
          <w:szCs w:val="24"/>
          <w:lang w:val="pl-PL"/>
        </w:rPr>
        <w:t>jego syna w banku</w:t>
      </w:r>
      <w:r>
        <w:rPr>
          <w:b/>
          <w:iCs/>
          <w:color w:val="000000" w:themeColor="text1"/>
          <w:sz w:val="24"/>
          <w:szCs w:val="24"/>
          <w:lang w:val="pl-PL"/>
        </w:rPr>
        <w:t xml:space="preserve"> będącym przeciwnikiem procesowym skarżących w sprawie cywilnej</w:t>
      </w:r>
    </w:p>
    <w:p w14:paraId="5607626E" w14:textId="0B48D446" w:rsidR="00950534" w:rsidRDefault="00950534" w:rsidP="00950534">
      <w:pPr>
        <w:pStyle w:val="Akapitzlist"/>
        <w:widowControl w:val="0"/>
        <w:numPr>
          <w:ilvl w:val="0"/>
          <w:numId w:val="17"/>
        </w:numPr>
        <w:spacing w:after="0" w:line="240" w:lineRule="auto"/>
        <w:jc w:val="both"/>
        <w:outlineLvl w:val="2"/>
        <w:rPr>
          <w:b/>
          <w:iCs/>
          <w:color w:val="000000" w:themeColor="text1"/>
          <w:sz w:val="24"/>
          <w:szCs w:val="24"/>
          <w:lang w:val="pl-PL"/>
        </w:rPr>
      </w:pPr>
      <w:r>
        <w:rPr>
          <w:b/>
          <w:iCs/>
          <w:color w:val="000000" w:themeColor="text1"/>
          <w:sz w:val="24"/>
          <w:szCs w:val="24"/>
          <w:lang w:val="pl-PL"/>
        </w:rPr>
        <w:t>brak naruszenia art. 6</w:t>
      </w:r>
      <w:r w:rsidRPr="00DE30C0">
        <w:rPr>
          <w:b/>
          <w:iCs/>
          <w:color w:val="000000" w:themeColor="text1"/>
          <w:sz w:val="24"/>
          <w:szCs w:val="24"/>
          <w:lang w:val="pl-PL"/>
        </w:rPr>
        <w:t xml:space="preserve"> </w:t>
      </w:r>
      <w:r>
        <w:rPr>
          <w:b/>
          <w:iCs/>
          <w:color w:val="000000" w:themeColor="text1"/>
          <w:sz w:val="24"/>
          <w:szCs w:val="24"/>
          <w:lang w:val="pl-PL"/>
        </w:rPr>
        <w:t>ust. 1 i ust</w:t>
      </w:r>
      <w:r w:rsidRPr="002F0678">
        <w:rPr>
          <w:b/>
          <w:iCs/>
          <w:color w:val="000000" w:themeColor="text1"/>
          <w:sz w:val="24"/>
          <w:szCs w:val="24"/>
          <w:lang w:val="pl-PL"/>
        </w:rPr>
        <w:t xml:space="preserve">. 3 lit. </w:t>
      </w:r>
      <w:r>
        <w:rPr>
          <w:b/>
          <w:iCs/>
          <w:color w:val="000000" w:themeColor="text1"/>
          <w:sz w:val="24"/>
          <w:szCs w:val="24"/>
          <w:lang w:val="pl-PL"/>
        </w:rPr>
        <w:t>d Konwencji (prawo do rzetelnego procesu sądowego i prawo do obrony</w:t>
      </w:r>
      <w:r w:rsidRPr="00DE30C0">
        <w:rPr>
          <w:b/>
          <w:iCs/>
          <w:color w:val="000000" w:themeColor="text1"/>
          <w:sz w:val="24"/>
          <w:szCs w:val="24"/>
          <w:lang w:val="pl-PL"/>
        </w:rPr>
        <w:t>)</w:t>
      </w:r>
      <w:r>
        <w:rPr>
          <w:b/>
          <w:iCs/>
          <w:color w:val="000000" w:themeColor="text1"/>
          <w:sz w:val="24"/>
          <w:szCs w:val="24"/>
          <w:lang w:val="pl-PL"/>
        </w:rPr>
        <w:t xml:space="preserve"> w odniesieniu do braku przesłuchania na rozprawie świadków – dyplomatów przebywających za granicą i odmawiających udziału w</w:t>
      </w:r>
      <w:r w:rsidR="00227D65">
        <w:rPr>
          <w:b/>
          <w:iCs/>
          <w:color w:val="000000" w:themeColor="text1"/>
          <w:sz w:val="24"/>
          <w:szCs w:val="24"/>
          <w:lang w:val="pl-PL"/>
        </w:rPr>
        <w:t> </w:t>
      </w:r>
      <w:r>
        <w:rPr>
          <w:b/>
          <w:iCs/>
          <w:color w:val="000000" w:themeColor="text1"/>
          <w:sz w:val="24"/>
          <w:szCs w:val="24"/>
          <w:lang w:val="pl-PL"/>
        </w:rPr>
        <w:t>sprawie z jednoczesnym pominięciem dowodów z ich zeznań złożonych w trakcie nieformalnych przesłuchań</w:t>
      </w:r>
    </w:p>
    <w:p w14:paraId="7457E78E" w14:textId="77777777" w:rsidR="00950534" w:rsidRPr="00A80201" w:rsidRDefault="00950534" w:rsidP="00950534">
      <w:pPr>
        <w:pStyle w:val="ClinContent"/>
        <w:widowControl w:val="0"/>
        <w:spacing w:before="0"/>
        <w:rPr>
          <w:rFonts w:asciiTheme="minorHAnsi" w:hAnsiTheme="minorHAnsi"/>
          <w:sz w:val="24"/>
          <w:lang w:val="pl-PL"/>
        </w:rPr>
      </w:pPr>
    </w:p>
    <w:p w14:paraId="6B5B2B5E" w14:textId="3373B72A"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Skarżący zajmowali kierownicze stanowiska w banku, który upadł w następstwie kryzysu bankowego w Islandii w 2008 r. Oskarżono ich i uznano za winnych naruszenia zaufania lub</w:t>
      </w:r>
      <w:r w:rsidR="00227D65">
        <w:rPr>
          <w:rFonts w:asciiTheme="minorHAnsi" w:hAnsiTheme="minorHAnsi"/>
          <w:sz w:val="24"/>
          <w:lang w:val="pl-PL"/>
        </w:rPr>
        <w:t> </w:t>
      </w:r>
      <w:r w:rsidRPr="00B15C52">
        <w:rPr>
          <w:rFonts w:asciiTheme="minorHAnsi" w:hAnsiTheme="minorHAnsi"/>
          <w:sz w:val="24"/>
          <w:lang w:val="pl-PL"/>
        </w:rPr>
        <w:t xml:space="preserve">manipulacji rynkowych. </w:t>
      </w:r>
    </w:p>
    <w:p w14:paraId="239BADDC" w14:textId="77777777" w:rsidR="00950534" w:rsidRDefault="00950534" w:rsidP="00950534">
      <w:pPr>
        <w:pStyle w:val="ClinContent"/>
        <w:widowControl w:val="0"/>
        <w:spacing w:before="0"/>
        <w:rPr>
          <w:rFonts w:asciiTheme="minorHAnsi" w:hAnsiTheme="minorHAnsi"/>
          <w:sz w:val="24"/>
          <w:lang w:val="pl-PL"/>
        </w:rPr>
      </w:pPr>
    </w:p>
    <w:p w14:paraId="26699C60" w14:textId="796120F4"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Skarżący zarzucili, że ich obrońcom nie dano dostępu do dużej </w:t>
      </w:r>
      <w:r>
        <w:rPr>
          <w:rFonts w:asciiTheme="minorHAnsi" w:hAnsiTheme="minorHAnsi"/>
          <w:sz w:val="24"/>
          <w:lang w:val="pl-PL"/>
        </w:rPr>
        <w:t>ilości</w:t>
      </w:r>
      <w:r w:rsidRPr="00B15C52">
        <w:rPr>
          <w:rFonts w:asciiTheme="minorHAnsi" w:hAnsiTheme="minorHAnsi"/>
          <w:sz w:val="24"/>
          <w:lang w:val="pl-PL"/>
        </w:rPr>
        <w:t xml:space="preserve"> danych zebranych przez prokuraturę w trakcie śledztwa i że nie mieli między innymi możliwości wypowiedzenia się w</w:t>
      </w:r>
      <w:r w:rsidR="00227D65">
        <w:rPr>
          <w:rFonts w:asciiTheme="minorHAnsi" w:hAnsiTheme="minorHAnsi"/>
          <w:sz w:val="24"/>
          <w:lang w:val="pl-PL"/>
        </w:rPr>
        <w:t> </w:t>
      </w:r>
      <w:r w:rsidRPr="00B15C52">
        <w:rPr>
          <w:rFonts w:asciiTheme="minorHAnsi" w:hAnsiTheme="minorHAnsi"/>
          <w:sz w:val="24"/>
          <w:lang w:val="pl-PL"/>
        </w:rPr>
        <w:t>trakcie elektronicznego przeszukiwania przez prokuraturę tych danych, prowadzonego w</w:t>
      </w:r>
      <w:r w:rsidR="00227D65">
        <w:rPr>
          <w:rFonts w:asciiTheme="minorHAnsi" w:hAnsiTheme="minorHAnsi"/>
          <w:sz w:val="24"/>
          <w:lang w:val="pl-PL"/>
        </w:rPr>
        <w:t> </w:t>
      </w:r>
      <w:r w:rsidRPr="00B15C52">
        <w:rPr>
          <w:rFonts w:asciiTheme="minorHAnsi" w:hAnsiTheme="minorHAnsi"/>
          <w:sz w:val="24"/>
          <w:lang w:val="pl-PL"/>
        </w:rPr>
        <w:t>celu zebrania istotnych informacji do włączenia do akt śledztwa. Utrzymywali, że brak było kontroli nad przeprowadzoną przez prokuraturę selekcją dokumentów przedłożonych do</w:t>
      </w:r>
      <w:r w:rsidR="00227D65">
        <w:rPr>
          <w:rFonts w:asciiTheme="minorHAnsi" w:hAnsiTheme="minorHAnsi"/>
          <w:sz w:val="24"/>
          <w:lang w:val="pl-PL"/>
        </w:rPr>
        <w:t> </w:t>
      </w:r>
      <w:r w:rsidRPr="00B15C52">
        <w:rPr>
          <w:rFonts w:asciiTheme="minorHAnsi" w:hAnsiTheme="minorHAnsi"/>
          <w:sz w:val="24"/>
          <w:lang w:val="pl-PL"/>
        </w:rPr>
        <w:t>sądu, a im odmówiono możliwości przeprowadzenia wyszukiwania z wykorzystaniem zastosowanego systemu elektronicznego (tj. „Clearwell”, system e-Discovery).</w:t>
      </w:r>
    </w:p>
    <w:p w14:paraId="3CA0E558" w14:textId="77777777" w:rsidR="00950534" w:rsidRDefault="00950534" w:rsidP="00950534">
      <w:pPr>
        <w:pStyle w:val="ClinContent"/>
        <w:widowControl w:val="0"/>
        <w:spacing w:before="0"/>
        <w:rPr>
          <w:rFonts w:asciiTheme="minorHAnsi" w:hAnsiTheme="minorHAnsi"/>
          <w:sz w:val="24"/>
          <w:lang w:val="pl-PL"/>
        </w:rPr>
      </w:pPr>
    </w:p>
    <w:p w14:paraId="038B2BFA"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 Trybunał zbadał po pierwsze, </w:t>
      </w:r>
      <w:r w:rsidRPr="004E4DB7">
        <w:rPr>
          <w:rFonts w:asciiTheme="minorHAnsi" w:hAnsiTheme="minorHAnsi"/>
          <w:i/>
          <w:sz w:val="24"/>
          <w:u w:val="single"/>
          <w:lang w:val="pl-PL"/>
        </w:rPr>
        <w:t>czy doszło do naruszenia prawa skarżących do rzetelnego procesu sądowego i prawa do obrony w aspekcie dotyczącym posiadania możliwości przygotowania obrony (art. 6 ust. 1 i 3 lit. b Konwencji).</w:t>
      </w:r>
      <w:r w:rsidRPr="004E4DB7">
        <w:rPr>
          <w:rFonts w:asciiTheme="minorHAnsi" w:hAnsiTheme="minorHAnsi"/>
          <w:sz w:val="24"/>
          <w:u w:val="single"/>
          <w:lang w:val="pl-PL"/>
        </w:rPr>
        <w:t xml:space="preserve"> </w:t>
      </w:r>
    </w:p>
    <w:p w14:paraId="0D22C27B" w14:textId="77777777" w:rsidR="00950534" w:rsidRDefault="00950534" w:rsidP="00950534">
      <w:pPr>
        <w:pStyle w:val="ClinContent"/>
        <w:widowControl w:val="0"/>
        <w:rPr>
          <w:rFonts w:asciiTheme="minorHAnsi" w:hAnsiTheme="minorHAnsi"/>
          <w:sz w:val="24"/>
          <w:lang w:val="pl-PL"/>
        </w:rPr>
      </w:pPr>
      <w:r>
        <w:rPr>
          <w:rFonts w:asciiTheme="minorHAnsi" w:hAnsiTheme="minorHAnsi"/>
          <w:sz w:val="24"/>
          <w:lang w:val="pl-PL"/>
        </w:rPr>
        <w:t>W sprawie skarżących i</w:t>
      </w:r>
      <w:r w:rsidRPr="00B15C52">
        <w:rPr>
          <w:rFonts w:asciiTheme="minorHAnsi" w:hAnsiTheme="minorHAnsi"/>
          <w:sz w:val="24"/>
          <w:lang w:val="pl-PL"/>
        </w:rPr>
        <w:t>stniało kilka zbiorów dokumentów/danych: „pełny zbiór danych”, który obejmował cały materiał uzyskany przez prokuraturę</w:t>
      </w:r>
      <w:r>
        <w:rPr>
          <w:rFonts w:asciiTheme="minorHAnsi" w:hAnsiTheme="minorHAnsi"/>
          <w:sz w:val="24"/>
          <w:lang w:val="pl-PL"/>
        </w:rPr>
        <w:t>; „dokumenty śledztwa” –</w:t>
      </w:r>
      <w:r w:rsidRPr="00B15C52">
        <w:rPr>
          <w:rFonts w:asciiTheme="minorHAnsi" w:hAnsiTheme="minorHAnsi"/>
          <w:sz w:val="24"/>
          <w:lang w:val="pl-PL"/>
        </w:rPr>
        <w:t xml:space="preserve"> zidentyfikowane w ramach tego materiału za pomocą dalszych wyszukiwań i ręcznej kontroli jako potencjalnie mające znaczenie dla sprawy; a także „dowody w sprawie”, czyli materiał wyselekcjonowany z „dokumentów śledztwa” i przedstawiony przez prokuraturę</w:t>
      </w:r>
      <w:r w:rsidRPr="00B30184">
        <w:rPr>
          <w:rFonts w:asciiTheme="minorHAnsi" w:hAnsiTheme="minorHAnsi"/>
          <w:sz w:val="24"/>
          <w:lang w:val="pl-PL"/>
        </w:rPr>
        <w:t xml:space="preserve"> </w:t>
      </w:r>
      <w:r w:rsidRPr="00B15C52">
        <w:rPr>
          <w:rFonts w:asciiTheme="minorHAnsi" w:hAnsiTheme="minorHAnsi"/>
          <w:sz w:val="24"/>
          <w:lang w:val="pl-PL"/>
        </w:rPr>
        <w:t xml:space="preserve">przed sądem. </w:t>
      </w:r>
      <w:r>
        <w:rPr>
          <w:rFonts w:asciiTheme="minorHAnsi" w:hAnsiTheme="minorHAnsi"/>
          <w:sz w:val="24"/>
          <w:lang w:val="pl-PL"/>
        </w:rPr>
        <w:t xml:space="preserve">W celu przeszukania pełnego zbioru, prokuratura użyła systemu </w:t>
      </w:r>
      <w:r w:rsidRPr="00BE16AC">
        <w:rPr>
          <w:rFonts w:asciiTheme="minorHAnsi" w:hAnsiTheme="minorHAnsi"/>
          <w:sz w:val="24"/>
          <w:lang w:val="pl-PL"/>
        </w:rPr>
        <w:t>Clearwell przy użyciu określonych słów kluczowych</w:t>
      </w:r>
      <w:r>
        <w:rPr>
          <w:rFonts w:asciiTheme="minorHAnsi" w:hAnsiTheme="minorHAnsi"/>
          <w:sz w:val="24"/>
          <w:lang w:val="pl-PL"/>
        </w:rPr>
        <w:t xml:space="preserve">, w rezultacie czego powstały 3 zbiory „otagowanych danych” zawierających odpowiednio </w:t>
      </w:r>
      <w:r w:rsidRPr="00BE16AC">
        <w:rPr>
          <w:rFonts w:asciiTheme="minorHAnsi" w:hAnsiTheme="minorHAnsi"/>
          <w:sz w:val="24"/>
          <w:lang w:val="pl-PL"/>
        </w:rPr>
        <w:t>8956</w:t>
      </w:r>
      <w:r>
        <w:rPr>
          <w:rFonts w:asciiTheme="minorHAnsi" w:hAnsiTheme="minorHAnsi"/>
          <w:sz w:val="24"/>
          <w:lang w:val="pl-PL"/>
        </w:rPr>
        <w:t xml:space="preserve">, </w:t>
      </w:r>
      <w:r w:rsidRPr="00BE16AC">
        <w:rPr>
          <w:rFonts w:asciiTheme="minorHAnsi" w:hAnsiTheme="minorHAnsi"/>
          <w:sz w:val="24"/>
          <w:lang w:val="pl-PL"/>
        </w:rPr>
        <w:t>54</w:t>
      </w:r>
      <w:r>
        <w:rPr>
          <w:rFonts w:asciiTheme="minorHAnsi" w:hAnsiTheme="minorHAnsi"/>
          <w:sz w:val="24"/>
          <w:lang w:val="pl-PL"/>
        </w:rPr>
        <w:t xml:space="preserve"> </w:t>
      </w:r>
      <w:r w:rsidRPr="00BE16AC">
        <w:rPr>
          <w:rFonts w:asciiTheme="minorHAnsi" w:hAnsiTheme="minorHAnsi"/>
          <w:sz w:val="24"/>
          <w:lang w:val="pl-PL"/>
        </w:rPr>
        <w:t xml:space="preserve">468 </w:t>
      </w:r>
      <w:r>
        <w:rPr>
          <w:rFonts w:asciiTheme="minorHAnsi" w:hAnsiTheme="minorHAnsi"/>
          <w:sz w:val="24"/>
          <w:lang w:val="pl-PL"/>
        </w:rPr>
        <w:t xml:space="preserve">i </w:t>
      </w:r>
      <w:r w:rsidRPr="00BE16AC">
        <w:rPr>
          <w:rFonts w:asciiTheme="minorHAnsi" w:hAnsiTheme="minorHAnsi"/>
          <w:sz w:val="24"/>
          <w:lang w:val="pl-PL"/>
        </w:rPr>
        <w:t>712</w:t>
      </w:r>
      <w:r>
        <w:rPr>
          <w:rFonts w:asciiTheme="minorHAnsi" w:hAnsiTheme="minorHAnsi"/>
          <w:sz w:val="24"/>
          <w:lang w:val="pl-PL"/>
        </w:rPr>
        <w:t> </w:t>
      </w:r>
      <w:r w:rsidRPr="00BE16AC">
        <w:rPr>
          <w:rFonts w:asciiTheme="minorHAnsi" w:hAnsiTheme="minorHAnsi"/>
          <w:sz w:val="24"/>
          <w:lang w:val="pl-PL"/>
        </w:rPr>
        <w:t>378</w:t>
      </w:r>
      <w:r>
        <w:rPr>
          <w:rFonts w:asciiTheme="minorHAnsi" w:hAnsiTheme="minorHAnsi"/>
          <w:sz w:val="24"/>
          <w:lang w:val="pl-PL"/>
        </w:rPr>
        <w:t xml:space="preserve"> dokumentów. Z tych podzbiorów śledczy wyszukiwali za pomocą dalszych słów kluczowych i ręcznie dokumenty, które zostały włączone do dokumentów śledztwa. </w:t>
      </w:r>
    </w:p>
    <w:p w14:paraId="098BA60E" w14:textId="77777777" w:rsidR="00950534" w:rsidRDefault="00950534" w:rsidP="00950534">
      <w:pPr>
        <w:pStyle w:val="ClinContent"/>
        <w:widowControl w:val="0"/>
        <w:spacing w:before="0"/>
        <w:rPr>
          <w:rFonts w:asciiTheme="minorHAnsi" w:hAnsiTheme="minorHAnsi"/>
          <w:sz w:val="24"/>
          <w:lang w:val="pl-PL"/>
        </w:rPr>
      </w:pPr>
    </w:p>
    <w:p w14:paraId="4D6E117F"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Bezsporne było, że obronie dostarczono „dowody w sprawie” i dano możliwość zapoznania się z „aktami śledztwa” zawierającymi materiał, który nie został przedłożony sądowi krajowemu. </w:t>
      </w:r>
      <w:r>
        <w:rPr>
          <w:rFonts w:asciiTheme="minorHAnsi" w:hAnsiTheme="minorHAnsi"/>
          <w:sz w:val="24"/>
          <w:lang w:val="pl-PL"/>
        </w:rPr>
        <w:t xml:space="preserve">Nie zachodził więc przypadek odmowy dostępu do „dowodów w sprawie”. </w:t>
      </w:r>
    </w:p>
    <w:p w14:paraId="12A207A3" w14:textId="77777777" w:rsidR="00950534" w:rsidRDefault="00950534" w:rsidP="00950534">
      <w:pPr>
        <w:pStyle w:val="ClinContent"/>
        <w:widowControl w:val="0"/>
        <w:spacing w:before="0"/>
        <w:rPr>
          <w:rFonts w:asciiTheme="minorHAnsi" w:hAnsiTheme="minorHAnsi"/>
          <w:sz w:val="24"/>
          <w:lang w:val="pl-PL"/>
        </w:rPr>
      </w:pPr>
    </w:p>
    <w:p w14:paraId="6D0BAB2A" w14:textId="35EA08D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Kwestią w sprawie</w:t>
      </w:r>
      <w:r>
        <w:rPr>
          <w:rFonts w:asciiTheme="minorHAnsi" w:hAnsiTheme="minorHAnsi"/>
          <w:sz w:val="24"/>
          <w:lang w:val="pl-PL"/>
        </w:rPr>
        <w:t>, którą musiał zbadać Trybunał,</w:t>
      </w:r>
      <w:r w:rsidRPr="00B15C52">
        <w:rPr>
          <w:rFonts w:asciiTheme="minorHAnsi" w:hAnsiTheme="minorHAnsi"/>
          <w:sz w:val="24"/>
          <w:lang w:val="pl-PL"/>
        </w:rPr>
        <w:t xml:space="preserve"> było więc to, czy w celu wskazania dowodów, które mogły być potencjalnie uniewinniające, obrona miała prawo do uzyskania dostępu do zbioru masowych informacji, zebranych bez żadnego rozróżnienia przez prokuraturę i niewłączonych do akt śledztwa, oraz do „otagowanych” danych uzyskanych w</w:t>
      </w:r>
      <w:r w:rsidR="00227D65">
        <w:rPr>
          <w:rFonts w:asciiTheme="minorHAnsi" w:hAnsiTheme="minorHAnsi"/>
          <w:sz w:val="24"/>
          <w:lang w:val="pl-PL"/>
        </w:rPr>
        <w:t> </w:t>
      </w:r>
      <w:r w:rsidRPr="00B15C52">
        <w:rPr>
          <w:rFonts w:asciiTheme="minorHAnsi" w:hAnsiTheme="minorHAnsi"/>
          <w:sz w:val="24"/>
          <w:lang w:val="pl-PL"/>
        </w:rPr>
        <w:t xml:space="preserve">wyniku wyszukiwań z wykorzystaniem systemu Clearwell. </w:t>
      </w:r>
    </w:p>
    <w:p w14:paraId="73B257E0" w14:textId="77777777" w:rsidR="00950534" w:rsidRDefault="00950534" w:rsidP="00950534">
      <w:pPr>
        <w:pStyle w:val="ClinContent"/>
        <w:widowControl w:val="0"/>
        <w:spacing w:before="0"/>
        <w:rPr>
          <w:rFonts w:asciiTheme="minorHAnsi" w:hAnsiTheme="minorHAnsi"/>
          <w:sz w:val="24"/>
          <w:lang w:val="pl-PL"/>
        </w:rPr>
      </w:pPr>
    </w:p>
    <w:p w14:paraId="1BE222B0" w14:textId="591F739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i) </w:t>
      </w:r>
      <w:r w:rsidRPr="00EF1C9C">
        <w:rPr>
          <w:rFonts w:asciiTheme="minorHAnsi" w:hAnsiTheme="minorHAnsi"/>
          <w:i/>
          <w:sz w:val="24"/>
          <w:u w:val="single"/>
          <w:lang w:val="pl-PL"/>
        </w:rPr>
        <w:t>W odniesieniu do „pełnego zbioru danych”</w:t>
      </w:r>
      <w:r w:rsidRPr="00B15C52">
        <w:rPr>
          <w:rFonts w:asciiTheme="minorHAnsi" w:hAnsiTheme="minorHAnsi"/>
          <w:i/>
          <w:sz w:val="24"/>
          <w:lang w:val="pl-PL"/>
        </w:rPr>
        <w:t xml:space="preserve"> – </w:t>
      </w:r>
      <w:r>
        <w:rPr>
          <w:rFonts w:asciiTheme="minorHAnsi" w:hAnsiTheme="minorHAnsi"/>
          <w:sz w:val="24"/>
          <w:lang w:val="pl-PL"/>
        </w:rPr>
        <w:t>Trybunał zauważył, że z</w:t>
      </w:r>
      <w:r w:rsidRPr="00B15C52">
        <w:rPr>
          <w:rFonts w:asciiTheme="minorHAnsi" w:hAnsiTheme="minorHAnsi"/>
          <w:sz w:val="24"/>
          <w:lang w:val="pl-PL"/>
        </w:rPr>
        <w:t xml:space="preserve">e swej natury zbiór ten zawierał masowe dane, które </w:t>
      </w:r>
      <w:r w:rsidRPr="00B15C52">
        <w:rPr>
          <w:rFonts w:asciiTheme="minorHAnsi" w:hAnsiTheme="minorHAnsi"/>
          <w:i/>
          <w:sz w:val="24"/>
          <w:lang w:val="pl-PL"/>
        </w:rPr>
        <w:t>prima facie</w:t>
      </w:r>
      <w:r w:rsidRPr="00B15C52">
        <w:rPr>
          <w:rFonts w:asciiTheme="minorHAnsi" w:hAnsiTheme="minorHAnsi"/>
          <w:sz w:val="24"/>
          <w:lang w:val="pl-PL"/>
        </w:rPr>
        <w:t xml:space="preserve"> nie były istotne dla sprawy. </w:t>
      </w:r>
      <w:r>
        <w:rPr>
          <w:rFonts w:asciiTheme="minorHAnsi" w:hAnsiTheme="minorHAnsi"/>
          <w:sz w:val="24"/>
          <w:lang w:val="pl-PL"/>
        </w:rPr>
        <w:t>Uznał też, że</w:t>
      </w:r>
      <w:r w:rsidR="00227D65">
        <w:rPr>
          <w:rFonts w:asciiTheme="minorHAnsi" w:hAnsiTheme="minorHAnsi"/>
          <w:sz w:val="24"/>
          <w:lang w:val="pl-PL"/>
        </w:rPr>
        <w:t> </w:t>
      </w:r>
      <w:r>
        <w:rPr>
          <w:rFonts w:asciiTheme="minorHAnsi" w:hAnsiTheme="minorHAnsi"/>
          <w:sz w:val="24"/>
          <w:lang w:val="pl-PL"/>
        </w:rPr>
        <w:t>w</w:t>
      </w:r>
      <w:r w:rsidR="00227D65" w:rsidRPr="00227D65">
        <w:rPr>
          <w:lang w:val="pl-PL"/>
        </w:rPr>
        <w:t> </w:t>
      </w:r>
      <w:r w:rsidRPr="00B15C52">
        <w:rPr>
          <w:rFonts w:asciiTheme="minorHAnsi" w:hAnsiTheme="minorHAnsi"/>
          <w:sz w:val="24"/>
          <w:lang w:val="pl-PL"/>
        </w:rPr>
        <w:t xml:space="preserve">sytuacji, gdy prokuratura dysponowała dużą ilością nieprzetworzonych materiałów, uprawnione było </w:t>
      </w:r>
      <w:r>
        <w:rPr>
          <w:rFonts w:asciiTheme="minorHAnsi" w:hAnsiTheme="minorHAnsi"/>
          <w:sz w:val="24"/>
          <w:lang w:val="pl-PL"/>
        </w:rPr>
        <w:t>odfiltrowanie</w:t>
      </w:r>
      <w:r w:rsidRPr="00B15C52">
        <w:rPr>
          <w:rFonts w:asciiTheme="minorHAnsi" w:hAnsiTheme="minorHAnsi"/>
          <w:sz w:val="24"/>
          <w:lang w:val="pl-PL"/>
        </w:rPr>
        <w:t xml:space="preserve"> </w:t>
      </w:r>
      <w:r>
        <w:rPr>
          <w:rFonts w:asciiTheme="minorHAnsi" w:hAnsiTheme="minorHAnsi"/>
          <w:sz w:val="24"/>
          <w:lang w:val="pl-PL"/>
        </w:rPr>
        <w:t xml:space="preserve">tych </w:t>
      </w:r>
      <w:r w:rsidRPr="00B15C52">
        <w:rPr>
          <w:rFonts w:asciiTheme="minorHAnsi" w:hAnsiTheme="minorHAnsi"/>
          <w:sz w:val="24"/>
          <w:lang w:val="pl-PL"/>
        </w:rPr>
        <w:t>informacji w celu zidentyfikowania danych, które mogły być istotne, i ograniczenia ich w ten sposób do możliwego do przetwarzania rozmiaru. Niemniej jednak w takim procesie istotną gwarancją jest zapewnienie obronie możliwości udziału w określeniu kryteriów do ustalania, co może być istotne.</w:t>
      </w:r>
      <w:r>
        <w:rPr>
          <w:rFonts w:asciiTheme="minorHAnsi" w:hAnsiTheme="minorHAnsi"/>
          <w:sz w:val="24"/>
          <w:lang w:val="pl-PL"/>
        </w:rPr>
        <w:t xml:space="preserve"> </w:t>
      </w:r>
    </w:p>
    <w:p w14:paraId="4D598C95" w14:textId="77777777" w:rsidR="00950534" w:rsidRDefault="00950534" w:rsidP="00950534">
      <w:pPr>
        <w:pStyle w:val="ClinContent"/>
        <w:widowControl w:val="0"/>
        <w:spacing w:before="0"/>
        <w:rPr>
          <w:rFonts w:asciiTheme="minorHAnsi" w:hAnsiTheme="minorHAnsi"/>
          <w:sz w:val="24"/>
          <w:lang w:val="pl-PL"/>
        </w:rPr>
      </w:pPr>
    </w:p>
    <w:p w14:paraId="7F731760" w14:textId="35FAC992"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niniejszej sprawie skarżący nie wskazali jednak żadnej konkretnej kwestii, która mogła być wyjaśniona poprzez dalsze wyszukiwania. Przy braku takiego doprecyzowania – którego mogli dokonać w świetle prawa krajowego – trudno </w:t>
      </w:r>
      <w:r>
        <w:rPr>
          <w:rFonts w:asciiTheme="minorHAnsi" w:hAnsiTheme="minorHAnsi"/>
          <w:sz w:val="24"/>
          <w:lang w:val="pl-PL"/>
        </w:rPr>
        <w:t xml:space="preserve">było </w:t>
      </w:r>
      <w:r w:rsidRPr="00B15C52">
        <w:rPr>
          <w:rFonts w:asciiTheme="minorHAnsi" w:hAnsiTheme="minorHAnsi"/>
          <w:sz w:val="24"/>
          <w:lang w:val="pl-PL"/>
        </w:rPr>
        <w:t>Trybunałowi przyjąć, że tego typu „operacja wyławiania” byłaby uzasadniona. W tym względzie dane, o których mowa, były bardziej zbliżone do jakichkolwiek innych dowodów, które mogły istnieć, ale nie zostały w</w:t>
      </w:r>
      <w:r w:rsidR="00227D65">
        <w:rPr>
          <w:rFonts w:asciiTheme="minorHAnsi" w:hAnsiTheme="minorHAnsi"/>
          <w:sz w:val="24"/>
          <w:lang w:val="pl-PL"/>
        </w:rPr>
        <w:t> </w:t>
      </w:r>
      <w:r w:rsidRPr="00B15C52">
        <w:rPr>
          <w:rFonts w:asciiTheme="minorHAnsi" w:hAnsiTheme="minorHAnsi"/>
          <w:sz w:val="24"/>
          <w:lang w:val="pl-PL"/>
        </w:rPr>
        <w:t>ogóle zebrane przez prokuraturę, niż do dowodów, o których prokuratura wiedziała, a</w:t>
      </w:r>
      <w:r w:rsidR="00227D65">
        <w:rPr>
          <w:rFonts w:asciiTheme="minorHAnsi" w:hAnsiTheme="minorHAnsi"/>
          <w:sz w:val="24"/>
          <w:lang w:val="pl-PL"/>
        </w:rPr>
        <w:t> </w:t>
      </w:r>
      <w:r w:rsidRPr="00B15C52">
        <w:rPr>
          <w:rFonts w:asciiTheme="minorHAnsi" w:hAnsiTheme="minorHAnsi"/>
          <w:sz w:val="24"/>
          <w:lang w:val="pl-PL"/>
        </w:rPr>
        <w:t>których ujawnienia odmówiła obronie.</w:t>
      </w:r>
    </w:p>
    <w:p w14:paraId="7D54C99D" w14:textId="77777777" w:rsidR="00950534" w:rsidRPr="000D77B2" w:rsidRDefault="00950534" w:rsidP="00950534">
      <w:pPr>
        <w:pStyle w:val="ClinContent"/>
        <w:widowControl w:val="0"/>
        <w:spacing w:before="0"/>
        <w:rPr>
          <w:rFonts w:asciiTheme="minorHAnsi" w:hAnsiTheme="minorHAnsi"/>
          <w:sz w:val="24"/>
          <w:lang w:val="pl-PL"/>
        </w:rPr>
      </w:pPr>
    </w:p>
    <w:p w14:paraId="38C78319" w14:textId="070318DC" w:rsidR="00950534" w:rsidRDefault="00950534" w:rsidP="00950534">
      <w:pPr>
        <w:pStyle w:val="ClinContent"/>
        <w:widowControl w:val="0"/>
        <w:spacing w:before="0"/>
        <w:rPr>
          <w:rFonts w:asciiTheme="minorHAnsi" w:hAnsiTheme="minorHAnsi"/>
          <w:sz w:val="24"/>
          <w:lang w:val="pl-PL"/>
        </w:rPr>
      </w:pPr>
      <w:r w:rsidRPr="004B1327">
        <w:rPr>
          <w:rFonts w:asciiTheme="minorHAnsi" w:hAnsiTheme="minorHAnsi"/>
          <w:sz w:val="24"/>
          <w:lang w:val="pl-PL"/>
        </w:rPr>
        <w:t xml:space="preserve">Trybunał przypomniał, że </w:t>
      </w:r>
      <w:r>
        <w:rPr>
          <w:rFonts w:asciiTheme="minorHAnsi" w:hAnsiTheme="minorHAnsi"/>
          <w:sz w:val="24"/>
          <w:lang w:val="pl-PL"/>
        </w:rPr>
        <w:t>p</w:t>
      </w:r>
      <w:r w:rsidRPr="004B1327">
        <w:rPr>
          <w:rFonts w:asciiTheme="minorHAnsi" w:hAnsiTheme="minorHAnsi"/>
          <w:sz w:val="24"/>
          <w:lang w:val="pl-PL"/>
        </w:rPr>
        <w:t>rokuratura powinna ujawnić obronie wszelkie dowody znajdujące się w jej posiadaniu, zarówno na rzecz, jak i przeciw oskarżonym, a prawo krajowe przewidywało</w:t>
      </w:r>
      <w:r>
        <w:rPr>
          <w:rFonts w:asciiTheme="minorHAnsi" w:hAnsiTheme="minorHAnsi"/>
          <w:sz w:val="24"/>
          <w:lang w:val="pl-PL"/>
        </w:rPr>
        <w:t>,</w:t>
      </w:r>
      <w:r w:rsidRPr="004B1327">
        <w:rPr>
          <w:rFonts w:asciiTheme="minorHAnsi" w:hAnsiTheme="minorHAnsi"/>
          <w:sz w:val="24"/>
          <w:lang w:val="pl-PL"/>
        </w:rPr>
        <w:t xml:space="preserve"> zgodnie z orzecznictwem Trybunału, że należy uwzględnić </w:t>
      </w:r>
      <w:r>
        <w:rPr>
          <w:rFonts w:asciiTheme="minorHAnsi" w:hAnsiTheme="minorHAnsi"/>
          <w:sz w:val="24"/>
          <w:lang w:val="pl-PL"/>
        </w:rPr>
        <w:t>zarówno fakty na</w:t>
      </w:r>
      <w:r w:rsidR="00227D65">
        <w:rPr>
          <w:rFonts w:asciiTheme="minorHAnsi" w:hAnsiTheme="minorHAnsi"/>
          <w:sz w:val="24"/>
          <w:lang w:val="pl-PL"/>
        </w:rPr>
        <w:t> </w:t>
      </w:r>
      <w:r>
        <w:rPr>
          <w:rFonts w:asciiTheme="minorHAnsi" w:hAnsiTheme="minorHAnsi"/>
          <w:sz w:val="24"/>
          <w:lang w:val="pl-PL"/>
        </w:rPr>
        <w:t>rzecz, jak i przeciw podejrzanym. Zdaniem Trybunału n</w:t>
      </w:r>
      <w:r w:rsidRPr="00B15C52">
        <w:rPr>
          <w:rFonts w:asciiTheme="minorHAnsi" w:hAnsiTheme="minorHAnsi"/>
          <w:sz w:val="24"/>
          <w:lang w:val="pl-PL"/>
        </w:rPr>
        <w:t xml:space="preserve">ie była to </w:t>
      </w:r>
      <w:r>
        <w:rPr>
          <w:rFonts w:asciiTheme="minorHAnsi" w:hAnsiTheme="minorHAnsi"/>
          <w:sz w:val="24"/>
          <w:lang w:val="pl-PL"/>
        </w:rPr>
        <w:t xml:space="preserve">jednak </w:t>
      </w:r>
      <w:r w:rsidRPr="00B15C52">
        <w:rPr>
          <w:rFonts w:asciiTheme="minorHAnsi" w:hAnsiTheme="minorHAnsi"/>
          <w:sz w:val="24"/>
          <w:lang w:val="pl-PL"/>
        </w:rPr>
        <w:t>sytuacja ukrywania lub „nieujawniania” dowodów w klasycznym rozumieniu tych pojęć, gdyż</w:t>
      </w:r>
      <w:r w:rsidR="00227D65">
        <w:rPr>
          <w:rFonts w:asciiTheme="minorHAnsi" w:hAnsiTheme="minorHAnsi"/>
          <w:sz w:val="24"/>
          <w:lang w:val="pl-PL"/>
        </w:rPr>
        <w:t> </w:t>
      </w:r>
      <w:r w:rsidRPr="00B15C52">
        <w:rPr>
          <w:rFonts w:asciiTheme="minorHAnsi" w:hAnsiTheme="minorHAnsi"/>
          <w:sz w:val="24"/>
          <w:lang w:val="pl-PL"/>
        </w:rPr>
        <w:t xml:space="preserve">prokuratura w istocie nie była świadoma, jaka była treść masowych danych, i w tym zakresie nie miała żadnej przewagi nad obroną. </w:t>
      </w:r>
    </w:p>
    <w:p w14:paraId="58FD21AF" w14:textId="77777777" w:rsidR="00950534" w:rsidRDefault="00950534" w:rsidP="00950534">
      <w:pPr>
        <w:pStyle w:val="ClinContent"/>
        <w:widowControl w:val="0"/>
        <w:spacing w:before="0"/>
        <w:rPr>
          <w:rFonts w:asciiTheme="minorHAnsi" w:hAnsiTheme="minorHAnsi"/>
          <w:sz w:val="24"/>
          <w:lang w:val="pl-PL"/>
        </w:rPr>
      </w:pPr>
    </w:p>
    <w:p w14:paraId="02021AFB" w14:textId="093593C9" w:rsidR="00950534" w:rsidRDefault="00950534" w:rsidP="00950534">
      <w:pPr>
        <w:pStyle w:val="ClinContent"/>
        <w:widowControl w:val="0"/>
        <w:spacing w:before="0"/>
        <w:rPr>
          <w:lang w:val="pl-PL"/>
        </w:rPr>
      </w:pPr>
      <w:r w:rsidRPr="00B15C52">
        <w:rPr>
          <w:rFonts w:asciiTheme="minorHAnsi" w:hAnsiTheme="minorHAnsi"/>
          <w:sz w:val="24"/>
          <w:lang w:val="pl-PL"/>
        </w:rPr>
        <w:t xml:space="preserve">ii) </w:t>
      </w:r>
      <w:r w:rsidRPr="00EF1C9C">
        <w:rPr>
          <w:rFonts w:asciiTheme="minorHAnsi" w:hAnsiTheme="minorHAnsi"/>
          <w:i/>
          <w:sz w:val="24"/>
          <w:u w:val="single"/>
          <w:lang w:val="pl-PL"/>
        </w:rPr>
        <w:t>W odniesieniu</w:t>
      </w:r>
      <w:r w:rsidRPr="00EF1C9C">
        <w:rPr>
          <w:rFonts w:asciiTheme="minorHAnsi" w:hAnsiTheme="minorHAnsi"/>
          <w:sz w:val="24"/>
          <w:u w:val="single"/>
          <w:lang w:val="pl-PL"/>
        </w:rPr>
        <w:t xml:space="preserve"> </w:t>
      </w:r>
      <w:r w:rsidRPr="00EF1C9C">
        <w:rPr>
          <w:rFonts w:asciiTheme="minorHAnsi" w:hAnsiTheme="minorHAnsi"/>
          <w:i/>
          <w:sz w:val="24"/>
          <w:u w:val="single"/>
          <w:lang w:val="pl-PL"/>
        </w:rPr>
        <w:t>do danych „otagowanych” w wyniku wstępnych wyszukiwań z użyciem systemu Clearwell</w:t>
      </w:r>
      <w:r w:rsidRPr="00B15C52">
        <w:rPr>
          <w:rFonts w:asciiTheme="minorHAnsi" w:hAnsiTheme="minorHAnsi"/>
          <w:i/>
          <w:sz w:val="24"/>
          <w:lang w:val="pl-PL"/>
        </w:rPr>
        <w:t xml:space="preserve"> – </w:t>
      </w:r>
      <w:r>
        <w:rPr>
          <w:rFonts w:asciiTheme="minorHAnsi" w:hAnsiTheme="minorHAnsi"/>
          <w:sz w:val="24"/>
          <w:lang w:val="pl-PL"/>
        </w:rPr>
        <w:t xml:space="preserve">W tym zakresie sytuacja była inna. </w:t>
      </w:r>
      <w:r w:rsidRPr="00B15C52">
        <w:rPr>
          <w:rFonts w:asciiTheme="minorHAnsi" w:hAnsiTheme="minorHAnsi"/>
          <w:sz w:val="24"/>
          <w:lang w:val="pl-PL"/>
        </w:rPr>
        <w:t>Chociaż t</w:t>
      </w:r>
      <w:r>
        <w:rPr>
          <w:rFonts w:asciiTheme="minorHAnsi" w:hAnsiTheme="minorHAnsi"/>
          <w:sz w:val="24"/>
          <w:lang w:val="pl-PL"/>
        </w:rPr>
        <w:t>akże w tym przypadku</w:t>
      </w:r>
      <w:r w:rsidRPr="00B15C52">
        <w:rPr>
          <w:rFonts w:asciiTheme="minorHAnsi" w:hAnsiTheme="minorHAnsi"/>
          <w:sz w:val="24"/>
          <w:lang w:val="pl-PL"/>
        </w:rPr>
        <w:t xml:space="preserve"> wykluczony materiał nie był </w:t>
      </w:r>
      <w:r w:rsidRPr="00B15C52">
        <w:rPr>
          <w:rFonts w:asciiTheme="minorHAnsi" w:hAnsiTheme="minorHAnsi"/>
          <w:i/>
          <w:sz w:val="24"/>
          <w:lang w:val="pl-PL"/>
        </w:rPr>
        <w:t>a priori</w:t>
      </w:r>
      <w:r w:rsidRPr="00B15C52">
        <w:rPr>
          <w:rFonts w:asciiTheme="minorHAnsi" w:hAnsiTheme="minorHAnsi"/>
          <w:sz w:val="24"/>
          <w:lang w:val="pl-PL"/>
        </w:rPr>
        <w:t xml:space="preserve"> istotny dla sprawy, wybór został dokonany </w:t>
      </w:r>
      <w:r>
        <w:rPr>
          <w:rFonts w:asciiTheme="minorHAnsi" w:hAnsiTheme="minorHAnsi"/>
          <w:sz w:val="24"/>
          <w:lang w:val="pl-PL"/>
        </w:rPr>
        <w:t>wyłącznie</w:t>
      </w:r>
      <w:r w:rsidRPr="00B15C52">
        <w:rPr>
          <w:rFonts w:asciiTheme="minorHAnsi" w:hAnsiTheme="minorHAnsi"/>
          <w:sz w:val="24"/>
          <w:lang w:val="pl-PL"/>
        </w:rPr>
        <w:t xml:space="preserve"> przez prokuraturę bez udziału obrony i bez żadnego nadzoru sądowego nad tym procesem. </w:t>
      </w:r>
      <w:r w:rsidRPr="002212D1">
        <w:rPr>
          <w:lang w:val="pl-PL"/>
        </w:rPr>
        <w:t xml:space="preserve">Trybunał przypomniał </w:t>
      </w:r>
      <w:r>
        <w:rPr>
          <w:lang w:val="pl-PL"/>
        </w:rPr>
        <w:t xml:space="preserve">w tym względzie </w:t>
      </w:r>
      <w:r w:rsidRPr="002212D1">
        <w:rPr>
          <w:lang w:val="pl-PL"/>
        </w:rPr>
        <w:t xml:space="preserve">utrwaloną zasadę ogólną wynikającą z jego orzecznictwa, że </w:t>
      </w:r>
      <w:r w:rsidRPr="00353D3F">
        <w:rPr>
          <w:lang w:val="pl-PL"/>
        </w:rPr>
        <w:t xml:space="preserve">nie może być zgodna z wymogami art. 6 ust. 1 Konwencji </w:t>
      </w:r>
      <w:r w:rsidRPr="002212D1">
        <w:rPr>
          <w:lang w:val="pl-PL"/>
        </w:rPr>
        <w:t>sytuacja, w</w:t>
      </w:r>
      <w:r w:rsidR="00227D65">
        <w:rPr>
          <w:lang w:val="pl-PL"/>
        </w:rPr>
        <w:t> </w:t>
      </w:r>
      <w:r w:rsidRPr="002212D1">
        <w:rPr>
          <w:lang w:val="pl-PL"/>
        </w:rPr>
        <w:t>której prok</w:t>
      </w:r>
      <w:r>
        <w:rPr>
          <w:lang w:val="pl-PL"/>
        </w:rPr>
        <w:t>u</w:t>
      </w:r>
      <w:r w:rsidRPr="002212D1">
        <w:rPr>
          <w:lang w:val="pl-PL"/>
        </w:rPr>
        <w:t xml:space="preserve">ratura sama próbuje oceniać znaczenie informacji ukrytej dla </w:t>
      </w:r>
      <w:r>
        <w:rPr>
          <w:lang w:val="pl-PL"/>
        </w:rPr>
        <w:t>o</w:t>
      </w:r>
      <w:r w:rsidRPr="002212D1">
        <w:rPr>
          <w:lang w:val="pl-PL"/>
        </w:rPr>
        <w:t>brony i</w:t>
      </w:r>
      <w:r w:rsidR="00227D65">
        <w:rPr>
          <w:lang w:val="pl-PL"/>
        </w:rPr>
        <w:t> </w:t>
      </w:r>
      <w:r>
        <w:rPr>
          <w:lang w:val="pl-PL"/>
        </w:rPr>
        <w:t xml:space="preserve">dokonać wyważenia znaczenia tej informacji w odniesieniu do interesu publicznego przemawiającego za zachowaniem jej w tajemnicy.  </w:t>
      </w:r>
      <w:r w:rsidRPr="002212D1">
        <w:rPr>
          <w:lang w:val="pl-PL"/>
        </w:rPr>
        <w:t xml:space="preserve"> </w:t>
      </w:r>
    </w:p>
    <w:p w14:paraId="25D1D1F2" w14:textId="77777777" w:rsidR="00950534" w:rsidRPr="002212D1" w:rsidRDefault="00950534" w:rsidP="00950534">
      <w:pPr>
        <w:pStyle w:val="ClinContent"/>
        <w:widowControl w:val="0"/>
        <w:spacing w:before="0"/>
        <w:rPr>
          <w:rFonts w:asciiTheme="minorHAnsi" w:hAnsiTheme="minorHAnsi"/>
          <w:sz w:val="24"/>
          <w:lang w:val="pl-PL"/>
        </w:rPr>
      </w:pPr>
    </w:p>
    <w:p w14:paraId="7D7004AF" w14:textId="4C7417A9"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zauważył, że o</w:t>
      </w:r>
      <w:r w:rsidRPr="00B15C52">
        <w:rPr>
          <w:rFonts w:asciiTheme="minorHAnsi" w:hAnsiTheme="minorHAnsi"/>
          <w:sz w:val="24"/>
          <w:lang w:val="pl-PL"/>
        </w:rPr>
        <w:t xml:space="preserve">bronie odmówiono </w:t>
      </w:r>
      <w:r>
        <w:rPr>
          <w:rFonts w:asciiTheme="minorHAnsi" w:hAnsiTheme="minorHAnsi"/>
          <w:sz w:val="24"/>
          <w:lang w:val="pl-PL"/>
        </w:rPr>
        <w:t xml:space="preserve">także </w:t>
      </w:r>
      <w:r w:rsidRPr="00B15C52">
        <w:rPr>
          <w:rFonts w:asciiTheme="minorHAnsi" w:hAnsiTheme="minorHAnsi"/>
          <w:sz w:val="24"/>
          <w:lang w:val="pl-PL"/>
        </w:rPr>
        <w:t>list dokumentów, w szczególności „otagowanych” dokumentów”, na tej podstawie, że nie istniały one i że nie było obowiązku</w:t>
      </w:r>
      <w:r>
        <w:rPr>
          <w:rFonts w:asciiTheme="minorHAnsi" w:hAnsiTheme="minorHAnsi"/>
          <w:sz w:val="24"/>
          <w:lang w:val="pl-PL"/>
        </w:rPr>
        <w:t xml:space="preserve"> sporządzenia takich dokumentów.</w:t>
      </w:r>
      <w:r w:rsidRPr="00B15C52">
        <w:rPr>
          <w:rFonts w:asciiTheme="minorHAnsi" w:hAnsiTheme="minorHAnsi"/>
          <w:sz w:val="24"/>
          <w:lang w:val="pl-PL"/>
        </w:rPr>
        <w:t xml:space="preserve"> </w:t>
      </w:r>
      <w:r>
        <w:rPr>
          <w:rFonts w:asciiTheme="minorHAnsi" w:hAnsiTheme="minorHAnsi"/>
          <w:sz w:val="24"/>
          <w:lang w:val="pl-PL"/>
        </w:rPr>
        <w:t>O</w:t>
      </w:r>
      <w:r w:rsidRPr="00B15C52">
        <w:rPr>
          <w:rFonts w:asciiTheme="minorHAnsi" w:hAnsiTheme="minorHAnsi"/>
          <w:sz w:val="24"/>
          <w:lang w:val="pl-PL"/>
        </w:rPr>
        <w:t xml:space="preserve">dwołano się </w:t>
      </w:r>
      <w:r>
        <w:rPr>
          <w:rFonts w:asciiTheme="minorHAnsi" w:hAnsiTheme="minorHAnsi"/>
          <w:sz w:val="24"/>
          <w:lang w:val="pl-PL"/>
        </w:rPr>
        <w:t xml:space="preserve">także </w:t>
      </w:r>
      <w:r w:rsidRPr="00B15C52">
        <w:rPr>
          <w:rFonts w:asciiTheme="minorHAnsi" w:hAnsiTheme="minorHAnsi"/>
          <w:sz w:val="24"/>
          <w:lang w:val="pl-PL"/>
        </w:rPr>
        <w:t>do przeszkód technicznych dla</w:t>
      </w:r>
      <w:r w:rsidR="00227D65">
        <w:rPr>
          <w:rFonts w:asciiTheme="minorHAnsi" w:hAnsiTheme="minorHAnsi"/>
          <w:sz w:val="24"/>
          <w:lang w:val="pl-PL"/>
        </w:rPr>
        <w:t> </w:t>
      </w:r>
      <w:r w:rsidRPr="00B15C52">
        <w:rPr>
          <w:rFonts w:asciiTheme="minorHAnsi" w:hAnsiTheme="minorHAnsi"/>
          <w:sz w:val="24"/>
          <w:lang w:val="pl-PL"/>
        </w:rPr>
        <w:t>ponownej migracji danych i przeprowadzenia nowych wyszukiwań, zważywszy na rozmiar danych.</w:t>
      </w:r>
    </w:p>
    <w:p w14:paraId="4D70A143" w14:textId="77777777" w:rsidR="00950534" w:rsidRDefault="00950534" w:rsidP="00950534">
      <w:pPr>
        <w:pStyle w:val="ClinContent"/>
        <w:widowControl w:val="0"/>
        <w:spacing w:before="0"/>
        <w:rPr>
          <w:rFonts w:asciiTheme="minorHAnsi" w:hAnsiTheme="minorHAnsi"/>
          <w:sz w:val="24"/>
          <w:lang w:val="pl-PL"/>
        </w:rPr>
      </w:pPr>
    </w:p>
    <w:p w14:paraId="74E7728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Chociaż</w:t>
      </w:r>
      <w:r w:rsidRPr="00B15C52">
        <w:rPr>
          <w:rFonts w:asciiTheme="minorHAnsi" w:hAnsiTheme="minorHAnsi"/>
          <w:sz w:val="24"/>
          <w:lang w:val="pl-PL"/>
        </w:rPr>
        <w:t xml:space="preserve"> w prawie krajowym po stronie prokuratury nie było obowiązku stworzenia dokumentów, które jeszcze nie istniały, </w:t>
      </w:r>
      <w:r>
        <w:rPr>
          <w:rFonts w:asciiTheme="minorHAnsi" w:hAnsiTheme="minorHAnsi"/>
          <w:sz w:val="24"/>
          <w:lang w:val="pl-PL"/>
        </w:rPr>
        <w:t xml:space="preserve">w opinii Trybunału </w:t>
      </w:r>
      <w:r w:rsidRPr="00B15C52">
        <w:rPr>
          <w:rFonts w:asciiTheme="minorHAnsi" w:hAnsiTheme="minorHAnsi"/>
          <w:sz w:val="24"/>
          <w:lang w:val="pl-PL"/>
        </w:rPr>
        <w:t xml:space="preserve">dalsze wyszukiwania wśród danych byłyby raczej proste z technicznego punktu widzenia. </w:t>
      </w:r>
      <w:r>
        <w:rPr>
          <w:rFonts w:asciiTheme="minorHAnsi" w:hAnsiTheme="minorHAnsi"/>
          <w:sz w:val="24"/>
          <w:lang w:val="pl-PL"/>
        </w:rPr>
        <w:t>Podkreślił, że c</w:t>
      </w:r>
      <w:r w:rsidRPr="00B15C52">
        <w:rPr>
          <w:rFonts w:asciiTheme="minorHAnsi" w:hAnsiTheme="minorHAnsi"/>
          <w:sz w:val="24"/>
          <w:lang w:val="pl-PL"/>
        </w:rPr>
        <w:t xml:space="preserve">o do zasady </w:t>
      </w:r>
      <w:r w:rsidRPr="00B15C52">
        <w:rPr>
          <w:rFonts w:asciiTheme="minorHAnsi" w:hAnsiTheme="minorHAnsi"/>
          <w:sz w:val="24"/>
          <w:lang w:val="pl-PL"/>
        </w:rPr>
        <w:lastRenderedPageBreak/>
        <w:t xml:space="preserve">właściwe byłoby udzielenie obronie możliwości przeprowadzenia wyszukiwania potencjalnie uniewinniających dowodów. Kwestie związane z prywatnością nie stanowiły w tym względzie przeszkody niemożliwej do przezwyciężenia. </w:t>
      </w:r>
    </w:p>
    <w:p w14:paraId="6E22D560" w14:textId="77777777" w:rsidR="00950534" w:rsidRDefault="00950534" w:rsidP="00950534">
      <w:pPr>
        <w:pStyle w:val="ClinContent"/>
        <w:widowControl w:val="0"/>
        <w:spacing w:before="0"/>
        <w:rPr>
          <w:rFonts w:asciiTheme="minorHAnsi" w:hAnsiTheme="minorHAnsi"/>
          <w:sz w:val="24"/>
          <w:lang w:val="pl-PL"/>
        </w:rPr>
      </w:pPr>
    </w:p>
    <w:p w14:paraId="4960C6C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zgodził się więc, że </w:t>
      </w:r>
      <w:r w:rsidRPr="00B15C52">
        <w:rPr>
          <w:rFonts w:asciiTheme="minorHAnsi" w:hAnsiTheme="minorHAnsi"/>
          <w:sz w:val="24"/>
          <w:lang w:val="pl-PL"/>
        </w:rPr>
        <w:t xml:space="preserve">odmowa zezwolenia obronie na przeprowadzenie dalszych wyszukiwań w „otagowanych” </w:t>
      </w:r>
      <w:r>
        <w:rPr>
          <w:rFonts w:asciiTheme="minorHAnsi" w:hAnsiTheme="minorHAnsi"/>
          <w:sz w:val="24"/>
          <w:lang w:val="pl-PL"/>
        </w:rPr>
        <w:t xml:space="preserve">dokumentach co do zasady stanowiła </w:t>
      </w:r>
      <w:r w:rsidRPr="00B15C52">
        <w:rPr>
          <w:rFonts w:asciiTheme="minorHAnsi" w:hAnsiTheme="minorHAnsi"/>
          <w:sz w:val="24"/>
          <w:lang w:val="pl-PL"/>
        </w:rPr>
        <w:t xml:space="preserve">kwestię </w:t>
      </w:r>
      <w:r>
        <w:rPr>
          <w:rFonts w:asciiTheme="minorHAnsi" w:hAnsiTheme="minorHAnsi"/>
          <w:sz w:val="24"/>
          <w:lang w:val="pl-PL"/>
        </w:rPr>
        <w:t xml:space="preserve">dotyczącą </w:t>
      </w:r>
      <w:r w:rsidRPr="00B15C52">
        <w:rPr>
          <w:rFonts w:asciiTheme="minorHAnsi" w:hAnsiTheme="minorHAnsi"/>
          <w:sz w:val="24"/>
          <w:lang w:val="pl-PL"/>
        </w:rPr>
        <w:t>zapewnienia odpowiednich możliwości do przygotowania obrony</w:t>
      </w:r>
      <w:r w:rsidRPr="00DD078D">
        <w:rPr>
          <w:rFonts w:asciiTheme="minorHAnsi" w:hAnsiTheme="minorHAnsi"/>
          <w:sz w:val="24"/>
          <w:lang w:val="pl-PL"/>
        </w:rPr>
        <w:t xml:space="preserve"> </w:t>
      </w:r>
      <w:r w:rsidRPr="00B15C52">
        <w:rPr>
          <w:rFonts w:asciiTheme="minorHAnsi" w:hAnsiTheme="minorHAnsi"/>
          <w:sz w:val="24"/>
          <w:lang w:val="pl-PL"/>
        </w:rPr>
        <w:t>na podstawie art. 6 ust. 3 lit. b</w:t>
      </w:r>
      <w:r>
        <w:rPr>
          <w:rFonts w:asciiTheme="minorHAnsi" w:hAnsiTheme="minorHAnsi"/>
          <w:sz w:val="24"/>
          <w:lang w:val="pl-PL"/>
        </w:rPr>
        <w:t xml:space="preserve"> Konwencji</w:t>
      </w:r>
      <w:r w:rsidRPr="00B15C52">
        <w:rPr>
          <w:rFonts w:asciiTheme="minorHAnsi" w:hAnsiTheme="minorHAnsi"/>
          <w:sz w:val="24"/>
          <w:lang w:val="pl-PL"/>
        </w:rPr>
        <w:t xml:space="preserve">. </w:t>
      </w:r>
    </w:p>
    <w:p w14:paraId="20B6805C" w14:textId="77777777" w:rsidR="00950534" w:rsidRDefault="00950534" w:rsidP="00950534">
      <w:pPr>
        <w:pStyle w:val="ClinContent"/>
        <w:widowControl w:val="0"/>
        <w:spacing w:before="0"/>
        <w:rPr>
          <w:rFonts w:asciiTheme="minorHAnsi" w:hAnsiTheme="minorHAnsi"/>
          <w:sz w:val="24"/>
          <w:lang w:val="pl-PL"/>
        </w:rPr>
      </w:pPr>
    </w:p>
    <w:p w14:paraId="14670884" w14:textId="34143BD5"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Niemniej jednak</w:t>
      </w:r>
      <w:r>
        <w:rPr>
          <w:rFonts w:asciiTheme="minorHAnsi" w:hAnsiTheme="minorHAnsi"/>
          <w:sz w:val="24"/>
          <w:lang w:val="pl-PL"/>
        </w:rPr>
        <w:t xml:space="preserve"> Trybunał zauważył</w:t>
      </w:r>
      <w:r w:rsidRPr="00B15C52">
        <w:rPr>
          <w:rFonts w:asciiTheme="minorHAnsi" w:hAnsiTheme="minorHAnsi"/>
          <w:sz w:val="24"/>
          <w:lang w:val="pl-PL"/>
        </w:rPr>
        <w:t xml:space="preserve">, </w:t>
      </w:r>
      <w:r>
        <w:rPr>
          <w:rFonts w:asciiTheme="minorHAnsi" w:hAnsiTheme="minorHAnsi"/>
          <w:sz w:val="24"/>
          <w:lang w:val="pl-PL"/>
        </w:rPr>
        <w:t xml:space="preserve">że </w:t>
      </w:r>
      <w:r w:rsidRPr="00B15C52">
        <w:rPr>
          <w:rFonts w:asciiTheme="minorHAnsi" w:hAnsiTheme="minorHAnsi"/>
          <w:sz w:val="24"/>
          <w:lang w:val="pl-PL"/>
        </w:rPr>
        <w:t>pomimo częstych skarg do prokuratury na brak dostępu do dokumentów, skarżący nigdy oficjalnie nie ubiegali się o nakaz sądu w sprawie udostępnienia „pełnego zbioru danych” lub przeprowadzenia dalszych wyszukiwań. Nie</w:t>
      </w:r>
      <w:r w:rsidR="00227D65">
        <w:rPr>
          <w:rFonts w:asciiTheme="minorHAnsi" w:hAnsiTheme="minorHAnsi"/>
          <w:sz w:val="24"/>
          <w:lang w:val="pl-PL"/>
        </w:rPr>
        <w:t> </w:t>
      </w:r>
      <w:r w:rsidRPr="00B15C52">
        <w:rPr>
          <w:rFonts w:asciiTheme="minorHAnsi" w:hAnsiTheme="minorHAnsi"/>
          <w:sz w:val="24"/>
          <w:lang w:val="pl-PL"/>
        </w:rPr>
        <w:t>proponowali także dalszych środków dochodzeniowych, takich jak ponowne wyszukiwanie z wykorzystaniem zaproponowanych przez nich słów kluczowych. Możliwość kontroli sądu stanowiła istotną gwarancję przy określaniu, czy należy zapewnić dostęp do</w:t>
      </w:r>
      <w:r w:rsidR="00227D65">
        <w:rPr>
          <w:rFonts w:asciiTheme="minorHAnsi" w:hAnsiTheme="minorHAnsi"/>
          <w:sz w:val="24"/>
          <w:lang w:val="pl-PL"/>
        </w:rPr>
        <w:t> </w:t>
      </w:r>
      <w:r w:rsidRPr="00B15C52">
        <w:rPr>
          <w:rFonts w:asciiTheme="minorHAnsi" w:hAnsiTheme="minorHAnsi"/>
          <w:sz w:val="24"/>
          <w:lang w:val="pl-PL"/>
        </w:rPr>
        <w:t xml:space="preserve">danych. Ponadto wśród dowodów przedłożonych do rozpoznania przez sąd karny znajdowały się przeglądy zajętych obiektów i przybliżone określenie ich zawartości. </w:t>
      </w:r>
    </w:p>
    <w:p w14:paraId="4FBE612E" w14:textId="77777777" w:rsidR="00950534" w:rsidRDefault="00950534" w:rsidP="00950534">
      <w:pPr>
        <w:pStyle w:val="ClinContent"/>
        <w:widowControl w:val="0"/>
        <w:spacing w:before="0"/>
        <w:rPr>
          <w:rFonts w:asciiTheme="minorHAnsi" w:hAnsiTheme="minorHAnsi"/>
          <w:sz w:val="24"/>
          <w:lang w:val="pl-PL"/>
        </w:rPr>
      </w:pPr>
    </w:p>
    <w:p w14:paraId="55A30883" w14:textId="779ADEED"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 tych okolicznościach i mając na uwadze, że skarżący w żaden sposób nie sprecyzowali rodzaju dowodów, których poszukiwali, brak dostępu do przedmiotowych danych nie</w:t>
      </w:r>
      <w:r w:rsidR="00227D65">
        <w:rPr>
          <w:rFonts w:asciiTheme="minorHAnsi" w:hAnsiTheme="minorHAnsi"/>
          <w:sz w:val="24"/>
          <w:lang w:val="pl-PL"/>
        </w:rPr>
        <w:t> </w:t>
      </w:r>
      <w:r w:rsidRPr="00B15C52">
        <w:rPr>
          <w:rFonts w:asciiTheme="minorHAnsi" w:hAnsiTheme="minorHAnsi"/>
          <w:sz w:val="24"/>
          <w:lang w:val="pl-PL"/>
        </w:rPr>
        <w:t xml:space="preserve">spowodował, że odmówiono </w:t>
      </w:r>
      <w:r>
        <w:rPr>
          <w:rFonts w:asciiTheme="minorHAnsi" w:hAnsiTheme="minorHAnsi"/>
          <w:sz w:val="24"/>
          <w:lang w:val="pl-PL"/>
        </w:rPr>
        <w:t xml:space="preserve">im </w:t>
      </w:r>
      <w:r w:rsidRPr="00B15C52">
        <w:rPr>
          <w:rFonts w:asciiTheme="minorHAnsi" w:hAnsiTheme="minorHAnsi"/>
          <w:sz w:val="24"/>
          <w:lang w:val="pl-PL"/>
        </w:rPr>
        <w:t xml:space="preserve">ogólnie rzetelnego procesu. </w:t>
      </w:r>
    </w:p>
    <w:p w14:paraId="6A8A6B85" w14:textId="77777777" w:rsidR="00950534" w:rsidRDefault="00950534" w:rsidP="00950534">
      <w:pPr>
        <w:pStyle w:val="ClinContent"/>
        <w:widowControl w:val="0"/>
        <w:spacing w:before="0"/>
        <w:rPr>
          <w:rFonts w:asciiTheme="minorHAnsi" w:hAnsiTheme="minorHAnsi"/>
          <w:sz w:val="24"/>
          <w:lang w:val="pl-PL"/>
        </w:rPr>
      </w:pPr>
    </w:p>
    <w:p w14:paraId="5B4BB6AA" w14:textId="1036191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 powyższych względów Trybunał orzekł,</w:t>
      </w:r>
      <w:r w:rsidRPr="00B15C52">
        <w:rPr>
          <w:rFonts w:asciiTheme="minorHAnsi" w:hAnsiTheme="minorHAnsi"/>
          <w:sz w:val="24"/>
          <w:lang w:val="pl-PL"/>
        </w:rPr>
        <w:t xml:space="preserve"> </w:t>
      </w:r>
      <w:r>
        <w:rPr>
          <w:rFonts w:asciiTheme="minorHAnsi" w:hAnsiTheme="minorHAnsi"/>
          <w:sz w:val="24"/>
          <w:lang w:val="pl-PL"/>
        </w:rPr>
        <w:t>sześcioma głosami do jednego, że nie doszło do</w:t>
      </w:r>
      <w:r w:rsidR="00227D65">
        <w:rPr>
          <w:rFonts w:asciiTheme="minorHAnsi" w:hAnsiTheme="minorHAnsi"/>
          <w:sz w:val="24"/>
          <w:lang w:val="pl-PL"/>
        </w:rPr>
        <w:t> </w:t>
      </w:r>
      <w:r>
        <w:rPr>
          <w:rFonts w:asciiTheme="minorHAnsi" w:hAnsiTheme="minorHAnsi"/>
          <w:sz w:val="24"/>
          <w:lang w:val="pl-PL"/>
        </w:rPr>
        <w:t>naruszenia art. 6 ust. 1 i art. 6 ust. 3 lit. b Konwencji w sprawie skarżących</w:t>
      </w:r>
      <w:r w:rsidRPr="00B15C52">
        <w:rPr>
          <w:rFonts w:asciiTheme="minorHAnsi" w:hAnsiTheme="minorHAnsi"/>
          <w:sz w:val="24"/>
          <w:lang w:val="pl-PL"/>
        </w:rPr>
        <w:t>.</w:t>
      </w:r>
    </w:p>
    <w:p w14:paraId="02AB8070" w14:textId="77777777" w:rsidR="00950534" w:rsidRDefault="00950534" w:rsidP="00950534">
      <w:pPr>
        <w:pStyle w:val="ClinContent"/>
        <w:widowControl w:val="0"/>
        <w:spacing w:before="0"/>
        <w:rPr>
          <w:rFonts w:asciiTheme="minorHAnsi" w:hAnsiTheme="minorHAnsi"/>
          <w:sz w:val="24"/>
          <w:lang w:val="pl-PL"/>
        </w:rPr>
      </w:pPr>
    </w:p>
    <w:p w14:paraId="086AF2A7" w14:textId="3146EA4B"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II. </w:t>
      </w:r>
      <w:r w:rsidRPr="00B15C52">
        <w:rPr>
          <w:rFonts w:asciiTheme="minorHAnsi" w:hAnsiTheme="minorHAnsi"/>
          <w:sz w:val="24"/>
          <w:lang w:val="pl-PL"/>
        </w:rPr>
        <w:t>Trybunał stwierdził</w:t>
      </w:r>
      <w:r>
        <w:rPr>
          <w:rFonts w:asciiTheme="minorHAnsi" w:hAnsiTheme="minorHAnsi"/>
          <w:sz w:val="24"/>
          <w:lang w:val="pl-PL"/>
        </w:rPr>
        <w:t xml:space="preserve"> natomiast</w:t>
      </w:r>
      <w:r w:rsidRPr="00B15C52">
        <w:rPr>
          <w:rFonts w:asciiTheme="minorHAnsi" w:hAnsiTheme="minorHAnsi"/>
          <w:sz w:val="24"/>
          <w:lang w:val="pl-PL"/>
        </w:rPr>
        <w:t xml:space="preserve">, jednogłośnie, naruszenie </w:t>
      </w:r>
      <w:r>
        <w:rPr>
          <w:rFonts w:asciiTheme="minorHAnsi" w:hAnsiTheme="minorHAnsi"/>
          <w:sz w:val="24"/>
          <w:lang w:val="pl-PL"/>
        </w:rPr>
        <w:t>prawa do rzetelnego procesu sądowego (</w:t>
      </w:r>
      <w:r w:rsidRPr="00B15C52">
        <w:rPr>
          <w:rFonts w:asciiTheme="minorHAnsi" w:hAnsiTheme="minorHAnsi"/>
          <w:sz w:val="24"/>
          <w:lang w:val="pl-PL"/>
        </w:rPr>
        <w:t>art. 6 ust. 1</w:t>
      </w:r>
      <w:r>
        <w:rPr>
          <w:rFonts w:asciiTheme="minorHAnsi" w:hAnsiTheme="minorHAnsi"/>
          <w:sz w:val="24"/>
          <w:lang w:val="pl-PL"/>
        </w:rPr>
        <w:t xml:space="preserve"> Konwencji)</w:t>
      </w:r>
      <w:r w:rsidRPr="00B15C52">
        <w:rPr>
          <w:rFonts w:asciiTheme="minorHAnsi" w:hAnsiTheme="minorHAnsi"/>
          <w:sz w:val="24"/>
          <w:lang w:val="pl-PL"/>
        </w:rPr>
        <w:t xml:space="preserve"> z uwagi na </w:t>
      </w:r>
      <w:r w:rsidRPr="001F72F5">
        <w:rPr>
          <w:rFonts w:asciiTheme="minorHAnsi" w:hAnsiTheme="minorHAnsi"/>
          <w:sz w:val="24"/>
          <w:u w:val="single"/>
          <w:lang w:val="pl-PL"/>
        </w:rPr>
        <w:t>brak obiektywnej bezstronności jednego z</w:t>
      </w:r>
      <w:r w:rsidR="00227D65">
        <w:rPr>
          <w:rFonts w:asciiTheme="minorHAnsi" w:hAnsiTheme="minorHAnsi"/>
          <w:sz w:val="24"/>
          <w:u w:val="single"/>
          <w:lang w:val="pl-PL"/>
        </w:rPr>
        <w:t> </w:t>
      </w:r>
      <w:r w:rsidRPr="001F72F5">
        <w:rPr>
          <w:rFonts w:asciiTheme="minorHAnsi" w:hAnsiTheme="minorHAnsi"/>
          <w:sz w:val="24"/>
          <w:u w:val="single"/>
          <w:lang w:val="pl-PL"/>
        </w:rPr>
        <w:t>sędziów</w:t>
      </w:r>
      <w:r>
        <w:rPr>
          <w:rFonts w:asciiTheme="minorHAnsi" w:hAnsiTheme="minorHAnsi"/>
          <w:sz w:val="24"/>
          <w:u w:val="single"/>
          <w:lang w:val="pl-PL"/>
        </w:rPr>
        <w:t xml:space="preserve"> SN</w:t>
      </w:r>
      <w:r w:rsidRPr="00B15C52">
        <w:rPr>
          <w:rFonts w:asciiTheme="minorHAnsi" w:hAnsiTheme="minorHAnsi"/>
          <w:sz w:val="24"/>
          <w:lang w:val="pl-PL"/>
        </w:rPr>
        <w:t>, którego syn był w istotnym</w:t>
      </w:r>
      <w:r>
        <w:rPr>
          <w:rFonts w:asciiTheme="minorHAnsi" w:hAnsiTheme="minorHAnsi"/>
          <w:sz w:val="24"/>
          <w:lang w:val="pl-PL"/>
        </w:rPr>
        <w:t xml:space="preserve"> dla sprawy</w:t>
      </w:r>
      <w:r w:rsidRPr="00B15C52">
        <w:rPr>
          <w:rFonts w:asciiTheme="minorHAnsi" w:hAnsiTheme="minorHAnsi"/>
          <w:sz w:val="24"/>
          <w:lang w:val="pl-PL"/>
        </w:rPr>
        <w:t xml:space="preserve"> czasie pr</w:t>
      </w:r>
      <w:r>
        <w:rPr>
          <w:rFonts w:asciiTheme="minorHAnsi" w:hAnsiTheme="minorHAnsi"/>
          <w:sz w:val="24"/>
          <w:lang w:val="pl-PL"/>
        </w:rPr>
        <w:t>acownikiem, a następnie konsultantem przedmiotowego banku, odpowiadającym za sprawy prawne, w sytuacji, w</w:t>
      </w:r>
      <w:r w:rsidR="00227D65">
        <w:rPr>
          <w:rFonts w:asciiTheme="minorHAnsi" w:hAnsiTheme="minorHAnsi"/>
          <w:sz w:val="24"/>
          <w:lang w:val="pl-PL"/>
        </w:rPr>
        <w:t> </w:t>
      </w:r>
      <w:r>
        <w:rPr>
          <w:rFonts w:asciiTheme="minorHAnsi" w:hAnsiTheme="minorHAnsi"/>
          <w:sz w:val="24"/>
          <w:lang w:val="pl-PL"/>
        </w:rPr>
        <w:t>której dodatkowo toczyło się postępowanie cywilne z powództwa banku przeciwko skarżącym w oparciu o te same fakty, które były rozpatrywane w sprawie karnej. Stwierdził</w:t>
      </w:r>
      <w:r w:rsidRPr="00B15C52">
        <w:rPr>
          <w:rFonts w:asciiTheme="minorHAnsi" w:hAnsiTheme="minorHAnsi"/>
          <w:sz w:val="24"/>
          <w:lang w:val="pl-PL"/>
        </w:rPr>
        <w:t xml:space="preserve"> także brak naruszenia art. 6 ust. 1 i 3 lit. d w odniesieniu do zarzucanego braku wezwania świadków. </w:t>
      </w:r>
    </w:p>
    <w:p w14:paraId="09EB995C" w14:textId="77777777" w:rsidR="00950534" w:rsidRDefault="00950534" w:rsidP="00950534">
      <w:pPr>
        <w:pStyle w:val="ClinContent"/>
        <w:widowControl w:val="0"/>
        <w:spacing w:before="0"/>
        <w:rPr>
          <w:rFonts w:asciiTheme="minorHAnsi" w:hAnsiTheme="minorHAnsi"/>
          <w:sz w:val="24"/>
          <w:lang w:val="pl-PL"/>
        </w:rPr>
      </w:pPr>
    </w:p>
    <w:p w14:paraId="2E671ABB"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Jednocześnie Trybunał uznał, że s</w:t>
      </w:r>
      <w:r w:rsidRPr="00B15C52">
        <w:rPr>
          <w:rFonts w:asciiTheme="minorHAnsi" w:hAnsiTheme="minorHAnsi"/>
          <w:sz w:val="24"/>
          <w:lang w:val="pl-PL"/>
        </w:rPr>
        <w:t xml:space="preserve">twierdzenie naruszenia stanowi wystarczające słuszne zadośćuczynienie </w:t>
      </w:r>
      <w:r>
        <w:rPr>
          <w:rFonts w:asciiTheme="minorHAnsi" w:hAnsiTheme="minorHAnsi"/>
          <w:sz w:val="24"/>
          <w:lang w:val="pl-PL"/>
        </w:rPr>
        <w:t xml:space="preserve">dla skarżących </w:t>
      </w:r>
      <w:r w:rsidRPr="00B15C52">
        <w:rPr>
          <w:rFonts w:asciiTheme="minorHAnsi" w:hAnsiTheme="minorHAnsi"/>
          <w:sz w:val="24"/>
          <w:lang w:val="pl-PL"/>
        </w:rPr>
        <w:t xml:space="preserve">tytułem szkody niemajątkowej. </w:t>
      </w:r>
    </w:p>
    <w:p w14:paraId="44794AFB" w14:textId="77777777" w:rsidR="00950534" w:rsidRDefault="00950534" w:rsidP="00950534">
      <w:pPr>
        <w:pStyle w:val="ClinContent"/>
        <w:widowControl w:val="0"/>
        <w:spacing w:before="0"/>
        <w:rPr>
          <w:rFonts w:asciiTheme="minorHAnsi" w:hAnsiTheme="minorHAnsi" w:cs="Verdana"/>
          <w:bCs/>
          <w:sz w:val="24"/>
          <w:u w:val="single"/>
          <w:lang w:val="pl-PL"/>
        </w:rPr>
      </w:pPr>
    </w:p>
    <w:p w14:paraId="7C3E6A54" w14:textId="28C89FE9" w:rsidR="00950534" w:rsidRDefault="00950534" w:rsidP="00950534">
      <w:pPr>
        <w:pStyle w:val="ClinContent"/>
        <w:widowControl w:val="0"/>
        <w:spacing w:before="0"/>
        <w:rPr>
          <w:rFonts w:asciiTheme="minorHAnsi" w:hAnsiTheme="minorHAnsi" w:cs="Verdana"/>
          <w:bCs/>
          <w:sz w:val="24"/>
          <w:lang w:val="pl-PL"/>
        </w:rPr>
      </w:pPr>
      <w:r w:rsidRPr="00FB112F">
        <w:rPr>
          <w:rFonts w:asciiTheme="minorHAnsi" w:hAnsiTheme="minorHAnsi" w:cs="Verdana"/>
          <w:bCs/>
          <w:sz w:val="24"/>
          <w:u w:val="single"/>
          <w:lang w:val="pl-PL"/>
        </w:rPr>
        <w:t>Znaczenie wyroku dla Polski</w:t>
      </w:r>
      <w:r w:rsidRPr="00FB112F">
        <w:rPr>
          <w:rFonts w:asciiTheme="minorHAnsi" w:hAnsiTheme="minorHAnsi" w:cs="Verdana"/>
          <w:bCs/>
          <w:sz w:val="24"/>
          <w:lang w:val="pl-PL"/>
        </w:rPr>
        <w:t xml:space="preserve"> –</w:t>
      </w:r>
      <w:r>
        <w:rPr>
          <w:rFonts w:asciiTheme="minorHAnsi" w:hAnsiTheme="minorHAnsi" w:cs="Verdana"/>
          <w:bCs/>
          <w:sz w:val="24"/>
          <w:lang w:val="pl-PL"/>
        </w:rPr>
        <w:t xml:space="preserve"> </w:t>
      </w:r>
      <w:r w:rsidRPr="00FB112F">
        <w:rPr>
          <w:rFonts w:asciiTheme="minorHAnsi" w:hAnsiTheme="minorHAnsi" w:cs="Verdana"/>
          <w:bCs/>
          <w:sz w:val="24"/>
          <w:lang w:val="pl-PL"/>
        </w:rPr>
        <w:t xml:space="preserve">Wyrok precyzuje </w:t>
      </w:r>
      <w:r>
        <w:rPr>
          <w:rFonts w:asciiTheme="minorHAnsi" w:hAnsiTheme="minorHAnsi" w:cs="Verdana"/>
          <w:bCs/>
          <w:sz w:val="24"/>
          <w:lang w:val="pl-PL"/>
        </w:rPr>
        <w:t xml:space="preserve">zasady dotyczące </w:t>
      </w:r>
      <w:r w:rsidRPr="00FB112F">
        <w:rPr>
          <w:rFonts w:asciiTheme="minorHAnsi" w:hAnsiTheme="minorHAnsi" w:cs="Verdana"/>
          <w:bCs/>
          <w:sz w:val="24"/>
          <w:lang w:val="pl-PL"/>
        </w:rPr>
        <w:t xml:space="preserve">prawa do posiadania odpowiednich możliwości do przygotowania obrony </w:t>
      </w:r>
      <w:r>
        <w:rPr>
          <w:rFonts w:asciiTheme="minorHAnsi" w:hAnsiTheme="minorHAnsi" w:cs="Verdana"/>
          <w:bCs/>
          <w:sz w:val="24"/>
          <w:lang w:val="pl-PL"/>
        </w:rPr>
        <w:t>w zależności od rodzaju dokumentów zebranych przez prokuraturę</w:t>
      </w:r>
      <w:r w:rsidRPr="00FB112F">
        <w:rPr>
          <w:rFonts w:asciiTheme="minorHAnsi" w:hAnsiTheme="minorHAnsi" w:cs="Verdana"/>
          <w:bCs/>
          <w:sz w:val="24"/>
          <w:lang w:val="pl-PL"/>
        </w:rPr>
        <w:t>. Jeśli prokuratura nie jest świadoma treści masowych danych</w:t>
      </w:r>
      <w:r>
        <w:rPr>
          <w:rFonts w:asciiTheme="minorHAnsi" w:hAnsiTheme="minorHAnsi" w:cs="Verdana"/>
          <w:bCs/>
          <w:sz w:val="24"/>
          <w:lang w:val="pl-PL"/>
        </w:rPr>
        <w:t>, np. elektronicznych,</w:t>
      </w:r>
      <w:r w:rsidRPr="00FB112F">
        <w:rPr>
          <w:rFonts w:asciiTheme="minorHAnsi" w:hAnsiTheme="minorHAnsi" w:cs="Verdana"/>
          <w:bCs/>
          <w:sz w:val="24"/>
          <w:lang w:val="pl-PL"/>
        </w:rPr>
        <w:t xml:space="preserve"> i nie zyskuje przewagi nad obroną, brak dostępu do takich danych nie stanowi ukrycia lub nieujawnienia dowodów. W odniesieniu do przetwarzania takich danych przez prokuraturę w celu wyselekcjonowania danych istotnych dla śledztwa Trybunał określił gwarancje procesowe, które powinny być przewidziane, aby zapobiec ukryciu przed obroną istotnych informacji, w szczególności możliwość sądowej kontroli odmowy dostępu do</w:t>
      </w:r>
      <w:r w:rsidR="00227D65">
        <w:rPr>
          <w:rFonts w:asciiTheme="minorHAnsi" w:hAnsiTheme="minorHAnsi" w:cs="Verdana"/>
          <w:bCs/>
          <w:sz w:val="24"/>
          <w:lang w:val="pl-PL"/>
        </w:rPr>
        <w:t> </w:t>
      </w:r>
      <w:r w:rsidRPr="00FB112F">
        <w:rPr>
          <w:rFonts w:asciiTheme="minorHAnsi" w:hAnsiTheme="minorHAnsi" w:cs="Verdana"/>
          <w:bCs/>
          <w:sz w:val="24"/>
          <w:lang w:val="pl-PL"/>
        </w:rPr>
        <w:t xml:space="preserve">danych, a także danie obronie możliwości </w:t>
      </w:r>
      <w:r>
        <w:rPr>
          <w:rFonts w:asciiTheme="minorHAnsi" w:hAnsiTheme="minorHAnsi" w:cs="Verdana"/>
          <w:bCs/>
          <w:sz w:val="24"/>
          <w:lang w:val="pl-PL"/>
        </w:rPr>
        <w:t>określenia</w:t>
      </w:r>
      <w:r w:rsidRPr="00FB112F">
        <w:rPr>
          <w:rFonts w:asciiTheme="minorHAnsi" w:hAnsiTheme="minorHAnsi" w:cs="Verdana"/>
          <w:bCs/>
          <w:sz w:val="24"/>
          <w:lang w:val="pl-PL"/>
        </w:rPr>
        <w:t xml:space="preserve"> kryteriów ustalania, jakie dane mogą być istotne dla sprawy. Wyrok podkreśla co do zasady konieczność zapewnienia podejrzanym możliwości przygotowania obrony poprzez umożliwienie skorzystania </w:t>
      </w:r>
      <w:r w:rsidRPr="00FB112F">
        <w:rPr>
          <w:rFonts w:asciiTheme="minorHAnsi" w:hAnsiTheme="minorHAnsi" w:cs="Verdana"/>
          <w:bCs/>
          <w:sz w:val="24"/>
          <w:lang w:val="pl-PL"/>
        </w:rPr>
        <w:lastRenderedPageBreak/>
        <w:t>ze</w:t>
      </w:r>
      <w:r w:rsidR="00227D65">
        <w:rPr>
          <w:rFonts w:asciiTheme="minorHAnsi" w:hAnsiTheme="minorHAnsi" w:cs="Verdana"/>
          <w:bCs/>
          <w:sz w:val="24"/>
          <w:lang w:val="pl-PL"/>
        </w:rPr>
        <w:t> </w:t>
      </w:r>
      <w:r w:rsidRPr="00FB112F">
        <w:rPr>
          <w:rFonts w:asciiTheme="minorHAnsi" w:hAnsiTheme="minorHAnsi" w:cs="Verdana"/>
          <w:bCs/>
          <w:sz w:val="24"/>
          <w:lang w:val="pl-PL"/>
        </w:rPr>
        <w:t>wstępnie zgromadzonych materiałów i narzędzi stosowanych przez prokurat</w:t>
      </w:r>
      <w:r>
        <w:rPr>
          <w:rFonts w:asciiTheme="minorHAnsi" w:hAnsiTheme="minorHAnsi" w:cs="Verdana"/>
          <w:bCs/>
          <w:sz w:val="24"/>
          <w:lang w:val="pl-PL"/>
        </w:rPr>
        <w:t>urę do</w:t>
      </w:r>
      <w:r w:rsidR="00227D65">
        <w:rPr>
          <w:rFonts w:asciiTheme="minorHAnsi" w:hAnsiTheme="minorHAnsi" w:cs="Verdana"/>
          <w:bCs/>
          <w:sz w:val="24"/>
          <w:lang w:val="pl-PL"/>
        </w:rPr>
        <w:t> </w:t>
      </w:r>
      <w:r>
        <w:rPr>
          <w:rFonts w:asciiTheme="minorHAnsi" w:hAnsiTheme="minorHAnsi" w:cs="Verdana"/>
          <w:bCs/>
          <w:sz w:val="24"/>
          <w:lang w:val="pl-PL"/>
        </w:rPr>
        <w:t>zidentyfikowania dowodów.</w:t>
      </w:r>
      <w:r w:rsidRPr="00FB112F">
        <w:rPr>
          <w:rFonts w:asciiTheme="minorHAnsi" w:hAnsiTheme="minorHAnsi" w:cs="Verdana"/>
          <w:bCs/>
          <w:sz w:val="24"/>
          <w:lang w:val="pl-PL"/>
        </w:rPr>
        <w:t xml:space="preserve"> </w:t>
      </w:r>
      <w:r>
        <w:rPr>
          <w:rFonts w:asciiTheme="minorHAnsi" w:hAnsiTheme="minorHAnsi" w:cs="Verdana"/>
          <w:bCs/>
          <w:sz w:val="24"/>
          <w:lang w:val="pl-PL"/>
        </w:rPr>
        <w:t>W</w:t>
      </w:r>
      <w:r w:rsidRPr="00FB112F">
        <w:rPr>
          <w:rFonts w:asciiTheme="minorHAnsi" w:hAnsiTheme="minorHAnsi" w:cs="Verdana"/>
          <w:bCs/>
          <w:sz w:val="24"/>
          <w:lang w:val="pl-PL"/>
        </w:rPr>
        <w:t xml:space="preserve">skazuje jednak </w:t>
      </w:r>
      <w:r>
        <w:rPr>
          <w:rFonts w:asciiTheme="minorHAnsi" w:hAnsiTheme="minorHAnsi" w:cs="Verdana"/>
          <w:bCs/>
          <w:sz w:val="24"/>
          <w:lang w:val="pl-PL"/>
        </w:rPr>
        <w:t xml:space="preserve">jednocześnie </w:t>
      </w:r>
      <w:r w:rsidRPr="00FB112F">
        <w:rPr>
          <w:rFonts w:asciiTheme="minorHAnsi" w:hAnsiTheme="minorHAnsi" w:cs="Verdana"/>
          <w:bCs/>
          <w:sz w:val="24"/>
          <w:lang w:val="pl-PL"/>
        </w:rPr>
        <w:t>na konieczność formułowania przez obronę wystarczająco sprecyzowanych wniosków dowodowych.</w:t>
      </w:r>
    </w:p>
    <w:p w14:paraId="01820EFB" w14:textId="77777777" w:rsidR="00950534" w:rsidRDefault="00950534" w:rsidP="00950534">
      <w:pPr>
        <w:pStyle w:val="ClinContent"/>
        <w:widowControl w:val="0"/>
        <w:spacing w:before="0"/>
        <w:rPr>
          <w:rFonts w:asciiTheme="minorHAnsi" w:hAnsiTheme="minorHAnsi" w:cs="Verdana"/>
          <w:bCs/>
          <w:sz w:val="24"/>
          <w:lang w:val="pl-PL"/>
        </w:rPr>
      </w:pPr>
    </w:p>
    <w:p w14:paraId="75856D6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 xml:space="preserve">Wyrok może mieć w szczególności znaczenie dla prokuratury, policji, sądów karnych, Sądu Najwyższego i Ministerstwa Sprawiedliwości. </w:t>
      </w:r>
    </w:p>
    <w:p w14:paraId="1AC2E76E" w14:textId="77777777" w:rsidR="00950534" w:rsidRDefault="00950534" w:rsidP="00950534">
      <w:pPr>
        <w:pStyle w:val="ClinContent"/>
        <w:widowControl w:val="0"/>
        <w:spacing w:before="0"/>
        <w:rPr>
          <w:rFonts w:asciiTheme="minorHAnsi" w:hAnsiTheme="minorHAnsi"/>
          <w:sz w:val="24"/>
          <w:lang w:val="pl-PL"/>
        </w:rPr>
      </w:pPr>
    </w:p>
    <w:p w14:paraId="42353244" w14:textId="77777777" w:rsidR="00950534" w:rsidRDefault="00950534" w:rsidP="00950534">
      <w:pPr>
        <w:pStyle w:val="ClinContent"/>
        <w:widowControl w:val="0"/>
        <w:spacing w:before="0"/>
        <w:rPr>
          <w:rFonts w:asciiTheme="minorHAnsi" w:hAnsiTheme="minorHAnsi"/>
          <w:sz w:val="24"/>
          <w:lang w:val="pl-PL"/>
        </w:rPr>
      </w:pPr>
    </w:p>
    <w:p w14:paraId="0DD6233D" w14:textId="526600AA"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20" w:name="_Toc35632483"/>
      <w:r w:rsidRPr="00215EDD">
        <w:rPr>
          <w:rFonts w:asciiTheme="minorHAnsi" w:hAnsiTheme="minorHAnsi"/>
          <w:i/>
          <w:color w:val="auto"/>
          <w:sz w:val="24"/>
          <w:szCs w:val="24"/>
        </w:rPr>
        <w:t>Strand Lobben</w:t>
      </w:r>
      <w:r>
        <w:rPr>
          <w:rFonts w:asciiTheme="minorHAnsi" w:hAnsiTheme="minorHAnsi"/>
          <w:i/>
          <w:color w:val="auto"/>
          <w:sz w:val="24"/>
          <w:szCs w:val="24"/>
        </w:rPr>
        <w:t xml:space="preserve"> i Inni p. Norwegii</w:t>
      </w:r>
      <w:r w:rsidRPr="00077E55">
        <w:rPr>
          <w:rFonts w:asciiTheme="minorHAnsi" w:hAnsiTheme="minorHAnsi"/>
          <w:color w:val="auto"/>
          <w:sz w:val="24"/>
          <w:szCs w:val="24"/>
        </w:rPr>
        <w:t xml:space="preserve">, skarga nr </w:t>
      </w:r>
      <w:hyperlink r:id="rId36" w:anchor="{&quot;appno&quot;:[&quot;37283/13&quot;]}" w:tgtFrame="_blank" w:history="1">
        <w:r w:rsidRPr="00077E55">
          <w:rPr>
            <w:rFonts w:asciiTheme="minorHAnsi" w:hAnsiTheme="minorHAnsi"/>
            <w:color w:val="auto"/>
            <w:sz w:val="24"/>
            <w:szCs w:val="24"/>
          </w:rPr>
          <w:t>37283/13</w:t>
        </w:r>
      </w:hyperlink>
      <w:r w:rsidRPr="00077E55">
        <w:rPr>
          <w:rFonts w:asciiTheme="minorHAnsi" w:hAnsiTheme="minorHAnsi"/>
          <w:color w:val="auto"/>
          <w:sz w:val="24"/>
          <w:szCs w:val="24"/>
        </w:rPr>
        <w:t>, wyrok Wielkiej Izby z dnia 10</w:t>
      </w:r>
      <w:r w:rsidR="00227D65">
        <w:rPr>
          <w:rFonts w:asciiTheme="minorHAnsi" w:hAnsiTheme="minorHAnsi"/>
          <w:color w:val="auto"/>
          <w:sz w:val="24"/>
          <w:szCs w:val="24"/>
        </w:rPr>
        <w:t> </w:t>
      </w:r>
      <w:r w:rsidRPr="00077E55">
        <w:rPr>
          <w:rFonts w:asciiTheme="minorHAnsi" w:hAnsiTheme="minorHAnsi"/>
          <w:color w:val="auto"/>
          <w:sz w:val="24"/>
          <w:szCs w:val="24"/>
        </w:rPr>
        <w:t>września 2019 r.</w:t>
      </w:r>
      <w:bookmarkEnd w:id="20"/>
    </w:p>
    <w:p w14:paraId="6B12880A" w14:textId="77777777" w:rsidR="00950534" w:rsidRDefault="00950534" w:rsidP="00950534">
      <w:pPr>
        <w:pStyle w:val="Akapitzlist"/>
        <w:widowControl w:val="0"/>
        <w:numPr>
          <w:ilvl w:val="0"/>
          <w:numId w:val="17"/>
        </w:numPr>
        <w:spacing w:after="0" w:line="240" w:lineRule="auto"/>
        <w:ind w:left="426"/>
        <w:jc w:val="both"/>
        <w:outlineLvl w:val="2"/>
        <w:rPr>
          <w:b/>
          <w:color w:val="000000" w:themeColor="text1"/>
          <w:sz w:val="24"/>
          <w:szCs w:val="24"/>
          <w:lang w:val="pl-PL"/>
        </w:rPr>
      </w:pPr>
      <w:r>
        <w:rPr>
          <w:b/>
          <w:iCs/>
          <w:color w:val="000000" w:themeColor="text1"/>
          <w:sz w:val="24"/>
          <w:szCs w:val="24"/>
          <w:lang w:val="pl-PL"/>
        </w:rPr>
        <w:t>naruszenie art. 8 Konwencji (prawo do poszanowania życia prywatnego i rodzinnego – aspekt prawa do poszanowania życia rodzinnego) z uwagi na w</w:t>
      </w:r>
      <w:r w:rsidRPr="00072B78">
        <w:rPr>
          <w:b/>
          <w:color w:val="000000" w:themeColor="text1"/>
          <w:sz w:val="24"/>
          <w:szCs w:val="24"/>
          <w:lang w:val="pl-PL"/>
        </w:rPr>
        <w:t>ady procesu decyzyjnego prowadzącego do adopcji wrażliwego dziecka przez rodziców zastępczych</w:t>
      </w:r>
    </w:p>
    <w:p w14:paraId="40F9E045" w14:textId="77777777" w:rsidR="00950534" w:rsidRPr="00A80201" w:rsidRDefault="00950534" w:rsidP="00950534">
      <w:pPr>
        <w:pStyle w:val="ClinContent"/>
        <w:widowControl w:val="0"/>
        <w:spacing w:before="0"/>
        <w:rPr>
          <w:rFonts w:asciiTheme="minorHAnsi" w:hAnsiTheme="minorHAnsi"/>
          <w:sz w:val="24"/>
          <w:lang w:val="pl-PL"/>
        </w:rPr>
      </w:pPr>
    </w:p>
    <w:p w14:paraId="4D1D7BA0" w14:textId="77777777" w:rsidR="00950534" w:rsidRDefault="00950534" w:rsidP="00950534">
      <w:pPr>
        <w:pStyle w:val="s6c429373"/>
        <w:widowControl w:val="0"/>
        <w:spacing w:before="0" w:beforeAutospacing="0" w:after="0" w:afterAutospacing="0"/>
        <w:jc w:val="both"/>
        <w:rPr>
          <w:rStyle w:val="sfbbfee58"/>
          <w:rFonts w:asciiTheme="minorHAnsi" w:eastAsia="Calibri" w:hAnsiTheme="minorHAnsi"/>
          <w:lang w:val="pl-PL"/>
        </w:rPr>
      </w:pPr>
      <w:r w:rsidRPr="00900A63">
        <w:rPr>
          <w:rStyle w:val="sfbbfee58"/>
          <w:rFonts w:asciiTheme="minorHAnsi" w:eastAsia="Calibri" w:hAnsiTheme="minorHAnsi"/>
          <w:lang w:val="pl-PL"/>
        </w:rPr>
        <w:t>We wrześniu 2008 r. pierwsza skarżąca, która była wówczas osobą samotną, urodziła swoje pierwsze dziecko X</w:t>
      </w:r>
      <w:r>
        <w:rPr>
          <w:rStyle w:val="sfbbfee58"/>
          <w:rFonts w:asciiTheme="minorHAnsi" w:eastAsia="Calibri" w:hAnsiTheme="minorHAnsi"/>
          <w:lang w:val="pl-PL"/>
        </w:rPr>
        <w:t xml:space="preserve"> (drugi skarżący)</w:t>
      </w:r>
      <w:r w:rsidRPr="00900A63">
        <w:rPr>
          <w:rStyle w:val="sfbbfee58"/>
          <w:rFonts w:asciiTheme="minorHAnsi" w:eastAsia="Calibri" w:hAnsiTheme="minorHAnsi"/>
          <w:lang w:val="pl-PL"/>
        </w:rPr>
        <w:t xml:space="preserve">. Służby ds. ochrony dzieci uznały, że potrzebuje ona wskazówek, w jaki sposób opiekować się X. W konsekwencji zgodziła się pozostać ze swym synem w ośrodku rodzinnym podczas pierwszych miesięcy życia dziecka, tak aby można było ocenić jej zdolność do zapewnienia dziecku odpowiedniej opieki. Trzy tygodnie później wycofała swoją zgodę. Z uwagi na zaniepokojenie personelu ośrodka, czy dziecko otrzymuje wystarczająco dużo pożywienia, służby ds. ochrony dzieci uzyskały, w październiku 2008 r., nakaz pilnego umieszczenia dziecka w opiece, na podstawie którego zostało ono tymczasowo powierzone rodzinie zastępczej, a następnie, w marcu 2009 r., nakaz stałej opieki. W 2010 r. sąd apelacyjny postanowił, że opieka zastępcza będzie długoterminowa, a kontakty skarżącej z dzieckiem, które nie miały prowadzić do powrotu X do matki biologicznej, będą mogły się odbywać nie częściej niż cztery razy w roku po dwie godziny. </w:t>
      </w:r>
    </w:p>
    <w:p w14:paraId="7F1C8AAE" w14:textId="77777777" w:rsidR="00950534" w:rsidRDefault="00950534" w:rsidP="00950534">
      <w:pPr>
        <w:pStyle w:val="s6c429373"/>
        <w:widowControl w:val="0"/>
        <w:spacing w:before="0" w:beforeAutospacing="0" w:after="0" w:afterAutospacing="0"/>
        <w:jc w:val="both"/>
        <w:rPr>
          <w:rStyle w:val="sfbbfee58"/>
          <w:rFonts w:asciiTheme="minorHAnsi" w:eastAsia="Calibri" w:hAnsiTheme="minorHAnsi"/>
          <w:lang w:val="pl-PL"/>
        </w:rPr>
      </w:pPr>
    </w:p>
    <w:p w14:paraId="05012216" w14:textId="1C9D979C" w:rsidR="00950534" w:rsidRDefault="00950534" w:rsidP="00950534">
      <w:pPr>
        <w:pStyle w:val="s6c429373"/>
        <w:widowControl w:val="0"/>
        <w:spacing w:before="0" w:beforeAutospacing="0" w:after="0" w:afterAutospacing="0"/>
        <w:jc w:val="both"/>
        <w:rPr>
          <w:rStyle w:val="sfbbfee58"/>
          <w:rFonts w:asciiTheme="minorHAnsi" w:eastAsia="Calibri" w:hAnsiTheme="minorHAnsi"/>
          <w:lang w:val="pl-PL"/>
        </w:rPr>
      </w:pPr>
      <w:r w:rsidRPr="00900A63">
        <w:rPr>
          <w:rStyle w:val="sfbbfee58"/>
          <w:rFonts w:asciiTheme="minorHAnsi" w:eastAsia="Calibri" w:hAnsiTheme="minorHAnsi"/>
          <w:lang w:val="pl-PL"/>
        </w:rPr>
        <w:t>W grudniu 2011 r. Rada Opieki Społecznej wydała zarządzenie pozbawiające matkę władzy rodzicielskiej i upoważniające rodziców zastępczych do adopcji dziecka. Zarządzenie to</w:t>
      </w:r>
      <w:r w:rsidR="00227D65">
        <w:rPr>
          <w:rStyle w:val="sfbbfee58"/>
          <w:rFonts w:asciiTheme="minorHAnsi" w:eastAsia="Calibri" w:hAnsiTheme="minorHAnsi"/>
          <w:lang w:val="pl-PL"/>
        </w:rPr>
        <w:t> </w:t>
      </w:r>
      <w:r w:rsidRPr="00900A63">
        <w:rPr>
          <w:rStyle w:val="sfbbfee58"/>
          <w:rFonts w:asciiTheme="minorHAnsi" w:eastAsia="Calibri" w:hAnsiTheme="minorHAnsi"/>
          <w:lang w:val="pl-PL"/>
        </w:rPr>
        <w:t xml:space="preserve">zostało utrzymane w mocy przez Sąd Miejski w lutym 2012 r. Uznano, że </w:t>
      </w:r>
      <w:r>
        <w:rPr>
          <w:rStyle w:val="sfbbfee58"/>
          <w:rFonts w:asciiTheme="minorHAnsi" w:eastAsia="Calibri" w:hAnsiTheme="minorHAnsi"/>
          <w:lang w:val="pl-PL"/>
        </w:rPr>
        <w:t>chociaż</w:t>
      </w:r>
      <w:r w:rsidRPr="00900A63">
        <w:rPr>
          <w:rStyle w:val="sfbbfee58"/>
          <w:rFonts w:asciiTheme="minorHAnsi" w:eastAsia="Calibri" w:hAnsiTheme="minorHAnsi"/>
          <w:lang w:val="pl-PL"/>
        </w:rPr>
        <w:t xml:space="preserve"> ogólna sytuacja pierwszej skarżącej poprawiła się (wyszła za mąż i urodziła córkę, którą najwidoczniej potrafiła się opiekować), nie była ona wystarczająco zdolna do dostrzegania lub rozumienia specjalnych potrzeb dziecka, które – z uwagi na stwierdzone zaniedbania opiekuńcze w początkowym okresie życia dziecka – dwóch biegłych opisało jako dziecko psychologicznie wrażliwe, potrzebujące dużo spokoju, bezpieczeństwa i wsparcia, i</w:t>
      </w:r>
      <w:r w:rsidR="00227D65">
        <w:rPr>
          <w:rStyle w:val="sfbbfee58"/>
          <w:rFonts w:asciiTheme="minorHAnsi" w:eastAsia="Calibri" w:hAnsiTheme="minorHAnsi"/>
          <w:lang w:val="pl-PL"/>
        </w:rPr>
        <w:t> </w:t>
      </w:r>
      <w:r w:rsidRPr="00900A63">
        <w:rPr>
          <w:rStyle w:val="sfbbfee58"/>
          <w:rFonts w:asciiTheme="minorHAnsi" w:eastAsia="Calibri" w:hAnsiTheme="minorHAnsi"/>
          <w:lang w:val="pl-PL"/>
        </w:rPr>
        <w:t>co</w:t>
      </w:r>
      <w:r w:rsidR="00227D65">
        <w:rPr>
          <w:rStyle w:val="sfbbfee58"/>
          <w:rFonts w:asciiTheme="minorHAnsi" w:eastAsia="Calibri" w:hAnsiTheme="minorHAnsi"/>
          <w:lang w:val="pl-PL"/>
        </w:rPr>
        <w:t> </w:t>
      </w:r>
      <w:r w:rsidRPr="00900A63">
        <w:rPr>
          <w:rStyle w:val="sfbbfee58"/>
          <w:rFonts w:asciiTheme="minorHAnsi" w:eastAsia="Calibri" w:hAnsiTheme="minorHAnsi"/>
          <w:lang w:val="pl-PL"/>
        </w:rPr>
        <w:t>do</w:t>
      </w:r>
      <w:r w:rsidR="00227D65">
        <w:rPr>
          <w:rStyle w:val="sfbbfee58"/>
          <w:rFonts w:asciiTheme="minorHAnsi" w:eastAsia="Calibri" w:hAnsiTheme="minorHAnsi"/>
          <w:lang w:val="pl-PL"/>
        </w:rPr>
        <w:t> </w:t>
      </w:r>
      <w:r w:rsidRPr="00900A63">
        <w:rPr>
          <w:rStyle w:val="sfbbfee58"/>
          <w:rFonts w:asciiTheme="minorHAnsi" w:eastAsia="Calibri" w:hAnsiTheme="minorHAnsi"/>
          <w:lang w:val="pl-PL"/>
        </w:rPr>
        <w:t>którego istniało znaczące zagrożenie, że w razie niespełnienia jego potrzeb nie będzie się normalnie rozwijać. W swojej decyzji sąd norweski uwzględnił, że dziecko rozwinęło więzi z rodzicami zastępczymi, jako że mieszkało z nimi prawie od urodzenia, i uznał, że adopcja da</w:t>
      </w:r>
      <w:r w:rsidR="00227D65">
        <w:rPr>
          <w:rStyle w:val="sfbbfee58"/>
          <w:rFonts w:asciiTheme="minorHAnsi" w:eastAsia="Calibri" w:hAnsiTheme="minorHAnsi"/>
          <w:lang w:val="pl-PL"/>
        </w:rPr>
        <w:t> </w:t>
      </w:r>
      <w:r w:rsidRPr="00900A63">
        <w:rPr>
          <w:rStyle w:val="sfbbfee58"/>
          <w:rFonts w:asciiTheme="minorHAnsi" w:eastAsia="Calibri" w:hAnsiTheme="minorHAnsi"/>
          <w:lang w:val="pl-PL"/>
        </w:rPr>
        <w:t>mu poczucie przynależności i bezpieczeństwa. Sąd wziął pod uwagę kontakty między skarżącą a dzieckiem w ciągu trzech lat, w trakcie których nie nawiązało o</w:t>
      </w:r>
      <w:r>
        <w:rPr>
          <w:rStyle w:val="sfbbfee58"/>
          <w:rFonts w:asciiTheme="minorHAnsi" w:eastAsia="Calibri" w:hAnsiTheme="minorHAnsi"/>
          <w:lang w:val="pl-PL"/>
        </w:rPr>
        <w:t xml:space="preserve">no więzi emocjonalnych z matką. Miał na uwadze </w:t>
      </w:r>
      <w:r w:rsidRPr="00900A63">
        <w:rPr>
          <w:rStyle w:val="sfbbfee58"/>
          <w:rFonts w:asciiTheme="minorHAnsi" w:eastAsia="Calibri" w:hAnsiTheme="minorHAnsi"/>
          <w:lang w:val="pl-PL"/>
        </w:rPr>
        <w:t>także poczucie bezpieczeństwa, jakie mogli mu</w:t>
      </w:r>
      <w:r w:rsidR="00227D65">
        <w:rPr>
          <w:rStyle w:val="sfbbfee58"/>
          <w:rFonts w:asciiTheme="minorHAnsi" w:eastAsia="Calibri" w:hAnsiTheme="minorHAnsi"/>
          <w:lang w:val="pl-PL"/>
        </w:rPr>
        <w:t> </w:t>
      </w:r>
      <w:r w:rsidRPr="00900A63">
        <w:rPr>
          <w:rStyle w:val="sfbbfee58"/>
          <w:rFonts w:asciiTheme="minorHAnsi" w:eastAsia="Calibri" w:hAnsiTheme="minorHAnsi"/>
          <w:lang w:val="pl-PL"/>
        </w:rPr>
        <w:t xml:space="preserve">zapewnić rodzice zastępczy, których dziecko uważało za swych rodziców. </w:t>
      </w:r>
    </w:p>
    <w:p w14:paraId="178556A0" w14:textId="77777777" w:rsidR="00950534" w:rsidRDefault="00950534" w:rsidP="00950534">
      <w:pPr>
        <w:pStyle w:val="s6c429373"/>
        <w:widowControl w:val="0"/>
        <w:spacing w:before="0" w:beforeAutospacing="0" w:after="0" w:afterAutospacing="0"/>
        <w:jc w:val="both"/>
        <w:rPr>
          <w:rStyle w:val="sfbbfee58"/>
          <w:rFonts w:asciiTheme="minorHAnsi" w:eastAsia="Calibri" w:hAnsiTheme="minorHAnsi"/>
          <w:lang w:val="pl-PL"/>
        </w:rPr>
      </w:pPr>
    </w:p>
    <w:p w14:paraId="7158E72D" w14:textId="77777777" w:rsidR="00950534" w:rsidRDefault="00950534" w:rsidP="00950534">
      <w:pPr>
        <w:pStyle w:val="s6c429373"/>
        <w:widowControl w:val="0"/>
        <w:spacing w:before="0" w:beforeAutospacing="0" w:after="0" w:afterAutospacing="0"/>
        <w:jc w:val="both"/>
        <w:rPr>
          <w:rFonts w:asciiTheme="minorHAnsi" w:hAnsiTheme="minorHAnsi"/>
          <w:lang w:val="pl-PL"/>
        </w:rPr>
      </w:pPr>
      <w:r w:rsidRPr="00B15C52">
        <w:rPr>
          <w:rStyle w:val="sfbbfee58"/>
          <w:rFonts w:asciiTheme="minorHAnsi" w:eastAsia="Calibri" w:hAnsiTheme="minorHAnsi"/>
          <w:lang w:val="pl-PL"/>
        </w:rPr>
        <w:t xml:space="preserve">W wyroku wydanym dnia 30 listopada 2017 r. (zobacz </w:t>
      </w:r>
      <w:hyperlink r:id="rId37" w:tgtFrame="_blank" w:history="1">
        <w:r w:rsidRPr="00B15C52">
          <w:rPr>
            <w:rStyle w:val="s3ca6e50f"/>
            <w:rFonts w:asciiTheme="minorHAnsi" w:hAnsiTheme="minorHAnsi"/>
            <w:color w:val="0000FF"/>
            <w:u w:val="single"/>
            <w:lang w:val="pl-PL"/>
          </w:rPr>
          <w:t>Nota Informacyjna nt. orzecznictwa nr 212</w:t>
        </w:r>
      </w:hyperlink>
      <w:r w:rsidRPr="00B15C52">
        <w:rPr>
          <w:rStyle w:val="sfbbfee58"/>
          <w:rFonts w:asciiTheme="minorHAnsi" w:eastAsia="Calibri" w:hAnsiTheme="minorHAnsi"/>
          <w:lang w:val="pl-PL"/>
        </w:rPr>
        <w:t xml:space="preserve">) Izba Trybunału uznała czterema głosami do trzech, że nie doszło do naruszenia art. 8. </w:t>
      </w:r>
    </w:p>
    <w:p w14:paraId="7AA9AC3E" w14:textId="77777777" w:rsidR="00950534" w:rsidRDefault="00950534" w:rsidP="00950534">
      <w:pPr>
        <w:pStyle w:val="s6c429373"/>
        <w:widowControl w:val="0"/>
        <w:spacing w:before="0" w:beforeAutospacing="0" w:after="0" w:afterAutospacing="0"/>
        <w:jc w:val="both"/>
        <w:rPr>
          <w:rFonts w:asciiTheme="minorHAnsi" w:hAnsiTheme="minorHAnsi"/>
          <w:lang w:val="pl-PL"/>
        </w:rPr>
      </w:pPr>
    </w:p>
    <w:p w14:paraId="5A41D350" w14:textId="77777777" w:rsidR="00950534" w:rsidRDefault="00950534" w:rsidP="00950534">
      <w:pPr>
        <w:pStyle w:val="s6c429373"/>
        <w:widowControl w:val="0"/>
        <w:spacing w:before="0" w:beforeAutospacing="0" w:after="0" w:afterAutospacing="0"/>
        <w:jc w:val="both"/>
        <w:rPr>
          <w:rStyle w:val="sfbbfee58"/>
          <w:rFonts w:asciiTheme="minorHAnsi" w:eastAsia="Calibri" w:hAnsiTheme="minorHAnsi"/>
          <w:lang w:val="pl-PL"/>
        </w:rPr>
      </w:pPr>
      <w:r w:rsidRPr="00B15C52">
        <w:rPr>
          <w:rStyle w:val="sfbbfee58"/>
          <w:rFonts w:asciiTheme="minorHAnsi" w:eastAsia="Calibri" w:hAnsiTheme="minorHAnsi"/>
          <w:lang w:val="pl-PL"/>
        </w:rPr>
        <w:t>W dniu 9 kwietnia 2018 r. sprawa została przekazana do Wielkiej Izby na wniosek skarżącej.</w:t>
      </w:r>
    </w:p>
    <w:p w14:paraId="2A548998" w14:textId="77777777" w:rsidR="00950534" w:rsidRDefault="00950534" w:rsidP="00950534">
      <w:pPr>
        <w:pStyle w:val="s6c429373"/>
        <w:widowControl w:val="0"/>
        <w:spacing w:before="0" w:beforeAutospacing="0" w:after="0" w:afterAutospacing="0"/>
        <w:jc w:val="both"/>
        <w:rPr>
          <w:rStyle w:val="sfbbfee58"/>
          <w:rFonts w:asciiTheme="minorHAnsi" w:eastAsia="Calibri" w:hAnsiTheme="minorHAnsi"/>
          <w:lang w:val="pl-PL"/>
        </w:rPr>
      </w:pPr>
    </w:p>
    <w:p w14:paraId="082F446B" w14:textId="4FE2C25C" w:rsidR="00950534" w:rsidRDefault="00950534" w:rsidP="00950534">
      <w:pPr>
        <w:pStyle w:val="s6c429373"/>
        <w:widowControl w:val="0"/>
        <w:spacing w:before="0" w:beforeAutospacing="0" w:after="0" w:afterAutospacing="0"/>
        <w:jc w:val="both"/>
        <w:rPr>
          <w:rStyle w:val="sfbbfee58"/>
          <w:rFonts w:asciiTheme="minorHAnsi" w:eastAsia="Calibri" w:hAnsiTheme="minorHAnsi"/>
          <w:lang w:val="pl-PL"/>
        </w:rPr>
      </w:pPr>
      <w:r>
        <w:rPr>
          <w:rStyle w:val="sfbbfee58"/>
          <w:rFonts w:asciiTheme="minorHAnsi" w:eastAsia="Calibri" w:hAnsiTheme="minorHAnsi"/>
          <w:lang w:val="pl-PL"/>
        </w:rPr>
        <w:lastRenderedPageBreak/>
        <w:t>Wielka Izba zbadała sprawę w świetle gwarancji prawa do poszanowania życia rodzinnego na</w:t>
      </w:r>
      <w:r w:rsidR="00227D65">
        <w:rPr>
          <w:rStyle w:val="sfbbfee58"/>
          <w:rFonts w:asciiTheme="minorHAnsi" w:eastAsia="Calibri" w:hAnsiTheme="minorHAnsi"/>
          <w:lang w:val="pl-PL"/>
        </w:rPr>
        <w:t> </w:t>
      </w:r>
      <w:r>
        <w:rPr>
          <w:rStyle w:val="sfbbfee58"/>
          <w:rFonts w:asciiTheme="minorHAnsi" w:eastAsia="Calibri" w:hAnsiTheme="minorHAnsi"/>
          <w:lang w:val="pl-PL"/>
        </w:rPr>
        <w:t xml:space="preserve">podstawie art. 8 Konwencji. </w:t>
      </w:r>
    </w:p>
    <w:p w14:paraId="18607931" w14:textId="77777777" w:rsidR="00950534" w:rsidRDefault="00950534" w:rsidP="00950534">
      <w:pPr>
        <w:pStyle w:val="s6c429373"/>
        <w:widowControl w:val="0"/>
        <w:spacing w:before="0" w:beforeAutospacing="0" w:after="0" w:afterAutospacing="0"/>
        <w:jc w:val="both"/>
        <w:rPr>
          <w:rStyle w:val="sfbbfee58"/>
          <w:rFonts w:asciiTheme="minorHAnsi" w:eastAsia="Calibri" w:hAnsiTheme="minorHAnsi"/>
          <w:lang w:val="pl-PL"/>
        </w:rPr>
      </w:pPr>
    </w:p>
    <w:p w14:paraId="481608BE" w14:textId="77777777" w:rsidR="00950534" w:rsidRDefault="00950534" w:rsidP="00950534">
      <w:pPr>
        <w:pStyle w:val="s6c429373"/>
        <w:widowControl w:val="0"/>
        <w:spacing w:before="0" w:beforeAutospacing="0" w:after="0" w:afterAutospacing="0"/>
        <w:jc w:val="both"/>
        <w:rPr>
          <w:rStyle w:val="sfbbfee58"/>
          <w:rFonts w:asciiTheme="minorHAnsi" w:eastAsia="Calibri" w:hAnsiTheme="minorHAnsi"/>
          <w:lang w:val="pl-PL"/>
        </w:rPr>
      </w:pPr>
      <w:r w:rsidRPr="00B15C52">
        <w:rPr>
          <w:rStyle w:val="sfbbfee58"/>
          <w:rFonts w:asciiTheme="minorHAnsi" w:eastAsia="Calibri" w:hAnsiTheme="minorHAnsi"/>
          <w:lang w:val="pl-PL"/>
        </w:rPr>
        <w:t xml:space="preserve">Mając na względzie swą jurysdykcję temporalną, Trybunał skoncentrował uwagę na analizie przeprowadzonej przez Sąd Miejski w wyroku z lutego 2012 r. </w:t>
      </w:r>
    </w:p>
    <w:p w14:paraId="105A46DB" w14:textId="77777777" w:rsidR="00950534" w:rsidRDefault="00950534" w:rsidP="00950534">
      <w:pPr>
        <w:pStyle w:val="s6c429373"/>
        <w:widowControl w:val="0"/>
        <w:spacing w:before="0" w:beforeAutospacing="0" w:after="0" w:afterAutospacing="0"/>
        <w:jc w:val="both"/>
        <w:rPr>
          <w:rStyle w:val="sfbbfee58"/>
          <w:rFonts w:asciiTheme="minorHAnsi" w:eastAsia="Calibri" w:hAnsiTheme="minorHAnsi"/>
          <w:lang w:val="pl-PL"/>
        </w:rPr>
      </w:pPr>
    </w:p>
    <w:p w14:paraId="725CED43" w14:textId="467CD90F" w:rsidR="00950534" w:rsidRDefault="00950534" w:rsidP="00950534">
      <w:pPr>
        <w:pStyle w:val="s6c429373"/>
        <w:widowControl w:val="0"/>
        <w:spacing w:before="0" w:beforeAutospacing="0" w:after="0" w:afterAutospacing="0"/>
        <w:jc w:val="both"/>
        <w:rPr>
          <w:rFonts w:asciiTheme="minorHAnsi" w:hAnsiTheme="minorHAnsi"/>
          <w:lang w:val="pl-PL"/>
        </w:rPr>
      </w:pPr>
      <w:r>
        <w:rPr>
          <w:rStyle w:val="sfbbfee58"/>
          <w:rFonts w:asciiTheme="minorHAnsi" w:eastAsia="Calibri" w:hAnsiTheme="minorHAnsi"/>
          <w:lang w:val="pl-PL"/>
        </w:rPr>
        <w:t xml:space="preserve">Trybunał odnotował, że </w:t>
      </w:r>
      <w:r w:rsidRPr="00B15C52">
        <w:rPr>
          <w:rStyle w:val="sfbbfee58"/>
          <w:rFonts w:asciiTheme="minorHAnsi" w:eastAsia="Calibri" w:hAnsiTheme="minorHAnsi"/>
          <w:lang w:val="pl-PL"/>
        </w:rPr>
        <w:t>Sąd Miejski był złożony z sędziego zawodowego, psychologa i</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ławnika. Zorganizował trzydniową rozprawę z udziałem pierwszej skarżącej i jej adwokata, na której przesłuchano 21 świadków, w tym biegłych. Ponadto sąd ten działał jako instancja odwoławcza, a wcześniej podobne postępowanie przeprowadziła powiatowa Rada Opieki Społecznej w składzie podobnym do Sądu Miejskiego, która przedstawiła podobnie szerokie uzasadnienie. Wyrok Sądu Miejskiego był przedmiotem kontroli w ramach postępowania dotyczącego wyrażenia zgody na apelację przed Wysokim Sądem, które to postępowanie było z kolei przedmiotem kontroli rady apelacyjnej Sądu Najwyższego.</w:t>
      </w:r>
    </w:p>
    <w:p w14:paraId="72071BE6" w14:textId="77777777" w:rsidR="00950534" w:rsidRDefault="00950534" w:rsidP="00950534">
      <w:pPr>
        <w:pStyle w:val="s6c429373"/>
        <w:widowControl w:val="0"/>
        <w:spacing w:before="0" w:beforeAutospacing="0" w:after="0" w:afterAutospacing="0"/>
        <w:jc w:val="both"/>
        <w:rPr>
          <w:rFonts w:asciiTheme="minorHAnsi" w:hAnsiTheme="minorHAnsi"/>
          <w:lang w:val="pl-PL"/>
        </w:rPr>
      </w:pPr>
    </w:p>
    <w:p w14:paraId="15C62A70" w14:textId="4474E910" w:rsidR="00950534" w:rsidRDefault="00950534" w:rsidP="00950534">
      <w:pPr>
        <w:pStyle w:val="s6c429373"/>
        <w:widowControl w:val="0"/>
        <w:spacing w:before="0" w:beforeAutospacing="0" w:after="0" w:afterAutospacing="0"/>
        <w:jc w:val="both"/>
        <w:rPr>
          <w:rFonts w:asciiTheme="minorHAnsi" w:hAnsiTheme="minorHAnsi"/>
          <w:lang w:val="pl-PL"/>
        </w:rPr>
      </w:pPr>
      <w:r>
        <w:rPr>
          <w:rStyle w:val="sfbbfee58"/>
          <w:rFonts w:asciiTheme="minorHAnsi" w:eastAsia="Calibri" w:hAnsiTheme="minorHAnsi"/>
          <w:lang w:val="pl-PL"/>
        </w:rPr>
        <w:t>Trybunał odnotował, że n</w:t>
      </w:r>
      <w:r w:rsidRPr="00B15C52">
        <w:rPr>
          <w:rStyle w:val="sfbbfee58"/>
          <w:rFonts w:asciiTheme="minorHAnsi" w:eastAsia="Calibri" w:hAnsiTheme="minorHAnsi"/>
          <w:lang w:val="pl-PL"/>
        </w:rPr>
        <w:t>ałożenie zaskarżonych środków zależało głównie od zdolności rodzica biologicznego do opieki nad dzieckiem. Według Sądu Miejskiego należało uznać za</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 xml:space="preserve">prawdopodobne, że skarżąca będzie trwale niezdolna do zapewnienia </w:t>
      </w:r>
      <w:r w:rsidR="00227D65">
        <w:rPr>
          <w:rStyle w:val="sfbbfee58"/>
          <w:rFonts w:asciiTheme="minorHAnsi" w:eastAsia="Calibri" w:hAnsiTheme="minorHAnsi"/>
          <w:lang w:val="pl-PL"/>
        </w:rPr>
        <w:t xml:space="preserve">X </w:t>
      </w:r>
      <w:r w:rsidRPr="00B15C52">
        <w:rPr>
          <w:rStyle w:val="sfbbfee58"/>
          <w:rFonts w:asciiTheme="minorHAnsi" w:eastAsia="Calibri" w:hAnsiTheme="minorHAnsi"/>
          <w:lang w:val="pl-PL"/>
        </w:rPr>
        <w:t>odpowiedniej opieki lub że X stał się tak przywiązany do swego zastępczego domu i otoczenia, że</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w</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 xml:space="preserve">oparciu o całościową ocenę </w:t>
      </w:r>
      <w:r>
        <w:rPr>
          <w:rStyle w:val="sfbbfee58"/>
          <w:rFonts w:asciiTheme="minorHAnsi" w:eastAsia="Calibri" w:hAnsiTheme="minorHAnsi"/>
          <w:lang w:val="pl-PL"/>
        </w:rPr>
        <w:t xml:space="preserve">sprawy </w:t>
      </w:r>
      <w:r w:rsidRPr="00B15C52">
        <w:rPr>
          <w:rStyle w:val="sfbbfee58"/>
          <w:rFonts w:asciiTheme="minorHAnsi" w:eastAsia="Calibri" w:hAnsiTheme="minorHAnsi"/>
          <w:lang w:val="pl-PL"/>
        </w:rPr>
        <w:t>wydawało się, że odebranie go skutkowałoby dla niego poważnymi problemami. Nic w aktach sprawy nie wskazywało, że kompetencje rodzicielskie pierwszej skarżącej poprawiły się od czasu wyroku sądu apelacyjnego z kwietnia 2010 r. Pierwsza skarżąca nie zdawała sobie sprawy, że zaniedbywała X, i nie była w stanie skoncentrować się na nim i na tym, co jest dla niego najlepsze. Skarżąca wyszła za mąż i</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urodziła drugie dziecko, ale Sąd Miejski nie uznał tego za czynnik decydujący w odniesieniu do jej zdolności do opiekowania się X. Jest ono szczególnie wrażliwym dzieckiem, które doświadczyło poważnego i zagrażającego życiu zaniedbania w trakcie pierwszych trzech tygodni swojego życia. Sąd krajowy wziął również pod uwagę sposób, w jaki przebiegały spotkania między matką a dzieckiem. Ponadto, ponieważ X mieszkał w rodzinie zastępczej od trzech lat i nie znał pierwszej skarżącej, sąd uznał, że powrót X do</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matki wymagałby między innymi wielkiej zdolności do empatii oraz rozumienia dziecka i</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problemów, których doświadczałoby ono, czego pierwsza skarżąca i jej rodzina nie byli w</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stanie zapewnić.</w:t>
      </w:r>
    </w:p>
    <w:p w14:paraId="6E56C31B" w14:textId="77777777" w:rsidR="00950534" w:rsidRDefault="00950534" w:rsidP="00950534">
      <w:pPr>
        <w:pStyle w:val="s6c429373"/>
        <w:widowControl w:val="0"/>
        <w:spacing w:before="0" w:beforeAutospacing="0" w:after="0" w:afterAutospacing="0"/>
        <w:jc w:val="both"/>
        <w:rPr>
          <w:rFonts w:asciiTheme="minorHAnsi" w:hAnsiTheme="minorHAnsi"/>
          <w:lang w:val="pl-PL"/>
        </w:rPr>
      </w:pPr>
    </w:p>
    <w:p w14:paraId="1187DA66" w14:textId="1B43DC0C" w:rsidR="00950534" w:rsidRDefault="00950534" w:rsidP="00950534">
      <w:pPr>
        <w:pStyle w:val="s6c429373"/>
        <w:widowControl w:val="0"/>
        <w:spacing w:before="0" w:beforeAutospacing="0" w:after="0" w:afterAutospacing="0"/>
        <w:jc w:val="both"/>
        <w:rPr>
          <w:rFonts w:asciiTheme="minorHAnsi" w:hAnsiTheme="minorHAnsi"/>
          <w:lang w:val="pl-PL"/>
        </w:rPr>
      </w:pPr>
      <w:r w:rsidRPr="00B15C52">
        <w:rPr>
          <w:rStyle w:val="sfbbfee58"/>
          <w:rFonts w:asciiTheme="minorHAnsi" w:eastAsia="Calibri" w:hAnsiTheme="minorHAnsi"/>
          <w:lang w:val="pl-PL"/>
        </w:rPr>
        <w:t xml:space="preserve">Trybunał </w:t>
      </w:r>
      <w:r>
        <w:rPr>
          <w:rStyle w:val="sfbbfee58"/>
          <w:rFonts w:asciiTheme="minorHAnsi" w:eastAsia="Calibri" w:hAnsiTheme="minorHAnsi"/>
          <w:lang w:val="pl-PL"/>
        </w:rPr>
        <w:t xml:space="preserve">podkreślił, że jest świadom </w:t>
      </w:r>
      <w:r w:rsidRPr="00B15C52">
        <w:rPr>
          <w:rStyle w:val="sfbbfee58"/>
          <w:rFonts w:asciiTheme="minorHAnsi" w:eastAsia="Calibri" w:hAnsiTheme="minorHAnsi"/>
          <w:lang w:val="pl-PL"/>
        </w:rPr>
        <w:t xml:space="preserve">nadrzędnego interesu dziecka w procesie decyzyjnym. </w:t>
      </w:r>
      <w:r>
        <w:rPr>
          <w:rStyle w:val="sfbbfee58"/>
          <w:rFonts w:asciiTheme="minorHAnsi" w:eastAsia="Calibri" w:hAnsiTheme="minorHAnsi"/>
          <w:lang w:val="pl-PL"/>
        </w:rPr>
        <w:t>Wskazał j</w:t>
      </w:r>
      <w:r w:rsidRPr="00B15C52">
        <w:rPr>
          <w:rStyle w:val="sfbbfee58"/>
          <w:rFonts w:asciiTheme="minorHAnsi" w:eastAsia="Calibri" w:hAnsiTheme="minorHAnsi"/>
          <w:lang w:val="pl-PL"/>
        </w:rPr>
        <w:t>ednak</w:t>
      </w:r>
      <w:r>
        <w:rPr>
          <w:rStyle w:val="sfbbfee58"/>
          <w:rFonts w:asciiTheme="minorHAnsi" w:eastAsia="Calibri" w:hAnsiTheme="minorHAnsi"/>
          <w:lang w:val="pl-PL"/>
        </w:rPr>
        <w:t xml:space="preserve">, </w:t>
      </w:r>
      <w:r w:rsidRPr="00B15C52">
        <w:rPr>
          <w:rStyle w:val="sfbbfee58"/>
          <w:rFonts w:asciiTheme="minorHAnsi" w:eastAsia="Calibri" w:hAnsiTheme="minorHAnsi"/>
          <w:lang w:val="pl-PL"/>
        </w:rPr>
        <w:t>że władze krajowe nie podjęły próby przeprowadzenia rzeczywistego procesu ważenia interesów dziecka i jego rodziny biologicznej, lecz skoncentrowały się na interesach dziecka bez próby pogodzenia obu rodzajów interesów wchodzących w grę. Ponadto nie rozważyły one poważnie jakiejkolwiek możliwości połączenia dziecka z rodziną biologiczną. W tym kontekście Trybunał nie był w szczególności przekonany, że właściwe władze krajowe należycie rozważyły potencjalne znaczenie faktu, że w czasie, gdy pierwsza skarżąca wnioskowała o uchylenie zarządzenia w sprawie opieki lub alternatywnie o</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 xml:space="preserve">przyznanie szerszych praw do kontaktu, </w:t>
      </w:r>
      <w:r>
        <w:rPr>
          <w:rStyle w:val="sfbbfee58"/>
          <w:rFonts w:asciiTheme="minorHAnsi" w:eastAsia="Calibri" w:hAnsiTheme="minorHAnsi"/>
          <w:lang w:val="pl-PL"/>
        </w:rPr>
        <w:t xml:space="preserve">była zamężna </w:t>
      </w:r>
      <w:r w:rsidRPr="00B15C52">
        <w:rPr>
          <w:rStyle w:val="sfbbfee58"/>
          <w:rFonts w:asciiTheme="minorHAnsi" w:eastAsia="Calibri" w:hAnsiTheme="minorHAnsi"/>
          <w:lang w:val="pl-PL"/>
        </w:rPr>
        <w:t>i urodziła drugie dziecko. W tym względzie</w:t>
      </w:r>
      <w:r>
        <w:rPr>
          <w:rStyle w:val="sfbbfee58"/>
          <w:rFonts w:asciiTheme="minorHAnsi" w:eastAsia="Calibri" w:hAnsiTheme="minorHAnsi"/>
          <w:lang w:val="pl-PL"/>
        </w:rPr>
        <w:t xml:space="preserve"> Trybunał zauważył że</w:t>
      </w:r>
      <w:r w:rsidRPr="00B15C52">
        <w:rPr>
          <w:rStyle w:val="sfbbfee58"/>
          <w:rFonts w:asciiTheme="minorHAnsi" w:eastAsia="Calibri" w:hAnsiTheme="minorHAnsi"/>
          <w:lang w:val="pl-PL"/>
        </w:rPr>
        <w:t xml:space="preserve">, </w:t>
      </w:r>
      <w:r>
        <w:rPr>
          <w:rStyle w:val="sfbbfee58"/>
          <w:rFonts w:asciiTheme="minorHAnsi" w:eastAsia="Calibri" w:hAnsiTheme="minorHAnsi"/>
          <w:lang w:val="pl-PL"/>
        </w:rPr>
        <w:t>skoro</w:t>
      </w:r>
      <w:r w:rsidRPr="00B15C52">
        <w:rPr>
          <w:rStyle w:val="sfbbfee58"/>
          <w:rFonts w:asciiTheme="minorHAnsi" w:eastAsia="Calibri" w:hAnsiTheme="minorHAnsi"/>
          <w:lang w:val="pl-PL"/>
        </w:rPr>
        <w:t xml:space="preserve"> główną podstawą postanowienia Sądu Miejskiego była ocena </w:t>
      </w:r>
      <w:r>
        <w:rPr>
          <w:rStyle w:val="sfbbfee58"/>
          <w:rFonts w:asciiTheme="minorHAnsi" w:eastAsia="Calibri" w:hAnsiTheme="minorHAnsi"/>
          <w:lang w:val="pl-PL"/>
        </w:rPr>
        <w:t xml:space="preserve">o </w:t>
      </w:r>
      <w:r w:rsidRPr="00B15C52">
        <w:rPr>
          <w:rStyle w:val="sfbbfee58"/>
          <w:rFonts w:asciiTheme="minorHAnsi" w:eastAsia="Calibri" w:hAnsiTheme="minorHAnsi"/>
          <w:lang w:val="pl-PL"/>
        </w:rPr>
        <w:t>braku zdolności pierwszej skarżącej do zapewnienia opieki, podstawy faktyczne, na których opierała się ta ocena, ujawniały szereg wad procesu decyzyjnego.</w:t>
      </w:r>
    </w:p>
    <w:p w14:paraId="23D22AA3" w14:textId="77777777" w:rsidR="00950534" w:rsidRDefault="00950534" w:rsidP="00950534">
      <w:pPr>
        <w:pStyle w:val="s6c429373"/>
        <w:widowControl w:val="0"/>
        <w:spacing w:before="0" w:beforeAutospacing="0" w:after="0" w:afterAutospacing="0"/>
        <w:jc w:val="both"/>
        <w:rPr>
          <w:rFonts w:asciiTheme="minorHAnsi" w:hAnsiTheme="minorHAnsi"/>
          <w:lang w:val="pl-PL"/>
        </w:rPr>
      </w:pPr>
    </w:p>
    <w:p w14:paraId="20651750" w14:textId="77777777" w:rsidR="00FA6F64" w:rsidRDefault="00FA6F64" w:rsidP="00950534">
      <w:pPr>
        <w:pStyle w:val="s6c429373"/>
        <w:widowControl w:val="0"/>
        <w:spacing w:before="0" w:beforeAutospacing="0" w:after="0" w:afterAutospacing="0"/>
        <w:jc w:val="both"/>
        <w:rPr>
          <w:rStyle w:val="sfbbfee58"/>
          <w:rFonts w:asciiTheme="minorHAnsi" w:eastAsia="Calibri" w:hAnsiTheme="minorHAnsi"/>
          <w:lang w:val="pl-PL"/>
        </w:rPr>
      </w:pPr>
    </w:p>
    <w:p w14:paraId="50BA6FCD" w14:textId="23CA35D3" w:rsidR="00950534" w:rsidRDefault="00950534" w:rsidP="00950534">
      <w:pPr>
        <w:pStyle w:val="s6c429373"/>
        <w:widowControl w:val="0"/>
        <w:spacing w:before="0" w:beforeAutospacing="0" w:after="0" w:afterAutospacing="0"/>
        <w:jc w:val="both"/>
        <w:rPr>
          <w:rFonts w:asciiTheme="minorHAnsi" w:hAnsiTheme="minorHAnsi"/>
          <w:lang w:val="pl-PL"/>
        </w:rPr>
      </w:pPr>
      <w:r>
        <w:rPr>
          <w:rStyle w:val="sfbbfee58"/>
          <w:rFonts w:asciiTheme="minorHAnsi" w:eastAsia="Calibri" w:hAnsiTheme="minorHAnsi"/>
          <w:lang w:val="pl-PL"/>
        </w:rPr>
        <w:lastRenderedPageBreak/>
        <w:t xml:space="preserve">Trybunał przypomniał również, przedmiotowe </w:t>
      </w:r>
      <w:r w:rsidRPr="00B15C52">
        <w:rPr>
          <w:rStyle w:val="sfbbfee58"/>
          <w:rFonts w:asciiTheme="minorHAnsi" w:eastAsia="Calibri" w:hAnsiTheme="minorHAnsi"/>
          <w:lang w:val="pl-PL"/>
        </w:rPr>
        <w:t xml:space="preserve">rozstrzygnięcia zostały podjęte w kontekście, w którym istniał jedynie bardzo ograniczony kontakt między pierwszą skarżącą a X. Warunki, w jakich organizowane były te kontakty, nie były szczególnie sprzyjające swobodnemu tworzeniu przez nich więzi. </w:t>
      </w:r>
      <w:r>
        <w:rPr>
          <w:rStyle w:val="sfbbfee58"/>
          <w:rFonts w:asciiTheme="minorHAnsi" w:eastAsia="Calibri" w:hAnsiTheme="minorHAnsi"/>
          <w:lang w:val="pl-PL"/>
        </w:rPr>
        <w:t>Chociaż</w:t>
      </w:r>
      <w:r w:rsidRPr="00B15C52">
        <w:rPr>
          <w:rStyle w:val="sfbbfee58"/>
          <w:rFonts w:asciiTheme="minorHAnsi" w:eastAsia="Calibri" w:hAnsiTheme="minorHAnsi"/>
          <w:lang w:val="pl-PL"/>
        </w:rPr>
        <w:t xml:space="preserve"> odwiedziny te często nie przebiegały dobrze, wydaje się, że nie zrobiono prawie nic, by wypróbować alternatywne sposoby ich organizacji. Te</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sporadyczne kontakty dostarczyły zatem niewielu dowodów pozwalających na</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wyciągnięcie jasnych wniosków co do kompetencji pierwszej skarżącej w zakresie opieki.</w:t>
      </w:r>
    </w:p>
    <w:p w14:paraId="1B5FFB58" w14:textId="77777777" w:rsidR="00950534" w:rsidRDefault="00950534" w:rsidP="00950534">
      <w:pPr>
        <w:pStyle w:val="s6c429373"/>
        <w:widowControl w:val="0"/>
        <w:spacing w:before="0" w:beforeAutospacing="0" w:after="0" w:afterAutospacing="0"/>
        <w:jc w:val="both"/>
        <w:rPr>
          <w:rFonts w:asciiTheme="minorHAnsi" w:hAnsiTheme="minorHAnsi"/>
          <w:lang w:val="pl-PL"/>
        </w:rPr>
      </w:pPr>
    </w:p>
    <w:p w14:paraId="4C3A19B6" w14:textId="7E2A946A" w:rsidR="00950534" w:rsidRDefault="00950534" w:rsidP="00950534">
      <w:pPr>
        <w:pStyle w:val="s6c429373"/>
        <w:widowControl w:val="0"/>
        <w:spacing w:before="0" w:beforeAutospacing="0" w:after="0" w:afterAutospacing="0"/>
        <w:jc w:val="both"/>
        <w:rPr>
          <w:rFonts w:asciiTheme="minorHAnsi" w:hAnsiTheme="minorHAnsi"/>
          <w:lang w:val="pl-PL"/>
        </w:rPr>
      </w:pPr>
      <w:r>
        <w:rPr>
          <w:rStyle w:val="sfbbfee58"/>
          <w:rFonts w:asciiTheme="minorHAnsi" w:eastAsia="Calibri" w:hAnsiTheme="minorHAnsi"/>
          <w:lang w:val="pl-PL"/>
        </w:rPr>
        <w:t>Trybunał zauważył p</w:t>
      </w:r>
      <w:r w:rsidRPr="00B15C52">
        <w:rPr>
          <w:rStyle w:val="sfbbfee58"/>
          <w:rFonts w:asciiTheme="minorHAnsi" w:eastAsia="Calibri" w:hAnsiTheme="minorHAnsi"/>
          <w:lang w:val="pl-PL"/>
        </w:rPr>
        <w:t>onadto</w:t>
      </w:r>
      <w:r>
        <w:rPr>
          <w:rStyle w:val="sfbbfee58"/>
          <w:rFonts w:asciiTheme="minorHAnsi" w:eastAsia="Calibri" w:hAnsiTheme="minorHAnsi"/>
          <w:lang w:val="pl-PL"/>
        </w:rPr>
        <w:t>, że</w:t>
      </w:r>
      <w:r w:rsidRPr="00B15C52">
        <w:rPr>
          <w:rStyle w:val="sfbbfee58"/>
          <w:rFonts w:asciiTheme="minorHAnsi" w:eastAsia="Calibri" w:hAnsiTheme="minorHAnsi"/>
          <w:lang w:val="pl-PL"/>
        </w:rPr>
        <w:t xml:space="preserve"> nie została zarządzona aktualizacja opinii biegłych pomimo wniosku w tym względzie. Gdy wydawano zaskarżony wyrok, dwie dostępne opinie biegłych miały już dwa lata. Tylko jedna z tych opinii opierała się na obserwacji interakcji między skarżącymi i tylko w dwóch przypadkach. </w:t>
      </w:r>
      <w:r>
        <w:rPr>
          <w:rStyle w:val="sfbbfee58"/>
          <w:rFonts w:asciiTheme="minorHAnsi" w:eastAsia="Calibri" w:hAnsiTheme="minorHAnsi"/>
          <w:lang w:val="pl-PL"/>
        </w:rPr>
        <w:t>Zdaniem Trybunału b</w:t>
      </w:r>
      <w:r w:rsidRPr="00B15C52">
        <w:rPr>
          <w:rStyle w:val="sfbbfee58"/>
          <w:rFonts w:asciiTheme="minorHAnsi" w:eastAsia="Calibri" w:hAnsiTheme="minorHAnsi"/>
          <w:lang w:val="pl-PL"/>
        </w:rPr>
        <w:t>rak nowego badania przez</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biegłego znacząco ograniczył faktyczną ocenę nowej sytuacji pierwszej skarżącej i jej kompetencji w zakresie opieki w istotnym dla sprawy czasie.</w:t>
      </w:r>
      <w:r>
        <w:rPr>
          <w:rStyle w:val="sfbbfee58"/>
          <w:rFonts w:asciiTheme="minorHAnsi" w:eastAsia="Calibri" w:hAnsiTheme="minorHAnsi"/>
          <w:lang w:val="pl-PL"/>
        </w:rPr>
        <w:t xml:space="preserve"> </w:t>
      </w:r>
    </w:p>
    <w:p w14:paraId="6BF9448A" w14:textId="77777777" w:rsidR="00950534" w:rsidRDefault="00950534" w:rsidP="00950534">
      <w:pPr>
        <w:pStyle w:val="s6c429373"/>
        <w:widowControl w:val="0"/>
        <w:spacing w:before="0" w:beforeAutospacing="0" w:after="0" w:afterAutospacing="0"/>
        <w:jc w:val="both"/>
        <w:rPr>
          <w:rFonts w:asciiTheme="minorHAnsi" w:hAnsiTheme="minorHAnsi"/>
          <w:lang w:val="pl-PL"/>
        </w:rPr>
      </w:pPr>
    </w:p>
    <w:p w14:paraId="54C751C6" w14:textId="2AECC45B" w:rsidR="00950534" w:rsidRDefault="00950534" w:rsidP="00950534">
      <w:pPr>
        <w:pStyle w:val="s6c429373"/>
        <w:widowControl w:val="0"/>
        <w:spacing w:before="0" w:beforeAutospacing="0" w:after="0" w:afterAutospacing="0"/>
        <w:jc w:val="both"/>
        <w:rPr>
          <w:rFonts w:asciiTheme="minorHAnsi" w:hAnsiTheme="minorHAnsi"/>
          <w:lang w:val="pl-PL"/>
        </w:rPr>
      </w:pPr>
      <w:r w:rsidRPr="00B15C52">
        <w:rPr>
          <w:rStyle w:val="sfbbfee58"/>
          <w:rFonts w:asciiTheme="minorHAnsi" w:eastAsia="Calibri" w:hAnsiTheme="minorHAnsi"/>
          <w:lang w:val="pl-PL"/>
        </w:rPr>
        <w:t>Ponadto Sąd Miejski ograniczył się jedynie do krótkiego scharakteryzowania X jako dziecka wrażliwego, a mianowicie do wskazania</w:t>
      </w:r>
      <w:r>
        <w:rPr>
          <w:rStyle w:val="sfbbfee58"/>
          <w:rFonts w:asciiTheme="minorHAnsi" w:eastAsia="Calibri" w:hAnsiTheme="minorHAnsi"/>
          <w:lang w:val="pl-PL"/>
        </w:rPr>
        <w:t>,</w:t>
      </w:r>
      <w:r w:rsidRPr="00B15C52">
        <w:rPr>
          <w:rStyle w:val="sfbbfee58"/>
          <w:rFonts w:asciiTheme="minorHAnsi" w:eastAsia="Calibri" w:hAnsiTheme="minorHAnsi"/>
          <w:lang w:val="pl-PL"/>
        </w:rPr>
        <w:t xml:space="preserve"> za opinią biegłych, że chłopiec łatwo się stresuje i</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potrzebuje dużo spokoju, bezpieczeństwa i wsparcia, i że wyrażał sprzeciw lub rezygnację wobec kontaktów z pierwszą skarżącą, w szczególności w</w:t>
      </w:r>
      <w:r>
        <w:rPr>
          <w:rStyle w:val="sfbbfee58"/>
          <w:rFonts w:asciiTheme="minorHAnsi" w:eastAsia="Calibri" w:hAnsiTheme="minorHAnsi"/>
          <w:lang w:val="pl-PL"/>
        </w:rPr>
        <w:t xml:space="preserve"> </w:t>
      </w:r>
      <w:r w:rsidRPr="00B15C52">
        <w:rPr>
          <w:rStyle w:val="sfbbfee58"/>
          <w:rFonts w:asciiTheme="minorHAnsi" w:eastAsia="Calibri" w:hAnsiTheme="minorHAnsi"/>
          <w:lang w:val="pl-PL"/>
        </w:rPr>
        <w:t>obliczu jej wybuchów emocjonalnych. Sąd nie podał żadnej informacji, jak ta wrażliwość mogła się utrzymywać, pomimo że dziecko przebywało w opiece zastępczej od trzeciego tygodnia życia. Mając na</w:t>
      </w:r>
      <w:r w:rsidR="00227D65">
        <w:rPr>
          <w:rStyle w:val="sfbbfee58"/>
          <w:rFonts w:asciiTheme="minorHAnsi" w:eastAsia="Calibri" w:hAnsiTheme="minorHAnsi"/>
          <w:lang w:val="pl-PL"/>
        </w:rPr>
        <w:t> </w:t>
      </w:r>
      <w:r w:rsidRPr="00B15C52">
        <w:rPr>
          <w:rStyle w:val="sfbbfee58"/>
          <w:rFonts w:asciiTheme="minorHAnsi" w:eastAsia="Calibri" w:hAnsiTheme="minorHAnsi"/>
          <w:lang w:val="pl-PL"/>
        </w:rPr>
        <w:t>względzie wagę wchodzących w grę interesów, na właściwych władzach spoczywał obowiązek bardziej dogłębnej oceny wrażliwości X w trakcie przedmiotowego postępowania.</w:t>
      </w:r>
    </w:p>
    <w:p w14:paraId="7D990BA4" w14:textId="77777777" w:rsidR="00950534" w:rsidRDefault="00950534" w:rsidP="00950534">
      <w:pPr>
        <w:pStyle w:val="s6c429373"/>
        <w:widowControl w:val="0"/>
        <w:spacing w:before="0" w:beforeAutospacing="0" w:after="0" w:afterAutospacing="0"/>
        <w:jc w:val="both"/>
        <w:rPr>
          <w:rFonts w:asciiTheme="minorHAnsi" w:hAnsiTheme="minorHAnsi"/>
          <w:lang w:val="pl-PL"/>
        </w:rPr>
      </w:pPr>
    </w:p>
    <w:p w14:paraId="7360964D" w14:textId="77777777" w:rsidR="00950534" w:rsidRDefault="00950534" w:rsidP="00950534">
      <w:pPr>
        <w:pStyle w:val="s6c429373"/>
        <w:widowControl w:val="0"/>
        <w:spacing w:before="0" w:beforeAutospacing="0" w:after="0" w:afterAutospacing="0"/>
        <w:jc w:val="both"/>
        <w:rPr>
          <w:rFonts w:asciiTheme="minorHAnsi" w:hAnsiTheme="minorHAnsi"/>
          <w:lang w:val="pl-PL"/>
        </w:rPr>
      </w:pPr>
      <w:r w:rsidRPr="00B15C52">
        <w:rPr>
          <w:rStyle w:val="sfbbfee58"/>
          <w:rFonts w:asciiTheme="minorHAnsi" w:eastAsia="Calibri" w:hAnsiTheme="minorHAnsi"/>
          <w:lang w:val="pl-PL"/>
        </w:rPr>
        <w:t>W tych okolicznościach</w:t>
      </w:r>
      <w:r>
        <w:rPr>
          <w:rStyle w:val="sfbbfee58"/>
          <w:rFonts w:asciiTheme="minorHAnsi" w:eastAsia="Calibri" w:hAnsiTheme="minorHAnsi"/>
          <w:lang w:val="pl-PL"/>
        </w:rPr>
        <w:t xml:space="preserve">, </w:t>
      </w:r>
      <w:r w:rsidRPr="00B15C52">
        <w:rPr>
          <w:rStyle w:val="sfbbfee58"/>
          <w:rFonts w:asciiTheme="minorHAnsi" w:eastAsia="Calibri" w:hAnsiTheme="minorHAnsi"/>
          <w:lang w:val="pl-PL"/>
        </w:rPr>
        <w:t xml:space="preserve">zważywszy szczególnie na ograniczony charakter dowodów, które mogłyby wynikać ze zorganizowanych spotkań między matką a dzieckiem, brak zarządzenia – pomimo nowej sytuacji rodzinnej skarżącej – nowej opinii biegłego na temat jej zdolności do zapewnienia odpowiedniej opieki, </w:t>
      </w:r>
      <w:r>
        <w:rPr>
          <w:rStyle w:val="sfbbfee58"/>
          <w:rFonts w:asciiTheme="minorHAnsi" w:eastAsia="Calibri" w:hAnsiTheme="minorHAnsi"/>
          <w:lang w:val="pl-PL"/>
        </w:rPr>
        <w:t>chociaż</w:t>
      </w:r>
      <w:r w:rsidRPr="00B15C52">
        <w:rPr>
          <w:rStyle w:val="sfbbfee58"/>
          <w:rFonts w:asciiTheme="minorHAnsi" w:eastAsia="Calibri" w:hAnsiTheme="minorHAnsi"/>
          <w:lang w:val="pl-PL"/>
        </w:rPr>
        <w:t xml:space="preserve"> kwestia ta była kluczowa dla oceny Sądu Miejskiego, a także brak uzasadnienia dotyczącego utrzymującej się wrażliwości X, </w:t>
      </w:r>
      <w:r>
        <w:rPr>
          <w:rStyle w:val="sfbbfee58"/>
          <w:rFonts w:asciiTheme="minorHAnsi" w:eastAsia="Calibri" w:hAnsiTheme="minorHAnsi"/>
          <w:lang w:val="pl-PL"/>
        </w:rPr>
        <w:t xml:space="preserve">Trybunał uznał, że </w:t>
      </w:r>
      <w:r w:rsidRPr="00B15C52">
        <w:rPr>
          <w:rStyle w:val="sfbbfee58"/>
          <w:rFonts w:asciiTheme="minorHAnsi" w:eastAsia="Calibri" w:hAnsiTheme="minorHAnsi"/>
          <w:lang w:val="pl-PL"/>
        </w:rPr>
        <w:t>proces decyzyjny, który doprowadził do wydania zaskarżonego orzeczenia z lutego 2012 r., nie został przeprowadzony w sposób zapewniający należyte uwzględnienie wszystkich opinii i interesów skarżących. Tym samym zakwestionowanej procedurze nie towarzyszyły gwarancje, które byłyby współmierne do powagi ingerencji i wagi interesów wchodzących w grę.</w:t>
      </w:r>
    </w:p>
    <w:p w14:paraId="5B72EE66" w14:textId="77777777" w:rsidR="00950534" w:rsidRDefault="00950534" w:rsidP="00950534">
      <w:pPr>
        <w:pStyle w:val="s6c429373"/>
        <w:widowControl w:val="0"/>
        <w:spacing w:before="0" w:beforeAutospacing="0" w:after="0" w:afterAutospacing="0"/>
        <w:jc w:val="both"/>
        <w:rPr>
          <w:rFonts w:asciiTheme="minorHAnsi" w:hAnsiTheme="minorHAnsi"/>
          <w:lang w:val="pl-PL"/>
        </w:rPr>
      </w:pPr>
    </w:p>
    <w:p w14:paraId="6330A495" w14:textId="77777777" w:rsidR="00950534" w:rsidRDefault="00950534" w:rsidP="00950534">
      <w:pPr>
        <w:pStyle w:val="s6c429373"/>
        <w:widowControl w:val="0"/>
        <w:spacing w:before="0" w:beforeAutospacing="0" w:after="0" w:afterAutospacing="0"/>
        <w:jc w:val="both"/>
        <w:rPr>
          <w:rFonts w:asciiTheme="minorHAnsi" w:hAnsiTheme="minorHAnsi"/>
          <w:lang w:val="pl-PL"/>
        </w:rPr>
      </w:pPr>
      <w:r>
        <w:rPr>
          <w:rStyle w:val="s1a844bc0"/>
          <w:rFonts w:asciiTheme="minorHAnsi" w:eastAsiaTheme="minorEastAsia" w:hAnsiTheme="minorHAnsi"/>
          <w:lang w:val="pl-PL"/>
        </w:rPr>
        <w:t xml:space="preserve">W tej sytuacji Trybunał orzekł, </w:t>
      </w:r>
      <w:r w:rsidRPr="00B15C52">
        <w:rPr>
          <w:rStyle w:val="sfbbfee58"/>
          <w:rFonts w:asciiTheme="minorHAnsi" w:eastAsia="Calibri" w:hAnsiTheme="minorHAnsi"/>
          <w:lang w:val="pl-PL"/>
        </w:rPr>
        <w:t>trzynastoma głosami do czterech</w:t>
      </w:r>
      <w:r>
        <w:rPr>
          <w:rStyle w:val="sfbbfee58"/>
          <w:rFonts w:asciiTheme="minorHAnsi" w:eastAsia="Calibri" w:hAnsiTheme="minorHAnsi"/>
          <w:lang w:val="pl-PL"/>
        </w:rPr>
        <w:t>, że doszło do naruszenia art. 8 Konwencji w sprawie skarżących</w:t>
      </w:r>
      <w:r>
        <w:rPr>
          <w:rStyle w:val="Odwoanieprzypisudolnego"/>
          <w:rFonts w:asciiTheme="minorHAnsi" w:eastAsia="Calibri" w:hAnsiTheme="minorHAnsi"/>
          <w:lang w:val="pl-PL"/>
        </w:rPr>
        <w:footnoteReference w:id="21"/>
      </w:r>
      <w:r>
        <w:rPr>
          <w:rStyle w:val="sfbbfee58"/>
          <w:rFonts w:asciiTheme="minorHAnsi" w:eastAsia="Calibri" w:hAnsiTheme="minorHAnsi"/>
          <w:lang w:val="pl-PL"/>
        </w:rPr>
        <w:t xml:space="preserve">. </w:t>
      </w:r>
    </w:p>
    <w:p w14:paraId="5C26C6B0" w14:textId="77777777" w:rsidR="00950534" w:rsidRDefault="00950534" w:rsidP="00950534">
      <w:pPr>
        <w:pStyle w:val="s6c429373"/>
        <w:widowControl w:val="0"/>
        <w:spacing w:before="0" w:beforeAutospacing="0" w:after="0" w:afterAutospacing="0"/>
        <w:jc w:val="both"/>
        <w:rPr>
          <w:rFonts w:asciiTheme="minorHAnsi" w:hAnsiTheme="minorHAnsi"/>
          <w:lang w:val="pl-PL"/>
        </w:rPr>
      </w:pPr>
    </w:p>
    <w:p w14:paraId="56A1309E" w14:textId="77777777" w:rsidR="00950534" w:rsidRDefault="00950534" w:rsidP="00950534">
      <w:pPr>
        <w:pStyle w:val="s6c429373"/>
        <w:widowControl w:val="0"/>
        <w:spacing w:before="0" w:beforeAutospacing="0" w:after="0" w:afterAutospacing="0"/>
        <w:jc w:val="both"/>
        <w:rPr>
          <w:rFonts w:asciiTheme="minorHAnsi" w:hAnsiTheme="minorHAnsi"/>
          <w:lang w:val="pl-PL"/>
        </w:rPr>
      </w:pPr>
      <w:r>
        <w:rPr>
          <w:rStyle w:val="sfbbfee58"/>
          <w:rFonts w:asciiTheme="minorHAnsi" w:eastAsia="Calibri" w:hAnsiTheme="minorHAnsi"/>
          <w:lang w:val="pl-PL"/>
        </w:rPr>
        <w:t xml:space="preserve">Na tej podstawie Trybunał zasądził na rzecz </w:t>
      </w:r>
      <w:r w:rsidRPr="00B15C52">
        <w:rPr>
          <w:rStyle w:val="sfbbfee58"/>
          <w:rFonts w:asciiTheme="minorHAnsi" w:eastAsia="Calibri" w:hAnsiTheme="minorHAnsi"/>
          <w:lang w:val="pl-PL"/>
        </w:rPr>
        <w:t xml:space="preserve">pierwszej skarżącej </w:t>
      </w:r>
      <w:r>
        <w:rPr>
          <w:rStyle w:val="sfbbfee58"/>
          <w:rFonts w:asciiTheme="minorHAnsi" w:eastAsia="Calibri" w:hAnsiTheme="minorHAnsi"/>
          <w:lang w:val="pl-PL"/>
        </w:rPr>
        <w:t xml:space="preserve">kwotę </w:t>
      </w:r>
      <w:r w:rsidRPr="00B15C52">
        <w:rPr>
          <w:rStyle w:val="sfbbfee58"/>
          <w:rFonts w:asciiTheme="minorHAnsi" w:eastAsia="Calibri" w:hAnsiTheme="minorHAnsi"/>
          <w:lang w:val="pl-PL"/>
        </w:rPr>
        <w:t xml:space="preserve">25 000 EUR </w:t>
      </w:r>
      <w:r>
        <w:rPr>
          <w:rStyle w:val="sfbbfee58"/>
          <w:rFonts w:asciiTheme="minorHAnsi" w:eastAsia="Calibri" w:hAnsiTheme="minorHAnsi"/>
          <w:lang w:val="pl-PL"/>
        </w:rPr>
        <w:t xml:space="preserve">tytułem szkody niemajątkowej. Uznał też, że </w:t>
      </w:r>
      <w:r w:rsidRPr="00B15C52">
        <w:rPr>
          <w:rStyle w:val="sfbbfee58"/>
          <w:rFonts w:asciiTheme="minorHAnsi" w:eastAsia="Calibri" w:hAnsiTheme="minorHAnsi"/>
          <w:lang w:val="pl-PL"/>
        </w:rPr>
        <w:t>stwierdzenie naruszenia samo w sobie stanowi słuszne zadośćuczynienie w odniesieniu do szkody niemajątkowej poniesionej przez drugiego skarżącego.</w:t>
      </w:r>
    </w:p>
    <w:p w14:paraId="00D2FFB5" w14:textId="77777777" w:rsidR="00950534" w:rsidRDefault="00950534" w:rsidP="00950534">
      <w:pPr>
        <w:pStyle w:val="s6c429373"/>
        <w:widowControl w:val="0"/>
        <w:spacing w:before="0" w:beforeAutospacing="0" w:after="0" w:afterAutospacing="0"/>
        <w:jc w:val="both"/>
        <w:rPr>
          <w:rFonts w:asciiTheme="minorHAnsi" w:hAnsiTheme="minorHAnsi"/>
          <w:lang w:val="pl-PL"/>
        </w:rPr>
      </w:pPr>
    </w:p>
    <w:p w14:paraId="613C2490" w14:textId="77777777" w:rsidR="00FA6F64" w:rsidRDefault="00FA6F64" w:rsidP="00950534">
      <w:pPr>
        <w:pStyle w:val="ClinContent"/>
        <w:widowControl w:val="0"/>
        <w:spacing w:before="0"/>
        <w:rPr>
          <w:rFonts w:asciiTheme="minorHAnsi" w:hAnsiTheme="minorHAnsi" w:cs="Verdana"/>
          <w:bCs/>
          <w:sz w:val="24"/>
          <w:u w:val="single"/>
          <w:lang w:val="pl-PL"/>
        </w:rPr>
      </w:pPr>
    </w:p>
    <w:p w14:paraId="39A88238" w14:textId="48E10FB7"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lastRenderedPageBreak/>
        <w:t>Znaczenie wyroku dla Polski</w:t>
      </w:r>
      <w:r w:rsidRPr="00490945">
        <w:rPr>
          <w:rFonts w:asciiTheme="minorHAnsi" w:hAnsiTheme="minorHAnsi" w:cs="Verdana"/>
          <w:bCs/>
          <w:sz w:val="24"/>
          <w:lang w:val="pl-PL"/>
        </w:rPr>
        <w:t xml:space="preserve"> – </w:t>
      </w:r>
      <w:r>
        <w:rPr>
          <w:rFonts w:asciiTheme="minorHAnsi" w:hAnsiTheme="minorHAnsi" w:cs="Verdana"/>
          <w:bCs/>
          <w:sz w:val="24"/>
          <w:lang w:val="pl-PL"/>
        </w:rPr>
        <w:t xml:space="preserve">Wyrok dotyczy problematyki pozbawienia praw rodzicielskich rodziny biologicznej z uwagi na ich niewłaściwe wykonywanie i adopcji dziecka przez osoby, którym powierzono nad nim opiekę zastępczą. Wskazuje na konieczność zapewnienia odpowiednich gwarancji proceduralnych w postępowaniu, w tym zapewnienia odpowiedniego udziału rodziny biologicznej. Podkreśl potrzebę </w:t>
      </w:r>
      <w:r w:rsidRPr="003975D9">
        <w:rPr>
          <w:rFonts w:asciiTheme="minorHAnsi" w:hAnsiTheme="minorHAnsi" w:cs="Verdana"/>
          <w:bCs/>
          <w:sz w:val="24"/>
          <w:lang w:val="pl-PL"/>
        </w:rPr>
        <w:t>przeprowadzenia rzeczywistego i rzetelnego procesu ważenia interesów dziecka i jego rodziny biologicznej w</w:t>
      </w:r>
      <w:r w:rsidR="00227D65">
        <w:rPr>
          <w:rFonts w:asciiTheme="minorHAnsi" w:hAnsiTheme="minorHAnsi" w:cs="Verdana"/>
          <w:bCs/>
          <w:sz w:val="24"/>
          <w:lang w:val="pl-PL"/>
        </w:rPr>
        <w:t> </w:t>
      </w:r>
      <w:r w:rsidRPr="003975D9">
        <w:rPr>
          <w:rFonts w:asciiTheme="minorHAnsi" w:hAnsiTheme="minorHAnsi" w:cs="Verdana"/>
          <w:bCs/>
          <w:sz w:val="24"/>
          <w:lang w:val="pl-PL"/>
        </w:rPr>
        <w:t>oparciu o aktualne</w:t>
      </w:r>
      <w:r>
        <w:rPr>
          <w:rFonts w:asciiTheme="minorHAnsi" w:hAnsiTheme="minorHAnsi" w:cs="Verdana"/>
          <w:bCs/>
          <w:sz w:val="24"/>
          <w:lang w:val="pl-PL"/>
        </w:rPr>
        <w:t xml:space="preserve"> i wyczerpujące</w:t>
      </w:r>
      <w:r w:rsidRPr="003975D9">
        <w:rPr>
          <w:rFonts w:asciiTheme="minorHAnsi" w:hAnsiTheme="minorHAnsi" w:cs="Verdana"/>
          <w:bCs/>
          <w:sz w:val="24"/>
          <w:lang w:val="pl-PL"/>
        </w:rPr>
        <w:t xml:space="preserve"> dowody i z uwzględnieniem </w:t>
      </w:r>
      <w:r>
        <w:rPr>
          <w:rFonts w:asciiTheme="minorHAnsi" w:hAnsiTheme="minorHAnsi" w:cs="Verdana"/>
          <w:bCs/>
          <w:sz w:val="24"/>
          <w:lang w:val="pl-PL"/>
        </w:rPr>
        <w:t xml:space="preserve">możliwej </w:t>
      </w:r>
      <w:r w:rsidRPr="003975D9">
        <w:rPr>
          <w:rFonts w:asciiTheme="minorHAnsi" w:hAnsiTheme="minorHAnsi" w:cs="Verdana"/>
          <w:bCs/>
          <w:sz w:val="24"/>
          <w:lang w:val="pl-PL"/>
        </w:rPr>
        <w:t xml:space="preserve">poprawy </w:t>
      </w:r>
      <w:r>
        <w:rPr>
          <w:rFonts w:asciiTheme="minorHAnsi" w:hAnsiTheme="minorHAnsi" w:cs="Verdana"/>
          <w:bCs/>
          <w:sz w:val="24"/>
          <w:lang w:val="pl-PL"/>
        </w:rPr>
        <w:t xml:space="preserve">kompetencji </w:t>
      </w:r>
      <w:r w:rsidRPr="003975D9">
        <w:rPr>
          <w:rFonts w:asciiTheme="minorHAnsi" w:hAnsiTheme="minorHAnsi" w:cs="Verdana"/>
          <w:bCs/>
          <w:sz w:val="24"/>
          <w:lang w:val="pl-PL"/>
        </w:rPr>
        <w:t>rodzi</w:t>
      </w:r>
      <w:r>
        <w:rPr>
          <w:rFonts w:asciiTheme="minorHAnsi" w:hAnsiTheme="minorHAnsi" w:cs="Verdana"/>
          <w:bCs/>
          <w:sz w:val="24"/>
          <w:lang w:val="pl-PL"/>
        </w:rPr>
        <w:t>ca biologicznego od czasu odebrania dziecka</w:t>
      </w:r>
      <w:r w:rsidRPr="003975D9">
        <w:rPr>
          <w:rFonts w:asciiTheme="minorHAnsi" w:hAnsiTheme="minorHAnsi" w:cs="Verdana"/>
          <w:bCs/>
          <w:sz w:val="24"/>
          <w:lang w:val="pl-PL"/>
        </w:rPr>
        <w:t>.</w:t>
      </w:r>
      <w:r w:rsidRPr="001167CF">
        <w:rPr>
          <w:rFonts w:asciiTheme="minorHAnsi" w:hAnsiTheme="minorHAnsi" w:cs="Verdana"/>
          <w:bCs/>
          <w:sz w:val="24"/>
          <w:lang w:val="pl-PL"/>
        </w:rPr>
        <w:t xml:space="preserve"> </w:t>
      </w:r>
      <w:r>
        <w:rPr>
          <w:rFonts w:asciiTheme="minorHAnsi" w:hAnsiTheme="minorHAnsi" w:cs="Verdana"/>
          <w:bCs/>
          <w:sz w:val="24"/>
          <w:lang w:val="pl-PL"/>
        </w:rPr>
        <w:t>Wyrok k</w:t>
      </w:r>
      <w:r w:rsidRPr="003975D9">
        <w:rPr>
          <w:rFonts w:asciiTheme="minorHAnsi" w:hAnsiTheme="minorHAnsi" w:cs="Verdana"/>
          <w:bCs/>
          <w:sz w:val="24"/>
          <w:lang w:val="pl-PL"/>
        </w:rPr>
        <w:t xml:space="preserve">rytykuje podejście organów krajowych koncentrujących się jedynie na interesach dziecka </w:t>
      </w:r>
      <w:r>
        <w:rPr>
          <w:rFonts w:asciiTheme="minorHAnsi" w:hAnsiTheme="minorHAnsi" w:cs="Verdana"/>
          <w:bCs/>
          <w:sz w:val="24"/>
          <w:lang w:val="pl-PL"/>
        </w:rPr>
        <w:t xml:space="preserve">i potencjalnych rodziców adopcyjnych </w:t>
      </w:r>
      <w:r w:rsidRPr="003975D9">
        <w:rPr>
          <w:rFonts w:asciiTheme="minorHAnsi" w:hAnsiTheme="minorHAnsi" w:cs="Verdana"/>
          <w:bCs/>
          <w:sz w:val="24"/>
          <w:lang w:val="pl-PL"/>
        </w:rPr>
        <w:t>z pominięciem</w:t>
      </w:r>
      <w:r>
        <w:rPr>
          <w:rFonts w:asciiTheme="minorHAnsi" w:hAnsiTheme="minorHAnsi" w:cs="Verdana"/>
          <w:bCs/>
          <w:sz w:val="24"/>
          <w:lang w:val="pl-PL"/>
        </w:rPr>
        <w:t xml:space="preserve"> interesów rodziny biologicznej. Podkreśla potrzebę uwzględnienia interesów także rodziny biologicznej w kontekście powrotu dzieci. Wskazuje na konieczność poważnego </w:t>
      </w:r>
      <w:r w:rsidRPr="003975D9">
        <w:rPr>
          <w:rFonts w:asciiTheme="minorHAnsi" w:hAnsiTheme="minorHAnsi" w:cs="Verdana"/>
          <w:bCs/>
          <w:sz w:val="24"/>
          <w:lang w:val="pl-PL"/>
        </w:rPr>
        <w:t>rozważenia możliwości połączeni</w:t>
      </w:r>
      <w:r>
        <w:rPr>
          <w:rFonts w:asciiTheme="minorHAnsi" w:hAnsiTheme="minorHAnsi" w:cs="Verdana"/>
          <w:bCs/>
          <w:sz w:val="24"/>
          <w:lang w:val="pl-PL"/>
        </w:rPr>
        <w:t>a dziecka z rodziną biologiczną i</w:t>
      </w:r>
      <w:r w:rsidR="00227D65">
        <w:rPr>
          <w:rFonts w:asciiTheme="minorHAnsi" w:hAnsiTheme="minorHAnsi" w:cs="Verdana"/>
          <w:bCs/>
          <w:sz w:val="24"/>
          <w:lang w:val="pl-PL"/>
        </w:rPr>
        <w:t> </w:t>
      </w:r>
      <w:r>
        <w:rPr>
          <w:rFonts w:asciiTheme="minorHAnsi" w:hAnsiTheme="minorHAnsi" w:cs="Verdana"/>
          <w:bCs/>
          <w:sz w:val="24"/>
          <w:lang w:val="pl-PL"/>
        </w:rPr>
        <w:t>krytykuje sytuację, w której kontakty rodziny z dzieckiem są ograniczane i organizowane w</w:t>
      </w:r>
      <w:r w:rsidR="00227D65">
        <w:rPr>
          <w:rFonts w:asciiTheme="minorHAnsi" w:hAnsiTheme="minorHAnsi" w:cs="Verdana"/>
          <w:bCs/>
          <w:sz w:val="24"/>
          <w:lang w:val="pl-PL"/>
        </w:rPr>
        <w:t> </w:t>
      </w:r>
      <w:r>
        <w:rPr>
          <w:rFonts w:asciiTheme="minorHAnsi" w:hAnsiTheme="minorHAnsi" w:cs="Verdana"/>
          <w:bCs/>
          <w:sz w:val="24"/>
          <w:lang w:val="pl-PL"/>
        </w:rPr>
        <w:t xml:space="preserve">sposób niesprzyjający wytwarzaniu się więzi. </w:t>
      </w:r>
      <w:r w:rsidRPr="003975D9">
        <w:rPr>
          <w:rFonts w:asciiTheme="minorHAnsi" w:hAnsiTheme="minorHAnsi" w:cs="Verdana"/>
          <w:bCs/>
          <w:sz w:val="24"/>
          <w:lang w:val="pl-PL"/>
        </w:rPr>
        <w:t xml:space="preserve">Trybunał potwierdza, </w:t>
      </w:r>
      <w:r>
        <w:rPr>
          <w:rFonts w:asciiTheme="minorHAnsi" w:hAnsiTheme="minorHAnsi" w:cs="Verdana"/>
          <w:bCs/>
          <w:sz w:val="24"/>
          <w:lang w:val="pl-PL"/>
        </w:rPr>
        <w:t>ż</w:t>
      </w:r>
      <w:r w:rsidRPr="003975D9">
        <w:rPr>
          <w:rFonts w:asciiTheme="minorHAnsi" w:hAnsiTheme="minorHAnsi" w:cs="Verdana"/>
          <w:bCs/>
          <w:sz w:val="24"/>
          <w:lang w:val="pl-PL"/>
        </w:rPr>
        <w:t xml:space="preserve">e </w:t>
      </w:r>
      <w:r>
        <w:rPr>
          <w:rFonts w:asciiTheme="minorHAnsi" w:hAnsiTheme="minorHAnsi" w:cs="Verdana"/>
          <w:bCs/>
          <w:sz w:val="24"/>
          <w:lang w:val="pl-PL"/>
        </w:rPr>
        <w:t xml:space="preserve">co do ogólnej zasady </w:t>
      </w:r>
      <w:r w:rsidRPr="003975D9">
        <w:rPr>
          <w:rFonts w:asciiTheme="minorHAnsi" w:hAnsiTheme="minorHAnsi" w:cs="Verdana"/>
          <w:bCs/>
          <w:sz w:val="24"/>
          <w:lang w:val="pl-PL"/>
        </w:rPr>
        <w:t xml:space="preserve">najbardziej optymalną sytuacją jest taka, w której </w:t>
      </w:r>
      <w:r>
        <w:rPr>
          <w:rFonts w:asciiTheme="minorHAnsi" w:hAnsiTheme="minorHAnsi" w:cs="Verdana"/>
          <w:bCs/>
          <w:sz w:val="24"/>
          <w:lang w:val="pl-PL"/>
        </w:rPr>
        <w:t>dobro dziecka</w:t>
      </w:r>
      <w:r w:rsidRPr="003975D9">
        <w:rPr>
          <w:rFonts w:asciiTheme="minorHAnsi" w:hAnsiTheme="minorHAnsi" w:cs="Verdana"/>
          <w:bCs/>
          <w:sz w:val="24"/>
          <w:lang w:val="pl-PL"/>
        </w:rPr>
        <w:t xml:space="preserve"> realizowane jest w</w:t>
      </w:r>
      <w:r w:rsidR="00227D65">
        <w:rPr>
          <w:rFonts w:asciiTheme="minorHAnsi" w:hAnsiTheme="minorHAnsi" w:cs="Verdana"/>
          <w:bCs/>
          <w:sz w:val="24"/>
          <w:lang w:val="pl-PL"/>
        </w:rPr>
        <w:t> </w:t>
      </w:r>
      <w:r w:rsidRPr="003975D9">
        <w:rPr>
          <w:rFonts w:asciiTheme="minorHAnsi" w:hAnsiTheme="minorHAnsi" w:cs="Verdana"/>
          <w:bCs/>
          <w:sz w:val="24"/>
          <w:lang w:val="pl-PL"/>
        </w:rPr>
        <w:t>prawidłowo funkcjonującej rodzinie biologicznej, a nie w oderwaniu od niej.</w:t>
      </w:r>
      <w:r>
        <w:rPr>
          <w:rFonts w:asciiTheme="minorHAnsi" w:hAnsiTheme="minorHAnsi" w:cs="Verdana"/>
          <w:bCs/>
          <w:sz w:val="24"/>
          <w:lang w:val="pl-PL"/>
        </w:rPr>
        <w:t xml:space="preserve"> Trybunał podtrzymuje jednak ogólną zasadę, że dobro dziecka przeważa nad wszelkimi innymi względami, jeśli zachodzi między nimi sprzeczność. </w:t>
      </w:r>
      <w:r w:rsidRPr="003975D9">
        <w:rPr>
          <w:rFonts w:asciiTheme="minorHAnsi" w:hAnsiTheme="minorHAnsi" w:cs="Verdana"/>
          <w:bCs/>
          <w:sz w:val="24"/>
          <w:lang w:val="pl-PL"/>
        </w:rPr>
        <w:t xml:space="preserve"> </w:t>
      </w:r>
    </w:p>
    <w:p w14:paraId="1098726B" w14:textId="77777777" w:rsidR="00950534" w:rsidRDefault="00950534" w:rsidP="00950534">
      <w:pPr>
        <w:pStyle w:val="ClinContent"/>
        <w:widowControl w:val="0"/>
        <w:spacing w:before="0"/>
        <w:rPr>
          <w:rFonts w:asciiTheme="minorHAnsi" w:hAnsiTheme="minorHAnsi" w:cs="Verdana"/>
          <w:bCs/>
          <w:sz w:val="24"/>
          <w:lang w:val="pl-PL"/>
        </w:rPr>
      </w:pPr>
    </w:p>
    <w:p w14:paraId="436A2A2B"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 xml:space="preserve">Należy też podkreślić, że w wyroku tym Trybunał nie badał (a więc i nie kwestionował) zasadności samego odebrania dziecka od rodziny biologicznej w sytuacji zaistnienia po jej stronie problemów zagrażających jego dobru. </w:t>
      </w:r>
    </w:p>
    <w:p w14:paraId="5AE08F68" w14:textId="77777777" w:rsidR="00950534" w:rsidRDefault="00950534" w:rsidP="00950534">
      <w:pPr>
        <w:pStyle w:val="ClinContent"/>
        <w:widowControl w:val="0"/>
        <w:spacing w:before="0"/>
        <w:rPr>
          <w:rFonts w:asciiTheme="minorHAnsi" w:hAnsiTheme="minorHAnsi" w:cs="Verdana"/>
          <w:bCs/>
          <w:sz w:val="24"/>
          <w:lang w:val="pl-PL"/>
        </w:rPr>
      </w:pPr>
    </w:p>
    <w:p w14:paraId="73EA762C"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cs="Verdana"/>
          <w:bCs/>
          <w:sz w:val="24"/>
          <w:lang w:val="pl-PL"/>
        </w:rPr>
        <w:t xml:space="preserve">Wyrok może mieć w szczególności znaczenie dla Ministerstwa Sprawiedliwości, sądów rodzinnych i opiekuńczych, Sądu Najwyższego, organów zajmujących się udzielaniem wsparcia rodzinom z problemami, oraz dla polskich służb konsularnych. </w:t>
      </w:r>
      <w:r w:rsidRPr="003975D9">
        <w:rPr>
          <w:rFonts w:asciiTheme="minorHAnsi" w:hAnsiTheme="minorHAnsi" w:cs="Verdana"/>
          <w:bCs/>
          <w:sz w:val="24"/>
          <w:lang w:val="pl-PL"/>
        </w:rPr>
        <w:t xml:space="preserve">Wyrok może być </w:t>
      </w:r>
      <w:r>
        <w:rPr>
          <w:rFonts w:asciiTheme="minorHAnsi" w:hAnsiTheme="minorHAnsi" w:cs="Verdana"/>
          <w:bCs/>
          <w:sz w:val="24"/>
          <w:lang w:val="pl-PL"/>
        </w:rPr>
        <w:t xml:space="preserve">też </w:t>
      </w:r>
      <w:r w:rsidRPr="003975D9">
        <w:rPr>
          <w:rFonts w:asciiTheme="minorHAnsi" w:hAnsiTheme="minorHAnsi" w:cs="Verdana"/>
          <w:bCs/>
          <w:sz w:val="24"/>
          <w:lang w:val="pl-PL"/>
        </w:rPr>
        <w:t xml:space="preserve">istotny z punktu widzenia spraw obywateli polskich, których prawa rodzicielskie wobec dzieci zostały ograniczone przez organy </w:t>
      </w:r>
      <w:r>
        <w:rPr>
          <w:rFonts w:asciiTheme="minorHAnsi" w:hAnsiTheme="minorHAnsi" w:cs="Verdana"/>
          <w:bCs/>
          <w:sz w:val="24"/>
          <w:lang w:val="pl-PL"/>
        </w:rPr>
        <w:t xml:space="preserve">innych </w:t>
      </w:r>
      <w:r w:rsidRPr="003975D9">
        <w:rPr>
          <w:rFonts w:asciiTheme="minorHAnsi" w:hAnsiTheme="minorHAnsi" w:cs="Verdana"/>
          <w:bCs/>
          <w:sz w:val="24"/>
          <w:lang w:val="pl-PL"/>
        </w:rPr>
        <w:t xml:space="preserve">państw RE. </w:t>
      </w:r>
    </w:p>
    <w:p w14:paraId="04C47DAF" w14:textId="77777777" w:rsidR="00950534" w:rsidRDefault="00950534" w:rsidP="00950534">
      <w:pPr>
        <w:pStyle w:val="ClinContent"/>
        <w:widowControl w:val="0"/>
        <w:spacing w:before="0"/>
        <w:rPr>
          <w:rFonts w:asciiTheme="minorHAnsi" w:hAnsiTheme="minorHAnsi"/>
          <w:sz w:val="24"/>
          <w:lang w:val="pl-PL"/>
        </w:rPr>
      </w:pPr>
    </w:p>
    <w:p w14:paraId="01165441" w14:textId="77777777" w:rsidR="00950534" w:rsidRDefault="00950534" w:rsidP="00950534">
      <w:pPr>
        <w:pStyle w:val="ClinContent"/>
        <w:widowControl w:val="0"/>
        <w:spacing w:before="0"/>
        <w:rPr>
          <w:rFonts w:asciiTheme="minorHAnsi" w:hAnsiTheme="minorHAnsi"/>
          <w:sz w:val="24"/>
          <w:lang w:val="pl-PL"/>
        </w:rPr>
      </w:pPr>
    </w:p>
    <w:p w14:paraId="50AB057F"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21" w:name="_Toc35632484"/>
      <w:r w:rsidRPr="00A450C9">
        <w:rPr>
          <w:rFonts w:asciiTheme="minorHAnsi" w:hAnsiTheme="minorHAnsi"/>
          <w:i/>
          <w:color w:val="auto"/>
          <w:sz w:val="24"/>
          <w:szCs w:val="24"/>
        </w:rPr>
        <w:t>Taşdemir p. Turcji</w:t>
      </w:r>
      <w:r w:rsidRPr="00077E55">
        <w:rPr>
          <w:rFonts w:asciiTheme="minorHAnsi" w:hAnsiTheme="minorHAnsi"/>
          <w:color w:val="auto"/>
          <w:sz w:val="24"/>
          <w:szCs w:val="24"/>
        </w:rPr>
        <w:t>, skarga nr 52538/09, decyzja Izby z dnia 12 marca 2019 r.</w:t>
      </w:r>
      <w:r>
        <w:rPr>
          <w:rFonts w:asciiTheme="minorHAnsi" w:hAnsiTheme="minorHAnsi"/>
          <w:color w:val="auto"/>
          <w:sz w:val="24"/>
          <w:szCs w:val="24"/>
        </w:rPr>
        <w:t xml:space="preserve">, </w:t>
      </w:r>
      <w:r w:rsidRPr="003E0706">
        <w:rPr>
          <w:rFonts w:asciiTheme="minorHAnsi" w:hAnsiTheme="minorHAnsi"/>
          <w:i/>
          <w:color w:val="auto"/>
          <w:sz w:val="24"/>
          <w:szCs w:val="24"/>
        </w:rPr>
        <w:t>Kutlu i Inni p. Turcji</w:t>
      </w:r>
      <w:r w:rsidRPr="003E0706">
        <w:rPr>
          <w:rFonts w:asciiTheme="minorHAnsi" w:hAnsiTheme="minorHAnsi"/>
          <w:color w:val="auto"/>
          <w:sz w:val="24"/>
          <w:szCs w:val="24"/>
        </w:rPr>
        <w:t xml:space="preserve">, nr 18357/11, oraz </w:t>
      </w:r>
      <w:r w:rsidRPr="003E0706">
        <w:rPr>
          <w:rFonts w:asciiTheme="minorHAnsi" w:hAnsiTheme="minorHAnsi"/>
          <w:i/>
          <w:color w:val="auto"/>
          <w:sz w:val="24"/>
          <w:szCs w:val="24"/>
        </w:rPr>
        <w:t>Karaca p. Turcji</w:t>
      </w:r>
      <w:r w:rsidRPr="003E0706">
        <w:rPr>
          <w:rFonts w:asciiTheme="minorHAnsi" w:hAnsiTheme="minorHAnsi"/>
          <w:color w:val="auto"/>
          <w:sz w:val="24"/>
          <w:szCs w:val="24"/>
        </w:rPr>
        <w:t>, nr 5809/13, 12 marca 2019 r.</w:t>
      </w:r>
      <w:bookmarkEnd w:id="21"/>
    </w:p>
    <w:p w14:paraId="4BFEC8B5" w14:textId="025F8D90"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skreślenie skarg z listy spraw na podstawie art. 37 ust. 1 lit. c Konwencji mimo że</w:t>
      </w:r>
      <w:r w:rsidR="00227D65">
        <w:rPr>
          <w:b/>
          <w:iCs/>
          <w:color w:val="000000" w:themeColor="text1"/>
          <w:sz w:val="24"/>
          <w:szCs w:val="24"/>
          <w:lang w:val="pl-PL"/>
        </w:rPr>
        <w:t> </w:t>
      </w:r>
      <w:r>
        <w:rPr>
          <w:b/>
          <w:iCs/>
          <w:color w:val="000000" w:themeColor="text1"/>
          <w:sz w:val="24"/>
          <w:szCs w:val="24"/>
          <w:lang w:val="pl-PL"/>
        </w:rPr>
        <w:t>deklaracje jednostronne rządu nie zawierały</w:t>
      </w:r>
      <w:r w:rsidRPr="00072B78">
        <w:rPr>
          <w:b/>
          <w:iCs/>
          <w:color w:val="000000" w:themeColor="text1"/>
          <w:sz w:val="24"/>
          <w:szCs w:val="24"/>
          <w:lang w:val="pl-PL"/>
        </w:rPr>
        <w:t xml:space="preserve"> zobowiązania do wznowienia śledztwa w sprawach, w których takie wznowienie </w:t>
      </w:r>
      <w:r>
        <w:rPr>
          <w:b/>
          <w:iCs/>
          <w:color w:val="000000" w:themeColor="text1"/>
          <w:sz w:val="24"/>
          <w:szCs w:val="24"/>
          <w:lang w:val="pl-PL"/>
        </w:rPr>
        <w:t>było</w:t>
      </w:r>
      <w:r w:rsidRPr="00072B78">
        <w:rPr>
          <w:b/>
          <w:iCs/>
          <w:color w:val="000000" w:themeColor="text1"/>
          <w:sz w:val="24"/>
          <w:szCs w:val="24"/>
          <w:lang w:val="pl-PL"/>
        </w:rPr>
        <w:t xml:space="preserve"> </w:t>
      </w:r>
      <w:r w:rsidRPr="005055D2">
        <w:rPr>
          <w:b/>
          <w:i/>
          <w:iCs/>
          <w:color w:val="000000" w:themeColor="text1"/>
          <w:sz w:val="24"/>
          <w:szCs w:val="24"/>
          <w:lang w:val="pl-PL"/>
        </w:rPr>
        <w:t>de iure</w:t>
      </w:r>
      <w:r w:rsidRPr="00072B78">
        <w:rPr>
          <w:b/>
          <w:iCs/>
          <w:color w:val="000000" w:themeColor="text1"/>
          <w:sz w:val="24"/>
          <w:szCs w:val="24"/>
          <w:lang w:val="pl-PL"/>
        </w:rPr>
        <w:t xml:space="preserve"> lub </w:t>
      </w:r>
      <w:r w:rsidRPr="005055D2">
        <w:rPr>
          <w:b/>
          <w:i/>
          <w:iCs/>
          <w:color w:val="000000" w:themeColor="text1"/>
          <w:sz w:val="24"/>
          <w:szCs w:val="24"/>
          <w:lang w:val="pl-PL"/>
        </w:rPr>
        <w:t>de facto</w:t>
      </w:r>
      <w:r w:rsidRPr="00072B78">
        <w:rPr>
          <w:b/>
          <w:iCs/>
          <w:color w:val="000000" w:themeColor="text1"/>
          <w:sz w:val="24"/>
          <w:szCs w:val="24"/>
          <w:lang w:val="pl-PL"/>
        </w:rPr>
        <w:t xml:space="preserve"> niemożliwe</w:t>
      </w:r>
    </w:p>
    <w:p w14:paraId="08669875" w14:textId="77777777" w:rsidR="00950534" w:rsidRPr="00A80201" w:rsidRDefault="00950534" w:rsidP="00950534">
      <w:pPr>
        <w:pStyle w:val="ClinContent"/>
        <w:widowControl w:val="0"/>
        <w:spacing w:before="0"/>
        <w:rPr>
          <w:rFonts w:asciiTheme="minorHAnsi" w:hAnsiTheme="minorHAnsi"/>
          <w:sz w:val="24"/>
          <w:lang w:val="pl-PL"/>
        </w:rPr>
      </w:pPr>
    </w:p>
    <w:p w14:paraId="62F365AB" w14:textId="1AA0EE51"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Skarżący zarzucali, że ich krewni zostali bezprawnie zabici przez funkcjonariuszy państwa. </w:t>
      </w:r>
      <w:r w:rsidRPr="00C83115">
        <w:rPr>
          <w:rFonts w:asciiTheme="minorHAnsi" w:hAnsiTheme="minorHAnsi"/>
          <w:sz w:val="24"/>
          <w:lang w:val="pl-PL"/>
        </w:rPr>
        <w:t>W</w:t>
      </w:r>
      <w:r w:rsidR="00227D65">
        <w:rPr>
          <w:rFonts w:asciiTheme="minorHAnsi" w:hAnsiTheme="minorHAnsi"/>
          <w:sz w:val="24"/>
          <w:lang w:val="pl-PL"/>
        </w:rPr>
        <w:t> </w:t>
      </w:r>
      <w:r w:rsidRPr="00C83115">
        <w:rPr>
          <w:rFonts w:asciiTheme="minorHAnsi" w:hAnsiTheme="minorHAnsi"/>
          <w:sz w:val="24"/>
          <w:lang w:val="pl-PL"/>
        </w:rPr>
        <w:t xml:space="preserve">sprawie </w:t>
      </w:r>
      <w:r w:rsidRPr="00C83115">
        <w:rPr>
          <w:rFonts w:asciiTheme="minorHAnsi" w:hAnsiTheme="minorHAnsi"/>
          <w:i/>
          <w:sz w:val="24"/>
          <w:lang w:val="pl-PL"/>
        </w:rPr>
        <w:t>Taşdemir</w:t>
      </w:r>
      <w:r w:rsidRPr="00C83115">
        <w:rPr>
          <w:rFonts w:asciiTheme="minorHAnsi" w:hAnsiTheme="minorHAnsi"/>
          <w:sz w:val="24"/>
          <w:lang w:val="pl-PL"/>
        </w:rPr>
        <w:t xml:space="preserve"> krewny skarżących wypadł przez okno komisariatu policji. Prokuratura odrzuciła twierdzenie skarżących, że był on maltretowany przez policję, </w:t>
      </w:r>
      <w:r>
        <w:rPr>
          <w:rFonts w:asciiTheme="minorHAnsi" w:hAnsiTheme="minorHAnsi"/>
          <w:sz w:val="24"/>
          <w:lang w:val="pl-PL"/>
        </w:rPr>
        <w:t xml:space="preserve">i </w:t>
      </w:r>
      <w:r w:rsidRPr="00C83115">
        <w:rPr>
          <w:rFonts w:asciiTheme="minorHAnsi" w:hAnsiTheme="minorHAnsi"/>
          <w:sz w:val="24"/>
          <w:lang w:val="pl-PL"/>
        </w:rPr>
        <w:t>uznała, że doszło do</w:t>
      </w:r>
      <w:r w:rsidR="00227D65">
        <w:rPr>
          <w:rFonts w:asciiTheme="minorHAnsi" w:hAnsiTheme="minorHAnsi"/>
          <w:sz w:val="24"/>
          <w:lang w:val="pl-PL"/>
        </w:rPr>
        <w:t> </w:t>
      </w:r>
      <w:r w:rsidRPr="00C83115">
        <w:rPr>
          <w:rFonts w:asciiTheme="minorHAnsi" w:hAnsiTheme="minorHAnsi"/>
          <w:sz w:val="24"/>
          <w:lang w:val="pl-PL"/>
        </w:rPr>
        <w:t xml:space="preserve">samobójstwo. Postępowanie karne w sprawie zaniedbań funkcjonariuszy zostało umorzone z uwagi na upływ terminu przedawnienia, </w:t>
      </w:r>
      <w:r>
        <w:rPr>
          <w:rFonts w:asciiTheme="minorHAnsi" w:hAnsiTheme="minorHAnsi"/>
          <w:sz w:val="24"/>
          <w:lang w:val="pl-PL"/>
        </w:rPr>
        <w:t xml:space="preserve">wobec niektórych </w:t>
      </w:r>
      <w:r w:rsidRPr="00C83115">
        <w:rPr>
          <w:rFonts w:asciiTheme="minorHAnsi" w:hAnsiTheme="minorHAnsi"/>
          <w:sz w:val="24"/>
          <w:lang w:val="pl-PL"/>
        </w:rPr>
        <w:t xml:space="preserve">zastosowano jednak środki dyscyplinarne </w:t>
      </w:r>
      <w:r>
        <w:rPr>
          <w:rFonts w:asciiTheme="minorHAnsi" w:hAnsiTheme="minorHAnsi"/>
          <w:sz w:val="24"/>
          <w:lang w:val="pl-PL"/>
        </w:rPr>
        <w:t xml:space="preserve">w postaci czasowego zawieszenia obowiązków. </w:t>
      </w:r>
      <w:r w:rsidRPr="00DA6F28">
        <w:rPr>
          <w:rFonts w:asciiTheme="minorHAnsi" w:hAnsiTheme="minorHAnsi"/>
          <w:sz w:val="24"/>
          <w:lang w:val="pl-PL"/>
        </w:rPr>
        <w:t xml:space="preserve">W sprawie </w:t>
      </w:r>
      <w:r w:rsidRPr="00DA6F28">
        <w:rPr>
          <w:rFonts w:asciiTheme="minorHAnsi" w:hAnsiTheme="minorHAnsi"/>
          <w:i/>
          <w:sz w:val="24"/>
          <w:lang w:val="pl-PL"/>
        </w:rPr>
        <w:t>Kutlu</w:t>
      </w:r>
      <w:r>
        <w:rPr>
          <w:rFonts w:asciiTheme="minorHAnsi" w:hAnsiTheme="minorHAnsi"/>
          <w:i/>
          <w:sz w:val="24"/>
          <w:lang w:val="pl-PL"/>
        </w:rPr>
        <w:t xml:space="preserve"> i Inni</w:t>
      </w:r>
      <w:r w:rsidRPr="00DA6F28">
        <w:rPr>
          <w:rFonts w:asciiTheme="minorHAnsi" w:hAnsiTheme="minorHAnsi"/>
          <w:sz w:val="24"/>
          <w:lang w:val="pl-PL"/>
        </w:rPr>
        <w:t xml:space="preserve"> krewny skarżących zmarł w szpitalu następnego dnia po zatrzymaniu go przez policję z</w:t>
      </w:r>
      <w:r w:rsidR="00227D65">
        <w:rPr>
          <w:rFonts w:asciiTheme="minorHAnsi" w:hAnsiTheme="minorHAnsi"/>
          <w:sz w:val="24"/>
          <w:lang w:val="pl-PL"/>
        </w:rPr>
        <w:t> </w:t>
      </w:r>
      <w:r w:rsidRPr="00DA6F28">
        <w:rPr>
          <w:rFonts w:asciiTheme="minorHAnsi" w:hAnsiTheme="minorHAnsi"/>
          <w:sz w:val="24"/>
          <w:lang w:val="pl-PL"/>
        </w:rPr>
        <w:t>powodu obrażeń głowy. Postępowanie karne wobec funkcjonariuszy policji zakończyło się</w:t>
      </w:r>
      <w:r w:rsidR="00227D65">
        <w:rPr>
          <w:rFonts w:asciiTheme="minorHAnsi" w:hAnsiTheme="minorHAnsi"/>
          <w:sz w:val="24"/>
          <w:lang w:val="pl-PL"/>
        </w:rPr>
        <w:t> </w:t>
      </w:r>
      <w:r w:rsidRPr="00DA6F28">
        <w:rPr>
          <w:rFonts w:asciiTheme="minorHAnsi" w:hAnsiTheme="minorHAnsi"/>
          <w:sz w:val="24"/>
          <w:lang w:val="pl-PL"/>
        </w:rPr>
        <w:t>ich ujawnieniem z uwagi na brak pewności co do sprawców i okoliczności powstania obrażeń. Sąd karny nakazał jednak powiadomić prokuratora o uniewinnieniu, by mógł podjąć działania w celu poszukiwania rzeczywistych sprawców, kolejne śledztwo nie zostało jednak wszczęte.</w:t>
      </w:r>
      <w:r w:rsidRPr="00B52BBC">
        <w:rPr>
          <w:lang w:val="pl-PL"/>
        </w:rPr>
        <w:t xml:space="preserve"> </w:t>
      </w:r>
      <w:r w:rsidRPr="00B52BBC">
        <w:rPr>
          <w:rFonts w:asciiTheme="minorHAnsi" w:hAnsiTheme="minorHAnsi"/>
          <w:sz w:val="24"/>
          <w:lang w:val="pl-PL"/>
        </w:rPr>
        <w:t xml:space="preserve">W sprawie </w:t>
      </w:r>
      <w:r w:rsidRPr="00B52BBC">
        <w:rPr>
          <w:rFonts w:asciiTheme="minorHAnsi" w:hAnsiTheme="minorHAnsi"/>
          <w:i/>
          <w:sz w:val="24"/>
          <w:lang w:val="pl-PL"/>
        </w:rPr>
        <w:t>Karaca</w:t>
      </w:r>
      <w:r w:rsidRPr="00B52BBC">
        <w:rPr>
          <w:rFonts w:asciiTheme="minorHAnsi" w:hAnsiTheme="minorHAnsi"/>
          <w:sz w:val="24"/>
          <w:lang w:val="pl-PL"/>
        </w:rPr>
        <w:t xml:space="preserve"> krewny skarżących zmarł w wyniku postrzelenia przez straż </w:t>
      </w:r>
      <w:r w:rsidRPr="00B52BBC">
        <w:rPr>
          <w:rFonts w:asciiTheme="minorHAnsi" w:hAnsiTheme="minorHAnsi"/>
          <w:sz w:val="24"/>
          <w:lang w:val="pl-PL"/>
        </w:rPr>
        <w:lastRenderedPageBreak/>
        <w:t>wiejską. Funkcjonariusze zostali uniewinnieni przez sąd na tej podstawie, że działali w</w:t>
      </w:r>
      <w:r w:rsidR="00227D65">
        <w:rPr>
          <w:rFonts w:asciiTheme="minorHAnsi" w:hAnsiTheme="minorHAnsi"/>
          <w:sz w:val="24"/>
          <w:lang w:val="pl-PL"/>
        </w:rPr>
        <w:t> </w:t>
      </w:r>
      <w:r w:rsidRPr="00B52BBC">
        <w:rPr>
          <w:rFonts w:asciiTheme="minorHAnsi" w:hAnsiTheme="minorHAnsi"/>
          <w:sz w:val="24"/>
          <w:lang w:val="pl-PL"/>
        </w:rPr>
        <w:t>obronie koniecznej, używając proporcjonalnej siły.</w:t>
      </w:r>
    </w:p>
    <w:p w14:paraId="2E902E8F" w14:textId="77777777" w:rsidR="00950534" w:rsidRDefault="00950534" w:rsidP="00950534">
      <w:pPr>
        <w:pStyle w:val="ClinContent"/>
        <w:widowControl w:val="0"/>
        <w:spacing w:before="0"/>
        <w:rPr>
          <w:rFonts w:asciiTheme="minorHAnsi" w:hAnsiTheme="minorHAnsi"/>
          <w:sz w:val="24"/>
          <w:lang w:val="pl-PL"/>
        </w:rPr>
      </w:pPr>
    </w:p>
    <w:p w14:paraId="6C56EAD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w:t>
      </w:r>
      <w:r w:rsidRPr="00B15C52">
        <w:rPr>
          <w:rFonts w:asciiTheme="minorHAnsi" w:hAnsiTheme="minorHAnsi"/>
          <w:sz w:val="24"/>
          <w:lang w:val="pl-PL"/>
        </w:rPr>
        <w:t xml:space="preserve">e wszystkich trzech sprawach rząd </w:t>
      </w:r>
      <w:r>
        <w:rPr>
          <w:rFonts w:asciiTheme="minorHAnsi" w:hAnsiTheme="minorHAnsi"/>
          <w:sz w:val="24"/>
          <w:lang w:val="pl-PL"/>
        </w:rPr>
        <w:t xml:space="preserve">turecki </w:t>
      </w:r>
      <w:r w:rsidRPr="00B15C52">
        <w:rPr>
          <w:rFonts w:asciiTheme="minorHAnsi" w:hAnsiTheme="minorHAnsi"/>
          <w:sz w:val="24"/>
          <w:lang w:val="pl-PL"/>
        </w:rPr>
        <w:t xml:space="preserve">przedłożył deklaracje jednostronne przyznające, że doszło do naruszenia art. 2 </w:t>
      </w:r>
      <w:r>
        <w:rPr>
          <w:rFonts w:asciiTheme="minorHAnsi" w:hAnsiTheme="minorHAnsi"/>
          <w:sz w:val="24"/>
          <w:lang w:val="pl-PL"/>
        </w:rPr>
        <w:t xml:space="preserve">(prawo do życia), </w:t>
      </w:r>
      <w:r w:rsidRPr="00B15C52">
        <w:rPr>
          <w:rFonts w:asciiTheme="minorHAnsi" w:hAnsiTheme="minorHAnsi"/>
          <w:sz w:val="24"/>
          <w:lang w:val="pl-PL"/>
        </w:rPr>
        <w:t xml:space="preserve">i proponujące odszkodowanie, ale nie zawierające zobowiązania do wznowienia lub dalszego prowadzenia śledztw. </w:t>
      </w:r>
    </w:p>
    <w:p w14:paraId="5D7BC0C6" w14:textId="77777777" w:rsidR="00950534" w:rsidRDefault="00950534" w:rsidP="00950534">
      <w:pPr>
        <w:pStyle w:val="ClinContent"/>
        <w:widowControl w:val="0"/>
        <w:spacing w:before="0"/>
        <w:rPr>
          <w:rFonts w:asciiTheme="minorHAnsi" w:hAnsiTheme="minorHAnsi"/>
          <w:sz w:val="24"/>
          <w:lang w:val="pl-PL"/>
        </w:rPr>
      </w:pPr>
    </w:p>
    <w:p w14:paraId="6F9F4C3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Trybunał zbadał na podstawie </w:t>
      </w:r>
      <w:r>
        <w:rPr>
          <w:rFonts w:asciiTheme="minorHAnsi" w:hAnsiTheme="minorHAnsi"/>
          <w:i/>
          <w:sz w:val="24"/>
          <w:lang w:val="pl-PL"/>
        </w:rPr>
        <w:t>a</w:t>
      </w:r>
      <w:r w:rsidRPr="00B15C52">
        <w:rPr>
          <w:rFonts w:asciiTheme="minorHAnsi" w:hAnsiTheme="minorHAnsi"/>
          <w:sz w:val="24"/>
          <w:lang w:val="pl-PL"/>
        </w:rPr>
        <w:t>rt. 37 ust. 1 lit. c</w:t>
      </w:r>
      <w:r>
        <w:rPr>
          <w:rFonts w:asciiTheme="minorHAnsi" w:hAnsiTheme="minorHAnsi"/>
          <w:sz w:val="24"/>
          <w:lang w:val="pl-PL"/>
        </w:rPr>
        <w:t xml:space="preserve"> Konwencji, czy te deklaracje jednostronne są wystarczające do skreślenia skarg z listy, czy też poszanowanie praw człowieka wymaga jednak kontynuowania rozpatrywania skarg</w:t>
      </w:r>
      <w:r>
        <w:rPr>
          <w:rStyle w:val="Odwoanieprzypisudolnego"/>
          <w:rFonts w:asciiTheme="minorHAnsi" w:hAnsiTheme="minorHAnsi"/>
          <w:sz w:val="24"/>
          <w:lang w:val="pl-PL"/>
        </w:rPr>
        <w:footnoteReference w:id="22"/>
      </w:r>
      <w:r>
        <w:rPr>
          <w:rFonts w:asciiTheme="minorHAnsi" w:hAnsiTheme="minorHAnsi"/>
          <w:sz w:val="24"/>
          <w:lang w:val="pl-PL"/>
        </w:rPr>
        <w:t xml:space="preserve">. </w:t>
      </w:r>
    </w:p>
    <w:p w14:paraId="4D3B9D1E" w14:textId="77777777" w:rsidR="00950534" w:rsidRDefault="00950534" w:rsidP="00950534">
      <w:pPr>
        <w:pStyle w:val="ClinContent"/>
        <w:widowControl w:val="0"/>
        <w:spacing w:before="0"/>
        <w:rPr>
          <w:rFonts w:asciiTheme="minorHAnsi" w:hAnsiTheme="minorHAnsi"/>
          <w:sz w:val="24"/>
          <w:lang w:val="pl-PL"/>
        </w:rPr>
      </w:pPr>
    </w:p>
    <w:p w14:paraId="03075827" w14:textId="793CFFD9"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Zauważył, że w</w:t>
      </w:r>
      <w:r w:rsidRPr="00B15C52">
        <w:rPr>
          <w:rFonts w:asciiTheme="minorHAnsi" w:hAnsiTheme="minorHAnsi"/>
          <w:sz w:val="24"/>
          <w:lang w:val="pl-PL"/>
        </w:rPr>
        <w:t xml:space="preserve"> sprawie </w:t>
      </w:r>
      <w:r w:rsidRPr="00B15C52">
        <w:rPr>
          <w:rFonts w:asciiTheme="minorHAnsi" w:hAnsiTheme="minorHAnsi"/>
          <w:i/>
          <w:sz w:val="24"/>
          <w:lang w:val="pl-PL"/>
        </w:rPr>
        <w:t xml:space="preserve">Kutlu i Inni </w:t>
      </w:r>
      <w:r w:rsidRPr="00B15C52">
        <w:rPr>
          <w:rFonts w:asciiTheme="minorHAnsi" w:hAnsiTheme="minorHAnsi"/>
          <w:sz w:val="24"/>
          <w:lang w:val="pl-PL"/>
        </w:rPr>
        <w:t>sąd karny</w:t>
      </w:r>
      <w:r w:rsidRPr="00B15C52">
        <w:rPr>
          <w:rFonts w:asciiTheme="minorHAnsi" w:hAnsiTheme="minorHAnsi"/>
          <w:i/>
          <w:sz w:val="24"/>
          <w:lang w:val="pl-PL"/>
        </w:rPr>
        <w:t xml:space="preserve"> </w:t>
      </w:r>
      <w:r w:rsidRPr="00B15C52">
        <w:rPr>
          <w:rFonts w:asciiTheme="minorHAnsi" w:hAnsiTheme="minorHAnsi"/>
          <w:sz w:val="24"/>
          <w:lang w:val="pl-PL"/>
        </w:rPr>
        <w:t xml:space="preserve">nakazał w swym wyroku, by prokurator został powiadomiony o uniewinnieniu funkcjonariuszy policji ze </w:t>
      </w:r>
      <w:r>
        <w:rPr>
          <w:rFonts w:asciiTheme="minorHAnsi" w:hAnsiTheme="minorHAnsi"/>
          <w:sz w:val="24"/>
          <w:lang w:val="pl-PL"/>
        </w:rPr>
        <w:t>względów dowodowych, tak</w:t>
      </w:r>
      <w:r w:rsidR="00227D65">
        <w:rPr>
          <w:rFonts w:asciiTheme="minorHAnsi" w:hAnsiTheme="minorHAnsi"/>
          <w:sz w:val="24"/>
          <w:lang w:val="pl-PL"/>
        </w:rPr>
        <w:t> </w:t>
      </w:r>
      <w:r>
        <w:rPr>
          <w:rFonts w:asciiTheme="minorHAnsi" w:hAnsiTheme="minorHAnsi"/>
          <w:sz w:val="24"/>
          <w:lang w:val="pl-PL"/>
        </w:rPr>
        <w:t>by</w:t>
      </w:r>
      <w:r w:rsidR="00227D65">
        <w:rPr>
          <w:rFonts w:asciiTheme="minorHAnsi" w:hAnsiTheme="minorHAnsi"/>
          <w:sz w:val="24"/>
          <w:lang w:val="pl-PL"/>
        </w:rPr>
        <w:t> </w:t>
      </w:r>
      <w:r>
        <w:rPr>
          <w:rFonts w:asciiTheme="minorHAnsi" w:hAnsiTheme="minorHAnsi"/>
          <w:sz w:val="24"/>
          <w:lang w:val="pl-PL"/>
        </w:rPr>
        <w:t>mogły zostać podjęte</w:t>
      </w:r>
      <w:r w:rsidRPr="00B15C52">
        <w:rPr>
          <w:rFonts w:asciiTheme="minorHAnsi" w:hAnsiTheme="minorHAnsi"/>
          <w:sz w:val="24"/>
          <w:lang w:val="pl-PL"/>
        </w:rPr>
        <w:t xml:space="preserve"> działania w celu odnalezienia prawdziwych sprawców odpowiedzialnych za zabicie krewnego skarżących. Istnieje zatem możliwość wnioskowania przez skarżących do prokuratora o wszczęcie nowego dochodzenia</w:t>
      </w:r>
      <w:r>
        <w:rPr>
          <w:rFonts w:asciiTheme="minorHAnsi" w:hAnsiTheme="minorHAnsi"/>
          <w:sz w:val="24"/>
          <w:lang w:val="pl-PL"/>
        </w:rPr>
        <w:t>. Umożliwia to</w:t>
      </w:r>
      <w:r w:rsidRPr="00B15C52">
        <w:rPr>
          <w:rFonts w:asciiTheme="minorHAnsi" w:hAnsiTheme="minorHAnsi"/>
          <w:sz w:val="24"/>
          <w:lang w:val="pl-PL"/>
        </w:rPr>
        <w:t xml:space="preserve"> </w:t>
      </w:r>
      <w:r>
        <w:rPr>
          <w:rFonts w:asciiTheme="minorHAnsi" w:hAnsiTheme="minorHAnsi"/>
          <w:sz w:val="24"/>
          <w:lang w:val="pl-PL"/>
        </w:rPr>
        <w:t>niedawna zmiana</w:t>
      </w:r>
      <w:r w:rsidRPr="00B15C52">
        <w:rPr>
          <w:rFonts w:asciiTheme="minorHAnsi" w:hAnsiTheme="minorHAnsi"/>
          <w:sz w:val="24"/>
          <w:lang w:val="pl-PL"/>
        </w:rPr>
        <w:t xml:space="preserve"> ustawodawc</w:t>
      </w:r>
      <w:r>
        <w:rPr>
          <w:rFonts w:asciiTheme="minorHAnsi" w:hAnsiTheme="minorHAnsi"/>
          <w:sz w:val="24"/>
          <w:lang w:val="pl-PL"/>
        </w:rPr>
        <w:t>za</w:t>
      </w:r>
      <w:r w:rsidRPr="00B15C52">
        <w:rPr>
          <w:rFonts w:asciiTheme="minorHAnsi" w:hAnsiTheme="minorHAnsi"/>
          <w:sz w:val="24"/>
          <w:lang w:val="pl-PL"/>
        </w:rPr>
        <w:t>, która pozwala na wznowienie śledztwa, w tym w sprawach, w</w:t>
      </w:r>
      <w:r w:rsidR="00227D65">
        <w:rPr>
          <w:rFonts w:asciiTheme="minorHAnsi" w:hAnsiTheme="minorHAnsi"/>
          <w:sz w:val="24"/>
          <w:lang w:val="pl-PL"/>
        </w:rPr>
        <w:t> </w:t>
      </w:r>
      <w:r w:rsidRPr="00B15C52">
        <w:rPr>
          <w:rFonts w:asciiTheme="minorHAnsi" w:hAnsiTheme="minorHAnsi"/>
          <w:sz w:val="24"/>
          <w:lang w:val="pl-PL"/>
        </w:rPr>
        <w:t xml:space="preserve">których skarga została skreślona przez Trybunał w oparciu o deklarację jednostronną rządu. </w:t>
      </w:r>
    </w:p>
    <w:p w14:paraId="4BCD71E3" w14:textId="77777777" w:rsidR="00950534" w:rsidRDefault="00950534" w:rsidP="00950534">
      <w:pPr>
        <w:pStyle w:val="ClinContent"/>
        <w:widowControl w:val="0"/>
        <w:spacing w:before="0"/>
        <w:rPr>
          <w:rFonts w:asciiTheme="minorHAnsi" w:hAnsiTheme="minorHAnsi"/>
          <w:sz w:val="24"/>
          <w:lang w:val="pl-PL"/>
        </w:rPr>
      </w:pPr>
    </w:p>
    <w:p w14:paraId="2396E14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sprawach </w:t>
      </w:r>
      <w:r w:rsidRPr="00B15C52">
        <w:rPr>
          <w:rFonts w:asciiTheme="minorHAnsi" w:hAnsiTheme="minorHAnsi"/>
          <w:i/>
          <w:sz w:val="24"/>
          <w:lang w:val="pl-PL"/>
        </w:rPr>
        <w:t>Taşdemir</w:t>
      </w:r>
      <w:r w:rsidRPr="00B15C52">
        <w:rPr>
          <w:rFonts w:asciiTheme="minorHAnsi" w:hAnsiTheme="minorHAnsi"/>
          <w:sz w:val="24"/>
          <w:lang w:val="pl-PL"/>
        </w:rPr>
        <w:t xml:space="preserve"> i </w:t>
      </w:r>
      <w:r w:rsidRPr="00B15C52">
        <w:rPr>
          <w:rFonts w:asciiTheme="minorHAnsi" w:hAnsiTheme="minorHAnsi"/>
          <w:i/>
          <w:sz w:val="24"/>
          <w:lang w:val="pl-PL"/>
        </w:rPr>
        <w:t xml:space="preserve">Karaca </w:t>
      </w:r>
      <w:r w:rsidRPr="00B15C52">
        <w:rPr>
          <w:rFonts w:asciiTheme="minorHAnsi" w:hAnsiTheme="minorHAnsi"/>
          <w:sz w:val="24"/>
          <w:lang w:val="pl-PL"/>
        </w:rPr>
        <w:t>Trybunał odnotował, że wcześniej odmawiał przyjmowania deklaracji jednostronnych bez zobowiązania się przez pozwany rząd do przeprowadzenia śledztwa spełniającego wymogi art. 2</w:t>
      </w:r>
      <w:r>
        <w:rPr>
          <w:rFonts w:asciiTheme="minorHAnsi" w:hAnsiTheme="minorHAnsi"/>
          <w:sz w:val="24"/>
          <w:lang w:val="pl-PL"/>
        </w:rPr>
        <w:t xml:space="preserve"> Konwencji</w:t>
      </w:r>
      <w:r w:rsidRPr="00B15C52">
        <w:rPr>
          <w:rFonts w:asciiTheme="minorHAnsi" w:hAnsiTheme="minorHAnsi"/>
          <w:sz w:val="24"/>
          <w:lang w:val="pl-PL"/>
        </w:rPr>
        <w:t xml:space="preserve">, gdy śledztwo krajowe w sprawie zaginięcia lub zabójstwa było </w:t>
      </w:r>
      <w:r w:rsidRPr="00B15C52">
        <w:rPr>
          <w:rFonts w:asciiTheme="minorHAnsi" w:hAnsiTheme="minorHAnsi"/>
          <w:i/>
          <w:sz w:val="24"/>
          <w:lang w:val="pl-PL"/>
        </w:rPr>
        <w:t>prima facie</w:t>
      </w:r>
      <w:r w:rsidRPr="00B15C52">
        <w:rPr>
          <w:rFonts w:asciiTheme="minorHAnsi" w:hAnsiTheme="minorHAnsi"/>
          <w:sz w:val="24"/>
          <w:lang w:val="pl-PL"/>
        </w:rPr>
        <w:t xml:space="preserve"> wadliwe. </w:t>
      </w:r>
    </w:p>
    <w:p w14:paraId="6E4CC957" w14:textId="77777777" w:rsidR="00950534" w:rsidRDefault="00950534" w:rsidP="00950534">
      <w:pPr>
        <w:pStyle w:val="ClinContent"/>
        <w:widowControl w:val="0"/>
        <w:spacing w:before="0"/>
        <w:rPr>
          <w:rFonts w:asciiTheme="minorHAnsi" w:hAnsiTheme="minorHAnsi"/>
          <w:sz w:val="24"/>
          <w:lang w:val="pl-PL"/>
        </w:rPr>
      </w:pPr>
    </w:p>
    <w:p w14:paraId="12D4EE11" w14:textId="457521A8"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Obecnie Trybunał przyznał, że m</w:t>
      </w:r>
      <w:r w:rsidRPr="00B15C52">
        <w:rPr>
          <w:rFonts w:asciiTheme="minorHAnsi" w:hAnsiTheme="minorHAnsi"/>
          <w:sz w:val="24"/>
          <w:lang w:val="pl-PL"/>
        </w:rPr>
        <w:t xml:space="preserve">ogą jednak zachodzić sytuacje, w których wznowienie śledztwa karnego jest </w:t>
      </w:r>
      <w:r w:rsidRPr="00B15C52">
        <w:rPr>
          <w:rFonts w:asciiTheme="minorHAnsi" w:hAnsiTheme="minorHAnsi"/>
          <w:i/>
          <w:sz w:val="24"/>
          <w:lang w:val="pl-PL"/>
        </w:rPr>
        <w:t>de iure</w:t>
      </w:r>
      <w:r w:rsidRPr="00B15C52">
        <w:rPr>
          <w:rFonts w:asciiTheme="minorHAnsi" w:hAnsiTheme="minorHAnsi"/>
          <w:sz w:val="24"/>
          <w:lang w:val="pl-PL"/>
        </w:rPr>
        <w:t xml:space="preserve"> lub </w:t>
      </w:r>
      <w:r w:rsidRPr="00B15C52">
        <w:rPr>
          <w:rFonts w:asciiTheme="minorHAnsi" w:hAnsiTheme="minorHAnsi"/>
          <w:i/>
          <w:sz w:val="24"/>
          <w:lang w:val="pl-PL"/>
        </w:rPr>
        <w:t>de facto</w:t>
      </w:r>
      <w:r w:rsidRPr="00B15C52">
        <w:rPr>
          <w:rFonts w:asciiTheme="minorHAnsi" w:hAnsiTheme="minorHAnsi"/>
          <w:sz w:val="24"/>
          <w:lang w:val="pl-PL"/>
        </w:rPr>
        <w:t xml:space="preserve"> niemożliwe. Takie sytuacje mogą wystąpić, na</w:t>
      </w:r>
      <w:r w:rsidR="00227D65">
        <w:rPr>
          <w:rFonts w:asciiTheme="minorHAnsi" w:hAnsiTheme="minorHAnsi"/>
          <w:sz w:val="24"/>
          <w:lang w:val="pl-PL"/>
        </w:rPr>
        <w:t> </w:t>
      </w:r>
      <w:r w:rsidRPr="00B15C52">
        <w:rPr>
          <w:rFonts w:asciiTheme="minorHAnsi" w:hAnsiTheme="minorHAnsi"/>
          <w:sz w:val="24"/>
          <w:lang w:val="pl-PL"/>
        </w:rPr>
        <w:t>przykład, gdy domniemani sprawcy zostali uniewinnieni i nie mogą podlegać ponownemu sądzeniu za to samo przestępstwo lub gdy w postępowaniu karnym doszło do przedawnienia z uwagi na upływ terminów przewidzianych w prawie krajowym. Wznowienie postępowania krajowego, które zakończyło się z uwagi na upływ terminów przedawnienia, może w istocie rodzić kwestie dotyczące zasady pewności prawnej i mieć wpływ na prawa oskarżonego na</w:t>
      </w:r>
      <w:r w:rsidR="00227D65">
        <w:rPr>
          <w:rFonts w:asciiTheme="minorHAnsi" w:hAnsiTheme="minorHAnsi"/>
          <w:sz w:val="24"/>
          <w:lang w:val="pl-PL"/>
        </w:rPr>
        <w:t> </w:t>
      </w:r>
      <w:r w:rsidRPr="00B15C52">
        <w:rPr>
          <w:rFonts w:asciiTheme="minorHAnsi" w:hAnsiTheme="minorHAnsi"/>
          <w:sz w:val="24"/>
          <w:lang w:val="pl-PL"/>
        </w:rPr>
        <w:t>podstawie art. 7</w:t>
      </w:r>
      <w:r>
        <w:rPr>
          <w:rFonts w:asciiTheme="minorHAnsi" w:hAnsiTheme="minorHAnsi"/>
          <w:sz w:val="24"/>
          <w:lang w:val="pl-PL"/>
        </w:rPr>
        <w:t xml:space="preserve"> Konwencji (zakaz karania bez podstawy prawnej)</w:t>
      </w:r>
      <w:r w:rsidRPr="00B15C52">
        <w:rPr>
          <w:rFonts w:asciiTheme="minorHAnsi" w:hAnsiTheme="minorHAnsi"/>
          <w:sz w:val="24"/>
          <w:lang w:val="pl-PL"/>
        </w:rPr>
        <w:t>. Podobnie też ponowne sądzenie tego samego oskarżonego za przestępstwo, w odniesieniu do którego został już prawomocnie uniewinniony lub skazany, może rodzić kwestie dotyczące praw oskarżonego wynikających z zakazu ponownego sądzenia lub karania w rozumieniu art. 4 Protokołu nr 7</w:t>
      </w:r>
      <w:r>
        <w:rPr>
          <w:rFonts w:asciiTheme="minorHAnsi" w:hAnsiTheme="minorHAnsi"/>
          <w:sz w:val="24"/>
          <w:lang w:val="pl-PL"/>
        </w:rPr>
        <w:t xml:space="preserve"> do Konwencji</w:t>
      </w:r>
      <w:r w:rsidRPr="00B15C52">
        <w:rPr>
          <w:rFonts w:asciiTheme="minorHAnsi" w:hAnsiTheme="minorHAnsi"/>
          <w:sz w:val="24"/>
          <w:lang w:val="pl-PL"/>
        </w:rPr>
        <w:t xml:space="preserve">. </w:t>
      </w:r>
    </w:p>
    <w:p w14:paraId="0DBDC58A" w14:textId="77777777" w:rsidR="00950534" w:rsidRDefault="00950534" w:rsidP="00950534">
      <w:pPr>
        <w:pStyle w:val="ClinContent"/>
        <w:widowControl w:val="0"/>
        <w:spacing w:before="0"/>
        <w:rPr>
          <w:rFonts w:asciiTheme="minorHAnsi" w:hAnsiTheme="minorHAnsi"/>
          <w:sz w:val="24"/>
          <w:lang w:val="pl-PL"/>
        </w:rPr>
      </w:pPr>
    </w:p>
    <w:p w14:paraId="444FFDEC"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Oprócz przeszkód </w:t>
      </w:r>
      <w:r w:rsidRPr="00B15C52">
        <w:rPr>
          <w:rFonts w:asciiTheme="minorHAnsi" w:hAnsiTheme="minorHAnsi"/>
          <w:i/>
          <w:sz w:val="24"/>
          <w:lang w:val="pl-PL"/>
        </w:rPr>
        <w:t xml:space="preserve">de iure </w:t>
      </w:r>
      <w:r w:rsidRPr="00B15C52">
        <w:rPr>
          <w:rFonts w:asciiTheme="minorHAnsi" w:hAnsiTheme="minorHAnsi"/>
          <w:sz w:val="24"/>
          <w:lang w:val="pl-PL"/>
        </w:rPr>
        <w:t>możliwe jest</w:t>
      </w:r>
      <w:r w:rsidRPr="00B15C52">
        <w:rPr>
          <w:rFonts w:asciiTheme="minorHAnsi" w:hAnsiTheme="minorHAnsi"/>
          <w:i/>
          <w:sz w:val="24"/>
          <w:lang w:val="pl-PL"/>
        </w:rPr>
        <w:t xml:space="preserve"> </w:t>
      </w:r>
      <w:r w:rsidRPr="00B15C52">
        <w:rPr>
          <w:rFonts w:asciiTheme="minorHAnsi" w:hAnsiTheme="minorHAnsi"/>
          <w:sz w:val="24"/>
          <w:lang w:val="pl-PL"/>
        </w:rPr>
        <w:t xml:space="preserve">też, że w razie upływu długiego czasu od wydarzenia dowody mogły zniknąć, zostać zniszczone lub stać się niemożliwe do znalezienia. W praktyce może więc nie być już możliwe wznowienie śledztwa i przeprowadzenie go w sposób skuteczny. </w:t>
      </w:r>
    </w:p>
    <w:p w14:paraId="4BCD28D1" w14:textId="77777777" w:rsidR="00950534" w:rsidRDefault="00950534" w:rsidP="00950534">
      <w:pPr>
        <w:pStyle w:val="ClinContent"/>
        <w:widowControl w:val="0"/>
        <w:spacing w:before="0"/>
        <w:rPr>
          <w:rFonts w:asciiTheme="minorHAnsi" w:hAnsiTheme="minorHAnsi"/>
          <w:sz w:val="24"/>
          <w:lang w:val="pl-PL"/>
        </w:rPr>
      </w:pPr>
    </w:p>
    <w:p w14:paraId="5B53939C" w14:textId="77777777" w:rsidR="00FA6F64" w:rsidRDefault="00FA6F64" w:rsidP="00950534">
      <w:pPr>
        <w:pStyle w:val="ClinContent"/>
        <w:widowControl w:val="0"/>
        <w:spacing w:before="0"/>
        <w:rPr>
          <w:rFonts w:asciiTheme="minorHAnsi" w:hAnsiTheme="minorHAnsi"/>
          <w:sz w:val="24"/>
          <w:lang w:val="pl-PL"/>
        </w:rPr>
      </w:pPr>
    </w:p>
    <w:p w14:paraId="18A3AADA" w14:textId="117062DC"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A zatem kwestia, czy pozwane państwo ma obowiązek wznowić postępowanie karne, a</w:t>
      </w:r>
      <w:r w:rsidR="00227D65">
        <w:rPr>
          <w:rFonts w:asciiTheme="minorHAnsi" w:hAnsiTheme="minorHAnsi"/>
          <w:sz w:val="24"/>
          <w:lang w:val="pl-PL"/>
        </w:rPr>
        <w:t> </w:t>
      </w:r>
      <w:r w:rsidRPr="00B15C52">
        <w:rPr>
          <w:rFonts w:asciiTheme="minorHAnsi" w:hAnsiTheme="minorHAnsi"/>
          <w:sz w:val="24"/>
          <w:lang w:val="pl-PL"/>
        </w:rPr>
        <w:t>w</w:t>
      </w:r>
      <w:r w:rsidR="00227D65">
        <w:rPr>
          <w:rFonts w:asciiTheme="minorHAnsi" w:hAnsiTheme="minorHAnsi"/>
          <w:sz w:val="24"/>
          <w:lang w:val="pl-PL"/>
        </w:rPr>
        <w:t> </w:t>
      </w:r>
      <w:r w:rsidRPr="00B15C52">
        <w:rPr>
          <w:rFonts w:asciiTheme="minorHAnsi" w:hAnsiTheme="minorHAnsi"/>
          <w:sz w:val="24"/>
          <w:lang w:val="pl-PL"/>
        </w:rPr>
        <w:t>rezultacie, czy deklaracja jednostronna powinna zawierać takie zobowiązanie, zależy od</w:t>
      </w:r>
      <w:r w:rsidR="00227D65">
        <w:rPr>
          <w:rFonts w:asciiTheme="minorHAnsi" w:hAnsiTheme="minorHAnsi"/>
          <w:sz w:val="24"/>
          <w:lang w:val="pl-PL"/>
        </w:rPr>
        <w:t> </w:t>
      </w:r>
      <w:r w:rsidRPr="00B15C52">
        <w:rPr>
          <w:rFonts w:asciiTheme="minorHAnsi" w:hAnsiTheme="minorHAnsi"/>
          <w:sz w:val="24"/>
          <w:lang w:val="pl-PL"/>
        </w:rPr>
        <w:t>konkretnych okoliczności danej sprawy, w tym</w:t>
      </w:r>
      <w:r>
        <w:rPr>
          <w:rFonts w:asciiTheme="minorHAnsi" w:hAnsiTheme="minorHAnsi"/>
          <w:sz w:val="24"/>
          <w:lang w:val="pl-PL"/>
        </w:rPr>
        <w:t xml:space="preserve"> takich jak:</w:t>
      </w:r>
    </w:p>
    <w:p w14:paraId="59DE2743" w14:textId="77777777" w:rsidR="00950534" w:rsidRDefault="00950534" w:rsidP="00950534">
      <w:pPr>
        <w:pStyle w:val="ClinContent"/>
        <w:widowControl w:val="0"/>
        <w:numPr>
          <w:ilvl w:val="0"/>
          <w:numId w:val="35"/>
        </w:numPr>
        <w:spacing w:before="0"/>
        <w:rPr>
          <w:rFonts w:asciiTheme="minorHAnsi" w:hAnsiTheme="minorHAnsi"/>
          <w:sz w:val="24"/>
          <w:lang w:val="pl-PL"/>
        </w:rPr>
      </w:pPr>
      <w:r>
        <w:rPr>
          <w:rFonts w:asciiTheme="minorHAnsi" w:hAnsiTheme="minorHAnsi"/>
          <w:sz w:val="24"/>
          <w:lang w:val="pl-PL"/>
        </w:rPr>
        <w:t>charakter i powaga zarzucanego naruszenia;</w:t>
      </w:r>
    </w:p>
    <w:p w14:paraId="3A952CC7" w14:textId="77777777" w:rsidR="00950534" w:rsidRDefault="00950534" w:rsidP="00950534">
      <w:pPr>
        <w:pStyle w:val="ClinContent"/>
        <w:widowControl w:val="0"/>
        <w:numPr>
          <w:ilvl w:val="0"/>
          <w:numId w:val="35"/>
        </w:numPr>
        <w:spacing w:before="0"/>
        <w:rPr>
          <w:rFonts w:asciiTheme="minorHAnsi" w:hAnsiTheme="minorHAnsi"/>
          <w:sz w:val="24"/>
          <w:lang w:val="pl-PL"/>
        </w:rPr>
      </w:pPr>
      <w:r>
        <w:rPr>
          <w:rFonts w:asciiTheme="minorHAnsi" w:hAnsiTheme="minorHAnsi"/>
          <w:sz w:val="24"/>
          <w:lang w:val="pl-PL"/>
        </w:rPr>
        <w:t>tożsamość domniemanego sprawcy;</w:t>
      </w:r>
    </w:p>
    <w:p w14:paraId="07E3964E" w14:textId="77777777"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czy inne osoby, nieuczestniczące w post</w:t>
      </w:r>
      <w:r>
        <w:rPr>
          <w:rFonts w:asciiTheme="minorHAnsi" w:hAnsiTheme="minorHAnsi"/>
          <w:sz w:val="24"/>
          <w:lang w:val="pl-PL"/>
        </w:rPr>
        <w:t>ępowaniu, mogły być zamieszane;</w:t>
      </w:r>
    </w:p>
    <w:p w14:paraId="4109D0CE" w14:textId="77777777" w:rsidR="00950534" w:rsidRDefault="00950534" w:rsidP="00950534">
      <w:pPr>
        <w:pStyle w:val="ClinContent"/>
        <w:widowControl w:val="0"/>
        <w:numPr>
          <w:ilvl w:val="0"/>
          <w:numId w:val="35"/>
        </w:numPr>
        <w:spacing w:before="0"/>
        <w:rPr>
          <w:rFonts w:asciiTheme="minorHAnsi" w:hAnsiTheme="minorHAnsi"/>
          <w:sz w:val="24"/>
          <w:lang w:val="pl-PL"/>
        </w:rPr>
      </w:pPr>
      <w:r>
        <w:rPr>
          <w:rFonts w:asciiTheme="minorHAnsi" w:hAnsiTheme="minorHAnsi"/>
          <w:sz w:val="24"/>
          <w:lang w:val="pl-PL"/>
        </w:rPr>
        <w:t>powód</w:t>
      </w:r>
      <w:r w:rsidRPr="00B15C52">
        <w:rPr>
          <w:rFonts w:asciiTheme="minorHAnsi" w:hAnsiTheme="minorHAnsi"/>
          <w:sz w:val="24"/>
          <w:lang w:val="pl-PL"/>
        </w:rPr>
        <w:t xml:space="preserve"> za</w:t>
      </w:r>
      <w:r>
        <w:rPr>
          <w:rFonts w:asciiTheme="minorHAnsi" w:hAnsiTheme="minorHAnsi"/>
          <w:sz w:val="24"/>
          <w:lang w:val="pl-PL"/>
        </w:rPr>
        <w:t>kończenia postępowania karnego;</w:t>
      </w:r>
    </w:p>
    <w:p w14:paraId="309C3798" w14:textId="77777777"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wad</w:t>
      </w:r>
      <w:r>
        <w:rPr>
          <w:rFonts w:asciiTheme="minorHAnsi" w:hAnsiTheme="minorHAnsi"/>
          <w:sz w:val="24"/>
          <w:lang w:val="pl-PL"/>
        </w:rPr>
        <w:t>y</w:t>
      </w:r>
      <w:r w:rsidRPr="00B15C52">
        <w:rPr>
          <w:rFonts w:asciiTheme="minorHAnsi" w:hAnsiTheme="minorHAnsi"/>
          <w:sz w:val="24"/>
          <w:lang w:val="pl-PL"/>
        </w:rPr>
        <w:t xml:space="preserve"> i </w:t>
      </w:r>
      <w:r>
        <w:rPr>
          <w:rFonts w:asciiTheme="minorHAnsi" w:hAnsiTheme="minorHAnsi"/>
          <w:sz w:val="24"/>
          <w:lang w:val="pl-PL"/>
        </w:rPr>
        <w:t>braki</w:t>
      </w:r>
      <w:r w:rsidRPr="00B15C52">
        <w:rPr>
          <w:rFonts w:asciiTheme="minorHAnsi" w:hAnsiTheme="minorHAnsi"/>
          <w:sz w:val="24"/>
          <w:lang w:val="pl-PL"/>
        </w:rPr>
        <w:t xml:space="preserve"> postępowania karnego przed decyzją o z</w:t>
      </w:r>
      <w:r>
        <w:rPr>
          <w:rFonts w:asciiTheme="minorHAnsi" w:hAnsiTheme="minorHAnsi"/>
          <w:sz w:val="24"/>
          <w:lang w:val="pl-PL"/>
        </w:rPr>
        <w:t>akończeniu postępowania karnego;</w:t>
      </w:r>
      <w:r w:rsidRPr="00B15C52">
        <w:rPr>
          <w:rFonts w:asciiTheme="minorHAnsi" w:hAnsiTheme="minorHAnsi"/>
          <w:sz w:val="24"/>
          <w:lang w:val="pl-PL"/>
        </w:rPr>
        <w:t xml:space="preserve"> </w:t>
      </w:r>
      <w:r>
        <w:rPr>
          <w:rFonts w:asciiTheme="minorHAnsi" w:hAnsiTheme="minorHAnsi"/>
          <w:sz w:val="24"/>
          <w:lang w:val="pl-PL"/>
        </w:rPr>
        <w:t xml:space="preserve">oraz </w:t>
      </w:r>
    </w:p>
    <w:p w14:paraId="740D8401" w14:textId="0C442DDB"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 xml:space="preserve">czy domniemany sprawca przyczynił się do wad i </w:t>
      </w:r>
      <w:r>
        <w:rPr>
          <w:rFonts w:asciiTheme="minorHAnsi" w:hAnsiTheme="minorHAnsi"/>
          <w:sz w:val="24"/>
          <w:lang w:val="pl-PL"/>
        </w:rPr>
        <w:t>braków</w:t>
      </w:r>
      <w:r w:rsidRPr="00B15C52">
        <w:rPr>
          <w:rFonts w:asciiTheme="minorHAnsi" w:hAnsiTheme="minorHAnsi"/>
          <w:sz w:val="24"/>
          <w:lang w:val="pl-PL"/>
        </w:rPr>
        <w:t>, które doprowadziły do</w:t>
      </w:r>
      <w:r w:rsidR="00227D65">
        <w:rPr>
          <w:rFonts w:asciiTheme="minorHAnsi" w:hAnsiTheme="minorHAnsi"/>
          <w:sz w:val="24"/>
          <w:lang w:val="pl-PL"/>
        </w:rPr>
        <w:t> </w:t>
      </w:r>
      <w:r w:rsidRPr="00B15C52">
        <w:rPr>
          <w:rFonts w:asciiTheme="minorHAnsi" w:hAnsiTheme="minorHAnsi"/>
          <w:sz w:val="24"/>
          <w:lang w:val="pl-PL"/>
        </w:rPr>
        <w:t xml:space="preserve">zakończenia postępowania karnego. </w:t>
      </w:r>
    </w:p>
    <w:p w14:paraId="458E06A2" w14:textId="77777777" w:rsidR="00950534" w:rsidRDefault="00950534" w:rsidP="00950534">
      <w:pPr>
        <w:pStyle w:val="ClinContent"/>
        <w:widowControl w:val="0"/>
        <w:spacing w:before="0"/>
        <w:rPr>
          <w:rFonts w:asciiTheme="minorHAnsi" w:hAnsiTheme="minorHAnsi"/>
          <w:sz w:val="24"/>
          <w:lang w:val="pl-PL"/>
        </w:rPr>
      </w:pPr>
    </w:p>
    <w:p w14:paraId="74A160D2" w14:textId="37B67BD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sprawie </w:t>
      </w:r>
      <w:r w:rsidRPr="00B15C52">
        <w:rPr>
          <w:rFonts w:asciiTheme="minorHAnsi" w:hAnsiTheme="minorHAnsi"/>
          <w:i/>
          <w:sz w:val="24"/>
          <w:lang w:val="pl-PL"/>
        </w:rPr>
        <w:t xml:space="preserve">Taşdemir </w:t>
      </w:r>
      <w:r w:rsidRPr="00B15C52">
        <w:rPr>
          <w:rFonts w:asciiTheme="minorHAnsi" w:hAnsiTheme="minorHAnsi"/>
          <w:sz w:val="24"/>
          <w:lang w:val="pl-PL"/>
        </w:rPr>
        <w:t>postępowanie karne</w:t>
      </w:r>
      <w:r w:rsidRPr="00B15C52">
        <w:rPr>
          <w:rFonts w:asciiTheme="minorHAnsi" w:hAnsiTheme="minorHAnsi"/>
          <w:i/>
          <w:sz w:val="24"/>
          <w:lang w:val="pl-PL"/>
        </w:rPr>
        <w:t xml:space="preserve"> </w:t>
      </w:r>
      <w:r w:rsidRPr="00B15C52">
        <w:rPr>
          <w:rFonts w:asciiTheme="minorHAnsi" w:hAnsiTheme="minorHAnsi"/>
          <w:sz w:val="24"/>
          <w:lang w:val="pl-PL"/>
        </w:rPr>
        <w:t>przeciwko</w:t>
      </w:r>
      <w:r w:rsidRPr="00B15C52">
        <w:rPr>
          <w:rFonts w:asciiTheme="minorHAnsi" w:hAnsiTheme="minorHAnsi"/>
          <w:i/>
          <w:sz w:val="24"/>
          <w:lang w:val="pl-PL"/>
        </w:rPr>
        <w:t xml:space="preserve"> </w:t>
      </w:r>
      <w:r w:rsidRPr="00B15C52">
        <w:rPr>
          <w:rFonts w:asciiTheme="minorHAnsi" w:hAnsiTheme="minorHAnsi"/>
          <w:sz w:val="24"/>
          <w:lang w:val="pl-PL"/>
        </w:rPr>
        <w:t>funkcjonariuszom policji, prowadzone w</w:t>
      </w:r>
      <w:r w:rsidR="00227D65">
        <w:rPr>
          <w:rFonts w:asciiTheme="minorHAnsi" w:hAnsiTheme="minorHAnsi"/>
          <w:sz w:val="24"/>
          <w:lang w:val="pl-PL"/>
        </w:rPr>
        <w:t> </w:t>
      </w:r>
      <w:r w:rsidRPr="00B15C52">
        <w:rPr>
          <w:rFonts w:asciiTheme="minorHAnsi" w:hAnsiTheme="minorHAnsi"/>
          <w:sz w:val="24"/>
          <w:lang w:val="pl-PL"/>
        </w:rPr>
        <w:t xml:space="preserve">sprawie dotyczącej niepowstrzymania krewnego skarżących od samobójstwa, uległo przedawnieniu. W sprawie </w:t>
      </w:r>
      <w:r w:rsidRPr="00B15C52">
        <w:rPr>
          <w:rFonts w:asciiTheme="minorHAnsi" w:hAnsiTheme="minorHAnsi"/>
          <w:i/>
          <w:sz w:val="24"/>
          <w:lang w:val="pl-PL"/>
        </w:rPr>
        <w:t xml:space="preserve">Karaca </w:t>
      </w:r>
      <w:r w:rsidRPr="00B15C52">
        <w:rPr>
          <w:rFonts w:asciiTheme="minorHAnsi" w:hAnsiTheme="minorHAnsi"/>
          <w:sz w:val="24"/>
          <w:lang w:val="pl-PL"/>
        </w:rPr>
        <w:t>strażnicy wiejscy zostali uniewinnieni od zarzutu zabójstwa syna skarżących w oparciu o zarzut obrony koniecznej. Ponadto nie twierdzono, że</w:t>
      </w:r>
      <w:r w:rsidR="00227D65">
        <w:rPr>
          <w:rFonts w:asciiTheme="minorHAnsi" w:hAnsiTheme="minorHAnsi"/>
          <w:sz w:val="24"/>
          <w:lang w:val="pl-PL"/>
        </w:rPr>
        <w:t> </w:t>
      </w:r>
      <w:r w:rsidRPr="00B15C52">
        <w:rPr>
          <w:rFonts w:asciiTheme="minorHAnsi" w:hAnsiTheme="minorHAnsi"/>
          <w:sz w:val="24"/>
          <w:lang w:val="pl-PL"/>
        </w:rPr>
        <w:t>inne osoby były zamieszane w przypadki śmierci</w:t>
      </w:r>
      <w:r>
        <w:rPr>
          <w:rFonts w:asciiTheme="minorHAnsi" w:hAnsiTheme="minorHAnsi"/>
          <w:sz w:val="24"/>
          <w:lang w:val="pl-PL"/>
        </w:rPr>
        <w:t xml:space="preserve"> objęte skargami</w:t>
      </w:r>
      <w:r w:rsidRPr="00B15C52">
        <w:rPr>
          <w:rFonts w:asciiTheme="minorHAnsi" w:hAnsiTheme="minorHAnsi"/>
          <w:sz w:val="24"/>
          <w:lang w:val="pl-PL"/>
        </w:rPr>
        <w:t xml:space="preserve">. W konsekwencji wznowienie śledztwa w sprawie śmierci krewnych skarżących jest niemożliwe </w:t>
      </w:r>
      <w:r w:rsidRPr="00B15C52">
        <w:rPr>
          <w:rFonts w:asciiTheme="minorHAnsi" w:hAnsiTheme="minorHAnsi"/>
          <w:i/>
          <w:sz w:val="24"/>
          <w:lang w:val="pl-PL"/>
        </w:rPr>
        <w:t xml:space="preserve">de iure. </w:t>
      </w:r>
    </w:p>
    <w:p w14:paraId="6E0C4EAC" w14:textId="77777777" w:rsidR="00950534" w:rsidRDefault="00950534" w:rsidP="00950534">
      <w:pPr>
        <w:pStyle w:val="ClinContent"/>
        <w:widowControl w:val="0"/>
        <w:spacing w:before="0"/>
        <w:rPr>
          <w:rFonts w:asciiTheme="minorHAnsi" w:hAnsiTheme="minorHAnsi"/>
          <w:sz w:val="24"/>
          <w:lang w:val="pl-PL"/>
        </w:rPr>
      </w:pPr>
    </w:p>
    <w:p w14:paraId="69331C63"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Trybunał odnotował</w:t>
      </w:r>
      <w:r>
        <w:rPr>
          <w:rFonts w:asciiTheme="minorHAnsi" w:hAnsiTheme="minorHAnsi"/>
          <w:sz w:val="24"/>
          <w:lang w:val="pl-PL"/>
        </w:rPr>
        <w:t xml:space="preserve"> ponadto</w:t>
      </w:r>
      <w:r w:rsidRPr="00B15C52">
        <w:rPr>
          <w:rFonts w:asciiTheme="minorHAnsi" w:hAnsiTheme="minorHAnsi"/>
          <w:sz w:val="24"/>
          <w:lang w:val="pl-PL"/>
        </w:rPr>
        <w:t xml:space="preserve">, że w rezolucji dotyczącej wyroku Wielkiej Izby w sprawie </w:t>
      </w:r>
      <w:hyperlink r:id="rId38" w:history="1">
        <w:r w:rsidRPr="00404457">
          <w:rPr>
            <w:rStyle w:val="Hipercze"/>
            <w:rFonts w:asciiTheme="minorHAnsi" w:hAnsiTheme="minorHAnsi"/>
            <w:i/>
            <w:sz w:val="24"/>
            <w:lang w:val="pl-PL"/>
          </w:rPr>
          <w:t>Jeronovičs p. Łotwie</w:t>
        </w:r>
      </w:hyperlink>
      <w:r w:rsidRPr="00B15C52">
        <w:rPr>
          <w:rFonts w:asciiTheme="minorHAnsi" w:hAnsiTheme="minorHAnsi"/>
          <w:i/>
          <w:sz w:val="24"/>
          <w:lang w:val="pl-PL"/>
        </w:rPr>
        <w:t xml:space="preserve"> </w:t>
      </w:r>
      <w:r w:rsidRPr="00B15C52">
        <w:rPr>
          <w:rFonts w:asciiTheme="minorHAnsi" w:hAnsiTheme="minorHAnsi"/>
          <w:sz w:val="24"/>
          <w:lang w:val="pl-PL"/>
        </w:rPr>
        <w:t xml:space="preserve">Komitet Ministrów </w:t>
      </w:r>
      <w:r>
        <w:rPr>
          <w:rFonts w:asciiTheme="minorHAnsi" w:hAnsiTheme="minorHAnsi"/>
          <w:sz w:val="24"/>
          <w:lang w:val="pl-PL"/>
        </w:rPr>
        <w:t xml:space="preserve">Rady Europy </w:t>
      </w:r>
      <w:r w:rsidRPr="00B15C52">
        <w:rPr>
          <w:rFonts w:asciiTheme="minorHAnsi" w:hAnsiTheme="minorHAnsi"/>
          <w:sz w:val="24"/>
          <w:lang w:val="pl-PL"/>
        </w:rPr>
        <w:t xml:space="preserve">uznał, że wszystkie środki wymagane przez art. 46 ust. 1 Konwencji </w:t>
      </w:r>
      <w:r>
        <w:rPr>
          <w:rFonts w:asciiTheme="minorHAnsi" w:hAnsiTheme="minorHAnsi"/>
          <w:sz w:val="24"/>
          <w:lang w:val="pl-PL"/>
        </w:rPr>
        <w:t xml:space="preserve">(moc obowiązująca oraz wykonanie wyroków) </w:t>
      </w:r>
      <w:r w:rsidRPr="00B15C52">
        <w:rPr>
          <w:rFonts w:asciiTheme="minorHAnsi" w:hAnsiTheme="minorHAnsi"/>
          <w:sz w:val="24"/>
          <w:lang w:val="pl-PL"/>
        </w:rPr>
        <w:t>zostały przyjęte</w:t>
      </w:r>
      <w:r>
        <w:rPr>
          <w:rFonts w:asciiTheme="minorHAnsi" w:hAnsiTheme="minorHAnsi"/>
          <w:sz w:val="24"/>
          <w:lang w:val="pl-PL"/>
        </w:rPr>
        <w:t>,</w:t>
      </w:r>
      <w:r w:rsidRPr="00B15C52">
        <w:rPr>
          <w:rFonts w:asciiTheme="minorHAnsi" w:hAnsiTheme="minorHAnsi"/>
          <w:sz w:val="24"/>
          <w:lang w:val="pl-PL"/>
        </w:rPr>
        <w:t xml:space="preserve"> i zdecydował o zamknięciu swego nadzoru, mimo że wniosek skarżącego o wznowienie śledztwa został oddalony przez prokuratora z uwagi na upływ terminu przedawnienia. </w:t>
      </w:r>
    </w:p>
    <w:p w14:paraId="68D4DE33" w14:textId="77777777" w:rsidR="00950534" w:rsidRDefault="00950534" w:rsidP="00950534">
      <w:pPr>
        <w:pStyle w:val="ClinContent"/>
        <w:widowControl w:val="0"/>
        <w:spacing w:before="0"/>
        <w:rPr>
          <w:rFonts w:asciiTheme="minorHAnsi" w:hAnsiTheme="minorHAnsi"/>
          <w:sz w:val="24"/>
          <w:lang w:val="pl-PL"/>
        </w:rPr>
      </w:pPr>
    </w:p>
    <w:p w14:paraId="495D3B5E" w14:textId="6ADC7D95"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że p</w:t>
      </w:r>
      <w:r w:rsidRPr="00B15C52">
        <w:rPr>
          <w:rFonts w:asciiTheme="minorHAnsi" w:hAnsiTheme="minorHAnsi"/>
          <w:sz w:val="24"/>
          <w:lang w:val="pl-PL"/>
        </w:rPr>
        <w:t>rocedura deklaracji jednostronnej ma c</w:t>
      </w:r>
      <w:r>
        <w:rPr>
          <w:rFonts w:asciiTheme="minorHAnsi" w:hAnsiTheme="minorHAnsi"/>
          <w:sz w:val="24"/>
          <w:lang w:val="pl-PL"/>
        </w:rPr>
        <w:t>harakter wyjątkowy. W</w:t>
      </w:r>
      <w:r w:rsidR="00227D65">
        <w:rPr>
          <w:rFonts w:asciiTheme="minorHAnsi" w:hAnsiTheme="minorHAnsi"/>
          <w:sz w:val="24"/>
          <w:lang w:val="pl-PL"/>
        </w:rPr>
        <w:t> </w:t>
      </w:r>
      <w:r>
        <w:rPr>
          <w:rFonts w:asciiTheme="minorHAnsi" w:hAnsiTheme="minorHAnsi"/>
          <w:sz w:val="24"/>
          <w:lang w:val="pl-PL"/>
        </w:rPr>
        <w:t>przypadku</w:t>
      </w:r>
      <w:r w:rsidRPr="00B15C52">
        <w:rPr>
          <w:rFonts w:asciiTheme="minorHAnsi" w:hAnsiTheme="minorHAnsi"/>
          <w:sz w:val="24"/>
          <w:lang w:val="pl-PL"/>
        </w:rPr>
        <w:t xml:space="preserve"> gdy chodzi o naruszenia najbardziej podstawowych praw zawartych w</w:t>
      </w:r>
      <w:r w:rsidR="00227D65">
        <w:rPr>
          <w:rFonts w:asciiTheme="minorHAnsi" w:hAnsiTheme="minorHAnsi"/>
          <w:sz w:val="24"/>
          <w:lang w:val="pl-PL"/>
        </w:rPr>
        <w:t> </w:t>
      </w:r>
      <w:r w:rsidRPr="00B15C52">
        <w:rPr>
          <w:rFonts w:asciiTheme="minorHAnsi" w:hAnsiTheme="minorHAnsi"/>
          <w:sz w:val="24"/>
          <w:lang w:val="pl-PL"/>
        </w:rPr>
        <w:t>Konwencji, nie ma ona na celu obchodzenia sprzeciwu skarżącego wobec ugody</w:t>
      </w:r>
      <w:r>
        <w:rPr>
          <w:rFonts w:asciiTheme="minorHAnsi" w:hAnsiTheme="minorHAnsi"/>
          <w:sz w:val="24"/>
          <w:lang w:val="pl-PL"/>
        </w:rPr>
        <w:t xml:space="preserve">, nie ma też umożliwiać </w:t>
      </w:r>
      <w:r w:rsidRPr="00B15C52">
        <w:rPr>
          <w:rFonts w:asciiTheme="minorHAnsi" w:hAnsiTheme="minorHAnsi"/>
          <w:sz w:val="24"/>
          <w:lang w:val="pl-PL"/>
        </w:rPr>
        <w:t>uniknięcia odpowiedzialności przez rząd za takie naruszenia. Problemy dominujące w Turcji w tego rodzaju sprawach zostały już jednak zbadane w jasnym i</w:t>
      </w:r>
      <w:r w:rsidR="00227D65">
        <w:rPr>
          <w:rFonts w:asciiTheme="minorHAnsi" w:hAnsiTheme="minorHAnsi"/>
          <w:sz w:val="24"/>
          <w:lang w:val="pl-PL"/>
        </w:rPr>
        <w:t> </w:t>
      </w:r>
      <w:r w:rsidRPr="00B15C52">
        <w:rPr>
          <w:rFonts w:asciiTheme="minorHAnsi" w:hAnsiTheme="minorHAnsi"/>
          <w:sz w:val="24"/>
          <w:lang w:val="pl-PL"/>
        </w:rPr>
        <w:t>obszernym orzecznictwie Trybunału i zwrócono na nie wystarczająco uwagę Komitetu Ministrów</w:t>
      </w:r>
      <w:r>
        <w:rPr>
          <w:rFonts w:asciiTheme="minorHAnsi" w:hAnsiTheme="minorHAnsi"/>
          <w:sz w:val="24"/>
          <w:lang w:val="pl-PL"/>
        </w:rPr>
        <w:t>.</w:t>
      </w:r>
      <w:r w:rsidRPr="00B15C52">
        <w:rPr>
          <w:rFonts w:asciiTheme="minorHAnsi" w:hAnsiTheme="minorHAnsi"/>
          <w:sz w:val="24"/>
          <w:lang w:val="pl-PL"/>
        </w:rPr>
        <w:t xml:space="preserve"> </w:t>
      </w:r>
      <w:r>
        <w:rPr>
          <w:rFonts w:asciiTheme="minorHAnsi" w:hAnsiTheme="minorHAnsi"/>
          <w:sz w:val="24"/>
          <w:lang w:val="pl-PL"/>
        </w:rPr>
        <w:t>P</w:t>
      </w:r>
      <w:r w:rsidRPr="00B15C52">
        <w:rPr>
          <w:rFonts w:asciiTheme="minorHAnsi" w:hAnsiTheme="minorHAnsi"/>
          <w:sz w:val="24"/>
          <w:lang w:val="pl-PL"/>
        </w:rPr>
        <w:t xml:space="preserve">odlegają one nadzorowi </w:t>
      </w:r>
      <w:r>
        <w:rPr>
          <w:rFonts w:asciiTheme="minorHAnsi" w:hAnsiTheme="minorHAnsi"/>
          <w:sz w:val="24"/>
          <w:lang w:val="pl-PL"/>
        </w:rPr>
        <w:t xml:space="preserve">Komitetu Ministrów </w:t>
      </w:r>
      <w:r w:rsidRPr="00B15C52">
        <w:rPr>
          <w:rFonts w:asciiTheme="minorHAnsi" w:hAnsiTheme="minorHAnsi"/>
          <w:sz w:val="24"/>
          <w:lang w:val="pl-PL"/>
        </w:rPr>
        <w:t xml:space="preserve">na podstawie art. 46 ust. 2 Konwencji. </w:t>
      </w:r>
    </w:p>
    <w:p w14:paraId="18BB741F" w14:textId="77777777" w:rsidR="00950534" w:rsidRDefault="00950534" w:rsidP="00950534">
      <w:pPr>
        <w:pStyle w:val="ClinContent"/>
        <w:widowControl w:val="0"/>
        <w:spacing w:before="0"/>
        <w:rPr>
          <w:rFonts w:asciiTheme="minorHAnsi" w:hAnsiTheme="minorHAnsi"/>
          <w:sz w:val="24"/>
          <w:lang w:val="pl-PL"/>
        </w:rPr>
      </w:pPr>
    </w:p>
    <w:p w14:paraId="6A627D1C" w14:textId="020B81C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Mając na względzie przyznanie </w:t>
      </w:r>
      <w:r>
        <w:rPr>
          <w:rFonts w:asciiTheme="minorHAnsi" w:hAnsiTheme="minorHAnsi"/>
          <w:sz w:val="24"/>
          <w:lang w:val="pl-PL"/>
        </w:rPr>
        <w:t xml:space="preserve">naruszenia Konwencji </w:t>
      </w:r>
      <w:r w:rsidRPr="00B15C52">
        <w:rPr>
          <w:rFonts w:asciiTheme="minorHAnsi" w:hAnsiTheme="minorHAnsi"/>
          <w:sz w:val="24"/>
          <w:lang w:val="pl-PL"/>
        </w:rPr>
        <w:t>zawarte w deklaracjach rządu, fakt</w:t>
      </w:r>
      <w:r w:rsidR="00227D65">
        <w:rPr>
          <w:rFonts w:asciiTheme="minorHAnsi" w:hAnsiTheme="minorHAnsi"/>
          <w:sz w:val="24"/>
          <w:lang w:val="pl-PL"/>
        </w:rPr>
        <w:t> </w:t>
      </w:r>
      <w:r w:rsidRPr="00B15C52">
        <w:rPr>
          <w:rFonts w:asciiTheme="minorHAnsi" w:hAnsiTheme="minorHAnsi"/>
          <w:sz w:val="24"/>
          <w:lang w:val="pl-PL"/>
        </w:rPr>
        <w:t xml:space="preserve">nałożenia kary dyscyplinarnej na funkcjonariuszy policji w sprawie </w:t>
      </w:r>
      <w:r w:rsidRPr="00B15C52">
        <w:rPr>
          <w:rFonts w:asciiTheme="minorHAnsi" w:hAnsiTheme="minorHAnsi"/>
          <w:i/>
          <w:sz w:val="24"/>
          <w:lang w:val="pl-PL"/>
        </w:rPr>
        <w:t xml:space="preserve">Taşdemir, </w:t>
      </w:r>
      <w:r w:rsidRPr="00B15C52">
        <w:rPr>
          <w:rFonts w:asciiTheme="minorHAnsi" w:hAnsiTheme="minorHAnsi"/>
          <w:sz w:val="24"/>
          <w:lang w:val="pl-PL"/>
        </w:rPr>
        <w:t>a także kwotę zaproponowanego odszkodowania, która jest zgodna z kwotami zasądzanymi w</w:t>
      </w:r>
      <w:r w:rsidR="00227D65">
        <w:rPr>
          <w:rFonts w:asciiTheme="minorHAnsi" w:hAnsiTheme="minorHAnsi"/>
          <w:sz w:val="24"/>
          <w:lang w:val="pl-PL"/>
        </w:rPr>
        <w:t> </w:t>
      </w:r>
      <w:r w:rsidRPr="00B15C52">
        <w:rPr>
          <w:rFonts w:asciiTheme="minorHAnsi" w:hAnsiTheme="minorHAnsi"/>
          <w:sz w:val="24"/>
          <w:lang w:val="pl-PL"/>
        </w:rPr>
        <w:t xml:space="preserve">podobnych sprawach, </w:t>
      </w:r>
      <w:r>
        <w:rPr>
          <w:rFonts w:asciiTheme="minorHAnsi" w:hAnsiTheme="minorHAnsi"/>
          <w:sz w:val="24"/>
          <w:lang w:val="pl-PL"/>
        </w:rPr>
        <w:t xml:space="preserve">Trybunał uznał, że </w:t>
      </w:r>
      <w:r w:rsidRPr="00B15C52">
        <w:rPr>
          <w:rFonts w:asciiTheme="minorHAnsi" w:hAnsiTheme="minorHAnsi"/>
          <w:sz w:val="24"/>
          <w:lang w:val="pl-PL"/>
        </w:rPr>
        <w:t>dalsze rozpatrywanie wszystkich trzech skarg</w:t>
      </w:r>
      <w:r>
        <w:rPr>
          <w:rFonts w:asciiTheme="minorHAnsi" w:hAnsiTheme="minorHAnsi"/>
          <w:sz w:val="24"/>
          <w:lang w:val="pl-PL"/>
        </w:rPr>
        <w:t xml:space="preserve"> </w:t>
      </w:r>
      <w:r w:rsidRPr="00B15C52">
        <w:rPr>
          <w:rFonts w:asciiTheme="minorHAnsi" w:hAnsiTheme="minorHAnsi"/>
          <w:sz w:val="24"/>
          <w:lang w:val="pl-PL"/>
        </w:rPr>
        <w:t>nie</w:t>
      </w:r>
      <w:r w:rsidR="00227D65">
        <w:rPr>
          <w:rFonts w:asciiTheme="minorHAnsi" w:hAnsiTheme="minorHAnsi"/>
          <w:sz w:val="24"/>
          <w:lang w:val="pl-PL"/>
        </w:rPr>
        <w:t> </w:t>
      </w:r>
      <w:r w:rsidRPr="00B15C52">
        <w:rPr>
          <w:rFonts w:asciiTheme="minorHAnsi" w:hAnsiTheme="minorHAnsi"/>
          <w:sz w:val="24"/>
          <w:lang w:val="pl-PL"/>
        </w:rPr>
        <w:t xml:space="preserve">jest uzasadnione. </w:t>
      </w:r>
      <w:r>
        <w:rPr>
          <w:rFonts w:asciiTheme="minorHAnsi" w:hAnsiTheme="minorHAnsi"/>
          <w:sz w:val="24"/>
          <w:lang w:val="pl-PL"/>
        </w:rPr>
        <w:t>Zastrzegł jednak, że d</w:t>
      </w:r>
      <w:r w:rsidRPr="00B15C52">
        <w:rPr>
          <w:rFonts w:asciiTheme="minorHAnsi" w:hAnsiTheme="minorHAnsi"/>
          <w:sz w:val="24"/>
          <w:lang w:val="pl-PL"/>
        </w:rPr>
        <w:t xml:space="preserve">ecyzja ta nie narusza możliwości skorzystania przez skarżących z </w:t>
      </w:r>
      <w:r>
        <w:rPr>
          <w:rFonts w:asciiTheme="minorHAnsi" w:hAnsiTheme="minorHAnsi"/>
          <w:sz w:val="24"/>
          <w:lang w:val="pl-PL"/>
        </w:rPr>
        <w:t>wszelkich</w:t>
      </w:r>
      <w:r w:rsidRPr="00B15C52">
        <w:rPr>
          <w:rFonts w:asciiTheme="minorHAnsi" w:hAnsiTheme="minorHAnsi"/>
          <w:sz w:val="24"/>
          <w:lang w:val="pl-PL"/>
        </w:rPr>
        <w:t xml:space="preserve"> innych dostępnych </w:t>
      </w:r>
      <w:r>
        <w:rPr>
          <w:rFonts w:asciiTheme="minorHAnsi" w:hAnsiTheme="minorHAnsi"/>
          <w:sz w:val="24"/>
          <w:lang w:val="pl-PL"/>
        </w:rPr>
        <w:t xml:space="preserve">krajowych </w:t>
      </w:r>
      <w:r w:rsidRPr="00B15C52">
        <w:rPr>
          <w:rFonts w:asciiTheme="minorHAnsi" w:hAnsiTheme="minorHAnsi"/>
          <w:sz w:val="24"/>
          <w:lang w:val="pl-PL"/>
        </w:rPr>
        <w:t xml:space="preserve">środków odwoławczych celem </w:t>
      </w:r>
      <w:r>
        <w:rPr>
          <w:rFonts w:asciiTheme="minorHAnsi" w:hAnsiTheme="minorHAnsi"/>
          <w:sz w:val="24"/>
          <w:lang w:val="pl-PL"/>
        </w:rPr>
        <w:t>dochodzenia sprawiedliwości</w:t>
      </w:r>
      <w:r w:rsidRPr="00B15C52">
        <w:rPr>
          <w:rFonts w:asciiTheme="minorHAnsi" w:hAnsiTheme="minorHAnsi"/>
          <w:sz w:val="24"/>
          <w:lang w:val="pl-PL"/>
        </w:rPr>
        <w:t xml:space="preserve">. </w:t>
      </w:r>
      <w:r>
        <w:rPr>
          <w:rFonts w:asciiTheme="minorHAnsi" w:hAnsiTheme="minorHAnsi"/>
          <w:sz w:val="24"/>
          <w:lang w:val="pl-PL"/>
        </w:rPr>
        <w:t>Przypomniał też, że j</w:t>
      </w:r>
      <w:r w:rsidRPr="00B15C52">
        <w:rPr>
          <w:rFonts w:asciiTheme="minorHAnsi" w:hAnsiTheme="minorHAnsi"/>
          <w:sz w:val="24"/>
          <w:lang w:val="pl-PL"/>
        </w:rPr>
        <w:t>eśli rząd nie dotrzyma warunków deklaracji jednostronnych, skargi mogą zostać ponownie wpisane na listę spraw zgodnie z</w:t>
      </w:r>
      <w:r w:rsidR="00227D65">
        <w:rPr>
          <w:rFonts w:asciiTheme="minorHAnsi" w:hAnsiTheme="minorHAnsi"/>
          <w:sz w:val="24"/>
          <w:lang w:val="pl-PL"/>
        </w:rPr>
        <w:t> </w:t>
      </w:r>
      <w:r w:rsidRPr="00B15C52">
        <w:rPr>
          <w:rFonts w:asciiTheme="minorHAnsi" w:hAnsiTheme="minorHAnsi"/>
          <w:sz w:val="24"/>
          <w:lang w:val="pl-PL"/>
        </w:rPr>
        <w:t>art. 37 ust. 2</w:t>
      </w:r>
      <w:r>
        <w:rPr>
          <w:rFonts w:asciiTheme="minorHAnsi" w:hAnsiTheme="minorHAnsi"/>
          <w:sz w:val="24"/>
          <w:lang w:val="pl-PL"/>
        </w:rPr>
        <w:t xml:space="preserve"> Konwencji</w:t>
      </w:r>
      <w:r w:rsidRPr="00B15C52">
        <w:rPr>
          <w:rFonts w:asciiTheme="minorHAnsi" w:hAnsiTheme="minorHAnsi"/>
          <w:sz w:val="24"/>
          <w:lang w:val="pl-PL"/>
        </w:rPr>
        <w:t>.</w:t>
      </w:r>
      <w:r>
        <w:rPr>
          <w:rFonts w:asciiTheme="minorHAnsi" w:hAnsiTheme="minorHAnsi"/>
          <w:sz w:val="24"/>
          <w:lang w:val="pl-PL"/>
        </w:rPr>
        <w:t xml:space="preserve"> </w:t>
      </w:r>
    </w:p>
    <w:p w14:paraId="5F668FAF" w14:textId="77777777" w:rsidR="00950534" w:rsidRDefault="00950534" w:rsidP="00950534">
      <w:pPr>
        <w:pStyle w:val="ClinContent"/>
        <w:widowControl w:val="0"/>
        <w:spacing w:before="0"/>
        <w:rPr>
          <w:rFonts w:asciiTheme="minorHAnsi" w:hAnsiTheme="minorHAnsi"/>
          <w:sz w:val="24"/>
          <w:lang w:val="pl-PL"/>
        </w:rPr>
      </w:pPr>
    </w:p>
    <w:p w14:paraId="7CA317B8" w14:textId="0CA0A315" w:rsidR="00950534" w:rsidRDefault="00950534" w:rsidP="00950534">
      <w:pPr>
        <w:pStyle w:val="ClinContent"/>
        <w:widowControl w:val="0"/>
        <w:spacing w:before="0"/>
        <w:rPr>
          <w:rFonts w:asciiTheme="minorHAnsi" w:hAnsiTheme="minorHAnsi" w:cs="Verdana"/>
          <w:bCs/>
          <w:sz w:val="24"/>
          <w:u w:val="single"/>
          <w:lang w:val="pl-PL"/>
        </w:rPr>
      </w:pPr>
      <w:r>
        <w:rPr>
          <w:rFonts w:asciiTheme="minorHAnsi" w:hAnsiTheme="minorHAnsi"/>
          <w:sz w:val="24"/>
          <w:lang w:val="pl-PL"/>
        </w:rPr>
        <w:t>Z powyższych względów Trybunał zatwierdził deklaracje jednostronne rządu i skreślił skargi z</w:t>
      </w:r>
      <w:r w:rsidR="00227D65">
        <w:rPr>
          <w:rFonts w:asciiTheme="minorHAnsi" w:hAnsiTheme="minorHAnsi"/>
          <w:sz w:val="24"/>
          <w:lang w:val="pl-PL"/>
        </w:rPr>
        <w:t> </w:t>
      </w:r>
      <w:r>
        <w:rPr>
          <w:rFonts w:asciiTheme="minorHAnsi" w:hAnsiTheme="minorHAnsi"/>
          <w:sz w:val="24"/>
          <w:lang w:val="pl-PL"/>
        </w:rPr>
        <w:t xml:space="preserve">listy spraw. </w:t>
      </w:r>
    </w:p>
    <w:p w14:paraId="17D1E44F" w14:textId="77777777" w:rsidR="00950534" w:rsidRDefault="00950534" w:rsidP="00950534">
      <w:pPr>
        <w:pStyle w:val="ClinContent"/>
        <w:widowControl w:val="0"/>
        <w:spacing w:before="0"/>
        <w:rPr>
          <w:rFonts w:asciiTheme="minorHAnsi" w:hAnsiTheme="minorHAnsi" w:cs="Verdana"/>
          <w:bCs/>
          <w:sz w:val="24"/>
          <w:u w:val="single"/>
          <w:lang w:val="pl-PL"/>
        </w:rPr>
      </w:pPr>
    </w:p>
    <w:p w14:paraId="3052A5B5" w14:textId="77777777" w:rsidR="00FA6F64" w:rsidRDefault="00FA6F64" w:rsidP="00950534">
      <w:pPr>
        <w:pStyle w:val="ClinContent"/>
        <w:widowControl w:val="0"/>
        <w:spacing w:before="0"/>
        <w:rPr>
          <w:rFonts w:asciiTheme="minorHAnsi" w:hAnsiTheme="minorHAnsi" w:cs="Verdana"/>
          <w:bCs/>
          <w:sz w:val="24"/>
          <w:u w:val="single"/>
          <w:lang w:val="pl-PL"/>
        </w:rPr>
      </w:pPr>
    </w:p>
    <w:p w14:paraId="6A3064EB" w14:textId="006A28A5" w:rsidR="00950534" w:rsidRDefault="00950534" w:rsidP="00950534">
      <w:pPr>
        <w:pStyle w:val="ClinContent"/>
        <w:widowControl w:val="0"/>
        <w:spacing w:before="0"/>
        <w:rPr>
          <w:rFonts w:asciiTheme="minorHAnsi" w:hAnsiTheme="minorHAnsi"/>
          <w:sz w:val="24"/>
          <w:lang w:val="pl-PL"/>
        </w:rPr>
      </w:pPr>
      <w:r w:rsidRPr="00490945">
        <w:rPr>
          <w:rFonts w:asciiTheme="minorHAnsi" w:hAnsiTheme="minorHAnsi" w:cs="Verdana"/>
          <w:bCs/>
          <w:sz w:val="24"/>
          <w:u w:val="single"/>
          <w:lang w:val="pl-PL"/>
        </w:rPr>
        <w:lastRenderedPageBreak/>
        <w:t xml:space="preserve">Znaczenie </w:t>
      </w:r>
      <w:r>
        <w:rPr>
          <w:rFonts w:asciiTheme="minorHAnsi" w:hAnsiTheme="minorHAnsi" w:cs="Verdana"/>
          <w:bCs/>
          <w:sz w:val="24"/>
          <w:u w:val="single"/>
          <w:lang w:val="pl-PL"/>
        </w:rPr>
        <w:t xml:space="preserve">decyzji </w:t>
      </w:r>
      <w:r w:rsidRPr="00490945">
        <w:rPr>
          <w:rFonts w:asciiTheme="minorHAnsi" w:hAnsiTheme="minorHAnsi" w:cs="Verdana"/>
          <w:bCs/>
          <w:sz w:val="24"/>
          <w:u w:val="single"/>
          <w:lang w:val="pl-PL"/>
        </w:rPr>
        <w:t>dla Polski</w:t>
      </w:r>
      <w:r w:rsidRPr="00490945">
        <w:rPr>
          <w:rFonts w:asciiTheme="minorHAnsi" w:hAnsiTheme="minorHAnsi" w:cs="Verdana"/>
          <w:bCs/>
          <w:sz w:val="24"/>
          <w:lang w:val="pl-PL"/>
        </w:rPr>
        <w:t xml:space="preserve"> – </w:t>
      </w:r>
      <w:r>
        <w:rPr>
          <w:rFonts w:asciiTheme="minorHAnsi" w:hAnsiTheme="minorHAnsi" w:cs="Verdana"/>
          <w:bCs/>
          <w:sz w:val="24"/>
          <w:lang w:val="pl-PL"/>
        </w:rPr>
        <w:t xml:space="preserve">Decyzja wyjaśnia wątpliwość, jaka mogła się pojawić po wyroku Wielkiej Izby Trybunału w sprawie </w:t>
      </w:r>
      <w:r w:rsidRPr="00B15C52">
        <w:rPr>
          <w:rFonts w:asciiTheme="minorHAnsi" w:hAnsiTheme="minorHAnsi"/>
          <w:i/>
          <w:sz w:val="24"/>
          <w:lang w:val="pl-PL"/>
        </w:rPr>
        <w:t>Jeronovičs p. Łotwie</w:t>
      </w:r>
      <w:r w:rsidRPr="001D0B92">
        <w:rPr>
          <w:rFonts w:asciiTheme="minorHAnsi" w:hAnsiTheme="minorHAnsi"/>
          <w:i/>
          <w:sz w:val="24"/>
          <w:lang w:val="pl-PL"/>
        </w:rPr>
        <w:t xml:space="preserve"> </w:t>
      </w:r>
      <w:r w:rsidRPr="001D0B92">
        <w:rPr>
          <w:rFonts w:asciiTheme="minorHAnsi" w:hAnsiTheme="minorHAnsi"/>
          <w:sz w:val="24"/>
          <w:lang w:val="pl-PL"/>
        </w:rPr>
        <w:t>(nr 44898/10, 5 lipca 2016 r.)</w:t>
      </w:r>
      <w:r>
        <w:rPr>
          <w:rFonts w:asciiTheme="minorHAnsi" w:hAnsiTheme="minorHAnsi"/>
          <w:sz w:val="24"/>
          <w:lang w:val="pl-PL"/>
        </w:rPr>
        <w:t>. W</w:t>
      </w:r>
      <w:r w:rsidR="00227D65">
        <w:rPr>
          <w:rFonts w:asciiTheme="minorHAnsi" w:hAnsiTheme="minorHAnsi"/>
          <w:sz w:val="24"/>
          <w:lang w:val="pl-PL"/>
        </w:rPr>
        <w:t> </w:t>
      </w:r>
      <w:r>
        <w:rPr>
          <w:rFonts w:asciiTheme="minorHAnsi" w:hAnsiTheme="minorHAnsi"/>
          <w:sz w:val="24"/>
          <w:lang w:val="pl-PL"/>
        </w:rPr>
        <w:t xml:space="preserve">tamtej sprawie Trybunał stwierdził </w:t>
      </w:r>
      <w:r w:rsidRPr="001D0B92">
        <w:rPr>
          <w:rFonts w:asciiTheme="minorHAnsi" w:hAnsiTheme="minorHAnsi"/>
          <w:sz w:val="24"/>
          <w:lang w:val="pl-PL"/>
        </w:rPr>
        <w:t xml:space="preserve">naruszenie art. 3 Konwencji w </w:t>
      </w:r>
      <w:r>
        <w:rPr>
          <w:rFonts w:asciiTheme="minorHAnsi" w:hAnsiTheme="minorHAnsi"/>
          <w:sz w:val="24"/>
          <w:lang w:val="pl-PL"/>
        </w:rPr>
        <w:t>związku z odmową</w:t>
      </w:r>
      <w:r w:rsidRPr="001D0B92">
        <w:rPr>
          <w:rFonts w:asciiTheme="minorHAnsi" w:hAnsiTheme="minorHAnsi"/>
          <w:sz w:val="24"/>
          <w:lang w:val="pl-PL"/>
        </w:rPr>
        <w:t xml:space="preserve"> wznowienia postępowania karnego, </w:t>
      </w:r>
      <w:r>
        <w:rPr>
          <w:rFonts w:asciiTheme="minorHAnsi" w:hAnsiTheme="minorHAnsi"/>
          <w:sz w:val="24"/>
          <w:lang w:val="pl-PL"/>
        </w:rPr>
        <w:t xml:space="preserve">co do </w:t>
      </w:r>
      <w:r w:rsidRPr="001D0B92">
        <w:rPr>
          <w:rFonts w:asciiTheme="minorHAnsi" w:hAnsiTheme="minorHAnsi"/>
          <w:sz w:val="24"/>
          <w:lang w:val="pl-PL"/>
        </w:rPr>
        <w:t xml:space="preserve">którego rząd przedłożył </w:t>
      </w:r>
      <w:r>
        <w:rPr>
          <w:rFonts w:asciiTheme="minorHAnsi" w:hAnsiTheme="minorHAnsi"/>
          <w:sz w:val="24"/>
          <w:lang w:val="pl-PL"/>
        </w:rPr>
        <w:t xml:space="preserve">wcześniej </w:t>
      </w:r>
      <w:r w:rsidRPr="001D0B92">
        <w:rPr>
          <w:rFonts w:asciiTheme="minorHAnsi" w:hAnsiTheme="minorHAnsi"/>
          <w:sz w:val="24"/>
          <w:lang w:val="pl-PL"/>
        </w:rPr>
        <w:t>w</w:t>
      </w:r>
      <w:r w:rsidR="00227D65">
        <w:rPr>
          <w:rFonts w:asciiTheme="minorHAnsi" w:hAnsiTheme="minorHAnsi"/>
          <w:sz w:val="24"/>
          <w:lang w:val="pl-PL"/>
        </w:rPr>
        <w:t> </w:t>
      </w:r>
      <w:r w:rsidRPr="001D0B92">
        <w:rPr>
          <w:rFonts w:asciiTheme="minorHAnsi" w:hAnsiTheme="minorHAnsi"/>
          <w:sz w:val="24"/>
          <w:lang w:val="pl-PL"/>
        </w:rPr>
        <w:t>postępowaniu przed Trybunałem deklarację jednostronną</w:t>
      </w:r>
      <w:r>
        <w:rPr>
          <w:rFonts w:asciiTheme="minorHAnsi" w:hAnsiTheme="minorHAnsi"/>
          <w:sz w:val="24"/>
          <w:lang w:val="pl-PL"/>
        </w:rPr>
        <w:t xml:space="preserve"> przyznającą naruszenie art. 3 Konwencji z uwagi na brak skutecznego śledztwa. Wielka Izba Trybunału </w:t>
      </w:r>
      <w:r w:rsidRPr="001D0B92">
        <w:rPr>
          <w:rFonts w:asciiTheme="minorHAnsi" w:hAnsiTheme="minorHAnsi"/>
          <w:sz w:val="24"/>
          <w:lang w:val="pl-PL"/>
        </w:rPr>
        <w:t>stwierdz</w:t>
      </w:r>
      <w:r>
        <w:rPr>
          <w:rFonts w:asciiTheme="minorHAnsi" w:hAnsiTheme="minorHAnsi"/>
          <w:sz w:val="24"/>
          <w:lang w:val="pl-PL"/>
        </w:rPr>
        <w:t>iła tam</w:t>
      </w:r>
      <w:r w:rsidR="00227D65">
        <w:rPr>
          <w:rFonts w:asciiTheme="minorHAnsi" w:hAnsiTheme="minorHAnsi"/>
          <w:sz w:val="24"/>
          <w:lang w:val="pl-PL"/>
        </w:rPr>
        <w:t> </w:t>
      </w:r>
      <w:r>
        <w:rPr>
          <w:rFonts w:asciiTheme="minorHAnsi" w:hAnsiTheme="minorHAnsi"/>
          <w:sz w:val="24"/>
          <w:lang w:val="pl-PL"/>
        </w:rPr>
        <w:t>także istnienie</w:t>
      </w:r>
      <w:r w:rsidRPr="001D0B92">
        <w:rPr>
          <w:rFonts w:asciiTheme="minorHAnsi" w:hAnsiTheme="minorHAnsi"/>
          <w:sz w:val="24"/>
          <w:lang w:val="pl-PL"/>
        </w:rPr>
        <w:t xml:space="preserve"> trwającego obowiązku po stronie pozwanego państwa przeprowadzenia śledztwa w odniesieniu do skarg na podstawie art. 3 Konwencji </w:t>
      </w:r>
      <w:r>
        <w:rPr>
          <w:rFonts w:asciiTheme="minorHAnsi" w:hAnsiTheme="minorHAnsi"/>
          <w:sz w:val="24"/>
          <w:lang w:val="pl-PL"/>
        </w:rPr>
        <w:t xml:space="preserve">– </w:t>
      </w:r>
      <w:r w:rsidRPr="001D0B92">
        <w:rPr>
          <w:rFonts w:asciiTheme="minorHAnsi" w:hAnsiTheme="minorHAnsi"/>
          <w:sz w:val="24"/>
          <w:lang w:val="pl-PL"/>
        </w:rPr>
        <w:t xml:space="preserve">nawet po skreśleniu skargi z listy </w:t>
      </w:r>
      <w:r>
        <w:rPr>
          <w:rFonts w:asciiTheme="minorHAnsi" w:hAnsiTheme="minorHAnsi"/>
          <w:sz w:val="24"/>
          <w:lang w:val="pl-PL"/>
        </w:rPr>
        <w:t xml:space="preserve">w oparciu o deklarację jednostronną przedłożoną przez </w:t>
      </w:r>
      <w:r w:rsidRPr="001D0B92">
        <w:rPr>
          <w:rFonts w:asciiTheme="minorHAnsi" w:hAnsiTheme="minorHAnsi"/>
          <w:sz w:val="24"/>
          <w:lang w:val="pl-PL"/>
        </w:rPr>
        <w:t>rząd</w:t>
      </w:r>
      <w:r>
        <w:rPr>
          <w:rFonts w:asciiTheme="minorHAnsi" w:hAnsiTheme="minorHAnsi"/>
          <w:sz w:val="24"/>
          <w:lang w:val="pl-PL"/>
        </w:rPr>
        <w:t xml:space="preserve">. Obecnie Trybunał wyjaśnił, że obowiązek ten nie może naruszać innych postanowień Konwencji, w tym zakazu ponownego sądzenia i karania oraz zakazu karania bez podstawy prawnej. Trybunał wskazał jednocześnie szereg kryteriów służących do oceny, czy w danej sprawie wznowienie postępowania karnego jest </w:t>
      </w:r>
      <w:r>
        <w:rPr>
          <w:rFonts w:asciiTheme="minorHAnsi" w:hAnsiTheme="minorHAnsi"/>
          <w:i/>
          <w:sz w:val="24"/>
          <w:lang w:val="pl-PL"/>
        </w:rPr>
        <w:t xml:space="preserve">de iure </w:t>
      </w:r>
      <w:r>
        <w:rPr>
          <w:rFonts w:asciiTheme="minorHAnsi" w:hAnsiTheme="minorHAnsi"/>
          <w:sz w:val="24"/>
          <w:lang w:val="pl-PL"/>
        </w:rPr>
        <w:t xml:space="preserve">lub </w:t>
      </w:r>
      <w:r>
        <w:rPr>
          <w:rFonts w:asciiTheme="minorHAnsi" w:hAnsiTheme="minorHAnsi"/>
          <w:i/>
          <w:sz w:val="24"/>
          <w:lang w:val="pl-PL"/>
        </w:rPr>
        <w:t xml:space="preserve">de facto </w:t>
      </w:r>
      <w:r>
        <w:rPr>
          <w:rFonts w:asciiTheme="minorHAnsi" w:hAnsiTheme="minorHAnsi"/>
          <w:sz w:val="24"/>
          <w:lang w:val="pl-PL"/>
        </w:rPr>
        <w:t>niemożliwe.</w:t>
      </w:r>
    </w:p>
    <w:p w14:paraId="5D9C6A61" w14:textId="77777777" w:rsidR="00950534" w:rsidRDefault="00950534" w:rsidP="00950534">
      <w:pPr>
        <w:pStyle w:val="ClinContent"/>
        <w:widowControl w:val="0"/>
        <w:spacing w:before="0"/>
        <w:rPr>
          <w:rFonts w:asciiTheme="minorHAnsi" w:hAnsiTheme="minorHAnsi"/>
          <w:sz w:val="24"/>
          <w:lang w:val="pl-PL"/>
        </w:rPr>
      </w:pPr>
    </w:p>
    <w:p w14:paraId="54A9F15D" w14:textId="77777777" w:rsidR="00950534" w:rsidRDefault="00950534" w:rsidP="00950534">
      <w:pPr>
        <w:pStyle w:val="ClinContent"/>
        <w:widowControl w:val="0"/>
        <w:spacing w:before="0"/>
        <w:rPr>
          <w:rFonts w:asciiTheme="minorHAnsi" w:hAnsiTheme="minorHAnsi" w:cs="Verdana"/>
          <w:bCs/>
          <w:sz w:val="24"/>
          <w:lang w:val="pl-PL"/>
        </w:rPr>
      </w:pPr>
      <w:r>
        <w:rPr>
          <w:rFonts w:asciiTheme="minorHAnsi" w:hAnsiTheme="minorHAnsi"/>
          <w:sz w:val="24"/>
          <w:lang w:val="pl-PL"/>
        </w:rPr>
        <w:t xml:space="preserve">Decyzja może mieć znaczenie dla wykonywania przez Polskę wyroków Trybunału stwierdzających naruszenia wymogu skutecznego śledztwa na podstawie art. 2 i 3 Konwencji, a także dla zakresu zobowiązań podejmowanych przez rząd polski w deklaracjach jednostronnych dotyczących skarg podnoszących taki zarzut. Może być też istotna przy rozpatrywaniu wniosków o podjęcie na nowo umorzonych postępowań przygotowawczych po wydaniu wyroków lub decyzji Trybunału. </w:t>
      </w:r>
    </w:p>
    <w:p w14:paraId="169D6CBB" w14:textId="77777777" w:rsidR="00950534" w:rsidRDefault="00950534" w:rsidP="00950534">
      <w:pPr>
        <w:pStyle w:val="ClinContent"/>
        <w:widowControl w:val="0"/>
        <w:spacing w:before="0"/>
        <w:rPr>
          <w:rFonts w:asciiTheme="minorHAnsi" w:hAnsiTheme="minorHAnsi" w:cs="Verdana"/>
          <w:bCs/>
          <w:sz w:val="24"/>
          <w:lang w:val="pl-PL"/>
        </w:rPr>
      </w:pPr>
    </w:p>
    <w:p w14:paraId="306103A6"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 xml:space="preserve">Decyzja może mieć w szczególności znaczenie dla prokuratury, sądów karnych, Sądu Najwyższego i Ministerstwa Sprawiedliwości. </w:t>
      </w:r>
    </w:p>
    <w:p w14:paraId="14D5B63F" w14:textId="77777777" w:rsidR="00950534" w:rsidRDefault="00950534" w:rsidP="00950534">
      <w:pPr>
        <w:pStyle w:val="ClinContent"/>
        <w:widowControl w:val="0"/>
        <w:spacing w:before="0"/>
        <w:rPr>
          <w:rFonts w:asciiTheme="minorHAnsi" w:hAnsiTheme="minorHAnsi"/>
          <w:sz w:val="24"/>
          <w:lang w:val="pl-PL"/>
        </w:rPr>
      </w:pPr>
    </w:p>
    <w:p w14:paraId="65BD588A" w14:textId="77777777" w:rsidR="00950534" w:rsidRDefault="00950534" w:rsidP="00950534">
      <w:pPr>
        <w:pStyle w:val="ClinContent"/>
        <w:widowControl w:val="0"/>
        <w:spacing w:before="0"/>
        <w:rPr>
          <w:rFonts w:asciiTheme="minorHAnsi" w:hAnsiTheme="minorHAnsi"/>
          <w:sz w:val="24"/>
          <w:lang w:val="pl-PL"/>
        </w:rPr>
      </w:pPr>
    </w:p>
    <w:p w14:paraId="2BFA952E" w14:textId="0FF0251E"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22" w:name="_Toc35632485"/>
      <w:r w:rsidRPr="007023FE">
        <w:rPr>
          <w:rFonts w:asciiTheme="minorHAnsi" w:hAnsiTheme="minorHAnsi"/>
          <w:i/>
          <w:color w:val="auto"/>
          <w:sz w:val="24"/>
          <w:szCs w:val="24"/>
        </w:rPr>
        <w:t>Z.A. i Inni p. Rosji</w:t>
      </w:r>
      <w:r w:rsidRPr="007023FE">
        <w:rPr>
          <w:rFonts w:asciiTheme="minorHAnsi" w:hAnsiTheme="minorHAnsi"/>
          <w:color w:val="auto"/>
          <w:sz w:val="24"/>
          <w:szCs w:val="24"/>
        </w:rPr>
        <w:t>, skargi</w:t>
      </w:r>
      <w:r w:rsidRPr="00077E55">
        <w:rPr>
          <w:rFonts w:asciiTheme="minorHAnsi" w:hAnsiTheme="minorHAnsi"/>
          <w:color w:val="auto"/>
          <w:sz w:val="24"/>
          <w:szCs w:val="24"/>
        </w:rPr>
        <w:t xml:space="preserve"> nr 614</w:t>
      </w:r>
      <w:r>
        <w:rPr>
          <w:rFonts w:asciiTheme="minorHAnsi" w:hAnsiTheme="minorHAnsi"/>
          <w:color w:val="auto"/>
          <w:sz w:val="24"/>
          <w:szCs w:val="24"/>
        </w:rPr>
        <w:t>11/15, 61420/15, 61427/15 i in.</w:t>
      </w:r>
      <w:r w:rsidRPr="00077E55">
        <w:rPr>
          <w:rFonts w:asciiTheme="minorHAnsi" w:hAnsiTheme="minorHAnsi"/>
          <w:color w:val="auto"/>
          <w:sz w:val="24"/>
          <w:szCs w:val="24"/>
        </w:rPr>
        <w:t>, wyrok Wielkiej Izby z</w:t>
      </w:r>
      <w:r w:rsidR="00227D65">
        <w:rPr>
          <w:rFonts w:asciiTheme="minorHAnsi" w:hAnsiTheme="minorHAnsi"/>
          <w:color w:val="auto"/>
          <w:sz w:val="24"/>
          <w:szCs w:val="24"/>
        </w:rPr>
        <w:t> </w:t>
      </w:r>
      <w:r w:rsidRPr="00077E55">
        <w:rPr>
          <w:rFonts w:asciiTheme="minorHAnsi" w:hAnsiTheme="minorHAnsi"/>
          <w:color w:val="auto"/>
          <w:sz w:val="24"/>
          <w:szCs w:val="24"/>
        </w:rPr>
        <w:t>dnia 21 listopada 2019 r.</w:t>
      </w:r>
      <w:bookmarkEnd w:id="22"/>
    </w:p>
    <w:p w14:paraId="4739C088" w14:textId="6901ABD5"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Pr>
          <w:b/>
          <w:iCs/>
          <w:color w:val="000000" w:themeColor="text1"/>
          <w:sz w:val="24"/>
          <w:szCs w:val="24"/>
          <w:lang w:val="pl-PL"/>
        </w:rPr>
        <w:t xml:space="preserve">zastosowalność i </w:t>
      </w:r>
      <w:r w:rsidRPr="00072B78">
        <w:rPr>
          <w:b/>
          <w:iCs/>
          <w:color w:val="000000" w:themeColor="text1"/>
          <w:sz w:val="24"/>
          <w:szCs w:val="24"/>
          <w:lang w:val="pl-PL"/>
        </w:rPr>
        <w:t xml:space="preserve">naruszenie </w:t>
      </w:r>
      <w:r>
        <w:rPr>
          <w:b/>
          <w:iCs/>
          <w:color w:val="000000" w:themeColor="text1"/>
          <w:sz w:val="24"/>
          <w:szCs w:val="24"/>
          <w:lang w:val="pl-PL"/>
        </w:rPr>
        <w:t>art. 5 ust. 1 Konwencji (prawo do wolności i</w:t>
      </w:r>
      <w:r w:rsidR="00227D65">
        <w:rPr>
          <w:b/>
          <w:iCs/>
          <w:color w:val="000000" w:themeColor="text1"/>
          <w:sz w:val="24"/>
          <w:szCs w:val="24"/>
          <w:lang w:val="pl-PL"/>
        </w:rPr>
        <w:t> </w:t>
      </w:r>
      <w:r>
        <w:rPr>
          <w:b/>
          <w:iCs/>
          <w:color w:val="000000" w:themeColor="text1"/>
          <w:sz w:val="24"/>
          <w:szCs w:val="24"/>
          <w:lang w:val="pl-PL"/>
        </w:rPr>
        <w:t>bezpieczeństwa osobistego – aspekt pozbawienia wolności) z uwagi na d</w:t>
      </w:r>
      <w:r w:rsidRPr="00072B78">
        <w:rPr>
          <w:b/>
          <w:iCs/>
          <w:color w:val="000000" w:themeColor="text1"/>
          <w:sz w:val="24"/>
          <w:szCs w:val="24"/>
          <w:lang w:val="pl-PL"/>
        </w:rPr>
        <w:t>ługotrwałe przetrzymywanie osób ubiegających się o azyl</w:t>
      </w:r>
      <w:r>
        <w:rPr>
          <w:b/>
          <w:iCs/>
          <w:color w:val="000000" w:themeColor="text1"/>
          <w:sz w:val="24"/>
          <w:szCs w:val="24"/>
          <w:lang w:val="pl-PL"/>
        </w:rPr>
        <w:t xml:space="preserve"> w strefie tranzytowej lotniska</w:t>
      </w:r>
      <w:r w:rsidRPr="00072B78">
        <w:rPr>
          <w:b/>
          <w:iCs/>
          <w:color w:val="000000" w:themeColor="text1"/>
          <w:sz w:val="24"/>
          <w:szCs w:val="24"/>
          <w:lang w:val="pl-PL"/>
        </w:rPr>
        <w:t xml:space="preserve"> </w:t>
      </w:r>
    </w:p>
    <w:p w14:paraId="0D9BEB70" w14:textId="77777777" w:rsidR="00950534" w:rsidRDefault="00950534" w:rsidP="00950534">
      <w:pPr>
        <w:pStyle w:val="Akapitzlist"/>
        <w:widowControl w:val="0"/>
        <w:numPr>
          <w:ilvl w:val="0"/>
          <w:numId w:val="17"/>
        </w:numPr>
        <w:spacing w:after="0" w:line="240" w:lineRule="auto"/>
        <w:ind w:left="426"/>
        <w:jc w:val="both"/>
        <w:outlineLvl w:val="2"/>
        <w:rPr>
          <w:b/>
          <w:iCs/>
          <w:color w:val="000000" w:themeColor="text1"/>
          <w:sz w:val="24"/>
          <w:szCs w:val="24"/>
          <w:lang w:val="pl-PL"/>
        </w:rPr>
      </w:pPr>
      <w:r w:rsidRPr="00072B78">
        <w:rPr>
          <w:b/>
          <w:iCs/>
          <w:color w:val="000000" w:themeColor="text1"/>
          <w:sz w:val="24"/>
          <w:szCs w:val="24"/>
          <w:lang w:val="pl-PL"/>
        </w:rPr>
        <w:t xml:space="preserve">naruszenie </w:t>
      </w:r>
      <w:r>
        <w:rPr>
          <w:b/>
          <w:iCs/>
          <w:color w:val="000000" w:themeColor="text1"/>
          <w:sz w:val="24"/>
          <w:szCs w:val="24"/>
          <w:lang w:val="pl-PL"/>
        </w:rPr>
        <w:t>art. 3 Konwencji (zakaz tortur – aspekt poniżającego traktowania) z uwagi na w</w:t>
      </w:r>
      <w:r w:rsidRPr="00072B78">
        <w:rPr>
          <w:b/>
          <w:iCs/>
          <w:color w:val="000000" w:themeColor="text1"/>
          <w:sz w:val="24"/>
          <w:szCs w:val="24"/>
          <w:lang w:val="pl-PL"/>
        </w:rPr>
        <w:t xml:space="preserve">arunki przetrzymywania osób ubiegających się o azyl w strefie tranzytowej lotniska </w:t>
      </w:r>
    </w:p>
    <w:p w14:paraId="31A3ECD9" w14:textId="77777777" w:rsidR="00950534" w:rsidRPr="00A80201" w:rsidRDefault="00950534" w:rsidP="00950534">
      <w:pPr>
        <w:pStyle w:val="ClinContent"/>
        <w:widowControl w:val="0"/>
        <w:spacing w:before="0"/>
        <w:rPr>
          <w:rFonts w:asciiTheme="minorHAnsi" w:hAnsiTheme="minorHAnsi"/>
          <w:sz w:val="24"/>
          <w:lang w:val="pl-PL"/>
        </w:rPr>
      </w:pPr>
    </w:p>
    <w:p w14:paraId="78C20D68" w14:textId="5D288D3C"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Czterej skarżący, którzy byli osobami ubiegającymi się o azyl, byli przetrzymywani w</w:t>
      </w:r>
      <w:r w:rsidR="00227D65">
        <w:rPr>
          <w:rFonts w:asciiTheme="minorHAnsi" w:hAnsiTheme="minorHAnsi"/>
          <w:sz w:val="24"/>
          <w:lang w:val="pl-PL"/>
        </w:rPr>
        <w:t> </w:t>
      </w:r>
      <w:r w:rsidRPr="00B15C52">
        <w:rPr>
          <w:rFonts w:asciiTheme="minorHAnsi" w:hAnsiTheme="minorHAnsi"/>
          <w:sz w:val="24"/>
          <w:lang w:val="pl-PL"/>
        </w:rPr>
        <w:t>międzynarodowej strefie tranzytowej Lotniska Szeremietiewo w Rosji przez okres od</w:t>
      </w:r>
      <w:r w:rsidR="00227D65">
        <w:rPr>
          <w:rFonts w:asciiTheme="minorHAnsi" w:hAnsiTheme="minorHAnsi"/>
          <w:sz w:val="24"/>
          <w:lang w:val="pl-PL"/>
        </w:rPr>
        <w:t> </w:t>
      </w:r>
      <w:r w:rsidRPr="00B15C52">
        <w:rPr>
          <w:rFonts w:asciiTheme="minorHAnsi" w:hAnsiTheme="minorHAnsi"/>
          <w:sz w:val="24"/>
          <w:lang w:val="pl-PL"/>
        </w:rPr>
        <w:t>pięciu miesięcy do jednego roku i dziesięciu miesięcy po odmówieniu im wjazdu do Rosji. Musieli spać na materacach na podłodze w strefie odlotów, która była stale oświetlona i</w:t>
      </w:r>
      <w:r w:rsidR="00227D65">
        <w:rPr>
          <w:rFonts w:asciiTheme="minorHAnsi" w:hAnsiTheme="minorHAnsi"/>
          <w:sz w:val="24"/>
          <w:lang w:val="pl-PL"/>
        </w:rPr>
        <w:t> </w:t>
      </w:r>
      <w:r w:rsidRPr="00B15C52">
        <w:rPr>
          <w:rFonts w:asciiTheme="minorHAnsi" w:hAnsiTheme="minorHAnsi"/>
          <w:sz w:val="24"/>
          <w:lang w:val="pl-PL"/>
        </w:rPr>
        <w:t>zatłoczona i panował w niej hałas. Otrzymywali wsparcie w postaci racji żywnościowych od</w:t>
      </w:r>
      <w:r w:rsidR="00227D65">
        <w:rPr>
          <w:rFonts w:asciiTheme="minorHAnsi" w:hAnsiTheme="minorHAnsi"/>
          <w:sz w:val="24"/>
          <w:lang w:val="pl-PL"/>
        </w:rPr>
        <w:t> </w:t>
      </w:r>
      <w:r w:rsidRPr="00B15C52">
        <w:rPr>
          <w:rFonts w:asciiTheme="minorHAnsi" w:hAnsiTheme="minorHAnsi"/>
          <w:sz w:val="24"/>
          <w:lang w:val="pl-PL"/>
        </w:rPr>
        <w:t xml:space="preserve">rosyjskiego biura Wysokiego Komisarza Narodów Zjednoczonych do spraw Uchodźców (UNHCR). Nie było pryszniców. W postępowaniu przed Trybunałem skarżyli się, że zostali bezprawnie pozbawieni wolności (art. 5 ust. 1 Konwencji), a także na warunki, w jakich byli przetrzymywani (art. 3). </w:t>
      </w:r>
    </w:p>
    <w:p w14:paraId="4789410C" w14:textId="77777777" w:rsidR="00950534" w:rsidRDefault="00950534" w:rsidP="00950534">
      <w:pPr>
        <w:pStyle w:val="ClinContent"/>
        <w:widowControl w:val="0"/>
        <w:spacing w:before="0"/>
        <w:rPr>
          <w:rFonts w:asciiTheme="minorHAnsi" w:hAnsiTheme="minorHAnsi"/>
          <w:sz w:val="24"/>
          <w:lang w:val="pl-PL"/>
        </w:rPr>
      </w:pPr>
    </w:p>
    <w:p w14:paraId="77914358" w14:textId="2EDBDB9E"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wyroku z dnia 28 marca 2017 r. (zobacz </w:t>
      </w:r>
      <w:hyperlink r:id="rId39" w:history="1">
        <w:r w:rsidRPr="00B15C52">
          <w:rPr>
            <w:rStyle w:val="Hipercze"/>
            <w:rFonts w:asciiTheme="minorHAnsi" w:hAnsiTheme="minorHAnsi"/>
            <w:sz w:val="24"/>
            <w:lang w:val="pl-PL"/>
          </w:rPr>
          <w:t>Nota informacyjna nr 205</w:t>
        </w:r>
      </w:hyperlink>
      <w:r w:rsidRPr="00B15C52">
        <w:rPr>
          <w:rFonts w:asciiTheme="minorHAnsi" w:hAnsiTheme="minorHAnsi"/>
          <w:sz w:val="24"/>
          <w:lang w:val="pl-PL"/>
        </w:rPr>
        <w:t>) Izba Trybunału orzekła, sześcioma głosami do jednego, że doszło do naruszenia art. 5 ust. 1 Konwencji. Izba</w:t>
      </w:r>
      <w:r w:rsidR="00227D65">
        <w:rPr>
          <w:rFonts w:asciiTheme="minorHAnsi" w:hAnsiTheme="minorHAnsi"/>
          <w:sz w:val="24"/>
          <w:lang w:val="pl-PL"/>
        </w:rPr>
        <w:t> </w:t>
      </w:r>
      <w:r w:rsidRPr="00B15C52">
        <w:rPr>
          <w:rFonts w:asciiTheme="minorHAnsi" w:hAnsiTheme="minorHAnsi"/>
          <w:sz w:val="24"/>
          <w:lang w:val="pl-PL"/>
        </w:rPr>
        <w:t>stwierdziła również, sześcioma głosami do jednego, naruszenie art. 3 z uwagi na</w:t>
      </w:r>
      <w:r w:rsidR="00227D65">
        <w:rPr>
          <w:rFonts w:asciiTheme="minorHAnsi" w:hAnsiTheme="minorHAnsi"/>
          <w:sz w:val="24"/>
          <w:lang w:val="pl-PL"/>
        </w:rPr>
        <w:t> </w:t>
      </w:r>
      <w:r w:rsidRPr="00B15C52">
        <w:rPr>
          <w:rFonts w:asciiTheme="minorHAnsi" w:hAnsiTheme="minorHAnsi"/>
          <w:sz w:val="24"/>
          <w:lang w:val="pl-PL"/>
        </w:rPr>
        <w:t xml:space="preserve">warunki, które skarżący musieli znosić przez długi czas w strefie tranzytowej. </w:t>
      </w:r>
    </w:p>
    <w:p w14:paraId="1AD18CF1" w14:textId="77777777" w:rsidR="00950534" w:rsidRDefault="00950534" w:rsidP="00950534">
      <w:pPr>
        <w:pStyle w:val="ClinContent"/>
        <w:widowControl w:val="0"/>
        <w:spacing w:before="0"/>
        <w:rPr>
          <w:rFonts w:asciiTheme="minorHAnsi" w:hAnsiTheme="minorHAnsi"/>
          <w:sz w:val="24"/>
          <w:lang w:val="pl-PL"/>
        </w:rPr>
      </w:pPr>
    </w:p>
    <w:p w14:paraId="7418CAB2"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dniu 18 września 2017 r. sprawa została przekazana do Wielkiej Izby na wniosek rządu. </w:t>
      </w:r>
    </w:p>
    <w:p w14:paraId="76250400" w14:textId="77777777" w:rsidR="00950534" w:rsidRDefault="00950534" w:rsidP="00950534">
      <w:pPr>
        <w:pStyle w:val="ClinContent"/>
        <w:widowControl w:val="0"/>
        <w:spacing w:before="0"/>
        <w:rPr>
          <w:rFonts w:asciiTheme="minorHAnsi" w:hAnsiTheme="minorHAnsi"/>
          <w:sz w:val="24"/>
          <w:lang w:val="pl-PL"/>
        </w:rPr>
      </w:pPr>
    </w:p>
    <w:p w14:paraId="05175F3A"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Na wstępie Wielka Izba przypomniała, że p</w:t>
      </w:r>
      <w:r w:rsidRPr="00B15C52">
        <w:rPr>
          <w:rFonts w:asciiTheme="minorHAnsi" w:hAnsiTheme="minorHAnsi"/>
          <w:sz w:val="24"/>
          <w:lang w:val="pl-PL"/>
        </w:rPr>
        <w:t xml:space="preserve">rawo do wolności, podlegającej ograniczeniu jedynie zgodnie z prawem, oraz prawo do ludzkich warunków pozbawienia wolności </w:t>
      </w:r>
      <w:r>
        <w:rPr>
          <w:rFonts w:asciiTheme="minorHAnsi" w:hAnsiTheme="minorHAnsi"/>
          <w:sz w:val="24"/>
          <w:lang w:val="pl-PL"/>
        </w:rPr>
        <w:t xml:space="preserve">odbywającego się </w:t>
      </w:r>
      <w:r w:rsidRPr="00B15C52">
        <w:rPr>
          <w:rFonts w:asciiTheme="minorHAnsi" w:hAnsiTheme="minorHAnsi"/>
          <w:sz w:val="24"/>
          <w:lang w:val="pl-PL"/>
        </w:rPr>
        <w:t xml:space="preserve">pod kontrolą państwa stanowią minimalne gwarancje, które pomimo narastającego kryzysu migracyjnego w Europie powinny być zapewnione osobom znajdującym się pod jurysdykcją wszystkich państw członkowskich </w:t>
      </w:r>
      <w:r>
        <w:rPr>
          <w:rFonts w:asciiTheme="minorHAnsi" w:hAnsiTheme="minorHAnsi"/>
          <w:sz w:val="24"/>
          <w:lang w:val="pl-PL"/>
        </w:rPr>
        <w:t>Rady Europy</w:t>
      </w:r>
      <w:r w:rsidRPr="00B15C52">
        <w:rPr>
          <w:rFonts w:asciiTheme="minorHAnsi" w:hAnsiTheme="minorHAnsi"/>
          <w:sz w:val="24"/>
          <w:lang w:val="pl-PL"/>
        </w:rPr>
        <w:t xml:space="preserve">. </w:t>
      </w:r>
    </w:p>
    <w:p w14:paraId="6CACE4D9" w14:textId="77777777" w:rsidR="00950534" w:rsidRDefault="00950534" w:rsidP="00950534">
      <w:pPr>
        <w:pStyle w:val="ClinContent"/>
        <w:widowControl w:val="0"/>
        <w:spacing w:before="0"/>
        <w:rPr>
          <w:rFonts w:asciiTheme="minorHAnsi" w:hAnsiTheme="minorHAnsi"/>
          <w:sz w:val="24"/>
          <w:lang w:val="pl-PL"/>
        </w:rPr>
      </w:pPr>
    </w:p>
    <w:p w14:paraId="3FD43C30" w14:textId="607FB8B0"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I. </w:t>
      </w:r>
      <w:r w:rsidRPr="003425A3">
        <w:rPr>
          <w:rFonts w:asciiTheme="minorHAnsi" w:hAnsiTheme="minorHAnsi"/>
          <w:sz w:val="24"/>
          <w:lang w:val="pl-PL"/>
        </w:rPr>
        <w:t xml:space="preserve">Trybunał zbadał </w:t>
      </w:r>
      <w:r>
        <w:rPr>
          <w:rFonts w:asciiTheme="minorHAnsi" w:hAnsiTheme="minorHAnsi"/>
          <w:sz w:val="24"/>
          <w:lang w:val="pl-PL"/>
        </w:rPr>
        <w:t xml:space="preserve">po pierwsze, </w:t>
      </w:r>
      <w:r w:rsidRPr="00C42798">
        <w:rPr>
          <w:rFonts w:asciiTheme="minorHAnsi" w:hAnsiTheme="minorHAnsi"/>
          <w:i/>
          <w:sz w:val="24"/>
          <w:u w:val="single"/>
          <w:lang w:val="pl-PL"/>
        </w:rPr>
        <w:t>czy pobyt skarżących w strefie tranzytowej lotniska nie</w:t>
      </w:r>
      <w:r w:rsidR="00227D65">
        <w:rPr>
          <w:rFonts w:asciiTheme="minorHAnsi" w:hAnsiTheme="minorHAnsi"/>
          <w:i/>
          <w:sz w:val="24"/>
          <w:u w:val="single"/>
          <w:lang w:val="pl-PL"/>
        </w:rPr>
        <w:t> </w:t>
      </w:r>
      <w:r w:rsidRPr="00C42798">
        <w:rPr>
          <w:rFonts w:asciiTheme="minorHAnsi" w:hAnsiTheme="minorHAnsi"/>
          <w:i/>
          <w:sz w:val="24"/>
          <w:u w:val="single"/>
          <w:lang w:val="pl-PL"/>
        </w:rPr>
        <w:t>naruszał ich prawa do wolności i bezpieczeństwa osobistego z art. 5 ust. 1 Konwencji</w:t>
      </w:r>
      <w:r>
        <w:rPr>
          <w:rFonts w:asciiTheme="minorHAnsi" w:hAnsiTheme="minorHAnsi"/>
          <w:sz w:val="24"/>
          <w:lang w:val="pl-PL"/>
        </w:rPr>
        <w:t xml:space="preserve">. </w:t>
      </w:r>
    </w:p>
    <w:p w14:paraId="4C15D1E2" w14:textId="77777777" w:rsidR="00950534" w:rsidRDefault="00950534" w:rsidP="00950534">
      <w:pPr>
        <w:pStyle w:val="ClinContent"/>
        <w:widowControl w:val="0"/>
        <w:spacing w:before="0"/>
        <w:rPr>
          <w:rFonts w:asciiTheme="minorHAnsi" w:hAnsiTheme="minorHAnsi"/>
          <w:sz w:val="24"/>
          <w:lang w:val="pl-PL"/>
        </w:rPr>
      </w:pPr>
    </w:p>
    <w:p w14:paraId="7C2199C6" w14:textId="77777777" w:rsidR="00950534" w:rsidRPr="00E678AA" w:rsidRDefault="00950534" w:rsidP="00950534">
      <w:pPr>
        <w:pStyle w:val="ClinContent"/>
        <w:widowControl w:val="0"/>
        <w:spacing w:before="0"/>
        <w:rPr>
          <w:rFonts w:asciiTheme="minorHAnsi" w:hAnsiTheme="minorHAnsi"/>
          <w:i/>
          <w:sz w:val="24"/>
          <w:u w:val="single"/>
          <w:lang w:val="pl-PL"/>
        </w:rPr>
      </w:pPr>
      <w:r w:rsidRPr="003425A3">
        <w:rPr>
          <w:rFonts w:asciiTheme="minorHAnsi" w:hAnsiTheme="minorHAnsi"/>
          <w:sz w:val="24"/>
          <w:lang w:val="pl-PL"/>
        </w:rPr>
        <w:t xml:space="preserve">W pierwszej kolejności Trybunał musiał </w:t>
      </w:r>
      <w:r>
        <w:rPr>
          <w:rFonts w:asciiTheme="minorHAnsi" w:hAnsiTheme="minorHAnsi"/>
          <w:sz w:val="24"/>
          <w:lang w:val="pl-PL"/>
        </w:rPr>
        <w:t xml:space="preserve">jednak </w:t>
      </w:r>
      <w:r w:rsidRPr="003425A3">
        <w:rPr>
          <w:rFonts w:asciiTheme="minorHAnsi" w:hAnsiTheme="minorHAnsi"/>
          <w:sz w:val="24"/>
          <w:lang w:val="pl-PL"/>
        </w:rPr>
        <w:t xml:space="preserve">ustalić, </w:t>
      </w:r>
      <w:r w:rsidRPr="00E678AA">
        <w:rPr>
          <w:rFonts w:asciiTheme="minorHAnsi" w:hAnsiTheme="minorHAnsi"/>
          <w:i/>
          <w:sz w:val="24"/>
          <w:u w:val="single"/>
          <w:lang w:val="pl-PL"/>
        </w:rPr>
        <w:t>czy art. 5 Konwencji miał zastosowanie w sprawie skarżących.</w:t>
      </w:r>
    </w:p>
    <w:p w14:paraId="3015367E" w14:textId="77777777" w:rsidR="00950534" w:rsidRDefault="00950534" w:rsidP="00950534">
      <w:pPr>
        <w:pStyle w:val="ClinContent"/>
        <w:widowControl w:val="0"/>
        <w:spacing w:before="0"/>
        <w:rPr>
          <w:rFonts w:asciiTheme="minorHAnsi" w:hAnsiTheme="minorHAnsi"/>
          <w:sz w:val="24"/>
          <w:u w:val="single"/>
          <w:lang w:val="pl-PL"/>
        </w:rPr>
      </w:pPr>
    </w:p>
    <w:p w14:paraId="38D85977" w14:textId="2578090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Podkreślił, że d</w:t>
      </w:r>
      <w:r w:rsidRPr="00B15C52">
        <w:rPr>
          <w:rFonts w:asciiTheme="minorHAnsi" w:hAnsiTheme="minorHAnsi"/>
          <w:sz w:val="24"/>
          <w:lang w:val="pl-PL"/>
        </w:rPr>
        <w:t>okonując rozróżnienia między ograniczeniem swobody poruszania się a</w:t>
      </w:r>
      <w:r w:rsidR="00227D65">
        <w:rPr>
          <w:rFonts w:asciiTheme="minorHAnsi" w:hAnsiTheme="minorHAnsi"/>
          <w:sz w:val="24"/>
          <w:lang w:val="pl-PL"/>
        </w:rPr>
        <w:t> </w:t>
      </w:r>
      <w:r w:rsidRPr="00B15C52">
        <w:rPr>
          <w:rFonts w:asciiTheme="minorHAnsi" w:hAnsiTheme="minorHAnsi"/>
          <w:sz w:val="24"/>
          <w:lang w:val="pl-PL"/>
        </w:rPr>
        <w:t xml:space="preserve">pozbawieniem wolności w kontekście </w:t>
      </w:r>
      <w:r>
        <w:rPr>
          <w:rFonts w:asciiTheme="minorHAnsi" w:hAnsiTheme="minorHAnsi"/>
          <w:sz w:val="24"/>
          <w:lang w:val="pl-PL"/>
        </w:rPr>
        <w:t>pozbawienia wolności</w:t>
      </w:r>
      <w:r w:rsidRPr="00B15C52">
        <w:rPr>
          <w:rFonts w:asciiTheme="minorHAnsi" w:hAnsiTheme="minorHAnsi"/>
          <w:sz w:val="24"/>
          <w:lang w:val="pl-PL"/>
        </w:rPr>
        <w:t xml:space="preserve"> osób ubiegającyc</w:t>
      </w:r>
      <w:r>
        <w:rPr>
          <w:rFonts w:asciiTheme="minorHAnsi" w:hAnsiTheme="minorHAnsi"/>
          <w:sz w:val="24"/>
          <w:lang w:val="pl-PL"/>
        </w:rPr>
        <w:t>h się o azyl, Trybunał</w:t>
      </w:r>
      <w:r w:rsidRPr="00B15C52">
        <w:rPr>
          <w:rFonts w:asciiTheme="minorHAnsi" w:hAnsiTheme="minorHAnsi"/>
          <w:sz w:val="24"/>
          <w:lang w:val="pl-PL"/>
        </w:rPr>
        <w:t xml:space="preserve"> musi </w:t>
      </w:r>
      <w:r>
        <w:rPr>
          <w:rFonts w:asciiTheme="minorHAnsi" w:hAnsiTheme="minorHAnsi"/>
          <w:sz w:val="24"/>
          <w:lang w:val="pl-PL"/>
        </w:rPr>
        <w:t>zastosować</w:t>
      </w:r>
      <w:r w:rsidRPr="00B15C52">
        <w:rPr>
          <w:rFonts w:asciiTheme="minorHAnsi" w:hAnsiTheme="minorHAnsi"/>
          <w:sz w:val="24"/>
          <w:lang w:val="pl-PL"/>
        </w:rPr>
        <w:t xml:space="preserve"> praktyczne i realistyczne</w:t>
      </w:r>
      <w:r>
        <w:rPr>
          <w:rFonts w:asciiTheme="minorHAnsi" w:hAnsiTheme="minorHAnsi"/>
          <w:sz w:val="24"/>
          <w:lang w:val="pl-PL"/>
        </w:rPr>
        <w:t xml:space="preserve"> podejście</w:t>
      </w:r>
      <w:r w:rsidRPr="00B15C52">
        <w:rPr>
          <w:rFonts w:asciiTheme="minorHAnsi" w:hAnsiTheme="minorHAnsi"/>
          <w:sz w:val="24"/>
          <w:lang w:val="pl-PL"/>
        </w:rPr>
        <w:t xml:space="preserve">, uwzględniające współczesne warunki i wyzwania. W szczególności istotne jest </w:t>
      </w:r>
      <w:r>
        <w:rPr>
          <w:rFonts w:asciiTheme="minorHAnsi" w:hAnsiTheme="minorHAnsi"/>
          <w:sz w:val="24"/>
          <w:lang w:val="pl-PL"/>
        </w:rPr>
        <w:t>uznanie prawa</w:t>
      </w:r>
      <w:r w:rsidRPr="00B15C52">
        <w:rPr>
          <w:rFonts w:asciiTheme="minorHAnsi" w:hAnsiTheme="minorHAnsi"/>
          <w:sz w:val="24"/>
          <w:lang w:val="pl-PL"/>
        </w:rPr>
        <w:t xml:space="preserve"> państw, z zastrzeżeniem ich zobowiązań międzynarodowych, do kontrolowania swych granic oraz podejmowania środków przeciwko cudzoziemcom obchodzącym ograniczenia imigracyjne. </w:t>
      </w:r>
    </w:p>
    <w:p w14:paraId="5EECEDF7" w14:textId="77777777" w:rsidR="00950534" w:rsidRDefault="00950534" w:rsidP="00950534">
      <w:pPr>
        <w:pStyle w:val="ClinContent"/>
        <w:widowControl w:val="0"/>
        <w:spacing w:before="0"/>
        <w:rPr>
          <w:rFonts w:asciiTheme="minorHAnsi" w:hAnsiTheme="minorHAnsi"/>
          <w:sz w:val="24"/>
          <w:lang w:val="pl-PL"/>
        </w:rPr>
      </w:pPr>
    </w:p>
    <w:p w14:paraId="4271FE5D"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Określając różnicę między ograniczeniem swobody poruszania się a pozbawieniem wolności w kontekście </w:t>
      </w:r>
      <w:r>
        <w:rPr>
          <w:rFonts w:asciiTheme="minorHAnsi" w:hAnsiTheme="minorHAnsi"/>
          <w:sz w:val="24"/>
          <w:lang w:val="pl-PL"/>
        </w:rPr>
        <w:t xml:space="preserve">zatrzymania </w:t>
      </w:r>
      <w:r w:rsidRPr="00B15C52">
        <w:rPr>
          <w:rFonts w:asciiTheme="minorHAnsi" w:hAnsiTheme="minorHAnsi"/>
          <w:sz w:val="24"/>
          <w:lang w:val="pl-PL"/>
        </w:rPr>
        <w:t xml:space="preserve">cudzoziemców w strefie tranzytowej lotniska i w ośrodkach recepcyjnych </w:t>
      </w:r>
      <w:r>
        <w:rPr>
          <w:rFonts w:asciiTheme="minorHAnsi" w:hAnsiTheme="minorHAnsi"/>
          <w:sz w:val="24"/>
          <w:lang w:val="pl-PL"/>
        </w:rPr>
        <w:t>w</w:t>
      </w:r>
      <w:r w:rsidRPr="00B15C52">
        <w:rPr>
          <w:rFonts w:asciiTheme="minorHAnsi" w:hAnsiTheme="minorHAnsi"/>
          <w:sz w:val="24"/>
          <w:lang w:val="pl-PL"/>
        </w:rPr>
        <w:t xml:space="preserve"> celu identyfikacji i rejestracji migrantów, czynniki uwzględniane przez Trybunał </w:t>
      </w:r>
      <w:r>
        <w:rPr>
          <w:rFonts w:asciiTheme="minorHAnsi" w:hAnsiTheme="minorHAnsi"/>
          <w:sz w:val="24"/>
          <w:lang w:val="pl-PL"/>
        </w:rPr>
        <w:t>są następujące</w:t>
      </w:r>
      <w:r w:rsidRPr="00B15C52">
        <w:rPr>
          <w:rFonts w:asciiTheme="minorHAnsi" w:hAnsiTheme="minorHAnsi"/>
          <w:sz w:val="24"/>
          <w:lang w:val="pl-PL"/>
        </w:rPr>
        <w:t xml:space="preserve">: </w:t>
      </w:r>
    </w:p>
    <w:p w14:paraId="2A380343" w14:textId="77777777"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 xml:space="preserve">indywidualna sytuacja skarżących i ich wybory; </w:t>
      </w:r>
    </w:p>
    <w:p w14:paraId="41E1F423" w14:textId="77777777"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 xml:space="preserve">mający zastosowanie reżim prawny danego państwa i jego cel; </w:t>
      </w:r>
    </w:p>
    <w:p w14:paraId="145FB18B" w14:textId="77777777"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odpowiedni czas trwania, szczególnie w świetle celu i ochrony proceduralnej, z której korzysta</w:t>
      </w:r>
      <w:r>
        <w:rPr>
          <w:rFonts w:asciiTheme="minorHAnsi" w:hAnsiTheme="minorHAnsi"/>
          <w:sz w:val="24"/>
          <w:lang w:val="pl-PL"/>
        </w:rPr>
        <w:t>li</w:t>
      </w:r>
      <w:r w:rsidRPr="00B15C52">
        <w:rPr>
          <w:rFonts w:asciiTheme="minorHAnsi" w:hAnsiTheme="minorHAnsi"/>
          <w:sz w:val="24"/>
          <w:lang w:val="pl-PL"/>
        </w:rPr>
        <w:t xml:space="preserve"> skarżący w </w:t>
      </w:r>
      <w:r>
        <w:rPr>
          <w:rFonts w:asciiTheme="minorHAnsi" w:hAnsiTheme="minorHAnsi"/>
          <w:sz w:val="24"/>
          <w:lang w:val="pl-PL"/>
        </w:rPr>
        <w:t>przedmiotowym czasie;</w:t>
      </w:r>
      <w:r w:rsidRPr="00B15C52">
        <w:rPr>
          <w:rFonts w:asciiTheme="minorHAnsi" w:hAnsiTheme="minorHAnsi"/>
          <w:sz w:val="24"/>
          <w:lang w:val="pl-PL"/>
        </w:rPr>
        <w:t xml:space="preserve"> a także </w:t>
      </w:r>
    </w:p>
    <w:p w14:paraId="362AD845" w14:textId="77777777" w:rsidR="00950534" w:rsidRDefault="00950534" w:rsidP="00950534">
      <w:pPr>
        <w:pStyle w:val="ClinContent"/>
        <w:widowControl w:val="0"/>
        <w:numPr>
          <w:ilvl w:val="0"/>
          <w:numId w:val="35"/>
        </w:numPr>
        <w:spacing w:before="0"/>
        <w:rPr>
          <w:rFonts w:asciiTheme="minorHAnsi" w:hAnsiTheme="minorHAnsi"/>
          <w:sz w:val="24"/>
          <w:lang w:val="pl-PL"/>
        </w:rPr>
      </w:pPr>
      <w:r w:rsidRPr="00B15C52">
        <w:rPr>
          <w:rFonts w:asciiTheme="minorHAnsi" w:hAnsiTheme="minorHAnsi"/>
          <w:sz w:val="24"/>
          <w:lang w:val="pl-PL"/>
        </w:rPr>
        <w:t xml:space="preserve">charakter i stopień rzeczywistych ograniczeń nałożonych na skarżących lub przez nich doświadczanych. </w:t>
      </w:r>
    </w:p>
    <w:p w14:paraId="24B7A071" w14:textId="77777777" w:rsidR="00950534" w:rsidRDefault="00950534" w:rsidP="00950534">
      <w:pPr>
        <w:pStyle w:val="ClinContent"/>
        <w:widowControl w:val="0"/>
        <w:spacing w:before="0"/>
        <w:rPr>
          <w:rFonts w:asciiTheme="minorHAnsi" w:hAnsiTheme="minorHAnsi"/>
          <w:sz w:val="24"/>
          <w:lang w:val="pl-PL"/>
        </w:rPr>
      </w:pPr>
    </w:p>
    <w:p w14:paraId="3392CC91" w14:textId="1C83DB25"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w:t>
      </w:r>
      <w:r>
        <w:rPr>
          <w:rFonts w:asciiTheme="minorHAnsi" w:hAnsiTheme="minorHAnsi"/>
          <w:sz w:val="24"/>
          <w:lang w:val="pl-PL"/>
        </w:rPr>
        <w:t>omawianej sp</w:t>
      </w:r>
      <w:r w:rsidRPr="00B15C52">
        <w:rPr>
          <w:rFonts w:asciiTheme="minorHAnsi" w:hAnsiTheme="minorHAnsi"/>
          <w:sz w:val="24"/>
          <w:lang w:val="pl-PL"/>
        </w:rPr>
        <w:t>rawie, mając na uwadze znane fakty na temat skarżących i ich podróży, a</w:t>
      </w:r>
      <w:r w:rsidR="00227D65">
        <w:rPr>
          <w:rFonts w:asciiTheme="minorHAnsi" w:hAnsiTheme="minorHAnsi"/>
          <w:sz w:val="24"/>
          <w:lang w:val="pl-PL"/>
        </w:rPr>
        <w:t> </w:t>
      </w:r>
      <w:r w:rsidRPr="00B15C52">
        <w:rPr>
          <w:rFonts w:asciiTheme="minorHAnsi" w:hAnsiTheme="minorHAnsi"/>
          <w:sz w:val="24"/>
          <w:lang w:val="pl-PL"/>
        </w:rPr>
        <w:t xml:space="preserve">zwłaszcza fakt, że nie przybyli oni do Rosji z powodu bezpośredniego i natychmiastowego zagrożenia ich życia lub zdrowia, ale raczej z powodu szczególnych okoliczności dotyczących ich tras podróży, </w:t>
      </w:r>
      <w:r>
        <w:rPr>
          <w:rFonts w:asciiTheme="minorHAnsi" w:hAnsiTheme="minorHAnsi"/>
          <w:sz w:val="24"/>
          <w:lang w:val="pl-PL"/>
        </w:rPr>
        <w:t xml:space="preserve">Trybunał </w:t>
      </w:r>
      <w:r w:rsidRPr="00B15C52">
        <w:rPr>
          <w:rFonts w:asciiTheme="minorHAnsi" w:hAnsiTheme="minorHAnsi"/>
          <w:sz w:val="24"/>
          <w:lang w:val="pl-PL"/>
        </w:rPr>
        <w:t>nie m</w:t>
      </w:r>
      <w:r>
        <w:rPr>
          <w:rFonts w:asciiTheme="minorHAnsi" w:hAnsiTheme="minorHAnsi"/>
          <w:sz w:val="24"/>
          <w:lang w:val="pl-PL"/>
        </w:rPr>
        <w:t>iał</w:t>
      </w:r>
      <w:r w:rsidRPr="00B15C52">
        <w:rPr>
          <w:rFonts w:asciiTheme="minorHAnsi" w:hAnsiTheme="minorHAnsi"/>
          <w:sz w:val="24"/>
          <w:lang w:val="pl-PL"/>
        </w:rPr>
        <w:t xml:space="preserve"> wątpliwości, że </w:t>
      </w:r>
      <w:r>
        <w:rPr>
          <w:rFonts w:asciiTheme="minorHAnsi" w:hAnsiTheme="minorHAnsi"/>
          <w:sz w:val="24"/>
          <w:lang w:val="pl-PL"/>
        </w:rPr>
        <w:t xml:space="preserve">skarżący </w:t>
      </w:r>
      <w:r w:rsidRPr="00B15C52">
        <w:rPr>
          <w:rFonts w:asciiTheme="minorHAnsi" w:hAnsiTheme="minorHAnsi"/>
          <w:sz w:val="24"/>
          <w:lang w:val="pl-PL"/>
        </w:rPr>
        <w:t xml:space="preserve">weszli na lotnisko niedobrowolnie, </w:t>
      </w:r>
      <w:r>
        <w:rPr>
          <w:rFonts w:asciiTheme="minorHAnsi" w:hAnsiTheme="minorHAnsi"/>
          <w:sz w:val="24"/>
          <w:lang w:val="pl-PL"/>
        </w:rPr>
        <w:t xml:space="preserve">chociaż </w:t>
      </w:r>
      <w:r w:rsidRPr="00B15C52">
        <w:rPr>
          <w:rFonts w:asciiTheme="minorHAnsi" w:hAnsiTheme="minorHAnsi"/>
          <w:sz w:val="24"/>
          <w:lang w:val="pl-PL"/>
        </w:rPr>
        <w:t xml:space="preserve">bez udziału władz rosyjskich. Było zatem jasne, że władze rosyjskie miały prawo do przeprowadzenia niezbędnych weryfikacji i zbadania ich twierdzeń przed podjęciem decyzji o ich dopuszczeniu </w:t>
      </w:r>
      <w:r>
        <w:rPr>
          <w:rFonts w:asciiTheme="minorHAnsi" w:hAnsiTheme="minorHAnsi"/>
          <w:sz w:val="24"/>
          <w:lang w:val="pl-PL"/>
        </w:rPr>
        <w:t xml:space="preserve">na swe terytorium </w:t>
      </w:r>
      <w:r w:rsidRPr="00B15C52">
        <w:rPr>
          <w:rFonts w:asciiTheme="minorHAnsi" w:hAnsiTheme="minorHAnsi"/>
          <w:sz w:val="24"/>
          <w:lang w:val="pl-PL"/>
        </w:rPr>
        <w:t>lub odmowie.</w:t>
      </w:r>
      <w:r>
        <w:rPr>
          <w:rFonts w:asciiTheme="minorHAnsi" w:hAnsiTheme="minorHAnsi"/>
          <w:sz w:val="24"/>
          <w:lang w:val="pl-PL"/>
        </w:rPr>
        <w:t xml:space="preserve"> </w:t>
      </w:r>
    </w:p>
    <w:p w14:paraId="21BEB563" w14:textId="77777777" w:rsidR="00950534" w:rsidRDefault="00950534" w:rsidP="00950534">
      <w:pPr>
        <w:pStyle w:val="ClinContent"/>
        <w:widowControl w:val="0"/>
        <w:spacing w:before="0"/>
        <w:rPr>
          <w:rFonts w:asciiTheme="minorHAnsi" w:hAnsiTheme="minorHAnsi"/>
          <w:sz w:val="24"/>
          <w:lang w:val="pl-PL"/>
        </w:rPr>
      </w:pPr>
    </w:p>
    <w:p w14:paraId="2C416138" w14:textId="48C4505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Władze rosyjskie nie dążyły do pozbawienia skarżących wolności i jednocześnie odmówiły im</w:t>
      </w:r>
      <w:r w:rsidR="00227D65">
        <w:rPr>
          <w:rFonts w:asciiTheme="minorHAnsi" w:hAnsiTheme="minorHAnsi"/>
          <w:sz w:val="24"/>
          <w:lang w:val="pl-PL"/>
        </w:rPr>
        <w:t> </w:t>
      </w:r>
      <w:r w:rsidRPr="00B15C52">
        <w:rPr>
          <w:rFonts w:asciiTheme="minorHAnsi" w:hAnsiTheme="minorHAnsi"/>
          <w:sz w:val="24"/>
          <w:lang w:val="pl-PL"/>
        </w:rPr>
        <w:t xml:space="preserve">wjazdu. Skarżący pozostali w strefie tranzytowej zasadniczo dlatego, że czekali na wynik postępowań azylowych w swych sprawach. </w:t>
      </w:r>
    </w:p>
    <w:p w14:paraId="633B7B68" w14:textId="77777777" w:rsidR="00950534" w:rsidRDefault="00950534" w:rsidP="00950534">
      <w:pPr>
        <w:pStyle w:val="ClinContent"/>
        <w:widowControl w:val="0"/>
        <w:spacing w:before="0"/>
        <w:rPr>
          <w:rFonts w:asciiTheme="minorHAnsi" w:hAnsiTheme="minorHAnsi"/>
          <w:sz w:val="24"/>
          <w:lang w:val="pl-PL"/>
        </w:rPr>
      </w:pPr>
    </w:p>
    <w:p w14:paraId="7BFA2B5B" w14:textId="0654B56D"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Jak podkreślił Trybunał, p</w:t>
      </w:r>
      <w:r w:rsidRPr="00B15C52">
        <w:rPr>
          <w:rFonts w:asciiTheme="minorHAnsi" w:hAnsiTheme="minorHAnsi"/>
          <w:sz w:val="24"/>
          <w:lang w:val="pl-PL"/>
        </w:rPr>
        <w:t>rawo państw do kontrolowania wjazdu cudzoziemców na</w:t>
      </w:r>
      <w:r w:rsidR="00227D65">
        <w:rPr>
          <w:rFonts w:asciiTheme="minorHAnsi" w:hAnsiTheme="minorHAnsi"/>
          <w:sz w:val="24"/>
          <w:lang w:val="pl-PL"/>
        </w:rPr>
        <w:t> </w:t>
      </w:r>
      <w:r w:rsidRPr="00B15C52">
        <w:rPr>
          <w:rFonts w:asciiTheme="minorHAnsi" w:hAnsiTheme="minorHAnsi"/>
          <w:sz w:val="24"/>
          <w:lang w:val="pl-PL"/>
        </w:rPr>
        <w:t>ich</w:t>
      </w:r>
      <w:r w:rsidR="00227D65">
        <w:rPr>
          <w:rFonts w:asciiTheme="minorHAnsi" w:hAnsiTheme="minorHAnsi"/>
          <w:sz w:val="24"/>
          <w:lang w:val="pl-PL"/>
        </w:rPr>
        <w:t> </w:t>
      </w:r>
      <w:r w:rsidRPr="00B15C52">
        <w:rPr>
          <w:rFonts w:asciiTheme="minorHAnsi" w:hAnsiTheme="minorHAnsi"/>
          <w:sz w:val="24"/>
          <w:lang w:val="pl-PL"/>
        </w:rPr>
        <w:t>terytorium z konieczności implikuje, że zezwolenie na wjazd może być uzależnione od</w:t>
      </w:r>
      <w:r w:rsidR="00227D65">
        <w:rPr>
          <w:rFonts w:asciiTheme="minorHAnsi" w:hAnsiTheme="minorHAnsi"/>
          <w:sz w:val="24"/>
          <w:lang w:val="pl-PL"/>
        </w:rPr>
        <w:t> </w:t>
      </w:r>
      <w:r w:rsidRPr="00B15C52">
        <w:rPr>
          <w:rFonts w:asciiTheme="minorHAnsi" w:hAnsiTheme="minorHAnsi"/>
          <w:sz w:val="24"/>
          <w:lang w:val="pl-PL"/>
        </w:rPr>
        <w:t xml:space="preserve">spełnienia stosownych wymogów. Przy braku innych istotnych czynników sytuacja osoby </w:t>
      </w:r>
      <w:r w:rsidRPr="00B15C52">
        <w:rPr>
          <w:rFonts w:asciiTheme="minorHAnsi" w:hAnsiTheme="minorHAnsi"/>
          <w:sz w:val="24"/>
          <w:lang w:val="pl-PL"/>
        </w:rPr>
        <w:lastRenderedPageBreak/>
        <w:t>ubiegającej się o wjazd i oczekującej przez krótki czas na weryfikację jej prawa do wjazdu nie</w:t>
      </w:r>
      <w:r w:rsidR="00227D65">
        <w:rPr>
          <w:rFonts w:asciiTheme="minorHAnsi" w:hAnsiTheme="minorHAnsi"/>
          <w:sz w:val="24"/>
          <w:lang w:val="pl-PL"/>
        </w:rPr>
        <w:t> </w:t>
      </w:r>
      <w:r w:rsidRPr="00B15C52">
        <w:rPr>
          <w:rFonts w:asciiTheme="minorHAnsi" w:hAnsiTheme="minorHAnsi"/>
          <w:sz w:val="24"/>
          <w:lang w:val="pl-PL"/>
        </w:rPr>
        <w:t>może być zatem określana jako pozbawienie wolności</w:t>
      </w:r>
      <w:r>
        <w:rPr>
          <w:rFonts w:asciiTheme="minorHAnsi" w:hAnsiTheme="minorHAnsi"/>
          <w:sz w:val="24"/>
          <w:lang w:val="pl-PL"/>
        </w:rPr>
        <w:t xml:space="preserve">, które można przypisać </w:t>
      </w:r>
      <w:r w:rsidRPr="00B15C52">
        <w:rPr>
          <w:rFonts w:asciiTheme="minorHAnsi" w:hAnsiTheme="minorHAnsi"/>
          <w:sz w:val="24"/>
          <w:lang w:val="pl-PL"/>
        </w:rPr>
        <w:t xml:space="preserve">państwu, gdyż w takich przypadkach władze państwa nie podjęły wobec tej osoby żadnych innych </w:t>
      </w:r>
      <w:r>
        <w:rPr>
          <w:rFonts w:asciiTheme="minorHAnsi" w:hAnsiTheme="minorHAnsi"/>
          <w:sz w:val="24"/>
          <w:lang w:val="pl-PL"/>
        </w:rPr>
        <w:t>działań</w:t>
      </w:r>
      <w:r w:rsidRPr="00B15C52">
        <w:rPr>
          <w:rFonts w:asciiTheme="minorHAnsi" w:hAnsiTheme="minorHAnsi"/>
          <w:sz w:val="24"/>
          <w:lang w:val="pl-PL"/>
        </w:rPr>
        <w:t xml:space="preserve"> niż zareagowanie na</w:t>
      </w:r>
      <w:r>
        <w:rPr>
          <w:rFonts w:asciiTheme="minorHAnsi" w:hAnsiTheme="minorHAnsi"/>
          <w:sz w:val="24"/>
          <w:lang w:val="pl-PL"/>
        </w:rPr>
        <w:t xml:space="preserve"> podjęcie przez nią próby</w:t>
      </w:r>
      <w:r w:rsidRPr="00B15C52">
        <w:rPr>
          <w:rFonts w:asciiTheme="minorHAnsi" w:hAnsiTheme="minorHAnsi"/>
          <w:sz w:val="24"/>
          <w:lang w:val="pl-PL"/>
        </w:rPr>
        <w:t xml:space="preserve"> wjazdu poprzez przeprowadzenie niezbędnych weryfikacji. </w:t>
      </w:r>
    </w:p>
    <w:p w14:paraId="475E3573" w14:textId="77777777" w:rsidR="00950534" w:rsidRDefault="00950534" w:rsidP="00950534">
      <w:pPr>
        <w:pStyle w:val="ClinContent"/>
        <w:widowControl w:val="0"/>
        <w:spacing w:before="0"/>
        <w:rPr>
          <w:rFonts w:asciiTheme="minorHAnsi" w:hAnsiTheme="minorHAnsi"/>
          <w:sz w:val="24"/>
          <w:lang w:val="pl-PL"/>
        </w:rPr>
      </w:pPr>
    </w:p>
    <w:p w14:paraId="04354C21"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Znaczenie ma ponadto, czy zgodnie z celem zastosowanego reżimu prawnego istniały gwarancje proce</w:t>
      </w:r>
      <w:r>
        <w:rPr>
          <w:rFonts w:asciiTheme="minorHAnsi" w:hAnsiTheme="minorHAnsi"/>
          <w:sz w:val="24"/>
          <w:lang w:val="pl-PL"/>
        </w:rPr>
        <w:t>duralne</w:t>
      </w:r>
      <w:r w:rsidRPr="00B15C52">
        <w:rPr>
          <w:rFonts w:asciiTheme="minorHAnsi" w:hAnsiTheme="minorHAnsi"/>
          <w:sz w:val="24"/>
          <w:lang w:val="pl-PL"/>
        </w:rPr>
        <w:t xml:space="preserve"> dotyczące przetwarzania wniosków azylowych skarżących oraz uregulowania krajowe określające maksymalny czas trwania ich pobytu w strefie tranzytowej, i czy były one stosowane w </w:t>
      </w:r>
      <w:r>
        <w:rPr>
          <w:rFonts w:asciiTheme="minorHAnsi" w:hAnsiTheme="minorHAnsi"/>
          <w:sz w:val="24"/>
          <w:lang w:val="pl-PL"/>
        </w:rPr>
        <w:t>omawianej sp</w:t>
      </w:r>
      <w:r w:rsidRPr="00B15C52">
        <w:rPr>
          <w:rFonts w:asciiTheme="minorHAnsi" w:hAnsiTheme="minorHAnsi"/>
          <w:sz w:val="24"/>
          <w:lang w:val="pl-PL"/>
        </w:rPr>
        <w:t xml:space="preserve">rawie. </w:t>
      </w:r>
    </w:p>
    <w:p w14:paraId="0BB64F2E" w14:textId="77777777" w:rsidR="00950534" w:rsidRDefault="00950534" w:rsidP="00950534">
      <w:pPr>
        <w:pStyle w:val="ClinContent"/>
        <w:widowControl w:val="0"/>
        <w:spacing w:before="0"/>
        <w:rPr>
          <w:rFonts w:asciiTheme="minorHAnsi" w:hAnsiTheme="minorHAnsi"/>
          <w:sz w:val="24"/>
          <w:lang w:val="pl-PL"/>
        </w:rPr>
      </w:pPr>
    </w:p>
    <w:p w14:paraId="6C084C3C" w14:textId="0A97F912"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okolicznościach faktycznych tej sprawy </w:t>
      </w:r>
      <w:r>
        <w:rPr>
          <w:rFonts w:asciiTheme="minorHAnsi" w:hAnsiTheme="minorHAnsi"/>
          <w:sz w:val="24"/>
          <w:lang w:val="pl-PL"/>
        </w:rPr>
        <w:t xml:space="preserve">Trybunał odnotował, że </w:t>
      </w:r>
      <w:r w:rsidRPr="00B15C52">
        <w:rPr>
          <w:rFonts w:asciiTheme="minorHAnsi" w:hAnsiTheme="minorHAnsi"/>
          <w:sz w:val="24"/>
          <w:lang w:val="pl-PL"/>
        </w:rPr>
        <w:t>pozwany rząd nie był w</w:t>
      </w:r>
      <w:r w:rsidR="00227D65">
        <w:rPr>
          <w:rFonts w:asciiTheme="minorHAnsi" w:hAnsiTheme="minorHAnsi"/>
          <w:sz w:val="24"/>
          <w:lang w:val="pl-PL"/>
        </w:rPr>
        <w:t> </w:t>
      </w:r>
      <w:r w:rsidRPr="00B15C52">
        <w:rPr>
          <w:rFonts w:asciiTheme="minorHAnsi" w:hAnsiTheme="minorHAnsi"/>
          <w:sz w:val="24"/>
          <w:lang w:val="pl-PL"/>
        </w:rPr>
        <w:t>stanie wskazać żadnych przepisów krajowych określających maksymalny czas trwania pobytu skarżących w strefie tranzytowej. Ponadto wbrew rosyjskim uregulowaniom krajowym, przyznającym każdej osobie ubiegającej się o azyl prawo do wydania zaświadczenia o rozpatrywaniu wniosku i do umieszczenia w placówce tymczasowego zakwaterowania na czas rozpatrywania wniosku azylowego, skarżących pozostawiono zasadniczo samym sobie w strefie tranzytowej. Władze rosyjskie nie uznały, że są w</w:t>
      </w:r>
      <w:r w:rsidR="00227D65">
        <w:rPr>
          <w:rFonts w:asciiTheme="minorHAnsi" w:hAnsiTheme="minorHAnsi"/>
          <w:sz w:val="24"/>
          <w:lang w:val="pl-PL"/>
        </w:rPr>
        <w:t> </w:t>
      </w:r>
      <w:r w:rsidRPr="00B15C52">
        <w:rPr>
          <w:rFonts w:asciiTheme="minorHAnsi" w:hAnsiTheme="minorHAnsi"/>
          <w:sz w:val="24"/>
          <w:lang w:val="pl-PL"/>
        </w:rPr>
        <w:t xml:space="preserve">jakikolwiek sposób odpowiedzialne za skarżących, pozostawiając ich w próżni prawnej bez żadnej możliwości zaskarżenia środków ograniczających ich wolność. </w:t>
      </w:r>
      <w:r>
        <w:rPr>
          <w:rFonts w:asciiTheme="minorHAnsi" w:hAnsiTheme="minorHAnsi"/>
          <w:sz w:val="24"/>
          <w:lang w:val="pl-PL"/>
        </w:rPr>
        <w:t>Ponadto w</w:t>
      </w:r>
      <w:r w:rsidRPr="00B15C52">
        <w:rPr>
          <w:rFonts w:asciiTheme="minorHAnsi" w:hAnsiTheme="minorHAnsi"/>
          <w:sz w:val="24"/>
          <w:lang w:val="pl-PL"/>
        </w:rPr>
        <w:t xml:space="preserve"> czasie pobytu w strefie tranzytowej wszyscy czterej skarżący mieli niewiele informacji na temat wyniku ich poszczególnych wniosków o status uchodźcy i tymczasowy azyl. </w:t>
      </w:r>
    </w:p>
    <w:p w14:paraId="1561804D" w14:textId="77777777" w:rsidR="00950534" w:rsidRDefault="00950534" w:rsidP="00950534">
      <w:pPr>
        <w:pStyle w:val="ClinContent"/>
        <w:widowControl w:val="0"/>
        <w:spacing w:before="0"/>
        <w:rPr>
          <w:rFonts w:asciiTheme="minorHAnsi" w:hAnsiTheme="minorHAnsi"/>
          <w:sz w:val="24"/>
          <w:lang w:val="pl-PL"/>
        </w:rPr>
      </w:pPr>
    </w:p>
    <w:p w14:paraId="5883D008" w14:textId="06D0D905" w:rsidR="00950534" w:rsidRDefault="00950534" w:rsidP="00950534">
      <w:pPr>
        <w:pStyle w:val="ClinContent"/>
        <w:widowControl w:val="0"/>
        <w:spacing w:before="0"/>
        <w:rPr>
          <w:rFonts w:asciiTheme="minorHAnsi" w:hAnsiTheme="minorHAnsi"/>
          <w:sz w:val="24"/>
          <w:lang w:val="pl-PL"/>
        </w:rPr>
      </w:pPr>
      <w:r w:rsidRPr="008036A3">
        <w:rPr>
          <w:rFonts w:asciiTheme="minorHAnsi" w:hAnsiTheme="minorHAnsi"/>
          <w:sz w:val="24"/>
          <w:lang w:val="pl-PL"/>
        </w:rPr>
        <w:t>Dopóki pobyt skarżącego w</w:t>
      </w:r>
      <w:r w:rsidRPr="00B15C52">
        <w:rPr>
          <w:rFonts w:asciiTheme="minorHAnsi" w:hAnsiTheme="minorHAnsi"/>
          <w:sz w:val="24"/>
          <w:lang w:val="pl-PL"/>
        </w:rPr>
        <w:t xml:space="preserve"> strefie tranzytowej nie przekracza znacząco czasu potrzebnego do zbadania wniosku o azyl i nie zachodzą wyjątkowe okoliczności, sama długość </w:t>
      </w:r>
      <w:r>
        <w:rPr>
          <w:rFonts w:asciiTheme="minorHAnsi" w:hAnsiTheme="minorHAnsi"/>
          <w:sz w:val="24"/>
          <w:lang w:val="pl-PL"/>
        </w:rPr>
        <w:t xml:space="preserve">tego pobytu </w:t>
      </w:r>
      <w:r w:rsidRPr="00B15C52">
        <w:rPr>
          <w:rFonts w:asciiTheme="minorHAnsi" w:hAnsiTheme="minorHAnsi"/>
          <w:sz w:val="24"/>
          <w:lang w:val="pl-PL"/>
        </w:rPr>
        <w:t xml:space="preserve">raczej nie powinna </w:t>
      </w:r>
      <w:r>
        <w:rPr>
          <w:rFonts w:asciiTheme="minorHAnsi" w:hAnsiTheme="minorHAnsi"/>
          <w:sz w:val="24"/>
          <w:lang w:val="pl-PL"/>
        </w:rPr>
        <w:t xml:space="preserve">mieć decydującego </w:t>
      </w:r>
      <w:r w:rsidRPr="00B15C52">
        <w:rPr>
          <w:rFonts w:asciiTheme="minorHAnsi" w:hAnsiTheme="minorHAnsi"/>
          <w:sz w:val="24"/>
          <w:lang w:val="pl-PL"/>
        </w:rPr>
        <w:t>wpływ</w:t>
      </w:r>
      <w:r>
        <w:rPr>
          <w:rFonts w:asciiTheme="minorHAnsi" w:hAnsiTheme="minorHAnsi"/>
          <w:sz w:val="24"/>
          <w:lang w:val="pl-PL"/>
        </w:rPr>
        <w:t>u</w:t>
      </w:r>
      <w:r w:rsidRPr="00B15C52">
        <w:rPr>
          <w:rFonts w:asciiTheme="minorHAnsi" w:hAnsiTheme="minorHAnsi"/>
          <w:sz w:val="24"/>
          <w:lang w:val="pl-PL"/>
        </w:rPr>
        <w:t xml:space="preserve"> na </w:t>
      </w:r>
      <w:r>
        <w:rPr>
          <w:rFonts w:asciiTheme="minorHAnsi" w:hAnsiTheme="minorHAnsi"/>
          <w:sz w:val="24"/>
          <w:lang w:val="pl-PL"/>
        </w:rPr>
        <w:t xml:space="preserve">ocenę </w:t>
      </w:r>
      <w:r w:rsidRPr="00B15C52">
        <w:rPr>
          <w:rFonts w:asciiTheme="minorHAnsi" w:hAnsiTheme="minorHAnsi"/>
          <w:sz w:val="24"/>
          <w:lang w:val="pl-PL"/>
        </w:rPr>
        <w:t>zastosowalności art. 5</w:t>
      </w:r>
      <w:r>
        <w:rPr>
          <w:rFonts w:asciiTheme="minorHAnsi" w:hAnsiTheme="minorHAnsi"/>
          <w:sz w:val="24"/>
          <w:lang w:val="pl-PL"/>
        </w:rPr>
        <w:t xml:space="preserve"> Konwencji przez Trybunał</w:t>
      </w:r>
      <w:r w:rsidRPr="00B15C52">
        <w:rPr>
          <w:rFonts w:asciiTheme="minorHAnsi" w:hAnsiTheme="minorHAnsi"/>
          <w:sz w:val="24"/>
          <w:lang w:val="pl-PL"/>
        </w:rPr>
        <w:t xml:space="preserve">. Ma to miejsce w szczególności, gdy w czasie oczekiwania na rozpatrzenie swych wniosków azylowych </w:t>
      </w:r>
      <w:r>
        <w:rPr>
          <w:rFonts w:asciiTheme="minorHAnsi" w:hAnsiTheme="minorHAnsi"/>
          <w:sz w:val="24"/>
          <w:lang w:val="pl-PL"/>
        </w:rPr>
        <w:t xml:space="preserve">osoby </w:t>
      </w:r>
      <w:r w:rsidRPr="00B15C52">
        <w:rPr>
          <w:rFonts w:asciiTheme="minorHAnsi" w:hAnsiTheme="minorHAnsi"/>
          <w:sz w:val="24"/>
          <w:lang w:val="pl-PL"/>
        </w:rPr>
        <w:t xml:space="preserve">korzystały z praw i gwarancji proceduralnych przeciwko nadmiernie długim okresom oczekiwania. </w:t>
      </w:r>
      <w:r>
        <w:rPr>
          <w:rFonts w:asciiTheme="minorHAnsi" w:hAnsiTheme="minorHAnsi"/>
          <w:sz w:val="24"/>
          <w:lang w:val="pl-PL"/>
        </w:rPr>
        <w:t>D</w:t>
      </w:r>
      <w:r w:rsidRPr="00B15C52">
        <w:rPr>
          <w:rFonts w:asciiTheme="minorHAnsi" w:hAnsiTheme="minorHAnsi"/>
          <w:sz w:val="24"/>
          <w:lang w:val="pl-PL"/>
        </w:rPr>
        <w:t xml:space="preserve">uże znaczenie w tym względzie </w:t>
      </w:r>
      <w:r>
        <w:rPr>
          <w:rFonts w:asciiTheme="minorHAnsi" w:hAnsiTheme="minorHAnsi"/>
          <w:sz w:val="24"/>
          <w:lang w:val="pl-PL"/>
        </w:rPr>
        <w:t>ma</w:t>
      </w:r>
      <w:r w:rsidR="00227D65">
        <w:rPr>
          <w:rFonts w:asciiTheme="minorHAnsi" w:hAnsiTheme="minorHAnsi"/>
          <w:sz w:val="24"/>
          <w:lang w:val="pl-PL"/>
        </w:rPr>
        <w:t> </w:t>
      </w:r>
      <w:r>
        <w:rPr>
          <w:rFonts w:asciiTheme="minorHAnsi" w:hAnsiTheme="minorHAnsi"/>
          <w:sz w:val="24"/>
          <w:lang w:val="pl-PL"/>
        </w:rPr>
        <w:t>f</w:t>
      </w:r>
      <w:r w:rsidRPr="00B15C52">
        <w:rPr>
          <w:rFonts w:asciiTheme="minorHAnsi" w:hAnsiTheme="minorHAnsi"/>
          <w:sz w:val="24"/>
          <w:lang w:val="pl-PL"/>
        </w:rPr>
        <w:t xml:space="preserve">akt, że istniały regulacje krajowe ograniczające długość </w:t>
      </w:r>
      <w:r>
        <w:rPr>
          <w:rFonts w:asciiTheme="minorHAnsi" w:hAnsiTheme="minorHAnsi"/>
          <w:sz w:val="24"/>
          <w:lang w:val="pl-PL"/>
        </w:rPr>
        <w:t>pobytu w strefie tranzytowej</w:t>
      </w:r>
      <w:r w:rsidRPr="00B15C52">
        <w:rPr>
          <w:rFonts w:asciiTheme="minorHAnsi" w:hAnsiTheme="minorHAnsi"/>
          <w:sz w:val="24"/>
          <w:lang w:val="pl-PL"/>
        </w:rPr>
        <w:t xml:space="preserve">. </w:t>
      </w:r>
    </w:p>
    <w:p w14:paraId="53D09660" w14:textId="77777777" w:rsidR="00950534" w:rsidRDefault="00950534" w:rsidP="00950534">
      <w:pPr>
        <w:pStyle w:val="ClinContent"/>
        <w:widowControl w:val="0"/>
        <w:spacing w:before="0"/>
        <w:rPr>
          <w:rFonts w:asciiTheme="minorHAnsi" w:hAnsiTheme="minorHAnsi"/>
          <w:sz w:val="24"/>
          <w:lang w:val="pl-PL"/>
        </w:rPr>
      </w:pPr>
    </w:p>
    <w:p w14:paraId="0425C80E" w14:textId="0B531AFB"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że n</w:t>
      </w:r>
      <w:r w:rsidRPr="00B15C52">
        <w:rPr>
          <w:rFonts w:asciiTheme="minorHAnsi" w:hAnsiTheme="minorHAnsi"/>
          <w:sz w:val="24"/>
          <w:lang w:val="pl-PL"/>
        </w:rPr>
        <w:t>a sytuację skarżących bardzo poważnie wpłynęły zwłoka i</w:t>
      </w:r>
      <w:r w:rsidR="00227D65">
        <w:rPr>
          <w:rFonts w:asciiTheme="minorHAnsi" w:hAnsiTheme="minorHAnsi"/>
          <w:sz w:val="24"/>
          <w:lang w:val="pl-PL"/>
        </w:rPr>
        <w:t> </w:t>
      </w:r>
      <w:r w:rsidRPr="00B15C52">
        <w:rPr>
          <w:rFonts w:asciiTheme="minorHAnsi" w:hAnsiTheme="minorHAnsi"/>
          <w:sz w:val="24"/>
          <w:lang w:val="pl-PL"/>
        </w:rPr>
        <w:t xml:space="preserve">bezczynność </w:t>
      </w:r>
      <w:r>
        <w:rPr>
          <w:rFonts w:asciiTheme="minorHAnsi" w:hAnsiTheme="minorHAnsi"/>
          <w:sz w:val="24"/>
          <w:lang w:val="pl-PL"/>
        </w:rPr>
        <w:t>po stronie</w:t>
      </w:r>
      <w:r w:rsidRPr="00B15C52">
        <w:rPr>
          <w:rFonts w:asciiTheme="minorHAnsi" w:hAnsiTheme="minorHAnsi"/>
          <w:sz w:val="24"/>
          <w:lang w:val="pl-PL"/>
        </w:rPr>
        <w:t xml:space="preserve"> władz rosyjskich, którą w sposób oczywisty można im przypisać i</w:t>
      </w:r>
      <w:r w:rsidR="00227D65">
        <w:rPr>
          <w:rFonts w:asciiTheme="minorHAnsi" w:hAnsiTheme="minorHAnsi"/>
          <w:sz w:val="24"/>
          <w:lang w:val="pl-PL"/>
        </w:rPr>
        <w:t> </w:t>
      </w:r>
      <w:r w:rsidRPr="00B15C52">
        <w:rPr>
          <w:rFonts w:asciiTheme="minorHAnsi" w:hAnsiTheme="minorHAnsi"/>
          <w:sz w:val="24"/>
          <w:lang w:val="pl-PL"/>
        </w:rPr>
        <w:t xml:space="preserve">której nie uzasadniono uprawnionymi powodami. </w:t>
      </w:r>
    </w:p>
    <w:p w14:paraId="38787922" w14:textId="77777777" w:rsidR="00950534" w:rsidRDefault="00950534" w:rsidP="00950534">
      <w:pPr>
        <w:pStyle w:val="ClinContent"/>
        <w:widowControl w:val="0"/>
        <w:spacing w:before="0"/>
        <w:rPr>
          <w:rFonts w:asciiTheme="minorHAnsi" w:hAnsiTheme="minorHAnsi"/>
          <w:sz w:val="24"/>
          <w:lang w:val="pl-PL"/>
        </w:rPr>
      </w:pPr>
    </w:p>
    <w:p w14:paraId="00CBE21A"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Akta sprawy nie </w:t>
      </w:r>
      <w:r>
        <w:rPr>
          <w:rFonts w:asciiTheme="minorHAnsi" w:hAnsiTheme="minorHAnsi"/>
          <w:sz w:val="24"/>
          <w:lang w:val="pl-PL"/>
        </w:rPr>
        <w:t>wskazywały</w:t>
      </w:r>
      <w:r w:rsidRPr="00B15C52">
        <w:rPr>
          <w:rFonts w:asciiTheme="minorHAnsi" w:hAnsiTheme="minorHAnsi"/>
          <w:sz w:val="24"/>
          <w:lang w:val="pl-PL"/>
        </w:rPr>
        <w:t xml:space="preserve">, że skarżący nie przestrzegali obowiązujących przepisów lub nie działali w dobrej wierze w czasie ich </w:t>
      </w:r>
      <w:r>
        <w:rPr>
          <w:rFonts w:asciiTheme="minorHAnsi" w:hAnsiTheme="minorHAnsi"/>
          <w:sz w:val="24"/>
          <w:lang w:val="pl-PL"/>
        </w:rPr>
        <w:t xml:space="preserve">zatrzymania </w:t>
      </w:r>
      <w:r w:rsidRPr="00B15C52">
        <w:rPr>
          <w:rFonts w:asciiTheme="minorHAnsi" w:hAnsiTheme="minorHAnsi"/>
          <w:sz w:val="24"/>
          <w:lang w:val="pl-PL"/>
        </w:rPr>
        <w:t xml:space="preserve">w strefie tranzytowej lub na jakimkolwiek etapie postępowania krajowego, np. komplikując rozpatrywanie ich spraw azylowych. </w:t>
      </w:r>
    </w:p>
    <w:p w14:paraId="28AD9D45" w14:textId="77777777" w:rsidR="00950534" w:rsidRDefault="00950534" w:rsidP="00950534">
      <w:pPr>
        <w:pStyle w:val="ClinContent"/>
        <w:widowControl w:val="0"/>
        <w:spacing w:before="0"/>
        <w:rPr>
          <w:rFonts w:asciiTheme="minorHAnsi" w:hAnsiTheme="minorHAnsi"/>
          <w:sz w:val="24"/>
          <w:lang w:val="pl-PL"/>
        </w:rPr>
      </w:pPr>
    </w:p>
    <w:p w14:paraId="27771EC9" w14:textId="16BB2AC9"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Chociaż skarżących pozostawiono w dużej mierze samym sobie w obszarze strefy tranzytowej, </w:t>
      </w:r>
      <w:r>
        <w:rPr>
          <w:rFonts w:asciiTheme="minorHAnsi" w:hAnsiTheme="minorHAnsi"/>
          <w:sz w:val="24"/>
          <w:lang w:val="pl-PL"/>
        </w:rPr>
        <w:t>Trybunał miał na uwadze, że powierzchnia terenu</w:t>
      </w:r>
      <w:r w:rsidRPr="00B15C52">
        <w:rPr>
          <w:rFonts w:asciiTheme="minorHAnsi" w:hAnsiTheme="minorHAnsi"/>
          <w:sz w:val="24"/>
          <w:lang w:val="pl-PL"/>
        </w:rPr>
        <w:t xml:space="preserve"> oraz sposób, w jaki był on</w:t>
      </w:r>
      <w:r w:rsidR="00227D65">
        <w:rPr>
          <w:rFonts w:asciiTheme="minorHAnsi" w:hAnsiTheme="minorHAnsi"/>
          <w:sz w:val="24"/>
          <w:lang w:val="pl-PL"/>
        </w:rPr>
        <w:t> </w:t>
      </w:r>
      <w:r w:rsidRPr="00B15C52">
        <w:rPr>
          <w:rFonts w:asciiTheme="minorHAnsi" w:hAnsiTheme="minorHAnsi"/>
          <w:sz w:val="24"/>
          <w:lang w:val="pl-PL"/>
        </w:rPr>
        <w:t>kontrolowany, sprawiały, że wolność poruszania się skarżących została ograniczona w</w:t>
      </w:r>
      <w:r w:rsidR="00227D65">
        <w:rPr>
          <w:rFonts w:asciiTheme="minorHAnsi" w:hAnsiTheme="minorHAnsi"/>
          <w:sz w:val="24"/>
          <w:lang w:val="pl-PL"/>
        </w:rPr>
        <w:t> </w:t>
      </w:r>
      <w:r w:rsidRPr="00B15C52">
        <w:rPr>
          <w:rFonts w:asciiTheme="minorHAnsi" w:hAnsiTheme="minorHAnsi"/>
          <w:sz w:val="24"/>
          <w:lang w:val="pl-PL"/>
        </w:rPr>
        <w:t xml:space="preserve">znaczącym stopniu, w sposób podobny do tego, jaki charakteryzuje niektóre ośrodki detencyjne o lekkim reżimie. </w:t>
      </w:r>
    </w:p>
    <w:p w14:paraId="1FE4C546" w14:textId="77777777" w:rsidR="00950534" w:rsidRDefault="00950534" w:rsidP="00950534">
      <w:pPr>
        <w:pStyle w:val="ClinContent"/>
        <w:widowControl w:val="0"/>
        <w:spacing w:before="0"/>
        <w:rPr>
          <w:rFonts w:asciiTheme="minorHAnsi" w:hAnsiTheme="minorHAnsi"/>
          <w:sz w:val="24"/>
          <w:lang w:val="pl-PL"/>
        </w:rPr>
      </w:pPr>
    </w:p>
    <w:p w14:paraId="2670CBC3" w14:textId="312F250D"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Opuszczenie strefy tranzytowej lotniska w kierunku innym niż terytorium Rosji wymagało planowania, kontaktu z liniami lotniczymi, zakupu biletów i być może, w zależności od kraju przeznaczenia, złożenia wniosku o wizę.</w:t>
      </w:r>
      <w:r>
        <w:rPr>
          <w:rFonts w:asciiTheme="minorHAnsi" w:hAnsiTheme="minorHAnsi"/>
          <w:sz w:val="24"/>
          <w:lang w:val="pl-PL"/>
        </w:rPr>
        <w:t xml:space="preserve"> Zdaniem Trybunału r</w:t>
      </w:r>
      <w:r w:rsidRPr="00B15C52">
        <w:rPr>
          <w:rFonts w:asciiTheme="minorHAnsi" w:hAnsiTheme="minorHAnsi"/>
          <w:sz w:val="24"/>
          <w:lang w:val="pl-PL"/>
        </w:rPr>
        <w:t xml:space="preserve">ząd </w:t>
      </w:r>
      <w:r>
        <w:rPr>
          <w:rFonts w:asciiTheme="minorHAnsi" w:hAnsiTheme="minorHAnsi"/>
          <w:sz w:val="24"/>
          <w:lang w:val="pl-PL"/>
        </w:rPr>
        <w:t xml:space="preserve">rosyjski </w:t>
      </w:r>
      <w:r w:rsidRPr="00B15C52">
        <w:rPr>
          <w:rFonts w:asciiTheme="minorHAnsi" w:hAnsiTheme="minorHAnsi"/>
          <w:sz w:val="24"/>
          <w:lang w:val="pl-PL"/>
        </w:rPr>
        <w:t xml:space="preserve">nie uzasadnił </w:t>
      </w:r>
      <w:r w:rsidRPr="00B15C52">
        <w:rPr>
          <w:rFonts w:asciiTheme="minorHAnsi" w:hAnsiTheme="minorHAnsi"/>
          <w:sz w:val="24"/>
          <w:lang w:val="pl-PL"/>
        </w:rPr>
        <w:lastRenderedPageBreak/>
        <w:t>swego twierdzenia, że pomimo tych przeszkód „skarżący mogli opuścić Rosję w każdym czasie i udać się, dokądkolwiek chcieli”. Należało przekonująco wykazać istnienie praktycznej i rzeczywistej możliwości opuszczenia przez skarżących strefy tranzytowej lotniska i</w:t>
      </w:r>
      <w:r w:rsidR="00227D65">
        <w:rPr>
          <w:rFonts w:asciiTheme="minorHAnsi" w:hAnsiTheme="minorHAnsi"/>
          <w:sz w:val="24"/>
          <w:lang w:val="pl-PL"/>
        </w:rPr>
        <w:t> </w:t>
      </w:r>
      <w:r w:rsidRPr="00B15C52">
        <w:rPr>
          <w:rFonts w:asciiTheme="minorHAnsi" w:hAnsiTheme="minorHAnsi"/>
          <w:sz w:val="24"/>
          <w:lang w:val="pl-PL"/>
        </w:rPr>
        <w:t xml:space="preserve">uczynienia tego bez bezpośredniego zagrożenia dla ich życia lub zdrowia, znanego władzom w danym czasie lub na które zwrócono ich uwagę. </w:t>
      </w:r>
    </w:p>
    <w:p w14:paraId="5045B1F2" w14:textId="77777777" w:rsidR="00950534" w:rsidRDefault="00950534" w:rsidP="00950534">
      <w:pPr>
        <w:pStyle w:val="ClinContent"/>
        <w:widowControl w:val="0"/>
        <w:spacing w:before="0"/>
        <w:rPr>
          <w:rFonts w:asciiTheme="minorHAnsi" w:hAnsiTheme="minorHAnsi"/>
          <w:sz w:val="24"/>
          <w:lang w:val="pl-PL"/>
        </w:rPr>
      </w:pPr>
    </w:p>
    <w:p w14:paraId="1CC878A8" w14:textId="29254EBA"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Mając na względzie różne czynniki – w szczególności brak jakichkolwiek uregulowań krajowych określających maksymalny czas pobytu skarżących</w:t>
      </w:r>
      <w:r>
        <w:rPr>
          <w:rFonts w:asciiTheme="minorHAnsi" w:hAnsiTheme="minorHAnsi"/>
          <w:sz w:val="24"/>
          <w:lang w:val="pl-PL"/>
        </w:rPr>
        <w:t xml:space="preserve"> w strefie tranzytowej lotniska</w:t>
      </w:r>
      <w:r w:rsidRPr="00B15C52">
        <w:rPr>
          <w:rFonts w:asciiTheme="minorHAnsi" w:hAnsiTheme="minorHAnsi"/>
          <w:sz w:val="24"/>
          <w:lang w:val="pl-PL"/>
        </w:rPr>
        <w:t xml:space="preserve">, w dużej mierze nielegalny charakter pobytu skarżących w </w:t>
      </w:r>
      <w:r>
        <w:rPr>
          <w:rFonts w:asciiTheme="minorHAnsi" w:hAnsiTheme="minorHAnsi"/>
          <w:sz w:val="24"/>
          <w:lang w:val="pl-PL"/>
        </w:rPr>
        <w:t>tym miejscu</w:t>
      </w:r>
      <w:r w:rsidRPr="00B15C52">
        <w:rPr>
          <w:rFonts w:asciiTheme="minorHAnsi" w:hAnsiTheme="minorHAnsi"/>
          <w:sz w:val="24"/>
          <w:lang w:val="pl-PL"/>
        </w:rPr>
        <w:t xml:space="preserve">, nadmierną długość tego pobytu </w:t>
      </w:r>
      <w:r>
        <w:rPr>
          <w:rFonts w:asciiTheme="minorHAnsi" w:hAnsiTheme="minorHAnsi"/>
          <w:sz w:val="24"/>
          <w:lang w:val="pl-PL"/>
        </w:rPr>
        <w:t xml:space="preserve">i </w:t>
      </w:r>
      <w:r w:rsidRPr="00B15C52">
        <w:rPr>
          <w:rFonts w:asciiTheme="minorHAnsi" w:hAnsiTheme="minorHAnsi"/>
          <w:sz w:val="24"/>
          <w:lang w:val="pl-PL"/>
        </w:rPr>
        <w:t xml:space="preserve">znaczące opóźnienia w krajowym rozpatrywaniu wniosków azylowych skarżących, </w:t>
      </w:r>
      <w:r>
        <w:rPr>
          <w:rFonts w:asciiTheme="minorHAnsi" w:hAnsiTheme="minorHAnsi"/>
          <w:sz w:val="24"/>
          <w:lang w:val="pl-PL"/>
        </w:rPr>
        <w:t xml:space="preserve">a także </w:t>
      </w:r>
      <w:r w:rsidRPr="00B15C52">
        <w:rPr>
          <w:rFonts w:asciiTheme="minorHAnsi" w:hAnsiTheme="minorHAnsi"/>
          <w:sz w:val="24"/>
          <w:lang w:val="pl-PL"/>
        </w:rPr>
        <w:t>charakter obszaru, w którym przetrzymywano skarżących, oraz</w:t>
      </w:r>
      <w:r>
        <w:rPr>
          <w:rFonts w:asciiTheme="minorHAnsi" w:hAnsiTheme="minorHAnsi"/>
          <w:sz w:val="24"/>
          <w:lang w:val="pl-PL"/>
        </w:rPr>
        <w:t xml:space="preserve"> </w:t>
      </w:r>
      <w:r w:rsidRPr="00B15C52">
        <w:rPr>
          <w:rFonts w:asciiTheme="minorHAnsi" w:hAnsiTheme="minorHAnsi"/>
          <w:sz w:val="24"/>
          <w:lang w:val="pl-PL"/>
        </w:rPr>
        <w:t xml:space="preserve">kontrolę, której podlegali przez ten czas, </w:t>
      </w:r>
      <w:r>
        <w:rPr>
          <w:rFonts w:asciiTheme="minorHAnsi" w:hAnsiTheme="minorHAnsi"/>
          <w:sz w:val="24"/>
          <w:lang w:val="pl-PL"/>
        </w:rPr>
        <w:t xml:space="preserve">jak również </w:t>
      </w:r>
      <w:r w:rsidRPr="00B15C52">
        <w:rPr>
          <w:rFonts w:asciiTheme="minorHAnsi" w:hAnsiTheme="minorHAnsi"/>
          <w:sz w:val="24"/>
          <w:lang w:val="pl-PL"/>
        </w:rPr>
        <w:t xml:space="preserve">fakt, że skarżący nie mieli w praktyce możliwości opuszczenia tej strefy, </w:t>
      </w:r>
      <w:r>
        <w:rPr>
          <w:rFonts w:asciiTheme="minorHAnsi" w:hAnsiTheme="minorHAnsi"/>
          <w:sz w:val="24"/>
          <w:lang w:val="pl-PL"/>
        </w:rPr>
        <w:t>Trybunał uznał</w:t>
      </w:r>
      <w:r w:rsidRPr="00B15C52">
        <w:rPr>
          <w:rFonts w:asciiTheme="minorHAnsi" w:hAnsiTheme="minorHAnsi"/>
          <w:sz w:val="24"/>
          <w:lang w:val="pl-PL"/>
        </w:rPr>
        <w:t>, że skarżących pozbawiono wolności w rozumieniu art.</w:t>
      </w:r>
      <w:r w:rsidR="00227D65">
        <w:rPr>
          <w:rFonts w:asciiTheme="minorHAnsi" w:hAnsiTheme="minorHAnsi"/>
          <w:sz w:val="24"/>
          <w:lang w:val="pl-PL"/>
        </w:rPr>
        <w:t> </w:t>
      </w:r>
      <w:r w:rsidRPr="00B15C52">
        <w:rPr>
          <w:rFonts w:asciiTheme="minorHAnsi" w:hAnsiTheme="minorHAnsi"/>
          <w:sz w:val="24"/>
          <w:lang w:val="pl-PL"/>
        </w:rPr>
        <w:t xml:space="preserve">5 Konwencji. </w:t>
      </w:r>
    </w:p>
    <w:p w14:paraId="51C977D5" w14:textId="77777777" w:rsidR="00950534" w:rsidRDefault="00950534" w:rsidP="00950534">
      <w:pPr>
        <w:pStyle w:val="ClinContent"/>
        <w:widowControl w:val="0"/>
        <w:spacing w:before="0"/>
        <w:rPr>
          <w:rFonts w:asciiTheme="minorHAnsi" w:hAnsiTheme="minorHAnsi"/>
          <w:sz w:val="24"/>
          <w:lang w:val="pl-PL"/>
        </w:rPr>
      </w:pPr>
    </w:p>
    <w:p w14:paraId="39070610"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Orzekł zatem, że a</w:t>
      </w:r>
      <w:r w:rsidRPr="00B15C52">
        <w:rPr>
          <w:rFonts w:asciiTheme="minorHAnsi" w:hAnsiTheme="minorHAnsi"/>
          <w:sz w:val="24"/>
          <w:lang w:val="pl-PL"/>
        </w:rPr>
        <w:t xml:space="preserve">rt. 5 ust. 1 </w:t>
      </w:r>
      <w:r>
        <w:rPr>
          <w:rFonts w:asciiTheme="minorHAnsi" w:hAnsiTheme="minorHAnsi"/>
          <w:sz w:val="24"/>
          <w:lang w:val="pl-PL"/>
        </w:rPr>
        <w:t xml:space="preserve">Konwencji </w:t>
      </w:r>
      <w:r w:rsidRPr="00B15C52">
        <w:rPr>
          <w:rFonts w:asciiTheme="minorHAnsi" w:hAnsiTheme="minorHAnsi"/>
          <w:sz w:val="24"/>
          <w:lang w:val="pl-PL"/>
        </w:rPr>
        <w:t>miał zastosowanie</w:t>
      </w:r>
      <w:r>
        <w:rPr>
          <w:rFonts w:asciiTheme="minorHAnsi" w:hAnsiTheme="minorHAnsi"/>
          <w:sz w:val="24"/>
          <w:lang w:val="pl-PL"/>
        </w:rPr>
        <w:t xml:space="preserve"> w tej sprawie</w:t>
      </w:r>
      <w:r w:rsidRPr="00B15C52">
        <w:rPr>
          <w:rFonts w:asciiTheme="minorHAnsi" w:hAnsiTheme="minorHAnsi"/>
          <w:sz w:val="24"/>
          <w:lang w:val="pl-PL"/>
        </w:rPr>
        <w:t>.</w:t>
      </w:r>
    </w:p>
    <w:p w14:paraId="5D806BED" w14:textId="77777777" w:rsidR="00950534" w:rsidRDefault="00950534" w:rsidP="00950534">
      <w:pPr>
        <w:pStyle w:val="ClinContent"/>
        <w:widowControl w:val="0"/>
        <w:spacing w:before="0"/>
        <w:rPr>
          <w:rFonts w:asciiTheme="minorHAnsi" w:hAnsiTheme="minorHAnsi"/>
          <w:sz w:val="24"/>
          <w:lang w:val="pl-PL"/>
        </w:rPr>
      </w:pPr>
    </w:p>
    <w:p w14:paraId="22B95451" w14:textId="0DF08FD2"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Rozpatrując </w:t>
      </w:r>
      <w:r w:rsidRPr="00027762">
        <w:rPr>
          <w:rFonts w:asciiTheme="minorHAnsi" w:hAnsiTheme="minorHAnsi"/>
          <w:i/>
          <w:sz w:val="24"/>
          <w:u w:val="single"/>
          <w:lang w:val="pl-PL"/>
        </w:rPr>
        <w:t>przedmiot skargi</w:t>
      </w:r>
      <w:r>
        <w:rPr>
          <w:rFonts w:asciiTheme="minorHAnsi" w:hAnsiTheme="minorHAnsi"/>
          <w:i/>
          <w:sz w:val="24"/>
          <w:u w:val="single"/>
          <w:lang w:val="pl-PL"/>
        </w:rPr>
        <w:t>,</w:t>
      </w:r>
      <w:r w:rsidRPr="00027762">
        <w:rPr>
          <w:rFonts w:asciiTheme="minorHAnsi" w:hAnsiTheme="minorHAnsi"/>
          <w:i/>
          <w:sz w:val="24"/>
          <w:lang w:val="pl-PL"/>
        </w:rPr>
        <w:t xml:space="preserve"> </w:t>
      </w:r>
      <w:r w:rsidRPr="00B15C52">
        <w:rPr>
          <w:rFonts w:asciiTheme="minorHAnsi" w:hAnsiTheme="minorHAnsi"/>
          <w:sz w:val="24"/>
          <w:lang w:val="pl-PL"/>
        </w:rPr>
        <w:t xml:space="preserve">Trybunał </w:t>
      </w:r>
      <w:r>
        <w:rPr>
          <w:rFonts w:asciiTheme="minorHAnsi" w:hAnsiTheme="minorHAnsi"/>
          <w:sz w:val="24"/>
          <w:lang w:val="pl-PL"/>
        </w:rPr>
        <w:t xml:space="preserve">podkreślił, że jest </w:t>
      </w:r>
      <w:r w:rsidRPr="00B15C52">
        <w:rPr>
          <w:rFonts w:asciiTheme="minorHAnsi" w:hAnsiTheme="minorHAnsi"/>
          <w:sz w:val="24"/>
          <w:lang w:val="pl-PL"/>
        </w:rPr>
        <w:t>w pełni świadom trudności, z</w:t>
      </w:r>
      <w:r w:rsidR="00227D65">
        <w:rPr>
          <w:rFonts w:asciiTheme="minorHAnsi" w:hAnsiTheme="minorHAnsi"/>
          <w:sz w:val="24"/>
          <w:lang w:val="pl-PL"/>
        </w:rPr>
        <w:t> </w:t>
      </w:r>
      <w:r w:rsidRPr="00B15C52">
        <w:rPr>
          <w:rFonts w:asciiTheme="minorHAnsi" w:hAnsiTheme="minorHAnsi"/>
          <w:sz w:val="24"/>
          <w:lang w:val="pl-PL"/>
        </w:rPr>
        <w:t xml:space="preserve">jakimi mogą się mierzyć państwa członkowskie w przypadku przybycia na ich granice dużej liczby osób ubiegających się o azyl. </w:t>
      </w:r>
    </w:p>
    <w:p w14:paraId="3AE46C83" w14:textId="77777777" w:rsidR="00950534" w:rsidRDefault="00950534" w:rsidP="00950534">
      <w:pPr>
        <w:pStyle w:val="ClinContent"/>
        <w:widowControl w:val="0"/>
        <w:spacing w:before="0"/>
        <w:rPr>
          <w:rFonts w:asciiTheme="minorHAnsi" w:hAnsiTheme="minorHAnsi"/>
          <w:sz w:val="24"/>
          <w:lang w:val="pl-PL"/>
        </w:rPr>
      </w:pPr>
    </w:p>
    <w:p w14:paraId="6823A332"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Z zastrzeżeniem zakazu arbitralności wymóg legalności wynikający z </w:t>
      </w:r>
      <w:r>
        <w:rPr>
          <w:rFonts w:asciiTheme="minorHAnsi" w:hAnsiTheme="minorHAnsi"/>
          <w:sz w:val="24"/>
          <w:lang w:val="pl-PL"/>
        </w:rPr>
        <w:t xml:space="preserve">art. 5 ust. 1 Konwencji </w:t>
      </w:r>
      <w:r w:rsidRPr="00B15C52">
        <w:rPr>
          <w:rFonts w:asciiTheme="minorHAnsi" w:hAnsiTheme="minorHAnsi"/>
          <w:sz w:val="24"/>
          <w:lang w:val="pl-PL"/>
        </w:rPr>
        <w:t xml:space="preserve">można uznać za generalnie spełniony przez krajowy </w:t>
      </w:r>
      <w:r>
        <w:rPr>
          <w:rFonts w:asciiTheme="minorHAnsi" w:hAnsiTheme="minorHAnsi"/>
          <w:sz w:val="24"/>
          <w:lang w:val="pl-PL"/>
        </w:rPr>
        <w:t xml:space="preserve">system </w:t>
      </w:r>
      <w:r w:rsidRPr="00B15C52">
        <w:rPr>
          <w:rFonts w:asciiTheme="minorHAnsi" w:hAnsiTheme="minorHAnsi"/>
          <w:sz w:val="24"/>
          <w:lang w:val="pl-PL"/>
        </w:rPr>
        <w:t>prawny, który na przykład przewiduje jedynie nazwę organu właściwego do zarządzenia pozbawienia wolności w strefie tranzytowej, formę tego zarządzenia, jego możliwe podstawy i granice oraz jego maksymalny czas trwania, a także</w:t>
      </w:r>
      <w:r>
        <w:rPr>
          <w:rFonts w:asciiTheme="minorHAnsi" w:hAnsiTheme="minorHAnsi"/>
          <w:sz w:val="24"/>
          <w:lang w:val="pl-PL"/>
        </w:rPr>
        <w:t xml:space="preserve"> wskazuje</w:t>
      </w:r>
      <w:r w:rsidRPr="00B15C52">
        <w:rPr>
          <w:rFonts w:asciiTheme="minorHAnsi" w:hAnsiTheme="minorHAnsi"/>
          <w:sz w:val="24"/>
          <w:lang w:val="pl-PL"/>
        </w:rPr>
        <w:t>, zgodnie z wymogiem art. 5 ust. 4</w:t>
      </w:r>
      <w:r>
        <w:rPr>
          <w:rFonts w:asciiTheme="minorHAnsi" w:hAnsiTheme="minorHAnsi"/>
          <w:sz w:val="24"/>
          <w:lang w:val="pl-PL"/>
        </w:rPr>
        <w:t xml:space="preserve"> Konwencji</w:t>
      </w:r>
      <w:r w:rsidRPr="00B15C52">
        <w:rPr>
          <w:rFonts w:asciiTheme="minorHAnsi" w:hAnsiTheme="minorHAnsi"/>
          <w:sz w:val="24"/>
          <w:lang w:val="pl-PL"/>
        </w:rPr>
        <w:t xml:space="preserve">, mającą zastosowanie sądową drogę odwoławczą. </w:t>
      </w:r>
    </w:p>
    <w:p w14:paraId="3A38AB8D" w14:textId="77777777" w:rsidR="00950534" w:rsidRDefault="00950534" w:rsidP="00950534">
      <w:pPr>
        <w:pStyle w:val="ClinContent"/>
        <w:widowControl w:val="0"/>
        <w:spacing w:before="0"/>
        <w:rPr>
          <w:rFonts w:asciiTheme="minorHAnsi" w:hAnsiTheme="minorHAnsi"/>
          <w:sz w:val="24"/>
          <w:lang w:val="pl-PL"/>
        </w:rPr>
      </w:pPr>
    </w:p>
    <w:p w14:paraId="2B1A19C3" w14:textId="202A7CF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podkreślił p</w:t>
      </w:r>
      <w:r w:rsidRPr="00B15C52">
        <w:rPr>
          <w:rFonts w:asciiTheme="minorHAnsi" w:hAnsiTheme="minorHAnsi"/>
          <w:sz w:val="24"/>
          <w:lang w:val="pl-PL"/>
        </w:rPr>
        <w:t>onadto</w:t>
      </w:r>
      <w:r>
        <w:rPr>
          <w:rFonts w:asciiTheme="minorHAnsi" w:hAnsiTheme="minorHAnsi"/>
          <w:sz w:val="24"/>
          <w:lang w:val="pl-PL"/>
        </w:rPr>
        <w:t>, że</w:t>
      </w:r>
      <w:r w:rsidRPr="00B15C52">
        <w:rPr>
          <w:rFonts w:asciiTheme="minorHAnsi" w:hAnsiTheme="minorHAnsi"/>
          <w:sz w:val="24"/>
          <w:lang w:val="pl-PL"/>
        </w:rPr>
        <w:t xml:space="preserve"> art. 5 ust. 1 lit. f </w:t>
      </w:r>
      <w:r>
        <w:rPr>
          <w:rFonts w:asciiTheme="minorHAnsi" w:hAnsiTheme="minorHAnsi"/>
          <w:sz w:val="24"/>
          <w:lang w:val="pl-PL"/>
        </w:rPr>
        <w:t xml:space="preserve">Konwencji </w:t>
      </w:r>
      <w:r w:rsidRPr="00B15C52">
        <w:rPr>
          <w:rFonts w:asciiTheme="minorHAnsi" w:hAnsiTheme="minorHAnsi"/>
          <w:sz w:val="24"/>
          <w:lang w:val="pl-PL"/>
        </w:rPr>
        <w:t>nie stoi na przeszkodzie uchwaleniu przez państwa przepisów prawa krajowego formułujących podstawy do</w:t>
      </w:r>
      <w:r w:rsidR="00227D65">
        <w:rPr>
          <w:rFonts w:asciiTheme="minorHAnsi" w:hAnsiTheme="minorHAnsi"/>
          <w:sz w:val="24"/>
          <w:lang w:val="pl-PL"/>
        </w:rPr>
        <w:t> </w:t>
      </w:r>
      <w:r w:rsidRPr="00B15C52">
        <w:rPr>
          <w:rFonts w:asciiTheme="minorHAnsi" w:hAnsiTheme="minorHAnsi"/>
          <w:sz w:val="24"/>
          <w:lang w:val="pl-PL"/>
        </w:rPr>
        <w:t>zarządzenia takiego pozbawienia wolności z uwzględnieniem praktycznych realiów masowego napływu osób ubiegających się o azyl. W szczególności art. 5 ust. 1 lit. f nie</w:t>
      </w:r>
      <w:r w:rsidR="00227D65">
        <w:rPr>
          <w:rFonts w:asciiTheme="minorHAnsi" w:hAnsiTheme="minorHAnsi"/>
          <w:sz w:val="24"/>
          <w:lang w:val="pl-PL"/>
        </w:rPr>
        <w:t> </w:t>
      </w:r>
      <w:r w:rsidRPr="00B15C52">
        <w:rPr>
          <w:rFonts w:asciiTheme="minorHAnsi" w:hAnsiTheme="minorHAnsi"/>
          <w:sz w:val="24"/>
          <w:lang w:val="pl-PL"/>
        </w:rPr>
        <w:t>zakazuje pozbawienia wolności w strefie tranzytowej przez ograniczony czas na tej podstawie, że takie pozbawienie wolności jest ogólnie konieczne do zapewnienia obecności osoby ubiegającej się o azyl w czasie rozpatrywania jej wniosków azylowych, lub ponadto na</w:t>
      </w:r>
      <w:r w:rsidR="00227D65">
        <w:rPr>
          <w:rFonts w:asciiTheme="minorHAnsi" w:hAnsiTheme="minorHAnsi"/>
          <w:sz w:val="24"/>
          <w:lang w:val="pl-PL"/>
        </w:rPr>
        <w:t> </w:t>
      </w:r>
      <w:r w:rsidRPr="00B15C52">
        <w:rPr>
          <w:rFonts w:asciiTheme="minorHAnsi" w:hAnsiTheme="minorHAnsi"/>
          <w:sz w:val="24"/>
          <w:lang w:val="pl-PL"/>
        </w:rPr>
        <w:t xml:space="preserve">tej podstawie, że istnieje potrzeba szybkiego zbadania dopuszczalności wniosków azylowych, i ustanowienia w tym celu struktury oraz dostosowanej procedury w strefie tranzytowej. </w:t>
      </w:r>
    </w:p>
    <w:p w14:paraId="235B2A01" w14:textId="77777777" w:rsidR="00950534" w:rsidRDefault="00950534" w:rsidP="00950534">
      <w:pPr>
        <w:pStyle w:val="ClinContent"/>
        <w:widowControl w:val="0"/>
        <w:spacing w:before="0"/>
        <w:rPr>
          <w:rFonts w:asciiTheme="minorHAnsi" w:hAnsiTheme="minorHAnsi"/>
          <w:sz w:val="24"/>
          <w:lang w:val="pl-PL"/>
        </w:rPr>
      </w:pPr>
    </w:p>
    <w:p w14:paraId="7B672BD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zauważył jednak, że w</w:t>
      </w:r>
      <w:r w:rsidRPr="00B15C52">
        <w:rPr>
          <w:rFonts w:asciiTheme="minorHAnsi" w:hAnsiTheme="minorHAnsi"/>
          <w:sz w:val="24"/>
          <w:lang w:val="pl-PL"/>
        </w:rPr>
        <w:t xml:space="preserve"> prawie rosyjskim nie było ściśle określonej podstawy ustawowej mogącej </w:t>
      </w:r>
      <w:r>
        <w:rPr>
          <w:rFonts w:asciiTheme="minorHAnsi" w:hAnsiTheme="minorHAnsi"/>
          <w:sz w:val="24"/>
          <w:lang w:val="pl-PL"/>
        </w:rPr>
        <w:t>uzasadniać pozbawienie</w:t>
      </w:r>
      <w:r w:rsidRPr="00B15C52">
        <w:rPr>
          <w:rFonts w:asciiTheme="minorHAnsi" w:hAnsiTheme="minorHAnsi"/>
          <w:sz w:val="24"/>
          <w:lang w:val="pl-PL"/>
        </w:rPr>
        <w:t xml:space="preserve"> wolności skarżących. Samo to byłoby wystarczające do stwierdzenia naruszenia art. 5 ust. 1</w:t>
      </w:r>
      <w:r>
        <w:rPr>
          <w:rFonts w:asciiTheme="minorHAnsi" w:hAnsiTheme="minorHAnsi"/>
          <w:sz w:val="24"/>
          <w:lang w:val="pl-PL"/>
        </w:rPr>
        <w:t xml:space="preserve"> Konwencji</w:t>
      </w:r>
      <w:r w:rsidRPr="00B15C52">
        <w:rPr>
          <w:rFonts w:asciiTheme="minorHAnsi" w:hAnsiTheme="minorHAnsi"/>
          <w:sz w:val="24"/>
          <w:lang w:val="pl-PL"/>
        </w:rPr>
        <w:t xml:space="preserve">. W sprawie skarżących zachodziły jednak dodatkowe czynniki pogarszające ich sytuację. </w:t>
      </w:r>
    </w:p>
    <w:p w14:paraId="400AFD1A" w14:textId="77777777" w:rsidR="00950534" w:rsidRDefault="00950534" w:rsidP="00950534">
      <w:pPr>
        <w:pStyle w:val="ClinContent"/>
        <w:widowControl w:val="0"/>
        <w:spacing w:before="0"/>
        <w:rPr>
          <w:rFonts w:asciiTheme="minorHAnsi" w:hAnsiTheme="minorHAnsi"/>
          <w:sz w:val="24"/>
          <w:lang w:val="pl-PL"/>
        </w:rPr>
      </w:pPr>
    </w:p>
    <w:p w14:paraId="009CA84A"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Dostęp skarżących do procedury azylowej został znacząco utrudniony na skutek pozbawienia ich wolności, gdyż w strefie tranzytowej nie było dostępnej informacji na temat procedur azylowych w Rosji, a ich dostęp do pomocy prawnej został poważnie ograniczony. </w:t>
      </w:r>
    </w:p>
    <w:p w14:paraId="14F0CA32" w14:textId="77777777" w:rsidR="00950534" w:rsidRDefault="00950534" w:rsidP="00950534">
      <w:pPr>
        <w:pStyle w:val="ClinContent"/>
        <w:widowControl w:val="0"/>
        <w:spacing w:before="0"/>
        <w:rPr>
          <w:rFonts w:asciiTheme="minorHAnsi" w:hAnsiTheme="minorHAnsi"/>
          <w:sz w:val="24"/>
          <w:lang w:val="pl-PL"/>
        </w:rPr>
      </w:pPr>
    </w:p>
    <w:p w14:paraId="74899330"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lastRenderedPageBreak/>
        <w:t>Skarżący doświadczyli znaczących opóźnień przy próbach złożenia i zarejestrowania swych wniosków azylowych, a pomimo ich próśb składanych na piśmie nie wydano im zaświadczeń o rozpatrywaniu wniosku, czego wymagało prawo krajowe.</w:t>
      </w:r>
      <w:r>
        <w:rPr>
          <w:rFonts w:asciiTheme="minorHAnsi" w:hAnsiTheme="minorHAnsi"/>
          <w:sz w:val="24"/>
          <w:lang w:val="pl-PL"/>
        </w:rPr>
        <w:t xml:space="preserve"> </w:t>
      </w:r>
    </w:p>
    <w:p w14:paraId="5CE09887" w14:textId="77777777" w:rsidR="00950534" w:rsidRDefault="00950534" w:rsidP="00950534">
      <w:pPr>
        <w:pStyle w:val="ClinContent"/>
        <w:widowControl w:val="0"/>
        <w:spacing w:before="0"/>
        <w:rPr>
          <w:rFonts w:asciiTheme="minorHAnsi" w:hAnsiTheme="minorHAnsi"/>
          <w:sz w:val="24"/>
          <w:lang w:val="pl-PL"/>
        </w:rPr>
      </w:pPr>
    </w:p>
    <w:p w14:paraId="2F484D7C"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Dochodziło do zwłoki w informowaniu skarżących o niektórych decyzjach podjętych przez rosyjskie organy administracyjne i sądowe. </w:t>
      </w:r>
    </w:p>
    <w:p w14:paraId="03D14ABE" w14:textId="77777777" w:rsidR="00950534" w:rsidRDefault="00950534" w:rsidP="00950534">
      <w:pPr>
        <w:pStyle w:val="ClinContent"/>
        <w:widowControl w:val="0"/>
        <w:spacing w:before="0"/>
        <w:rPr>
          <w:rFonts w:asciiTheme="minorHAnsi" w:hAnsiTheme="minorHAnsi"/>
          <w:sz w:val="24"/>
          <w:lang w:val="pl-PL"/>
        </w:rPr>
      </w:pPr>
    </w:p>
    <w:p w14:paraId="0F2D1373"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Ponadto skarżący zostali </w:t>
      </w:r>
      <w:r>
        <w:rPr>
          <w:rFonts w:asciiTheme="minorHAnsi" w:hAnsiTheme="minorHAnsi"/>
          <w:sz w:val="24"/>
          <w:lang w:val="pl-PL"/>
        </w:rPr>
        <w:t>zatrzymani</w:t>
      </w:r>
      <w:r w:rsidRPr="00B15C52">
        <w:rPr>
          <w:rFonts w:asciiTheme="minorHAnsi" w:hAnsiTheme="minorHAnsi"/>
          <w:sz w:val="24"/>
          <w:lang w:val="pl-PL"/>
        </w:rPr>
        <w:t xml:space="preserve"> w miejscu, które w sposób oczywisty było nieodpowiednie do dłuższego pobytu. </w:t>
      </w:r>
    </w:p>
    <w:p w14:paraId="4F4FCDA3" w14:textId="77777777" w:rsidR="00950534" w:rsidRDefault="00950534" w:rsidP="00950534">
      <w:pPr>
        <w:pStyle w:val="ClinContent"/>
        <w:widowControl w:val="0"/>
        <w:spacing w:before="0"/>
        <w:rPr>
          <w:rFonts w:asciiTheme="minorHAnsi" w:hAnsiTheme="minorHAnsi"/>
          <w:sz w:val="24"/>
          <w:lang w:val="pl-PL"/>
        </w:rPr>
      </w:pPr>
    </w:p>
    <w:p w14:paraId="4390BC28" w14:textId="60188BCC"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Wreszcie</w:t>
      </w:r>
      <w:r w:rsidRPr="00B15C52">
        <w:rPr>
          <w:rFonts w:asciiTheme="minorHAnsi" w:hAnsiTheme="minorHAnsi"/>
          <w:sz w:val="24"/>
          <w:lang w:val="pl-PL"/>
        </w:rPr>
        <w:t xml:space="preserve"> długość p</w:t>
      </w:r>
      <w:r>
        <w:rPr>
          <w:rFonts w:asciiTheme="minorHAnsi" w:hAnsiTheme="minorHAnsi"/>
          <w:sz w:val="24"/>
          <w:lang w:val="pl-PL"/>
        </w:rPr>
        <w:t>rzebywania</w:t>
      </w:r>
      <w:r w:rsidRPr="00B15C52">
        <w:rPr>
          <w:rFonts w:asciiTheme="minorHAnsi" w:hAnsiTheme="minorHAnsi"/>
          <w:sz w:val="24"/>
          <w:lang w:val="pl-PL"/>
        </w:rPr>
        <w:t xml:space="preserve"> każdego ze skarżących w strefie tranzytowej lotniska, wynosząca od pięciu miesięcy do ponad roku i dziewięciu miesięcy, była znaczna i</w:t>
      </w:r>
      <w:r w:rsidR="00227D65">
        <w:rPr>
          <w:rFonts w:asciiTheme="minorHAnsi" w:hAnsiTheme="minorHAnsi"/>
          <w:sz w:val="24"/>
          <w:lang w:val="pl-PL"/>
        </w:rPr>
        <w:t> </w:t>
      </w:r>
      <w:r>
        <w:rPr>
          <w:rFonts w:asciiTheme="minorHAnsi" w:hAnsiTheme="minorHAnsi"/>
          <w:sz w:val="24"/>
          <w:lang w:val="pl-PL"/>
        </w:rPr>
        <w:t>ewidentnie</w:t>
      </w:r>
      <w:r w:rsidRPr="00B15C52">
        <w:rPr>
          <w:rFonts w:asciiTheme="minorHAnsi" w:hAnsiTheme="minorHAnsi"/>
          <w:sz w:val="24"/>
          <w:lang w:val="pl-PL"/>
        </w:rPr>
        <w:t xml:space="preserve"> nadmierna z punktu widzenia charakteru i celu przedmiotowej procedury. </w:t>
      </w:r>
    </w:p>
    <w:p w14:paraId="228F317C" w14:textId="77777777" w:rsidR="00950534" w:rsidRDefault="00950534" w:rsidP="00950534">
      <w:pPr>
        <w:pStyle w:val="ClinContent"/>
        <w:widowControl w:val="0"/>
        <w:spacing w:before="0"/>
        <w:rPr>
          <w:rFonts w:asciiTheme="minorHAnsi" w:hAnsiTheme="minorHAnsi"/>
          <w:sz w:val="24"/>
          <w:lang w:val="pl-PL"/>
        </w:rPr>
      </w:pPr>
    </w:p>
    <w:p w14:paraId="6A6A2B8D"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 powyższych względów Trybunał uznał, że p</w:t>
      </w:r>
      <w:r w:rsidRPr="00B15C52">
        <w:rPr>
          <w:rFonts w:asciiTheme="minorHAnsi" w:hAnsiTheme="minorHAnsi"/>
          <w:sz w:val="24"/>
          <w:lang w:val="pl-PL"/>
        </w:rPr>
        <w:t>ozbawienie wolności skarżących na potrzeby pierwszego aspektu art. 5 ust. 1 lit. f nie spełniało standardów Konwencji.</w:t>
      </w:r>
    </w:p>
    <w:p w14:paraId="0615A155" w14:textId="77777777" w:rsidR="00950534" w:rsidRDefault="00950534" w:rsidP="00950534">
      <w:pPr>
        <w:pStyle w:val="ClinContent"/>
        <w:widowControl w:val="0"/>
        <w:spacing w:before="0"/>
        <w:rPr>
          <w:rFonts w:asciiTheme="minorHAnsi" w:hAnsiTheme="minorHAnsi"/>
          <w:sz w:val="24"/>
          <w:lang w:val="pl-PL"/>
        </w:rPr>
      </w:pPr>
    </w:p>
    <w:p w14:paraId="06DAFCF2"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W tej sytuacji Trybunał jednogłośnie orzekł, że doszło do </w:t>
      </w:r>
      <w:r w:rsidRPr="00B15C52">
        <w:rPr>
          <w:rFonts w:asciiTheme="minorHAnsi" w:hAnsiTheme="minorHAnsi"/>
          <w:sz w:val="24"/>
          <w:lang w:val="pl-PL"/>
        </w:rPr>
        <w:t xml:space="preserve">naruszenie </w:t>
      </w:r>
      <w:r>
        <w:rPr>
          <w:rFonts w:asciiTheme="minorHAnsi" w:hAnsiTheme="minorHAnsi"/>
          <w:sz w:val="24"/>
          <w:lang w:val="pl-PL"/>
        </w:rPr>
        <w:t xml:space="preserve">art. 5 ust. 1 Konwencji. </w:t>
      </w:r>
    </w:p>
    <w:p w14:paraId="1A2672D5" w14:textId="77777777" w:rsidR="00950534" w:rsidRDefault="00950534" w:rsidP="00950534">
      <w:pPr>
        <w:pStyle w:val="ClinContent"/>
        <w:widowControl w:val="0"/>
        <w:spacing w:before="0"/>
        <w:rPr>
          <w:rFonts w:asciiTheme="minorHAnsi" w:hAnsiTheme="minorHAnsi"/>
          <w:sz w:val="24"/>
          <w:lang w:val="pl-PL"/>
        </w:rPr>
      </w:pPr>
    </w:p>
    <w:p w14:paraId="50102195" w14:textId="33F96FB9" w:rsidR="00950534" w:rsidRPr="008036A3" w:rsidRDefault="00950534" w:rsidP="00950534">
      <w:pPr>
        <w:pStyle w:val="ClinContent"/>
        <w:widowControl w:val="0"/>
        <w:spacing w:before="0"/>
        <w:rPr>
          <w:rFonts w:asciiTheme="minorHAnsi" w:hAnsiTheme="minorHAnsi"/>
          <w:i/>
          <w:sz w:val="24"/>
          <w:u w:val="single"/>
          <w:lang w:val="pl-PL"/>
        </w:rPr>
      </w:pPr>
      <w:r>
        <w:rPr>
          <w:rFonts w:asciiTheme="minorHAnsi" w:hAnsiTheme="minorHAnsi"/>
          <w:sz w:val="24"/>
          <w:lang w:val="pl-PL"/>
        </w:rPr>
        <w:t xml:space="preserve">II. Drugi zarzut, jaki zbadał Trybunał, dotyczył kwestii, </w:t>
      </w:r>
      <w:r w:rsidRPr="008036A3">
        <w:rPr>
          <w:rFonts w:asciiTheme="minorHAnsi" w:hAnsiTheme="minorHAnsi"/>
          <w:i/>
          <w:sz w:val="24"/>
          <w:u w:val="single"/>
          <w:lang w:val="pl-PL"/>
        </w:rPr>
        <w:t>czy warunki pozbawienia wolności skarżących w strefie tranzytowej lotniska stanowiły poniżające traktowanie w rozumieniu art.</w:t>
      </w:r>
      <w:r w:rsidR="00227D65">
        <w:rPr>
          <w:rFonts w:asciiTheme="minorHAnsi" w:hAnsiTheme="minorHAnsi"/>
          <w:i/>
          <w:sz w:val="24"/>
          <w:u w:val="single"/>
          <w:lang w:val="pl-PL"/>
        </w:rPr>
        <w:t> </w:t>
      </w:r>
      <w:r w:rsidRPr="008036A3">
        <w:rPr>
          <w:rFonts w:asciiTheme="minorHAnsi" w:hAnsiTheme="minorHAnsi"/>
          <w:i/>
          <w:sz w:val="24"/>
          <w:u w:val="single"/>
          <w:lang w:val="pl-PL"/>
        </w:rPr>
        <w:t xml:space="preserve">3 Konwencji. </w:t>
      </w:r>
    </w:p>
    <w:p w14:paraId="15E5208E" w14:textId="77777777" w:rsidR="00950534" w:rsidRDefault="00950534" w:rsidP="00950534">
      <w:pPr>
        <w:pStyle w:val="ClinContent"/>
        <w:widowControl w:val="0"/>
        <w:spacing w:before="0"/>
        <w:rPr>
          <w:rFonts w:asciiTheme="minorHAnsi" w:hAnsiTheme="minorHAnsi"/>
          <w:sz w:val="24"/>
          <w:lang w:val="pl-PL"/>
        </w:rPr>
      </w:pPr>
    </w:p>
    <w:p w14:paraId="121EAFBF"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Na podstawie dostępnego materiału Trybunał mógł jasno dostrzec, że warunki </w:t>
      </w:r>
      <w:r>
        <w:rPr>
          <w:rFonts w:asciiTheme="minorHAnsi" w:hAnsiTheme="minorHAnsi"/>
          <w:sz w:val="24"/>
          <w:lang w:val="pl-PL"/>
        </w:rPr>
        <w:t xml:space="preserve">przebywania </w:t>
      </w:r>
      <w:r w:rsidRPr="00B15C52">
        <w:rPr>
          <w:rFonts w:asciiTheme="minorHAnsi" w:hAnsiTheme="minorHAnsi"/>
          <w:sz w:val="24"/>
          <w:lang w:val="pl-PL"/>
        </w:rPr>
        <w:t>skarżących w strefie tranzytowej lotniska były nieodpowiednie do wymuszonego pobytu</w:t>
      </w:r>
      <w:r w:rsidRPr="00772F52">
        <w:rPr>
          <w:rFonts w:asciiTheme="minorHAnsi" w:hAnsiTheme="minorHAnsi"/>
          <w:sz w:val="24"/>
          <w:lang w:val="pl-PL"/>
        </w:rPr>
        <w:t xml:space="preserve"> </w:t>
      </w:r>
      <w:r w:rsidRPr="00B15C52">
        <w:rPr>
          <w:rFonts w:asciiTheme="minorHAnsi" w:hAnsiTheme="minorHAnsi"/>
          <w:sz w:val="24"/>
          <w:lang w:val="pl-PL"/>
        </w:rPr>
        <w:t>długoterminowego. W jego opinii minimalnych standardów poszanowania ludzkiej godności nie spełnia sytuacja, w której osoba przez szereg miesięcy bez przerwy nie tylko musi spać na podłodze w stale oświetlonej, zatłoczonej i hałaśliwej strefie tranzytowej lotniska z utrudnionym dostępem do prysznica i urządzeń do gotowania i bez możliwości aktywności na świeżym powietrzu, ale nie ma także dostępu do opieki lekarskiej i społecznej.</w:t>
      </w:r>
    </w:p>
    <w:p w14:paraId="3E48E2CA" w14:textId="77777777" w:rsidR="00950534" w:rsidRDefault="00950534" w:rsidP="00950534">
      <w:pPr>
        <w:pStyle w:val="ClinContent"/>
        <w:widowControl w:val="0"/>
        <w:spacing w:before="0"/>
        <w:rPr>
          <w:rFonts w:asciiTheme="minorHAnsi" w:hAnsiTheme="minorHAnsi"/>
          <w:sz w:val="24"/>
          <w:lang w:val="pl-PL"/>
        </w:rPr>
      </w:pPr>
    </w:p>
    <w:p w14:paraId="0D314643" w14:textId="2045C2AF"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Sytuację pogarszał fakt, że skarżących pozostawiono samym sobie w strefie tranzytowej z</w:t>
      </w:r>
      <w:r w:rsidR="00227D65">
        <w:rPr>
          <w:rFonts w:asciiTheme="minorHAnsi" w:hAnsiTheme="minorHAnsi"/>
          <w:sz w:val="24"/>
          <w:lang w:val="pl-PL"/>
        </w:rPr>
        <w:t> </w:t>
      </w:r>
      <w:r w:rsidRPr="00B15C52">
        <w:rPr>
          <w:rFonts w:asciiTheme="minorHAnsi" w:hAnsiTheme="minorHAnsi"/>
          <w:sz w:val="24"/>
          <w:lang w:val="pl-PL"/>
        </w:rPr>
        <w:t>naruszeniem rosyjskich uregulowań krajowych przyznających każdej osobie ubiegającej się o azyl prawo do otrzymania zaświadczenia o rozpatrywaniu wniosku oraz prawo do</w:t>
      </w:r>
      <w:r w:rsidR="00227D65">
        <w:rPr>
          <w:rFonts w:asciiTheme="minorHAnsi" w:hAnsiTheme="minorHAnsi"/>
          <w:sz w:val="24"/>
          <w:lang w:val="pl-PL"/>
        </w:rPr>
        <w:t> </w:t>
      </w:r>
      <w:r w:rsidRPr="00B15C52">
        <w:rPr>
          <w:rFonts w:asciiTheme="minorHAnsi" w:hAnsiTheme="minorHAnsi"/>
          <w:sz w:val="24"/>
          <w:lang w:val="pl-PL"/>
        </w:rPr>
        <w:t xml:space="preserve">umieszczenia w placówce tymczasowego zakwaterowania na czas rozpatrywania wniosku azylowego. </w:t>
      </w:r>
    </w:p>
    <w:p w14:paraId="36613AE1" w14:textId="77777777" w:rsidR="00950534" w:rsidRDefault="00950534" w:rsidP="00950534">
      <w:pPr>
        <w:pStyle w:val="ClinContent"/>
        <w:widowControl w:val="0"/>
        <w:spacing w:before="0"/>
        <w:rPr>
          <w:rFonts w:asciiTheme="minorHAnsi" w:hAnsiTheme="minorHAnsi"/>
          <w:sz w:val="24"/>
          <w:lang w:val="pl-PL"/>
        </w:rPr>
      </w:pPr>
    </w:p>
    <w:p w14:paraId="4B1C889A" w14:textId="5634BA50"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Trzech spośród skarżących zostało uznanych przez UNHCR za osoby potrzebujące ochrony międzynarodowej, co sugerowało, że ich cierpienie </w:t>
      </w:r>
      <w:r>
        <w:rPr>
          <w:rFonts w:asciiTheme="minorHAnsi" w:hAnsiTheme="minorHAnsi"/>
          <w:sz w:val="24"/>
          <w:lang w:val="pl-PL"/>
        </w:rPr>
        <w:t>było jeszcze większe</w:t>
      </w:r>
      <w:r w:rsidRPr="00B15C52">
        <w:rPr>
          <w:rFonts w:asciiTheme="minorHAnsi" w:hAnsiTheme="minorHAnsi"/>
          <w:sz w:val="24"/>
          <w:lang w:val="pl-PL"/>
        </w:rPr>
        <w:t xml:space="preserve"> z uwagi na</w:t>
      </w:r>
      <w:r w:rsidR="00227D65">
        <w:rPr>
          <w:rFonts w:asciiTheme="minorHAnsi" w:hAnsiTheme="minorHAnsi"/>
          <w:sz w:val="24"/>
          <w:lang w:val="pl-PL"/>
        </w:rPr>
        <w:t> </w:t>
      </w:r>
      <w:r w:rsidRPr="00B15C52">
        <w:rPr>
          <w:rFonts w:asciiTheme="minorHAnsi" w:hAnsiTheme="minorHAnsi"/>
          <w:sz w:val="24"/>
          <w:lang w:val="pl-PL"/>
        </w:rPr>
        <w:t xml:space="preserve">wydarzenia, przez które przeszli w trakcie migracji. </w:t>
      </w:r>
    </w:p>
    <w:p w14:paraId="20B164FF" w14:textId="77777777" w:rsidR="00950534" w:rsidRDefault="00950534" w:rsidP="00950534">
      <w:pPr>
        <w:pStyle w:val="ClinContent"/>
        <w:widowControl w:val="0"/>
        <w:spacing w:before="0"/>
        <w:rPr>
          <w:rFonts w:asciiTheme="minorHAnsi" w:hAnsiTheme="minorHAnsi"/>
          <w:sz w:val="24"/>
          <w:lang w:val="pl-PL"/>
        </w:rPr>
      </w:pPr>
    </w:p>
    <w:p w14:paraId="507C5770"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Wreszcie</w:t>
      </w:r>
      <w:r w:rsidRPr="00B15C52">
        <w:rPr>
          <w:rFonts w:asciiTheme="minorHAnsi" w:hAnsiTheme="minorHAnsi"/>
          <w:sz w:val="24"/>
          <w:lang w:val="pl-PL"/>
        </w:rPr>
        <w:t xml:space="preserve"> </w:t>
      </w:r>
      <w:r>
        <w:rPr>
          <w:rFonts w:asciiTheme="minorHAnsi" w:hAnsiTheme="minorHAnsi"/>
          <w:sz w:val="24"/>
          <w:lang w:val="pl-PL"/>
        </w:rPr>
        <w:t xml:space="preserve">Trybunał podkreślił, że </w:t>
      </w:r>
      <w:r w:rsidRPr="00B15C52">
        <w:rPr>
          <w:rFonts w:asciiTheme="minorHAnsi" w:hAnsiTheme="minorHAnsi"/>
          <w:sz w:val="24"/>
          <w:lang w:val="pl-PL"/>
        </w:rPr>
        <w:t xml:space="preserve">pozbawienie wolności trwało niezwykle długo w przypadku każdego skarżącego. Pozbawienie wolności skarżących trwało przez wiele miesięcy z rzędu (od prawie pięciu do dwudziestu dwóch miesięcy). </w:t>
      </w:r>
    </w:p>
    <w:p w14:paraId="4D33447F" w14:textId="77777777" w:rsidR="00950534" w:rsidRDefault="00950534" w:rsidP="00950534">
      <w:pPr>
        <w:pStyle w:val="ClinContent"/>
        <w:widowControl w:val="0"/>
        <w:spacing w:before="0"/>
        <w:rPr>
          <w:rFonts w:asciiTheme="minorHAnsi" w:hAnsiTheme="minorHAnsi"/>
          <w:sz w:val="24"/>
          <w:lang w:val="pl-PL"/>
        </w:rPr>
      </w:pPr>
    </w:p>
    <w:p w14:paraId="42D789B0" w14:textId="39DD81CA"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Przerażające warunki materialne, które skarżący musieli znosić przez tak długi czas, oraz</w:t>
      </w:r>
      <w:r w:rsidR="00227D65">
        <w:rPr>
          <w:rFonts w:asciiTheme="minorHAnsi" w:hAnsiTheme="minorHAnsi"/>
          <w:sz w:val="24"/>
          <w:lang w:val="pl-PL"/>
        </w:rPr>
        <w:t> </w:t>
      </w:r>
      <w:r w:rsidRPr="00B15C52">
        <w:rPr>
          <w:rFonts w:asciiTheme="minorHAnsi" w:hAnsiTheme="minorHAnsi"/>
          <w:sz w:val="24"/>
          <w:lang w:val="pl-PL"/>
        </w:rPr>
        <w:t>całkowity brak opieki nad nimi ze strony władz stanowiły łącznie poniżające traktowanie w</w:t>
      </w:r>
      <w:r w:rsidR="00227D65">
        <w:rPr>
          <w:rFonts w:asciiTheme="minorHAnsi" w:hAnsiTheme="minorHAnsi"/>
          <w:sz w:val="24"/>
          <w:lang w:val="pl-PL"/>
        </w:rPr>
        <w:t> </w:t>
      </w:r>
      <w:r w:rsidRPr="00B15C52">
        <w:rPr>
          <w:rFonts w:asciiTheme="minorHAnsi" w:hAnsiTheme="minorHAnsi"/>
          <w:sz w:val="24"/>
          <w:lang w:val="pl-PL"/>
        </w:rPr>
        <w:t>rozumieniu art. 3</w:t>
      </w:r>
      <w:r>
        <w:rPr>
          <w:rFonts w:asciiTheme="minorHAnsi" w:hAnsiTheme="minorHAnsi"/>
          <w:sz w:val="24"/>
          <w:lang w:val="pl-PL"/>
        </w:rPr>
        <w:t xml:space="preserve"> Konwencji</w:t>
      </w:r>
      <w:r w:rsidRPr="00B15C52">
        <w:rPr>
          <w:rFonts w:asciiTheme="minorHAnsi" w:hAnsiTheme="minorHAnsi"/>
          <w:sz w:val="24"/>
          <w:lang w:val="pl-PL"/>
        </w:rPr>
        <w:t xml:space="preserve">. </w:t>
      </w:r>
      <w:r>
        <w:rPr>
          <w:rFonts w:asciiTheme="minorHAnsi" w:hAnsiTheme="minorHAnsi"/>
          <w:sz w:val="24"/>
          <w:lang w:val="pl-PL"/>
        </w:rPr>
        <w:t>S</w:t>
      </w:r>
      <w:r w:rsidRPr="00B15C52">
        <w:rPr>
          <w:rFonts w:asciiTheme="minorHAnsi" w:hAnsiTheme="minorHAnsi"/>
          <w:sz w:val="24"/>
          <w:lang w:val="pl-PL"/>
        </w:rPr>
        <w:t xml:space="preserve">karżący </w:t>
      </w:r>
      <w:r>
        <w:rPr>
          <w:rFonts w:asciiTheme="minorHAnsi" w:hAnsiTheme="minorHAnsi"/>
          <w:sz w:val="24"/>
          <w:lang w:val="pl-PL"/>
        </w:rPr>
        <w:t xml:space="preserve">zaś </w:t>
      </w:r>
      <w:r w:rsidRPr="00B15C52">
        <w:rPr>
          <w:rFonts w:asciiTheme="minorHAnsi" w:hAnsiTheme="minorHAnsi"/>
          <w:sz w:val="24"/>
          <w:lang w:val="pl-PL"/>
        </w:rPr>
        <w:t xml:space="preserve">przez cały czas znajdowali się pod kontrolą </w:t>
      </w:r>
      <w:r w:rsidRPr="00B15C52">
        <w:rPr>
          <w:rFonts w:asciiTheme="minorHAnsi" w:hAnsiTheme="minorHAnsi"/>
          <w:sz w:val="24"/>
          <w:lang w:val="pl-PL"/>
        </w:rPr>
        <w:lastRenderedPageBreak/>
        <w:t xml:space="preserve">pozwanego państwa i pod jego pieczą. </w:t>
      </w:r>
    </w:p>
    <w:p w14:paraId="61C9FEB3" w14:textId="77777777" w:rsidR="00950534" w:rsidRDefault="00950534" w:rsidP="00950534">
      <w:pPr>
        <w:pStyle w:val="ClinContent"/>
        <w:widowControl w:val="0"/>
        <w:spacing w:before="0"/>
        <w:rPr>
          <w:rFonts w:asciiTheme="minorHAnsi" w:hAnsiTheme="minorHAnsi"/>
          <w:sz w:val="24"/>
          <w:lang w:val="pl-PL"/>
        </w:rPr>
      </w:pPr>
    </w:p>
    <w:p w14:paraId="1D3D0A19"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 powyższych względów Trybunał orzekł jednogłośnie, że doszło do naruszenia art. 3 Konwencji w sprawie skarżących</w:t>
      </w:r>
      <w:r>
        <w:rPr>
          <w:rStyle w:val="Odwoanieprzypisudolnego"/>
          <w:rFonts w:asciiTheme="minorHAnsi" w:hAnsiTheme="minorHAnsi"/>
          <w:sz w:val="24"/>
          <w:lang w:val="pl-PL"/>
        </w:rPr>
        <w:footnoteReference w:id="23"/>
      </w:r>
      <w:r>
        <w:rPr>
          <w:rFonts w:asciiTheme="minorHAnsi" w:hAnsiTheme="minorHAnsi"/>
          <w:sz w:val="24"/>
          <w:lang w:val="pl-PL"/>
        </w:rPr>
        <w:t xml:space="preserve">. </w:t>
      </w:r>
    </w:p>
    <w:p w14:paraId="49B9183B" w14:textId="77777777" w:rsidR="00950534" w:rsidRDefault="00950534" w:rsidP="00950534">
      <w:pPr>
        <w:pStyle w:val="ClinContent"/>
        <w:widowControl w:val="0"/>
        <w:spacing w:before="0"/>
        <w:rPr>
          <w:rFonts w:asciiTheme="minorHAnsi" w:hAnsiTheme="minorHAnsi"/>
          <w:sz w:val="24"/>
          <w:lang w:val="pl-PL"/>
        </w:rPr>
      </w:pPr>
    </w:p>
    <w:p w14:paraId="5CE35D48"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Na tej podstawie Trybunał zasądził na rzecz skarżących </w:t>
      </w:r>
      <w:r w:rsidRPr="00B15C52">
        <w:rPr>
          <w:rFonts w:asciiTheme="minorHAnsi" w:hAnsiTheme="minorHAnsi"/>
          <w:sz w:val="24"/>
          <w:lang w:val="pl-PL"/>
        </w:rPr>
        <w:t xml:space="preserve">kwoty od 15 000 euro do 26 000 euro tytułem szkody niemajątkowej. </w:t>
      </w:r>
    </w:p>
    <w:p w14:paraId="197E88CC" w14:textId="77777777" w:rsidR="00950534" w:rsidRDefault="00950534" w:rsidP="00950534">
      <w:pPr>
        <w:pStyle w:val="ClinContent"/>
        <w:widowControl w:val="0"/>
        <w:spacing w:before="0"/>
        <w:rPr>
          <w:rFonts w:asciiTheme="minorHAnsi" w:hAnsiTheme="minorHAnsi"/>
          <w:sz w:val="24"/>
          <w:lang w:val="pl-PL"/>
        </w:rPr>
      </w:pPr>
    </w:p>
    <w:p w14:paraId="2652B455" w14:textId="014476A8"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Znaczenie wyroku dla Polski</w:t>
      </w:r>
      <w:r w:rsidRPr="00490945">
        <w:rPr>
          <w:rFonts w:asciiTheme="minorHAnsi" w:hAnsiTheme="minorHAnsi" w:cs="Verdana"/>
          <w:bCs/>
          <w:sz w:val="24"/>
          <w:lang w:val="pl-PL"/>
        </w:rPr>
        <w:t xml:space="preserve"> – Wyrok </w:t>
      </w:r>
      <w:r>
        <w:rPr>
          <w:rFonts w:asciiTheme="minorHAnsi" w:hAnsiTheme="minorHAnsi" w:cs="Verdana"/>
          <w:bCs/>
          <w:sz w:val="24"/>
          <w:lang w:val="pl-PL"/>
        </w:rPr>
        <w:t>wskazuje na obowiązek odpowiedniego uregulowania przez państwo sytuacji osób ubiegających się o azyl zmuszonych do długotrwałego oczekiwania w strefie tranzytowej lotniska na rozpatrzenie ich wniosków azylowych, a także zapewnienia im odpowiednich materialnych warunków pobytu oraz dostępu do opieki medycznej i socjalnej. W przypadku braku szczególnych uregulowań krajowych Trybunał za wiążący punkt odniesienia traktuje uregulowania ogólne dotyczące praw osób ubiegających się o azyl, w tym prawo do zakwaterowania w ośrodku dla uchodźców. Chociaż Trybunał nie kwestionuje prawa państw do kontrolowania wjazdu na swe terytorium i dopuszcza możliwość krótkiego przebywania w strefie tranzytowej w celu zweryfikowania prawa danej osoby do wjazdu na terytorium lub na czas oczekiwania na rozpatrzenie wniosku azylowego, odrzuca jednak możliwość pozostawienia osób samym sobie w tym miejscu przez kilka miesięcy. Zrównuje tę sytuację z pozbawieniem wolności. Jednocześnie wyrok wskazuje szereg kryteriów, które stosuje Trybunał do oceny, czy tego typu sytuacja ma charakter pozbawienia wolności w rozumieniu art. 5 Konwencji. Trybunał akcentuje też konieczność sprawnego procedowania wniosków o azyl oraz zapewnienia osobom ubiegającym się o</w:t>
      </w:r>
      <w:r w:rsidR="00B460BF">
        <w:rPr>
          <w:rFonts w:asciiTheme="minorHAnsi" w:hAnsiTheme="minorHAnsi" w:cs="Verdana"/>
          <w:bCs/>
          <w:sz w:val="24"/>
          <w:lang w:val="pl-PL"/>
        </w:rPr>
        <w:t> </w:t>
      </w:r>
      <w:r>
        <w:rPr>
          <w:rFonts w:asciiTheme="minorHAnsi" w:hAnsiTheme="minorHAnsi" w:cs="Verdana"/>
          <w:bCs/>
          <w:sz w:val="24"/>
          <w:lang w:val="pl-PL"/>
        </w:rPr>
        <w:t xml:space="preserve">status uchodźcy niezbędnych informacji na temat toku postępowania i ich sytuacji. </w:t>
      </w:r>
    </w:p>
    <w:p w14:paraId="4DDCD986" w14:textId="77777777" w:rsidR="00950534" w:rsidRDefault="00950534" w:rsidP="00950534">
      <w:pPr>
        <w:pStyle w:val="ClinContent"/>
        <w:widowControl w:val="0"/>
        <w:spacing w:before="0"/>
        <w:rPr>
          <w:rFonts w:asciiTheme="minorHAnsi" w:hAnsiTheme="minorHAnsi" w:cs="Verdana"/>
          <w:bCs/>
          <w:sz w:val="24"/>
          <w:lang w:val="pl-PL"/>
        </w:rPr>
      </w:pPr>
    </w:p>
    <w:p w14:paraId="2C91CFCF"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 xml:space="preserve">Wyrok może mieć w szczególności znaczenie dla Straży Granicznej, pracowników lotniska, Urzędu do Spraw Cudzoziemców, Rady do Spraw Uchodźców, sądów administracyjnych i NSA, Ministerstwa Spraw Wewnętrznych i Administracji oraz Trybunału Konstytucyjnego. </w:t>
      </w:r>
    </w:p>
    <w:p w14:paraId="70DE01C7" w14:textId="77777777" w:rsidR="00950534" w:rsidRDefault="00950534" w:rsidP="00950534">
      <w:pPr>
        <w:pStyle w:val="ClinContent"/>
        <w:widowControl w:val="0"/>
        <w:spacing w:before="0"/>
        <w:rPr>
          <w:rFonts w:asciiTheme="minorHAnsi" w:hAnsiTheme="minorHAnsi"/>
          <w:sz w:val="24"/>
          <w:lang w:val="pl-PL"/>
        </w:rPr>
      </w:pPr>
    </w:p>
    <w:p w14:paraId="0FF7175F" w14:textId="77777777" w:rsidR="00950534" w:rsidRDefault="00950534" w:rsidP="00950534">
      <w:pPr>
        <w:pStyle w:val="ClinContent"/>
        <w:widowControl w:val="0"/>
        <w:spacing w:before="0"/>
        <w:rPr>
          <w:rFonts w:asciiTheme="minorHAnsi" w:hAnsiTheme="minorHAnsi"/>
          <w:sz w:val="24"/>
          <w:lang w:val="pl-PL"/>
        </w:rPr>
      </w:pPr>
    </w:p>
    <w:p w14:paraId="15485688" w14:textId="77777777" w:rsidR="00950534" w:rsidRDefault="00950534" w:rsidP="00950534">
      <w:pPr>
        <w:pStyle w:val="Nagwek2"/>
        <w:keepNext w:val="0"/>
        <w:keepLines w:val="0"/>
        <w:widowControl w:val="0"/>
        <w:numPr>
          <w:ilvl w:val="0"/>
          <w:numId w:val="16"/>
        </w:numPr>
        <w:spacing w:before="0" w:after="0"/>
        <w:rPr>
          <w:rFonts w:asciiTheme="minorHAnsi" w:hAnsiTheme="minorHAnsi"/>
          <w:color w:val="auto"/>
          <w:sz w:val="24"/>
          <w:szCs w:val="24"/>
        </w:rPr>
      </w:pPr>
      <w:bookmarkStart w:id="23" w:name="_Toc35632486"/>
      <w:r w:rsidRPr="00077E55">
        <w:rPr>
          <w:rFonts w:asciiTheme="minorHAnsi" w:hAnsiTheme="minorHAnsi"/>
          <w:color w:val="auto"/>
          <w:sz w:val="24"/>
          <w:szCs w:val="24"/>
        </w:rPr>
        <w:t xml:space="preserve">Opinia doradcza Wielkiej Izby z dnia 10 kwietnia 2019 r. na wniosek francuskiego Sądu Kasacyjnego (nr </w:t>
      </w:r>
      <w:hyperlink r:id="rId40" w:history="1">
        <w:r w:rsidRPr="00077E55">
          <w:rPr>
            <w:rFonts w:asciiTheme="minorHAnsi" w:hAnsiTheme="minorHAnsi"/>
            <w:color w:val="auto"/>
            <w:sz w:val="24"/>
            <w:szCs w:val="24"/>
          </w:rPr>
          <w:t>P16-2018-001</w:t>
        </w:r>
      </w:hyperlink>
      <w:r w:rsidRPr="00077E55">
        <w:rPr>
          <w:rFonts w:asciiTheme="minorHAnsi" w:hAnsiTheme="minorHAnsi"/>
          <w:color w:val="auto"/>
          <w:sz w:val="24"/>
          <w:szCs w:val="24"/>
        </w:rPr>
        <w:t>)</w:t>
      </w:r>
      <w:bookmarkEnd w:id="23"/>
      <w:r w:rsidRPr="00077E55">
        <w:rPr>
          <w:rFonts w:asciiTheme="minorHAnsi" w:hAnsiTheme="minorHAnsi"/>
          <w:color w:val="auto"/>
          <w:sz w:val="24"/>
          <w:szCs w:val="24"/>
        </w:rPr>
        <w:t xml:space="preserve"> </w:t>
      </w:r>
    </w:p>
    <w:p w14:paraId="132C49AB" w14:textId="7FD7DC41" w:rsidR="00950534" w:rsidRDefault="00950534" w:rsidP="00950534">
      <w:pPr>
        <w:pStyle w:val="Akapitzlist"/>
        <w:widowControl w:val="0"/>
        <w:numPr>
          <w:ilvl w:val="0"/>
          <w:numId w:val="17"/>
        </w:numPr>
        <w:spacing w:after="0" w:line="240" w:lineRule="auto"/>
        <w:jc w:val="both"/>
        <w:outlineLvl w:val="2"/>
        <w:rPr>
          <w:b/>
          <w:sz w:val="24"/>
          <w:szCs w:val="24"/>
          <w:lang w:val="pl-PL"/>
        </w:rPr>
      </w:pPr>
      <w:r w:rsidRPr="005B733B">
        <w:rPr>
          <w:b/>
          <w:iCs/>
          <w:color w:val="000000" w:themeColor="text1"/>
          <w:sz w:val="24"/>
          <w:szCs w:val="24"/>
          <w:lang w:val="pl-PL"/>
        </w:rPr>
        <w:t xml:space="preserve">opinia doradcza na podstawie art. 8 Konwencji (prawo do poszanowania życia prywatnego i rodzinnego – aspekt prawa do poszanowania życia prywatnego) stwierdzająca, że </w:t>
      </w:r>
      <w:r w:rsidRPr="005B733B">
        <w:rPr>
          <w:b/>
          <w:sz w:val="24"/>
          <w:lang w:val="pl-PL"/>
        </w:rPr>
        <w:t xml:space="preserve">prawo dziecka do poszanowania życia prywatnego wymaga, </w:t>
      </w:r>
      <w:r w:rsidRPr="005B733B">
        <w:rPr>
          <w:b/>
          <w:sz w:val="24"/>
          <w:lang w:val="pl-PL"/>
        </w:rPr>
        <w:lastRenderedPageBreak/>
        <w:t>by</w:t>
      </w:r>
      <w:r w:rsidR="00FA6F64">
        <w:rPr>
          <w:b/>
          <w:sz w:val="24"/>
          <w:lang w:val="pl-PL"/>
        </w:rPr>
        <w:t> </w:t>
      </w:r>
      <w:r w:rsidRPr="005B733B">
        <w:rPr>
          <w:b/>
          <w:sz w:val="24"/>
          <w:lang w:val="pl-PL"/>
        </w:rPr>
        <w:t>prawo krajowe przewidywało możliwość uznania prawnej relacji rodzic-dziecko z</w:t>
      </w:r>
      <w:r w:rsidR="00FA6F64">
        <w:rPr>
          <w:b/>
          <w:sz w:val="24"/>
          <w:lang w:val="pl-PL"/>
        </w:rPr>
        <w:t> </w:t>
      </w:r>
      <w:r w:rsidRPr="005B733B">
        <w:rPr>
          <w:b/>
          <w:sz w:val="24"/>
          <w:lang w:val="pl-PL"/>
        </w:rPr>
        <w:t xml:space="preserve">zamierzoną matką wskazaną jako „matka prawna” w akcie urodzenia sporządzonym zgodnie z prawem za granicą, ale nie wymaga, </w:t>
      </w:r>
      <w:r w:rsidRPr="005B733B">
        <w:rPr>
          <w:b/>
          <w:sz w:val="24"/>
          <w:szCs w:val="24"/>
          <w:lang w:val="pl-PL"/>
        </w:rPr>
        <w:t>by takie uznanie przybrało formę wpisu szczegółów</w:t>
      </w:r>
      <w:r w:rsidRPr="005B733B">
        <w:rPr>
          <w:b/>
          <w:sz w:val="24"/>
          <w:lang w:val="pl-PL"/>
        </w:rPr>
        <w:t xml:space="preserve"> takiego</w:t>
      </w:r>
      <w:r w:rsidRPr="005B733B">
        <w:rPr>
          <w:b/>
          <w:sz w:val="24"/>
          <w:szCs w:val="24"/>
          <w:lang w:val="pl-PL"/>
        </w:rPr>
        <w:t xml:space="preserve"> aktu urodzenia do rejes</w:t>
      </w:r>
      <w:r w:rsidRPr="005B733B">
        <w:rPr>
          <w:b/>
          <w:sz w:val="24"/>
          <w:lang w:val="pl-PL"/>
        </w:rPr>
        <w:t xml:space="preserve">tru </w:t>
      </w:r>
      <w:r>
        <w:rPr>
          <w:b/>
          <w:sz w:val="24"/>
          <w:lang w:val="pl-PL"/>
        </w:rPr>
        <w:t>stanu cywilnego</w:t>
      </w:r>
      <w:r w:rsidRPr="005B733B">
        <w:rPr>
          <w:b/>
          <w:sz w:val="24"/>
          <w:lang w:val="pl-PL"/>
        </w:rPr>
        <w:t>, i dopuszcza wykorzystanie innych środków, takich</w:t>
      </w:r>
      <w:r w:rsidRPr="005B733B">
        <w:rPr>
          <w:b/>
          <w:sz w:val="24"/>
          <w:szCs w:val="24"/>
          <w:lang w:val="pl-PL"/>
        </w:rPr>
        <w:t xml:space="preserve"> jak adopcja dziecka przez zamierzoną matkę, pod warunkiem że </w:t>
      </w:r>
      <w:r w:rsidRPr="005B733B">
        <w:rPr>
          <w:b/>
          <w:sz w:val="24"/>
          <w:lang w:val="pl-PL"/>
        </w:rPr>
        <w:t>mogą być wdrożone</w:t>
      </w:r>
      <w:r w:rsidRPr="005B733B">
        <w:rPr>
          <w:b/>
          <w:sz w:val="24"/>
          <w:szCs w:val="24"/>
          <w:lang w:val="pl-PL"/>
        </w:rPr>
        <w:t xml:space="preserve"> bezzwłocznie i skutecznie, zgodnie z dobrem dziecka</w:t>
      </w:r>
    </w:p>
    <w:p w14:paraId="2512E9AF" w14:textId="77777777" w:rsidR="00950534" w:rsidRPr="00A80201" w:rsidRDefault="00950534" w:rsidP="00950534">
      <w:pPr>
        <w:pStyle w:val="ClinContent"/>
        <w:widowControl w:val="0"/>
        <w:spacing w:before="0"/>
        <w:rPr>
          <w:rFonts w:asciiTheme="minorHAnsi" w:hAnsiTheme="minorHAnsi"/>
          <w:sz w:val="24"/>
          <w:lang w:val="pl-PL"/>
        </w:rPr>
      </w:pPr>
    </w:p>
    <w:p w14:paraId="619B99C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Opinia doradcza została wydana przez Trybunał w związku z następującymi p</w:t>
      </w:r>
      <w:r w:rsidRPr="00B15C52">
        <w:rPr>
          <w:rFonts w:asciiTheme="minorHAnsi" w:hAnsiTheme="minorHAnsi"/>
          <w:sz w:val="24"/>
          <w:lang w:val="pl-PL"/>
        </w:rPr>
        <w:t>ytania</w:t>
      </w:r>
      <w:r>
        <w:rPr>
          <w:rFonts w:asciiTheme="minorHAnsi" w:hAnsiTheme="minorHAnsi"/>
          <w:sz w:val="24"/>
          <w:lang w:val="pl-PL"/>
        </w:rPr>
        <w:t>mi zadanym</w:t>
      </w:r>
      <w:r w:rsidRPr="00B15C52">
        <w:rPr>
          <w:rFonts w:asciiTheme="minorHAnsi" w:hAnsiTheme="minorHAnsi"/>
          <w:sz w:val="24"/>
          <w:lang w:val="pl-PL"/>
        </w:rPr>
        <w:t xml:space="preserve"> przez Sąd Kasacyjny we wniosku o opinię doradczą:</w:t>
      </w:r>
    </w:p>
    <w:p w14:paraId="2966E113" w14:textId="77777777" w:rsidR="00950534" w:rsidRDefault="00950534" w:rsidP="00950534">
      <w:pPr>
        <w:pStyle w:val="ClinContent"/>
        <w:widowControl w:val="0"/>
        <w:spacing w:before="0"/>
        <w:rPr>
          <w:rFonts w:asciiTheme="minorHAnsi" w:hAnsiTheme="minorHAnsi"/>
          <w:sz w:val="24"/>
          <w:lang w:val="pl-PL"/>
        </w:rPr>
      </w:pPr>
    </w:p>
    <w:p w14:paraId="6AD56CD1"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1. Czy państwo strona przekracza swój marg</w:t>
      </w:r>
      <w:r>
        <w:rPr>
          <w:rFonts w:asciiTheme="minorHAnsi" w:hAnsiTheme="minorHAnsi"/>
          <w:sz w:val="24"/>
          <w:lang w:val="pl-PL"/>
        </w:rPr>
        <w:t xml:space="preserve">ines oceny na podstawie art. 8 </w:t>
      </w:r>
      <w:r w:rsidRPr="00B15C52">
        <w:rPr>
          <w:rFonts w:asciiTheme="minorHAnsi" w:hAnsiTheme="minorHAnsi"/>
          <w:sz w:val="24"/>
          <w:lang w:val="pl-PL"/>
        </w:rPr>
        <w:t xml:space="preserve">Konwencji, odmawiając wpisania w rejestrze </w:t>
      </w:r>
      <w:r>
        <w:rPr>
          <w:rFonts w:asciiTheme="minorHAnsi" w:hAnsiTheme="minorHAnsi"/>
          <w:sz w:val="24"/>
          <w:lang w:val="pl-PL"/>
        </w:rPr>
        <w:t>stanu cywilnego</w:t>
      </w:r>
      <w:r w:rsidRPr="00B15C52">
        <w:rPr>
          <w:rFonts w:asciiTheme="minorHAnsi" w:hAnsiTheme="minorHAnsi"/>
          <w:sz w:val="24"/>
          <w:lang w:val="pl-PL"/>
        </w:rPr>
        <w:t xml:space="preserve"> szczegółów aktu urodzenia dziecka urodzonego za granicą w wyniku umowy o macierzyństwie zastępczym w zakresie, w jakim akt </w:t>
      </w:r>
      <w:r>
        <w:rPr>
          <w:rFonts w:asciiTheme="minorHAnsi" w:hAnsiTheme="minorHAnsi"/>
          <w:sz w:val="24"/>
          <w:lang w:val="pl-PL"/>
        </w:rPr>
        <w:t>ten określa „</w:t>
      </w:r>
      <w:r w:rsidRPr="00B15C52">
        <w:rPr>
          <w:rFonts w:asciiTheme="minorHAnsi" w:hAnsiTheme="minorHAnsi"/>
          <w:sz w:val="24"/>
          <w:lang w:val="pl-PL"/>
        </w:rPr>
        <w:t>zamierzoną matkę</w:t>
      </w:r>
      <w:r>
        <w:rPr>
          <w:rFonts w:asciiTheme="minorHAnsi" w:hAnsiTheme="minorHAnsi"/>
          <w:sz w:val="24"/>
          <w:lang w:val="pl-PL"/>
        </w:rPr>
        <w:t>” jako „</w:t>
      </w:r>
      <w:r w:rsidRPr="00B15C52">
        <w:rPr>
          <w:rFonts w:asciiTheme="minorHAnsi" w:hAnsiTheme="minorHAnsi"/>
          <w:sz w:val="24"/>
          <w:lang w:val="pl-PL"/>
        </w:rPr>
        <w:t>matkę</w:t>
      </w:r>
      <w:r w:rsidRPr="004B35B4">
        <w:rPr>
          <w:rFonts w:asciiTheme="minorHAnsi" w:hAnsiTheme="minorHAnsi"/>
          <w:sz w:val="24"/>
          <w:lang w:val="pl-PL"/>
        </w:rPr>
        <w:t xml:space="preserve"> </w:t>
      </w:r>
      <w:r>
        <w:rPr>
          <w:rFonts w:asciiTheme="minorHAnsi" w:hAnsiTheme="minorHAnsi"/>
          <w:sz w:val="24"/>
          <w:lang w:val="pl-PL"/>
        </w:rPr>
        <w:t>prawną”</w:t>
      </w:r>
      <w:r w:rsidRPr="00B15C52">
        <w:rPr>
          <w:rFonts w:asciiTheme="minorHAnsi" w:hAnsiTheme="minorHAnsi"/>
          <w:sz w:val="24"/>
          <w:lang w:val="pl-PL"/>
        </w:rPr>
        <w:t xml:space="preserve">, akceptując jednocześnie zarejestrowanie w zakresie, w jakim akt określa </w:t>
      </w:r>
      <w:r>
        <w:rPr>
          <w:rFonts w:asciiTheme="minorHAnsi" w:hAnsiTheme="minorHAnsi"/>
          <w:sz w:val="24"/>
          <w:lang w:val="pl-PL"/>
        </w:rPr>
        <w:t>„</w:t>
      </w:r>
      <w:r w:rsidRPr="00B15C52">
        <w:rPr>
          <w:rFonts w:asciiTheme="minorHAnsi" w:hAnsiTheme="minorHAnsi"/>
          <w:sz w:val="24"/>
          <w:lang w:val="pl-PL"/>
        </w:rPr>
        <w:t>zamierzonego ojca</w:t>
      </w:r>
      <w:r>
        <w:rPr>
          <w:rFonts w:asciiTheme="minorHAnsi" w:hAnsiTheme="minorHAnsi"/>
          <w:sz w:val="24"/>
          <w:lang w:val="pl-PL"/>
        </w:rPr>
        <w:t>”</w:t>
      </w:r>
      <w:r w:rsidRPr="00B15C52">
        <w:rPr>
          <w:rFonts w:asciiTheme="minorHAnsi" w:hAnsiTheme="minorHAnsi"/>
          <w:sz w:val="24"/>
          <w:lang w:val="pl-PL"/>
        </w:rPr>
        <w:t>, którym jest biologiczny ojciec dziecka? Czy w związku z tym należy wprowadzić rozróżnienie w zależności od tego, czy dziecko zostało poczęte z wy</w:t>
      </w:r>
      <w:r>
        <w:rPr>
          <w:rFonts w:asciiTheme="minorHAnsi" w:hAnsiTheme="minorHAnsi"/>
          <w:sz w:val="24"/>
          <w:lang w:val="pl-PL"/>
        </w:rPr>
        <w:t>korzystaniem komórek jajowych „z</w:t>
      </w:r>
      <w:r w:rsidRPr="00B15C52">
        <w:rPr>
          <w:rFonts w:asciiTheme="minorHAnsi" w:hAnsiTheme="minorHAnsi"/>
          <w:sz w:val="24"/>
          <w:lang w:val="pl-PL"/>
        </w:rPr>
        <w:t>amierzon</w:t>
      </w:r>
      <w:r>
        <w:rPr>
          <w:rFonts w:asciiTheme="minorHAnsi" w:hAnsiTheme="minorHAnsi"/>
          <w:sz w:val="24"/>
          <w:lang w:val="pl-PL"/>
        </w:rPr>
        <w:t>ej matki”</w:t>
      </w:r>
      <w:r w:rsidRPr="00B15C52">
        <w:rPr>
          <w:rFonts w:asciiTheme="minorHAnsi" w:hAnsiTheme="minorHAnsi"/>
          <w:sz w:val="24"/>
          <w:lang w:val="pl-PL"/>
        </w:rPr>
        <w:t>?</w:t>
      </w:r>
    </w:p>
    <w:p w14:paraId="18BC82BE" w14:textId="77777777" w:rsidR="00950534" w:rsidRDefault="00950534" w:rsidP="00950534">
      <w:pPr>
        <w:pStyle w:val="ClinContent"/>
        <w:widowControl w:val="0"/>
        <w:spacing w:before="0"/>
        <w:rPr>
          <w:rFonts w:asciiTheme="minorHAnsi" w:hAnsiTheme="minorHAnsi"/>
          <w:sz w:val="24"/>
          <w:lang w:val="pl-PL"/>
        </w:rPr>
      </w:pPr>
    </w:p>
    <w:p w14:paraId="12F06D65"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2. W razie odpowiedzi twierdzącej na którekolwiek z powyższych dwóch pytań, czy zgodność z wymogami art. 8 Konwencji zapewni możliwość adoptowania przez zamierzoną matkę dziecka jej męża, ojca biologicznego, stanowiąca środek ustanowienia prawnej relacji matka-dziecko? </w:t>
      </w:r>
    </w:p>
    <w:p w14:paraId="2CA18246" w14:textId="77777777" w:rsidR="00950534" w:rsidRDefault="00950534" w:rsidP="00950534">
      <w:pPr>
        <w:pStyle w:val="ClinContent"/>
        <w:widowControl w:val="0"/>
        <w:spacing w:before="0"/>
        <w:rPr>
          <w:rFonts w:asciiTheme="minorHAnsi" w:hAnsiTheme="minorHAnsi"/>
          <w:sz w:val="24"/>
          <w:lang w:val="pl-PL"/>
        </w:rPr>
      </w:pPr>
    </w:p>
    <w:p w14:paraId="4B0F9551" w14:textId="63BB7F06"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odnotował, że o</w:t>
      </w:r>
      <w:r w:rsidRPr="00B15C52">
        <w:rPr>
          <w:rFonts w:asciiTheme="minorHAnsi" w:hAnsiTheme="minorHAnsi"/>
          <w:sz w:val="24"/>
          <w:lang w:val="pl-PL"/>
        </w:rPr>
        <w:t xml:space="preserve">rzecznictwo </w:t>
      </w:r>
      <w:r>
        <w:rPr>
          <w:rFonts w:asciiTheme="minorHAnsi" w:hAnsiTheme="minorHAnsi"/>
          <w:sz w:val="24"/>
          <w:lang w:val="pl-PL"/>
        </w:rPr>
        <w:t xml:space="preserve">francuskiego </w:t>
      </w:r>
      <w:r w:rsidRPr="00B15C52">
        <w:rPr>
          <w:rFonts w:asciiTheme="minorHAnsi" w:hAnsiTheme="minorHAnsi"/>
          <w:sz w:val="24"/>
          <w:lang w:val="pl-PL"/>
        </w:rPr>
        <w:t>Sądu Kasacyjnego ewoluowało w</w:t>
      </w:r>
      <w:r w:rsidR="00227D65">
        <w:rPr>
          <w:rFonts w:asciiTheme="minorHAnsi" w:hAnsiTheme="minorHAnsi"/>
          <w:sz w:val="24"/>
          <w:lang w:val="pl-PL"/>
        </w:rPr>
        <w:t> </w:t>
      </w:r>
      <w:r w:rsidRPr="00B15C52">
        <w:rPr>
          <w:rFonts w:asciiTheme="minorHAnsi" w:hAnsiTheme="minorHAnsi"/>
          <w:sz w:val="24"/>
          <w:lang w:val="pl-PL"/>
        </w:rPr>
        <w:t xml:space="preserve">następstwie </w:t>
      </w:r>
      <w:r>
        <w:rPr>
          <w:rFonts w:asciiTheme="minorHAnsi" w:hAnsiTheme="minorHAnsi"/>
          <w:sz w:val="24"/>
          <w:lang w:val="pl-PL"/>
        </w:rPr>
        <w:t xml:space="preserve">jego </w:t>
      </w:r>
      <w:r w:rsidRPr="00B15C52">
        <w:rPr>
          <w:rFonts w:asciiTheme="minorHAnsi" w:hAnsiTheme="minorHAnsi"/>
          <w:sz w:val="24"/>
          <w:lang w:val="pl-PL"/>
        </w:rPr>
        <w:t xml:space="preserve">wyroku w sprawie </w:t>
      </w:r>
      <w:r w:rsidRPr="00B15C52">
        <w:rPr>
          <w:rFonts w:asciiTheme="minorHAnsi" w:hAnsiTheme="minorHAnsi"/>
          <w:i/>
          <w:sz w:val="24"/>
          <w:lang w:val="pl-PL"/>
        </w:rPr>
        <w:t>Mennesson</w:t>
      </w:r>
      <w:r w:rsidRPr="00B15C52">
        <w:rPr>
          <w:rFonts w:asciiTheme="minorHAnsi" w:hAnsiTheme="minorHAnsi"/>
          <w:sz w:val="24"/>
          <w:lang w:val="pl-PL"/>
        </w:rPr>
        <w:t xml:space="preserve"> </w:t>
      </w:r>
      <w:r w:rsidRPr="004B35B4">
        <w:rPr>
          <w:rFonts w:asciiTheme="minorHAnsi" w:hAnsiTheme="minorHAnsi"/>
          <w:i/>
          <w:sz w:val="24"/>
          <w:lang w:val="pl-PL"/>
        </w:rPr>
        <w:t>p. Francji</w:t>
      </w:r>
      <w:r>
        <w:rPr>
          <w:rFonts w:asciiTheme="minorHAnsi" w:hAnsiTheme="minorHAnsi"/>
          <w:sz w:val="24"/>
          <w:lang w:val="pl-PL"/>
        </w:rPr>
        <w:t xml:space="preserve"> </w:t>
      </w:r>
      <w:r w:rsidRPr="00B15C52">
        <w:rPr>
          <w:rFonts w:asciiTheme="minorHAnsi" w:hAnsiTheme="minorHAnsi"/>
          <w:sz w:val="24"/>
          <w:lang w:val="pl-PL"/>
        </w:rPr>
        <w:t>(nr 65192/11, 26 czerwca 2014</w:t>
      </w:r>
      <w:r w:rsidR="00227D65">
        <w:rPr>
          <w:rFonts w:asciiTheme="minorHAnsi" w:hAnsiTheme="minorHAnsi"/>
          <w:sz w:val="24"/>
          <w:lang w:val="pl-PL"/>
        </w:rPr>
        <w:t> </w:t>
      </w:r>
      <w:r w:rsidRPr="00B15C52">
        <w:rPr>
          <w:rFonts w:asciiTheme="minorHAnsi" w:hAnsiTheme="minorHAnsi"/>
          <w:sz w:val="24"/>
          <w:lang w:val="pl-PL"/>
        </w:rPr>
        <w:t xml:space="preserve">r., </w:t>
      </w:r>
      <w:hyperlink r:id="rId41" w:history="1">
        <w:r w:rsidRPr="00B15C52">
          <w:rPr>
            <w:rStyle w:val="Hipercze"/>
            <w:rFonts w:asciiTheme="minorHAnsi" w:hAnsiTheme="minorHAnsi"/>
            <w:sz w:val="24"/>
            <w:lang w:val="pl-PL"/>
          </w:rPr>
          <w:t>Nota informacyjna nr 175</w:t>
        </w:r>
      </w:hyperlink>
      <w:r w:rsidRPr="00B15C52">
        <w:rPr>
          <w:rFonts w:asciiTheme="minorHAnsi" w:hAnsiTheme="minorHAnsi"/>
          <w:sz w:val="24"/>
          <w:lang w:val="pl-PL"/>
        </w:rPr>
        <w:t xml:space="preserve">). Zarejestrowanie szczegółów aktu urodzenia dziecka urodzonego w drodze surogacji za granicą </w:t>
      </w:r>
      <w:r>
        <w:rPr>
          <w:rFonts w:asciiTheme="minorHAnsi" w:hAnsiTheme="minorHAnsi"/>
          <w:sz w:val="24"/>
          <w:lang w:val="pl-PL"/>
        </w:rPr>
        <w:t>zostało umożliwione</w:t>
      </w:r>
      <w:r w:rsidRPr="00B15C52">
        <w:rPr>
          <w:rFonts w:asciiTheme="minorHAnsi" w:hAnsiTheme="minorHAnsi"/>
          <w:sz w:val="24"/>
          <w:lang w:val="pl-PL"/>
        </w:rPr>
        <w:t xml:space="preserve"> w zakresie, w jakim akt urodzenia określa zamierzonego ojca jako ojca dziecka, gdy jest nim ojciec biologiczny. W</w:t>
      </w:r>
      <w:r w:rsidR="00227D65">
        <w:rPr>
          <w:rFonts w:asciiTheme="minorHAnsi" w:hAnsiTheme="minorHAnsi"/>
          <w:sz w:val="24"/>
          <w:lang w:val="pl-PL"/>
        </w:rPr>
        <w:t> </w:t>
      </w:r>
      <w:r w:rsidRPr="00B15C52">
        <w:rPr>
          <w:rFonts w:asciiTheme="minorHAnsi" w:hAnsiTheme="minorHAnsi"/>
          <w:sz w:val="24"/>
          <w:lang w:val="pl-PL"/>
        </w:rPr>
        <w:t xml:space="preserve">dalszym ciągu zarejestrowanie </w:t>
      </w:r>
      <w:r>
        <w:rPr>
          <w:rFonts w:asciiTheme="minorHAnsi" w:hAnsiTheme="minorHAnsi"/>
          <w:sz w:val="24"/>
          <w:lang w:val="pl-PL"/>
        </w:rPr>
        <w:t xml:space="preserve">nie było jednak </w:t>
      </w:r>
      <w:r w:rsidRPr="00B15C52">
        <w:rPr>
          <w:rFonts w:asciiTheme="minorHAnsi" w:hAnsiTheme="minorHAnsi"/>
          <w:sz w:val="24"/>
          <w:lang w:val="pl-PL"/>
        </w:rPr>
        <w:t xml:space="preserve">możliwe w odniesieniu do zamierzonej matki. Gdy zamierzona matka </w:t>
      </w:r>
      <w:r>
        <w:rPr>
          <w:rFonts w:asciiTheme="minorHAnsi" w:hAnsiTheme="minorHAnsi"/>
          <w:sz w:val="24"/>
          <w:lang w:val="pl-PL"/>
        </w:rPr>
        <w:t xml:space="preserve">była </w:t>
      </w:r>
      <w:r w:rsidRPr="00B15C52">
        <w:rPr>
          <w:rFonts w:asciiTheme="minorHAnsi" w:hAnsiTheme="minorHAnsi"/>
          <w:sz w:val="24"/>
          <w:lang w:val="pl-PL"/>
        </w:rPr>
        <w:t>zamężna z ojcem, m</w:t>
      </w:r>
      <w:r>
        <w:rPr>
          <w:rFonts w:asciiTheme="minorHAnsi" w:hAnsiTheme="minorHAnsi"/>
          <w:sz w:val="24"/>
          <w:lang w:val="pl-PL"/>
        </w:rPr>
        <w:t>iała</w:t>
      </w:r>
      <w:r w:rsidRPr="00B15C52">
        <w:rPr>
          <w:rFonts w:asciiTheme="minorHAnsi" w:hAnsiTheme="minorHAnsi"/>
          <w:sz w:val="24"/>
          <w:lang w:val="pl-PL"/>
        </w:rPr>
        <w:t xml:space="preserve"> jednak możliwość adoptowania dziecka, jeśli spełnione </w:t>
      </w:r>
      <w:r>
        <w:rPr>
          <w:rFonts w:asciiTheme="minorHAnsi" w:hAnsiTheme="minorHAnsi"/>
          <w:sz w:val="24"/>
          <w:lang w:val="pl-PL"/>
        </w:rPr>
        <w:t xml:space="preserve">były </w:t>
      </w:r>
      <w:r w:rsidRPr="00B15C52">
        <w:rPr>
          <w:rFonts w:asciiTheme="minorHAnsi" w:hAnsiTheme="minorHAnsi"/>
          <w:sz w:val="24"/>
          <w:lang w:val="pl-PL"/>
        </w:rPr>
        <w:t>wymogi ustawowe, a a</w:t>
      </w:r>
      <w:r>
        <w:rPr>
          <w:rFonts w:asciiTheme="minorHAnsi" w:hAnsiTheme="minorHAnsi"/>
          <w:sz w:val="24"/>
          <w:lang w:val="pl-PL"/>
        </w:rPr>
        <w:t>dopcja była w interesie dziecka.</w:t>
      </w:r>
      <w:r w:rsidRPr="00B15C52">
        <w:rPr>
          <w:rFonts w:asciiTheme="minorHAnsi" w:hAnsiTheme="minorHAnsi"/>
          <w:sz w:val="24"/>
          <w:lang w:val="pl-PL"/>
        </w:rPr>
        <w:t xml:space="preserve"> </w:t>
      </w:r>
      <w:r>
        <w:rPr>
          <w:rFonts w:asciiTheme="minorHAnsi" w:hAnsiTheme="minorHAnsi"/>
          <w:sz w:val="24"/>
          <w:lang w:val="pl-PL"/>
        </w:rPr>
        <w:t>S</w:t>
      </w:r>
      <w:r w:rsidRPr="00B15C52">
        <w:rPr>
          <w:rFonts w:asciiTheme="minorHAnsi" w:hAnsiTheme="minorHAnsi"/>
          <w:sz w:val="24"/>
          <w:lang w:val="pl-PL"/>
        </w:rPr>
        <w:t>kutk</w:t>
      </w:r>
      <w:r>
        <w:rPr>
          <w:rFonts w:asciiTheme="minorHAnsi" w:hAnsiTheme="minorHAnsi"/>
          <w:sz w:val="24"/>
          <w:lang w:val="pl-PL"/>
        </w:rPr>
        <w:t>owało</w:t>
      </w:r>
      <w:r w:rsidRPr="00B15C52">
        <w:rPr>
          <w:rFonts w:asciiTheme="minorHAnsi" w:hAnsiTheme="minorHAnsi"/>
          <w:sz w:val="24"/>
          <w:lang w:val="pl-PL"/>
        </w:rPr>
        <w:t xml:space="preserve"> to </w:t>
      </w:r>
      <w:r>
        <w:rPr>
          <w:rFonts w:asciiTheme="minorHAnsi" w:hAnsiTheme="minorHAnsi"/>
          <w:sz w:val="24"/>
          <w:lang w:val="pl-PL"/>
        </w:rPr>
        <w:t xml:space="preserve">powstaniem </w:t>
      </w:r>
      <w:r w:rsidRPr="00B15C52">
        <w:rPr>
          <w:rFonts w:asciiTheme="minorHAnsi" w:hAnsiTheme="minorHAnsi"/>
          <w:sz w:val="24"/>
          <w:lang w:val="pl-PL"/>
        </w:rPr>
        <w:t>prawnej relacji matka-dziecko. Prawo francuskie ułatwia</w:t>
      </w:r>
      <w:r>
        <w:rPr>
          <w:rFonts w:asciiTheme="minorHAnsi" w:hAnsiTheme="minorHAnsi"/>
          <w:sz w:val="24"/>
          <w:lang w:val="pl-PL"/>
        </w:rPr>
        <w:t>ło ponadto adoptowanie</w:t>
      </w:r>
      <w:r w:rsidRPr="00B15C52">
        <w:rPr>
          <w:rFonts w:asciiTheme="minorHAnsi" w:hAnsiTheme="minorHAnsi"/>
          <w:sz w:val="24"/>
          <w:lang w:val="pl-PL"/>
        </w:rPr>
        <w:t xml:space="preserve"> przez małżonka dziecka drugiego małżonka. </w:t>
      </w:r>
    </w:p>
    <w:p w14:paraId="2FE00EC2" w14:textId="77777777" w:rsidR="00950534" w:rsidRDefault="00950534" w:rsidP="00950534">
      <w:pPr>
        <w:pStyle w:val="ClinContent"/>
        <w:widowControl w:val="0"/>
        <w:spacing w:before="0"/>
        <w:rPr>
          <w:rFonts w:asciiTheme="minorHAnsi" w:hAnsiTheme="minorHAnsi"/>
          <w:sz w:val="24"/>
          <w:lang w:val="pl-PL"/>
        </w:rPr>
      </w:pPr>
    </w:p>
    <w:p w14:paraId="41A2E325" w14:textId="1B977E7B"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Postanowieniem z dnia 16 lutego 2018 r. francuski sąd kontroli wyroków cywilnych uwzględnił wniosek o ponowne zbadanie kasacji od wyroku Sądu Apelacyjnego w Paryżu z</w:t>
      </w:r>
      <w:r w:rsidR="00227D65">
        <w:rPr>
          <w:rFonts w:asciiTheme="minorHAnsi" w:hAnsiTheme="minorHAnsi"/>
          <w:sz w:val="24"/>
          <w:lang w:val="pl-PL"/>
        </w:rPr>
        <w:t> </w:t>
      </w:r>
      <w:r w:rsidRPr="00B15C52">
        <w:rPr>
          <w:rFonts w:asciiTheme="minorHAnsi" w:hAnsiTheme="minorHAnsi"/>
          <w:sz w:val="24"/>
          <w:lang w:val="pl-PL"/>
        </w:rPr>
        <w:t>dnia 18 marca 2010 r. uchylającego wpis</w:t>
      </w:r>
      <w:r>
        <w:rPr>
          <w:rFonts w:asciiTheme="minorHAnsi" w:hAnsiTheme="minorHAnsi"/>
          <w:sz w:val="24"/>
          <w:lang w:val="pl-PL"/>
        </w:rPr>
        <w:t>y</w:t>
      </w:r>
      <w:r w:rsidRPr="00B15C52">
        <w:rPr>
          <w:rFonts w:asciiTheme="minorHAnsi" w:hAnsiTheme="minorHAnsi"/>
          <w:sz w:val="24"/>
          <w:lang w:val="pl-PL"/>
        </w:rPr>
        <w:t xml:space="preserve"> szczegółów amerykańskich aktów urodzenia</w:t>
      </w:r>
      <w:r>
        <w:rPr>
          <w:rFonts w:asciiTheme="minorHAnsi" w:hAnsiTheme="minorHAnsi"/>
          <w:sz w:val="24"/>
          <w:lang w:val="pl-PL"/>
        </w:rPr>
        <w:t xml:space="preserve"> dokonane</w:t>
      </w:r>
      <w:r w:rsidRPr="00B15C52">
        <w:rPr>
          <w:rFonts w:asciiTheme="minorHAnsi" w:hAnsiTheme="minorHAnsi"/>
          <w:sz w:val="24"/>
          <w:lang w:val="pl-PL"/>
        </w:rPr>
        <w:t xml:space="preserve"> we francuskim rejestrze </w:t>
      </w:r>
      <w:r>
        <w:rPr>
          <w:rFonts w:asciiTheme="minorHAnsi" w:hAnsiTheme="minorHAnsi"/>
          <w:sz w:val="24"/>
          <w:lang w:val="pl-PL"/>
        </w:rPr>
        <w:t>stanu cywilnego</w:t>
      </w:r>
      <w:r w:rsidRPr="00B15C52">
        <w:rPr>
          <w:rFonts w:asciiTheme="minorHAnsi" w:hAnsiTheme="minorHAnsi"/>
          <w:sz w:val="24"/>
          <w:lang w:val="pl-PL"/>
        </w:rPr>
        <w:t>. Kasacja ta została złożona w dniu 16</w:t>
      </w:r>
      <w:r w:rsidR="00227D65">
        <w:rPr>
          <w:rFonts w:asciiTheme="minorHAnsi" w:hAnsiTheme="minorHAnsi"/>
          <w:sz w:val="24"/>
          <w:lang w:val="pl-PL"/>
        </w:rPr>
        <w:t> </w:t>
      </w:r>
      <w:r w:rsidRPr="00B15C52">
        <w:rPr>
          <w:rFonts w:asciiTheme="minorHAnsi" w:hAnsiTheme="minorHAnsi"/>
          <w:sz w:val="24"/>
          <w:lang w:val="pl-PL"/>
        </w:rPr>
        <w:t xml:space="preserve">maja 2017 r. przez panią i pana Mennesson, działających jako ustawowi przedstawiciele ich dwojga małoletnich dzieci. </w:t>
      </w:r>
    </w:p>
    <w:p w14:paraId="20F0E4E6" w14:textId="77777777" w:rsidR="00950534" w:rsidRDefault="00950534" w:rsidP="00950534">
      <w:pPr>
        <w:pStyle w:val="ClinContent"/>
        <w:widowControl w:val="0"/>
        <w:spacing w:before="0"/>
        <w:rPr>
          <w:rFonts w:asciiTheme="minorHAnsi" w:hAnsiTheme="minorHAnsi"/>
          <w:sz w:val="24"/>
          <w:lang w:val="pl-PL"/>
        </w:rPr>
      </w:pPr>
    </w:p>
    <w:p w14:paraId="548A18F4"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Wniosek Sądu Kasacyjnego o opinię doradczą Trybunału został złożony w kontekście ponownego rozpoznawania tej kasacji.</w:t>
      </w:r>
    </w:p>
    <w:p w14:paraId="50EC3AD5" w14:textId="77777777" w:rsidR="00950534" w:rsidRDefault="00950534" w:rsidP="00950534">
      <w:pPr>
        <w:pStyle w:val="ClinContent"/>
        <w:widowControl w:val="0"/>
        <w:spacing w:before="0"/>
        <w:rPr>
          <w:rFonts w:asciiTheme="minorHAnsi" w:hAnsiTheme="minorHAnsi"/>
          <w:sz w:val="24"/>
          <w:lang w:val="pl-PL"/>
        </w:rPr>
      </w:pPr>
    </w:p>
    <w:p w14:paraId="1199D054"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zbadał dwa następujące zagadnienia.</w:t>
      </w:r>
      <w:r w:rsidRPr="00B15C52">
        <w:rPr>
          <w:rFonts w:asciiTheme="minorHAnsi" w:hAnsiTheme="minorHAnsi"/>
          <w:sz w:val="24"/>
          <w:lang w:val="pl-PL"/>
        </w:rPr>
        <w:t xml:space="preserve"> </w:t>
      </w:r>
    </w:p>
    <w:p w14:paraId="54D9DCEA" w14:textId="77777777" w:rsidR="00950534" w:rsidRDefault="00950534" w:rsidP="00950534">
      <w:pPr>
        <w:pStyle w:val="ClinContent"/>
        <w:widowControl w:val="0"/>
        <w:spacing w:before="0"/>
        <w:rPr>
          <w:rFonts w:asciiTheme="minorHAnsi" w:hAnsiTheme="minorHAnsi"/>
          <w:sz w:val="24"/>
          <w:lang w:val="pl-PL"/>
        </w:rPr>
      </w:pPr>
    </w:p>
    <w:p w14:paraId="17299BCF" w14:textId="77777777" w:rsidR="00FA6F64" w:rsidRDefault="00FA6F64" w:rsidP="00950534">
      <w:pPr>
        <w:pStyle w:val="ClinContent"/>
        <w:widowControl w:val="0"/>
        <w:spacing w:before="0"/>
        <w:rPr>
          <w:rFonts w:asciiTheme="minorHAnsi" w:hAnsiTheme="minorHAnsi"/>
          <w:sz w:val="24"/>
          <w:lang w:val="pl-PL"/>
        </w:rPr>
      </w:pPr>
    </w:p>
    <w:p w14:paraId="44FCD1E7" w14:textId="68E3933F" w:rsidR="00950534" w:rsidRDefault="00950534" w:rsidP="00950534">
      <w:pPr>
        <w:pStyle w:val="ClinContent"/>
        <w:widowControl w:val="0"/>
        <w:spacing w:before="0"/>
        <w:rPr>
          <w:rFonts w:asciiTheme="minorHAnsi" w:hAnsiTheme="minorHAnsi"/>
          <w:i/>
          <w:sz w:val="24"/>
          <w:lang w:val="pl-PL"/>
        </w:rPr>
      </w:pPr>
      <w:r w:rsidRPr="004B35B4">
        <w:rPr>
          <w:rFonts w:asciiTheme="minorHAnsi" w:hAnsiTheme="minorHAnsi"/>
          <w:iCs/>
          <w:sz w:val="24"/>
          <w:lang w:val="pl-PL"/>
        </w:rPr>
        <w:lastRenderedPageBreak/>
        <w:t>I.</w:t>
      </w:r>
      <w:r>
        <w:rPr>
          <w:rFonts w:asciiTheme="minorHAnsi" w:hAnsiTheme="minorHAnsi"/>
          <w:i/>
          <w:iCs/>
          <w:sz w:val="24"/>
          <w:lang w:val="pl-PL"/>
        </w:rPr>
        <w:t xml:space="preserve"> </w:t>
      </w:r>
      <w:r w:rsidRPr="00B15C52">
        <w:rPr>
          <w:rFonts w:asciiTheme="minorHAnsi" w:hAnsiTheme="minorHAnsi"/>
          <w:i/>
          <w:iCs/>
          <w:sz w:val="24"/>
          <w:lang w:val="pl-PL"/>
        </w:rPr>
        <w:t>Czy prawo do poszanowania życia prywatnego w rozumieniu art. 8 Konwencji dziecka urodzonego za granicą w drodze macierzyństwa zastępczego, które wymaga uznania w</w:t>
      </w:r>
      <w:r w:rsidR="00227D65">
        <w:rPr>
          <w:rFonts w:asciiTheme="minorHAnsi" w:hAnsiTheme="minorHAnsi"/>
          <w:i/>
          <w:iCs/>
          <w:sz w:val="24"/>
          <w:lang w:val="pl-PL"/>
        </w:rPr>
        <w:t> </w:t>
      </w:r>
      <w:r w:rsidRPr="00B15C52">
        <w:rPr>
          <w:rFonts w:asciiTheme="minorHAnsi" w:hAnsiTheme="minorHAnsi"/>
          <w:i/>
          <w:iCs/>
          <w:sz w:val="24"/>
          <w:lang w:val="pl-PL"/>
        </w:rPr>
        <w:t>prawie krajowym relacji prawnej między dzieckiem a zamierzonym ojcem, będącym ojcem biologicznym, wymaga również, by prawo krajowe przewidziało możliwość uznania prawnej relacji rodzic-dziecko z zamierzoną matką, określoną jako „prawna matka” w akcie urodzenia sporządzonym zgodnie z prawem za granicą, w sytuacji gdy dziecko zostało poczęte z</w:t>
      </w:r>
      <w:r w:rsidR="00227D65">
        <w:rPr>
          <w:rFonts w:asciiTheme="minorHAnsi" w:hAnsiTheme="minorHAnsi"/>
          <w:i/>
          <w:iCs/>
          <w:sz w:val="24"/>
          <w:lang w:val="pl-PL"/>
        </w:rPr>
        <w:t> </w:t>
      </w:r>
      <w:r w:rsidRPr="00B15C52">
        <w:rPr>
          <w:rFonts w:asciiTheme="minorHAnsi" w:hAnsiTheme="minorHAnsi"/>
          <w:i/>
          <w:iCs/>
          <w:sz w:val="24"/>
          <w:lang w:val="pl-PL"/>
        </w:rPr>
        <w:t>wykorzystaniem komórek jajowych dawcy – osoby trzeciej i gdy prawna relacja rodzic-dziecko z zamierzonym ojcem z</w:t>
      </w:r>
      <w:r>
        <w:rPr>
          <w:rFonts w:asciiTheme="minorHAnsi" w:hAnsiTheme="minorHAnsi"/>
          <w:i/>
          <w:iCs/>
          <w:sz w:val="24"/>
          <w:lang w:val="pl-PL"/>
        </w:rPr>
        <w:t>ostała uznana w prawie krajowym?</w:t>
      </w:r>
      <w:r w:rsidRPr="00B15C52">
        <w:rPr>
          <w:rFonts w:asciiTheme="minorHAnsi" w:hAnsiTheme="minorHAnsi"/>
          <w:i/>
          <w:iCs/>
          <w:sz w:val="24"/>
          <w:lang w:val="pl-PL"/>
        </w:rPr>
        <w:t xml:space="preserve"> </w:t>
      </w:r>
    </w:p>
    <w:p w14:paraId="320D5D0A" w14:textId="77777777" w:rsidR="00950534" w:rsidRDefault="00950534" w:rsidP="00950534">
      <w:pPr>
        <w:pStyle w:val="ClinContent"/>
        <w:widowControl w:val="0"/>
        <w:spacing w:before="0"/>
        <w:rPr>
          <w:rFonts w:asciiTheme="minorHAnsi" w:hAnsiTheme="minorHAnsi"/>
          <w:i/>
          <w:sz w:val="24"/>
          <w:lang w:val="pl-PL"/>
        </w:rPr>
      </w:pPr>
    </w:p>
    <w:p w14:paraId="45B72578" w14:textId="77777777" w:rsidR="00950534" w:rsidRDefault="00950534" w:rsidP="00950534">
      <w:pPr>
        <w:pStyle w:val="ClinContent"/>
        <w:widowControl w:val="0"/>
        <w:spacing w:before="0"/>
        <w:rPr>
          <w:rFonts w:asciiTheme="minorHAnsi" w:hAnsiTheme="minorHAnsi"/>
          <w:snapToGrid w:val="0"/>
          <w:sz w:val="24"/>
          <w:lang w:val="pl-PL"/>
        </w:rPr>
      </w:pPr>
      <w:r>
        <w:rPr>
          <w:rFonts w:asciiTheme="minorHAnsi" w:hAnsiTheme="minorHAnsi"/>
          <w:snapToGrid w:val="0"/>
          <w:sz w:val="24"/>
          <w:lang w:val="pl-PL"/>
        </w:rPr>
        <w:t xml:space="preserve">Odpowiadając na powyższe pytanie, Trybunał ocenił sprawę z punktu widzenia dobra dziecka i zakresu marginesu oceny dostępnego państwom. </w:t>
      </w:r>
    </w:p>
    <w:p w14:paraId="1E254875" w14:textId="77777777" w:rsidR="00950534" w:rsidRDefault="00950534" w:rsidP="00950534">
      <w:pPr>
        <w:pStyle w:val="ClinContent"/>
        <w:widowControl w:val="0"/>
        <w:spacing w:before="0"/>
        <w:rPr>
          <w:rFonts w:asciiTheme="minorHAnsi" w:hAnsiTheme="minorHAnsi"/>
          <w:snapToGrid w:val="0"/>
          <w:sz w:val="24"/>
          <w:lang w:val="pl-PL"/>
        </w:rPr>
      </w:pPr>
    </w:p>
    <w:p w14:paraId="17597E82" w14:textId="77777777" w:rsidR="00950534" w:rsidRDefault="00950534" w:rsidP="00950534">
      <w:pPr>
        <w:pStyle w:val="ClinContent"/>
        <w:widowControl w:val="0"/>
        <w:spacing w:before="0"/>
        <w:rPr>
          <w:rFonts w:asciiTheme="minorHAnsi" w:hAnsiTheme="minorHAnsi"/>
          <w:snapToGrid w:val="0"/>
          <w:sz w:val="24"/>
          <w:lang w:val="pl-PL"/>
        </w:rPr>
      </w:pPr>
      <w:r w:rsidRPr="00B15C52">
        <w:rPr>
          <w:rFonts w:asciiTheme="minorHAnsi" w:hAnsiTheme="minorHAnsi"/>
          <w:snapToGrid w:val="0"/>
          <w:sz w:val="24"/>
          <w:lang w:val="pl-PL"/>
        </w:rPr>
        <w:t xml:space="preserve">i) </w:t>
      </w:r>
      <w:r w:rsidRPr="003C3D7F">
        <w:rPr>
          <w:rFonts w:asciiTheme="minorHAnsi" w:hAnsiTheme="minorHAnsi"/>
          <w:i/>
          <w:snapToGrid w:val="0"/>
          <w:sz w:val="24"/>
          <w:u w:val="single"/>
          <w:lang w:val="pl-PL"/>
        </w:rPr>
        <w:t>Dobro dziecka</w:t>
      </w:r>
    </w:p>
    <w:p w14:paraId="5F56F813" w14:textId="77777777" w:rsidR="00950534" w:rsidRDefault="00950534" w:rsidP="00950534">
      <w:pPr>
        <w:pStyle w:val="ClinContent"/>
        <w:widowControl w:val="0"/>
        <w:spacing w:before="0"/>
        <w:rPr>
          <w:rFonts w:asciiTheme="minorHAnsi" w:hAnsiTheme="minorHAnsi"/>
          <w:snapToGrid w:val="0"/>
          <w:sz w:val="24"/>
          <w:lang w:val="pl-PL"/>
        </w:rPr>
      </w:pPr>
    </w:p>
    <w:p w14:paraId="2677C93F" w14:textId="4FE5768A" w:rsidR="00950534" w:rsidRDefault="00950534" w:rsidP="00950534">
      <w:pPr>
        <w:pStyle w:val="ClinContent"/>
        <w:widowControl w:val="0"/>
        <w:spacing w:before="0"/>
        <w:rPr>
          <w:rFonts w:asciiTheme="minorHAnsi" w:hAnsiTheme="minorHAnsi"/>
          <w:snapToGrid w:val="0"/>
          <w:sz w:val="24"/>
          <w:lang w:val="pl-PL"/>
        </w:rPr>
      </w:pPr>
      <w:r>
        <w:rPr>
          <w:rFonts w:asciiTheme="minorHAnsi" w:hAnsiTheme="minorHAnsi"/>
          <w:snapToGrid w:val="0"/>
          <w:sz w:val="24"/>
          <w:lang w:val="pl-PL"/>
        </w:rPr>
        <w:t>Trybunał podkreślił, że b</w:t>
      </w:r>
      <w:r w:rsidRPr="00B15C52">
        <w:rPr>
          <w:rFonts w:asciiTheme="minorHAnsi" w:hAnsiTheme="minorHAnsi"/>
          <w:snapToGrid w:val="0"/>
          <w:sz w:val="24"/>
          <w:lang w:val="pl-PL"/>
        </w:rPr>
        <w:t>rak uznania prawnej relacji między dzieckiem urodzonym w drodze surogacji za granicą a zamierzoną matką ma negatywny wpływ na kilka aspektów prawa dziecka do poszanowania jego życia prywatnego. Generalnie jest to niekorzystne dla dziecka, gdyż sytuuje je w pozycji niepewności prawnej odnośnie do jego tożsamości w</w:t>
      </w:r>
      <w:r w:rsidR="00227D65">
        <w:rPr>
          <w:rFonts w:asciiTheme="minorHAnsi" w:hAnsiTheme="minorHAnsi"/>
          <w:snapToGrid w:val="0"/>
          <w:sz w:val="24"/>
          <w:lang w:val="pl-PL"/>
        </w:rPr>
        <w:t> </w:t>
      </w:r>
      <w:r w:rsidRPr="00B15C52">
        <w:rPr>
          <w:rFonts w:asciiTheme="minorHAnsi" w:hAnsiTheme="minorHAnsi"/>
          <w:snapToGrid w:val="0"/>
          <w:sz w:val="24"/>
          <w:lang w:val="pl-PL"/>
        </w:rPr>
        <w:t xml:space="preserve">społeczeństwie. </w:t>
      </w:r>
    </w:p>
    <w:p w14:paraId="5C702F48" w14:textId="77777777" w:rsidR="00950534" w:rsidRDefault="00950534" w:rsidP="00950534">
      <w:pPr>
        <w:pStyle w:val="ClinContent"/>
        <w:widowControl w:val="0"/>
        <w:spacing w:before="0"/>
        <w:rPr>
          <w:rFonts w:asciiTheme="minorHAnsi" w:hAnsiTheme="minorHAnsi"/>
          <w:snapToGrid w:val="0"/>
          <w:sz w:val="24"/>
          <w:lang w:val="pl-PL"/>
        </w:rPr>
      </w:pPr>
    </w:p>
    <w:p w14:paraId="56D2BC3D" w14:textId="1DC3125B" w:rsidR="00950534" w:rsidRDefault="00950534" w:rsidP="00950534">
      <w:pPr>
        <w:pStyle w:val="ClinContent"/>
        <w:widowControl w:val="0"/>
        <w:spacing w:before="0"/>
        <w:rPr>
          <w:rFonts w:asciiTheme="minorHAnsi" w:hAnsiTheme="minorHAnsi"/>
          <w:snapToGrid w:val="0"/>
          <w:sz w:val="24"/>
          <w:lang w:val="pl-PL"/>
        </w:rPr>
      </w:pPr>
      <w:r w:rsidRPr="00B15C52">
        <w:rPr>
          <w:rFonts w:asciiTheme="minorHAnsi" w:hAnsiTheme="minorHAnsi"/>
          <w:snapToGrid w:val="0"/>
          <w:sz w:val="24"/>
          <w:lang w:val="pl-PL"/>
        </w:rPr>
        <w:t>Ponadto w świetle faktu, że dobro dziecka obejmuje także prawną identyfikację z osobami, które są odpowiedzialne za jego wychowanie, spełnianie jego potrzeb i zapewnianie jego dobrostanu, a także możliwość życia i rozwijania się w stabilnym otoczeniu, generalna i</w:t>
      </w:r>
      <w:r w:rsidR="00227D65">
        <w:rPr>
          <w:rFonts w:asciiTheme="minorHAnsi" w:hAnsiTheme="minorHAnsi"/>
          <w:snapToGrid w:val="0"/>
          <w:sz w:val="24"/>
          <w:lang w:val="pl-PL"/>
        </w:rPr>
        <w:t> </w:t>
      </w:r>
      <w:r w:rsidRPr="00B15C52">
        <w:rPr>
          <w:rFonts w:asciiTheme="minorHAnsi" w:hAnsiTheme="minorHAnsi"/>
          <w:snapToGrid w:val="0"/>
          <w:sz w:val="24"/>
          <w:lang w:val="pl-PL"/>
        </w:rPr>
        <w:t>bezwzględna niemożność uzyskania uznania relacji między dzieckiem urodzonym w drodze surogacji za granicą a zamierzoną matką jest</w:t>
      </w:r>
      <w:r>
        <w:rPr>
          <w:rFonts w:asciiTheme="minorHAnsi" w:hAnsiTheme="minorHAnsi"/>
          <w:snapToGrid w:val="0"/>
          <w:sz w:val="24"/>
          <w:lang w:val="pl-PL"/>
        </w:rPr>
        <w:t xml:space="preserve"> w opinii Trybunału niezgodna z dobrem dziecka. Trybunał podkreślił, że dobro dziecka</w:t>
      </w:r>
      <w:r w:rsidRPr="00B15C52">
        <w:rPr>
          <w:rFonts w:asciiTheme="minorHAnsi" w:hAnsiTheme="minorHAnsi"/>
          <w:snapToGrid w:val="0"/>
          <w:sz w:val="24"/>
          <w:lang w:val="pl-PL"/>
        </w:rPr>
        <w:t xml:space="preserve"> wymaga przynajmniej tego, by każda sytuacja była badana w świetle konkretnych okoliczności sprawy. </w:t>
      </w:r>
    </w:p>
    <w:p w14:paraId="6D8C5D41" w14:textId="77777777" w:rsidR="00950534" w:rsidRDefault="00950534" w:rsidP="00950534">
      <w:pPr>
        <w:pStyle w:val="ClinContent"/>
        <w:widowControl w:val="0"/>
        <w:spacing w:before="0"/>
        <w:rPr>
          <w:rFonts w:asciiTheme="minorHAnsi" w:hAnsiTheme="minorHAnsi"/>
          <w:snapToGrid w:val="0"/>
          <w:sz w:val="24"/>
          <w:lang w:val="pl-PL"/>
        </w:rPr>
      </w:pPr>
    </w:p>
    <w:p w14:paraId="3CE27270" w14:textId="77777777" w:rsidR="00950534" w:rsidRDefault="00950534" w:rsidP="00950534">
      <w:pPr>
        <w:pStyle w:val="ClinContent"/>
        <w:widowControl w:val="0"/>
        <w:spacing w:before="0"/>
        <w:rPr>
          <w:rFonts w:asciiTheme="minorHAnsi" w:hAnsiTheme="minorHAnsi"/>
          <w:i/>
          <w:snapToGrid w:val="0"/>
          <w:sz w:val="24"/>
          <w:lang w:val="pl-PL"/>
        </w:rPr>
      </w:pPr>
      <w:r w:rsidRPr="00B15C52">
        <w:rPr>
          <w:rFonts w:asciiTheme="minorHAnsi" w:hAnsiTheme="minorHAnsi"/>
          <w:snapToGrid w:val="0"/>
          <w:sz w:val="24"/>
          <w:lang w:val="pl-PL"/>
        </w:rPr>
        <w:t xml:space="preserve">ii) </w:t>
      </w:r>
      <w:r w:rsidRPr="003C3D7F">
        <w:rPr>
          <w:rFonts w:asciiTheme="minorHAnsi" w:hAnsiTheme="minorHAnsi"/>
          <w:i/>
          <w:snapToGrid w:val="0"/>
          <w:sz w:val="24"/>
          <w:u w:val="single"/>
          <w:lang w:val="pl-PL"/>
        </w:rPr>
        <w:t>Zakres marginesu oceny dostępnego państwom stronom Konwencji</w:t>
      </w:r>
    </w:p>
    <w:p w14:paraId="564CF4D9" w14:textId="77777777" w:rsidR="00950534" w:rsidRDefault="00950534" w:rsidP="00950534">
      <w:pPr>
        <w:pStyle w:val="ClinContent"/>
        <w:widowControl w:val="0"/>
        <w:spacing w:before="0"/>
        <w:rPr>
          <w:rFonts w:asciiTheme="minorHAnsi" w:hAnsiTheme="minorHAnsi"/>
          <w:i/>
          <w:snapToGrid w:val="0"/>
          <w:sz w:val="24"/>
          <w:lang w:val="pl-PL"/>
        </w:rPr>
      </w:pPr>
    </w:p>
    <w:p w14:paraId="615A1194" w14:textId="77777777" w:rsidR="00950534" w:rsidRDefault="00950534" w:rsidP="00950534">
      <w:pPr>
        <w:pStyle w:val="ClinContent"/>
        <w:widowControl w:val="0"/>
        <w:spacing w:before="0"/>
        <w:rPr>
          <w:rFonts w:asciiTheme="minorHAnsi" w:hAnsiTheme="minorHAnsi"/>
          <w:snapToGrid w:val="0"/>
          <w:sz w:val="24"/>
          <w:lang w:val="pl-PL"/>
        </w:rPr>
      </w:pPr>
      <w:r>
        <w:rPr>
          <w:rFonts w:asciiTheme="minorHAnsi" w:hAnsiTheme="minorHAnsi"/>
          <w:snapToGrid w:val="0"/>
          <w:sz w:val="24"/>
          <w:lang w:val="pl-PL"/>
        </w:rPr>
        <w:t xml:space="preserve">Odnotowując </w:t>
      </w:r>
      <w:r w:rsidRPr="00B15C52">
        <w:rPr>
          <w:rFonts w:asciiTheme="minorHAnsi" w:hAnsiTheme="minorHAnsi"/>
          <w:snapToGrid w:val="0"/>
          <w:sz w:val="24"/>
          <w:lang w:val="pl-PL"/>
        </w:rPr>
        <w:t>pew</w:t>
      </w:r>
      <w:r>
        <w:rPr>
          <w:rFonts w:asciiTheme="minorHAnsi" w:hAnsiTheme="minorHAnsi"/>
          <w:snapToGrid w:val="0"/>
          <w:sz w:val="24"/>
          <w:lang w:val="pl-PL"/>
        </w:rPr>
        <w:t>ien trend</w:t>
      </w:r>
      <w:r w:rsidRPr="00B15C52">
        <w:rPr>
          <w:rFonts w:asciiTheme="minorHAnsi" w:hAnsiTheme="minorHAnsi"/>
          <w:snapToGrid w:val="0"/>
          <w:sz w:val="24"/>
          <w:lang w:val="pl-PL"/>
        </w:rPr>
        <w:t xml:space="preserve"> w kierunku umożliwienia prawnego uznania relacji między dzieckiem poczętym w drodze macierzyństwa zastępczego za granicą a zamierzonymi rodzicami, </w:t>
      </w:r>
      <w:r>
        <w:rPr>
          <w:rFonts w:asciiTheme="minorHAnsi" w:hAnsiTheme="minorHAnsi"/>
          <w:snapToGrid w:val="0"/>
          <w:sz w:val="24"/>
          <w:lang w:val="pl-PL"/>
        </w:rPr>
        <w:t xml:space="preserve">Trybunał uznał jednak, że </w:t>
      </w:r>
      <w:r w:rsidRPr="00B15C52">
        <w:rPr>
          <w:rFonts w:asciiTheme="minorHAnsi" w:hAnsiTheme="minorHAnsi"/>
          <w:snapToGrid w:val="0"/>
          <w:sz w:val="24"/>
          <w:lang w:val="pl-PL"/>
        </w:rPr>
        <w:t xml:space="preserve">nie ma w tej sprawie konsensusu w Europie. </w:t>
      </w:r>
    </w:p>
    <w:p w14:paraId="5761586B" w14:textId="77777777" w:rsidR="00950534" w:rsidRDefault="00950534" w:rsidP="00950534">
      <w:pPr>
        <w:pStyle w:val="ClinContent"/>
        <w:widowControl w:val="0"/>
        <w:spacing w:before="0"/>
        <w:rPr>
          <w:rFonts w:asciiTheme="minorHAnsi" w:hAnsiTheme="minorHAnsi"/>
          <w:snapToGrid w:val="0"/>
          <w:sz w:val="24"/>
          <w:lang w:val="pl-PL"/>
        </w:rPr>
      </w:pPr>
    </w:p>
    <w:p w14:paraId="4C89F22A" w14:textId="6D636F71" w:rsidR="00950534" w:rsidRDefault="00950534" w:rsidP="00950534">
      <w:pPr>
        <w:pStyle w:val="ClinContent"/>
        <w:widowControl w:val="0"/>
        <w:spacing w:before="0"/>
        <w:rPr>
          <w:rFonts w:asciiTheme="minorHAnsi" w:hAnsiTheme="minorHAnsi"/>
          <w:snapToGrid w:val="0"/>
          <w:sz w:val="24"/>
          <w:lang w:val="pl-PL"/>
        </w:rPr>
      </w:pPr>
      <w:r>
        <w:rPr>
          <w:rFonts w:asciiTheme="minorHAnsi" w:hAnsiTheme="minorHAnsi"/>
          <w:snapToGrid w:val="0"/>
          <w:sz w:val="24"/>
          <w:lang w:val="pl-PL"/>
        </w:rPr>
        <w:t xml:space="preserve">Przypomniał, że </w:t>
      </w:r>
      <w:r w:rsidRPr="00B15C52">
        <w:rPr>
          <w:rFonts w:asciiTheme="minorHAnsi" w:hAnsiTheme="minorHAnsi"/>
          <w:snapToGrid w:val="0"/>
          <w:sz w:val="24"/>
          <w:lang w:val="pl-PL"/>
        </w:rPr>
        <w:t>gdy w grę wchodzi szczególnie ważny aspekt tożsamości jednostki, tak jak w</w:t>
      </w:r>
      <w:r w:rsidR="00227D65">
        <w:rPr>
          <w:rFonts w:asciiTheme="minorHAnsi" w:hAnsiTheme="minorHAnsi"/>
          <w:snapToGrid w:val="0"/>
          <w:sz w:val="24"/>
          <w:lang w:val="pl-PL"/>
        </w:rPr>
        <w:t> </w:t>
      </w:r>
      <w:r w:rsidRPr="00B15C52">
        <w:rPr>
          <w:rFonts w:asciiTheme="minorHAnsi" w:hAnsiTheme="minorHAnsi"/>
          <w:snapToGrid w:val="0"/>
          <w:sz w:val="24"/>
          <w:lang w:val="pl-PL"/>
        </w:rPr>
        <w:t xml:space="preserve">przypadku, gdy chodzi o prawną relację między rodzicem a dzieckiem, margines przyznany państwu jest zwykle ograniczony. Ponadto, gdy sprawa dotyczy otoczenia, w </w:t>
      </w:r>
      <w:r>
        <w:rPr>
          <w:rFonts w:asciiTheme="minorHAnsi" w:hAnsiTheme="minorHAnsi"/>
          <w:snapToGrid w:val="0"/>
          <w:sz w:val="24"/>
          <w:lang w:val="pl-PL"/>
        </w:rPr>
        <w:t xml:space="preserve">jakim </w:t>
      </w:r>
      <w:r w:rsidRPr="00B15C52">
        <w:rPr>
          <w:rFonts w:asciiTheme="minorHAnsi" w:hAnsiTheme="minorHAnsi"/>
          <w:snapToGrid w:val="0"/>
          <w:sz w:val="24"/>
          <w:lang w:val="pl-PL"/>
        </w:rPr>
        <w:t>żyją i</w:t>
      </w:r>
      <w:r w:rsidR="00227D65">
        <w:rPr>
          <w:rFonts w:asciiTheme="minorHAnsi" w:hAnsiTheme="minorHAnsi"/>
          <w:snapToGrid w:val="0"/>
          <w:sz w:val="24"/>
          <w:lang w:val="pl-PL"/>
        </w:rPr>
        <w:t> </w:t>
      </w:r>
      <w:r w:rsidRPr="00B15C52">
        <w:rPr>
          <w:rFonts w:asciiTheme="minorHAnsi" w:hAnsiTheme="minorHAnsi"/>
          <w:snapToGrid w:val="0"/>
          <w:sz w:val="24"/>
          <w:lang w:val="pl-PL"/>
        </w:rPr>
        <w:t>rozwijają się</w:t>
      </w:r>
      <w:r>
        <w:rPr>
          <w:rFonts w:asciiTheme="minorHAnsi" w:hAnsiTheme="minorHAnsi"/>
          <w:snapToGrid w:val="0"/>
          <w:sz w:val="24"/>
          <w:lang w:val="pl-PL"/>
        </w:rPr>
        <w:t xml:space="preserve"> dzieci</w:t>
      </w:r>
      <w:r w:rsidRPr="00B15C52">
        <w:rPr>
          <w:rFonts w:asciiTheme="minorHAnsi" w:hAnsiTheme="minorHAnsi"/>
          <w:snapToGrid w:val="0"/>
          <w:sz w:val="24"/>
          <w:lang w:val="pl-PL"/>
        </w:rPr>
        <w:t>, oraz osób odpowiedzialnych za spełnienie ich potrzeb i zapewnianie ich dobrostanu, w grę wchodzić mogą inne zasadnicze aspekty życia prywatnego dzieci. To</w:t>
      </w:r>
      <w:r w:rsidR="00227D65">
        <w:rPr>
          <w:rFonts w:asciiTheme="minorHAnsi" w:hAnsiTheme="minorHAnsi"/>
          <w:snapToGrid w:val="0"/>
          <w:sz w:val="24"/>
          <w:lang w:val="pl-PL"/>
        </w:rPr>
        <w:t> </w:t>
      </w:r>
      <w:r w:rsidRPr="00B15C52">
        <w:rPr>
          <w:rFonts w:asciiTheme="minorHAnsi" w:hAnsiTheme="minorHAnsi"/>
          <w:snapToGrid w:val="0"/>
          <w:sz w:val="24"/>
          <w:lang w:val="pl-PL"/>
        </w:rPr>
        <w:t xml:space="preserve">dodatkowo </w:t>
      </w:r>
      <w:r>
        <w:rPr>
          <w:rFonts w:asciiTheme="minorHAnsi" w:hAnsiTheme="minorHAnsi"/>
          <w:snapToGrid w:val="0"/>
          <w:sz w:val="24"/>
          <w:lang w:val="pl-PL"/>
        </w:rPr>
        <w:t>przemawia za s</w:t>
      </w:r>
      <w:r w:rsidRPr="00B15C52">
        <w:rPr>
          <w:rFonts w:asciiTheme="minorHAnsi" w:hAnsiTheme="minorHAnsi"/>
          <w:snapToGrid w:val="0"/>
          <w:sz w:val="24"/>
          <w:lang w:val="pl-PL"/>
        </w:rPr>
        <w:t>twierdzenie</w:t>
      </w:r>
      <w:r>
        <w:rPr>
          <w:rFonts w:asciiTheme="minorHAnsi" w:hAnsiTheme="minorHAnsi"/>
          <w:snapToGrid w:val="0"/>
          <w:sz w:val="24"/>
          <w:lang w:val="pl-PL"/>
        </w:rPr>
        <w:t>m</w:t>
      </w:r>
      <w:r w:rsidRPr="00B15C52">
        <w:rPr>
          <w:rFonts w:asciiTheme="minorHAnsi" w:hAnsiTheme="minorHAnsi"/>
          <w:snapToGrid w:val="0"/>
          <w:sz w:val="24"/>
          <w:lang w:val="pl-PL"/>
        </w:rPr>
        <w:t xml:space="preserve"> Trybunału </w:t>
      </w:r>
      <w:r>
        <w:rPr>
          <w:rFonts w:asciiTheme="minorHAnsi" w:hAnsiTheme="minorHAnsi"/>
          <w:snapToGrid w:val="0"/>
          <w:sz w:val="24"/>
          <w:lang w:val="pl-PL"/>
        </w:rPr>
        <w:t>dotyczącym zmniejszenia marginesu</w:t>
      </w:r>
      <w:r w:rsidRPr="00B15C52">
        <w:rPr>
          <w:rFonts w:asciiTheme="minorHAnsi" w:hAnsiTheme="minorHAnsi"/>
          <w:snapToGrid w:val="0"/>
          <w:sz w:val="24"/>
          <w:lang w:val="pl-PL"/>
        </w:rPr>
        <w:t xml:space="preserve"> oceny.</w:t>
      </w:r>
      <w:r>
        <w:rPr>
          <w:rFonts w:asciiTheme="minorHAnsi" w:hAnsiTheme="minorHAnsi"/>
          <w:snapToGrid w:val="0"/>
          <w:sz w:val="24"/>
          <w:lang w:val="pl-PL"/>
        </w:rPr>
        <w:t xml:space="preserve"> </w:t>
      </w:r>
    </w:p>
    <w:p w14:paraId="631C014F" w14:textId="77777777" w:rsidR="00950534" w:rsidRDefault="00950534" w:rsidP="00950534">
      <w:pPr>
        <w:pStyle w:val="ClinContent"/>
        <w:widowControl w:val="0"/>
        <w:spacing w:before="0"/>
        <w:rPr>
          <w:rFonts w:asciiTheme="minorHAnsi" w:hAnsiTheme="minorHAnsi"/>
          <w:snapToGrid w:val="0"/>
          <w:sz w:val="24"/>
          <w:lang w:val="pl-PL"/>
        </w:rPr>
      </w:pPr>
    </w:p>
    <w:p w14:paraId="446B1B8D" w14:textId="03392C01"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Z</w:t>
      </w:r>
      <w:r w:rsidRPr="00B15C52">
        <w:rPr>
          <w:rFonts w:asciiTheme="minorHAnsi" w:hAnsiTheme="minorHAnsi"/>
          <w:sz w:val="24"/>
          <w:lang w:val="pl-PL"/>
        </w:rPr>
        <w:t>ważywszy na wymogi dotyczące dobra dziecka i ograniczony margines oceny</w:t>
      </w:r>
      <w:r>
        <w:rPr>
          <w:rFonts w:asciiTheme="minorHAnsi" w:hAnsiTheme="minorHAnsi"/>
          <w:sz w:val="24"/>
          <w:lang w:val="pl-PL"/>
        </w:rPr>
        <w:t xml:space="preserve"> w tej sprawie</w:t>
      </w:r>
      <w:r w:rsidRPr="00B15C52">
        <w:rPr>
          <w:rFonts w:asciiTheme="minorHAnsi" w:hAnsiTheme="minorHAnsi"/>
          <w:sz w:val="24"/>
          <w:lang w:val="pl-PL"/>
        </w:rPr>
        <w:t>,</w:t>
      </w:r>
      <w:r>
        <w:rPr>
          <w:rFonts w:asciiTheme="minorHAnsi" w:hAnsiTheme="minorHAnsi"/>
          <w:sz w:val="24"/>
          <w:lang w:val="pl-PL"/>
        </w:rPr>
        <w:t xml:space="preserve"> w jednogłośnej opinii Trybunału</w:t>
      </w:r>
      <w:r w:rsidRPr="00B15C52">
        <w:rPr>
          <w:rFonts w:asciiTheme="minorHAnsi" w:hAnsiTheme="minorHAnsi"/>
          <w:sz w:val="24"/>
          <w:lang w:val="pl-PL"/>
        </w:rPr>
        <w:t xml:space="preserve"> prawo do poszanowania życia prywatnego dziecka urodzonego za granicą w drodze macierzyństwa zastępczego wymaga, by prawo krajowe przewidywało możliwość uznania prawnej relacji rodzic-dziecko z zamierzoną matką wskazaną jako „matka prawna” w akcie urodzenia sporządzonym zgodnie z prawem za</w:t>
      </w:r>
      <w:r w:rsidR="00227D65">
        <w:rPr>
          <w:rFonts w:asciiTheme="minorHAnsi" w:hAnsiTheme="minorHAnsi"/>
          <w:sz w:val="24"/>
          <w:lang w:val="pl-PL"/>
        </w:rPr>
        <w:t> </w:t>
      </w:r>
      <w:r w:rsidRPr="00B15C52">
        <w:rPr>
          <w:rFonts w:asciiTheme="minorHAnsi" w:hAnsiTheme="minorHAnsi"/>
          <w:sz w:val="24"/>
          <w:lang w:val="pl-PL"/>
        </w:rPr>
        <w:t xml:space="preserve">granicą. </w:t>
      </w:r>
    </w:p>
    <w:p w14:paraId="5C0CC09F" w14:textId="77777777" w:rsidR="00950534" w:rsidRDefault="00950534" w:rsidP="00950534">
      <w:pPr>
        <w:pStyle w:val="ClinContent"/>
        <w:widowControl w:val="0"/>
        <w:spacing w:before="0"/>
        <w:rPr>
          <w:rFonts w:asciiTheme="minorHAnsi" w:hAnsiTheme="minorHAnsi"/>
          <w:sz w:val="24"/>
          <w:lang w:val="pl-PL"/>
        </w:rPr>
      </w:pPr>
    </w:p>
    <w:p w14:paraId="704669C7"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iCs/>
          <w:sz w:val="24"/>
          <w:lang w:val="pl-PL"/>
        </w:rPr>
        <w:t xml:space="preserve">b) </w:t>
      </w:r>
      <w:r w:rsidRPr="003C3D7F">
        <w:rPr>
          <w:rFonts w:asciiTheme="minorHAnsi" w:hAnsiTheme="minorHAnsi"/>
          <w:i/>
          <w:iCs/>
          <w:sz w:val="24"/>
          <w:lang w:val="pl-PL"/>
        </w:rPr>
        <w:t>W</w:t>
      </w:r>
      <w:r w:rsidRPr="00B15C52">
        <w:rPr>
          <w:rFonts w:asciiTheme="minorHAnsi" w:hAnsiTheme="minorHAnsi"/>
          <w:i/>
          <w:iCs/>
          <w:sz w:val="24"/>
          <w:lang w:val="pl-PL"/>
        </w:rPr>
        <w:t xml:space="preserve"> sytuacji, gdy dziecko zostało poczęte z wykorzystaniem komórek jajowych dawcy - osoby trzeciej, czy prawo do poszanowania życia prywatnego dziecka urodzonego w drodze umowy o macierzyństwie zastępczym za granicą wymaga, by uznanie prawnej relacji rodzic-dziecko z zamierzoną matką nastąpiło w formie wpisu szczegółów aktu urodzenia sporządzonego zgodnie z prawem za granicą do rejestru </w:t>
      </w:r>
      <w:r>
        <w:rPr>
          <w:rFonts w:asciiTheme="minorHAnsi" w:hAnsiTheme="minorHAnsi"/>
          <w:i/>
          <w:iCs/>
          <w:sz w:val="24"/>
          <w:lang w:val="pl-PL"/>
        </w:rPr>
        <w:t>stanu cywilnego</w:t>
      </w:r>
      <w:r w:rsidRPr="00B15C52">
        <w:rPr>
          <w:rFonts w:asciiTheme="minorHAnsi" w:hAnsiTheme="minorHAnsi"/>
          <w:i/>
          <w:iCs/>
          <w:sz w:val="24"/>
          <w:lang w:val="pl-PL"/>
        </w:rPr>
        <w:t>, czy też może dopuszczać ono użycie innych środków, takich jak adopcja dziecka przez zamierzoną matkę</w:t>
      </w:r>
      <w:r>
        <w:rPr>
          <w:rFonts w:asciiTheme="minorHAnsi" w:hAnsiTheme="minorHAnsi"/>
          <w:iCs/>
          <w:sz w:val="24"/>
          <w:lang w:val="pl-PL"/>
        </w:rPr>
        <w:t>?</w:t>
      </w:r>
    </w:p>
    <w:p w14:paraId="5854E536" w14:textId="77777777" w:rsidR="00950534" w:rsidRDefault="00950534" w:rsidP="00950534">
      <w:pPr>
        <w:pStyle w:val="ClinContent"/>
        <w:widowControl w:val="0"/>
        <w:spacing w:before="0"/>
        <w:rPr>
          <w:rFonts w:asciiTheme="minorHAnsi" w:hAnsiTheme="minorHAnsi"/>
          <w:sz w:val="24"/>
          <w:lang w:val="pl-PL"/>
        </w:rPr>
      </w:pPr>
    </w:p>
    <w:p w14:paraId="4BEA3470" w14:textId="6E25AA99"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 xml:space="preserve">Odpowiadając na powyższe pytanie Trybunał zauważył, że </w:t>
      </w:r>
      <w:r w:rsidRPr="00B15C52">
        <w:rPr>
          <w:rFonts w:asciiTheme="minorHAnsi" w:hAnsiTheme="minorHAnsi"/>
          <w:sz w:val="24"/>
          <w:lang w:val="pl-PL"/>
        </w:rPr>
        <w:t>tożsamość jednostki wchodzi w</w:t>
      </w:r>
      <w:r w:rsidR="00227D65">
        <w:rPr>
          <w:rFonts w:asciiTheme="minorHAnsi" w:hAnsiTheme="minorHAnsi"/>
          <w:sz w:val="24"/>
          <w:lang w:val="pl-PL"/>
        </w:rPr>
        <w:t> </w:t>
      </w:r>
      <w:r w:rsidRPr="00B15C52">
        <w:rPr>
          <w:rFonts w:asciiTheme="minorHAnsi" w:hAnsiTheme="minorHAnsi"/>
          <w:sz w:val="24"/>
          <w:lang w:val="pl-PL"/>
        </w:rPr>
        <w:t>grę w mniejszym stopniu</w:t>
      </w:r>
      <w:r>
        <w:rPr>
          <w:rFonts w:asciiTheme="minorHAnsi" w:hAnsiTheme="minorHAnsi"/>
          <w:sz w:val="24"/>
          <w:lang w:val="pl-PL"/>
        </w:rPr>
        <w:t xml:space="preserve">, gdy zagadnienie </w:t>
      </w:r>
      <w:r w:rsidRPr="00B15C52">
        <w:rPr>
          <w:rFonts w:asciiTheme="minorHAnsi" w:hAnsiTheme="minorHAnsi"/>
          <w:sz w:val="24"/>
          <w:lang w:val="pl-PL"/>
        </w:rPr>
        <w:t xml:space="preserve">dotyczy </w:t>
      </w:r>
      <w:r>
        <w:rPr>
          <w:rFonts w:asciiTheme="minorHAnsi" w:hAnsiTheme="minorHAnsi"/>
          <w:sz w:val="24"/>
          <w:lang w:val="pl-PL"/>
        </w:rPr>
        <w:t xml:space="preserve">nie </w:t>
      </w:r>
      <w:r w:rsidRPr="00B15C52">
        <w:rPr>
          <w:rFonts w:asciiTheme="minorHAnsi" w:hAnsiTheme="minorHAnsi"/>
          <w:sz w:val="24"/>
          <w:lang w:val="pl-PL"/>
        </w:rPr>
        <w:t>samej zasady ustanowienia lub</w:t>
      </w:r>
      <w:r w:rsidR="00227D65">
        <w:rPr>
          <w:rFonts w:asciiTheme="minorHAnsi" w:hAnsiTheme="minorHAnsi"/>
          <w:sz w:val="24"/>
          <w:lang w:val="pl-PL"/>
        </w:rPr>
        <w:t> </w:t>
      </w:r>
      <w:r w:rsidRPr="00B15C52">
        <w:rPr>
          <w:rFonts w:asciiTheme="minorHAnsi" w:hAnsiTheme="minorHAnsi"/>
          <w:sz w:val="24"/>
          <w:lang w:val="pl-PL"/>
        </w:rPr>
        <w:t xml:space="preserve">uznania rodzicielstwa osoby, a raczej środków, </w:t>
      </w:r>
      <w:r>
        <w:rPr>
          <w:rFonts w:asciiTheme="minorHAnsi" w:hAnsiTheme="minorHAnsi"/>
          <w:sz w:val="24"/>
          <w:lang w:val="pl-PL"/>
        </w:rPr>
        <w:t xml:space="preserve">jakie </w:t>
      </w:r>
      <w:r w:rsidRPr="00B15C52">
        <w:rPr>
          <w:rFonts w:asciiTheme="minorHAnsi" w:hAnsiTheme="minorHAnsi"/>
          <w:sz w:val="24"/>
          <w:lang w:val="pl-PL"/>
        </w:rPr>
        <w:t>należy przyjąć w tym celu. W</w:t>
      </w:r>
      <w:r w:rsidR="00227D65">
        <w:rPr>
          <w:rFonts w:asciiTheme="minorHAnsi" w:hAnsiTheme="minorHAnsi"/>
          <w:sz w:val="24"/>
          <w:lang w:val="pl-PL"/>
        </w:rPr>
        <w:t> </w:t>
      </w:r>
      <w:r w:rsidRPr="00B15C52">
        <w:rPr>
          <w:rFonts w:asciiTheme="minorHAnsi" w:hAnsiTheme="minorHAnsi"/>
          <w:sz w:val="24"/>
          <w:lang w:val="pl-PL"/>
        </w:rPr>
        <w:t xml:space="preserve">związku z powyższym, mając na uwadze, że w tej kwestii brak jest konsensusu w Europie, wybór środków pozwalających na uznanie prawnej relacji między dzieckiem a zamierzonymi rodzicami wchodzi w zakres marginesu oceny państwa. </w:t>
      </w:r>
    </w:p>
    <w:p w14:paraId="72EA9522" w14:textId="77777777" w:rsidR="00950534" w:rsidRDefault="00950534" w:rsidP="00950534">
      <w:pPr>
        <w:pStyle w:val="ClinContent"/>
        <w:widowControl w:val="0"/>
        <w:spacing w:before="0"/>
        <w:rPr>
          <w:rFonts w:asciiTheme="minorHAnsi" w:hAnsiTheme="minorHAnsi"/>
          <w:sz w:val="24"/>
          <w:lang w:val="pl-PL"/>
        </w:rPr>
      </w:pPr>
    </w:p>
    <w:p w14:paraId="2C68417F" w14:textId="77777777"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Ponadto </w:t>
      </w:r>
      <w:r>
        <w:rPr>
          <w:rFonts w:asciiTheme="minorHAnsi" w:hAnsiTheme="minorHAnsi"/>
          <w:sz w:val="24"/>
          <w:lang w:val="pl-PL"/>
        </w:rPr>
        <w:t xml:space="preserve">Trybunał podkreślił, że </w:t>
      </w:r>
      <w:r w:rsidRPr="00B15C52">
        <w:rPr>
          <w:rFonts w:asciiTheme="minorHAnsi" w:hAnsiTheme="minorHAnsi"/>
          <w:sz w:val="24"/>
          <w:lang w:val="pl-PL"/>
        </w:rPr>
        <w:t xml:space="preserve">dobro dziecka, które należy oceniać głównie </w:t>
      </w:r>
      <w:r w:rsidRPr="00B15C52">
        <w:rPr>
          <w:rFonts w:asciiTheme="minorHAnsi" w:hAnsiTheme="minorHAnsi"/>
          <w:i/>
          <w:sz w:val="24"/>
          <w:lang w:val="pl-PL"/>
        </w:rPr>
        <w:t>in concreto</w:t>
      </w:r>
      <w:r w:rsidRPr="00B15C52">
        <w:rPr>
          <w:rFonts w:asciiTheme="minorHAnsi" w:hAnsiTheme="minorHAnsi"/>
          <w:sz w:val="24"/>
          <w:lang w:val="pl-PL"/>
        </w:rPr>
        <w:t>, wymaga umożliwienia uznania relacji ustanowionej</w:t>
      </w:r>
      <w:r w:rsidRPr="00B15C52">
        <w:rPr>
          <w:rFonts w:asciiTheme="minorHAnsi" w:hAnsiTheme="minorHAnsi"/>
          <w:i/>
          <w:sz w:val="24"/>
          <w:lang w:val="pl-PL"/>
        </w:rPr>
        <w:t xml:space="preserve"> </w:t>
      </w:r>
      <w:r w:rsidRPr="00B15C52">
        <w:rPr>
          <w:rFonts w:asciiTheme="minorHAnsi" w:hAnsiTheme="minorHAnsi"/>
          <w:sz w:val="24"/>
          <w:lang w:val="pl-PL"/>
        </w:rPr>
        <w:t xml:space="preserve">zgodnie z prawem za granicą najpóźniej, gdy urzeczywistni się ona w praktyce. To w zasadzie przede wszystkim do władz krajowych należy ocenianie w konkretnych okolicznościach sprawy, czy i kiedy wspomniana relacja stała się rzeczywista w praktyce. </w:t>
      </w:r>
    </w:p>
    <w:p w14:paraId="36A580A0" w14:textId="77777777" w:rsidR="00950534" w:rsidRDefault="00950534" w:rsidP="00950534">
      <w:pPr>
        <w:pStyle w:val="ClinContent"/>
        <w:widowControl w:val="0"/>
        <w:spacing w:before="0"/>
        <w:rPr>
          <w:rFonts w:asciiTheme="minorHAnsi" w:hAnsiTheme="minorHAnsi"/>
          <w:sz w:val="24"/>
          <w:lang w:val="pl-PL"/>
        </w:rPr>
      </w:pPr>
    </w:p>
    <w:p w14:paraId="06444BA7" w14:textId="01E02247" w:rsidR="00950534" w:rsidRDefault="00950534" w:rsidP="00950534">
      <w:pPr>
        <w:pStyle w:val="ClinContent"/>
        <w:widowControl w:val="0"/>
        <w:spacing w:before="0"/>
        <w:rPr>
          <w:rFonts w:asciiTheme="minorHAnsi" w:eastAsia="Calibri" w:hAnsiTheme="minorHAnsi"/>
          <w:sz w:val="24"/>
          <w:lang w:val="pl-PL" w:eastAsia="fr-FR"/>
        </w:rPr>
      </w:pPr>
      <w:r w:rsidRPr="00B15C52">
        <w:rPr>
          <w:rFonts w:asciiTheme="minorHAnsi" w:hAnsiTheme="minorHAnsi"/>
          <w:sz w:val="24"/>
          <w:lang w:val="pl-PL"/>
        </w:rPr>
        <w:t>Dobro dziecka nie może być jednak ujmowane w taki sposób, by oznaczało ono, że uznanie prawnej relacji rodzic-dziecko między dzieckiem a zamierzoną matką pociąga za sobą obowiązek państwa zarejestrowania szczegółów zagranicznego aktu urodzenia w zakresie, w</w:t>
      </w:r>
      <w:r w:rsidR="00227D65">
        <w:rPr>
          <w:rFonts w:asciiTheme="minorHAnsi" w:hAnsiTheme="minorHAnsi"/>
          <w:sz w:val="24"/>
          <w:lang w:val="pl-PL"/>
        </w:rPr>
        <w:t> </w:t>
      </w:r>
      <w:r w:rsidRPr="00B15C52">
        <w:rPr>
          <w:rFonts w:asciiTheme="minorHAnsi" w:hAnsiTheme="minorHAnsi"/>
          <w:sz w:val="24"/>
          <w:lang w:val="pl-PL"/>
        </w:rPr>
        <w:t>jakim określają one zamierzoną matkę jako matkę prawną. W zależności od okoliczności każdej sprawy również inne środki mogą w odpowiedni sposób służyć dobru dziecka, w</w:t>
      </w:r>
      <w:r w:rsidR="00227D65">
        <w:rPr>
          <w:rFonts w:asciiTheme="minorHAnsi" w:hAnsiTheme="minorHAnsi"/>
          <w:sz w:val="24"/>
          <w:lang w:val="pl-PL"/>
        </w:rPr>
        <w:t> </w:t>
      </w:r>
      <w:r w:rsidRPr="00B15C52">
        <w:rPr>
          <w:rFonts w:asciiTheme="minorHAnsi" w:hAnsiTheme="minorHAnsi"/>
          <w:sz w:val="24"/>
          <w:lang w:val="pl-PL"/>
        </w:rPr>
        <w:t>tym</w:t>
      </w:r>
      <w:r w:rsidR="00227D65">
        <w:rPr>
          <w:rFonts w:asciiTheme="minorHAnsi" w:hAnsiTheme="minorHAnsi"/>
          <w:sz w:val="24"/>
          <w:lang w:val="pl-PL"/>
        </w:rPr>
        <w:t> </w:t>
      </w:r>
      <w:r w:rsidRPr="00B15C52">
        <w:rPr>
          <w:rFonts w:asciiTheme="minorHAnsi" w:hAnsiTheme="minorHAnsi"/>
          <w:sz w:val="24"/>
          <w:lang w:val="pl-PL"/>
        </w:rPr>
        <w:t xml:space="preserve">adopcja, która w zakresie uznania relacji wywołuje podobne skutki jak rejestracja szczegółów zagranicznego aktu urodzenia. </w:t>
      </w:r>
    </w:p>
    <w:p w14:paraId="0516EAC3" w14:textId="77777777" w:rsidR="00950534" w:rsidRDefault="00950534" w:rsidP="00950534">
      <w:pPr>
        <w:pStyle w:val="ClinContent"/>
        <w:widowControl w:val="0"/>
        <w:spacing w:before="0"/>
        <w:rPr>
          <w:rFonts w:asciiTheme="minorHAnsi" w:eastAsia="Calibri" w:hAnsiTheme="minorHAnsi"/>
          <w:sz w:val="24"/>
          <w:lang w:val="pl-PL" w:eastAsia="fr-FR"/>
        </w:rPr>
      </w:pPr>
    </w:p>
    <w:p w14:paraId="5B38EAF1" w14:textId="4E445DB3" w:rsidR="00950534" w:rsidRDefault="00950534" w:rsidP="00950534">
      <w:pPr>
        <w:pStyle w:val="ClinContent"/>
        <w:widowControl w:val="0"/>
        <w:spacing w:before="0"/>
        <w:rPr>
          <w:rFonts w:asciiTheme="minorHAnsi" w:hAnsiTheme="minorHAnsi"/>
          <w:sz w:val="24"/>
          <w:lang w:val="pl-PL"/>
        </w:rPr>
      </w:pPr>
      <w:r w:rsidRPr="00B15C52">
        <w:rPr>
          <w:rFonts w:asciiTheme="minorHAnsi" w:hAnsiTheme="minorHAnsi"/>
          <w:sz w:val="24"/>
          <w:lang w:val="pl-PL"/>
        </w:rPr>
        <w:t xml:space="preserve">W sumie, zważywszy na margines oceny przysługujący państwom w odniesieniu do wyboru środków, </w:t>
      </w:r>
      <w:r>
        <w:rPr>
          <w:rFonts w:asciiTheme="minorHAnsi" w:hAnsiTheme="minorHAnsi"/>
          <w:sz w:val="24"/>
          <w:lang w:val="pl-PL"/>
        </w:rPr>
        <w:t xml:space="preserve">Trybunał uznał, że </w:t>
      </w:r>
      <w:r w:rsidRPr="00B15C52">
        <w:rPr>
          <w:rFonts w:asciiTheme="minorHAnsi" w:hAnsiTheme="minorHAnsi"/>
          <w:sz w:val="24"/>
          <w:lang w:val="pl-PL"/>
        </w:rPr>
        <w:t>można zaakceptować rozwiązania alternatywne</w:t>
      </w:r>
      <w:r>
        <w:rPr>
          <w:rFonts w:asciiTheme="minorHAnsi" w:hAnsiTheme="minorHAnsi"/>
          <w:sz w:val="24"/>
          <w:lang w:val="pl-PL"/>
        </w:rPr>
        <w:t xml:space="preserve"> do</w:t>
      </w:r>
      <w:r w:rsidR="00227D65">
        <w:rPr>
          <w:rFonts w:asciiTheme="minorHAnsi" w:hAnsiTheme="minorHAnsi"/>
          <w:sz w:val="24"/>
          <w:lang w:val="pl-PL"/>
        </w:rPr>
        <w:t> </w:t>
      </w:r>
      <w:r>
        <w:rPr>
          <w:rFonts w:asciiTheme="minorHAnsi" w:hAnsiTheme="minorHAnsi"/>
          <w:sz w:val="24"/>
          <w:lang w:val="pl-PL"/>
        </w:rPr>
        <w:t>zarejestrowania aktu urodzenia</w:t>
      </w:r>
      <w:r w:rsidRPr="00B15C52">
        <w:rPr>
          <w:rFonts w:asciiTheme="minorHAnsi" w:hAnsiTheme="minorHAnsi"/>
          <w:sz w:val="24"/>
          <w:lang w:val="pl-PL"/>
        </w:rPr>
        <w:t>, w szczególności adopcję przez zamierzoną matkę – w</w:t>
      </w:r>
      <w:r w:rsidR="00227D65">
        <w:rPr>
          <w:rFonts w:asciiTheme="minorHAnsi" w:hAnsiTheme="minorHAnsi"/>
          <w:sz w:val="24"/>
          <w:lang w:val="pl-PL"/>
        </w:rPr>
        <w:t> </w:t>
      </w:r>
      <w:r w:rsidRPr="00B15C52">
        <w:rPr>
          <w:rFonts w:asciiTheme="minorHAnsi" w:hAnsiTheme="minorHAnsi"/>
          <w:sz w:val="24"/>
          <w:lang w:val="pl-PL"/>
        </w:rPr>
        <w:t>zakresie, w jakim procedury przewidziane przez prawo krajowe zapewniają możliwość ich bezzwłocznego i skutecznego wdrożenia zgodnie z dobrem dziecka ocenionym przez sądy w</w:t>
      </w:r>
      <w:r w:rsidR="00227D65">
        <w:rPr>
          <w:rFonts w:asciiTheme="minorHAnsi" w:hAnsiTheme="minorHAnsi"/>
          <w:sz w:val="24"/>
          <w:lang w:val="pl-PL"/>
        </w:rPr>
        <w:t> </w:t>
      </w:r>
      <w:r w:rsidRPr="00B15C52">
        <w:rPr>
          <w:rFonts w:asciiTheme="minorHAnsi" w:hAnsiTheme="minorHAnsi"/>
          <w:sz w:val="24"/>
          <w:lang w:val="pl-PL"/>
        </w:rPr>
        <w:t xml:space="preserve">świetle okoliczności sprawy. </w:t>
      </w:r>
    </w:p>
    <w:p w14:paraId="319A10EB" w14:textId="77777777" w:rsidR="00950534" w:rsidRDefault="00950534" w:rsidP="00950534">
      <w:pPr>
        <w:pStyle w:val="ClinContent"/>
        <w:widowControl w:val="0"/>
        <w:spacing w:before="0"/>
        <w:rPr>
          <w:rFonts w:asciiTheme="minorHAnsi" w:hAnsiTheme="minorHAnsi"/>
          <w:sz w:val="24"/>
          <w:lang w:val="pl-PL"/>
        </w:rPr>
      </w:pPr>
    </w:p>
    <w:p w14:paraId="7E87DA63"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sz w:val="24"/>
          <w:lang w:val="pl-PL"/>
        </w:rPr>
        <w:t>Trybunał wskazał, że to d</w:t>
      </w:r>
      <w:r w:rsidRPr="00B15C52">
        <w:rPr>
          <w:rFonts w:asciiTheme="minorHAnsi" w:hAnsiTheme="minorHAnsi"/>
          <w:sz w:val="24"/>
          <w:lang w:val="pl-PL"/>
        </w:rPr>
        <w:t xml:space="preserve">o sądów krajowych należy zdecydowanie, czy francuskie prawo adopcyjne spełnia kryteria wskazane powyżej, uwzględniając wrażliwą sytuację zainteresowanego dziecka w czasie trwania postępowania adopcyjnego. </w:t>
      </w:r>
    </w:p>
    <w:p w14:paraId="3CD2120F" w14:textId="77777777" w:rsidR="00950534" w:rsidRDefault="00950534" w:rsidP="00950534">
      <w:pPr>
        <w:pStyle w:val="ClinContent"/>
        <w:widowControl w:val="0"/>
        <w:spacing w:before="0"/>
        <w:rPr>
          <w:rFonts w:asciiTheme="minorHAnsi" w:hAnsiTheme="minorHAnsi"/>
          <w:sz w:val="24"/>
          <w:lang w:val="pl-PL"/>
        </w:rPr>
      </w:pPr>
    </w:p>
    <w:p w14:paraId="620B9A4C" w14:textId="77777777" w:rsidR="00950534" w:rsidRDefault="00950534" w:rsidP="00950534">
      <w:pPr>
        <w:pStyle w:val="ClinContent"/>
        <w:widowControl w:val="0"/>
        <w:spacing w:before="0"/>
        <w:rPr>
          <w:rFonts w:asciiTheme="minorHAnsi" w:hAnsiTheme="minorHAnsi"/>
          <w:i/>
          <w:sz w:val="24"/>
          <w:lang w:val="pl-PL"/>
        </w:rPr>
      </w:pPr>
      <w:r w:rsidRPr="00082F09">
        <w:rPr>
          <w:rFonts w:asciiTheme="minorHAnsi" w:hAnsiTheme="minorHAnsi"/>
          <w:sz w:val="24"/>
          <w:lang w:val="pl-PL"/>
        </w:rPr>
        <w:t>W świetle jednogłośnej opinii Trybunału p</w:t>
      </w:r>
      <w:r w:rsidRPr="00B15C52">
        <w:rPr>
          <w:rFonts w:asciiTheme="minorHAnsi" w:hAnsiTheme="minorHAnsi"/>
          <w:sz w:val="24"/>
          <w:lang w:val="pl-PL"/>
        </w:rPr>
        <w:t>rawo dziecka do poszanowania życia prywatnego w rozumieniu art. 8 nie wymaga</w:t>
      </w:r>
      <w:r>
        <w:rPr>
          <w:rFonts w:asciiTheme="minorHAnsi" w:hAnsiTheme="minorHAnsi"/>
          <w:sz w:val="24"/>
          <w:lang w:val="pl-PL"/>
        </w:rPr>
        <w:t xml:space="preserve"> zatem</w:t>
      </w:r>
      <w:r w:rsidRPr="00B15C52">
        <w:rPr>
          <w:rFonts w:asciiTheme="minorHAnsi" w:hAnsiTheme="minorHAnsi"/>
          <w:sz w:val="24"/>
          <w:lang w:val="pl-PL"/>
        </w:rPr>
        <w:t>, by</w:t>
      </w:r>
      <w:r>
        <w:rPr>
          <w:rFonts w:asciiTheme="minorHAnsi" w:hAnsiTheme="minorHAnsi"/>
          <w:sz w:val="24"/>
          <w:lang w:val="pl-PL"/>
        </w:rPr>
        <w:t xml:space="preserve"> takie</w:t>
      </w:r>
      <w:r w:rsidRPr="00B15C52">
        <w:rPr>
          <w:rFonts w:asciiTheme="minorHAnsi" w:hAnsiTheme="minorHAnsi"/>
          <w:sz w:val="24"/>
          <w:lang w:val="pl-PL"/>
        </w:rPr>
        <w:t xml:space="preserve"> uznanie przybrało formę wpisu do rejestru </w:t>
      </w:r>
      <w:r>
        <w:rPr>
          <w:rFonts w:asciiTheme="minorHAnsi" w:hAnsiTheme="minorHAnsi"/>
          <w:sz w:val="24"/>
          <w:lang w:val="pl-PL"/>
        </w:rPr>
        <w:t>stanu cywilnego</w:t>
      </w:r>
      <w:r w:rsidRPr="00B15C52">
        <w:rPr>
          <w:rFonts w:asciiTheme="minorHAnsi" w:hAnsiTheme="minorHAnsi"/>
          <w:sz w:val="24"/>
          <w:lang w:val="pl-PL"/>
        </w:rPr>
        <w:t xml:space="preserve"> szczegółów aktu urodzenia sporządzon</w:t>
      </w:r>
      <w:r>
        <w:rPr>
          <w:rFonts w:asciiTheme="minorHAnsi" w:hAnsiTheme="minorHAnsi"/>
          <w:sz w:val="24"/>
          <w:lang w:val="pl-PL"/>
        </w:rPr>
        <w:t>ego zgodnie z prawem za granicą.</w:t>
      </w:r>
      <w:r w:rsidRPr="00B15C52">
        <w:rPr>
          <w:rFonts w:asciiTheme="minorHAnsi" w:hAnsiTheme="minorHAnsi"/>
          <w:sz w:val="24"/>
          <w:lang w:val="pl-PL"/>
        </w:rPr>
        <w:t xml:space="preserve"> </w:t>
      </w:r>
      <w:r>
        <w:rPr>
          <w:rFonts w:asciiTheme="minorHAnsi" w:hAnsiTheme="minorHAnsi"/>
          <w:sz w:val="24"/>
          <w:lang w:val="pl-PL"/>
        </w:rPr>
        <w:t>Istnieje możliwość użycia innych środków, takich</w:t>
      </w:r>
      <w:r w:rsidRPr="00B15C52">
        <w:rPr>
          <w:rFonts w:asciiTheme="minorHAnsi" w:hAnsiTheme="minorHAnsi"/>
          <w:sz w:val="24"/>
          <w:lang w:val="pl-PL"/>
        </w:rPr>
        <w:t xml:space="preserve"> jak adopcja dziecka przez zamierzoną matkę, pod warunkiem że procedura przewidziana prawem krajowym zapewnia</w:t>
      </w:r>
      <w:r>
        <w:rPr>
          <w:rFonts w:asciiTheme="minorHAnsi" w:hAnsiTheme="minorHAnsi"/>
          <w:sz w:val="24"/>
          <w:lang w:val="pl-PL"/>
        </w:rPr>
        <w:t xml:space="preserve"> możliwość </w:t>
      </w:r>
      <w:r>
        <w:rPr>
          <w:rFonts w:asciiTheme="minorHAnsi" w:hAnsiTheme="minorHAnsi"/>
          <w:sz w:val="24"/>
          <w:lang w:val="pl-PL"/>
        </w:rPr>
        <w:lastRenderedPageBreak/>
        <w:t>jej bezzwłocznej i skutecznej realizacji</w:t>
      </w:r>
      <w:r w:rsidRPr="00B15C52">
        <w:rPr>
          <w:rFonts w:asciiTheme="minorHAnsi" w:hAnsiTheme="minorHAnsi"/>
          <w:sz w:val="24"/>
          <w:lang w:val="pl-PL"/>
        </w:rPr>
        <w:t xml:space="preserve"> zgodnie z dobrem dziecka</w:t>
      </w:r>
      <w:r>
        <w:rPr>
          <w:rStyle w:val="Odwoanieprzypisudolnego"/>
          <w:rFonts w:asciiTheme="minorHAnsi" w:hAnsiTheme="minorHAnsi"/>
          <w:sz w:val="24"/>
          <w:lang w:val="pl-PL"/>
        </w:rPr>
        <w:footnoteReference w:id="24"/>
      </w:r>
      <w:r w:rsidRPr="00B15C52">
        <w:rPr>
          <w:rFonts w:asciiTheme="minorHAnsi" w:hAnsiTheme="minorHAnsi"/>
          <w:sz w:val="24"/>
          <w:lang w:val="pl-PL"/>
        </w:rPr>
        <w:t xml:space="preserve">. </w:t>
      </w:r>
    </w:p>
    <w:p w14:paraId="722B2F12" w14:textId="77777777" w:rsidR="00950534" w:rsidRDefault="00950534" w:rsidP="00950534">
      <w:pPr>
        <w:pStyle w:val="ClinContent"/>
        <w:widowControl w:val="0"/>
        <w:spacing w:before="0"/>
        <w:rPr>
          <w:rFonts w:asciiTheme="minorHAnsi" w:hAnsiTheme="minorHAnsi"/>
          <w:i/>
          <w:sz w:val="24"/>
          <w:lang w:val="pl-PL"/>
        </w:rPr>
      </w:pPr>
    </w:p>
    <w:p w14:paraId="7DB9C118" w14:textId="27D851ED" w:rsidR="00950534" w:rsidRDefault="00950534" w:rsidP="00950534">
      <w:pPr>
        <w:pStyle w:val="ClinContent"/>
        <w:widowControl w:val="0"/>
        <w:spacing w:before="0"/>
        <w:rPr>
          <w:rFonts w:asciiTheme="minorHAnsi" w:hAnsiTheme="minorHAnsi" w:cs="Verdana"/>
          <w:bCs/>
          <w:sz w:val="24"/>
          <w:lang w:val="pl-PL"/>
        </w:rPr>
      </w:pPr>
      <w:r w:rsidRPr="00490945">
        <w:rPr>
          <w:rFonts w:asciiTheme="minorHAnsi" w:hAnsiTheme="minorHAnsi" w:cs="Verdana"/>
          <w:bCs/>
          <w:sz w:val="24"/>
          <w:u w:val="single"/>
          <w:lang w:val="pl-PL"/>
        </w:rPr>
        <w:t xml:space="preserve">Znaczenie </w:t>
      </w:r>
      <w:r>
        <w:rPr>
          <w:rFonts w:asciiTheme="minorHAnsi" w:hAnsiTheme="minorHAnsi" w:cs="Verdana"/>
          <w:bCs/>
          <w:sz w:val="24"/>
          <w:u w:val="single"/>
          <w:lang w:val="pl-PL"/>
        </w:rPr>
        <w:t xml:space="preserve">opinii doradczej </w:t>
      </w:r>
      <w:r w:rsidRPr="00490945">
        <w:rPr>
          <w:rFonts w:asciiTheme="minorHAnsi" w:hAnsiTheme="minorHAnsi" w:cs="Verdana"/>
          <w:bCs/>
          <w:sz w:val="24"/>
          <w:u w:val="single"/>
          <w:lang w:val="pl-PL"/>
        </w:rPr>
        <w:t>dla Polski</w:t>
      </w:r>
      <w:r w:rsidRPr="00490945">
        <w:rPr>
          <w:rFonts w:asciiTheme="minorHAnsi" w:hAnsiTheme="minorHAnsi" w:cs="Verdana"/>
          <w:bCs/>
          <w:sz w:val="24"/>
          <w:lang w:val="pl-PL"/>
        </w:rPr>
        <w:t xml:space="preserve"> – </w:t>
      </w:r>
      <w:r>
        <w:rPr>
          <w:rFonts w:asciiTheme="minorHAnsi" w:hAnsiTheme="minorHAnsi" w:cs="Verdana"/>
          <w:bCs/>
          <w:sz w:val="24"/>
          <w:lang w:val="pl-PL"/>
        </w:rPr>
        <w:t>Jest to pierwsza opinia doradcza wydana przez Trybunał na podstawie Protokołu nr 16 do Konwencji. Polska nie jest stroną tego Protokołu. Niemniej jednak nie można wykluczyć, że Trybunał będzie się odwoływał do tej opinii przy</w:t>
      </w:r>
      <w:r w:rsidR="004A0269">
        <w:rPr>
          <w:rFonts w:asciiTheme="minorHAnsi" w:hAnsiTheme="minorHAnsi" w:cs="Verdana"/>
          <w:bCs/>
          <w:sz w:val="24"/>
          <w:lang w:val="pl-PL"/>
        </w:rPr>
        <w:t> </w:t>
      </w:r>
      <w:r>
        <w:rPr>
          <w:rFonts w:asciiTheme="minorHAnsi" w:hAnsiTheme="minorHAnsi" w:cs="Verdana"/>
          <w:bCs/>
          <w:sz w:val="24"/>
          <w:lang w:val="pl-PL"/>
        </w:rPr>
        <w:t>rozpatrywaniu skarg indywidualnych. Rozstrzygnięcie Trybunału może mieć też znaczenie dla</w:t>
      </w:r>
      <w:r w:rsidR="004A0269">
        <w:rPr>
          <w:rFonts w:asciiTheme="minorHAnsi" w:hAnsiTheme="minorHAnsi" w:cs="Verdana"/>
          <w:bCs/>
          <w:sz w:val="24"/>
          <w:lang w:val="pl-PL"/>
        </w:rPr>
        <w:t> </w:t>
      </w:r>
      <w:r>
        <w:rPr>
          <w:rFonts w:asciiTheme="minorHAnsi" w:hAnsiTheme="minorHAnsi" w:cs="Verdana"/>
          <w:bCs/>
          <w:sz w:val="24"/>
          <w:lang w:val="pl-PL"/>
        </w:rPr>
        <w:t xml:space="preserve">procedury nadzoru Komitetu Ministrów Rady Europy nad wykonaniem przez Francję wyroków w sprawach </w:t>
      </w:r>
      <w:r w:rsidRPr="007C57AB">
        <w:rPr>
          <w:rFonts w:asciiTheme="minorHAnsi" w:hAnsiTheme="minorHAnsi" w:cs="Verdana"/>
          <w:bCs/>
          <w:i/>
          <w:sz w:val="24"/>
          <w:lang w:val="pl-PL"/>
        </w:rPr>
        <w:t>Labassee p. Francji</w:t>
      </w:r>
      <w:r w:rsidRPr="007C57AB">
        <w:rPr>
          <w:rFonts w:asciiTheme="minorHAnsi" w:hAnsiTheme="minorHAnsi" w:cs="Verdana"/>
          <w:bCs/>
          <w:sz w:val="24"/>
          <w:lang w:val="pl-PL"/>
        </w:rPr>
        <w:t xml:space="preserve"> </w:t>
      </w:r>
      <w:r>
        <w:rPr>
          <w:rFonts w:asciiTheme="minorHAnsi" w:hAnsiTheme="minorHAnsi" w:cs="Verdana"/>
          <w:bCs/>
          <w:sz w:val="24"/>
          <w:lang w:val="pl-PL"/>
        </w:rPr>
        <w:t>(</w:t>
      </w:r>
      <w:r w:rsidRPr="007C57AB">
        <w:rPr>
          <w:rFonts w:asciiTheme="minorHAnsi" w:hAnsiTheme="minorHAnsi" w:cs="Verdana"/>
          <w:bCs/>
          <w:sz w:val="24"/>
          <w:lang w:val="pl-PL"/>
        </w:rPr>
        <w:t>nr 65941/11, 26 czerwca 2014</w:t>
      </w:r>
      <w:r>
        <w:rPr>
          <w:rFonts w:asciiTheme="minorHAnsi" w:hAnsiTheme="minorHAnsi" w:cs="Verdana"/>
          <w:bCs/>
          <w:sz w:val="24"/>
          <w:lang w:val="pl-PL"/>
        </w:rPr>
        <w:t xml:space="preserve"> r.) i</w:t>
      </w:r>
      <w:r w:rsidR="004A0269">
        <w:rPr>
          <w:rFonts w:asciiTheme="minorHAnsi" w:hAnsiTheme="minorHAnsi" w:cs="Verdana"/>
          <w:bCs/>
          <w:sz w:val="24"/>
          <w:lang w:val="pl-PL"/>
        </w:rPr>
        <w:t> </w:t>
      </w:r>
      <w:r w:rsidRPr="00B15C52">
        <w:rPr>
          <w:rFonts w:asciiTheme="minorHAnsi" w:hAnsiTheme="minorHAnsi"/>
          <w:i/>
          <w:sz w:val="24"/>
          <w:lang w:val="pl-PL"/>
        </w:rPr>
        <w:t>Mennesson</w:t>
      </w:r>
      <w:r w:rsidRPr="00B15C52">
        <w:rPr>
          <w:rFonts w:asciiTheme="minorHAnsi" w:hAnsiTheme="minorHAnsi"/>
          <w:sz w:val="24"/>
          <w:lang w:val="pl-PL"/>
        </w:rPr>
        <w:t xml:space="preserve"> </w:t>
      </w:r>
      <w:r w:rsidRPr="004B35B4">
        <w:rPr>
          <w:rFonts w:asciiTheme="minorHAnsi" w:hAnsiTheme="minorHAnsi"/>
          <w:i/>
          <w:sz w:val="24"/>
          <w:lang w:val="pl-PL"/>
        </w:rPr>
        <w:t>p.</w:t>
      </w:r>
      <w:r w:rsidR="00227D65">
        <w:rPr>
          <w:rFonts w:asciiTheme="minorHAnsi" w:hAnsiTheme="minorHAnsi"/>
          <w:i/>
          <w:sz w:val="24"/>
          <w:lang w:val="pl-PL"/>
        </w:rPr>
        <w:t> </w:t>
      </w:r>
      <w:r w:rsidRPr="004B35B4">
        <w:rPr>
          <w:rFonts w:asciiTheme="minorHAnsi" w:hAnsiTheme="minorHAnsi"/>
          <w:i/>
          <w:sz w:val="24"/>
          <w:lang w:val="pl-PL"/>
        </w:rPr>
        <w:t>Francji</w:t>
      </w:r>
      <w:r>
        <w:rPr>
          <w:rFonts w:asciiTheme="minorHAnsi" w:hAnsiTheme="minorHAnsi"/>
          <w:sz w:val="24"/>
          <w:lang w:val="pl-PL"/>
        </w:rPr>
        <w:t xml:space="preserve"> </w:t>
      </w:r>
      <w:r w:rsidRPr="00B15C52">
        <w:rPr>
          <w:rFonts w:asciiTheme="minorHAnsi" w:hAnsiTheme="minorHAnsi"/>
          <w:sz w:val="24"/>
          <w:lang w:val="pl-PL"/>
        </w:rPr>
        <w:t>(</w:t>
      </w:r>
      <w:r>
        <w:rPr>
          <w:rFonts w:asciiTheme="minorHAnsi" w:hAnsiTheme="minorHAnsi"/>
          <w:sz w:val="24"/>
          <w:lang w:val="pl-PL"/>
        </w:rPr>
        <w:t>nr 65192/11, 26 czerwca 2014 r.). Zarówno w tych sprawach, jak też w opinii doradczej Trybunał stanął przed trudnym zadaniem wyważenia praw i interesów stron w</w:t>
      </w:r>
      <w:r w:rsidR="00227D65">
        <w:rPr>
          <w:rFonts w:asciiTheme="minorHAnsi" w:hAnsiTheme="minorHAnsi"/>
          <w:sz w:val="24"/>
          <w:lang w:val="pl-PL"/>
        </w:rPr>
        <w:t> </w:t>
      </w:r>
      <w:r>
        <w:rPr>
          <w:rFonts w:asciiTheme="minorHAnsi" w:hAnsiTheme="minorHAnsi"/>
          <w:sz w:val="24"/>
          <w:lang w:val="pl-PL"/>
        </w:rPr>
        <w:t>sytuacji poczęcia dziecka za granicą na podstawie umowy o macierzyństwo zastępcze, która została uznana przez sądy krajowe za sprzeczną z porządkiem prawnym. Chociaż Trybunał uwzględnił ten fakt, oddalając skargi rodziców dziecka, to jednak z uwagi na</w:t>
      </w:r>
      <w:r w:rsidR="00227D65">
        <w:rPr>
          <w:rFonts w:asciiTheme="minorHAnsi" w:hAnsiTheme="minorHAnsi"/>
          <w:sz w:val="24"/>
          <w:lang w:val="pl-PL"/>
        </w:rPr>
        <w:t> </w:t>
      </w:r>
      <w:r>
        <w:rPr>
          <w:rFonts w:asciiTheme="minorHAnsi" w:hAnsiTheme="minorHAnsi"/>
          <w:sz w:val="24"/>
          <w:lang w:val="pl-PL"/>
        </w:rPr>
        <w:t>nadrzędne dobro i interes dziecka uznał za konieczne ustalenie jego stanu cywilnego w</w:t>
      </w:r>
      <w:r w:rsidR="00227D65">
        <w:rPr>
          <w:rFonts w:asciiTheme="minorHAnsi" w:hAnsiTheme="minorHAnsi"/>
          <w:sz w:val="24"/>
          <w:lang w:val="pl-PL"/>
        </w:rPr>
        <w:t> </w:t>
      </w:r>
      <w:r>
        <w:rPr>
          <w:rFonts w:asciiTheme="minorHAnsi" w:hAnsiTheme="minorHAnsi"/>
          <w:sz w:val="24"/>
          <w:lang w:val="pl-PL"/>
        </w:rPr>
        <w:t>państwie, w którym ma ono stałe zamieszkanie poprzez uznanie jego relacji z biologicznym rodzicem (ojcem). W omawianej opinii doradczej Trybunał podkreślił obowiązek uznania relacji rodzic-dziecko w odniesieniu także do osoby (zamierzonej matki), z którą dziecko nie</w:t>
      </w:r>
      <w:r w:rsidR="00227D65">
        <w:rPr>
          <w:rFonts w:asciiTheme="minorHAnsi" w:hAnsiTheme="minorHAnsi"/>
          <w:sz w:val="24"/>
          <w:lang w:val="pl-PL"/>
        </w:rPr>
        <w:t> </w:t>
      </w:r>
      <w:r>
        <w:rPr>
          <w:rFonts w:asciiTheme="minorHAnsi" w:hAnsiTheme="minorHAnsi"/>
          <w:sz w:val="24"/>
          <w:lang w:val="pl-PL"/>
        </w:rPr>
        <w:t>jest spokrewnione genetycznie. Pozostawił jednak organom krajowym margines oceny co</w:t>
      </w:r>
      <w:r w:rsidR="00227D65">
        <w:rPr>
          <w:rFonts w:asciiTheme="minorHAnsi" w:hAnsiTheme="minorHAnsi"/>
          <w:sz w:val="24"/>
          <w:lang w:val="pl-PL"/>
        </w:rPr>
        <w:t> </w:t>
      </w:r>
      <w:r>
        <w:rPr>
          <w:rFonts w:asciiTheme="minorHAnsi" w:hAnsiTheme="minorHAnsi"/>
          <w:sz w:val="24"/>
          <w:lang w:val="pl-PL"/>
        </w:rPr>
        <w:t xml:space="preserve">do sposobu ustanowienia relacji prawnej rodzic-dziecko, nie wymagając zatem naruszenia podstawowych zasad mających zastosowanie do rejestrowania aktów stanu cywilnego. </w:t>
      </w:r>
    </w:p>
    <w:p w14:paraId="5A31A3CA" w14:textId="77777777" w:rsidR="00950534" w:rsidRDefault="00950534" w:rsidP="00950534">
      <w:pPr>
        <w:pStyle w:val="ClinContent"/>
        <w:widowControl w:val="0"/>
        <w:spacing w:before="0"/>
        <w:rPr>
          <w:rFonts w:asciiTheme="minorHAnsi" w:hAnsiTheme="minorHAnsi" w:cs="Verdana"/>
          <w:bCs/>
          <w:sz w:val="24"/>
          <w:lang w:val="pl-PL"/>
        </w:rPr>
      </w:pPr>
    </w:p>
    <w:p w14:paraId="3D654FC7" w14:textId="77777777" w:rsidR="00950534" w:rsidRDefault="00950534" w:rsidP="00950534">
      <w:pPr>
        <w:pStyle w:val="ClinContent"/>
        <w:widowControl w:val="0"/>
        <w:spacing w:before="0"/>
        <w:rPr>
          <w:rFonts w:asciiTheme="minorHAnsi" w:hAnsiTheme="minorHAnsi"/>
          <w:sz w:val="24"/>
          <w:lang w:val="pl-PL"/>
        </w:rPr>
      </w:pPr>
      <w:r>
        <w:rPr>
          <w:rFonts w:asciiTheme="minorHAnsi" w:hAnsiTheme="minorHAnsi" w:cs="Verdana"/>
          <w:bCs/>
          <w:sz w:val="24"/>
          <w:lang w:val="pl-PL"/>
        </w:rPr>
        <w:t xml:space="preserve">Opinia doradcza może mieć w szczególności znaczenie dla kierowników urzędów stanu cywilnego, sądów cywilnych, prokuratury, Sądu Najwyższego, Naczelnego Sądu Administracyjnego, Ministerstwa Spraw Wewnętrznych i Administracji, Ministerstwa Sprawiedliwości oraz Trybunału Konstytucyjnego. </w:t>
      </w:r>
    </w:p>
    <w:p w14:paraId="72B26580" w14:textId="77777777" w:rsidR="00950534" w:rsidRDefault="00950534" w:rsidP="00950534">
      <w:pPr>
        <w:pStyle w:val="ClinContent"/>
        <w:widowControl w:val="0"/>
        <w:spacing w:before="0"/>
        <w:rPr>
          <w:rFonts w:asciiTheme="minorHAnsi" w:hAnsiTheme="minorHAnsi"/>
          <w:sz w:val="24"/>
          <w:lang w:val="pl-PL"/>
        </w:rPr>
      </w:pPr>
    </w:p>
    <w:p w14:paraId="40ECC208" w14:textId="77777777" w:rsidR="00950534" w:rsidRDefault="00950534" w:rsidP="00950534">
      <w:pPr>
        <w:pStyle w:val="ClinContent"/>
        <w:widowControl w:val="0"/>
        <w:spacing w:before="0"/>
        <w:rPr>
          <w:rFonts w:asciiTheme="minorHAnsi" w:hAnsiTheme="minorHAnsi" w:cs="Verdana"/>
          <w:bCs/>
          <w:szCs w:val="20"/>
          <w:lang w:val="pl-PL"/>
        </w:rPr>
      </w:pPr>
    </w:p>
    <w:p w14:paraId="55DC8159" w14:textId="77777777" w:rsidR="00950534" w:rsidRDefault="00950534" w:rsidP="00950534">
      <w:pPr>
        <w:pStyle w:val="ClinContent"/>
        <w:widowControl w:val="0"/>
        <w:spacing w:before="0"/>
        <w:rPr>
          <w:rFonts w:asciiTheme="minorHAnsi" w:hAnsiTheme="minorHAnsi" w:cs="Verdana"/>
          <w:bCs/>
          <w:szCs w:val="20"/>
          <w:lang w:val="pl-PL"/>
        </w:rPr>
      </w:pPr>
      <w:r w:rsidRPr="00B23696">
        <w:rPr>
          <w:rFonts w:asciiTheme="minorHAnsi" w:hAnsiTheme="minorHAnsi" w:cs="Verdana"/>
          <w:bCs/>
          <w:szCs w:val="20"/>
          <w:lang w:val="pl-PL"/>
        </w:rPr>
        <w:t>**</w:t>
      </w:r>
    </w:p>
    <w:p w14:paraId="075B2860" w14:textId="77777777" w:rsidR="00950534" w:rsidRDefault="00950534" w:rsidP="00950534">
      <w:pPr>
        <w:pStyle w:val="ClinContent"/>
        <w:widowControl w:val="0"/>
        <w:spacing w:before="0"/>
        <w:rPr>
          <w:rFonts w:asciiTheme="minorHAnsi" w:hAnsiTheme="minorHAnsi" w:cs="Verdana"/>
          <w:bCs/>
          <w:szCs w:val="20"/>
          <w:lang w:val="pl-PL"/>
        </w:rPr>
      </w:pPr>
    </w:p>
    <w:p w14:paraId="4F2893B6" w14:textId="77777777" w:rsidR="00950534" w:rsidRDefault="00950534" w:rsidP="00950534">
      <w:pPr>
        <w:pStyle w:val="ClinContent"/>
        <w:widowControl w:val="0"/>
        <w:spacing w:before="0"/>
        <w:rPr>
          <w:rFonts w:asciiTheme="minorHAnsi" w:hAnsiTheme="minorHAnsi" w:cs="Verdana"/>
          <w:bCs/>
          <w:szCs w:val="20"/>
          <w:u w:val="single"/>
          <w:lang w:val="pl-PL"/>
        </w:rPr>
      </w:pPr>
      <w:r w:rsidRPr="00087A93">
        <w:rPr>
          <w:rFonts w:asciiTheme="minorHAnsi" w:hAnsiTheme="minorHAnsi" w:cs="Verdana"/>
          <w:bCs/>
          <w:szCs w:val="20"/>
          <w:u w:val="single"/>
          <w:lang w:val="pl-PL"/>
        </w:rPr>
        <w:t>Uwaga redakcyjna:</w:t>
      </w:r>
    </w:p>
    <w:p w14:paraId="62B786BB" w14:textId="77777777" w:rsidR="00950534" w:rsidRDefault="00950534" w:rsidP="00950534">
      <w:pPr>
        <w:pStyle w:val="ClinContent"/>
        <w:widowControl w:val="0"/>
        <w:spacing w:before="0"/>
        <w:rPr>
          <w:rFonts w:asciiTheme="minorHAnsi" w:hAnsiTheme="minorHAnsi" w:cs="Verdana"/>
          <w:bCs/>
          <w:szCs w:val="20"/>
          <w:u w:val="single"/>
          <w:lang w:val="pl-PL"/>
        </w:rPr>
      </w:pPr>
    </w:p>
    <w:p w14:paraId="35B89711" w14:textId="12948920" w:rsidR="00950534" w:rsidRDefault="00950534" w:rsidP="00950534">
      <w:pPr>
        <w:pStyle w:val="ClinContent"/>
        <w:widowControl w:val="0"/>
        <w:spacing w:before="0"/>
        <w:rPr>
          <w:rFonts w:asciiTheme="minorHAnsi" w:hAnsiTheme="minorHAnsi" w:cs="Verdana"/>
          <w:bCs/>
          <w:szCs w:val="20"/>
          <w:lang w:val="pl-PL"/>
        </w:rPr>
      </w:pPr>
      <w:r w:rsidRPr="00087A93">
        <w:rPr>
          <w:rFonts w:asciiTheme="minorHAnsi" w:hAnsiTheme="minorHAnsi" w:cs="Verdana"/>
          <w:bCs/>
          <w:szCs w:val="20"/>
          <w:lang w:val="pl-PL"/>
        </w:rPr>
        <w:t>Wszystkie orzeczenia Europejskiego Trybunału Praw Człowieka, niektóre w tłumaczeniu na język polski, są</w:t>
      </w:r>
      <w:r w:rsidR="004A0269">
        <w:rPr>
          <w:rFonts w:asciiTheme="minorHAnsi" w:hAnsiTheme="minorHAnsi" w:cs="Verdana"/>
          <w:bCs/>
          <w:szCs w:val="20"/>
          <w:lang w:val="pl-PL"/>
        </w:rPr>
        <w:t> </w:t>
      </w:r>
      <w:r w:rsidRPr="00087A93">
        <w:rPr>
          <w:rFonts w:asciiTheme="minorHAnsi" w:hAnsiTheme="minorHAnsi" w:cs="Verdana"/>
          <w:bCs/>
          <w:szCs w:val="20"/>
          <w:lang w:val="pl-PL"/>
        </w:rPr>
        <w:t>dostępne na stronie:</w:t>
      </w:r>
    </w:p>
    <w:p w14:paraId="05882692" w14:textId="77777777" w:rsidR="00950534" w:rsidRDefault="003D0D69" w:rsidP="00950534">
      <w:pPr>
        <w:pStyle w:val="ClinContent"/>
        <w:widowControl w:val="0"/>
        <w:spacing w:before="0"/>
        <w:rPr>
          <w:rFonts w:asciiTheme="minorHAnsi" w:hAnsiTheme="minorHAnsi" w:cs="Verdana"/>
          <w:bCs/>
          <w:szCs w:val="20"/>
          <w:lang w:val="pl-PL"/>
        </w:rPr>
      </w:pPr>
      <w:hyperlink r:id="rId42" w:history="1">
        <w:r w:rsidR="00950534" w:rsidRPr="00087A93">
          <w:rPr>
            <w:rStyle w:val="Hipercze"/>
            <w:rFonts w:asciiTheme="minorHAnsi" w:hAnsiTheme="minorHAnsi" w:cs="Verdana"/>
            <w:bCs/>
            <w:szCs w:val="20"/>
            <w:lang w:val="pl-PL"/>
          </w:rPr>
          <w:t>https://hudoc.echr.coe.int/eng#</w:t>
        </w:r>
      </w:hyperlink>
      <w:r w:rsidR="00950534" w:rsidRPr="00087A93">
        <w:rPr>
          <w:rFonts w:asciiTheme="minorHAnsi" w:hAnsiTheme="minorHAnsi" w:cs="Verdana"/>
          <w:bCs/>
          <w:szCs w:val="20"/>
          <w:lang w:val="pl-PL"/>
        </w:rPr>
        <w:t xml:space="preserve"> </w:t>
      </w:r>
    </w:p>
    <w:p w14:paraId="533C55C7" w14:textId="77777777" w:rsidR="00950534" w:rsidRDefault="00950534" w:rsidP="00950534">
      <w:pPr>
        <w:pStyle w:val="ClinContent"/>
        <w:widowControl w:val="0"/>
        <w:spacing w:before="0"/>
        <w:rPr>
          <w:rFonts w:asciiTheme="minorHAnsi" w:hAnsiTheme="minorHAnsi" w:cs="Verdana"/>
          <w:bCs/>
          <w:szCs w:val="20"/>
          <w:lang w:val="pl-PL"/>
        </w:rPr>
      </w:pPr>
      <w:r w:rsidRPr="00087A93">
        <w:rPr>
          <w:rFonts w:asciiTheme="minorHAnsi" w:hAnsiTheme="minorHAnsi" w:cs="Verdana"/>
          <w:bCs/>
          <w:szCs w:val="20"/>
          <w:lang w:val="pl-PL"/>
        </w:rPr>
        <w:t xml:space="preserve"> </w:t>
      </w:r>
    </w:p>
    <w:p w14:paraId="4CB3899C" w14:textId="77777777" w:rsidR="00950534" w:rsidRDefault="00950534" w:rsidP="00950534">
      <w:pPr>
        <w:pStyle w:val="ClinContent"/>
        <w:widowControl w:val="0"/>
        <w:spacing w:before="0"/>
        <w:rPr>
          <w:rFonts w:asciiTheme="minorHAnsi" w:hAnsiTheme="minorHAnsi" w:cs="Verdana"/>
          <w:bCs/>
          <w:szCs w:val="20"/>
          <w:lang w:val="pl-PL"/>
        </w:rPr>
      </w:pPr>
      <w:r w:rsidRPr="00BA57AD">
        <w:rPr>
          <w:rFonts w:asciiTheme="minorHAnsi" w:hAnsiTheme="minorHAnsi" w:cs="Verdana"/>
          <w:bCs/>
          <w:szCs w:val="20"/>
          <w:lang w:val="pl-PL"/>
        </w:rPr>
        <w:t xml:space="preserve">Wszystkie przywoływane w tekście </w:t>
      </w:r>
      <w:r w:rsidRPr="00BA57AD">
        <w:rPr>
          <w:rFonts w:asciiTheme="minorHAnsi" w:hAnsiTheme="minorHAnsi" w:cs="Verdana"/>
          <w:bCs/>
          <w:szCs w:val="20"/>
          <w:u w:val="single"/>
          <w:lang w:val="pl-PL"/>
        </w:rPr>
        <w:t>Noty informacyjne</w:t>
      </w:r>
      <w:r w:rsidRPr="00BA57AD">
        <w:rPr>
          <w:rFonts w:asciiTheme="minorHAnsi" w:hAnsiTheme="minorHAnsi" w:cs="Verdana"/>
          <w:bCs/>
          <w:szCs w:val="20"/>
          <w:lang w:val="pl-PL"/>
        </w:rPr>
        <w:t>, zawierające streszczenia orzeczeń Trybunału, można</w:t>
      </w:r>
      <w:r w:rsidRPr="00087A93">
        <w:rPr>
          <w:rFonts w:asciiTheme="minorHAnsi" w:hAnsiTheme="minorHAnsi" w:cs="Verdana"/>
          <w:bCs/>
          <w:szCs w:val="20"/>
          <w:lang w:val="pl-PL"/>
        </w:rPr>
        <w:t xml:space="preserve"> znaleźć na stronie:</w:t>
      </w:r>
    </w:p>
    <w:p w14:paraId="1EB3091B" w14:textId="77777777" w:rsidR="00950534" w:rsidRDefault="003D0D69" w:rsidP="00950534">
      <w:pPr>
        <w:pStyle w:val="ClinContent"/>
        <w:widowControl w:val="0"/>
        <w:spacing w:before="0"/>
        <w:rPr>
          <w:rFonts w:asciiTheme="minorHAnsi" w:hAnsiTheme="minorHAnsi"/>
          <w:szCs w:val="20"/>
          <w:lang w:val="pl-PL"/>
        </w:rPr>
      </w:pPr>
      <w:hyperlink r:id="rId43" w:history="1">
        <w:r w:rsidR="00950534" w:rsidRPr="00087A93">
          <w:rPr>
            <w:rStyle w:val="Hipercze"/>
            <w:rFonts w:asciiTheme="minorHAnsi" w:hAnsiTheme="minorHAnsi"/>
            <w:szCs w:val="20"/>
            <w:lang w:val="pl-PL"/>
          </w:rPr>
          <w:t>https://www.echr.coe.int/Pages/home.aspx?p=caselaw/analysis&amp;c</w:t>
        </w:r>
      </w:hyperlink>
      <w:r w:rsidR="00950534" w:rsidRPr="00087A93">
        <w:rPr>
          <w:rFonts w:asciiTheme="minorHAnsi" w:hAnsiTheme="minorHAnsi"/>
          <w:szCs w:val="20"/>
          <w:lang w:val="pl-PL"/>
        </w:rPr>
        <w:t xml:space="preserve">= </w:t>
      </w:r>
    </w:p>
    <w:p w14:paraId="557105B5" w14:textId="77777777" w:rsidR="00950534" w:rsidRDefault="00950534" w:rsidP="00950534">
      <w:pPr>
        <w:pStyle w:val="ClinContent"/>
        <w:widowControl w:val="0"/>
        <w:spacing w:before="0"/>
        <w:rPr>
          <w:rFonts w:asciiTheme="minorHAnsi" w:hAnsiTheme="minorHAnsi"/>
          <w:szCs w:val="20"/>
          <w:u w:val="single"/>
          <w:lang w:val="pl-PL"/>
        </w:rPr>
      </w:pPr>
    </w:p>
    <w:p w14:paraId="6BF4D3BB" w14:textId="77777777" w:rsidR="00950534" w:rsidRDefault="00950534" w:rsidP="00950534">
      <w:pPr>
        <w:pStyle w:val="ClinContent"/>
        <w:widowControl w:val="0"/>
        <w:spacing w:before="0"/>
        <w:rPr>
          <w:rFonts w:asciiTheme="minorHAnsi" w:hAnsiTheme="minorHAnsi"/>
          <w:szCs w:val="20"/>
          <w:lang w:val="pl-PL"/>
        </w:rPr>
      </w:pPr>
      <w:r w:rsidRPr="00087A93">
        <w:rPr>
          <w:rFonts w:asciiTheme="minorHAnsi" w:hAnsiTheme="minorHAnsi"/>
          <w:szCs w:val="20"/>
          <w:u w:val="single"/>
          <w:lang w:val="pl-PL"/>
        </w:rPr>
        <w:t>Przewodniki</w:t>
      </w:r>
      <w:r w:rsidRPr="00087A93">
        <w:rPr>
          <w:rFonts w:asciiTheme="minorHAnsi" w:hAnsiTheme="minorHAnsi"/>
          <w:szCs w:val="20"/>
          <w:lang w:val="pl-PL"/>
        </w:rPr>
        <w:t xml:space="preserve"> na temat orzecznictwa Europejskiego Trybunału Praw Człowieka są dostępne na stronie:</w:t>
      </w:r>
    </w:p>
    <w:p w14:paraId="2A6BAB1D" w14:textId="77777777" w:rsidR="00950534" w:rsidRDefault="003D0D69" w:rsidP="00950534">
      <w:pPr>
        <w:pStyle w:val="ClinContent"/>
        <w:widowControl w:val="0"/>
        <w:spacing w:before="0"/>
        <w:rPr>
          <w:rFonts w:asciiTheme="minorHAnsi" w:hAnsiTheme="minorHAnsi"/>
          <w:sz w:val="24"/>
          <w:lang w:val="pl-PL"/>
        </w:rPr>
      </w:pPr>
      <w:hyperlink r:id="rId44" w:history="1">
        <w:r w:rsidR="00950534" w:rsidRPr="00087A93">
          <w:rPr>
            <w:rStyle w:val="Hipercze"/>
            <w:rFonts w:asciiTheme="minorHAnsi" w:hAnsiTheme="minorHAnsi"/>
            <w:szCs w:val="20"/>
            <w:lang w:val="pl-PL"/>
          </w:rPr>
          <w:t>https://www.echr.coe.int/Pages/home.aspx?p=caselaw/analysis/guides&amp;c=#</w:t>
        </w:r>
      </w:hyperlink>
      <w:r w:rsidR="00950534" w:rsidRPr="00067CBF">
        <w:rPr>
          <w:rFonts w:asciiTheme="minorHAnsi" w:hAnsiTheme="minorHAnsi"/>
          <w:sz w:val="24"/>
          <w:lang w:val="pl-PL"/>
        </w:rPr>
        <w:t xml:space="preserve"> </w:t>
      </w:r>
    </w:p>
    <w:p w14:paraId="7F904CE0" w14:textId="77777777" w:rsidR="00950534" w:rsidRPr="00067CBF" w:rsidRDefault="00950534" w:rsidP="00950534">
      <w:pPr>
        <w:pStyle w:val="ClinContent"/>
        <w:widowControl w:val="0"/>
        <w:spacing w:before="0"/>
        <w:rPr>
          <w:rFonts w:asciiTheme="minorHAnsi" w:hAnsiTheme="minorHAnsi"/>
          <w:sz w:val="24"/>
          <w:lang w:val="pl-PL"/>
        </w:rPr>
      </w:pPr>
    </w:p>
    <w:bookmarkEnd w:id="0"/>
    <w:p w14:paraId="0D341932" w14:textId="77777777" w:rsidR="00950534" w:rsidRDefault="00950534" w:rsidP="00E31BB0">
      <w:pPr>
        <w:jc w:val="center"/>
        <w:rPr>
          <w:rFonts w:cs="Verdana"/>
          <w:b/>
          <w:bCs/>
          <w:sz w:val="24"/>
          <w:szCs w:val="24"/>
          <w:lang w:val="pl-PL"/>
        </w:rPr>
      </w:pPr>
    </w:p>
    <w:sectPr w:rsidR="00950534" w:rsidSect="00E31BB0">
      <w:headerReference w:type="default" r:id="rId45"/>
      <w:footerReference w:type="default" r:id="rId46"/>
      <w:headerReference w:type="first" r:id="rId47"/>
      <w:footerReference w:type="first" r:id="rId48"/>
      <w:type w:val="continuous"/>
      <w:pgSz w:w="11906" w:h="16838"/>
      <w:pgMar w:top="-1359" w:right="1417" w:bottom="1276" w:left="1417" w:header="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CDDFE" w14:textId="77777777" w:rsidR="00FA6F64" w:rsidRDefault="00FA6F64" w:rsidP="00327846">
      <w:pPr>
        <w:spacing w:after="0" w:line="240" w:lineRule="auto"/>
      </w:pPr>
      <w:r>
        <w:separator/>
      </w:r>
    </w:p>
  </w:endnote>
  <w:endnote w:type="continuationSeparator" w:id="0">
    <w:p w14:paraId="17191906" w14:textId="77777777" w:rsidR="00FA6F64" w:rsidRDefault="00FA6F64" w:rsidP="00327846">
      <w:pPr>
        <w:spacing w:after="0" w:line="240" w:lineRule="auto"/>
      </w:pPr>
      <w:r>
        <w:continuationSeparator/>
      </w:r>
    </w:p>
  </w:endnote>
  <w:endnote w:type="continuationNotice" w:id="1">
    <w:p w14:paraId="4915253E" w14:textId="77777777" w:rsidR="00FA6F64" w:rsidRDefault="00FA6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509930"/>
      <w:docPartObj>
        <w:docPartGallery w:val="Page Numbers (Bottom of Page)"/>
        <w:docPartUnique/>
      </w:docPartObj>
    </w:sdtPr>
    <w:sdtEndPr/>
    <w:sdtContent>
      <w:p w14:paraId="2ECF97A2" w14:textId="77777777" w:rsidR="00FA6F64" w:rsidRDefault="00FA6F64">
        <w:pPr>
          <w:pStyle w:val="Stopka"/>
          <w:jc w:val="right"/>
        </w:pPr>
        <w:r>
          <w:fldChar w:fldCharType="begin"/>
        </w:r>
        <w:r>
          <w:instrText>PAGE   \* MERGEFORMAT</w:instrText>
        </w:r>
        <w:r>
          <w:fldChar w:fldCharType="separate"/>
        </w:r>
        <w:r w:rsidR="0057254E" w:rsidRPr="0057254E">
          <w:rPr>
            <w:noProof/>
            <w:lang w:val="pl-PL"/>
          </w:rPr>
          <w:t>2</w:t>
        </w:r>
        <w:r>
          <w:fldChar w:fldCharType="end"/>
        </w:r>
      </w:p>
    </w:sdtContent>
  </w:sdt>
  <w:p w14:paraId="6CF8E1C3" w14:textId="77777777" w:rsidR="00FA6F64" w:rsidRDefault="00FA6F6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A7128" w14:textId="2F89D253" w:rsidR="00FA6F64" w:rsidRDefault="00FA6F64">
    <w:pPr>
      <w:pStyle w:val="Stopka"/>
    </w:pPr>
    <w:r>
      <w:rPr>
        <w:i/>
      </w:rPr>
      <w:t>Dokument może podlegać korektom redakcyjnym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59970" w14:textId="77777777" w:rsidR="00FA6F64" w:rsidRDefault="00FA6F64" w:rsidP="00327846">
      <w:pPr>
        <w:spacing w:after="0" w:line="240" w:lineRule="auto"/>
      </w:pPr>
      <w:r>
        <w:separator/>
      </w:r>
    </w:p>
  </w:footnote>
  <w:footnote w:type="continuationSeparator" w:id="0">
    <w:p w14:paraId="49270393" w14:textId="77777777" w:rsidR="00FA6F64" w:rsidRDefault="00FA6F64" w:rsidP="00327846">
      <w:pPr>
        <w:spacing w:after="0" w:line="240" w:lineRule="auto"/>
      </w:pPr>
      <w:r>
        <w:continuationSeparator/>
      </w:r>
    </w:p>
  </w:footnote>
  <w:footnote w:type="continuationNotice" w:id="1">
    <w:p w14:paraId="212ACFBA" w14:textId="77777777" w:rsidR="00FA6F64" w:rsidRDefault="00FA6F64">
      <w:pPr>
        <w:spacing w:after="0" w:line="240" w:lineRule="auto"/>
      </w:pPr>
    </w:p>
  </w:footnote>
  <w:footnote w:id="2">
    <w:p w14:paraId="5DE2294E" w14:textId="77777777" w:rsidR="00FA6F64" w:rsidRPr="008F71FD" w:rsidRDefault="00FA6F64" w:rsidP="00950534">
      <w:pPr>
        <w:pStyle w:val="Tekstprzypisudolnego"/>
        <w:spacing w:after="120"/>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Konwencja o ochronie praw człowieka i podstawowych wolności, sporządzona w Rzymie dnia 4 listopada 1950 r. (Dz. U. z 1993 r. Nr 61, poz. 284, z późn. zm.).</w:t>
      </w:r>
    </w:p>
  </w:footnote>
  <w:footnote w:id="3">
    <w:p w14:paraId="48577FF5" w14:textId="6CB8C020" w:rsidR="00FA6F64" w:rsidRPr="008F71FD" w:rsidRDefault="00FA6F64" w:rsidP="00950534">
      <w:pPr>
        <w:spacing w:after="120" w:line="240" w:lineRule="auto"/>
        <w:jc w:val="both"/>
        <w:rPr>
          <w:sz w:val="20"/>
          <w:szCs w:val="20"/>
          <w:lang w:val="pl-PL"/>
        </w:rPr>
      </w:pPr>
      <w:r w:rsidRPr="008F71FD">
        <w:rPr>
          <w:rStyle w:val="Odwoanieprzypisudolnego"/>
          <w:sz w:val="20"/>
          <w:szCs w:val="20"/>
          <w:lang w:val="pl-PL"/>
        </w:rPr>
        <w:footnoteRef/>
      </w:r>
      <w:r w:rsidRPr="008F71FD">
        <w:rPr>
          <w:sz w:val="20"/>
          <w:szCs w:val="20"/>
          <w:lang w:val="pl-PL"/>
        </w:rPr>
        <w:t xml:space="preserve"> Pominięte zostało orzeczenie nieostateczne oraz wyrok dotyczący Polski, wydany w sprawie </w:t>
      </w:r>
      <w:hyperlink r:id="rId1" w:history="1">
        <w:r w:rsidRPr="008F71FD">
          <w:rPr>
            <w:rStyle w:val="Hipercze"/>
            <w:i/>
            <w:sz w:val="20"/>
            <w:szCs w:val="20"/>
            <w:lang w:val="pl-PL"/>
          </w:rPr>
          <w:t>Olewnik-Cieplińska i Olewnik p. Polsce</w:t>
        </w:r>
      </w:hyperlink>
      <w:r w:rsidRPr="008F71FD">
        <w:rPr>
          <w:sz w:val="20"/>
          <w:szCs w:val="20"/>
          <w:lang w:val="pl-PL"/>
        </w:rPr>
        <w:t xml:space="preserve"> (skarga nr 20147/15, 5 września 2019 r.).</w:t>
      </w:r>
      <w:r w:rsidRPr="008F71FD">
        <w:rPr>
          <w:i/>
          <w:sz w:val="20"/>
          <w:szCs w:val="20"/>
          <w:lang w:val="pl-PL"/>
        </w:rPr>
        <w:t xml:space="preserve"> </w:t>
      </w:r>
      <w:r w:rsidRPr="008F71FD">
        <w:rPr>
          <w:sz w:val="20"/>
          <w:szCs w:val="20"/>
          <w:lang w:val="pl-PL"/>
        </w:rPr>
        <w:t>Pełna lista najważniejszych orzeczeń za</w:t>
      </w:r>
      <w:r>
        <w:rPr>
          <w:sz w:val="20"/>
          <w:szCs w:val="20"/>
          <w:lang w:val="pl-PL"/>
        </w:rPr>
        <w:t> </w:t>
      </w:r>
      <w:r w:rsidRPr="008F71FD">
        <w:rPr>
          <w:sz w:val="20"/>
          <w:szCs w:val="20"/>
          <w:lang w:val="pl-PL"/>
        </w:rPr>
        <w:t xml:space="preserve">2019 r., które zostały wybrane przez Biuro Europejskiego Trybunału Praw Człowieka, znajduje się na stronie Trybunału pod adresem: </w:t>
      </w:r>
    </w:p>
    <w:p w14:paraId="5FD4C60D" w14:textId="77777777" w:rsidR="00FA6F64" w:rsidRPr="008F71FD" w:rsidRDefault="003D0D69" w:rsidP="00950534">
      <w:pPr>
        <w:spacing w:after="120" w:line="240" w:lineRule="auto"/>
        <w:jc w:val="both"/>
        <w:rPr>
          <w:sz w:val="20"/>
          <w:szCs w:val="20"/>
          <w:lang w:val="pl-PL"/>
        </w:rPr>
      </w:pPr>
      <w:hyperlink r:id="rId2" w:history="1">
        <w:r w:rsidR="00FA6F64" w:rsidRPr="008F71FD">
          <w:rPr>
            <w:rStyle w:val="Hipercze"/>
            <w:sz w:val="20"/>
            <w:szCs w:val="20"/>
            <w:lang w:val="pl-PL"/>
          </w:rPr>
          <w:t>https://www.echr.coe.int/Documents/Cases_list_2019_ENG.pdf</w:t>
        </w:r>
      </w:hyperlink>
      <w:r w:rsidR="00FA6F64" w:rsidRPr="008F71FD">
        <w:rPr>
          <w:sz w:val="20"/>
          <w:szCs w:val="20"/>
          <w:lang w:val="pl-PL"/>
        </w:rPr>
        <w:t xml:space="preserve"> </w:t>
      </w:r>
    </w:p>
  </w:footnote>
  <w:footnote w:id="4">
    <w:p w14:paraId="00BEB7B8" w14:textId="231579DC"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również </w:t>
      </w:r>
      <w:r w:rsidRPr="008F71FD">
        <w:rPr>
          <w:rFonts w:asciiTheme="minorHAnsi" w:hAnsiTheme="minorHAnsi"/>
          <w:i/>
          <w:lang w:val="pl-PL"/>
        </w:rPr>
        <w:t>Ramos Nunes de Carvalho e Sá p. Portugalii</w:t>
      </w:r>
      <w:r w:rsidRPr="008F71FD">
        <w:rPr>
          <w:rFonts w:asciiTheme="minorHAnsi" w:hAnsiTheme="minorHAnsi"/>
          <w:lang w:val="pl-PL"/>
        </w:rPr>
        <w:t xml:space="preserve"> [Wielka Izba], nr 55391/13 et al., 6 listopada 2018</w:t>
      </w:r>
      <w:r>
        <w:rPr>
          <w:rFonts w:asciiTheme="minorHAnsi" w:hAnsiTheme="minorHAnsi"/>
          <w:lang w:val="pl-PL"/>
        </w:rPr>
        <w:t> </w:t>
      </w:r>
      <w:r w:rsidRPr="008F71FD">
        <w:rPr>
          <w:rFonts w:asciiTheme="minorHAnsi" w:hAnsiTheme="minorHAnsi"/>
          <w:lang w:val="pl-PL"/>
        </w:rPr>
        <w:t xml:space="preserve">r., </w:t>
      </w:r>
      <w:hyperlink r:id="rId3" w:history="1">
        <w:r w:rsidRPr="008F71FD">
          <w:rPr>
            <w:rStyle w:val="Hipercze"/>
            <w:rFonts w:asciiTheme="minorHAnsi" w:hAnsiTheme="minorHAnsi"/>
            <w:lang w:val="pl-PL"/>
          </w:rPr>
          <w:t>Nota informacyjna nr 223</w:t>
        </w:r>
      </w:hyperlink>
    </w:p>
  </w:footnote>
  <w:footnote w:id="5">
    <w:p w14:paraId="2F9ABCE6" w14:textId="41B17BFD" w:rsidR="00FA6F64" w:rsidRPr="008F71FD" w:rsidRDefault="00FA6F64" w:rsidP="00206CCE">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Trybunał nie badał w tej sprawie poprawek, które wprowadziła ustawa z 2014 r. o zachowaniach aspołecznych, przestępczości i policji oraz zaktualizowany kodeks praktyki. Nie badał też uprawnienia do</w:t>
      </w:r>
      <w:r>
        <w:rPr>
          <w:rFonts w:asciiTheme="minorHAnsi" w:hAnsiTheme="minorHAnsi"/>
          <w:lang w:val="pl-PL"/>
        </w:rPr>
        <w:t> </w:t>
      </w:r>
      <w:r w:rsidRPr="008F71FD">
        <w:rPr>
          <w:rFonts w:asciiTheme="minorHAnsi" w:hAnsiTheme="minorHAnsi"/>
          <w:lang w:val="pl-PL"/>
        </w:rPr>
        <w:t>pozbawienia wolności na podstawie Załącznika nr 7, które potencjalnie mogło skutkować znacznie poważniejszą ingerencją w prawa przyznane Konwencją.</w:t>
      </w:r>
    </w:p>
  </w:footnote>
  <w:footnote w:id="6">
    <w:p w14:paraId="5E4DA017" w14:textId="62179AD8" w:rsidR="00FA6F64" w:rsidRPr="008F71FD" w:rsidRDefault="00FA6F64" w:rsidP="00950534">
      <w:pPr>
        <w:pStyle w:val="ClinContent"/>
        <w:rPr>
          <w:rFonts w:asciiTheme="minorHAnsi" w:hAnsiTheme="minorHAnsi"/>
          <w:szCs w:val="20"/>
          <w:lang w:val="pl-PL"/>
        </w:rPr>
      </w:pPr>
      <w:r w:rsidRPr="008F71FD">
        <w:rPr>
          <w:rStyle w:val="Odwoanieprzypisudolnego"/>
          <w:rFonts w:asciiTheme="minorHAnsi" w:hAnsiTheme="minorHAnsi"/>
          <w:szCs w:val="20"/>
          <w:lang w:val="pl-PL"/>
        </w:rPr>
        <w:footnoteRef/>
      </w:r>
      <w:r w:rsidRPr="008F71FD">
        <w:rPr>
          <w:rFonts w:asciiTheme="minorHAnsi" w:hAnsiTheme="minorHAnsi"/>
          <w:szCs w:val="20"/>
          <w:lang w:val="pl-PL"/>
        </w:rPr>
        <w:t xml:space="preserve"> Zobacz również </w:t>
      </w:r>
      <w:r w:rsidRPr="008F71FD">
        <w:rPr>
          <w:rFonts w:asciiTheme="minorHAnsi" w:hAnsiTheme="minorHAnsi"/>
          <w:i/>
          <w:szCs w:val="20"/>
          <w:lang w:val="pl-PL"/>
        </w:rPr>
        <w:t>Gillan i Quinton p. Zjednoczonemu Królestwu</w:t>
      </w:r>
      <w:r w:rsidRPr="008F71FD">
        <w:rPr>
          <w:rFonts w:asciiTheme="minorHAnsi" w:hAnsiTheme="minorHAnsi"/>
          <w:szCs w:val="20"/>
          <w:lang w:val="pl-PL"/>
        </w:rPr>
        <w:t xml:space="preserve">, nr 4158/05, 12 stycznia 2010 r., </w:t>
      </w:r>
      <w:hyperlink r:id="rId4" w:history="1">
        <w:r w:rsidRPr="008F71FD">
          <w:rPr>
            <w:rStyle w:val="Hipercze"/>
            <w:rFonts w:asciiTheme="minorHAnsi" w:hAnsiTheme="minorHAnsi"/>
            <w:szCs w:val="20"/>
            <w:lang w:val="pl-PL"/>
          </w:rPr>
          <w:t>Nota</w:t>
        </w:r>
        <w:r>
          <w:rPr>
            <w:rStyle w:val="Hipercze"/>
            <w:rFonts w:asciiTheme="minorHAnsi" w:hAnsiTheme="minorHAnsi"/>
            <w:szCs w:val="20"/>
            <w:lang w:val="pl-PL"/>
          </w:rPr>
          <w:t> </w:t>
        </w:r>
        <w:r w:rsidRPr="008F71FD">
          <w:rPr>
            <w:rStyle w:val="Hipercze"/>
            <w:rFonts w:asciiTheme="minorHAnsi" w:hAnsiTheme="minorHAnsi"/>
            <w:szCs w:val="20"/>
            <w:lang w:val="pl-PL"/>
          </w:rPr>
          <w:t>informacyjna nr 126</w:t>
        </w:r>
      </w:hyperlink>
      <w:r w:rsidRPr="008F71FD">
        <w:rPr>
          <w:rFonts w:asciiTheme="minorHAnsi" w:hAnsiTheme="minorHAnsi"/>
          <w:szCs w:val="20"/>
          <w:lang w:val="pl-PL"/>
        </w:rPr>
        <w:t>)</w:t>
      </w:r>
    </w:p>
    <w:p w14:paraId="63038435" w14:textId="77777777" w:rsidR="00FA6F64" w:rsidRPr="008F71FD" w:rsidRDefault="00FA6F64" w:rsidP="00950534">
      <w:pPr>
        <w:pStyle w:val="Tekstprzypisudolnego"/>
        <w:jc w:val="both"/>
        <w:rPr>
          <w:rFonts w:asciiTheme="minorHAnsi" w:hAnsiTheme="minorHAnsi"/>
          <w:lang w:val="pl-PL"/>
        </w:rPr>
      </w:pPr>
    </w:p>
  </w:footnote>
  <w:footnote w:id="7">
    <w:p w14:paraId="18F3D25A" w14:textId="77777777"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również </w:t>
      </w:r>
      <w:r w:rsidRPr="008F71FD">
        <w:rPr>
          <w:rFonts w:asciiTheme="minorHAnsi" w:hAnsiTheme="minorHAnsi"/>
          <w:i/>
          <w:lang w:val="pl-PL"/>
        </w:rPr>
        <w:t>Osman p. Zjednoczonemu Królestwu</w:t>
      </w:r>
      <w:r w:rsidRPr="008F71FD">
        <w:rPr>
          <w:rFonts w:asciiTheme="minorHAnsi" w:hAnsiTheme="minorHAnsi"/>
          <w:lang w:val="pl-PL"/>
        </w:rPr>
        <w:t xml:space="preserve">, nr </w:t>
      </w:r>
      <w:hyperlink r:id="rId5" w:history="1">
        <w:r w:rsidRPr="008F71FD">
          <w:rPr>
            <w:rStyle w:val="Hipercze"/>
            <w:rFonts w:asciiTheme="minorHAnsi" w:hAnsiTheme="minorHAnsi"/>
            <w:lang w:val="pl-PL"/>
          </w:rPr>
          <w:t>23452/94</w:t>
        </w:r>
      </w:hyperlink>
      <w:r w:rsidRPr="008F71FD">
        <w:rPr>
          <w:rFonts w:asciiTheme="minorHAnsi" w:hAnsiTheme="minorHAnsi"/>
          <w:lang w:val="pl-PL"/>
        </w:rPr>
        <w:t xml:space="preserve">, 28 października 1998 r.; </w:t>
      </w:r>
      <w:r w:rsidRPr="008F71FD">
        <w:rPr>
          <w:rFonts w:asciiTheme="minorHAnsi" w:hAnsiTheme="minorHAnsi"/>
          <w:i/>
          <w:lang w:val="pl-PL"/>
        </w:rPr>
        <w:t>Keenan p. Zjednoczonemu Królestwu</w:t>
      </w:r>
      <w:r w:rsidRPr="008F71FD">
        <w:rPr>
          <w:rFonts w:asciiTheme="minorHAnsi" w:hAnsiTheme="minorHAnsi"/>
          <w:lang w:val="pl-PL"/>
        </w:rPr>
        <w:t xml:space="preserve">, nr 27229/95, 3 kwietnia 2001 r., </w:t>
      </w:r>
      <w:hyperlink r:id="rId6" w:history="1">
        <w:r w:rsidRPr="008F71FD">
          <w:rPr>
            <w:rStyle w:val="Hipercze"/>
            <w:rFonts w:asciiTheme="minorHAnsi" w:hAnsiTheme="minorHAnsi"/>
            <w:lang w:val="pl-PL"/>
          </w:rPr>
          <w:t>Nota informacyjna nr 29</w:t>
        </w:r>
      </w:hyperlink>
      <w:r w:rsidRPr="008F71FD">
        <w:rPr>
          <w:rFonts w:asciiTheme="minorHAnsi" w:hAnsiTheme="minorHAnsi"/>
          <w:lang w:val="pl-PL"/>
        </w:rPr>
        <w:t xml:space="preserve">; </w:t>
      </w:r>
      <w:r w:rsidRPr="008F71FD">
        <w:rPr>
          <w:rFonts w:asciiTheme="minorHAnsi" w:hAnsiTheme="minorHAnsi"/>
          <w:i/>
          <w:lang w:val="pl-PL"/>
        </w:rPr>
        <w:t>Reynolds p. Zjednoczonemu Królestwu</w:t>
      </w:r>
      <w:r w:rsidRPr="008F71FD">
        <w:rPr>
          <w:rFonts w:asciiTheme="minorHAnsi" w:hAnsiTheme="minorHAnsi"/>
          <w:lang w:val="pl-PL"/>
        </w:rPr>
        <w:t xml:space="preserve">, nr 2694/08, 13 marca 2012 r., </w:t>
      </w:r>
      <w:hyperlink r:id="rId7" w:history="1">
        <w:r w:rsidRPr="008F71FD">
          <w:rPr>
            <w:rStyle w:val="Hipercze"/>
            <w:rFonts w:asciiTheme="minorHAnsi" w:hAnsiTheme="minorHAnsi"/>
            <w:lang w:val="pl-PL"/>
          </w:rPr>
          <w:t>Nota informacyjna nr 150</w:t>
        </w:r>
      </w:hyperlink>
      <w:r w:rsidRPr="008F71FD">
        <w:rPr>
          <w:rFonts w:asciiTheme="minorHAnsi" w:hAnsiTheme="minorHAnsi"/>
          <w:lang w:val="pl-PL"/>
        </w:rPr>
        <w:t xml:space="preserve">; </w:t>
      </w:r>
      <w:r w:rsidRPr="008F71FD">
        <w:rPr>
          <w:rFonts w:asciiTheme="minorHAnsi" w:hAnsiTheme="minorHAnsi"/>
          <w:i/>
          <w:lang w:val="pl-PL"/>
        </w:rPr>
        <w:t>Younger p. Zjednoczonemu Królestwu</w:t>
      </w:r>
      <w:r w:rsidRPr="008F71FD">
        <w:rPr>
          <w:rFonts w:asciiTheme="minorHAnsi" w:hAnsiTheme="minorHAnsi"/>
          <w:lang w:val="pl-PL"/>
        </w:rPr>
        <w:t xml:space="preserve"> (dec.), nr 57420/00, 7 stycznia 2003 r., </w:t>
      </w:r>
      <w:hyperlink r:id="rId8" w:history="1">
        <w:r w:rsidRPr="008F71FD">
          <w:rPr>
            <w:rStyle w:val="Hipercze"/>
            <w:rFonts w:asciiTheme="minorHAnsi" w:hAnsiTheme="minorHAnsi"/>
            <w:lang w:val="pl-PL"/>
          </w:rPr>
          <w:t>Nota informacyjna nr 49</w:t>
        </w:r>
      </w:hyperlink>
      <w:r w:rsidRPr="008F71FD">
        <w:rPr>
          <w:rFonts w:asciiTheme="minorHAnsi" w:hAnsiTheme="minorHAnsi"/>
          <w:lang w:val="pl-PL"/>
        </w:rPr>
        <w:t xml:space="preserve">; </w:t>
      </w:r>
      <w:r w:rsidRPr="008F71FD">
        <w:rPr>
          <w:rFonts w:asciiTheme="minorHAnsi" w:hAnsiTheme="minorHAnsi"/>
          <w:i/>
          <w:lang w:val="pl-PL"/>
        </w:rPr>
        <w:t>Dodov p. Bułgarii</w:t>
      </w:r>
      <w:r w:rsidRPr="008F71FD">
        <w:rPr>
          <w:rFonts w:asciiTheme="minorHAnsi" w:hAnsiTheme="minorHAnsi"/>
          <w:lang w:val="pl-PL"/>
        </w:rPr>
        <w:t xml:space="preserve">, nr 59548/00, 17 stycznia 2008 r., </w:t>
      </w:r>
      <w:hyperlink r:id="rId9" w:history="1">
        <w:r w:rsidRPr="008F71FD">
          <w:rPr>
            <w:rStyle w:val="Hipercze"/>
            <w:rFonts w:asciiTheme="minorHAnsi" w:hAnsiTheme="minorHAnsi"/>
            <w:lang w:val="pl-PL"/>
          </w:rPr>
          <w:t>Nota informacyjna nr 104</w:t>
        </w:r>
      </w:hyperlink>
      <w:r w:rsidRPr="008F71FD">
        <w:rPr>
          <w:rFonts w:asciiTheme="minorHAnsi" w:hAnsiTheme="minorHAnsi"/>
          <w:lang w:val="pl-PL"/>
        </w:rPr>
        <w:t xml:space="preserve">; </w:t>
      </w:r>
      <w:r w:rsidRPr="008F71FD">
        <w:rPr>
          <w:rFonts w:asciiTheme="minorHAnsi" w:hAnsiTheme="minorHAnsi"/>
          <w:i/>
          <w:lang w:val="pl-PL"/>
        </w:rPr>
        <w:t>De Donder i De Clippel p. Belgii</w:t>
      </w:r>
      <w:r w:rsidRPr="008F71FD">
        <w:rPr>
          <w:rFonts w:asciiTheme="minorHAnsi" w:hAnsiTheme="minorHAnsi"/>
          <w:lang w:val="pl-PL"/>
        </w:rPr>
        <w:t xml:space="preserve">, nr 8595/06, 6 grudnia 2011 r., </w:t>
      </w:r>
      <w:hyperlink r:id="rId10" w:history="1">
        <w:r w:rsidRPr="008F71FD">
          <w:rPr>
            <w:rStyle w:val="Hipercze"/>
            <w:rFonts w:asciiTheme="minorHAnsi" w:hAnsiTheme="minorHAnsi"/>
            <w:lang w:val="pl-PL"/>
          </w:rPr>
          <w:t>Nota informacyjna nr 147</w:t>
        </w:r>
      </w:hyperlink>
      <w:r w:rsidRPr="008F71FD">
        <w:rPr>
          <w:rFonts w:asciiTheme="minorHAnsi" w:hAnsiTheme="minorHAnsi"/>
          <w:lang w:val="pl-PL"/>
        </w:rPr>
        <w:t xml:space="preserve">; </w:t>
      </w:r>
      <w:r w:rsidRPr="008F71FD">
        <w:rPr>
          <w:rFonts w:asciiTheme="minorHAnsi" w:hAnsiTheme="minorHAnsi"/>
          <w:i/>
          <w:lang w:val="pl-PL"/>
        </w:rPr>
        <w:t>Hiller p. Austrii</w:t>
      </w:r>
      <w:r w:rsidRPr="008F71FD">
        <w:rPr>
          <w:rFonts w:asciiTheme="minorHAnsi" w:hAnsiTheme="minorHAnsi"/>
          <w:lang w:val="pl-PL"/>
        </w:rPr>
        <w:t xml:space="preserve">, nr </w:t>
      </w:r>
      <w:hyperlink r:id="rId11" w:history="1">
        <w:r w:rsidRPr="008F71FD">
          <w:rPr>
            <w:rStyle w:val="Hipercze"/>
            <w:rFonts w:asciiTheme="minorHAnsi" w:hAnsiTheme="minorHAnsi"/>
            <w:lang w:val="pl-PL"/>
          </w:rPr>
          <w:t>1967/14</w:t>
        </w:r>
      </w:hyperlink>
      <w:r w:rsidRPr="008F71FD">
        <w:rPr>
          <w:rFonts w:asciiTheme="minorHAnsi" w:hAnsiTheme="minorHAnsi"/>
          <w:lang w:val="pl-PL"/>
        </w:rPr>
        <w:t xml:space="preserve">, 22 listopada 2016 r.; </w:t>
      </w:r>
      <w:r w:rsidRPr="008F71FD">
        <w:rPr>
          <w:rFonts w:asciiTheme="minorHAnsi" w:hAnsiTheme="minorHAnsi"/>
          <w:i/>
          <w:lang w:val="pl-PL"/>
        </w:rPr>
        <w:t>Lopes de Sousa Fernandes p. Portugalii</w:t>
      </w:r>
      <w:r w:rsidRPr="008F71FD">
        <w:rPr>
          <w:rFonts w:asciiTheme="minorHAnsi" w:hAnsiTheme="minorHAnsi"/>
          <w:lang w:val="pl-PL"/>
        </w:rPr>
        <w:t xml:space="preserve"> [WI], nr 56080/13, 19 grudnia 2017 r., </w:t>
      </w:r>
      <w:hyperlink r:id="rId12" w:history="1">
        <w:r w:rsidRPr="008F71FD">
          <w:rPr>
            <w:rStyle w:val="Hipercze"/>
            <w:rFonts w:asciiTheme="minorHAnsi" w:hAnsiTheme="minorHAnsi"/>
            <w:lang w:val="pl-PL"/>
          </w:rPr>
          <w:t>Nota informacyjna nr 213</w:t>
        </w:r>
      </w:hyperlink>
    </w:p>
  </w:footnote>
  <w:footnote w:id="8">
    <w:p w14:paraId="5CD98C27" w14:textId="3FB9453A"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w:t>
      </w:r>
      <w:r w:rsidRPr="008F71FD">
        <w:rPr>
          <w:rFonts w:asciiTheme="minorHAnsi" w:hAnsiTheme="minorHAnsi"/>
          <w:i/>
          <w:lang w:val="pl-PL"/>
        </w:rPr>
        <w:t>Cypr p. Turcji</w:t>
      </w:r>
      <w:r w:rsidRPr="008F71FD">
        <w:rPr>
          <w:rFonts w:asciiTheme="minorHAnsi" w:hAnsiTheme="minorHAnsi"/>
          <w:lang w:val="pl-PL"/>
        </w:rPr>
        <w:t xml:space="preserve"> (słuszne zadośćuczynienie) [WI], nr 25781/94, 12 maja 2014 r. Zobacz również wyrok w</w:t>
      </w:r>
      <w:r>
        <w:rPr>
          <w:rFonts w:asciiTheme="minorHAnsi" w:hAnsiTheme="minorHAnsi"/>
          <w:lang w:val="pl-PL"/>
        </w:rPr>
        <w:t> </w:t>
      </w:r>
      <w:r w:rsidRPr="008F71FD">
        <w:rPr>
          <w:rFonts w:asciiTheme="minorHAnsi" w:hAnsiTheme="minorHAnsi"/>
          <w:lang w:val="pl-PL"/>
        </w:rPr>
        <w:t xml:space="preserve">sprawach </w:t>
      </w:r>
      <w:r w:rsidRPr="008F71FD">
        <w:rPr>
          <w:rFonts w:asciiTheme="minorHAnsi" w:hAnsiTheme="minorHAnsi"/>
          <w:i/>
          <w:lang w:val="pl-PL"/>
        </w:rPr>
        <w:t>Chiragov i Inni p. Armenii</w:t>
      </w:r>
      <w:r w:rsidRPr="008F71FD">
        <w:rPr>
          <w:rFonts w:asciiTheme="minorHAnsi" w:hAnsiTheme="minorHAnsi"/>
          <w:lang w:val="pl-PL"/>
        </w:rPr>
        <w:t xml:space="preserve"> (słuszne zadośćuczynienie) [WI], nr </w:t>
      </w:r>
      <w:hyperlink r:id="rId13" w:history="1">
        <w:r w:rsidRPr="008F71FD">
          <w:rPr>
            <w:rStyle w:val="Hipercze"/>
            <w:rFonts w:asciiTheme="minorHAnsi" w:hAnsiTheme="minorHAnsi"/>
            <w:lang w:val="pl-PL"/>
          </w:rPr>
          <w:t>13216/05</w:t>
        </w:r>
      </w:hyperlink>
      <w:r w:rsidRPr="008F71FD">
        <w:rPr>
          <w:rFonts w:asciiTheme="minorHAnsi" w:hAnsiTheme="minorHAnsi"/>
          <w:lang w:val="pl-PL"/>
        </w:rPr>
        <w:t xml:space="preserve">, oraz </w:t>
      </w:r>
      <w:r w:rsidRPr="008F71FD">
        <w:rPr>
          <w:rFonts w:asciiTheme="minorHAnsi" w:hAnsiTheme="minorHAnsi"/>
          <w:i/>
          <w:lang w:val="pl-PL"/>
        </w:rPr>
        <w:t>Sargsyan p. Azerbejdżanowi</w:t>
      </w:r>
      <w:r w:rsidRPr="008F71FD">
        <w:rPr>
          <w:rFonts w:asciiTheme="minorHAnsi" w:hAnsiTheme="minorHAnsi"/>
          <w:lang w:val="pl-PL"/>
        </w:rPr>
        <w:t xml:space="preserve"> (słuszne zadośćuczynienie) [WI], nr </w:t>
      </w:r>
      <w:hyperlink r:id="rId14" w:history="1">
        <w:r w:rsidRPr="008F71FD">
          <w:rPr>
            <w:rStyle w:val="Hipercze"/>
            <w:rFonts w:asciiTheme="minorHAnsi" w:hAnsiTheme="minorHAnsi"/>
            <w:lang w:val="pl-PL"/>
          </w:rPr>
          <w:t>40167/06</w:t>
        </w:r>
      </w:hyperlink>
      <w:r w:rsidRPr="008F71FD">
        <w:rPr>
          <w:rFonts w:asciiTheme="minorHAnsi" w:hAnsiTheme="minorHAnsi"/>
          <w:lang w:val="pl-PL"/>
        </w:rPr>
        <w:t xml:space="preserve">, 12 grudnia 2017 r., </w:t>
      </w:r>
      <w:hyperlink r:id="rId15" w:history="1">
        <w:r w:rsidRPr="008F71FD">
          <w:rPr>
            <w:rStyle w:val="Hipercze"/>
            <w:rFonts w:asciiTheme="minorHAnsi" w:hAnsiTheme="minorHAnsi"/>
            <w:lang w:val="pl-PL"/>
          </w:rPr>
          <w:t>Nota informacyjna nr 213</w:t>
        </w:r>
      </w:hyperlink>
      <w:r w:rsidRPr="008F71FD">
        <w:rPr>
          <w:rStyle w:val="Hipercze"/>
          <w:rFonts w:asciiTheme="minorHAnsi" w:hAnsiTheme="minorHAnsi"/>
          <w:lang w:val="pl-PL"/>
        </w:rPr>
        <w:t>.</w:t>
      </w:r>
    </w:p>
  </w:footnote>
  <w:footnote w:id="9">
    <w:p w14:paraId="20E29C9F" w14:textId="1E59417E"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także </w:t>
      </w:r>
      <w:hyperlink r:id="rId16" w:history="1">
        <w:r w:rsidRPr="008F71FD">
          <w:rPr>
            <w:rStyle w:val="Hipercze"/>
            <w:rFonts w:asciiTheme="minorHAnsi" w:hAnsiTheme="minorHAnsi"/>
            <w:i/>
            <w:lang w:val="pl-PL"/>
          </w:rPr>
          <w:t>Płoski p. Polsce</w:t>
        </w:r>
      </w:hyperlink>
      <w:r w:rsidRPr="008F71FD">
        <w:rPr>
          <w:rFonts w:asciiTheme="minorHAnsi" w:hAnsiTheme="minorHAnsi"/>
          <w:lang w:val="pl-PL"/>
        </w:rPr>
        <w:t xml:space="preserve">, nr 26761/95, 12 listopada 2002 r., </w:t>
      </w:r>
      <w:hyperlink r:id="rId17" w:history="1">
        <w:r w:rsidRPr="008F71FD">
          <w:rPr>
            <w:rStyle w:val="Hipercze"/>
            <w:rFonts w:asciiTheme="minorHAnsi" w:hAnsiTheme="minorHAnsi"/>
            <w:lang w:val="pl-PL"/>
          </w:rPr>
          <w:t>Nota informacyjna nr 47</w:t>
        </w:r>
      </w:hyperlink>
      <w:r w:rsidRPr="008F71FD">
        <w:rPr>
          <w:rFonts w:asciiTheme="minorHAnsi" w:hAnsiTheme="minorHAnsi"/>
          <w:lang w:val="pl-PL"/>
        </w:rPr>
        <w:t xml:space="preserve">; </w:t>
      </w:r>
      <w:r w:rsidRPr="008F71FD">
        <w:rPr>
          <w:rFonts w:asciiTheme="minorHAnsi" w:hAnsiTheme="minorHAnsi"/>
          <w:i/>
          <w:lang w:val="pl-PL"/>
        </w:rPr>
        <w:t>Kubiak p. Polsce</w:t>
      </w:r>
      <w:r w:rsidRPr="008F71FD">
        <w:rPr>
          <w:rFonts w:asciiTheme="minorHAnsi" w:hAnsiTheme="minorHAnsi"/>
          <w:lang w:val="pl-PL"/>
        </w:rPr>
        <w:t>, nr</w:t>
      </w:r>
      <w:r>
        <w:rPr>
          <w:rFonts w:asciiTheme="minorHAnsi" w:hAnsiTheme="minorHAnsi"/>
          <w:lang w:val="pl-PL"/>
        </w:rPr>
        <w:t> </w:t>
      </w:r>
      <w:r w:rsidRPr="008F71FD">
        <w:rPr>
          <w:rFonts w:asciiTheme="minorHAnsi" w:hAnsiTheme="minorHAnsi"/>
          <w:lang w:val="pl-PL"/>
        </w:rPr>
        <w:t xml:space="preserve">2900/11, 21 kwietnia 2015 r.; oraz </w:t>
      </w:r>
      <w:r w:rsidRPr="008F71FD">
        <w:rPr>
          <w:rFonts w:asciiTheme="minorHAnsi" w:hAnsiTheme="minorHAnsi"/>
          <w:i/>
          <w:lang w:val="pl-PL"/>
        </w:rPr>
        <w:t>Kanalas p. Rumunii</w:t>
      </w:r>
      <w:r w:rsidRPr="008F71FD">
        <w:rPr>
          <w:rFonts w:asciiTheme="minorHAnsi" w:hAnsiTheme="minorHAnsi"/>
          <w:lang w:val="pl-PL"/>
        </w:rPr>
        <w:t>, nr 20323/14, 6 grudnia 2016 r.</w:t>
      </w:r>
    </w:p>
  </w:footnote>
  <w:footnote w:id="10">
    <w:p w14:paraId="309F3B2E" w14:textId="66D7D468"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również </w:t>
      </w:r>
      <w:r w:rsidRPr="008F71FD">
        <w:rPr>
          <w:rFonts w:asciiTheme="minorHAnsi" w:hAnsiTheme="minorHAnsi"/>
          <w:i/>
          <w:lang w:val="pl-PL"/>
        </w:rPr>
        <w:t>Rantsev p. Cyprowi i Rosji</w:t>
      </w:r>
      <w:r w:rsidRPr="008F71FD">
        <w:rPr>
          <w:rFonts w:asciiTheme="minorHAnsi" w:hAnsiTheme="minorHAnsi"/>
          <w:lang w:val="pl-PL"/>
        </w:rPr>
        <w:t xml:space="preserve">, nr 25965/04, 7 stycznia 2010 r., </w:t>
      </w:r>
      <w:hyperlink r:id="rId18" w:history="1">
        <w:r w:rsidRPr="008F71FD">
          <w:rPr>
            <w:rStyle w:val="Hipercze"/>
            <w:rFonts w:asciiTheme="minorHAnsi" w:hAnsiTheme="minorHAnsi"/>
            <w:lang w:val="pl-PL"/>
          </w:rPr>
          <w:t>Nota informacyjna nr 126</w:t>
        </w:r>
      </w:hyperlink>
      <w:r w:rsidRPr="008F71FD">
        <w:rPr>
          <w:rFonts w:asciiTheme="minorHAnsi" w:hAnsiTheme="minorHAnsi"/>
          <w:lang w:val="pl-PL"/>
        </w:rPr>
        <w:t xml:space="preserve">; </w:t>
      </w:r>
      <w:r w:rsidRPr="008F71FD">
        <w:rPr>
          <w:rFonts w:asciiTheme="minorHAnsi" w:hAnsiTheme="minorHAnsi"/>
          <w:i/>
          <w:lang w:val="pl-PL"/>
        </w:rPr>
        <w:t xml:space="preserve">Al-Skeini i Inni p. Zjednoczonemu Królestwu </w:t>
      </w:r>
      <w:r w:rsidRPr="008F71FD">
        <w:rPr>
          <w:rFonts w:asciiTheme="minorHAnsi" w:hAnsiTheme="minorHAnsi"/>
          <w:lang w:val="pl-PL"/>
        </w:rPr>
        <w:t xml:space="preserve">[WI], nr 55721/07, 7 lipca 2011 r., </w:t>
      </w:r>
      <w:hyperlink r:id="rId19" w:history="1">
        <w:r w:rsidRPr="008F71FD">
          <w:rPr>
            <w:rStyle w:val="Hipercze"/>
            <w:rFonts w:asciiTheme="minorHAnsi" w:hAnsiTheme="minorHAnsi"/>
            <w:lang w:val="pl-PL"/>
          </w:rPr>
          <w:t>Nota informacyjna nr 143</w:t>
        </w:r>
      </w:hyperlink>
      <w:r w:rsidRPr="008F71FD">
        <w:rPr>
          <w:rFonts w:asciiTheme="minorHAnsi" w:hAnsiTheme="minorHAnsi"/>
          <w:lang w:val="pl-PL"/>
        </w:rPr>
        <w:t xml:space="preserve">; </w:t>
      </w:r>
      <w:r w:rsidRPr="008F71FD">
        <w:rPr>
          <w:rFonts w:asciiTheme="minorHAnsi" w:hAnsiTheme="minorHAnsi"/>
          <w:i/>
          <w:lang w:val="pl-PL"/>
        </w:rPr>
        <w:t>Markovic i Inni p. Włochom</w:t>
      </w:r>
      <w:r w:rsidRPr="008F71FD">
        <w:rPr>
          <w:rFonts w:asciiTheme="minorHAnsi" w:hAnsiTheme="minorHAnsi"/>
          <w:lang w:val="pl-PL"/>
        </w:rPr>
        <w:t xml:space="preserve"> [WI], nr 1398/03, 14 grudnia 2006 r., </w:t>
      </w:r>
      <w:hyperlink r:id="rId20" w:history="1">
        <w:r w:rsidRPr="008F71FD">
          <w:rPr>
            <w:rStyle w:val="Hipercze"/>
            <w:rFonts w:asciiTheme="minorHAnsi" w:hAnsiTheme="minorHAnsi"/>
            <w:lang w:val="pl-PL"/>
          </w:rPr>
          <w:t>Nota informacyjna nr 92</w:t>
        </w:r>
      </w:hyperlink>
      <w:r w:rsidRPr="008F71FD">
        <w:rPr>
          <w:rFonts w:asciiTheme="minorHAnsi" w:hAnsiTheme="minorHAnsi"/>
          <w:lang w:val="pl-PL"/>
        </w:rPr>
        <w:t xml:space="preserve">; </w:t>
      </w:r>
      <w:hyperlink r:id="rId21" w:history="1">
        <w:r w:rsidRPr="008F71FD">
          <w:rPr>
            <w:rStyle w:val="Hipercze"/>
            <w:rFonts w:asciiTheme="minorHAnsi" w:hAnsiTheme="minorHAnsi"/>
            <w:i/>
            <w:lang w:val="pl-PL"/>
          </w:rPr>
          <w:t>Janowiec i Inni p. Rosji</w:t>
        </w:r>
      </w:hyperlink>
      <w:r w:rsidRPr="008F71FD">
        <w:rPr>
          <w:rFonts w:asciiTheme="minorHAnsi" w:hAnsiTheme="minorHAnsi"/>
          <w:i/>
          <w:lang w:val="pl-PL"/>
        </w:rPr>
        <w:t xml:space="preserve"> </w:t>
      </w:r>
      <w:r w:rsidRPr="008F71FD">
        <w:rPr>
          <w:rFonts w:asciiTheme="minorHAnsi" w:hAnsiTheme="minorHAnsi"/>
          <w:lang w:val="pl-PL"/>
        </w:rPr>
        <w:t>[WI], nr</w:t>
      </w:r>
      <w:r>
        <w:rPr>
          <w:rFonts w:asciiTheme="minorHAnsi" w:hAnsiTheme="minorHAnsi"/>
          <w:lang w:val="pl-PL"/>
        </w:rPr>
        <w:t> </w:t>
      </w:r>
      <w:r w:rsidRPr="008F71FD">
        <w:rPr>
          <w:rFonts w:asciiTheme="minorHAnsi" w:hAnsiTheme="minorHAnsi"/>
          <w:lang w:val="pl-PL"/>
        </w:rPr>
        <w:t xml:space="preserve">55508/07 i 29520/09, 21 października 2013 r., </w:t>
      </w:r>
      <w:hyperlink r:id="rId22" w:history="1">
        <w:r w:rsidRPr="008F71FD">
          <w:rPr>
            <w:rStyle w:val="Hipercze"/>
            <w:rFonts w:asciiTheme="minorHAnsi" w:hAnsiTheme="minorHAnsi"/>
            <w:lang w:val="pl-PL"/>
          </w:rPr>
          <w:t>Nota informacyjna nr 167</w:t>
        </w:r>
      </w:hyperlink>
      <w:r w:rsidRPr="008F71FD">
        <w:rPr>
          <w:rFonts w:asciiTheme="minorHAnsi" w:hAnsiTheme="minorHAnsi"/>
          <w:lang w:val="pl-PL"/>
        </w:rPr>
        <w:t xml:space="preserve">; </w:t>
      </w:r>
      <w:r w:rsidRPr="008F71FD">
        <w:rPr>
          <w:rFonts w:asciiTheme="minorHAnsi" w:hAnsiTheme="minorHAnsi"/>
          <w:i/>
          <w:lang w:val="pl-PL"/>
        </w:rPr>
        <w:t>Cypr p. Turcji</w:t>
      </w:r>
      <w:r w:rsidRPr="008F71FD">
        <w:rPr>
          <w:rFonts w:asciiTheme="minorHAnsi" w:hAnsiTheme="minorHAnsi"/>
          <w:lang w:val="pl-PL"/>
        </w:rPr>
        <w:t xml:space="preserve">, </w:t>
      </w:r>
      <w:hyperlink r:id="rId23" w:history="1">
        <w:r w:rsidRPr="008F71FD">
          <w:rPr>
            <w:rStyle w:val="Hipercze"/>
            <w:rFonts w:asciiTheme="minorHAnsi" w:hAnsiTheme="minorHAnsi"/>
            <w:lang w:val="pl-PL"/>
          </w:rPr>
          <w:t>25781/94</w:t>
        </w:r>
      </w:hyperlink>
      <w:r w:rsidRPr="008F71FD">
        <w:rPr>
          <w:rFonts w:asciiTheme="minorHAnsi" w:hAnsiTheme="minorHAnsi"/>
          <w:lang w:val="pl-PL"/>
        </w:rPr>
        <w:t xml:space="preserve">, 10 maja 2001 r.; </w:t>
      </w:r>
      <w:r w:rsidRPr="008F71FD">
        <w:rPr>
          <w:rFonts w:asciiTheme="minorHAnsi" w:hAnsiTheme="minorHAnsi"/>
          <w:i/>
          <w:lang w:val="pl-PL"/>
        </w:rPr>
        <w:t>Mustafa Tunç i Fecire Tunç p. Turcji</w:t>
      </w:r>
      <w:r w:rsidRPr="008F71FD">
        <w:rPr>
          <w:rFonts w:asciiTheme="minorHAnsi" w:hAnsiTheme="minorHAnsi"/>
          <w:lang w:val="pl-PL"/>
        </w:rPr>
        <w:t xml:space="preserve"> [WI], nr 24014/05, 14 kwietnia 2015 r., </w:t>
      </w:r>
      <w:hyperlink r:id="rId24" w:history="1">
        <w:r w:rsidRPr="008F71FD">
          <w:rPr>
            <w:rStyle w:val="Hipercze"/>
            <w:rFonts w:asciiTheme="minorHAnsi" w:hAnsiTheme="minorHAnsi"/>
            <w:lang w:val="pl-PL"/>
          </w:rPr>
          <w:t>Nota informacyjna nr 184</w:t>
        </w:r>
      </w:hyperlink>
      <w:r w:rsidRPr="008F71FD">
        <w:rPr>
          <w:rFonts w:asciiTheme="minorHAnsi" w:hAnsiTheme="minorHAnsi"/>
          <w:lang w:val="pl-PL"/>
        </w:rPr>
        <w:t xml:space="preserve">; </w:t>
      </w:r>
      <w:r w:rsidRPr="008F71FD">
        <w:rPr>
          <w:rFonts w:asciiTheme="minorHAnsi" w:hAnsiTheme="minorHAnsi"/>
          <w:i/>
          <w:lang w:val="pl-PL"/>
        </w:rPr>
        <w:t>Demopoulos i Inni p. Turcji</w:t>
      </w:r>
      <w:r w:rsidRPr="008F71FD">
        <w:rPr>
          <w:rFonts w:asciiTheme="minorHAnsi" w:hAnsiTheme="minorHAnsi"/>
          <w:lang w:val="pl-PL"/>
        </w:rPr>
        <w:t xml:space="preserve"> (dec.) [WI], nr 46113/99 </w:t>
      </w:r>
      <w:r w:rsidRPr="008F71FD">
        <w:rPr>
          <w:rFonts w:asciiTheme="minorHAnsi" w:hAnsiTheme="minorHAnsi"/>
          <w:i/>
          <w:lang w:val="pl-PL"/>
        </w:rPr>
        <w:t>et al.</w:t>
      </w:r>
      <w:r w:rsidRPr="008F71FD">
        <w:rPr>
          <w:rFonts w:asciiTheme="minorHAnsi" w:hAnsiTheme="minorHAnsi"/>
          <w:lang w:val="pl-PL"/>
        </w:rPr>
        <w:t xml:space="preserve">, 1 marca 2010 r., </w:t>
      </w:r>
      <w:hyperlink r:id="rId25" w:history="1">
        <w:r w:rsidRPr="008F71FD">
          <w:rPr>
            <w:rStyle w:val="Hipercze"/>
            <w:rFonts w:asciiTheme="minorHAnsi" w:hAnsiTheme="minorHAnsi"/>
            <w:lang w:val="pl-PL"/>
          </w:rPr>
          <w:t>Nota informacyjna nr 128</w:t>
        </w:r>
      </w:hyperlink>
    </w:p>
  </w:footnote>
  <w:footnote w:id="11">
    <w:p w14:paraId="67AE2F1F" w14:textId="74AEC426" w:rsidR="00FA6F64" w:rsidRPr="008F71FD" w:rsidRDefault="00FA6F64" w:rsidP="00CB5C18">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Podczas badania spraw z grupy </w:t>
      </w:r>
      <w:r w:rsidRPr="008F71FD">
        <w:rPr>
          <w:rFonts w:asciiTheme="minorHAnsi" w:hAnsiTheme="minorHAnsi"/>
          <w:i/>
          <w:lang w:val="pl-PL"/>
        </w:rPr>
        <w:t>Mammadov</w:t>
      </w:r>
      <w:r w:rsidRPr="008F71FD">
        <w:rPr>
          <w:rFonts w:asciiTheme="minorHAnsi" w:hAnsiTheme="minorHAnsi"/>
          <w:lang w:val="pl-PL"/>
        </w:rPr>
        <w:t xml:space="preserve"> na posiedzeniu Komitetu Delegatów Ministrów – Prawa Człowieka (KDM-DH) w grudniu 2019 r. Komitet Ministrów przyjął decyzję, w której między innymi powtórzył, że zapewnienie </w:t>
      </w:r>
      <w:r w:rsidRPr="008F71FD">
        <w:rPr>
          <w:rFonts w:asciiTheme="minorHAnsi" w:hAnsiTheme="minorHAnsi"/>
          <w:i/>
          <w:lang w:val="pl-PL"/>
        </w:rPr>
        <w:t>restitutio in integrum</w:t>
      </w:r>
      <w:r w:rsidRPr="008F71FD">
        <w:rPr>
          <w:rFonts w:asciiTheme="minorHAnsi" w:hAnsiTheme="minorHAnsi"/>
          <w:lang w:val="pl-PL"/>
        </w:rPr>
        <w:t xml:space="preserve"> w tej grupie spraw wymaga szybkiego uchylenia skazania skarżących, usunięcia ich z rejestrów karnych i wyeliminowania wszelkich innych konsekwencje postawionych im zarzutów karnych, w tym poprzez pełne przywrócenie ich praw obywatelskich i politycznych na czas przed kolejnymi wyborami parlamentarnymi. Komitet Ministrów zwrócił się również do pełnomocnika rządu o niezwłoczne przekazanie organom zaangażowanym w wykonanie tych wyroków tłumaczenia niniejszej decyzji Komitetu i</w:t>
      </w:r>
      <w:r>
        <w:rPr>
          <w:rFonts w:asciiTheme="minorHAnsi" w:hAnsiTheme="minorHAnsi"/>
          <w:lang w:val="pl-PL"/>
        </w:rPr>
        <w:t> </w:t>
      </w:r>
      <w:r w:rsidRPr="008F71FD">
        <w:rPr>
          <w:rFonts w:asciiTheme="minorHAnsi" w:hAnsiTheme="minorHAnsi"/>
          <w:lang w:val="pl-PL"/>
        </w:rPr>
        <w:t xml:space="preserve">wezwał władze do poinformowania Komitetu Ministrów, nie później niż do 31 grudnia 2019 r., o wyniku ponownego rozpatrzenia sprawy przez Sąd Najwyższy. Jednak mimo upływu terminu określonego w prawie krajowym Sąd Najwyższy nie wyznaczył nawet daty rozprawy w tej sprawie (wg stanu na dzień 5 marca 2020 r.). W dniu 5 marca 2020 r. Komitet Ministrów przyjął rezolucję tymczasową, wyrażającą zaniepokojenie stanem wykonania. Więcej informacji na temat procedury wykonywania pierwszego wyroku w sprawie </w:t>
      </w:r>
      <w:r w:rsidRPr="008F71FD">
        <w:rPr>
          <w:rFonts w:asciiTheme="minorHAnsi" w:hAnsiTheme="minorHAnsi"/>
          <w:i/>
          <w:lang w:val="pl-PL"/>
        </w:rPr>
        <w:t>Mammadov</w:t>
      </w:r>
      <w:r w:rsidRPr="008F71FD">
        <w:rPr>
          <w:rFonts w:asciiTheme="minorHAnsi" w:hAnsiTheme="minorHAnsi"/>
          <w:lang w:val="pl-PL"/>
        </w:rPr>
        <w:t xml:space="preserve"> – patrz </w:t>
      </w:r>
      <w:hyperlink r:id="rId26" w:history="1">
        <w:r w:rsidRPr="008F71FD">
          <w:rPr>
            <w:rStyle w:val="Hipercze"/>
            <w:rFonts w:asciiTheme="minorHAnsi" w:hAnsiTheme="minorHAnsi"/>
            <w:lang w:val="pl-PL"/>
          </w:rPr>
          <w:t>http://hudoc.exec.coe.int/eng?i=004-1866</w:t>
        </w:r>
      </w:hyperlink>
      <w:r w:rsidRPr="008F71FD">
        <w:rPr>
          <w:rFonts w:asciiTheme="minorHAnsi" w:hAnsiTheme="minorHAnsi"/>
          <w:lang w:val="pl-PL"/>
        </w:rPr>
        <w:t xml:space="preserve">. </w:t>
      </w:r>
    </w:p>
  </w:footnote>
  <w:footnote w:id="12">
    <w:p w14:paraId="2052A92E" w14:textId="22521D0C" w:rsidR="00FA6F64" w:rsidRPr="008F71FD" w:rsidRDefault="00FA6F64" w:rsidP="00950534">
      <w:pPr>
        <w:pStyle w:val="ClinContent"/>
        <w:spacing w:before="0"/>
        <w:rPr>
          <w:rFonts w:asciiTheme="minorHAnsi" w:hAnsiTheme="minorHAnsi"/>
          <w:szCs w:val="20"/>
          <w:lang w:val="pl-PL"/>
        </w:rPr>
      </w:pPr>
      <w:r w:rsidRPr="008F71FD">
        <w:rPr>
          <w:rStyle w:val="Odwoanieprzypisudolnego"/>
          <w:rFonts w:asciiTheme="minorHAnsi" w:hAnsiTheme="minorHAnsi"/>
          <w:szCs w:val="20"/>
          <w:lang w:val="pl-PL"/>
        </w:rPr>
        <w:footnoteRef/>
      </w:r>
      <w:r w:rsidRPr="008F71FD">
        <w:rPr>
          <w:rFonts w:asciiTheme="minorHAnsi" w:hAnsiTheme="minorHAnsi"/>
          <w:szCs w:val="20"/>
          <w:lang w:val="pl-PL"/>
        </w:rPr>
        <w:t xml:space="preserve"> Zobacz też opisany w niniejszym przeglądzie wyrok w sprawie </w:t>
      </w:r>
      <w:r w:rsidRPr="008F71FD">
        <w:rPr>
          <w:rFonts w:asciiTheme="minorHAnsi" w:hAnsiTheme="minorHAnsi"/>
          <w:i/>
          <w:szCs w:val="20"/>
          <w:lang w:val="pl-PL"/>
        </w:rPr>
        <w:t xml:space="preserve">Z.A. i Inni p. Rosji </w:t>
      </w:r>
      <w:r w:rsidRPr="008F71FD">
        <w:rPr>
          <w:rFonts w:asciiTheme="minorHAnsi" w:hAnsiTheme="minorHAnsi"/>
          <w:szCs w:val="20"/>
          <w:lang w:val="pl-PL"/>
        </w:rPr>
        <w:t xml:space="preserve">[WI], nr 61411/15, 61420/15, 61427/15 </w:t>
      </w:r>
      <w:r w:rsidRPr="008F71FD">
        <w:rPr>
          <w:rFonts w:asciiTheme="minorHAnsi" w:hAnsiTheme="minorHAnsi"/>
          <w:i/>
          <w:szCs w:val="20"/>
          <w:lang w:val="pl-PL"/>
        </w:rPr>
        <w:t>et al</w:t>
      </w:r>
      <w:r w:rsidRPr="008F71FD">
        <w:rPr>
          <w:rFonts w:asciiTheme="minorHAnsi" w:hAnsiTheme="minorHAnsi"/>
          <w:szCs w:val="20"/>
          <w:lang w:val="pl-PL"/>
        </w:rPr>
        <w:t xml:space="preserve">., 21 listopada 2019 r. Zobacz ponadto zestawienie tematyczne pt. </w:t>
      </w:r>
      <w:hyperlink r:id="rId27" w:history="1">
        <w:r w:rsidRPr="00277D0F">
          <w:rPr>
            <w:rStyle w:val="Hipercze"/>
            <w:rFonts w:asciiTheme="minorHAnsi" w:hAnsiTheme="minorHAnsi"/>
            <w:szCs w:val="20"/>
          </w:rPr>
          <w:t>Sprawy “dublińskie”</w:t>
        </w:r>
      </w:hyperlink>
      <w:r w:rsidRPr="00277D0F">
        <w:rPr>
          <w:rFonts w:asciiTheme="minorHAnsi" w:hAnsiTheme="minorHAnsi"/>
          <w:szCs w:val="20"/>
        </w:rPr>
        <w:t xml:space="preserve">; </w:t>
      </w:r>
      <w:r w:rsidRPr="00277D0F">
        <w:rPr>
          <w:rFonts w:asciiTheme="minorHAnsi" w:hAnsiTheme="minorHAnsi"/>
          <w:i/>
          <w:szCs w:val="20"/>
        </w:rPr>
        <w:t>T.I.</w:t>
      </w:r>
      <w:r>
        <w:rPr>
          <w:rFonts w:asciiTheme="minorHAnsi" w:hAnsiTheme="minorHAnsi"/>
          <w:i/>
          <w:szCs w:val="20"/>
        </w:rPr>
        <w:t> </w:t>
      </w:r>
      <w:r w:rsidRPr="00277D0F">
        <w:rPr>
          <w:rFonts w:asciiTheme="minorHAnsi" w:hAnsiTheme="minorHAnsi"/>
          <w:i/>
          <w:szCs w:val="20"/>
        </w:rPr>
        <w:t xml:space="preserve">p. Zjednoczonemu Królestwu </w:t>
      </w:r>
      <w:r w:rsidRPr="00277D0F">
        <w:rPr>
          <w:rFonts w:asciiTheme="minorHAnsi" w:hAnsiTheme="minorHAnsi"/>
          <w:szCs w:val="20"/>
        </w:rPr>
        <w:t xml:space="preserve">(dec.), nr 43844/98, 7 marca 2000 r., </w:t>
      </w:r>
      <w:hyperlink r:id="rId28" w:history="1">
        <w:r w:rsidRPr="00277D0F">
          <w:rPr>
            <w:rStyle w:val="Hipercze"/>
            <w:rFonts w:asciiTheme="minorHAnsi" w:hAnsiTheme="minorHAnsi"/>
            <w:szCs w:val="20"/>
          </w:rPr>
          <w:t>Nota informacyjna nr 16</w:t>
        </w:r>
      </w:hyperlink>
      <w:r w:rsidRPr="00277D0F">
        <w:rPr>
          <w:rFonts w:asciiTheme="minorHAnsi" w:hAnsiTheme="minorHAnsi"/>
          <w:szCs w:val="20"/>
        </w:rPr>
        <w:t xml:space="preserve">; </w:t>
      </w:r>
      <w:r w:rsidRPr="00277D0F">
        <w:rPr>
          <w:rFonts w:asciiTheme="minorHAnsi" w:hAnsiTheme="minorHAnsi"/>
          <w:i/>
          <w:szCs w:val="20"/>
        </w:rPr>
        <w:t xml:space="preserve">M.S.S. p. Belgii i Grecji </w:t>
      </w:r>
      <w:r w:rsidRPr="00277D0F">
        <w:rPr>
          <w:rFonts w:asciiTheme="minorHAnsi" w:hAnsiTheme="minorHAnsi"/>
          <w:szCs w:val="20"/>
        </w:rPr>
        <w:t xml:space="preserve">[WI], nr 30696/09, 21 stycznia 2011 r., </w:t>
      </w:r>
      <w:hyperlink r:id="rId29" w:history="1">
        <w:r w:rsidRPr="00277D0F">
          <w:rPr>
            <w:rStyle w:val="Hipercze"/>
            <w:rFonts w:asciiTheme="minorHAnsi" w:hAnsiTheme="minorHAnsi"/>
            <w:szCs w:val="20"/>
          </w:rPr>
          <w:t>Nota informacyjna nr 137</w:t>
        </w:r>
      </w:hyperlink>
      <w:r w:rsidRPr="00277D0F">
        <w:rPr>
          <w:rFonts w:asciiTheme="minorHAnsi" w:hAnsiTheme="minorHAnsi"/>
          <w:szCs w:val="20"/>
        </w:rPr>
        <w:t xml:space="preserve">; </w:t>
      </w:r>
      <w:r w:rsidRPr="00277D0F">
        <w:rPr>
          <w:rFonts w:asciiTheme="minorHAnsi" w:hAnsiTheme="minorHAnsi"/>
          <w:i/>
          <w:szCs w:val="20"/>
        </w:rPr>
        <w:t>Mohammed Hussein i Inni p. Niderlandom i Włochom</w:t>
      </w:r>
      <w:r w:rsidRPr="00277D0F">
        <w:rPr>
          <w:rFonts w:asciiTheme="minorHAnsi" w:hAnsiTheme="minorHAnsi"/>
          <w:szCs w:val="20"/>
        </w:rPr>
        <w:t xml:space="preserve"> (dec.), nr 27725/10, 2 kwietnia 2013 r., </w:t>
      </w:r>
      <w:hyperlink r:id="rId30" w:history="1">
        <w:r w:rsidRPr="00277D0F">
          <w:rPr>
            <w:rStyle w:val="Hipercze"/>
            <w:rFonts w:asciiTheme="minorHAnsi" w:hAnsiTheme="minorHAnsi"/>
            <w:szCs w:val="20"/>
          </w:rPr>
          <w:t>Nota informacyjna nr 162</w:t>
        </w:r>
      </w:hyperlink>
      <w:r w:rsidRPr="00277D0F">
        <w:rPr>
          <w:rFonts w:asciiTheme="minorHAnsi" w:hAnsiTheme="minorHAnsi"/>
          <w:szCs w:val="20"/>
        </w:rPr>
        <w:t xml:space="preserve">; </w:t>
      </w:r>
      <w:hyperlink r:id="rId31" w:history="1">
        <w:r w:rsidRPr="00277D0F">
          <w:rPr>
            <w:rStyle w:val="Hipercze"/>
            <w:rFonts w:asciiTheme="minorHAnsi" w:hAnsiTheme="minorHAnsi"/>
            <w:i/>
            <w:szCs w:val="20"/>
          </w:rPr>
          <w:t>Tarakhel p. Szwajcarii</w:t>
        </w:r>
      </w:hyperlink>
      <w:r w:rsidRPr="00277D0F">
        <w:rPr>
          <w:rFonts w:asciiTheme="minorHAnsi" w:hAnsiTheme="minorHAnsi"/>
          <w:i/>
          <w:szCs w:val="20"/>
        </w:rPr>
        <w:t xml:space="preserve"> </w:t>
      </w:r>
      <w:r w:rsidRPr="00277D0F">
        <w:rPr>
          <w:rFonts w:asciiTheme="minorHAnsi" w:hAnsiTheme="minorHAnsi"/>
          <w:szCs w:val="20"/>
        </w:rPr>
        <w:t xml:space="preserve">[WI], nr 29217/12, 4 listopada 2014 r., </w:t>
      </w:r>
      <w:hyperlink r:id="rId32" w:history="1">
        <w:r w:rsidRPr="00277D0F">
          <w:rPr>
            <w:rStyle w:val="Hipercze"/>
            <w:rFonts w:asciiTheme="minorHAnsi" w:hAnsiTheme="minorHAnsi"/>
            <w:szCs w:val="20"/>
          </w:rPr>
          <w:t>Nota informacyjna nr 179</w:t>
        </w:r>
      </w:hyperlink>
      <w:r w:rsidRPr="00277D0F">
        <w:rPr>
          <w:rFonts w:asciiTheme="minorHAnsi" w:hAnsiTheme="minorHAnsi"/>
          <w:szCs w:val="20"/>
        </w:rPr>
        <w:t xml:space="preserve">; i </w:t>
      </w:r>
      <w:hyperlink r:id="rId33" w:history="1">
        <w:r w:rsidRPr="00277D0F">
          <w:rPr>
            <w:rStyle w:val="Hipercze"/>
            <w:rFonts w:asciiTheme="minorHAnsi" w:hAnsiTheme="minorHAnsi"/>
            <w:i/>
            <w:szCs w:val="20"/>
          </w:rPr>
          <w:t>Paposhvili p. Belgii</w:t>
        </w:r>
      </w:hyperlink>
      <w:r w:rsidRPr="00277D0F">
        <w:rPr>
          <w:rFonts w:asciiTheme="minorHAnsi" w:hAnsiTheme="minorHAnsi"/>
          <w:i/>
          <w:szCs w:val="20"/>
        </w:rPr>
        <w:t xml:space="preserve"> </w:t>
      </w:r>
      <w:r w:rsidRPr="00277D0F">
        <w:rPr>
          <w:rFonts w:asciiTheme="minorHAnsi" w:hAnsiTheme="minorHAnsi"/>
          <w:szCs w:val="20"/>
        </w:rPr>
        <w:t xml:space="preserve">[WI], nr 41738/10, 13 grudnia 2016 r., </w:t>
      </w:r>
      <w:hyperlink r:id="rId34" w:history="1">
        <w:r w:rsidRPr="00277D0F">
          <w:rPr>
            <w:rStyle w:val="Hipercze"/>
            <w:rFonts w:asciiTheme="minorHAnsi" w:hAnsiTheme="minorHAnsi"/>
            <w:szCs w:val="20"/>
          </w:rPr>
          <w:t>Nota informacyjna nr 202</w:t>
        </w:r>
      </w:hyperlink>
      <w:r w:rsidRPr="00277D0F">
        <w:rPr>
          <w:rFonts w:asciiTheme="minorHAnsi" w:hAnsiTheme="minorHAnsi"/>
          <w:szCs w:val="20"/>
        </w:rPr>
        <w:t xml:space="preserve">. </w:t>
      </w:r>
      <w:r w:rsidRPr="008F71FD">
        <w:rPr>
          <w:rFonts w:asciiTheme="minorHAnsi" w:hAnsiTheme="minorHAnsi"/>
          <w:szCs w:val="20"/>
          <w:lang w:val="pl-PL"/>
        </w:rPr>
        <w:t xml:space="preserve">Zobacz także zestawienie tematyczne pt. </w:t>
      </w:r>
      <w:hyperlink r:id="rId35" w:history="1">
        <w:r w:rsidRPr="008F71FD">
          <w:rPr>
            <w:rStyle w:val="Hipercze"/>
            <w:rFonts w:asciiTheme="minorHAnsi" w:hAnsiTheme="minorHAnsi"/>
            <w:szCs w:val="20"/>
            <w:lang w:val="pl-PL"/>
          </w:rPr>
          <w:t>Warunki pozbawienia wolności i traktowanie więźniów</w:t>
        </w:r>
      </w:hyperlink>
      <w:r w:rsidRPr="008F71FD">
        <w:rPr>
          <w:rFonts w:asciiTheme="minorHAnsi" w:hAnsiTheme="minorHAnsi"/>
          <w:szCs w:val="20"/>
          <w:lang w:val="pl-PL"/>
        </w:rPr>
        <w:t xml:space="preserve">; </w:t>
      </w:r>
      <w:r w:rsidRPr="008F71FD">
        <w:rPr>
          <w:rFonts w:asciiTheme="minorHAnsi" w:hAnsiTheme="minorHAnsi"/>
          <w:i/>
          <w:szCs w:val="20"/>
          <w:lang w:val="pl-PL"/>
        </w:rPr>
        <w:t>Amuur p. Francji</w:t>
      </w:r>
      <w:r w:rsidRPr="008F71FD">
        <w:rPr>
          <w:rFonts w:asciiTheme="minorHAnsi" w:hAnsiTheme="minorHAnsi"/>
          <w:szCs w:val="20"/>
          <w:lang w:val="pl-PL"/>
        </w:rPr>
        <w:t xml:space="preserve">, nr </w:t>
      </w:r>
      <w:hyperlink r:id="rId36" w:history="1">
        <w:r w:rsidRPr="008F71FD">
          <w:rPr>
            <w:rStyle w:val="Hipercze"/>
            <w:rFonts w:asciiTheme="minorHAnsi" w:hAnsiTheme="minorHAnsi"/>
            <w:szCs w:val="20"/>
            <w:lang w:val="pl-PL"/>
          </w:rPr>
          <w:t>19776/92</w:t>
        </w:r>
      </w:hyperlink>
      <w:r w:rsidRPr="008F71FD">
        <w:rPr>
          <w:rFonts w:asciiTheme="minorHAnsi" w:hAnsiTheme="minorHAnsi"/>
          <w:szCs w:val="20"/>
          <w:lang w:val="pl-PL"/>
        </w:rPr>
        <w:t xml:space="preserve">, 25 czerwca 1996 r.; </w:t>
      </w:r>
      <w:hyperlink r:id="rId37" w:history="1">
        <w:r w:rsidRPr="008F71FD">
          <w:rPr>
            <w:rStyle w:val="Hipercze"/>
            <w:rFonts w:asciiTheme="minorHAnsi" w:hAnsiTheme="minorHAnsi"/>
            <w:i/>
            <w:szCs w:val="20"/>
            <w:lang w:val="pl-PL"/>
          </w:rPr>
          <w:t>Shamsa p.</w:t>
        </w:r>
        <w:r>
          <w:rPr>
            <w:rStyle w:val="Hipercze"/>
            <w:rFonts w:asciiTheme="minorHAnsi" w:hAnsiTheme="minorHAnsi"/>
            <w:i/>
            <w:szCs w:val="20"/>
            <w:lang w:val="pl-PL"/>
          </w:rPr>
          <w:t> </w:t>
        </w:r>
        <w:r w:rsidRPr="008F71FD">
          <w:rPr>
            <w:rStyle w:val="Hipercze"/>
            <w:rFonts w:asciiTheme="minorHAnsi" w:hAnsiTheme="minorHAnsi"/>
            <w:i/>
            <w:szCs w:val="20"/>
            <w:lang w:val="pl-PL"/>
          </w:rPr>
          <w:t>Polsce</w:t>
        </w:r>
      </w:hyperlink>
      <w:r w:rsidRPr="008F71FD">
        <w:rPr>
          <w:rFonts w:asciiTheme="minorHAnsi" w:hAnsiTheme="minorHAnsi"/>
          <w:szCs w:val="20"/>
          <w:lang w:val="pl-PL"/>
        </w:rPr>
        <w:t xml:space="preserve">, nr 45355/99 i 45357/99, 27 listopada 2003 r., </w:t>
      </w:r>
      <w:hyperlink r:id="rId38" w:history="1">
        <w:r w:rsidRPr="008F71FD">
          <w:rPr>
            <w:rStyle w:val="Hipercze"/>
            <w:rFonts w:asciiTheme="minorHAnsi" w:hAnsiTheme="minorHAnsi"/>
            <w:szCs w:val="20"/>
            <w:lang w:val="pl-PL"/>
          </w:rPr>
          <w:t>Nota informacyjna nr 58</w:t>
        </w:r>
      </w:hyperlink>
      <w:r w:rsidRPr="008F71FD">
        <w:rPr>
          <w:rFonts w:asciiTheme="minorHAnsi" w:hAnsiTheme="minorHAnsi"/>
          <w:szCs w:val="20"/>
          <w:lang w:val="pl-PL"/>
        </w:rPr>
        <w:t xml:space="preserve">; </w:t>
      </w:r>
      <w:r w:rsidRPr="008F71FD">
        <w:rPr>
          <w:rFonts w:asciiTheme="minorHAnsi" w:hAnsiTheme="minorHAnsi"/>
          <w:i/>
          <w:szCs w:val="20"/>
          <w:lang w:val="pl-PL"/>
        </w:rPr>
        <w:t>Mogoş p. Rumunii</w:t>
      </w:r>
      <w:r w:rsidRPr="008F71FD">
        <w:rPr>
          <w:rFonts w:asciiTheme="minorHAnsi" w:hAnsiTheme="minorHAnsi"/>
          <w:szCs w:val="20"/>
          <w:lang w:val="pl-PL"/>
        </w:rPr>
        <w:t xml:space="preserve"> (dec.), nr</w:t>
      </w:r>
      <w:r>
        <w:rPr>
          <w:rFonts w:asciiTheme="minorHAnsi" w:hAnsiTheme="minorHAnsi"/>
          <w:szCs w:val="20"/>
          <w:lang w:val="pl-PL"/>
        </w:rPr>
        <w:t> </w:t>
      </w:r>
      <w:r w:rsidRPr="008F71FD">
        <w:rPr>
          <w:rFonts w:asciiTheme="minorHAnsi" w:hAnsiTheme="minorHAnsi"/>
          <w:szCs w:val="20"/>
          <w:lang w:val="pl-PL"/>
        </w:rPr>
        <w:t xml:space="preserve">20420/02, 6 maja 2004 r., </w:t>
      </w:r>
      <w:hyperlink r:id="rId39" w:history="1">
        <w:r w:rsidRPr="008F71FD">
          <w:rPr>
            <w:rStyle w:val="Hipercze"/>
            <w:rFonts w:asciiTheme="minorHAnsi" w:hAnsiTheme="minorHAnsi"/>
            <w:szCs w:val="20"/>
            <w:lang w:val="pl-PL"/>
          </w:rPr>
          <w:t>Nota informacyjna nr 79</w:t>
        </w:r>
      </w:hyperlink>
      <w:r w:rsidRPr="008F71FD">
        <w:rPr>
          <w:rFonts w:asciiTheme="minorHAnsi" w:hAnsiTheme="minorHAnsi"/>
          <w:szCs w:val="20"/>
          <w:lang w:val="pl-PL"/>
        </w:rPr>
        <w:t>;</w:t>
      </w:r>
      <w:r w:rsidRPr="008F71FD">
        <w:rPr>
          <w:rFonts w:asciiTheme="minorHAnsi" w:hAnsiTheme="minorHAnsi"/>
          <w:i/>
          <w:szCs w:val="20"/>
          <w:lang w:val="pl-PL"/>
        </w:rPr>
        <w:t xml:space="preserve"> Mahdid i Haddar p. Austrii</w:t>
      </w:r>
      <w:r w:rsidRPr="008F71FD">
        <w:rPr>
          <w:rFonts w:asciiTheme="minorHAnsi" w:hAnsiTheme="minorHAnsi"/>
          <w:szCs w:val="20"/>
          <w:lang w:val="pl-PL"/>
        </w:rPr>
        <w:t xml:space="preserve"> (dec.), nr 74762/01, 8 grudnia 2005 r., </w:t>
      </w:r>
      <w:hyperlink r:id="rId40" w:history="1">
        <w:r w:rsidRPr="008F71FD">
          <w:rPr>
            <w:rStyle w:val="Hipercze"/>
            <w:rFonts w:asciiTheme="minorHAnsi" w:hAnsiTheme="minorHAnsi"/>
            <w:szCs w:val="20"/>
            <w:lang w:val="pl-PL"/>
          </w:rPr>
          <w:t>Nota informacyjna nr 81</w:t>
        </w:r>
      </w:hyperlink>
      <w:r w:rsidRPr="008F71FD">
        <w:rPr>
          <w:rFonts w:asciiTheme="minorHAnsi" w:hAnsiTheme="minorHAnsi"/>
          <w:szCs w:val="20"/>
          <w:lang w:val="pl-PL"/>
        </w:rPr>
        <w:t xml:space="preserve">; </w:t>
      </w:r>
      <w:r w:rsidRPr="008F71FD">
        <w:rPr>
          <w:rFonts w:asciiTheme="minorHAnsi" w:hAnsiTheme="minorHAnsi"/>
          <w:i/>
          <w:szCs w:val="20"/>
          <w:lang w:val="pl-PL"/>
        </w:rPr>
        <w:t>Riad i Idiab p. Belgii</w:t>
      </w:r>
      <w:r w:rsidRPr="008F71FD">
        <w:rPr>
          <w:rFonts w:asciiTheme="minorHAnsi" w:hAnsiTheme="minorHAnsi"/>
          <w:szCs w:val="20"/>
          <w:lang w:val="pl-PL"/>
        </w:rPr>
        <w:t xml:space="preserve">, nr 29787/03 i 29810/03, 24 stycznia 2008 r., </w:t>
      </w:r>
      <w:hyperlink r:id="rId41" w:history="1">
        <w:r w:rsidRPr="008F71FD">
          <w:rPr>
            <w:rStyle w:val="Hipercze"/>
            <w:rFonts w:asciiTheme="minorHAnsi" w:hAnsiTheme="minorHAnsi"/>
            <w:szCs w:val="20"/>
            <w:lang w:val="pl-PL"/>
          </w:rPr>
          <w:t>Nota</w:t>
        </w:r>
        <w:r>
          <w:rPr>
            <w:rStyle w:val="Hipercze"/>
            <w:rFonts w:asciiTheme="minorHAnsi" w:hAnsiTheme="minorHAnsi"/>
            <w:szCs w:val="20"/>
            <w:lang w:val="pl-PL"/>
          </w:rPr>
          <w:t> </w:t>
        </w:r>
        <w:r w:rsidRPr="008F71FD">
          <w:rPr>
            <w:rStyle w:val="Hipercze"/>
            <w:rFonts w:asciiTheme="minorHAnsi" w:hAnsiTheme="minorHAnsi"/>
            <w:szCs w:val="20"/>
            <w:lang w:val="pl-PL"/>
          </w:rPr>
          <w:t>informacyjna nr 104</w:t>
        </w:r>
      </w:hyperlink>
      <w:r w:rsidRPr="008F71FD">
        <w:rPr>
          <w:rFonts w:asciiTheme="minorHAnsi" w:hAnsiTheme="minorHAnsi"/>
          <w:szCs w:val="20"/>
          <w:lang w:val="pl-PL"/>
        </w:rPr>
        <w:t xml:space="preserve">; </w:t>
      </w:r>
      <w:r w:rsidRPr="008F71FD">
        <w:rPr>
          <w:rFonts w:asciiTheme="minorHAnsi" w:hAnsiTheme="minorHAnsi"/>
          <w:i/>
          <w:szCs w:val="20"/>
          <w:lang w:val="pl-PL"/>
        </w:rPr>
        <w:t>Nolan i K. p. Rosji</w:t>
      </w:r>
      <w:r w:rsidRPr="008F71FD">
        <w:rPr>
          <w:rFonts w:asciiTheme="minorHAnsi" w:hAnsiTheme="minorHAnsi"/>
          <w:szCs w:val="20"/>
          <w:lang w:val="pl-PL"/>
        </w:rPr>
        <w:t xml:space="preserve">, nr 2512/04, 12 lutego 2009 r., </w:t>
      </w:r>
      <w:hyperlink r:id="rId42" w:history="1">
        <w:r w:rsidRPr="008F71FD">
          <w:rPr>
            <w:rStyle w:val="Hipercze"/>
            <w:rFonts w:asciiTheme="minorHAnsi" w:hAnsiTheme="minorHAnsi"/>
            <w:szCs w:val="20"/>
            <w:lang w:val="pl-PL"/>
          </w:rPr>
          <w:t>Nota informacyjna nr 116</w:t>
        </w:r>
      </w:hyperlink>
      <w:r w:rsidRPr="008F71FD">
        <w:rPr>
          <w:rFonts w:asciiTheme="minorHAnsi" w:hAnsiTheme="minorHAnsi"/>
          <w:szCs w:val="20"/>
          <w:lang w:val="pl-PL"/>
        </w:rPr>
        <w:t>)</w:t>
      </w:r>
    </w:p>
    <w:p w14:paraId="1E31194A" w14:textId="77777777" w:rsidR="00FA6F64" w:rsidRPr="008F71FD" w:rsidRDefault="00FA6F64" w:rsidP="00950534">
      <w:pPr>
        <w:pStyle w:val="Tekstprzypisudolnego"/>
        <w:jc w:val="both"/>
        <w:rPr>
          <w:rFonts w:asciiTheme="minorHAnsi" w:hAnsiTheme="minorHAnsi"/>
          <w:lang w:val="pl-PL"/>
        </w:rPr>
      </w:pPr>
    </w:p>
  </w:footnote>
  <w:footnote w:id="13">
    <w:p w14:paraId="5CA3DB9C" w14:textId="5131301C"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również </w:t>
      </w:r>
      <w:r w:rsidRPr="008F71FD">
        <w:rPr>
          <w:rFonts w:asciiTheme="minorHAnsi" w:hAnsiTheme="minorHAnsi"/>
          <w:i/>
          <w:lang w:val="pl-PL"/>
        </w:rPr>
        <w:t>Thlimmenos p. Grecji</w:t>
      </w:r>
      <w:r w:rsidRPr="008F71FD">
        <w:rPr>
          <w:rFonts w:asciiTheme="minorHAnsi" w:hAnsiTheme="minorHAnsi"/>
          <w:lang w:val="pl-PL"/>
        </w:rPr>
        <w:t xml:space="preserve"> [WI], nr 34369/97, 6 kwietnia 2000 r., </w:t>
      </w:r>
      <w:hyperlink r:id="rId43" w:history="1">
        <w:r w:rsidRPr="008F71FD">
          <w:rPr>
            <w:rStyle w:val="Hipercze"/>
            <w:rFonts w:asciiTheme="minorHAnsi" w:eastAsiaTheme="majorEastAsia" w:hAnsiTheme="minorHAnsi"/>
            <w:lang w:val="pl-PL"/>
          </w:rPr>
          <w:t>Nota informacyjna nr 17</w:t>
        </w:r>
      </w:hyperlink>
      <w:r w:rsidRPr="008F71FD">
        <w:rPr>
          <w:rFonts w:asciiTheme="minorHAnsi" w:hAnsiTheme="minorHAnsi"/>
          <w:lang w:val="pl-PL"/>
        </w:rPr>
        <w:t xml:space="preserve">; </w:t>
      </w:r>
      <w:hyperlink r:id="rId44" w:history="1">
        <w:r w:rsidRPr="00206CCE">
          <w:rPr>
            <w:rStyle w:val="Hipercze"/>
            <w:rFonts w:asciiTheme="minorHAnsi" w:hAnsiTheme="minorHAnsi"/>
            <w:i/>
            <w:lang w:val="pl-PL"/>
          </w:rPr>
          <w:t>D.H.</w:t>
        </w:r>
        <w:r>
          <w:rPr>
            <w:rStyle w:val="Hipercze"/>
            <w:rFonts w:asciiTheme="minorHAnsi" w:hAnsiTheme="minorHAnsi"/>
            <w:i/>
            <w:lang w:val="pl-PL"/>
          </w:rPr>
          <w:t> </w:t>
        </w:r>
        <w:r w:rsidRPr="00206CCE">
          <w:rPr>
            <w:rStyle w:val="Hipercze"/>
            <w:rFonts w:asciiTheme="minorHAnsi" w:hAnsiTheme="minorHAnsi"/>
            <w:i/>
            <w:lang w:val="pl-PL"/>
          </w:rPr>
          <w:t>i Inni p. Republice Czeskiej</w:t>
        </w:r>
      </w:hyperlink>
      <w:r w:rsidRPr="008F71FD">
        <w:rPr>
          <w:rFonts w:asciiTheme="minorHAnsi" w:hAnsiTheme="minorHAnsi"/>
          <w:i/>
          <w:lang w:val="pl-PL"/>
        </w:rPr>
        <w:t xml:space="preserve"> </w:t>
      </w:r>
      <w:r w:rsidRPr="008F71FD">
        <w:rPr>
          <w:rFonts w:asciiTheme="minorHAnsi" w:hAnsiTheme="minorHAnsi"/>
          <w:lang w:val="pl-PL"/>
        </w:rPr>
        <w:t xml:space="preserve">[WI], nr 57325/00, 13 listopada 2007 r., </w:t>
      </w:r>
      <w:hyperlink r:id="rId45" w:history="1">
        <w:r w:rsidRPr="008F71FD">
          <w:rPr>
            <w:rStyle w:val="Hipercze"/>
            <w:rFonts w:asciiTheme="minorHAnsi" w:eastAsiaTheme="majorEastAsia" w:hAnsiTheme="minorHAnsi"/>
            <w:lang w:val="pl-PL"/>
          </w:rPr>
          <w:t>Nota informacyjna nr 102</w:t>
        </w:r>
      </w:hyperlink>
      <w:r w:rsidRPr="008F71FD">
        <w:rPr>
          <w:rFonts w:asciiTheme="minorHAnsi" w:hAnsiTheme="minorHAnsi"/>
          <w:lang w:val="pl-PL"/>
        </w:rPr>
        <w:t xml:space="preserve">; </w:t>
      </w:r>
      <w:r w:rsidRPr="008F71FD">
        <w:rPr>
          <w:rFonts w:asciiTheme="minorHAnsi" w:hAnsiTheme="minorHAnsi"/>
          <w:i/>
          <w:lang w:val="pl-PL"/>
        </w:rPr>
        <w:t>British Gurkha Welfare Society i Inni p. Zjednoczonemu Królestwu</w:t>
      </w:r>
      <w:r w:rsidRPr="008F71FD">
        <w:rPr>
          <w:rFonts w:asciiTheme="minorHAnsi" w:hAnsiTheme="minorHAnsi"/>
          <w:lang w:val="pl-PL"/>
        </w:rPr>
        <w:t xml:space="preserve">, nr 44818/11, 15 września 2016 r., </w:t>
      </w:r>
      <w:hyperlink r:id="rId46" w:history="1">
        <w:r w:rsidRPr="008F71FD">
          <w:rPr>
            <w:rStyle w:val="Hipercze"/>
            <w:rFonts w:asciiTheme="minorHAnsi" w:eastAsiaTheme="majorEastAsia" w:hAnsiTheme="minorHAnsi"/>
            <w:lang w:val="pl-PL"/>
          </w:rPr>
          <w:t>Nota</w:t>
        </w:r>
        <w:r>
          <w:rPr>
            <w:rStyle w:val="Hipercze"/>
            <w:rFonts w:asciiTheme="minorHAnsi" w:eastAsiaTheme="majorEastAsia" w:hAnsiTheme="minorHAnsi"/>
            <w:lang w:val="pl-PL"/>
          </w:rPr>
          <w:t> </w:t>
        </w:r>
        <w:r w:rsidRPr="008F71FD">
          <w:rPr>
            <w:rStyle w:val="Hipercze"/>
            <w:rFonts w:asciiTheme="minorHAnsi" w:eastAsiaTheme="majorEastAsia" w:hAnsiTheme="minorHAnsi"/>
            <w:lang w:val="pl-PL"/>
          </w:rPr>
          <w:t>informacyjna nr</w:t>
        </w:r>
        <w:r>
          <w:rPr>
            <w:rStyle w:val="Hipercze"/>
            <w:rFonts w:asciiTheme="minorHAnsi" w:eastAsiaTheme="majorEastAsia" w:hAnsiTheme="minorHAnsi"/>
            <w:lang w:val="pl-PL"/>
          </w:rPr>
          <w:t> </w:t>
        </w:r>
        <w:r w:rsidRPr="008F71FD">
          <w:rPr>
            <w:rStyle w:val="Hipercze"/>
            <w:rFonts w:asciiTheme="minorHAnsi" w:eastAsiaTheme="majorEastAsia" w:hAnsiTheme="minorHAnsi"/>
            <w:lang w:val="pl-PL"/>
          </w:rPr>
          <w:t>199</w:t>
        </w:r>
      </w:hyperlink>
      <w:r w:rsidRPr="008F71FD">
        <w:rPr>
          <w:rFonts w:asciiTheme="minorHAnsi" w:hAnsiTheme="minorHAnsi"/>
          <w:lang w:val="pl-PL"/>
        </w:rPr>
        <w:t xml:space="preserve">; </w:t>
      </w:r>
      <w:r w:rsidRPr="008F71FD">
        <w:rPr>
          <w:rFonts w:asciiTheme="minorHAnsi" w:hAnsiTheme="minorHAnsi"/>
          <w:i/>
          <w:lang w:val="pl-PL"/>
        </w:rPr>
        <w:t xml:space="preserve">Konstantin Markin p. Rosji </w:t>
      </w:r>
      <w:r w:rsidRPr="008F71FD">
        <w:rPr>
          <w:rFonts w:asciiTheme="minorHAnsi" w:hAnsiTheme="minorHAnsi"/>
          <w:lang w:val="pl-PL"/>
        </w:rPr>
        <w:t xml:space="preserve">[WI], nr 30078/06, 22 marca 2012 r., </w:t>
      </w:r>
      <w:hyperlink r:id="rId47" w:history="1">
        <w:r w:rsidRPr="008F71FD">
          <w:rPr>
            <w:rStyle w:val="Hipercze"/>
            <w:rFonts w:asciiTheme="minorHAnsi" w:eastAsiaTheme="majorEastAsia" w:hAnsiTheme="minorHAnsi"/>
            <w:lang w:val="pl-PL"/>
          </w:rPr>
          <w:t>Nota informacyjna nr 150</w:t>
        </w:r>
      </w:hyperlink>
      <w:r w:rsidRPr="008F71FD">
        <w:rPr>
          <w:rFonts w:asciiTheme="minorHAnsi" w:hAnsiTheme="minorHAnsi"/>
          <w:lang w:val="pl-PL"/>
        </w:rPr>
        <w:t>; oraz</w:t>
      </w:r>
      <w:r>
        <w:rPr>
          <w:rFonts w:asciiTheme="minorHAnsi" w:hAnsiTheme="minorHAnsi"/>
          <w:lang w:val="pl-PL"/>
        </w:rPr>
        <w:t> </w:t>
      </w:r>
      <w:hyperlink r:id="rId48" w:history="1">
        <w:r w:rsidRPr="008F71FD">
          <w:rPr>
            <w:rStyle w:val="Hipercze"/>
            <w:rFonts w:asciiTheme="minorHAnsi" w:hAnsiTheme="minorHAnsi"/>
            <w:i/>
            <w:lang w:val="pl-PL"/>
          </w:rPr>
          <w:t>Guberina p. Chorwacji</w:t>
        </w:r>
      </w:hyperlink>
      <w:r w:rsidRPr="008F71FD">
        <w:rPr>
          <w:rFonts w:asciiTheme="minorHAnsi" w:hAnsiTheme="minorHAnsi"/>
          <w:lang w:val="pl-PL"/>
        </w:rPr>
        <w:t xml:space="preserve">, nr 23682/13, 22 marca 2016 r., </w:t>
      </w:r>
      <w:hyperlink r:id="rId49" w:history="1">
        <w:r w:rsidRPr="008F71FD">
          <w:rPr>
            <w:rStyle w:val="Hipercze"/>
            <w:rFonts w:asciiTheme="minorHAnsi" w:eastAsiaTheme="majorEastAsia" w:hAnsiTheme="minorHAnsi"/>
            <w:lang w:val="pl-PL"/>
          </w:rPr>
          <w:t>Nota informacyjna nr 194</w:t>
        </w:r>
      </w:hyperlink>
    </w:p>
  </w:footnote>
  <w:footnote w:id="14">
    <w:p w14:paraId="152CE490" w14:textId="77777777"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w:t>
      </w:r>
      <w:r w:rsidRPr="008F71FD">
        <w:rPr>
          <w:rFonts w:asciiTheme="minorHAnsi" w:hAnsiTheme="minorHAnsi"/>
          <w:i/>
          <w:lang w:val="pl-PL"/>
        </w:rPr>
        <w:t>Bărbulescu p. Rumunii</w:t>
      </w:r>
      <w:r w:rsidRPr="008F71FD">
        <w:rPr>
          <w:rFonts w:asciiTheme="minorHAnsi" w:hAnsiTheme="minorHAnsi"/>
          <w:lang w:val="pl-PL"/>
        </w:rPr>
        <w:t xml:space="preserve"> [WI], nr 61496/08, 5 września 2017 r., </w:t>
      </w:r>
      <w:hyperlink r:id="rId50" w:history="1">
        <w:r w:rsidRPr="008F71FD">
          <w:rPr>
            <w:rStyle w:val="Hipercze"/>
            <w:rFonts w:asciiTheme="minorHAnsi" w:hAnsiTheme="minorHAnsi"/>
            <w:lang w:val="pl-PL"/>
          </w:rPr>
          <w:t>Nota informacyjna nr 210</w:t>
        </w:r>
      </w:hyperlink>
      <w:r w:rsidRPr="008F71FD">
        <w:rPr>
          <w:rFonts w:asciiTheme="minorHAnsi" w:hAnsiTheme="minorHAnsi"/>
          <w:lang w:val="pl-PL"/>
        </w:rPr>
        <w:t xml:space="preserve">. Zobacz także </w:t>
      </w:r>
      <w:r w:rsidRPr="008F71FD">
        <w:rPr>
          <w:rFonts w:asciiTheme="minorHAnsi" w:hAnsiTheme="minorHAnsi"/>
          <w:i/>
          <w:lang w:val="pl-PL"/>
        </w:rPr>
        <w:t xml:space="preserve">Köpke p. Niemcom </w:t>
      </w:r>
      <w:r w:rsidRPr="008F71FD">
        <w:rPr>
          <w:rFonts w:asciiTheme="minorHAnsi" w:hAnsiTheme="minorHAnsi"/>
          <w:lang w:val="pl-PL"/>
        </w:rPr>
        <w:t xml:space="preserve">(dec.), nr 420/07, 5 października 2010 r., </w:t>
      </w:r>
      <w:hyperlink r:id="rId51" w:history="1">
        <w:r w:rsidRPr="008F71FD">
          <w:rPr>
            <w:rStyle w:val="Hipercze"/>
            <w:rFonts w:asciiTheme="minorHAnsi" w:hAnsiTheme="minorHAnsi"/>
            <w:lang w:val="pl-PL"/>
          </w:rPr>
          <w:t>Nota informacyjna nr 134</w:t>
        </w:r>
      </w:hyperlink>
      <w:r w:rsidRPr="008F71FD">
        <w:rPr>
          <w:rFonts w:asciiTheme="minorHAnsi" w:hAnsiTheme="minorHAnsi"/>
          <w:lang w:val="pl-PL"/>
        </w:rPr>
        <w:t xml:space="preserve">; oraz zestawienie tematyczne pt. </w:t>
      </w:r>
      <w:hyperlink r:id="rId52" w:history="1">
        <w:r w:rsidRPr="008F71FD">
          <w:rPr>
            <w:rStyle w:val="Hipercze"/>
            <w:rFonts w:asciiTheme="minorHAnsi" w:hAnsiTheme="minorHAnsi"/>
            <w:lang w:val="pl-PL"/>
          </w:rPr>
          <w:t>Nadzór w miejscu pracy</w:t>
        </w:r>
      </w:hyperlink>
    </w:p>
  </w:footnote>
  <w:footnote w:id="15">
    <w:p w14:paraId="76492992" w14:textId="77777777" w:rsidR="00FA6F64" w:rsidRPr="008F71FD" w:rsidRDefault="00FA6F64" w:rsidP="00950534">
      <w:pPr>
        <w:pStyle w:val="ClinContent"/>
        <w:spacing w:before="0"/>
        <w:rPr>
          <w:rStyle w:val="Hipercze"/>
          <w:rFonts w:asciiTheme="minorHAnsi" w:hAnsiTheme="minorHAnsi"/>
          <w:szCs w:val="20"/>
          <w:lang w:val="pl-PL"/>
        </w:rPr>
      </w:pPr>
      <w:r w:rsidRPr="008F71FD">
        <w:rPr>
          <w:rStyle w:val="Odwoanieprzypisudolnego"/>
          <w:rFonts w:asciiTheme="minorHAnsi" w:hAnsiTheme="minorHAnsi"/>
          <w:szCs w:val="20"/>
          <w:lang w:val="pl-PL"/>
        </w:rPr>
        <w:footnoteRef/>
      </w:r>
      <w:r w:rsidRPr="008F71FD">
        <w:rPr>
          <w:rFonts w:asciiTheme="minorHAnsi" w:hAnsiTheme="minorHAnsi"/>
          <w:szCs w:val="20"/>
          <w:lang w:val="pl-PL"/>
        </w:rPr>
        <w:t xml:space="preserve"> Zobacz również </w:t>
      </w:r>
      <w:hyperlink r:id="rId53" w:history="1">
        <w:r w:rsidRPr="008F71FD">
          <w:rPr>
            <w:rStyle w:val="Hipercze"/>
            <w:rFonts w:asciiTheme="minorHAnsi" w:hAnsiTheme="minorHAnsi"/>
            <w:i/>
            <w:szCs w:val="20"/>
            <w:lang w:val="pl-PL"/>
          </w:rPr>
          <w:t>Vinter i Inni p. Zjednoczonemu Królestwu</w:t>
        </w:r>
      </w:hyperlink>
      <w:r w:rsidRPr="008F71FD">
        <w:rPr>
          <w:rFonts w:asciiTheme="minorHAnsi" w:hAnsiTheme="minorHAnsi"/>
          <w:szCs w:val="20"/>
          <w:lang w:val="pl-PL"/>
        </w:rPr>
        <w:t xml:space="preserve"> [WI], nr 66069/09, 130/10 i 3896/10, 9 lipca 2013 r., </w:t>
      </w:r>
      <w:r w:rsidRPr="008F71FD">
        <w:rPr>
          <w:rFonts w:asciiTheme="minorHAnsi" w:hAnsiTheme="minorHAnsi"/>
          <w:i/>
          <w:szCs w:val="20"/>
          <w:lang w:val="pl-PL"/>
        </w:rPr>
        <w:t xml:space="preserve">Murray p. Holandii </w:t>
      </w:r>
      <w:r w:rsidRPr="008F71FD">
        <w:rPr>
          <w:rFonts w:asciiTheme="minorHAnsi" w:hAnsiTheme="minorHAnsi"/>
          <w:szCs w:val="20"/>
          <w:lang w:val="pl-PL"/>
        </w:rPr>
        <w:t xml:space="preserve">[WI], nr 10511/10, wyrok Wielkiej Izby z 25 kwietnia 2016 r., opisany w pkt 27 Załącznika D do raportu rocznego ws. wykonywania wyroków ETPCz za 2016 r., </w:t>
      </w:r>
      <w:hyperlink r:id="rId54" w:history="1">
        <w:r w:rsidRPr="008F71FD">
          <w:rPr>
            <w:rStyle w:val="Hipercze"/>
            <w:rFonts w:asciiTheme="minorHAnsi" w:hAnsiTheme="minorHAnsi"/>
            <w:i/>
            <w:szCs w:val="20"/>
            <w:lang w:val="pl-PL"/>
          </w:rPr>
          <w:t>Hutchinson p. Zjednoczonemu Królestwu</w:t>
        </w:r>
      </w:hyperlink>
      <w:r w:rsidRPr="008F71FD">
        <w:rPr>
          <w:rFonts w:asciiTheme="minorHAnsi" w:hAnsiTheme="minorHAnsi"/>
          <w:szCs w:val="20"/>
          <w:lang w:val="pl-PL"/>
        </w:rPr>
        <w:t xml:space="preserve"> [WI], nr 57592/08, 17 stycznia 2017 r. Zobacz również zestawienie tematyczne pt. </w:t>
      </w:r>
      <w:hyperlink r:id="rId55" w:history="1">
        <w:r w:rsidRPr="008F71FD">
          <w:rPr>
            <w:rStyle w:val="Hipercze"/>
            <w:rFonts w:asciiTheme="minorHAnsi" w:hAnsiTheme="minorHAnsi"/>
            <w:szCs w:val="20"/>
            <w:lang w:val="pl-PL"/>
          </w:rPr>
          <w:t>Dożywotnie pozbawienie wolności</w:t>
        </w:r>
      </w:hyperlink>
      <w:r w:rsidRPr="008F71FD">
        <w:rPr>
          <w:rStyle w:val="Hipercze"/>
          <w:rFonts w:asciiTheme="minorHAnsi" w:hAnsiTheme="minorHAnsi"/>
          <w:szCs w:val="20"/>
          <w:lang w:val="pl-PL"/>
        </w:rPr>
        <w:t xml:space="preserve">. </w:t>
      </w:r>
    </w:p>
    <w:p w14:paraId="6FCCCE42" w14:textId="77777777" w:rsidR="00FA6F64" w:rsidRPr="008F71FD" w:rsidRDefault="00FA6F64" w:rsidP="00950534">
      <w:pPr>
        <w:pStyle w:val="ClinContent"/>
        <w:spacing w:before="0"/>
        <w:rPr>
          <w:rFonts w:asciiTheme="minorHAnsi" w:hAnsiTheme="minorHAnsi"/>
          <w:szCs w:val="20"/>
          <w:lang w:val="pl-PL"/>
        </w:rPr>
      </w:pPr>
    </w:p>
    <w:p w14:paraId="1F119C82" w14:textId="77777777" w:rsidR="00FA6F64" w:rsidRPr="008F71FD" w:rsidRDefault="00FA6F64" w:rsidP="00950534">
      <w:pPr>
        <w:pStyle w:val="Tekstprzypisudolnego"/>
        <w:rPr>
          <w:rFonts w:asciiTheme="minorHAnsi" w:hAnsiTheme="minorHAnsi"/>
          <w:lang w:val="pl-PL"/>
        </w:rPr>
      </w:pPr>
    </w:p>
  </w:footnote>
  <w:footnote w:id="16">
    <w:p w14:paraId="01ADFBAD" w14:textId="77777777"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także </w:t>
      </w:r>
      <w:r w:rsidRPr="008F71FD">
        <w:rPr>
          <w:rFonts w:asciiTheme="minorHAnsi" w:hAnsiTheme="minorHAnsi"/>
          <w:i/>
          <w:lang w:val="pl-PL"/>
        </w:rPr>
        <w:t>Mikulić p. Chorwacji</w:t>
      </w:r>
      <w:r w:rsidRPr="008F71FD">
        <w:rPr>
          <w:rFonts w:asciiTheme="minorHAnsi" w:hAnsiTheme="minorHAnsi"/>
          <w:lang w:val="pl-PL"/>
        </w:rPr>
        <w:t xml:space="preserve">, nr 53176/99, 7 lutego 2002 r., </w:t>
      </w:r>
      <w:hyperlink r:id="rId56" w:history="1">
        <w:r w:rsidRPr="008F71FD">
          <w:rPr>
            <w:rStyle w:val="Hipercze"/>
            <w:rFonts w:asciiTheme="minorHAnsi" w:hAnsiTheme="minorHAnsi"/>
            <w:lang w:val="pl-PL"/>
          </w:rPr>
          <w:t>Nota informacyjna nr 39</w:t>
        </w:r>
      </w:hyperlink>
      <w:r w:rsidRPr="008F71FD">
        <w:rPr>
          <w:rFonts w:asciiTheme="minorHAnsi" w:hAnsiTheme="minorHAnsi"/>
          <w:lang w:val="pl-PL"/>
        </w:rPr>
        <w:t xml:space="preserve">; oraz </w:t>
      </w:r>
      <w:r w:rsidRPr="008F71FD">
        <w:rPr>
          <w:rFonts w:asciiTheme="minorHAnsi" w:hAnsiTheme="minorHAnsi"/>
          <w:i/>
          <w:lang w:val="pl-PL"/>
        </w:rPr>
        <w:t>Tsvetelin Petkov p. Bułgarii</w:t>
      </w:r>
      <w:r w:rsidRPr="008F71FD">
        <w:rPr>
          <w:rFonts w:asciiTheme="minorHAnsi" w:hAnsiTheme="minorHAnsi"/>
          <w:lang w:val="pl-PL"/>
        </w:rPr>
        <w:t xml:space="preserve">, nr 2641/06, 15 lipca 2014 r., </w:t>
      </w:r>
      <w:hyperlink r:id="rId57" w:history="1">
        <w:r w:rsidRPr="008F71FD">
          <w:rPr>
            <w:rStyle w:val="Hipercze"/>
            <w:rFonts w:asciiTheme="minorHAnsi" w:hAnsiTheme="minorHAnsi"/>
            <w:lang w:val="pl-PL"/>
          </w:rPr>
          <w:t>Nota informacyjna nr 176</w:t>
        </w:r>
      </w:hyperlink>
    </w:p>
  </w:footnote>
  <w:footnote w:id="17">
    <w:p w14:paraId="0A9CC42A" w14:textId="16499A47"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również, w odniesieniu do art. 3, </w:t>
      </w:r>
      <w:r w:rsidRPr="008F71FD">
        <w:rPr>
          <w:rFonts w:asciiTheme="minorHAnsi" w:hAnsiTheme="minorHAnsi"/>
          <w:i/>
          <w:lang w:val="pl-PL"/>
        </w:rPr>
        <w:t>Kraulaidis p. Littwie</w:t>
      </w:r>
      <w:r w:rsidRPr="008F71FD">
        <w:rPr>
          <w:rFonts w:asciiTheme="minorHAnsi" w:hAnsiTheme="minorHAnsi"/>
          <w:lang w:val="pl-PL"/>
        </w:rPr>
        <w:t xml:space="preserve">, nr </w:t>
      </w:r>
      <w:hyperlink r:id="rId58" w:history="1">
        <w:r w:rsidRPr="008F71FD">
          <w:rPr>
            <w:rStyle w:val="Hipercze"/>
            <w:rFonts w:asciiTheme="minorHAnsi" w:hAnsiTheme="minorHAnsi"/>
            <w:lang w:val="pl-PL"/>
          </w:rPr>
          <w:t>76805/11</w:t>
        </w:r>
      </w:hyperlink>
      <w:r w:rsidRPr="008F71FD">
        <w:rPr>
          <w:rFonts w:asciiTheme="minorHAnsi" w:hAnsiTheme="minorHAnsi"/>
          <w:lang w:val="pl-PL"/>
        </w:rPr>
        <w:t xml:space="preserve">, 8 listopada 2016 r., i </w:t>
      </w:r>
      <w:r w:rsidRPr="008F71FD">
        <w:rPr>
          <w:rFonts w:asciiTheme="minorHAnsi" w:hAnsiTheme="minorHAnsi"/>
          <w:i/>
          <w:lang w:val="pl-PL"/>
        </w:rPr>
        <w:t>Mažukna p. Litwie</w:t>
      </w:r>
      <w:r w:rsidRPr="008F71FD">
        <w:rPr>
          <w:rFonts w:asciiTheme="minorHAnsi" w:hAnsiTheme="minorHAnsi"/>
          <w:lang w:val="pl-PL"/>
        </w:rPr>
        <w:t xml:space="preserve">, nr </w:t>
      </w:r>
      <w:hyperlink r:id="rId59" w:history="1">
        <w:r w:rsidRPr="008F71FD">
          <w:rPr>
            <w:rStyle w:val="Hipercze"/>
            <w:rFonts w:asciiTheme="minorHAnsi" w:hAnsiTheme="minorHAnsi"/>
            <w:lang w:val="pl-PL"/>
          </w:rPr>
          <w:t>72092/12</w:t>
        </w:r>
      </w:hyperlink>
      <w:r w:rsidRPr="008F71FD">
        <w:rPr>
          <w:rFonts w:asciiTheme="minorHAnsi" w:hAnsiTheme="minorHAnsi"/>
          <w:lang w:val="pl-PL"/>
        </w:rPr>
        <w:t xml:space="preserve">, 11 kwietnia 2017 r.; oraz w odniesieniu do art. 8, </w:t>
      </w:r>
      <w:r w:rsidRPr="008F71FD">
        <w:rPr>
          <w:rFonts w:asciiTheme="minorHAnsi" w:hAnsiTheme="minorHAnsi"/>
          <w:i/>
          <w:lang w:val="pl-PL"/>
        </w:rPr>
        <w:t xml:space="preserve">Friend i Inni p. Zjednoczonemu Królestwu </w:t>
      </w:r>
      <w:r w:rsidRPr="008F71FD">
        <w:rPr>
          <w:rFonts w:asciiTheme="minorHAnsi" w:hAnsiTheme="minorHAnsi"/>
          <w:lang w:val="pl-PL"/>
        </w:rPr>
        <w:t xml:space="preserve">(dec.), nr 16072/06, 24 listopada 2009 r., </w:t>
      </w:r>
      <w:hyperlink r:id="rId60" w:history="1">
        <w:r w:rsidRPr="008F71FD">
          <w:rPr>
            <w:rStyle w:val="Hipercze"/>
            <w:rFonts w:asciiTheme="minorHAnsi" w:hAnsiTheme="minorHAnsi"/>
            <w:lang w:val="pl-PL"/>
          </w:rPr>
          <w:t>Nota informacyjna nr 123</w:t>
        </w:r>
      </w:hyperlink>
      <w:r w:rsidRPr="008F71FD">
        <w:rPr>
          <w:rFonts w:asciiTheme="minorHAnsi" w:hAnsiTheme="minorHAnsi"/>
          <w:lang w:val="pl-PL"/>
        </w:rPr>
        <w:t xml:space="preserve">, oraz </w:t>
      </w:r>
      <w:r w:rsidRPr="008F71FD">
        <w:rPr>
          <w:rFonts w:asciiTheme="minorHAnsi" w:hAnsiTheme="minorHAnsi"/>
          <w:i/>
          <w:lang w:val="pl-PL"/>
        </w:rPr>
        <w:t>Denisov p. Ukrainie</w:t>
      </w:r>
      <w:r w:rsidRPr="008F71FD">
        <w:rPr>
          <w:rFonts w:asciiTheme="minorHAnsi" w:hAnsiTheme="minorHAnsi"/>
          <w:lang w:val="pl-PL"/>
        </w:rPr>
        <w:t xml:space="preserve"> [WI], nr</w:t>
      </w:r>
      <w:r>
        <w:rPr>
          <w:rFonts w:asciiTheme="minorHAnsi" w:hAnsiTheme="minorHAnsi"/>
          <w:lang w:val="pl-PL"/>
        </w:rPr>
        <w:t> </w:t>
      </w:r>
      <w:r w:rsidRPr="008F71FD">
        <w:rPr>
          <w:rFonts w:asciiTheme="minorHAnsi" w:hAnsiTheme="minorHAnsi"/>
          <w:lang w:val="pl-PL"/>
        </w:rPr>
        <w:t xml:space="preserve">76639/11, 25 września 2018 r., </w:t>
      </w:r>
      <w:hyperlink r:id="rId61" w:history="1">
        <w:r w:rsidRPr="008F71FD">
          <w:rPr>
            <w:rStyle w:val="Hipercze"/>
            <w:rFonts w:asciiTheme="minorHAnsi" w:hAnsiTheme="minorHAnsi"/>
            <w:lang w:val="pl-PL"/>
          </w:rPr>
          <w:t>Nota informacyjna nr 221</w:t>
        </w:r>
      </w:hyperlink>
    </w:p>
  </w:footnote>
  <w:footnote w:id="18">
    <w:p w14:paraId="3B1E2819" w14:textId="6210ECDB"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również </w:t>
      </w:r>
      <w:r w:rsidRPr="008F71FD">
        <w:rPr>
          <w:rFonts w:asciiTheme="minorHAnsi" w:hAnsiTheme="minorHAnsi"/>
          <w:i/>
          <w:lang w:val="pl-PL"/>
        </w:rPr>
        <w:t>Soering p. Zjednoczonemu Królestwu</w:t>
      </w:r>
      <w:r w:rsidRPr="008F71FD">
        <w:rPr>
          <w:rFonts w:asciiTheme="minorHAnsi" w:hAnsiTheme="minorHAnsi"/>
          <w:lang w:val="pl-PL"/>
        </w:rPr>
        <w:t xml:space="preserve">, nr 14038/88, 7 lipca 1989 r.; </w:t>
      </w:r>
      <w:r w:rsidRPr="008F71FD">
        <w:rPr>
          <w:rFonts w:asciiTheme="minorHAnsi" w:hAnsiTheme="minorHAnsi"/>
          <w:i/>
          <w:lang w:val="pl-PL"/>
        </w:rPr>
        <w:t>Mamatkoulov i Askarov p.</w:t>
      </w:r>
      <w:r>
        <w:rPr>
          <w:rFonts w:asciiTheme="minorHAnsi" w:hAnsiTheme="minorHAnsi"/>
          <w:i/>
          <w:lang w:val="pl-PL"/>
        </w:rPr>
        <w:t> </w:t>
      </w:r>
      <w:r w:rsidRPr="008F71FD">
        <w:rPr>
          <w:rFonts w:asciiTheme="minorHAnsi" w:hAnsiTheme="minorHAnsi"/>
          <w:i/>
          <w:lang w:val="pl-PL"/>
        </w:rPr>
        <w:t>Turcji</w:t>
      </w:r>
      <w:r w:rsidRPr="008F71FD">
        <w:rPr>
          <w:rFonts w:asciiTheme="minorHAnsi" w:hAnsiTheme="minorHAnsi"/>
          <w:lang w:val="pl-PL"/>
        </w:rPr>
        <w:t xml:space="preserve"> [WI], nr 46827/99 i 46951/99, 4 lutego 2005 r., Nota informacyjna nr 72; </w:t>
      </w:r>
      <w:r w:rsidRPr="008F71FD">
        <w:rPr>
          <w:rFonts w:asciiTheme="minorHAnsi" w:hAnsiTheme="minorHAnsi"/>
          <w:i/>
          <w:lang w:val="pl-PL"/>
        </w:rPr>
        <w:t>Rantsev p. Cyprowi i Rosji</w:t>
      </w:r>
      <w:r w:rsidRPr="008F71FD">
        <w:rPr>
          <w:rFonts w:asciiTheme="minorHAnsi" w:hAnsiTheme="minorHAnsi"/>
          <w:lang w:val="pl-PL"/>
        </w:rPr>
        <w:t>, nr</w:t>
      </w:r>
      <w:r>
        <w:rPr>
          <w:rFonts w:asciiTheme="minorHAnsi" w:hAnsiTheme="minorHAnsi"/>
          <w:lang w:val="pl-PL"/>
        </w:rPr>
        <w:t> </w:t>
      </w:r>
      <w:r w:rsidRPr="008F71FD">
        <w:rPr>
          <w:rFonts w:asciiTheme="minorHAnsi" w:hAnsiTheme="minorHAnsi"/>
          <w:lang w:val="pl-PL"/>
        </w:rPr>
        <w:t xml:space="preserve">25965/04, 7 stycznia 2010 r., Nota informacyjna nr 126; </w:t>
      </w:r>
      <w:hyperlink r:id="rId62" w:history="1">
        <w:r w:rsidRPr="00AA5444">
          <w:rPr>
            <w:rStyle w:val="Hipercze"/>
            <w:rFonts w:asciiTheme="minorHAnsi" w:hAnsiTheme="minorHAnsi"/>
            <w:i/>
            <w:lang w:val="pl-PL"/>
          </w:rPr>
          <w:t>Trabelsi p. Belgii</w:t>
        </w:r>
      </w:hyperlink>
      <w:r w:rsidRPr="008F71FD">
        <w:rPr>
          <w:rFonts w:asciiTheme="minorHAnsi" w:hAnsiTheme="minorHAnsi"/>
          <w:lang w:val="pl-PL"/>
        </w:rPr>
        <w:t xml:space="preserve">, nr 140/10, 4 września 2014 r., Nota informacyjna nr 177; </w:t>
      </w:r>
      <w:r w:rsidRPr="008F71FD">
        <w:rPr>
          <w:rFonts w:asciiTheme="minorHAnsi" w:hAnsiTheme="minorHAnsi"/>
          <w:i/>
          <w:lang w:val="pl-PL"/>
        </w:rPr>
        <w:t xml:space="preserve">Avotiņš p. Łotwie </w:t>
      </w:r>
      <w:r w:rsidRPr="008F71FD">
        <w:rPr>
          <w:rFonts w:asciiTheme="minorHAnsi" w:hAnsiTheme="minorHAnsi"/>
          <w:lang w:val="pl-PL"/>
        </w:rPr>
        <w:t>[WI], nr 17502/07, 23 maja 2016 r</w:t>
      </w:r>
      <w:hyperlink r:id="rId63" w:history="1">
        <w:r w:rsidRPr="008F71FD">
          <w:rPr>
            <w:rStyle w:val="Hipercze"/>
            <w:rFonts w:asciiTheme="minorHAnsi" w:hAnsiTheme="minorHAnsi"/>
            <w:lang w:val="pl-PL"/>
          </w:rPr>
          <w:t>., Nota informacyjna nr 196</w:t>
        </w:r>
      </w:hyperlink>
      <w:r w:rsidRPr="008F71FD">
        <w:rPr>
          <w:rFonts w:asciiTheme="minorHAnsi" w:hAnsiTheme="minorHAnsi"/>
          <w:lang w:val="pl-PL"/>
        </w:rPr>
        <w:t xml:space="preserve">; </w:t>
      </w:r>
      <w:r w:rsidRPr="008F71FD">
        <w:rPr>
          <w:rFonts w:asciiTheme="minorHAnsi" w:hAnsiTheme="minorHAnsi"/>
          <w:i/>
          <w:lang w:val="pl-PL"/>
        </w:rPr>
        <w:t>Pirozzi p. Belgii</w:t>
      </w:r>
      <w:r w:rsidRPr="008F71FD">
        <w:rPr>
          <w:rFonts w:asciiTheme="minorHAnsi" w:hAnsiTheme="minorHAnsi"/>
          <w:lang w:val="pl-PL"/>
        </w:rPr>
        <w:t xml:space="preserve">, nr 21055/11, 17 kwietnia 2018 r.; </w:t>
      </w:r>
      <w:r w:rsidRPr="008F71FD">
        <w:rPr>
          <w:rFonts w:asciiTheme="minorHAnsi" w:hAnsiTheme="minorHAnsi"/>
          <w:i/>
          <w:lang w:val="pl-PL"/>
        </w:rPr>
        <w:t xml:space="preserve">Güzelyurtlu i Inni p. Cyprowi i Turcji </w:t>
      </w:r>
      <w:r w:rsidRPr="008F71FD">
        <w:rPr>
          <w:rFonts w:asciiTheme="minorHAnsi" w:hAnsiTheme="minorHAnsi"/>
          <w:lang w:val="pl-PL"/>
        </w:rPr>
        <w:t xml:space="preserve">[WI], nr 36925/07, 29 stycznia 2019 r., Nota informacyjna nr 225; a także zestawienie tematyczne pt. </w:t>
      </w:r>
      <w:hyperlink r:id="rId64" w:history="1">
        <w:r w:rsidRPr="008F71FD">
          <w:rPr>
            <w:rStyle w:val="Hipercze"/>
            <w:rFonts w:asciiTheme="minorHAnsi" w:hAnsiTheme="minorHAnsi"/>
            <w:lang w:val="pl-PL"/>
          </w:rPr>
          <w:t>Orzecznictwo dotyczące Unii Europejskiej</w:t>
        </w:r>
      </w:hyperlink>
    </w:p>
  </w:footnote>
  <w:footnote w:id="19">
    <w:p w14:paraId="0EF51154" w14:textId="77777777"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hyperlink r:id="rId65" w:history="1">
        <w:r w:rsidRPr="008F71FD">
          <w:rPr>
            <w:rStyle w:val="Hipercze"/>
            <w:rFonts w:asciiTheme="minorHAnsi" w:hAnsiTheme="minorHAnsi"/>
            <w:lang w:val="pl-PL"/>
          </w:rPr>
          <w:t>http://niepelnosprawni.gov.pl/container/dokumenty-miedzynarodowe/dokumenty-rady-europejskiej/Zalecenie%20Rec.2004 października pdf</w:t>
        </w:r>
      </w:hyperlink>
      <w:r w:rsidRPr="008F71FD">
        <w:rPr>
          <w:rFonts w:asciiTheme="minorHAnsi" w:hAnsiTheme="minorHAnsi"/>
          <w:lang w:val="pl-PL"/>
        </w:rPr>
        <w:t xml:space="preserve"> </w:t>
      </w:r>
    </w:p>
  </w:footnote>
  <w:footnote w:id="20">
    <w:p w14:paraId="6AA68E4B" w14:textId="77777777"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także zestawienie tematyczne pt. </w:t>
      </w:r>
      <w:hyperlink r:id="rId66" w:history="1">
        <w:r w:rsidRPr="008F71FD">
          <w:rPr>
            <w:rStyle w:val="Hipercze"/>
            <w:rFonts w:asciiTheme="minorHAnsi" w:hAnsiTheme="minorHAnsi"/>
            <w:lang w:val="pl-PL"/>
          </w:rPr>
          <w:t>Pozbawienie wolności a zdrowie psychiczne</w:t>
        </w:r>
      </w:hyperlink>
      <w:r w:rsidRPr="008F71FD">
        <w:rPr>
          <w:rStyle w:val="Hipercze"/>
          <w:rFonts w:asciiTheme="minorHAnsi" w:hAnsiTheme="minorHAnsi"/>
          <w:lang w:val="pl-PL"/>
        </w:rPr>
        <w:t xml:space="preserve">. </w:t>
      </w:r>
      <w:r w:rsidRPr="008F71FD">
        <w:rPr>
          <w:lang w:val="pl-PL"/>
        </w:rPr>
        <w:t xml:space="preserve">Porównaj też </w:t>
      </w:r>
      <w:hyperlink r:id="rId67" w:history="1">
        <w:r w:rsidRPr="008F71FD">
          <w:rPr>
            <w:rStyle w:val="Hipercze"/>
            <w:i/>
            <w:lang w:val="pl-PL"/>
          </w:rPr>
          <w:t>Ilnseher p. Niemcom</w:t>
        </w:r>
      </w:hyperlink>
      <w:r w:rsidRPr="008F71FD">
        <w:rPr>
          <w:lang w:val="pl-PL"/>
        </w:rPr>
        <w:t xml:space="preserve"> [WI], nr </w:t>
      </w:r>
      <w:hyperlink r:id="rId68" w:history="1">
        <w:r w:rsidRPr="008F71FD">
          <w:rPr>
            <w:rStyle w:val="Hipercze"/>
            <w:lang w:val="pl-PL"/>
          </w:rPr>
          <w:t>10211/12</w:t>
        </w:r>
      </w:hyperlink>
      <w:r w:rsidRPr="008F71FD">
        <w:rPr>
          <w:lang w:val="pl-PL"/>
        </w:rPr>
        <w:t xml:space="preserve"> i 27505/14, 4 grudnia 2018 r., </w:t>
      </w:r>
      <w:hyperlink r:id="rId69" w:history="1">
        <w:r w:rsidRPr="008F71FD">
          <w:rPr>
            <w:rStyle w:val="Hipercze"/>
            <w:i/>
            <w:lang w:val="pl-PL"/>
          </w:rPr>
          <w:t>Bergmann p. Niemcom</w:t>
        </w:r>
      </w:hyperlink>
      <w:r w:rsidRPr="008F71FD">
        <w:rPr>
          <w:lang w:val="pl-PL"/>
        </w:rPr>
        <w:t xml:space="preserve">, nr </w:t>
      </w:r>
      <w:hyperlink r:id="rId70" w:history="1">
        <w:r w:rsidRPr="008F71FD">
          <w:rPr>
            <w:rStyle w:val="Hipercze"/>
            <w:lang w:val="pl-PL"/>
          </w:rPr>
          <w:t>23279/14</w:t>
        </w:r>
      </w:hyperlink>
      <w:r w:rsidRPr="008F71FD">
        <w:rPr>
          <w:lang w:val="pl-PL"/>
        </w:rPr>
        <w:t xml:space="preserve">, 7 stycznia 2016 r., </w:t>
      </w:r>
      <w:r w:rsidRPr="008F71FD">
        <w:rPr>
          <w:i/>
          <w:lang w:val="pl-PL"/>
        </w:rPr>
        <w:t>W.D. p. Belgii</w:t>
      </w:r>
      <w:r w:rsidRPr="008F71FD">
        <w:rPr>
          <w:lang w:val="pl-PL"/>
        </w:rPr>
        <w:t xml:space="preserve">, </w:t>
      </w:r>
      <w:hyperlink r:id="rId71" w:history="1">
        <w:r w:rsidRPr="008F71FD">
          <w:rPr>
            <w:rStyle w:val="Hipercze"/>
            <w:lang w:val="pl-PL"/>
          </w:rPr>
          <w:t>nr 73548/13</w:t>
        </w:r>
      </w:hyperlink>
      <w:r w:rsidRPr="008F71FD">
        <w:rPr>
          <w:lang w:val="pl-PL"/>
        </w:rPr>
        <w:t xml:space="preserve">, 6 września 2016 r. </w:t>
      </w:r>
    </w:p>
  </w:footnote>
  <w:footnote w:id="21">
    <w:p w14:paraId="12ADB7BA" w14:textId="65B1E5B6"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w:t>
      </w:r>
      <w:r w:rsidRPr="008F71FD">
        <w:rPr>
          <w:rStyle w:val="sfbbfee58"/>
          <w:rFonts w:asciiTheme="minorHAnsi" w:hAnsiTheme="minorHAnsi"/>
          <w:lang w:val="pl-PL"/>
        </w:rPr>
        <w:t xml:space="preserve">Zobacz także </w:t>
      </w:r>
      <w:r w:rsidRPr="008F71FD">
        <w:rPr>
          <w:rStyle w:val="s1a844bc0"/>
          <w:rFonts w:asciiTheme="minorHAnsi" w:hAnsiTheme="minorHAnsi"/>
          <w:i/>
          <w:lang w:val="pl-PL"/>
        </w:rPr>
        <w:t>Aune p. Norwegii</w:t>
      </w:r>
      <w:r w:rsidRPr="008F71FD">
        <w:rPr>
          <w:rStyle w:val="sfbbfee58"/>
          <w:rFonts w:asciiTheme="minorHAnsi" w:hAnsiTheme="minorHAnsi"/>
          <w:lang w:val="pl-PL"/>
        </w:rPr>
        <w:t xml:space="preserve">, skarga nr </w:t>
      </w:r>
      <w:hyperlink r:id="rId72" w:anchor="{&quot;appno&quot;:[&quot;52502/07&quot;]}" w:tgtFrame="_blank" w:history="1">
        <w:r w:rsidRPr="008F71FD">
          <w:rPr>
            <w:rStyle w:val="Hipercze"/>
            <w:rFonts w:asciiTheme="minorHAnsi" w:hAnsiTheme="minorHAnsi"/>
            <w:lang w:val="pl-PL"/>
          </w:rPr>
          <w:t>52502/07</w:t>
        </w:r>
      </w:hyperlink>
      <w:r w:rsidRPr="008F71FD">
        <w:rPr>
          <w:rStyle w:val="sfbbfee58"/>
          <w:rFonts w:asciiTheme="minorHAnsi" w:hAnsiTheme="minorHAnsi"/>
          <w:lang w:val="pl-PL"/>
        </w:rPr>
        <w:t xml:space="preserve">, 28 października 2010 r., </w:t>
      </w:r>
      <w:hyperlink r:id="rId73" w:tgtFrame="_blank" w:history="1">
        <w:r w:rsidRPr="008F71FD">
          <w:rPr>
            <w:rStyle w:val="s3ca6e50f"/>
            <w:rFonts w:asciiTheme="minorHAnsi" w:hAnsiTheme="minorHAnsi"/>
            <w:color w:val="0000FF"/>
            <w:u w:val="single"/>
            <w:lang w:val="pl-PL"/>
          </w:rPr>
          <w:t>Nota informacyjna nt.</w:t>
        </w:r>
        <w:r>
          <w:rPr>
            <w:rStyle w:val="s3ca6e50f"/>
            <w:rFonts w:asciiTheme="minorHAnsi" w:hAnsiTheme="minorHAnsi"/>
            <w:color w:val="0000FF"/>
            <w:u w:val="single"/>
            <w:lang w:val="pl-PL"/>
          </w:rPr>
          <w:t> </w:t>
        </w:r>
        <w:r w:rsidRPr="008F71FD">
          <w:rPr>
            <w:rStyle w:val="s3ca6e50f"/>
            <w:rFonts w:asciiTheme="minorHAnsi" w:hAnsiTheme="minorHAnsi"/>
            <w:color w:val="0000FF"/>
            <w:u w:val="single"/>
            <w:lang w:val="pl-PL"/>
          </w:rPr>
          <w:t>orzecznictwa nr 134</w:t>
        </w:r>
      </w:hyperlink>
      <w:r w:rsidRPr="008F71FD">
        <w:rPr>
          <w:rStyle w:val="sfbbfee58"/>
          <w:rFonts w:asciiTheme="minorHAnsi" w:hAnsiTheme="minorHAnsi"/>
          <w:lang w:val="pl-PL"/>
        </w:rPr>
        <w:t xml:space="preserve">; a także Zestawienie tematyczne nt. </w:t>
      </w:r>
      <w:hyperlink r:id="rId74" w:tgtFrame="_blank" w:history="1">
        <w:r w:rsidRPr="008F71FD">
          <w:rPr>
            <w:rStyle w:val="s3ca6e50f"/>
            <w:rFonts w:asciiTheme="minorHAnsi" w:hAnsiTheme="minorHAnsi"/>
            <w:color w:val="0000FF"/>
            <w:u w:val="single"/>
            <w:lang w:val="pl-PL"/>
          </w:rPr>
          <w:t>Praw dziecka</w:t>
        </w:r>
      </w:hyperlink>
    </w:p>
  </w:footnote>
  <w:footnote w:id="22">
    <w:p w14:paraId="2D6E244D" w14:textId="77777777"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w:t>
      </w:r>
      <w:r w:rsidRPr="008F71FD">
        <w:rPr>
          <w:rFonts w:asciiTheme="minorHAnsi" w:hAnsiTheme="minorHAnsi"/>
          <w:i/>
          <w:lang w:val="pl-PL"/>
        </w:rPr>
        <w:t xml:space="preserve">Tahsin Acar p. Turcji (zagadnienie wstępne) </w:t>
      </w:r>
      <w:r w:rsidRPr="008F71FD">
        <w:rPr>
          <w:rFonts w:asciiTheme="minorHAnsi" w:hAnsiTheme="minorHAnsi"/>
          <w:lang w:val="pl-PL"/>
        </w:rPr>
        <w:t xml:space="preserve">[WI], nr 26307/95, 6 maja 2003 r., </w:t>
      </w:r>
      <w:hyperlink r:id="rId75" w:history="1">
        <w:r w:rsidRPr="008F71FD">
          <w:rPr>
            <w:rStyle w:val="Hipercze"/>
            <w:rFonts w:asciiTheme="minorHAnsi" w:hAnsiTheme="minorHAnsi"/>
            <w:lang w:val="pl-PL"/>
          </w:rPr>
          <w:t>Nota informacyjna nr 53</w:t>
        </w:r>
      </w:hyperlink>
      <w:r w:rsidRPr="008F71FD">
        <w:rPr>
          <w:rFonts w:asciiTheme="minorHAnsi" w:hAnsiTheme="minorHAnsi"/>
          <w:lang w:val="pl-PL"/>
        </w:rPr>
        <w:t xml:space="preserve">; oraz </w:t>
      </w:r>
      <w:r w:rsidRPr="008F71FD">
        <w:rPr>
          <w:rFonts w:asciiTheme="minorHAnsi" w:hAnsiTheme="minorHAnsi"/>
          <w:i/>
          <w:lang w:val="pl-PL"/>
        </w:rPr>
        <w:t xml:space="preserve">Jeronovičs p. Łotwie </w:t>
      </w:r>
      <w:r w:rsidRPr="008F71FD">
        <w:rPr>
          <w:rFonts w:asciiTheme="minorHAnsi" w:hAnsiTheme="minorHAnsi"/>
          <w:lang w:val="pl-PL"/>
        </w:rPr>
        <w:t xml:space="preserve">[WI], nr 44898/10, 5 lipca 2016 r., </w:t>
      </w:r>
      <w:hyperlink r:id="rId76" w:history="1">
        <w:r w:rsidRPr="008F71FD">
          <w:rPr>
            <w:rStyle w:val="Hipercze"/>
            <w:rFonts w:asciiTheme="minorHAnsi" w:hAnsiTheme="minorHAnsi"/>
            <w:lang w:val="pl-PL"/>
          </w:rPr>
          <w:t>Nota informacyjna nr 198</w:t>
        </w:r>
      </w:hyperlink>
    </w:p>
  </w:footnote>
  <w:footnote w:id="23">
    <w:p w14:paraId="75736D9E" w14:textId="3C194C0B"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Porównaj opisany w pkt 8 niniejszego przeglądu wyrok w sprawie </w:t>
      </w:r>
      <w:r w:rsidRPr="008F71FD">
        <w:rPr>
          <w:rFonts w:asciiTheme="minorHAnsi" w:hAnsiTheme="minorHAnsi"/>
          <w:i/>
          <w:lang w:val="pl-PL"/>
        </w:rPr>
        <w:t xml:space="preserve">Ilias i Ahmed p. Węgrom </w:t>
      </w:r>
      <w:r w:rsidRPr="008F71FD">
        <w:rPr>
          <w:rFonts w:asciiTheme="minorHAnsi" w:hAnsiTheme="minorHAnsi"/>
          <w:lang w:val="pl-PL"/>
        </w:rPr>
        <w:t xml:space="preserve">[WI], nr 47287/15, 21 listopada 2019 r. Zobacz ponadto zestawienie tematyczne pt. </w:t>
      </w:r>
      <w:hyperlink r:id="rId77" w:history="1">
        <w:r w:rsidRPr="008F71FD">
          <w:rPr>
            <w:rStyle w:val="Hipercze"/>
            <w:rFonts w:asciiTheme="minorHAnsi" w:hAnsiTheme="minorHAnsi"/>
            <w:lang w:val="pl-PL"/>
          </w:rPr>
          <w:t>Warunki pozbawienia wolności i traktowanie więźniów</w:t>
        </w:r>
      </w:hyperlink>
      <w:r w:rsidRPr="008F71FD">
        <w:rPr>
          <w:rFonts w:asciiTheme="minorHAnsi" w:hAnsiTheme="minorHAnsi"/>
          <w:lang w:val="pl-PL"/>
        </w:rPr>
        <w:t xml:space="preserve">; zobacz także </w:t>
      </w:r>
      <w:r w:rsidRPr="008F71FD">
        <w:rPr>
          <w:rFonts w:asciiTheme="minorHAnsi" w:hAnsiTheme="minorHAnsi"/>
          <w:i/>
          <w:lang w:val="pl-PL"/>
        </w:rPr>
        <w:t>Amuur p. Francji</w:t>
      </w:r>
      <w:r w:rsidRPr="008F71FD">
        <w:rPr>
          <w:rFonts w:asciiTheme="minorHAnsi" w:hAnsiTheme="minorHAnsi"/>
          <w:lang w:val="pl-PL"/>
        </w:rPr>
        <w:t xml:space="preserve">, </w:t>
      </w:r>
      <w:hyperlink r:id="rId78" w:history="1">
        <w:r w:rsidRPr="008F71FD">
          <w:rPr>
            <w:rStyle w:val="Hipercze"/>
            <w:rFonts w:asciiTheme="minorHAnsi" w:hAnsiTheme="minorHAnsi"/>
            <w:lang w:val="pl-PL"/>
          </w:rPr>
          <w:t>19776/92</w:t>
        </w:r>
      </w:hyperlink>
      <w:r w:rsidRPr="008F71FD">
        <w:rPr>
          <w:rFonts w:asciiTheme="minorHAnsi" w:hAnsiTheme="minorHAnsi"/>
          <w:lang w:val="pl-PL"/>
        </w:rPr>
        <w:t xml:space="preserve">, 25 czerwca 1996 r.; </w:t>
      </w:r>
      <w:hyperlink r:id="rId79" w:history="1">
        <w:r w:rsidRPr="008F71FD">
          <w:rPr>
            <w:rStyle w:val="Hipercze"/>
            <w:rFonts w:asciiTheme="minorHAnsi" w:hAnsiTheme="minorHAnsi"/>
            <w:i/>
            <w:lang w:val="pl-PL"/>
          </w:rPr>
          <w:t>Shamsa p. Polsce</w:t>
        </w:r>
      </w:hyperlink>
      <w:r w:rsidRPr="008F71FD">
        <w:rPr>
          <w:rFonts w:asciiTheme="minorHAnsi" w:hAnsiTheme="minorHAnsi"/>
          <w:lang w:val="pl-PL"/>
        </w:rPr>
        <w:t>, nr 45355/99 i</w:t>
      </w:r>
      <w:r>
        <w:rPr>
          <w:rFonts w:asciiTheme="minorHAnsi" w:hAnsiTheme="minorHAnsi"/>
          <w:lang w:val="pl-PL"/>
        </w:rPr>
        <w:t> </w:t>
      </w:r>
      <w:r w:rsidRPr="008F71FD">
        <w:rPr>
          <w:rFonts w:asciiTheme="minorHAnsi" w:hAnsiTheme="minorHAnsi"/>
          <w:lang w:val="pl-PL"/>
        </w:rPr>
        <w:t xml:space="preserve">45357/99, 27 listopada 2003 r., </w:t>
      </w:r>
      <w:hyperlink r:id="rId80" w:history="1">
        <w:r w:rsidRPr="008F71FD">
          <w:rPr>
            <w:rStyle w:val="Hipercze"/>
            <w:rFonts w:asciiTheme="minorHAnsi" w:hAnsiTheme="minorHAnsi"/>
            <w:lang w:val="pl-PL"/>
          </w:rPr>
          <w:t>Nota informacyjna nr 58</w:t>
        </w:r>
      </w:hyperlink>
      <w:r w:rsidRPr="008F71FD">
        <w:rPr>
          <w:rFonts w:asciiTheme="minorHAnsi" w:hAnsiTheme="minorHAnsi"/>
          <w:lang w:val="pl-PL"/>
        </w:rPr>
        <w:t xml:space="preserve">; </w:t>
      </w:r>
      <w:r w:rsidRPr="008F71FD">
        <w:rPr>
          <w:rFonts w:asciiTheme="minorHAnsi" w:hAnsiTheme="minorHAnsi"/>
          <w:i/>
          <w:lang w:val="pl-PL"/>
        </w:rPr>
        <w:t>Mogoş p. Rumunii</w:t>
      </w:r>
      <w:r w:rsidRPr="008F71FD">
        <w:rPr>
          <w:rFonts w:asciiTheme="minorHAnsi" w:hAnsiTheme="minorHAnsi"/>
          <w:lang w:val="pl-PL"/>
        </w:rPr>
        <w:t xml:space="preserve"> (dec.), nr 20420/02, 6 maja 2004 r., </w:t>
      </w:r>
      <w:hyperlink r:id="rId81" w:history="1">
        <w:r w:rsidRPr="008F71FD">
          <w:rPr>
            <w:rStyle w:val="Hipercze"/>
            <w:rFonts w:asciiTheme="minorHAnsi" w:hAnsiTheme="minorHAnsi"/>
            <w:lang w:val="pl-PL"/>
          </w:rPr>
          <w:t>Nota informacyjna nr 79</w:t>
        </w:r>
      </w:hyperlink>
      <w:r w:rsidRPr="008F71FD">
        <w:rPr>
          <w:rFonts w:asciiTheme="minorHAnsi" w:hAnsiTheme="minorHAnsi"/>
          <w:lang w:val="pl-PL"/>
        </w:rPr>
        <w:t>;</w:t>
      </w:r>
      <w:r w:rsidRPr="008F71FD">
        <w:rPr>
          <w:rFonts w:asciiTheme="minorHAnsi" w:hAnsiTheme="minorHAnsi"/>
          <w:i/>
          <w:lang w:val="pl-PL"/>
        </w:rPr>
        <w:t xml:space="preserve"> Mahdid i Haddar p. Austrii</w:t>
      </w:r>
      <w:r w:rsidRPr="008F71FD">
        <w:rPr>
          <w:rFonts w:asciiTheme="minorHAnsi" w:hAnsiTheme="minorHAnsi"/>
          <w:lang w:val="pl-PL"/>
        </w:rPr>
        <w:t xml:space="preserve"> (dec.), nr 74762/01, 8 grudnia 2005 r., </w:t>
      </w:r>
      <w:hyperlink r:id="rId82" w:history="1">
        <w:r w:rsidRPr="008F71FD">
          <w:rPr>
            <w:rStyle w:val="Hipercze"/>
            <w:rFonts w:asciiTheme="minorHAnsi" w:hAnsiTheme="minorHAnsi"/>
            <w:lang w:val="pl-PL"/>
          </w:rPr>
          <w:t>Nota</w:t>
        </w:r>
        <w:r>
          <w:rPr>
            <w:rStyle w:val="Hipercze"/>
            <w:rFonts w:asciiTheme="minorHAnsi" w:hAnsiTheme="minorHAnsi"/>
            <w:lang w:val="pl-PL"/>
          </w:rPr>
          <w:t> </w:t>
        </w:r>
        <w:r w:rsidRPr="008F71FD">
          <w:rPr>
            <w:rStyle w:val="Hipercze"/>
            <w:rFonts w:asciiTheme="minorHAnsi" w:hAnsiTheme="minorHAnsi"/>
            <w:lang w:val="pl-PL"/>
          </w:rPr>
          <w:t>informacyjna nr 81</w:t>
        </w:r>
      </w:hyperlink>
      <w:r w:rsidRPr="008F71FD">
        <w:rPr>
          <w:rFonts w:asciiTheme="minorHAnsi" w:hAnsiTheme="minorHAnsi"/>
          <w:lang w:val="pl-PL"/>
        </w:rPr>
        <w:t xml:space="preserve">; </w:t>
      </w:r>
      <w:r w:rsidRPr="008F71FD">
        <w:rPr>
          <w:rFonts w:asciiTheme="minorHAnsi" w:hAnsiTheme="minorHAnsi"/>
          <w:i/>
          <w:lang w:val="pl-PL"/>
        </w:rPr>
        <w:t>Riad i Idiab p. Belgii</w:t>
      </w:r>
      <w:r w:rsidRPr="008F71FD">
        <w:rPr>
          <w:rFonts w:asciiTheme="minorHAnsi" w:hAnsiTheme="minorHAnsi"/>
          <w:lang w:val="pl-PL"/>
        </w:rPr>
        <w:t xml:space="preserve">, nr 29787/03 and 29810/03, 24 stycznia 2008 r., </w:t>
      </w:r>
      <w:hyperlink r:id="rId83" w:history="1">
        <w:r w:rsidRPr="008F71FD">
          <w:rPr>
            <w:rStyle w:val="Hipercze"/>
            <w:rFonts w:asciiTheme="minorHAnsi" w:hAnsiTheme="minorHAnsi"/>
            <w:lang w:val="pl-PL"/>
          </w:rPr>
          <w:t>Nota</w:t>
        </w:r>
        <w:r>
          <w:rPr>
            <w:rStyle w:val="Hipercze"/>
            <w:rFonts w:asciiTheme="minorHAnsi" w:hAnsiTheme="minorHAnsi"/>
            <w:lang w:val="pl-PL"/>
          </w:rPr>
          <w:t> </w:t>
        </w:r>
        <w:r w:rsidRPr="008F71FD">
          <w:rPr>
            <w:rStyle w:val="Hipercze"/>
            <w:rFonts w:asciiTheme="minorHAnsi" w:hAnsiTheme="minorHAnsi"/>
            <w:lang w:val="pl-PL"/>
          </w:rPr>
          <w:t>informacyjna nr 104</w:t>
        </w:r>
      </w:hyperlink>
      <w:r w:rsidRPr="008F71FD">
        <w:rPr>
          <w:rFonts w:asciiTheme="minorHAnsi" w:hAnsiTheme="minorHAnsi"/>
          <w:lang w:val="pl-PL"/>
        </w:rPr>
        <w:t xml:space="preserve">; </w:t>
      </w:r>
      <w:r w:rsidRPr="008F71FD">
        <w:rPr>
          <w:rFonts w:asciiTheme="minorHAnsi" w:hAnsiTheme="minorHAnsi"/>
          <w:i/>
          <w:lang w:val="pl-PL"/>
        </w:rPr>
        <w:t>Nolan i K. p. Rosji</w:t>
      </w:r>
      <w:r w:rsidRPr="008F71FD">
        <w:rPr>
          <w:rFonts w:asciiTheme="minorHAnsi" w:hAnsiTheme="minorHAnsi"/>
          <w:lang w:val="pl-PL"/>
        </w:rPr>
        <w:t xml:space="preserve">, nr 2512/04, 12 lutego 2009 r., </w:t>
      </w:r>
      <w:hyperlink r:id="rId84" w:history="1">
        <w:r w:rsidRPr="008F71FD">
          <w:rPr>
            <w:rStyle w:val="Hipercze"/>
            <w:rFonts w:asciiTheme="minorHAnsi" w:hAnsiTheme="minorHAnsi"/>
            <w:lang w:val="pl-PL"/>
          </w:rPr>
          <w:t>Nota informacyjna nr 116</w:t>
        </w:r>
      </w:hyperlink>
      <w:r w:rsidRPr="008F71FD">
        <w:rPr>
          <w:rFonts w:asciiTheme="minorHAnsi" w:hAnsiTheme="minorHAnsi"/>
          <w:lang w:val="pl-PL"/>
        </w:rPr>
        <w:t xml:space="preserve">; </w:t>
      </w:r>
      <w:r w:rsidRPr="008F71FD">
        <w:rPr>
          <w:rFonts w:asciiTheme="minorHAnsi" w:hAnsiTheme="minorHAnsi"/>
          <w:i/>
          <w:lang w:val="pl-PL"/>
        </w:rPr>
        <w:t>M.S.S. p.</w:t>
      </w:r>
      <w:r>
        <w:rPr>
          <w:rFonts w:asciiTheme="minorHAnsi" w:hAnsiTheme="minorHAnsi"/>
          <w:i/>
          <w:lang w:val="pl-PL"/>
        </w:rPr>
        <w:t> </w:t>
      </w:r>
      <w:r w:rsidRPr="008F71FD">
        <w:rPr>
          <w:rFonts w:asciiTheme="minorHAnsi" w:hAnsiTheme="minorHAnsi"/>
          <w:i/>
          <w:lang w:val="pl-PL"/>
        </w:rPr>
        <w:t>Belgii i Grecji</w:t>
      </w:r>
      <w:r w:rsidRPr="008F71FD">
        <w:rPr>
          <w:rFonts w:asciiTheme="minorHAnsi" w:hAnsiTheme="minorHAnsi"/>
          <w:lang w:val="pl-PL"/>
        </w:rPr>
        <w:t xml:space="preserve"> [WI], nr 30696/09, 21 stycznia 2011 r., </w:t>
      </w:r>
      <w:hyperlink r:id="rId85" w:history="1">
        <w:r w:rsidRPr="008F71FD">
          <w:rPr>
            <w:rStyle w:val="Hipercze"/>
            <w:rFonts w:asciiTheme="minorHAnsi" w:hAnsiTheme="minorHAnsi"/>
            <w:lang w:val="pl-PL"/>
          </w:rPr>
          <w:t>Nota informacyjna nr 137</w:t>
        </w:r>
      </w:hyperlink>
      <w:r w:rsidRPr="008F71FD">
        <w:rPr>
          <w:rFonts w:asciiTheme="minorHAnsi" w:hAnsiTheme="minorHAnsi"/>
          <w:lang w:val="pl-PL"/>
        </w:rPr>
        <w:t xml:space="preserve">; </w:t>
      </w:r>
      <w:r w:rsidRPr="008F71FD">
        <w:rPr>
          <w:rFonts w:asciiTheme="minorHAnsi" w:hAnsiTheme="minorHAnsi"/>
          <w:i/>
          <w:lang w:val="pl-PL"/>
        </w:rPr>
        <w:t>Kanagaratnam p. Belgii</w:t>
      </w:r>
      <w:r w:rsidRPr="008F71FD">
        <w:rPr>
          <w:rFonts w:asciiTheme="minorHAnsi" w:hAnsiTheme="minorHAnsi"/>
          <w:lang w:val="pl-PL"/>
        </w:rPr>
        <w:t>, nr</w:t>
      </w:r>
      <w:r>
        <w:rPr>
          <w:rFonts w:asciiTheme="minorHAnsi" w:hAnsiTheme="minorHAnsi"/>
          <w:lang w:val="pl-PL"/>
        </w:rPr>
        <w:t> </w:t>
      </w:r>
      <w:r w:rsidRPr="008F71FD">
        <w:rPr>
          <w:rFonts w:asciiTheme="minorHAnsi" w:hAnsiTheme="minorHAnsi"/>
          <w:lang w:val="pl-PL"/>
        </w:rPr>
        <w:t xml:space="preserve">15297/09, 13 grudnia 2011 r., </w:t>
      </w:r>
      <w:hyperlink r:id="rId86" w:history="1">
        <w:r w:rsidRPr="008F71FD">
          <w:rPr>
            <w:rStyle w:val="Hipercze"/>
            <w:rFonts w:asciiTheme="minorHAnsi" w:hAnsiTheme="minorHAnsi"/>
            <w:lang w:val="pl-PL"/>
          </w:rPr>
          <w:t>Nota informacyjna nr 147</w:t>
        </w:r>
      </w:hyperlink>
      <w:r w:rsidRPr="008F71FD">
        <w:rPr>
          <w:rFonts w:asciiTheme="minorHAnsi" w:hAnsiTheme="minorHAnsi"/>
          <w:lang w:val="pl-PL"/>
        </w:rPr>
        <w:t xml:space="preserve">; </w:t>
      </w:r>
      <w:r w:rsidRPr="008F71FD">
        <w:rPr>
          <w:rFonts w:asciiTheme="minorHAnsi" w:hAnsiTheme="minorHAnsi"/>
          <w:i/>
          <w:lang w:val="pl-PL"/>
        </w:rPr>
        <w:t>Ananyev i Inni p. Rosji</w:t>
      </w:r>
      <w:r w:rsidRPr="008F71FD">
        <w:rPr>
          <w:rFonts w:asciiTheme="minorHAnsi" w:hAnsiTheme="minorHAnsi"/>
          <w:lang w:val="pl-PL"/>
        </w:rPr>
        <w:t xml:space="preserve">, nr 42525/07 i 60800/08 r., 10 stycznia 2012 r., </w:t>
      </w:r>
      <w:hyperlink r:id="rId87" w:history="1">
        <w:r w:rsidRPr="008F71FD">
          <w:rPr>
            <w:rStyle w:val="Hipercze"/>
            <w:rFonts w:asciiTheme="minorHAnsi" w:hAnsiTheme="minorHAnsi"/>
            <w:lang w:val="pl-PL"/>
          </w:rPr>
          <w:t>Nota informacyjna nr 148</w:t>
        </w:r>
      </w:hyperlink>
      <w:r w:rsidRPr="008F71FD">
        <w:rPr>
          <w:rFonts w:asciiTheme="minorHAnsi" w:hAnsiTheme="minorHAnsi"/>
          <w:lang w:val="pl-PL"/>
        </w:rPr>
        <w:t xml:space="preserve">; </w:t>
      </w:r>
      <w:hyperlink r:id="rId88" w:history="1">
        <w:r w:rsidRPr="008F71FD">
          <w:rPr>
            <w:rStyle w:val="Hipercze"/>
            <w:rFonts w:asciiTheme="minorHAnsi" w:hAnsiTheme="minorHAnsi"/>
            <w:i/>
            <w:lang w:val="pl-PL"/>
          </w:rPr>
          <w:t>Suso Musa p. Malcie</w:t>
        </w:r>
      </w:hyperlink>
      <w:r w:rsidRPr="008F71FD">
        <w:rPr>
          <w:rFonts w:asciiTheme="minorHAnsi" w:hAnsiTheme="minorHAnsi"/>
          <w:lang w:val="pl-PL"/>
        </w:rPr>
        <w:t xml:space="preserve">, nr 42337/12, 23 lipca 2013 r., </w:t>
      </w:r>
      <w:hyperlink r:id="rId89" w:history="1">
        <w:r w:rsidRPr="008F71FD">
          <w:rPr>
            <w:rStyle w:val="Hipercze"/>
            <w:rFonts w:asciiTheme="minorHAnsi" w:hAnsiTheme="minorHAnsi"/>
            <w:lang w:val="pl-PL"/>
          </w:rPr>
          <w:t>Nota</w:t>
        </w:r>
        <w:r>
          <w:rPr>
            <w:rStyle w:val="Hipercze"/>
            <w:rFonts w:asciiTheme="minorHAnsi" w:hAnsiTheme="minorHAnsi"/>
            <w:lang w:val="pl-PL"/>
          </w:rPr>
          <w:t> </w:t>
        </w:r>
        <w:r w:rsidRPr="008F71FD">
          <w:rPr>
            <w:rStyle w:val="Hipercze"/>
            <w:rFonts w:asciiTheme="minorHAnsi" w:hAnsiTheme="minorHAnsi"/>
            <w:lang w:val="pl-PL"/>
          </w:rPr>
          <w:t>informacyjna nr 165</w:t>
        </w:r>
      </w:hyperlink>
      <w:r w:rsidRPr="008F71FD">
        <w:rPr>
          <w:rFonts w:asciiTheme="minorHAnsi" w:hAnsiTheme="minorHAnsi"/>
          <w:i/>
          <w:lang w:val="pl-PL"/>
        </w:rPr>
        <w:t xml:space="preserve">; Gahramanov p. Azerbejdżanowi </w:t>
      </w:r>
      <w:r w:rsidRPr="008F71FD">
        <w:rPr>
          <w:rFonts w:asciiTheme="minorHAnsi" w:hAnsiTheme="minorHAnsi"/>
          <w:lang w:val="pl-PL"/>
        </w:rPr>
        <w:t xml:space="preserve">(dec.), nr 26291/06, 15 października 2013 r., </w:t>
      </w:r>
      <w:hyperlink r:id="rId90" w:history="1">
        <w:r w:rsidRPr="008F71FD">
          <w:rPr>
            <w:rStyle w:val="Hipercze"/>
            <w:rFonts w:asciiTheme="minorHAnsi" w:hAnsiTheme="minorHAnsi"/>
            <w:lang w:val="pl-PL"/>
          </w:rPr>
          <w:t>Nota</w:t>
        </w:r>
        <w:r>
          <w:rPr>
            <w:rStyle w:val="Hipercze"/>
            <w:rFonts w:asciiTheme="minorHAnsi" w:hAnsiTheme="minorHAnsi"/>
            <w:lang w:val="pl-PL"/>
          </w:rPr>
          <w:t> </w:t>
        </w:r>
        <w:r w:rsidRPr="008F71FD">
          <w:rPr>
            <w:rStyle w:val="Hipercze"/>
            <w:rFonts w:asciiTheme="minorHAnsi" w:hAnsiTheme="minorHAnsi"/>
            <w:lang w:val="pl-PL"/>
          </w:rPr>
          <w:t>informacyjna nr 168</w:t>
        </w:r>
      </w:hyperlink>
      <w:r w:rsidRPr="008F71FD">
        <w:rPr>
          <w:rFonts w:asciiTheme="minorHAnsi" w:hAnsiTheme="minorHAnsi"/>
          <w:i/>
          <w:lang w:val="pl-PL"/>
        </w:rPr>
        <w:t>; Muršić p. Chorwacji</w:t>
      </w:r>
      <w:r w:rsidRPr="008F71FD">
        <w:rPr>
          <w:rFonts w:asciiTheme="minorHAnsi" w:hAnsiTheme="minorHAnsi"/>
          <w:lang w:val="pl-PL"/>
        </w:rPr>
        <w:t xml:space="preserve"> [WI], nr 7334/13, 20 grudnia 2016 r., </w:t>
      </w:r>
      <w:hyperlink r:id="rId91" w:history="1">
        <w:r w:rsidRPr="009D323F">
          <w:rPr>
            <w:rStyle w:val="Hipercze"/>
            <w:rFonts w:asciiTheme="minorHAnsi" w:hAnsiTheme="minorHAnsi"/>
            <w:lang w:val="pl-PL"/>
          </w:rPr>
          <w:t>Nota informacyjna nr 200</w:t>
        </w:r>
      </w:hyperlink>
      <w:r w:rsidRPr="008F71FD">
        <w:rPr>
          <w:rFonts w:asciiTheme="minorHAnsi" w:hAnsiTheme="minorHAnsi"/>
          <w:lang w:val="pl-PL"/>
        </w:rPr>
        <w:t xml:space="preserve">; a także </w:t>
      </w:r>
      <w:hyperlink r:id="rId92" w:history="1">
        <w:r w:rsidRPr="008F71FD">
          <w:rPr>
            <w:rStyle w:val="Hipercze"/>
            <w:rFonts w:asciiTheme="minorHAnsi" w:hAnsiTheme="minorHAnsi"/>
            <w:i/>
            <w:lang w:val="pl-PL"/>
          </w:rPr>
          <w:t>Khlaifia i Inni p. Włochom</w:t>
        </w:r>
      </w:hyperlink>
      <w:r w:rsidRPr="008F71FD">
        <w:rPr>
          <w:rFonts w:asciiTheme="minorHAnsi" w:hAnsiTheme="minorHAnsi"/>
          <w:i/>
          <w:lang w:val="pl-PL"/>
        </w:rPr>
        <w:t xml:space="preserve"> </w:t>
      </w:r>
      <w:r w:rsidRPr="008F71FD">
        <w:rPr>
          <w:rFonts w:asciiTheme="minorHAnsi" w:hAnsiTheme="minorHAnsi"/>
          <w:lang w:val="pl-PL"/>
        </w:rPr>
        <w:t xml:space="preserve">[WI], nr 16483/12, 15 grudnia 2016 r., </w:t>
      </w:r>
      <w:hyperlink r:id="rId93" w:history="1">
        <w:r w:rsidRPr="008F71FD">
          <w:rPr>
            <w:rStyle w:val="Hipercze"/>
            <w:rFonts w:asciiTheme="minorHAnsi" w:hAnsiTheme="minorHAnsi"/>
            <w:lang w:val="pl-PL"/>
          </w:rPr>
          <w:t>Nota informacyjna nr 202</w:t>
        </w:r>
      </w:hyperlink>
    </w:p>
  </w:footnote>
  <w:footnote w:id="24">
    <w:p w14:paraId="684149D2" w14:textId="2A2027B9" w:rsidR="00FA6F64" w:rsidRPr="008F71FD" w:rsidRDefault="00FA6F64" w:rsidP="00950534">
      <w:pPr>
        <w:pStyle w:val="Tekstprzypisudolnego"/>
        <w:jc w:val="both"/>
        <w:rPr>
          <w:rFonts w:asciiTheme="minorHAnsi" w:hAnsiTheme="minorHAnsi"/>
          <w:lang w:val="pl-PL"/>
        </w:rPr>
      </w:pPr>
      <w:r w:rsidRPr="008F71FD">
        <w:rPr>
          <w:rStyle w:val="Odwoanieprzypisudolnego"/>
          <w:rFonts w:asciiTheme="minorHAnsi" w:hAnsiTheme="minorHAnsi"/>
          <w:lang w:val="pl-PL"/>
        </w:rPr>
        <w:footnoteRef/>
      </w:r>
      <w:r w:rsidRPr="008F71FD">
        <w:rPr>
          <w:rFonts w:asciiTheme="minorHAnsi" w:hAnsiTheme="minorHAnsi"/>
          <w:lang w:val="pl-PL"/>
        </w:rPr>
        <w:t xml:space="preserve"> Zobacz </w:t>
      </w:r>
      <w:r w:rsidRPr="008F71FD">
        <w:rPr>
          <w:rFonts w:asciiTheme="minorHAnsi" w:hAnsiTheme="minorHAnsi"/>
          <w:i/>
          <w:lang w:val="pl-PL"/>
        </w:rPr>
        <w:t>Labassee p. Francji</w:t>
      </w:r>
      <w:r w:rsidRPr="008F71FD">
        <w:rPr>
          <w:rFonts w:asciiTheme="minorHAnsi" w:hAnsiTheme="minorHAnsi"/>
          <w:snapToGrid w:val="0"/>
          <w:lang w:val="pl-PL"/>
        </w:rPr>
        <w:t xml:space="preserve">, nr </w:t>
      </w:r>
      <w:r w:rsidRPr="008F71FD">
        <w:rPr>
          <w:rFonts w:asciiTheme="minorHAnsi" w:hAnsiTheme="minorHAnsi"/>
          <w:lang w:val="pl-PL"/>
        </w:rPr>
        <w:t>65941/11</w:t>
      </w:r>
      <w:r w:rsidRPr="008F71FD">
        <w:rPr>
          <w:rFonts w:asciiTheme="minorHAnsi" w:hAnsiTheme="minorHAnsi"/>
          <w:snapToGrid w:val="0"/>
          <w:lang w:val="pl-PL"/>
        </w:rPr>
        <w:t xml:space="preserve">, 26 czerwca 2014 r., </w:t>
      </w:r>
      <w:hyperlink r:id="rId94" w:history="1">
        <w:r w:rsidRPr="008F71FD">
          <w:rPr>
            <w:rStyle w:val="Hipercze"/>
            <w:rFonts w:asciiTheme="minorHAnsi" w:hAnsiTheme="minorHAnsi"/>
            <w:snapToGrid w:val="0"/>
            <w:lang w:val="pl-PL"/>
          </w:rPr>
          <w:t>Nota informacyjna nr 175</w:t>
        </w:r>
      </w:hyperlink>
      <w:r w:rsidRPr="008F71FD">
        <w:rPr>
          <w:rFonts w:asciiTheme="minorHAnsi" w:hAnsiTheme="minorHAnsi"/>
          <w:lang w:val="pl-PL"/>
        </w:rPr>
        <w:t xml:space="preserve">; </w:t>
      </w:r>
      <w:r w:rsidRPr="008F71FD">
        <w:rPr>
          <w:rFonts w:asciiTheme="minorHAnsi" w:hAnsiTheme="minorHAnsi"/>
          <w:i/>
          <w:lang w:val="pl-PL"/>
        </w:rPr>
        <w:t>Foulon i Bouvet</w:t>
      </w:r>
      <w:r w:rsidRPr="008F71FD">
        <w:rPr>
          <w:rFonts w:asciiTheme="minorHAnsi" w:hAnsiTheme="minorHAnsi"/>
          <w:lang w:val="pl-PL"/>
        </w:rPr>
        <w:t xml:space="preserve"> </w:t>
      </w:r>
      <w:r w:rsidRPr="008F71FD">
        <w:rPr>
          <w:rFonts w:asciiTheme="minorHAnsi" w:hAnsiTheme="minorHAnsi"/>
          <w:i/>
          <w:lang w:val="pl-PL"/>
        </w:rPr>
        <w:t>p. Francji</w:t>
      </w:r>
      <w:r w:rsidRPr="008F71FD">
        <w:rPr>
          <w:rFonts w:asciiTheme="minorHAnsi" w:hAnsiTheme="minorHAnsi"/>
          <w:lang w:val="pl-PL"/>
        </w:rPr>
        <w:t xml:space="preserve">, nr </w:t>
      </w:r>
      <w:hyperlink r:id="rId95" w:history="1">
        <w:r w:rsidRPr="008F71FD">
          <w:rPr>
            <w:rStyle w:val="Hipercze"/>
            <w:rFonts w:asciiTheme="minorHAnsi" w:hAnsiTheme="minorHAnsi"/>
            <w:lang w:val="pl-PL"/>
          </w:rPr>
          <w:t>9063/14 i 10410/14</w:t>
        </w:r>
      </w:hyperlink>
      <w:r w:rsidRPr="008F71FD">
        <w:rPr>
          <w:rFonts w:asciiTheme="minorHAnsi" w:hAnsiTheme="minorHAnsi"/>
          <w:snapToGrid w:val="0"/>
          <w:lang w:val="pl-PL"/>
        </w:rPr>
        <w:t>, 21 lipca 2016 r.</w:t>
      </w:r>
      <w:r w:rsidRPr="008F71FD">
        <w:rPr>
          <w:rFonts w:asciiTheme="minorHAnsi" w:hAnsiTheme="minorHAnsi"/>
          <w:lang w:val="pl-PL"/>
        </w:rPr>
        <w:t xml:space="preserve">; oraz </w:t>
      </w:r>
      <w:r w:rsidRPr="008F71FD">
        <w:rPr>
          <w:rFonts w:asciiTheme="minorHAnsi" w:hAnsiTheme="minorHAnsi"/>
          <w:i/>
          <w:lang w:val="pl-PL"/>
        </w:rPr>
        <w:t xml:space="preserve">Paradiso i Campanelli p. Włochom </w:t>
      </w:r>
      <w:r w:rsidRPr="008F71FD">
        <w:rPr>
          <w:rFonts w:asciiTheme="minorHAnsi" w:hAnsiTheme="minorHAnsi"/>
          <w:lang w:val="pl-PL"/>
        </w:rPr>
        <w:t>[WI], nr 25358/12, 24</w:t>
      </w:r>
      <w:r>
        <w:rPr>
          <w:rFonts w:asciiTheme="minorHAnsi" w:hAnsiTheme="minorHAnsi"/>
          <w:lang w:val="pl-PL"/>
        </w:rPr>
        <w:t> </w:t>
      </w:r>
      <w:r w:rsidRPr="008F71FD">
        <w:rPr>
          <w:rFonts w:asciiTheme="minorHAnsi" w:hAnsiTheme="minorHAnsi"/>
          <w:lang w:val="pl-PL"/>
        </w:rPr>
        <w:t xml:space="preserve">stycznia 2017 r., </w:t>
      </w:r>
      <w:hyperlink r:id="rId96" w:history="1">
        <w:r w:rsidRPr="008F71FD">
          <w:rPr>
            <w:rStyle w:val="Hipercze"/>
            <w:rFonts w:asciiTheme="minorHAnsi" w:hAnsiTheme="minorHAnsi"/>
            <w:lang w:val="pl-PL"/>
          </w:rPr>
          <w:t>Nota informacyjna nr 203</w:t>
        </w:r>
      </w:hyperlink>
      <w:r w:rsidRPr="008F71FD">
        <w:rPr>
          <w:rFonts w:asciiTheme="minorHAnsi" w:hAnsiTheme="minorHAnsi"/>
          <w:lang w:val="pl-PL"/>
        </w:rPr>
        <w:t xml:space="preserve">. Zobacz także zestawienie tematyczne pt. </w:t>
      </w:r>
      <w:hyperlink r:id="rId97" w:history="1">
        <w:r w:rsidRPr="008F71FD">
          <w:rPr>
            <w:rStyle w:val="Hipercze"/>
            <w:rFonts w:asciiTheme="minorHAnsi" w:hAnsiTheme="minorHAnsi"/>
            <w:lang w:val="pl-PL"/>
          </w:rPr>
          <w:t>Macierzyństwo zastępcze</w:t>
        </w:r>
      </w:hyperlink>
      <w:r>
        <w:rPr>
          <w:rStyle w:val="Hipercze"/>
          <w:rFonts w:asciiTheme="minorHAnsi" w:hAnsiTheme="minorHAnsi"/>
          <w:lang w:val="pl-P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D57E0" w14:textId="77777777" w:rsidR="00FA6F64" w:rsidRDefault="00FA6F64">
    <w:pPr>
      <w:pStyle w:val="Nagwek"/>
    </w:pPr>
  </w:p>
  <w:p w14:paraId="6E769ED9" w14:textId="77777777" w:rsidR="00FA6F64" w:rsidRDefault="00FA6F6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7B9AD" w14:textId="2F218AB7" w:rsidR="00FA6F64" w:rsidRDefault="00FA6F64">
    <w:pPr>
      <w:pStyle w:val="Nagwek"/>
    </w:pPr>
    <w:r>
      <w:rPr>
        <w:noProof/>
        <w:lang w:val="pl-PL" w:eastAsia="pl-PL"/>
      </w:rPr>
      <w:drawing>
        <wp:inline distT="0" distB="0" distL="0" distR="0" wp14:anchorId="5203950A" wp14:editId="6E797766">
          <wp:extent cx="2527935" cy="2608580"/>
          <wp:effectExtent l="0" t="0" r="5715" b="1270"/>
          <wp:docPr id="3" name="Obraz 3"/>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pic:spPr>
              </pic:pic>
            </a:graphicData>
          </a:graphic>
        </wp:inline>
      </w:drawing>
    </w:r>
    <w:r w:rsidRPr="00E31BB0">
      <w:rPr>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45A5"/>
    <w:multiLevelType w:val="hybridMultilevel"/>
    <w:tmpl w:val="0AC6C61A"/>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72E0CF0"/>
    <w:multiLevelType w:val="hybridMultilevel"/>
    <w:tmpl w:val="13C4B50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754422A"/>
    <w:multiLevelType w:val="hybridMultilevel"/>
    <w:tmpl w:val="02F00590"/>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88460AB"/>
    <w:multiLevelType w:val="hybridMultilevel"/>
    <w:tmpl w:val="B5ACF76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96B71FB"/>
    <w:multiLevelType w:val="hybridMultilevel"/>
    <w:tmpl w:val="F0EAFB7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E311C21"/>
    <w:multiLevelType w:val="hybridMultilevel"/>
    <w:tmpl w:val="A53A1F2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4E24D9B"/>
    <w:multiLevelType w:val="hybridMultilevel"/>
    <w:tmpl w:val="F438CE7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5A46389"/>
    <w:multiLevelType w:val="hybridMultilevel"/>
    <w:tmpl w:val="9080F5F0"/>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5A805EE"/>
    <w:multiLevelType w:val="hybridMultilevel"/>
    <w:tmpl w:val="6B68D99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9CB3F72"/>
    <w:multiLevelType w:val="hybridMultilevel"/>
    <w:tmpl w:val="7AD849C2"/>
    <w:lvl w:ilvl="0" w:tplc="27AC7F3C">
      <w:start w:val="1"/>
      <w:numFmt w:val="decimal"/>
      <w:lvlText w:val="%1."/>
      <w:lvlJc w:val="left"/>
      <w:pPr>
        <w:ind w:left="360" w:hanging="360"/>
      </w:pPr>
    </w:lvl>
    <w:lvl w:ilvl="1" w:tplc="08090019">
      <w:start w:val="1"/>
      <w:numFmt w:val="lowerLetter"/>
      <w:lvlText w:val="%2."/>
      <w:lvlJc w:val="left"/>
      <w:pPr>
        <w:ind w:left="1014" w:hanging="360"/>
      </w:pPr>
    </w:lvl>
    <w:lvl w:ilvl="2" w:tplc="92F8DF6E">
      <w:start w:val="1"/>
      <w:numFmt w:val="lowerRoman"/>
      <w:lvlText w:val="(%3)"/>
      <w:lvlJc w:val="left"/>
      <w:pPr>
        <w:ind w:left="2274" w:hanging="720"/>
      </w:pPr>
      <w:rPr>
        <w:rFonts w:hint="default"/>
      </w:rPr>
    </w:lvl>
    <w:lvl w:ilvl="3" w:tplc="F064C976">
      <w:start w:val="1"/>
      <w:numFmt w:val="lowerLetter"/>
      <w:lvlText w:val="%4)"/>
      <w:lvlJc w:val="left"/>
      <w:pPr>
        <w:ind w:left="2454" w:hanging="360"/>
      </w:pPr>
      <w:rPr>
        <w:rFonts w:hint="default"/>
      </w:r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0">
    <w:nsid w:val="1CB63ADB"/>
    <w:multiLevelType w:val="hybridMultilevel"/>
    <w:tmpl w:val="2F1CD18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F553406"/>
    <w:multiLevelType w:val="hybridMultilevel"/>
    <w:tmpl w:val="ECC4B4D0"/>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211F53D6"/>
    <w:multiLevelType w:val="hybridMultilevel"/>
    <w:tmpl w:val="F1E22F50"/>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2319355D"/>
    <w:multiLevelType w:val="hybridMultilevel"/>
    <w:tmpl w:val="CD1EA536"/>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391389C"/>
    <w:multiLevelType w:val="hybridMultilevel"/>
    <w:tmpl w:val="1638BF84"/>
    <w:lvl w:ilvl="0" w:tplc="0415000F">
      <w:start w:val="1"/>
      <w:numFmt w:val="decimal"/>
      <w:lvlText w:val="%1."/>
      <w:lvlJc w:val="left"/>
      <w:pPr>
        <w:ind w:left="360" w:hanging="360"/>
      </w:pPr>
    </w:lvl>
    <w:lvl w:ilvl="1" w:tplc="6EDED224">
      <w:start w:val="1"/>
      <w:numFmt w:val="lowerRoman"/>
      <w:lvlText w:val="(%2)"/>
      <w:lvlJc w:val="left"/>
      <w:pPr>
        <w:ind w:left="1440" w:hanging="720"/>
      </w:pPr>
      <w:rPr>
        <w:rFonts w:hint="default"/>
      </w:rPr>
    </w:lvl>
    <w:lvl w:ilvl="2" w:tplc="A7085426">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297D526A"/>
    <w:multiLevelType w:val="hybridMultilevel"/>
    <w:tmpl w:val="CA3632E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2F9D4B84"/>
    <w:multiLevelType w:val="hybridMultilevel"/>
    <w:tmpl w:val="9F586D94"/>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2FFE53D3"/>
    <w:multiLevelType w:val="hybridMultilevel"/>
    <w:tmpl w:val="F5485328"/>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3">
      <w:start w:val="1"/>
      <w:numFmt w:val="bullet"/>
      <w:lvlText w:val="o"/>
      <w:lvlJc w:val="left"/>
      <w:pPr>
        <w:ind w:left="1800" w:hanging="360"/>
      </w:pPr>
      <w:rPr>
        <w:rFonts w:ascii="Courier New" w:hAnsi="Courier New" w:cs="Courier New"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31A827DA"/>
    <w:multiLevelType w:val="hybridMultilevel"/>
    <w:tmpl w:val="FAC27D1C"/>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36701912"/>
    <w:multiLevelType w:val="hybridMultilevel"/>
    <w:tmpl w:val="5C64E2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6AA65E2"/>
    <w:multiLevelType w:val="hybridMultilevel"/>
    <w:tmpl w:val="BAFE44DA"/>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3">
      <w:start w:val="1"/>
      <w:numFmt w:val="bullet"/>
      <w:lvlText w:val="o"/>
      <w:lvlJc w:val="left"/>
      <w:pPr>
        <w:ind w:left="1800" w:hanging="360"/>
      </w:pPr>
      <w:rPr>
        <w:rFonts w:ascii="Courier New" w:hAnsi="Courier New" w:cs="Courier New"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38986A8A"/>
    <w:multiLevelType w:val="hybridMultilevel"/>
    <w:tmpl w:val="F0E2BD3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8ED17BA"/>
    <w:multiLevelType w:val="hybridMultilevel"/>
    <w:tmpl w:val="C096B9F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3A477598"/>
    <w:multiLevelType w:val="hybridMultilevel"/>
    <w:tmpl w:val="28F48720"/>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3F8D5008"/>
    <w:multiLevelType w:val="hybridMultilevel"/>
    <w:tmpl w:val="3744ABC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04F5BE4"/>
    <w:multiLevelType w:val="hybridMultilevel"/>
    <w:tmpl w:val="1E82DAA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40803A45"/>
    <w:multiLevelType w:val="hybridMultilevel"/>
    <w:tmpl w:val="538EC5AA"/>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43461E39"/>
    <w:multiLevelType w:val="hybridMultilevel"/>
    <w:tmpl w:val="44748A54"/>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4CA35A04"/>
    <w:multiLevelType w:val="hybridMultilevel"/>
    <w:tmpl w:val="0F28EEE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DE20B16"/>
    <w:multiLevelType w:val="hybridMultilevel"/>
    <w:tmpl w:val="DED2ADA0"/>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5A287910"/>
    <w:multiLevelType w:val="hybridMultilevel"/>
    <w:tmpl w:val="4866CEA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60E61636"/>
    <w:multiLevelType w:val="hybridMultilevel"/>
    <w:tmpl w:val="3E163EC8"/>
    <w:lvl w:ilvl="0" w:tplc="3612DBC2">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76C7959"/>
    <w:multiLevelType w:val="hybridMultilevel"/>
    <w:tmpl w:val="3D5E8F2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6E157497"/>
    <w:multiLevelType w:val="hybridMultilevel"/>
    <w:tmpl w:val="46020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4570CFB"/>
    <w:multiLevelType w:val="hybridMultilevel"/>
    <w:tmpl w:val="761801D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9BA2A33"/>
    <w:multiLevelType w:val="hybridMultilevel"/>
    <w:tmpl w:val="675A4A8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AFE3D99"/>
    <w:multiLevelType w:val="hybridMultilevel"/>
    <w:tmpl w:val="9702CAEE"/>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7EB94A97"/>
    <w:multiLevelType w:val="hybridMultilevel"/>
    <w:tmpl w:val="9BFA58B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F553B1D"/>
    <w:multiLevelType w:val="hybridMultilevel"/>
    <w:tmpl w:val="1B18E5F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25"/>
  </w:num>
  <w:num w:numId="3">
    <w:abstractNumId w:val="9"/>
  </w:num>
  <w:num w:numId="4">
    <w:abstractNumId w:val="9"/>
  </w:num>
  <w:num w:numId="5">
    <w:abstractNumId w:val="9"/>
  </w:num>
  <w:num w:numId="6">
    <w:abstractNumId w:val="35"/>
  </w:num>
  <w:num w:numId="7">
    <w:abstractNumId w:val="9"/>
  </w:num>
  <w:num w:numId="8">
    <w:abstractNumId w:val="12"/>
  </w:num>
  <w:num w:numId="9">
    <w:abstractNumId w:val="0"/>
  </w:num>
  <w:num w:numId="10">
    <w:abstractNumId w:val="26"/>
  </w:num>
  <w:num w:numId="11">
    <w:abstractNumId w:val="32"/>
  </w:num>
  <w:num w:numId="12">
    <w:abstractNumId w:val="18"/>
  </w:num>
  <w:num w:numId="13">
    <w:abstractNumId w:val="16"/>
  </w:num>
  <w:num w:numId="14">
    <w:abstractNumId w:val="2"/>
  </w:num>
  <w:num w:numId="15">
    <w:abstractNumId w:val="8"/>
  </w:num>
  <w:num w:numId="16">
    <w:abstractNumId w:val="14"/>
  </w:num>
  <w:num w:numId="17">
    <w:abstractNumId w:val="22"/>
  </w:num>
  <w:num w:numId="18">
    <w:abstractNumId w:val="27"/>
  </w:num>
  <w:num w:numId="19">
    <w:abstractNumId w:val="6"/>
  </w:num>
  <w:num w:numId="20">
    <w:abstractNumId w:val="31"/>
  </w:num>
  <w:num w:numId="21">
    <w:abstractNumId w:val="23"/>
  </w:num>
  <w:num w:numId="22">
    <w:abstractNumId w:val="1"/>
  </w:num>
  <w:num w:numId="23">
    <w:abstractNumId w:val="33"/>
  </w:num>
  <w:num w:numId="24">
    <w:abstractNumId w:val="11"/>
  </w:num>
  <w:num w:numId="25">
    <w:abstractNumId w:val="21"/>
  </w:num>
  <w:num w:numId="26">
    <w:abstractNumId w:val="29"/>
  </w:num>
  <w:num w:numId="27">
    <w:abstractNumId w:val="15"/>
  </w:num>
  <w:num w:numId="28">
    <w:abstractNumId w:val="37"/>
  </w:num>
  <w:num w:numId="29">
    <w:abstractNumId w:val="17"/>
  </w:num>
  <w:num w:numId="30">
    <w:abstractNumId w:val="28"/>
  </w:num>
  <w:num w:numId="31">
    <w:abstractNumId w:val="20"/>
  </w:num>
  <w:num w:numId="32">
    <w:abstractNumId w:val="30"/>
  </w:num>
  <w:num w:numId="33">
    <w:abstractNumId w:val="13"/>
  </w:num>
  <w:num w:numId="34">
    <w:abstractNumId w:val="36"/>
  </w:num>
  <w:num w:numId="35">
    <w:abstractNumId w:val="38"/>
  </w:num>
  <w:num w:numId="36">
    <w:abstractNumId w:val="19"/>
  </w:num>
  <w:num w:numId="37">
    <w:abstractNumId w:val="34"/>
  </w:num>
  <w:num w:numId="38">
    <w:abstractNumId w:val="10"/>
  </w:num>
  <w:num w:numId="39">
    <w:abstractNumId w:val="3"/>
  </w:num>
  <w:num w:numId="40">
    <w:abstractNumId w:val="5"/>
  </w:num>
  <w:num w:numId="41">
    <w:abstractNumId w:val="4"/>
  </w:num>
  <w:num w:numId="42">
    <w:abstractNumId w:val="24"/>
  </w:num>
  <w:num w:numId="4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removeDateAndTime/>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34"/>
    <w:rsid w:val="000001C4"/>
    <w:rsid w:val="000012BB"/>
    <w:rsid w:val="000013AA"/>
    <w:rsid w:val="00001988"/>
    <w:rsid w:val="00002363"/>
    <w:rsid w:val="00002EA8"/>
    <w:rsid w:val="000033FD"/>
    <w:rsid w:val="0000352C"/>
    <w:rsid w:val="00003A50"/>
    <w:rsid w:val="00004485"/>
    <w:rsid w:val="00004C74"/>
    <w:rsid w:val="0000572E"/>
    <w:rsid w:val="000060EB"/>
    <w:rsid w:val="000061F2"/>
    <w:rsid w:val="00006260"/>
    <w:rsid w:val="000066D5"/>
    <w:rsid w:val="00007EE9"/>
    <w:rsid w:val="000107D2"/>
    <w:rsid w:val="00011770"/>
    <w:rsid w:val="00011F3A"/>
    <w:rsid w:val="000126B9"/>
    <w:rsid w:val="00012FFB"/>
    <w:rsid w:val="00013080"/>
    <w:rsid w:val="00013829"/>
    <w:rsid w:val="0001553E"/>
    <w:rsid w:val="000164CF"/>
    <w:rsid w:val="0001685E"/>
    <w:rsid w:val="00017157"/>
    <w:rsid w:val="00017322"/>
    <w:rsid w:val="00020528"/>
    <w:rsid w:val="0002071E"/>
    <w:rsid w:val="00020B06"/>
    <w:rsid w:val="00020FAA"/>
    <w:rsid w:val="00022D2B"/>
    <w:rsid w:val="0002477C"/>
    <w:rsid w:val="0002611A"/>
    <w:rsid w:val="000278F2"/>
    <w:rsid w:val="000279E5"/>
    <w:rsid w:val="00031128"/>
    <w:rsid w:val="0003122E"/>
    <w:rsid w:val="00031BA2"/>
    <w:rsid w:val="00031E02"/>
    <w:rsid w:val="000321E9"/>
    <w:rsid w:val="00032407"/>
    <w:rsid w:val="000326E2"/>
    <w:rsid w:val="00034AC0"/>
    <w:rsid w:val="00034E3A"/>
    <w:rsid w:val="00035472"/>
    <w:rsid w:val="00035650"/>
    <w:rsid w:val="000358E3"/>
    <w:rsid w:val="000373E9"/>
    <w:rsid w:val="00037857"/>
    <w:rsid w:val="000378F1"/>
    <w:rsid w:val="0004063B"/>
    <w:rsid w:val="00040D02"/>
    <w:rsid w:val="00041EFD"/>
    <w:rsid w:val="000425AC"/>
    <w:rsid w:val="0004268F"/>
    <w:rsid w:val="00042D9F"/>
    <w:rsid w:val="00043569"/>
    <w:rsid w:val="000448B6"/>
    <w:rsid w:val="00044A0A"/>
    <w:rsid w:val="00045793"/>
    <w:rsid w:val="00046936"/>
    <w:rsid w:val="00047E5F"/>
    <w:rsid w:val="00050008"/>
    <w:rsid w:val="000509BF"/>
    <w:rsid w:val="00051023"/>
    <w:rsid w:val="00051A7D"/>
    <w:rsid w:val="00051B03"/>
    <w:rsid w:val="000520A7"/>
    <w:rsid w:val="00053D90"/>
    <w:rsid w:val="0005501E"/>
    <w:rsid w:val="000557F2"/>
    <w:rsid w:val="00055C33"/>
    <w:rsid w:val="00056732"/>
    <w:rsid w:val="0005693A"/>
    <w:rsid w:val="0006003D"/>
    <w:rsid w:val="00060617"/>
    <w:rsid w:val="0006124D"/>
    <w:rsid w:val="00061955"/>
    <w:rsid w:val="000628BD"/>
    <w:rsid w:val="0006295A"/>
    <w:rsid w:val="00063C35"/>
    <w:rsid w:val="00064187"/>
    <w:rsid w:val="00064C9F"/>
    <w:rsid w:val="0006522F"/>
    <w:rsid w:val="00066DD5"/>
    <w:rsid w:val="00067CBF"/>
    <w:rsid w:val="00071CFA"/>
    <w:rsid w:val="000728B5"/>
    <w:rsid w:val="0007570A"/>
    <w:rsid w:val="00076815"/>
    <w:rsid w:val="00076A11"/>
    <w:rsid w:val="00076E16"/>
    <w:rsid w:val="00077E32"/>
    <w:rsid w:val="0008001F"/>
    <w:rsid w:val="000802FE"/>
    <w:rsid w:val="00080602"/>
    <w:rsid w:val="00080BDD"/>
    <w:rsid w:val="000815FF"/>
    <w:rsid w:val="000816B2"/>
    <w:rsid w:val="00082592"/>
    <w:rsid w:val="00082A80"/>
    <w:rsid w:val="00083050"/>
    <w:rsid w:val="0008412E"/>
    <w:rsid w:val="000844B2"/>
    <w:rsid w:val="00084CD1"/>
    <w:rsid w:val="000862A6"/>
    <w:rsid w:val="00086983"/>
    <w:rsid w:val="0008705C"/>
    <w:rsid w:val="00087083"/>
    <w:rsid w:val="00087A93"/>
    <w:rsid w:val="000901E0"/>
    <w:rsid w:val="00090E49"/>
    <w:rsid w:val="00090E80"/>
    <w:rsid w:val="00091B2F"/>
    <w:rsid w:val="00092213"/>
    <w:rsid w:val="00092E2B"/>
    <w:rsid w:val="0009310C"/>
    <w:rsid w:val="00094458"/>
    <w:rsid w:val="00096438"/>
    <w:rsid w:val="00096E51"/>
    <w:rsid w:val="00097002"/>
    <w:rsid w:val="0009771F"/>
    <w:rsid w:val="000A20CC"/>
    <w:rsid w:val="000A214F"/>
    <w:rsid w:val="000A2EB0"/>
    <w:rsid w:val="000A4054"/>
    <w:rsid w:val="000A4BD9"/>
    <w:rsid w:val="000A4EFB"/>
    <w:rsid w:val="000A527C"/>
    <w:rsid w:val="000A5583"/>
    <w:rsid w:val="000A5C42"/>
    <w:rsid w:val="000A65D1"/>
    <w:rsid w:val="000A6762"/>
    <w:rsid w:val="000A7025"/>
    <w:rsid w:val="000A7FA4"/>
    <w:rsid w:val="000A7FC6"/>
    <w:rsid w:val="000B0097"/>
    <w:rsid w:val="000B16B5"/>
    <w:rsid w:val="000B1EE6"/>
    <w:rsid w:val="000B3450"/>
    <w:rsid w:val="000B350B"/>
    <w:rsid w:val="000B513B"/>
    <w:rsid w:val="000B5226"/>
    <w:rsid w:val="000B6402"/>
    <w:rsid w:val="000B74F4"/>
    <w:rsid w:val="000B77FB"/>
    <w:rsid w:val="000C12F5"/>
    <w:rsid w:val="000C142B"/>
    <w:rsid w:val="000C2DE2"/>
    <w:rsid w:val="000C3439"/>
    <w:rsid w:val="000C3F98"/>
    <w:rsid w:val="000C4826"/>
    <w:rsid w:val="000C4ABE"/>
    <w:rsid w:val="000C5BF5"/>
    <w:rsid w:val="000C6862"/>
    <w:rsid w:val="000C68A8"/>
    <w:rsid w:val="000C6DD4"/>
    <w:rsid w:val="000C7332"/>
    <w:rsid w:val="000D1331"/>
    <w:rsid w:val="000D134E"/>
    <w:rsid w:val="000D3726"/>
    <w:rsid w:val="000D5041"/>
    <w:rsid w:val="000D57A5"/>
    <w:rsid w:val="000D58A1"/>
    <w:rsid w:val="000D5FA2"/>
    <w:rsid w:val="000D7817"/>
    <w:rsid w:val="000E04FB"/>
    <w:rsid w:val="000E1C4D"/>
    <w:rsid w:val="000E22F0"/>
    <w:rsid w:val="000E3490"/>
    <w:rsid w:val="000E391C"/>
    <w:rsid w:val="000E3B69"/>
    <w:rsid w:val="000E4D7A"/>
    <w:rsid w:val="000E551D"/>
    <w:rsid w:val="000E57BB"/>
    <w:rsid w:val="000E5818"/>
    <w:rsid w:val="000E6EAE"/>
    <w:rsid w:val="000F00A0"/>
    <w:rsid w:val="000F01D8"/>
    <w:rsid w:val="000F096F"/>
    <w:rsid w:val="000F0E76"/>
    <w:rsid w:val="000F2464"/>
    <w:rsid w:val="000F2A65"/>
    <w:rsid w:val="000F36D4"/>
    <w:rsid w:val="000F45C2"/>
    <w:rsid w:val="000F4718"/>
    <w:rsid w:val="000F6008"/>
    <w:rsid w:val="000F7D92"/>
    <w:rsid w:val="0010128A"/>
    <w:rsid w:val="00101499"/>
    <w:rsid w:val="00101E70"/>
    <w:rsid w:val="001037E9"/>
    <w:rsid w:val="00104203"/>
    <w:rsid w:val="0010538E"/>
    <w:rsid w:val="00105B8E"/>
    <w:rsid w:val="00106B61"/>
    <w:rsid w:val="00107180"/>
    <w:rsid w:val="00107740"/>
    <w:rsid w:val="00107D55"/>
    <w:rsid w:val="001105A8"/>
    <w:rsid w:val="00110DB8"/>
    <w:rsid w:val="0011107D"/>
    <w:rsid w:val="0011170E"/>
    <w:rsid w:val="00111D8E"/>
    <w:rsid w:val="0011201A"/>
    <w:rsid w:val="001125A1"/>
    <w:rsid w:val="00112A2A"/>
    <w:rsid w:val="00113070"/>
    <w:rsid w:val="001145B0"/>
    <w:rsid w:val="001172DF"/>
    <w:rsid w:val="00117FDF"/>
    <w:rsid w:val="0012030F"/>
    <w:rsid w:val="0012060D"/>
    <w:rsid w:val="00120E50"/>
    <w:rsid w:val="0012170D"/>
    <w:rsid w:val="001221BA"/>
    <w:rsid w:val="0012222F"/>
    <w:rsid w:val="00122553"/>
    <w:rsid w:val="001230D2"/>
    <w:rsid w:val="00123BE0"/>
    <w:rsid w:val="00123F4D"/>
    <w:rsid w:val="001253FA"/>
    <w:rsid w:val="00126081"/>
    <w:rsid w:val="0012673F"/>
    <w:rsid w:val="00127192"/>
    <w:rsid w:val="001275D6"/>
    <w:rsid w:val="001308CB"/>
    <w:rsid w:val="0013143A"/>
    <w:rsid w:val="00132CFD"/>
    <w:rsid w:val="00133FDE"/>
    <w:rsid w:val="001343DC"/>
    <w:rsid w:val="001346BD"/>
    <w:rsid w:val="00134BBB"/>
    <w:rsid w:val="00135BDD"/>
    <w:rsid w:val="00135DEB"/>
    <w:rsid w:val="00135EBB"/>
    <w:rsid w:val="00136B32"/>
    <w:rsid w:val="00137CFF"/>
    <w:rsid w:val="00140DFB"/>
    <w:rsid w:val="00142076"/>
    <w:rsid w:val="00142617"/>
    <w:rsid w:val="00142CDD"/>
    <w:rsid w:val="00143FB5"/>
    <w:rsid w:val="001445D0"/>
    <w:rsid w:val="001446DD"/>
    <w:rsid w:val="00144A94"/>
    <w:rsid w:val="00145374"/>
    <w:rsid w:val="001456D7"/>
    <w:rsid w:val="00146CBA"/>
    <w:rsid w:val="00146EA2"/>
    <w:rsid w:val="0015075E"/>
    <w:rsid w:val="00150DD1"/>
    <w:rsid w:val="00152A95"/>
    <w:rsid w:val="00152AC5"/>
    <w:rsid w:val="00154868"/>
    <w:rsid w:val="001553A4"/>
    <w:rsid w:val="0015540A"/>
    <w:rsid w:val="001570EB"/>
    <w:rsid w:val="0015715A"/>
    <w:rsid w:val="0016083C"/>
    <w:rsid w:val="001618FF"/>
    <w:rsid w:val="00161D5F"/>
    <w:rsid w:val="001620DA"/>
    <w:rsid w:val="0016224A"/>
    <w:rsid w:val="0016231D"/>
    <w:rsid w:val="00162589"/>
    <w:rsid w:val="00162E01"/>
    <w:rsid w:val="00164551"/>
    <w:rsid w:val="001648C1"/>
    <w:rsid w:val="00164A40"/>
    <w:rsid w:val="00164B9A"/>
    <w:rsid w:val="0016590B"/>
    <w:rsid w:val="00165B2E"/>
    <w:rsid w:val="00165B8D"/>
    <w:rsid w:val="00167723"/>
    <w:rsid w:val="00167CB1"/>
    <w:rsid w:val="00171441"/>
    <w:rsid w:val="00171966"/>
    <w:rsid w:val="001719AE"/>
    <w:rsid w:val="00171F97"/>
    <w:rsid w:val="00174B25"/>
    <w:rsid w:val="00176418"/>
    <w:rsid w:val="001766D3"/>
    <w:rsid w:val="00177112"/>
    <w:rsid w:val="001777AF"/>
    <w:rsid w:val="00177DA4"/>
    <w:rsid w:val="0018038C"/>
    <w:rsid w:val="00180417"/>
    <w:rsid w:val="00181293"/>
    <w:rsid w:val="00182BD8"/>
    <w:rsid w:val="0019048C"/>
    <w:rsid w:val="00191601"/>
    <w:rsid w:val="00191C64"/>
    <w:rsid w:val="001921B8"/>
    <w:rsid w:val="00192F8A"/>
    <w:rsid w:val="001934BC"/>
    <w:rsid w:val="00193D65"/>
    <w:rsid w:val="00194672"/>
    <w:rsid w:val="00194B6E"/>
    <w:rsid w:val="00195D23"/>
    <w:rsid w:val="0019618F"/>
    <w:rsid w:val="001961C8"/>
    <w:rsid w:val="0019643A"/>
    <w:rsid w:val="001969FB"/>
    <w:rsid w:val="00196C29"/>
    <w:rsid w:val="001A003E"/>
    <w:rsid w:val="001A02CF"/>
    <w:rsid w:val="001A0BA8"/>
    <w:rsid w:val="001A18C7"/>
    <w:rsid w:val="001A31BF"/>
    <w:rsid w:val="001A464B"/>
    <w:rsid w:val="001A5663"/>
    <w:rsid w:val="001A66E3"/>
    <w:rsid w:val="001A6D19"/>
    <w:rsid w:val="001A6ED9"/>
    <w:rsid w:val="001A6F53"/>
    <w:rsid w:val="001A740F"/>
    <w:rsid w:val="001B0761"/>
    <w:rsid w:val="001B110D"/>
    <w:rsid w:val="001B197D"/>
    <w:rsid w:val="001B1A15"/>
    <w:rsid w:val="001B1BAB"/>
    <w:rsid w:val="001B3F7E"/>
    <w:rsid w:val="001B4591"/>
    <w:rsid w:val="001B4DAE"/>
    <w:rsid w:val="001B5A3D"/>
    <w:rsid w:val="001B5F7A"/>
    <w:rsid w:val="001B7107"/>
    <w:rsid w:val="001B745C"/>
    <w:rsid w:val="001C0BCB"/>
    <w:rsid w:val="001C2ED3"/>
    <w:rsid w:val="001C4681"/>
    <w:rsid w:val="001C57C2"/>
    <w:rsid w:val="001C5E43"/>
    <w:rsid w:val="001C69B8"/>
    <w:rsid w:val="001C74F4"/>
    <w:rsid w:val="001D02FC"/>
    <w:rsid w:val="001D0474"/>
    <w:rsid w:val="001D097D"/>
    <w:rsid w:val="001D1683"/>
    <w:rsid w:val="001D2CE9"/>
    <w:rsid w:val="001D2ED1"/>
    <w:rsid w:val="001D2F5A"/>
    <w:rsid w:val="001D37B7"/>
    <w:rsid w:val="001D3FE6"/>
    <w:rsid w:val="001D42A9"/>
    <w:rsid w:val="001D457C"/>
    <w:rsid w:val="001D4C9C"/>
    <w:rsid w:val="001D57EA"/>
    <w:rsid w:val="001D58D9"/>
    <w:rsid w:val="001D5CDB"/>
    <w:rsid w:val="001D6627"/>
    <w:rsid w:val="001D67AE"/>
    <w:rsid w:val="001D6AF5"/>
    <w:rsid w:val="001D751E"/>
    <w:rsid w:val="001E08C7"/>
    <w:rsid w:val="001E1780"/>
    <w:rsid w:val="001E27A6"/>
    <w:rsid w:val="001E3E34"/>
    <w:rsid w:val="001E4338"/>
    <w:rsid w:val="001E56DE"/>
    <w:rsid w:val="001E6313"/>
    <w:rsid w:val="001E6520"/>
    <w:rsid w:val="001E6DD5"/>
    <w:rsid w:val="001F3049"/>
    <w:rsid w:val="001F4D73"/>
    <w:rsid w:val="001F4D94"/>
    <w:rsid w:val="001F508B"/>
    <w:rsid w:val="001F6F62"/>
    <w:rsid w:val="001F77EB"/>
    <w:rsid w:val="00201E35"/>
    <w:rsid w:val="0020289E"/>
    <w:rsid w:val="00203E6E"/>
    <w:rsid w:val="00203F35"/>
    <w:rsid w:val="0020407E"/>
    <w:rsid w:val="00204AC6"/>
    <w:rsid w:val="00205029"/>
    <w:rsid w:val="002051DE"/>
    <w:rsid w:val="002052AA"/>
    <w:rsid w:val="00205730"/>
    <w:rsid w:val="0020656D"/>
    <w:rsid w:val="00206CCE"/>
    <w:rsid w:val="00212720"/>
    <w:rsid w:val="00212FB5"/>
    <w:rsid w:val="00214475"/>
    <w:rsid w:val="00217AF4"/>
    <w:rsid w:val="00217B7A"/>
    <w:rsid w:val="002203EE"/>
    <w:rsid w:val="002222B2"/>
    <w:rsid w:val="00222450"/>
    <w:rsid w:val="00223A15"/>
    <w:rsid w:val="00223BAD"/>
    <w:rsid w:val="00224745"/>
    <w:rsid w:val="00224A2E"/>
    <w:rsid w:val="00224B3C"/>
    <w:rsid w:val="00224BD1"/>
    <w:rsid w:val="00226527"/>
    <w:rsid w:val="00227D65"/>
    <w:rsid w:val="00230064"/>
    <w:rsid w:val="002300C1"/>
    <w:rsid w:val="00230578"/>
    <w:rsid w:val="00230AD5"/>
    <w:rsid w:val="00230AE3"/>
    <w:rsid w:val="002323C8"/>
    <w:rsid w:val="00232AE1"/>
    <w:rsid w:val="00232E3D"/>
    <w:rsid w:val="0023327C"/>
    <w:rsid w:val="00233A74"/>
    <w:rsid w:val="0023422E"/>
    <w:rsid w:val="0023442E"/>
    <w:rsid w:val="00235DFE"/>
    <w:rsid w:val="00235F2A"/>
    <w:rsid w:val="00236565"/>
    <w:rsid w:val="00237338"/>
    <w:rsid w:val="002403B7"/>
    <w:rsid w:val="00240FEA"/>
    <w:rsid w:val="00241B44"/>
    <w:rsid w:val="002421D4"/>
    <w:rsid w:val="002438FD"/>
    <w:rsid w:val="002443E5"/>
    <w:rsid w:val="0024468E"/>
    <w:rsid w:val="00244AF1"/>
    <w:rsid w:val="00244DFB"/>
    <w:rsid w:val="00245A3F"/>
    <w:rsid w:val="00246C0D"/>
    <w:rsid w:val="00250052"/>
    <w:rsid w:val="00250A0B"/>
    <w:rsid w:val="002524F1"/>
    <w:rsid w:val="00252865"/>
    <w:rsid w:val="0025333D"/>
    <w:rsid w:val="0025382C"/>
    <w:rsid w:val="002545BC"/>
    <w:rsid w:val="00254FEB"/>
    <w:rsid w:val="00255A28"/>
    <w:rsid w:val="00255A7D"/>
    <w:rsid w:val="00255EBD"/>
    <w:rsid w:val="00256E8C"/>
    <w:rsid w:val="00256F77"/>
    <w:rsid w:val="00256F7B"/>
    <w:rsid w:val="00257035"/>
    <w:rsid w:val="00257827"/>
    <w:rsid w:val="00260325"/>
    <w:rsid w:val="00261D26"/>
    <w:rsid w:val="00262F03"/>
    <w:rsid w:val="00263794"/>
    <w:rsid w:val="00263AFD"/>
    <w:rsid w:val="00264E5E"/>
    <w:rsid w:val="00264F72"/>
    <w:rsid w:val="00266E1C"/>
    <w:rsid w:val="00266E57"/>
    <w:rsid w:val="00267727"/>
    <w:rsid w:val="002677F5"/>
    <w:rsid w:val="00267874"/>
    <w:rsid w:val="00271C56"/>
    <w:rsid w:val="00271E7B"/>
    <w:rsid w:val="002724DB"/>
    <w:rsid w:val="0027397C"/>
    <w:rsid w:val="00273C3E"/>
    <w:rsid w:val="00273F59"/>
    <w:rsid w:val="002746F5"/>
    <w:rsid w:val="0027486B"/>
    <w:rsid w:val="002758F0"/>
    <w:rsid w:val="00275944"/>
    <w:rsid w:val="00275B3D"/>
    <w:rsid w:val="002768A3"/>
    <w:rsid w:val="0027758D"/>
    <w:rsid w:val="00277D0F"/>
    <w:rsid w:val="00280019"/>
    <w:rsid w:val="0028081F"/>
    <w:rsid w:val="00280D2D"/>
    <w:rsid w:val="0028154A"/>
    <w:rsid w:val="00281B40"/>
    <w:rsid w:val="00281BFA"/>
    <w:rsid w:val="0028289A"/>
    <w:rsid w:val="0028450C"/>
    <w:rsid w:val="002850DB"/>
    <w:rsid w:val="00285486"/>
    <w:rsid w:val="00285F10"/>
    <w:rsid w:val="002867FA"/>
    <w:rsid w:val="00286D4B"/>
    <w:rsid w:val="00287324"/>
    <w:rsid w:val="00287FD8"/>
    <w:rsid w:val="00291809"/>
    <w:rsid w:val="00291998"/>
    <w:rsid w:val="002965A0"/>
    <w:rsid w:val="00297377"/>
    <w:rsid w:val="002A038B"/>
    <w:rsid w:val="002A2286"/>
    <w:rsid w:val="002A4B74"/>
    <w:rsid w:val="002A4CD3"/>
    <w:rsid w:val="002A6336"/>
    <w:rsid w:val="002A7018"/>
    <w:rsid w:val="002A7639"/>
    <w:rsid w:val="002A7864"/>
    <w:rsid w:val="002B0899"/>
    <w:rsid w:val="002B50D9"/>
    <w:rsid w:val="002B72C5"/>
    <w:rsid w:val="002C0104"/>
    <w:rsid w:val="002C0432"/>
    <w:rsid w:val="002C1EB4"/>
    <w:rsid w:val="002C1FF7"/>
    <w:rsid w:val="002C22D0"/>
    <w:rsid w:val="002C280B"/>
    <w:rsid w:val="002C3D8A"/>
    <w:rsid w:val="002C434C"/>
    <w:rsid w:val="002C5723"/>
    <w:rsid w:val="002C631C"/>
    <w:rsid w:val="002C64F1"/>
    <w:rsid w:val="002C66D7"/>
    <w:rsid w:val="002C6D08"/>
    <w:rsid w:val="002C7F6D"/>
    <w:rsid w:val="002D02E6"/>
    <w:rsid w:val="002D06E5"/>
    <w:rsid w:val="002D07D9"/>
    <w:rsid w:val="002D103D"/>
    <w:rsid w:val="002D15BF"/>
    <w:rsid w:val="002D34D7"/>
    <w:rsid w:val="002D36B4"/>
    <w:rsid w:val="002D3762"/>
    <w:rsid w:val="002D3C9C"/>
    <w:rsid w:val="002D3FB1"/>
    <w:rsid w:val="002D41D6"/>
    <w:rsid w:val="002D4E94"/>
    <w:rsid w:val="002D6078"/>
    <w:rsid w:val="002D67B0"/>
    <w:rsid w:val="002D68AB"/>
    <w:rsid w:val="002D716D"/>
    <w:rsid w:val="002E04E7"/>
    <w:rsid w:val="002E0855"/>
    <w:rsid w:val="002E0C6D"/>
    <w:rsid w:val="002E0CEB"/>
    <w:rsid w:val="002E1289"/>
    <w:rsid w:val="002E1A9D"/>
    <w:rsid w:val="002E1AF1"/>
    <w:rsid w:val="002E1F5D"/>
    <w:rsid w:val="002E304A"/>
    <w:rsid w:val="002E4059"/>
    <w:rsid w:val="002E48FE"/>
    <w:rsid w:val="002E5778"/>
    <w:rsid w:val="002E6C02"/>
    <w:rsid w:val="002F0F4A"/>
    <w:rsid w:val="002F12EE"/>
    <w:rsid w:val="002F13A0"/>
    <w:rsid w:val="002F1B4C"/>
    <w:rsid w:val="002F1F36"/>
    <w:rsid w:val="002F20D0"/>
    <w:rsid w:val="002F2D7C"/>
    <w:rsid w:val="002F2F18"/>
    <w:rsid w:val="002F339F"/>
    <w:rsid w:val="002F445C"/>
    <w:rsid w:val="002F5FC2"/>
    <w:rsid w:val="002F6BD2"/>
    <w:rsid w:val="002F7892"/>
    <w:rsid w:val="002F7934"/>
    <w:rsid w:val="00301DE7"/>
    <w:rsid w:val="00302E15"/>
    <w:rsid w:val="00302E64"/>
    <w:rsid w:val="00303C95"/>
    <w:rsid w:val="00304947"/>
    <w:rsid w:val="00304F02"/>
    <w:rsid w:val="003057E7"/>
    <w:rsid w:val="00305DED"/>
    <w:rsid w:val="00306703"/>
    <w:rsid w:val="00310E98"/>
    <w:rsid w:val="00311EBE"/>
    <w:rsid w:val="00312080"/>
    <w:rsid w:val="00312F1B"/>
    <w:rsid w:val="00315702"/>
    <w:rsid w:val="00317095"/>
    <w:rsid w:val="003171EE"/>
    <w:rsid w:val="00317BDC"/>
    <w:rsid w:val="00320999"/>
    <w:rsid w:val="00320FF3"/>
    <w:rsid w:val="00321B58"/>
    <w:rsid w:val="00321CB9"/>
    <w:rsid w:val="0032263B"/>
    <w:rsid w:val="00322805"/>
    <w:rsid w:val="0032431E"/>
    <w:rsid w:val="00325579"/>
    <w:rsid w:val="00325E49"/>
    <w:rsid w:val="00326B28"/>
    <w:rsid w:val="00327698"/>
    <w:rsid w:val="00327846"/>
    <w:rsid w:val="003308C0"/>
    <w:rsid w:val="00331C71"/>
    <w:rsid w:val="0033238D"/>
    <w:rsid w:val="00332841"/>
    <w:rsid w:val="00332D43"/>
    <w:rsid w:val="0033305C"/>
    <w:rsid w:val="00333941"/>
    <w:rsid w:val="00334DA6"/>
    <w:rsid w:val="00336DB0"/>
    <w:rsid w:val="00336DEF"/>
    <w:rsid w:val="00337BEA"/>
    <w:rsid w:val="00340439"/>
    <w:rsid w:val="00340B4E"/>
    <w:rsid w:val="003413B3"/>
    <w:rsid w:val="00341A41"/>
    <w:rsid w:val="00342C49"/>
    <w:rsid w:val="003437EB"/>
    <w:rsid w:val="00343D1E"/>
    <w:rsid w:val="0034401B"/>
    <w:rsid w:val="003442DB"/>
    <w:rsid w:val="003446FE"/>
    <w:rsid w:val="003453B4"/>
    <w:rsid w:val="003461DD"/>
    <w:rsid w:val="003468AD"/>
    <w:rsid w:val="00346F26"/>
    <w:rsid w:val="00347ECD"/>
    <w:rsid w:val="00350FF8"/>
    <w:rsid w:val="00351138"/>
    <w:rsid w:val="00351322"/>
    <w:rsid w:val="003521DF"/>
    <w:rsid w:val="003530AB"/>
    <w:rsid w:val="003535AD"/>
    <w:rsid w:val="003535B0"/>
    <w:rsid w:val="0035390C"/>
    <w:rsid w:val="003549D3"/>
    <w:rsid w:val="00355A41"/>
    <w:rsid w:val="00355DFE"/>
    <w:rsid w:val="00356664"/>
    <w:rsid w:val="00356C14"/>
    <w:rsid w:val="00360998"/>
    <w:rsid w:val="00360AC9"/>
    <w:rsid w:val="003638EA"/>
    <w:rsid w:val="00363E23"/>
    <w:rsid w:val="0036473D"/>
    <w:rsid w:val="0036485D"/>
    <w:rsid w:val="00364A41"/>
    <w:rsid w:val="00365512"/>
    <w:rsid w:val="00365DB1"/>
    <w:rsid w:val="00366A8B"/>
    <w:rsid w:val="00366BB0"/>
    <w:rsid w:val="00366DB5"/>
    <w:rsid w:val="00366F90"/>
    <w:rsid w:val="003670B3"/>
    <w:rsid w:val="003674F2"/>
    <w:rsid w:val="00370460"/>
    <w:rsid w:val="00373650"/>
    <w:rsid w:val="003750DA"/>
    <w:rsid w:val="00376614"/>
    <w:rsid w:val="00376ACD"/>
    <w:rsid w:val="00376B1E"/>
    <w:rsid w:val="00377760"/>
    <w:rsid w:val="00377BBE"/>
    <w:rsid w:val="00377FC5"/>
    <w:rsid w:val="00380783"/>
    <w:rsid w:val="003816DE"/>
    <w:rsid w:val="003817CE"/>
    <w:rsid w:val="00381A45"/>
    <w:rsid w:val="00382450"/>
    <w:rsid w:val="00382BA1"/>
    <w:rsid w:val="003832C1"/>
    <w:rsid w:val="00383671"/>
    <w:rsid w:val="003840A5"/>
    <w:rsid w:val="00384D24"/>
    <w:rsid w:val="00385F45"/>
    <w:rsid w:val="00386AC0"/>
    <w:rsid w:val="00386F5B"/>
    <w:rsid w:val="003903BF"/>
    <w:rsid w:val="00390787"/>
    <w:rsid w:val="00390DA9"/>
    <w:rsid w:val="003923D3"/>
    <w:rsid w:val="00392B4E"/>
    <w:rsid w:val="00392DA9"/>
    <w:rsid w:val="00394D0C"/>
    <w:rsid w:val="00395100"/>
    <w:rsid w:val="003955F7"/>
    <w:rsid w:val="0039744D"/>
    <w:rsid w:val="003A0416"/>
    <w:rsid w:val="003A0970"/>
    <w:rsid w:val="003A15AB"/>
    <w:rsid w:val="003A186D"/>
    <w:rsid w:val="003A2424"/>
    <w:rsid w:val="003A2CF2"/>
    <w:rsid w:val="003A2D81"/>
    <w:rsid w:val="003A3FE4"/>
    <w:rsid w:val="003A4114"/>
    <w:rsid w:val="003A572C"/>
    <w:rsid w:val="003A5C85"/>
    <w:rsid w:val="003A638C"/>
    <w:rsid w:val="003A64B1"/>
    <w:rsid w:val="003A6A6B"/>
    <w:rsid w:val="003A7966"/>
    <w:rsid w:val="003B019E"/>
    <w:rsid w:val="003B0D97"/>
    <w:rsid w:val="003B0F85"/>
    <w:rsid w:val="003B223A"/>
    <w:rsid w:val="003B32C5"/>
    <w:rsid w:val="003B51AC"/>
    <w:rsid w:val="003B6007"/>
    <w:rsid w:val="003B64DF"/>
    <w:rsid w:val="003B7430"/>
    <w:rsid w:val="003B7D6C"/>
    <w:rsid w:val="003C118C"/>
    <w:rsid w:val="003C1850"/>
    <w:rsid w:val="003C1C34"/>
    <w:rsid w:val="003C20EE"/>
    <w:rsid w:val="003C4250"/>
    <w:rsid w:val="003C4349"/>
    <w:rsid w:val="003C564F"/>
    <w:rsid w:val="003C6041"/>
    <w:rsid w:val="003C70DE"/>
    <w:rsid w:val="003C73C7"/>
    <w:rsid w:val="003C7741"/>
    <w:rsid w:val="003D0C5B"/>
    <w:rsid w:val="003D20AF"/>
    <w:rsid w:val="003D21FE"/>
    <w:rsid w:val="003D28A5"/>
    <w:rsid w:val="003D30C1"/>
    <w:rsid w:val="003D34BC"/>
    <w:rsid w:val="003D3893"/>
    <w:rsid w:val="003D4690"/>
    <w:rsid w:val="003D4AAC"/>
    <w:rsid w:val="003D5032"/>
    <w:rsid w:val="003D5BC0"/>
    <w:rsid w:val="003D6009"/>
    <w:rsid w:val="003D630E"/>
    <w:rsid w:val="003D67AD"/>
    <w:rsid w:val="003D6DAE"/>
    <w:rsid w:val="003D6E28"/>
    <w:rsid w:val="003D728F"/>
    <w:rsid w:val="003D7609"/>
    <w:rsid w:val="003E0F54"/>
    <w:rsid w:val="003E2FE4"/>
    <w:rsid w:val="003E33FB"/>
    <w:rsid w:val="003E3E56"/>
    <w:rsid w:val="003E5DFC"/>
    <w:rsid w:val="003E6725"/>
    <w:rsid w:val="003E6B60"/>
    <w:rsid w:val="003E6E46"/>
    <w:rsid w:val="003E6E4F"/>
    <w:rsid w:val="003F0112"/>
    <w:rsid w:val="003F0CA1"/>
    <w:rsid w:val="003F22E4"/>
    <w:rsid w:val="003F2648"/>
    <w:rsid w:val="003F2F1A"/>
    <w:rsid w:val="003F3A08"/>
    <w:rsid w:val="003F3A3E"/>
    <w:rsid w:val="003F4EEA"/>
    <w:rsid w:val="003F50FB"/>
    <w:rsid w:val="003F53DE"/>
    <w:rsid w:val="003F6001"/>
    <w:rsid w:val="003F6F9D"/>
    <w:rsid w:val="003F7CB2"/>
    <w:rsid w:val="00400830"/>
    <w:rsid w:val="00400835"/>
    <w:rsid w:val="00402619"/>
    <w:rsid w:val="00402A2A"/>
    <w:rsid w:val="00402CB2"/>
    <w:rsid w:val="00402F09"/>
    <w:rsid w:val="004034E2"/>
    <w:rsid w:val="004035C2"/>
    <w:rsid w:val="00403E8C"/>
    <w:rsid w:val="00403EFF"/>
    <w:rsid w:val="004045EB"/>
    <w:rsid w:val="00405F3D"/>
    <w:rsid w:val="00406216"/>
    <w:rsid w:val="00406650"/>
    <w:rsid w:val="0040710D"/>
    <w:rsid w:val="00407270"/>
    <w:rsid w:val="004107B4"/>
    <w:rsid w:val="00410B42"/>
    <w:rsid w:val="00410EB9"/>
    <w:rsid w:val="00411C16"/>
    <w:rsid w:val="00411CB4"/>
    <w:rsid w:val="004122F4"/>
    <w:rsid w:val="00413104"/>
    <w:rsid w:val="00413738"/>
    <w:rsid w:val="0041634B"/>
    <w:rsid w:val="00417249"/>
    <w:rsid w:val="004176AE"/>
    <w:rsid w:val="0042026E"/>
    <w:rsid w:val="00420366"/>
    <w:rsid w:val="00420DE8"/>
    <w:rsid w:val="00421D08"/>
    <w:rsid w:val="00422F1D"/>
    <w:rsid w:val="00423584"/>
    <w:rsid w:val="004237A1"/>
    <w:rsid w:val="00423905"/>
    <w:rsid w:val="004249EA"/>
    <w:rsid w:val="00424DB9"/>
    <w:rsid w:val="0042603E"/>
    <w:rsid w:val="0042685A"/>
    <w:rsid w:val="00426BA1"/>
    <w:rsid w:val="00427106"/>
    <w:rsid w:val="004305AD"/>
    <w:rsid w:val="00431240"/>
    <w:rsid w:val="00434729"/>
    <w:rsid w:val="00434B2A"/>
    <w:rsid w:val="0043730C"/>
    <w:rsid w:val="00440030"/>
    <w:rsid w:val="004402BE"/>
    <w:rsid w:val="00440313"/>
    <w:rsid w:val="004405D2"/>
    <w:rsid w:val="004405DB"/>
    <w:rsid w:val="00440976"/>
    <w:rsid w:val="00440A10"/>
    <w:rsid w:val="0044149E"/>
    <w:rsid w:val="0044387A"/>
    <w:rsid w:val="00444254"/>
    <w:rsid w:val="00444819"/>
    <w:rsid w:val="00445A67"/>
    <w:rsid w:val="0044761A"/>
    <w:rsid w:val="00447DFE"/>
    <w:rsid w:val="00451CC9"/>
    <w:rsid w:val="00452046"/>
    <w:rsid w:val="00452392"/>
    <w:rsid w:val="00453004"/>
    <w:rsid w:val="00453E0B"/>
    <w:rsid w:val="0045450C"/>
    <w:rsid w:val="00455DC3"/>
    <w:rsid w:val="0045601B"/>
    <w:rsid w:val="00456C14"/>
    <w:rsid w:val="004570DC"/>
    <w:rsid w:val="004574B2"/>
    <w:rsid w:val="00460EBB"/>
    <w:rsid w:val="004614CC"/>
    <w:rsid w:val="00461838"/>
    <w:rsid w:val="004619CE"/>
    <w:rsid w:val="00461A0E"/>
    <w:rsid w:val="00461A40"/>
    <w:rsid w:val="004642D3"/>
    <w:rsid w:val="004646F7"/>
    <w:rsid w:val="00464CB0"/>
    <w:rsid w:val="00465A71"/>
    <w:rsid w:val="00465D81"/>
    <w:rsid w:val="00467473"/>
    <w:rsid w:val="004700CE"/>
    <w:rsid w:val="0047118F"/>
    <w:rsid w:val="004733DF"/>
    <w:rsid w:val="00474390"/>
    <w:rsid w:val="00474742"/>
    <w:rsid w:val="0047495D"/>
    <w:rsid w:val="00475704"/>
    <w:rsid w:val="004758A3"/>
    <w:rsid w:val="00475F06"/>
    <w:rsid w:val="00476AF8"/>
    <w:rsid w:val="00476D8E"/>
    <w:rsid w:val="004812D0"/>
    <w:rsid w:val="00484EE2"/>
    <w:rsid w:val="00485496"/>
    <w:rsid w:val="004855C5"/>
    <w:rsid w:val="004856DE"/>
    <w:rsid w:val="00485B00"/>
    <w:rsid w:val="004870D8"/>
    <w:rsid w:val="00487ABA"/>
    <w:rsid w:val="00487B2B"/>
    <w:rsid w:val="00490945"/>
    <w:rsid w:val="004913CD"/>
    <w:rsid w:val="004913E3"/>
    <w:rsid w:val="00491F7D"/>
    <w:rsid w:val="00492592"/>
    <w:rsid w:val="00492892"/>
    <w:rsid w:val="00493012"/>
    <w:rsid w:val="004934AF"/>
    <w:rsid w:val="0049565E"/>
    <w:rsid w:val="0049699C"/>
    <w:rsid w:val="00496B41"/>
    <w:rsid w:val="00496FD8"/>
    <w:rsid w:val="00497572"/>
    <w:rsid w:val="004A0269"/>
    <w:rsid w:val="004A0D0D"/>
    <w:rsid w:val="004A188F"/>
    <w:rsid w:val="004A22AD"/>
    <w:rsid w:val="004A2612"/>
    <w:rsid w:val="004A2A71"/>
    <w:rsid w:val="004A2A9E"/>
    <w:rsid w:val="004A31C0"/>
    <w:rsid w:val="004A463C"/>
    <w:rsid w:val="004A4D50"/>
    <w:rsid w:val="004A5748"/>
    <w:rsid w:val="004A593B"/>
    <w:rsid w:val="004A5AB6"/>
    <w:rsid w:val="004A5BBF"/>
    <w:rsid w:val="004A5FD2"/>
    <w:rsid w:val="004A61DF"/>
    <w:rsid w:val="004A6CDD"/>
    <w:rsid w:val="004B0B3C"/>
    <w:rsid w:val="004B147A"/>
    <w:rsid w:val="004B1CB1"/>
    <w:rsid w:val="004B42A0"/>
    <w:rsid w:val="004B557F"/>
    <w:rsid w:val="004C0031"/>
    <w:rsid w:val="004C079D"/>
    <w:rsid w:val="004C0AB5"/>
    <w:rsid w:val="004C0D4A"/>
    <w:rsid w:val="004C1002"/>
    <w:rsid w:val="004C151F"/>
    <w:rsid w:val="004C1DB3"/>
    <w:rsid w:val="004C1FDD"/>
    <w:rsid w:val="004C32BF"/>
    <w:rsid w:val="004C4A6F"/>
    <w:rsid w:val="004C5652"/>
    <w:rsid w:val="004C6C49"/>
    <w:rsid w:val="004C7865"/>
    <w:rsid w:val="004C7CD6"/>
    <w:rsid w:val="004D1A1F"/>
    <w:rsid w:val="004D1FA0"/>
    <w:rsid w:val="004D1FD3"/>
    <w:rsid w:val="004D283D"/>
    <w:rsid w:val="004D2A4D"/>
    <w:rsid w:val="004D3942"/>
    <w:rsid w:val="004D3AF6"/>
    <w:rsid w:val="004D3D89"/>
    <w:rsid w:val="004D3F98"/>
    <w:rsid w:val="004D454D"/>
    <w:rsid w:val="004D4944"/>
    <w:rsid w:val="004D5032"/>
    <w:rsid w:val="004D5E43"/>
    <w:rsid w:val="004D6EA9"/>
    <w:rsid w:val="004D77A5"/>
    <w:rsid w:val="004D7A8A"/>
    <w:rsid w:val="004E2E21"/>
    <w:rsid w:val="004E33F6"/>
    <w:rsid w:val="004E400D"/>
    <w:rsid w:val="004E44DD"/>
    <w:rsid w:val="004E4FF7"/>
    <w:rsid w:val="004E50D9"/>
    <w:rsid w:val="004E5784"/>
    <w:rsid w:val="004E6386"/>
    <w:rsid w:val="004E7618"/>
    <w:rsid w:val="004E7CAA"/>
    <w:rsid w:val="004F181F"/>
    <w:rsid w:val="004F19D2"/>
    <w:rsid w:val="004F1BF4"/>
    <w:rsid w:val="004F20D6"/>
    <w:rsid w:val="004F3DB8"/>
    <w:rsid w:val="004F411B"/>
    <w:rsid w:val="004F4582"/>
    <w:rsid w:val="004F4C77"/>
    <w:rsid w:val="004F4EE2"/>
    <w:rsid w:val="004F56E7"/>
    <w:rsid w:val="004F7826"/>
    <w:rsid w:val="005003A0"/>
    <w:rsid w:val="00501C60"/>
    <w:rsid w:val="00501E16"/>
    <w:rsid w:val="00502B9E"/>
    <w:rsid w:val="00502C85"/>
    <w:rsid w:val="00505AF3"/>
    <w:rsid w:val="00505FCC"/>
    <w:rsid w:val="0050601E"/>
    <w:rsid w:val="005060D3"/>
    <w:rsid w:val="0050646D"/>
    <w:rsid w:val="0050672D"/>
    <w:rsid w:val="00506A15"/>
    <w:rsid w:val="00510269"/>
    <w:rsid w:val="005112B7"/>
    <w:rsid w:val="00511C88"/>
    <w:rsid w:val="00511CD4"/>
    <w:rsid w:val="005127D3"/>
    <w:rsid w:val="0051344D"/>
    <w:rsid w:val="00513733"/>
    <w:rsid w:val="00513DA6"/>
    <w:rsid w:val="0051441B"/>
    <w:rsid w:val="00514D31"/>
    <w:rsid w:val="0051597C"/>
    <w:rsid w:val="00515B74"/>
    <w:rsid w:val="00517A27"/>
    <w:rsid w:val="00517B0B"/>
    <w:rsid w:val="00520529"/>
    <w:rsid w:val="00520568"/>
    <w:rsid w:val="00520DFB"/>
    <w:rsid w:val="00521D88"/>
    <w:rsid w:val="0052315B"/>
    <w:rsid w:val="00523BC8"/>
    <w:rsid w:val="00523E48"/>
    <w:rsid w:val="005247DE"/>
    <w:rsid w:val="00524A44"/>
    <w:rsid w:val="00524B2E"/>
    <w:rsid w:val="00525002"/>
    <w:rsid w:val="0052507B"/>
    <w:rsid w:val="005261B7"/>
    <w:rsid w:val="00526731"/>
    <w:rsid w:val="0052689F"/>
    <w:rsid w:val="00526A92"/>
    <w:rsid w:val="005272A8"/>
    <w:rsid w:val="0053127D"/>
    <w:rsid w:val="005322EC"/>
    <w:rsid w:val="0053242A"/>
    <w:rsid w:val="00532D3C"/>
    <w:rsid w:val="00532FF4"/>
    <w:rsid w:val="00534216"/>
    <w:rsid w:val="00534ACC"/>
    <w:rsid w:val="00537285"/>
    <w:rsid w:val="00537584"/>
    <w:rsid w:val="005414A2"/>
    <w:rsid w:val="00541B7A"/>
    <w:rsid w:val="005426A7"/>
    <w:rsid w:val="005429BB"/>
    <w:rsid w:val="00544AFE"/>
    <w:rsid w:val="00544B9F"/>
    <w:rsid w:val="0054597F"/>
    <w:rsid w:val="00545987"/>
    <w:rsid w:val="00545ABA"/>
    <w:rsid w:val="00545B56"/>
    <w:rsid w:val="00545CC7"/>
    <w:rsid w:val="00546562"/>
    <w:rsid w:val="00546D25"/>
    <w:rsid w:val="005473D6"/>
    <w:rsid w:val="005505BF"/>
    <w:rsid w:val="005519CE"/>
    <w:rsid w:val="00551F6B"/>
    <w:rsid w:val="00552174"/>
    <w:rsid w:val="005533E8"/>
    <w:rsid w:val="00553A6A"/>
    <w:rsid w:val="00554857"/>
    <w:rsid w:val="00554D14"/>
    <w:rsid w:val="005557A6"/>
    <w:rsid w:val="00555D35"/>
    <w:rsid w:val="00556AD6"/>
    <w:rsid w:val="00556BAE"/>
    <w:rsid w:val="005602FB"/>
    <w:rsid w:val="00560E31"/>
    <w:rsid w:val="00561591"/>
    <w:rsid w:val="005615EB"/>
    <w:rsid w:val="00562EE9"/>
    <w:rsid w:val="0056326B"/>
    <w:rsid w:val="005643B9"/>
    <w:rsid w:val="00565915"/>
    <w:rsid w:val="0056679F"/>
    <w:rsid w:val="005671A9"/>
    <w:rsid w:val="005713C0"/>
    <w:rsid w:val="0057254E"/>
    <w:rsid w:val="005736F8"/>
    <w:rsid w:val="00573DCF"/>
    <w:rsid w:val="00574073"/>
    <w:rsid w:val="00574338"/>
    <w:rsid w:val="00574DBE"/>
    <w:rsid w:val="005751CB"/>
    <w:rsid w:val="00575A85"/>
    <w:rsid w:val="00576281"/>
    <w:rsid w:val="00576557"/>
    <w:rsid w:val="005765D1"/>
    <w:rsid w:val="00576D40"/>
    <w:rsid w:val="00576E1A"/>
    <w:rsid w:val="005772AE"/>
    <w:rsid w:val="00577667"/>
    <w:rsid w:val="00577971"/>
    <w:rsid w:val="00577E09"/>
    <w:rsid w:val="005810CD"/>
    <w:rsid w:val="00581230"/>
    <w:rsid w:val="00581985"/>
    <w:rsid w:val="00583412"/>
    <w:rsid w:val="005839E3"/>
    <w:rsid w:val="005857E6"/>
    <w:rsid w:val="0058598B"/>
    <w:rsid w:val="0058638F"/>
    <w:rsid w:val="00586E7E"/>
    <w:rsid w:val="0058752F"/>
    <w:rsid w:val="0059104E"/>
    <w:rsid w:val="005911D6"/>
    <w:rsid w:val="005915AD"/>
    <w:rsid w:val="00592CF0"/>
    <w:rsid w:val="0059342B"/>
    <w:rsid w:val="00593491"/>
    <w:rsid w:val="005939C9"/>
    <w:rsid w:val="00595A4B"/>
    <w:rsid w:val="005965D2"/>
    <w:rsid w:val="0059691B"/>
    <w:rsid w:val="00596A41"/>
    <w:rsid w:val="005A0223"/>
    <w:rsid w:val="005A0327"/>
    <w:rsid w:val="005A0DFC"/>
    <w:rsid w:val="005A1F81"/>
    <w:rsid w:val="005A2F9D"/>
    <w:rsid w:val="005A3DDF"/>
    <w:rsid w:val="005A4976"/>
    <w:rsid w:val="005A5346"/>
    <w:rsid w:val="005A5FAB"/>
    <w:rsid w:val="005A61EB"/>
    <w:rsid w:val="005A62E8"/>
    <w:rsid w:val="005A6E38"/>
    <w:rsid w:val="005A6FC8"/>
    <w:rsid w:val="005B0B62"/>
    <w:rsid w:val="005B11B0"/>
    <w:rsid w:val="005B13A0"/>
    <w:rsid w:val="005B13F6"/>
    <w:rsid w:val="005B6D8F"/>
    <w:rsid w:val="005B74A7"/>
    <w:rsid w:val="005B7A49"/>
    <w:rsid w:val="005C02F6"/>
    <w:rsid w:val="005C04C0"/>
    <w:rsid w:val="005C0B4A"/>
    <w:rsid w:val="005C165C"/>
    <w:rsid w:val="005C1D50"/>
    <w:rsid w:val="005C210D"/>
    <w:rsid w:val="005C22C3"/>
    <w:rsid w:val="005C274B"/>
    <w:rsid w:val="005C2E05"/>
    <w:rsid w:val="005C3FD5"/>
    <w:rsid w:val="005C4A89"/>
    <w:rsid w:val="005C647F"/>
    <w:rsid w:val="005C6586"/>
    <w:rsid w:val="005C762E"/>
    <w:rsid w:val="005D1283"/>
    <w:rsid w:val="005D179C"/>
    <w:rsid w:val="005D237F"/>
    <w:rsid w:val="005D2468"/>
    <w:rsid w:val="005D28E2"/>
    <w:rsid w:val="005D2E88"/>
    <w:rsid w:val="005D3861"/>
    <w:rsid w:val="005D38CC"/>
    <w:rsid w:val="005D4855"/>
    <w:rsid w:val="005D4ED7"/>
    <w:rsid w:val="005D50DF"/>
    <w:rsid w:val="005D5831"/>
    <w:rsid w:val="005D5977"/>
    <w:rsid w:val="005D6A2C"/>
    <w:rsid w:val="005D7A33"/>
    <w:rsid w:val="005E03A2"/>
    <w:rsid w:val="005E04DB"/>
    <w:rsid w:val="005E1E6D"/>
    <w:rsid w:val="005E290D"/>
    <w:rsid w:val="005E2F94"/>
    <w:rsid w:val="005E5921"/>
    <w:rsid w:val="005E60FD"/>
    <w:rsid w:val="005E6771"/>
    <w:rsid w:val="005E6D93"/>
    <w:rsid w:val="005E7C24"/>
    <w:rsid w:val="005F03B8"/>
    <w:rsid w:val="005F10F8"/>
    <w:rsid w:val="005F127D"/>
    <w:rsid w:val="005F204E"/>
    <w:rsid w:val="005F20C8"/>
    <w:rsid w:val="005F3204"/>
    <w:rsid w:val="005F3F4B"/>
    <w:rsid w:val="005F4169"/>
    <w:rsid w:val="005F41E7"/>
    <w:rsid w:val="005F4276"/>
    <w:rsid w:val="005F5078"/>
    <w:rsid w:val="005F5FF3"/>
    <w:rsid w:val="005F6108"/>
    <w:rsid w:val="005F7D63"/>
    <w:rsid w:val="005F7FDE"/>
    <w:rsid w:val="00600208"/>
    <w:rsid w:val="006006BE"/>
    <w:rsid w:val="006012BF"/>
    <w:rsid w:val="00601D7C"/>
    <w:rsid w:val="00602713"/>
    <w:rsid w:val="00603EA4"/>
    <w:rsid w:val="00604E81"/>
    <w:rsid w:val="006057F5"/>
    <w:rsid w:val="006063EF"/>
    <w:rsid w:val="00606B9D"/>
    <w:rsid w:val="00607D74"/>
    <w:rsid w:val="0061195D"/>
    <w:rsid w:val="00612382"/>
    <w:rsid w:val="0061359C"/>
    <w:rsid w:val="00613CE9"/>
    <w:rsid w:val="00613D99"/>
    <w:rsid w:val="00613F90"/>
    <w:rsid w:val="006140B4"/>
    <w:rsid w:val="00614585"/>
    <w:rsid w:val="006150E7"/>
    <w:rsid w:val="0061523D"/>
    <w:rsid w:val="006153CB"/>
    <w:rsid w:val="006165AC"/>
    <w:rsid w:val="00616CD5"/>
    <w:rsid w:val="00617DB2"/>
    <w:rsid w:val="00617EF0"/>
    <w:rsid w:val="006202BB"/>
    <w:rsid w:val="00620779"/>
    <w:rsid w:val="00621588"/>
    <w:rsid w:val="0062182E"/>
    <w:rsid w:val="006219F0"/>
    <w:rsid w:val="00622BD8"/>
    <w:rsid w:val="00623804"/>
    <w:rsid w:val="00623820"/>
    <w:rsid w:val="00623D60"/>
    <w:rsid w:val="00624F84"/>
    <w:rsid w:val="00625123"/>
    <w:rsid w:val="00625D9F"/>
    <w:rsid w:val="00626790"/>
    <w:rsid w:val="00626847"/>
    <w:rsid w:val="00626BA2"/>
    <w:rsid w:val="006309C6"/>
    <w:rsid w:val="00631988"/>
    <w:rsid w:val="00631E7E"/>
    <w:rsid w:val="00632973"/>
    <w:rsid w:val="00632FA2"/>
    <w:rsid w:val="006333B0"/>
    <w:rsid w:val="006362F6"/>
    <w:rsid w:val="00636839"/>
    <w:rsid w:val="006374F9"/>
    <w:rsid w:val="006401E6"/>
    <w:rsid w:val="00641036"/>
    <w:rsid w:val="00641F44"/>
    <w:rsid w:val="00642642"/>
    <w:rsid w:val="0064414A"/>
    <w:rsid w:val="00644525"/>
    <w:rsid w:val="006457E8"/>
    <w:rsid w:val="006458F2"/>
    <w:rsid w:val="00646CE5"/>
    <w:rsid w:val="0064791E"/>
    <w:rsid w:val="006503F1"/>
    <w:rsid w:val="00650A7D"/>
    <w:rsid w:val="00651906"/>
    <w:rsid w:val="00651D1D"/>
    <w:rsid w:val="00652AFF"/>
    <w:rsid w:val="00652C89"/>
    <w:rsid w:val="00653472"/>
    <w:rsid w:val="006547BE"/>
    <w:rsid w:val="006548A3"/>
    <w:rsid w:val="006557F4"/>
    <w:rsid w:val="00657357"/>
    <w:rsid w:val="00657EFE"/>
    <w:rsid w:val="006604CC"/>
    <w:rsid w:val="00660826"/>
    <w:rsid w:val="00661A8E"/>
    <w:rsid w:val="00661B84"/>
    <w:rsid w:val="0066318C"/>
    <w:rsid w:val="006631B0"/>
    <w:rsid w:val="0066370A"/>
    <w:rsid w:val="00663CE2"/>
    <w:rsid w:val="006644FF"/>
    <w:rsid w:val="00664B88"/>
    <w:rsid w:val="006659FB"/>
    <w:rsid w:val="00666D8B"/>
    <w:rsid w:val="00666D9C"/>
    <w:rsid w:val="006700F3"/>
    <w:rsid w:val="00670833"/>
    <w:rsid w:val="0067098C"/>
    <w:rsid w:val="00670CB9"/>
    <w:rsid w:val="006719DD"/>
    <w:rsid w:val="006726E1"/>
    <w:rsid w:val="00672850"/>
    <w:rsid w:val="006729AD"/>
    <w:rsid w:val="006732D9"/>
    <w:rsid w:val="00675D33"/>
    <w:rsid w:val="006761AE"/>
    <w:rsid w:val="0067665C"/>
    <w:rsid w:val="00676A8A"/>
    <w:rsid w:val="00677C9D"/>
    <w:rsid w:val="006819E8"/>
    <w:rsid w:val="006836CE"/>
    <w:rsid w:val="00683C1B"/>
    <w:rsid w:val="00684387"/>
    <w:rsid w:val="006849A1"/>
    <w:rsid w:val="0068572C"/>
    <w:rsid w:val="0068624C"/>
    <w:rsid w:val="00686BA4"/>
    <w:rsid w:val="00690C38"/>
    <w:rsid w:val="00690F12"/>
    <w:rsid w:val="00690F31"/>
    <w:rsid w:val="006911B4"/>
    <w:rsid w:val="0069290D"/>
    <w:rsid w:val="00692A45"/>
    <w:rsid w:val="00694FAD"/>
    <w:rsid w:val="00696E56"/>
    <w:rsid w:val="00697755"/>
    <w:rsid w:val="006978EF"/>
    <w:rsid w:val="00697C66"/>
    <w:rsid w:val="00697D24"/>
    <w:rsid w:val="006A0DD7"/>
    <w:rsid w:val="006A1534"/>
    <w:rsid w:val="006A1E05"/>
    <w:rsid w:val="006A22C5"/>
    <w:rsid w:val="006A27AF"/>
    <w:rsid w:val="006A2B58"/>
    <w:rsid w:val="006A2CC0"/>
    <w:rsid w:val="006A2FA9"/>
    <w:rsid w:val="006A39F2"/>
    <w:rsid w:val="006A3C01"/>
    <w:rsid w:val="006A66BD"/>
    <w:rsid w:val="006A6882"/>
    <w:rsid w:val="006A7819"/>
    <w:rsid w:val="006A7EFB"/>
    <w:rsid w:val="006B0775"/>
    <w:rsid w:val="006B1B6B"/>
    <w:rsid w:val="006B1ECB"/>
    <w:rsid w:val="006B2BA0"/>
    <w:rsid w:val="006B3AF3"/>
    <w:rsid w:val="006B40E0"/>
    <w:rsid w:val="006B4422"/>
    <w:rsid w:val="006B4DCB"/>
    <w:rsid w:val="006B7099"/>
    <w:rsid w:val="006C0553"/>
    <w:rsid w:val="006C1149"/>
    <w:rsid w:val="006C1A3D"/>
    <w:rsid w:val="006C2547"/>
    <w:rsid w:val="006C25B5"/>
    <w:rsid w:val="006C3A64"/>
    <w:rsid w:val="006C3ADD"/>
    <w:rsid w:val="006C4288"/>
    <w:rsid w:val="006C4D8B"/>
    <w:rsid w:val="006C59DE"/>
    <w:rsid w:val="006C619E"/>
    <w:rsid w:val="006C644C"/>
    <w:rsid w:val="006C671C"/>
    <w:rsid w:val="006D0A25"/>
    <w:rsid w:val="006D0CB1"/>
    <w:rsid w:val="006D12E6"/>
    <w:rsid w:val="006D18B2"/>
    <w:rsid w:val="006D1E5D"/>
    <w:rsid w:val="006D27D7"/>
    <w:rsid w:val="006D29F7"/>
    <w:rsid w:val="006D4DEA"/>
    <w:rsid w:val="006D584E"/>
    <w:rsid w:val="006D5877"/>
    <w:rsid w:val="006D5C91"/>
    <w:rsid w:val="006D5EB6"/>
    <w:rsid w:val="006D5F63"/>
    <w:rsid w:val="006D635D"/>
    <w:rsid w:val="006D685F"/>
    <w:rsid w:val="006E0722"/>
    <w:rsid w:val="006E1197"/>
    <w:rsid w:val="006E1BFB"/>
    <w:rsid w:val="006E1C87"/>
    <w:rsid w:val="006E2106"/>
    <w:rsid w:val="006E2A6F"/>
    <w:rsid w:val="006E3E91"/>
    <w:rsid w:val="006E457F"/>
    <w:rsid w:val="006E469D"/>
    <w:rsid w:val="006E4832"/>
    <w:rsid w:val="006E4CCA"/>
    <w:rsid w:val="006E6207"/>
    <w:rsid w:val="006E71A6"/>
    <w:rsid w:val="006E7DDA"/>
    <w:rsid w:val="006F0476"/>
    <w:rsid w:val="006F16E1"/>
    <w:rsid w:val="006F18CF"/>
    <w:rsid w:val="006F1983"/>
    <w:rsid w:val="006F1C17"/>
    <w:rsid w:val="006F2920"/>
    <w:rsid w:val="006F2D20"/>
    <w:rsid w:val="006F386F"/>
    <w:rsid w:val="006F3FA2"/>
    <w:rsid w:val="006F4A98"/>
    <w:rsid w:val="006F511F"/>
    <w:rsid w:val="006F54CF"/>
    <w:rsid w:val="006F58BA"/>
    <w:rsid w:val="006F5CC4"/>
    <w:rsid w:val="006F6289"/>
    <w:rsid w:val="007004B2"/>
    <w:rsid w:val="0070117D"/>
    <w:rsid w:val="00701BC8"/>
    <w:rsid w:val="0070238D"/>
    <w:rsid w:val="0070315F"/>
    <w:rsid w:val="00710250"/>
    <w:rsid w:val="0071176E"/>
    <w:rsid w:val="00712FE1"/>
    <w:rsid w:val="007138B9"/>
    <w:rsid w:val="00713C76"/>
    <w:rsid w:val="0071483C"/>
    <w:rsid w:val="0071496F"/>
    <w:rsid w:val="00715A97"/>
    <w:rsid w:val="007164CC"/>
    <w:rsid w:val="00717E20"/>
    <w:rsid w:val="00717F50"/>
    <w:rsid w:val="0072051D"/>
    <w:rsid w:val="00721A8D"/>
    <w:rsid w:val="0072247D"/>
    <w:rsid w:val="00723602"/>
    <w:rsid w:val="00723854"/>
    <w:rsid w:val="007238FF"/>
    <w:rsid w:val="00724284"/>
    <w:rsid w:val="0072432D"/>
    <w:rsid w:val="007243F3"/>
    <w:rsid w:val="0072571A"/>
    <w:rsid w:val="00726CFF"/>
    <w:rsid w:val="00726D67"/>
    <w:rsid w:val="0072757A"/>
    <w:rsid w:val="007303C1"/>
    <w:rsid w:val="007309B9"/>
    <w:rsid w:val="00731798"/>
    <w:rsid w:val="007327E3"/>
    <w:rsid w:val="00732C0A"/>
    <w:rsid w:val="007341BE"/>
    <w:rsid w:val="00735B05"/>
    <w:rsid w:val="00735CB4"/>
    <w:rsid w:val="007371FC"/>
    <w:rsid w:val="0073789E"/>
    <w:rsid w:val="00737E0E"/>
    <w:rsid w:val="00737F25"/>
    <w:rsid w:val="0074168D"/>
    <w:rsid w:val="00741BE9"/>
    <w:rsid w:val="00741CC9"/>
    <w:rsid w:val="00742795"/>
    <w:rsid w:val="0074289C"/>
    <w:rsid w:val="007429FF"/>
    <w:rsid w:val="00742F2D"/>
    <w:rsid w:val="00743CA9"/>
    <w:rsid w:val="00744051"/>
    <w:rsid w:val="0074465C"/>
    <w:rsid w:val="00744DBC"/>
    <w:rsid w:val="00746FC4"/>
    <w:rsid w:val="00747260"/>
    <w:rsid w:val="007479E3"/>
    <w:rsid w:val="00750C56"/>
    <w:rsid w:val="00752748"/>
    <w:rsid w:val="00753588"/>
    <w:rsid w:val="007536EF"/>
    <w:rsid w:val="0075374E"/>
    <w:rsid w:val="00754642"/>
    <w:rsid w:val="00754F4A"/>
    <w:rsid w:val="00755864"/>
    <w:rsid w:val="00755A08"/>
    <w:rsid w:val="00755C41"/>
    <w:rsid w:val="007560C8"/>
    <w:rsid w:val="007568BA"/>
    <w:rsid w:val="00756E08"/>
    <w:rsid w:val="00760365"/>
    <w:rsid w:val="007605AA"/>
    <w:rsid w:val="00760988"/>
    <w:rsid w:val="0076109D"/>
    <w:rsid w:val="0076123D"/>
    <w:rsid w:val="00761A39"/>
    <w:rsid w:val="007634B8"/>
    <w:rsid w:val="00763C24"/>
    <w:rsid w:val="00764AE7"/>
    <w:rsid w:val="00765403"/>
    <w:rsid w:val="00765FAB"/>
    <w:rsid w:val="00766000"/>
    <w:rsid w:val="007662B2"/>
    <w:rsid w:val="00766BC1"/>
    <w:rsid w:val="00767B83"/>
    <w:rsid w:val="0077089C"/>
    <w:rsid w:val="00770902"/>
    <w:rsid w:val="00770E65"/>
    <w:rsid w:val="0077144E"/>
    <w:rsid w:val="0077163E"/>
    <w:rsid w:val="00771822"/>
    <w:rsid w:val="007722D4"/>
    <w:rsid w:val="00772521"/>
    <w:rsid w:val="00772607"/>
    <w:rsid w:val="007733A1"/>
    <w:rsid w:val="00773630"/>
    <w:rsid w:val="00773936"/>
    <w:rsid w:val="007760F5"/>
    <w:rsid w:val="007769B1"/>
    <w:rsid w:val="00777955"/>
    <w:rsid w:val="00780038"/>
    <w:rsid w:val="007822B3"/>
    <w:rsid w:val="00783424"/>
    <w:rsid w:val="00783CCA"/>
    <w:rsid w:val="007845A1"/>
    <w:rsid w:val="0078483F"/>
    <w:rsid w:val="00785837"/>
    <w:rsid w:val="00785C8B"/>
    <w:rsid w:val="00786DA3"/>
    <w:rsid w:val="00790B75"/>
    <w:rsid w:val="00790C6D"/>
    <w:rsid w:val="00792208"/>
    <w:rsid w:val="007923F8"/>
    <w:rsid w:val="00792EF1"/>
    <w:rsid w:val="00793EB6"/>
    <w:rsid w:val="00793F3B"/>
    <w:rsid w:val="007950F9"/>
    <w:rsid w:val="00797361"/>
    <w:rsid w:val="00797DBE"/>
    <w:rsid w:val="007A0331"/>
    <w:rsid w:val="007A2749"/>
    <w:rsid w:val="007A2DBA"/>
    <w:rsid w:val="007A391C"/>
    <w:rsid w:val="007A39EA"/>
    <w:rsid w:val="007A4330"/>
    <w:rsid w:val="007A4D74"/>
    <w:rsid w:val="007A6856"/>
    <w:rsid w:val="007A71CA"/>
    <w:rsid w:val="007A71E3"/>
    <w:rsid w:val="007A74E4"/>
    <w:rsid w:val="007A79FC"/>
    <w:rsid w:val="007A7C3F"/>
    <w:rsid w:val="007B02ED"/>
    <w:rsid w:val="007B079E"/>
    <w:rsid w:val="007B082E"/>
    <w:rsid w:val="007B128A"/>
    <w:rsid w:val="007B2691"/>
    <w:rsid w:val="007B2AB4"/>
    <w:rsid w:val="007B2C3F"/>
    <w:rsid w:val="007B3207"/>
    <w:rsid w:val="007B3432"/>
    <w:rsid w:val="007B3645"/>
    <w:rsid w:val="007B4302"/>
    <w:rsid w:val="007B4491"/>
    <w:rsid w:val="007B50B9"/>
    <w:rsid w:val="007B67AA"/>
    <w:rsid w:val="007B7551"/>
    <w:rsid w:val="007C0E95"/>
    <w:rsid w:val="007C1389"/>
    <w:rsid w:val="007C160C"/>
    <w:rsid w:val="007C1A38"/>
    <w:rsid w:val="007C2EA6"/>
    <w:rsid w:val="007C397A"/>
    <w:rsid w:val="007C5D0A"/>
    <w:rsid w:val="007C63DB"/>
    <w:rsid w:val="007C7A6F"/>
    <w:rsid w:val="007D2768"/>
    <w:rsid w:val="007D48C7"/>
    <w:rsid w:val="007D5515"/>
    <w:rsid w:val="007D70A7"/>
    <w:rsid w:val="007D7ACA"/>
    <w:rsid w:val="007E02B1"/>
    <w:rsid w:val="007E0879"/>
    <w:rsid w:val="007E0C78"/>
    <w:rsid w:val="007E0D7C"/>
    <w:rsid w:val="007E120D"/>
    <w:rsid w:val="007E18ED"/>
    <w:rsid w:val="007E1CB6"/>
    <w:rsid w:val="007E1F67"/>
    <w:rsid w:val="007E214E"/>
    <w:rsid w:val="007E2485"/>
    <w:rsid w:val="007E2B1E"/>
    <w:rsid w:val="007E362F"/>
    <w:rsid w:val="007E368F"/>
    <w:rsid w:val="007E4004"/>
    <w:rsid w:val="007E4070"/>
    <w:rsid w:val="007E44F2"/>
    <w:rsid w:val="007E4D21"/>
    <w:rsid w:val="007E5095"/>
    <w:rsid w:val="007E5198"/>
    <w:rsid w:val="007E6668"/>
    <w:rsid w:val="007E66B5"/>
    <w:rsid w:val="007E7ABB"/>
    <w:rsid w:val="007F09EB"/>
    <w:rsid w:val="007F0C0B"/>
    <w:rsid w:val="007F1CA0"/>
    <w:rsid w:val="007F294B"/>
    <w:rsid w:val="007F2B15"/>
    <w:rsid w:val="007F4A1D"/>
    <w:rsid w:val="007F4DBA"/>
    <w:rsid w:val="007F4F0F"/>
    <w:rsid w:val="007F5DB3"/>
    <w:rsid w:val="007F5F7E"/>
    <w:rsid w:val="007F680C"/>
    <w:rsid w:val="007F7E89"/>
    <w:rsid w:val="00800559"/>
    <w:rsid w:val="008013E9"/>
    <w:rsid w:val="00801ADE"/>
    <w:rsid w:val="00801FD8"/>
    <w:rsid w:val="0080348C"/>
    <w:rsid w:val="0080391B"/>
    <w:rsid w:val="00804D2C"/>
    <w:rsid w:val="00805739"/>
    <w:rsid w:val="00806672"/>
    <w:rsid w:val="00807999"/>
    <w:rsid w:val="00810E81"/>
    <w:rsid w:val="008113FA"/>
    <w:rsid w:val="00813A7A"/>
    <w:rsid w:val="00814AD3"/>
    <w:rsid w:val="00814DD8"/>
    <w:rsid w:val="00816511"/>
    <w:rsid w:val="00817108"/>
    <w:rsid w:val="00817288"/>
    <w:rsid w:val="008176C7"/>
    <w:rsid w:val="00820663"/>
    <w:rsid w:val="00820A7D"/>
    <w:rsid w:val="008221F5"/>
    <w:rsid w:val="00824419"/>
    <w:rsid w:val="008262D7"/>
    <w:rsid w:val="00827CCD"/>
    <w:rsid w:val="00827D45"/>
    <w:rsid w:val="00827FCD"/>
    <w:rsid w:val="00830529"/>
    <w:rsid w:val="00831B36"/>
    <w:rsid w:val="00831BC1"/>
    <w:rsid w:val="00832479"/>
    <w:rsid w:val="00832B74"/>
    <w:rsid w:val="00832C78"/>
    <w:rsid w:val="0083408D"/>
    <w:rsid w:val="008344FF"/>
    <w:rsid w:val="00834962"/>
    <w:rsid w:val="008364B8"/>
    <w:rsid w:val="00836A42"/>
    <w:rsid w:val="00836E22"/>
    <w:rsid w:val="00837491"/>
    <w:rsid w:val="0084044A"/>
    <w:rsid w:val="00840502"/>
    <w:rsid w:val="008413CE"/>
    <w:rsid w:val="0084389F"/>
    <w:rsid w:val="00844D75"/>
    <w:rsid w:val="00846D69"/>
    <w:rsid w:val="00850ECA"/>
    <w:rsid w:val="00851289"/>
    <w:rsid w:val="00851A69"/>
    <w:rsid w:val="008522D3"/>
    <w:rsid w:val="0085261C"/>
    <w:rsid w:val="0085290C"/>
    <w:rsid w:val="008533C2"/>
    <w:rsid w:val="00853941"/>
    <w:rsid w:val="00853CEC"/>
    <w:rsid w:val="00854026"/>
    <w:rsid w:val="0085423C"/>
    <w:rsid w:val="00854718"/>
    <w:rsid w:val="00855BF9"/>
    <w:rsid w:val="00855D7D"/>
    <w:rsid w:val="0086007A"/>
    <w:rsid w:val="00860B06"/>
    <w:rsid w:val="00860B43"/>
    <w:rsid w:val="00860F22"/>
    <w:rsid w:val="0086100B"/>
    <w:rsid w:val="008612FE"/>
    <w:rsid w:val="008625A0"/>
    <w:rsid w:val="00863544"/>
    <w:rsid w:val="0086466B"/>
    <w:rsid w:val="00865DE0"/>
    <w:rsid w:val="008660E5"/>
    <w:rsid w:val="00866B48"/>
    <w:rsid w:val="008671E8"/>
    <w:rsid w:val="00867C3C"/>
    <w:rsid w:val="008700CC"/>
    <w:rsid w:val="00870317"/>
    <w:rsid w:val="008711BB"/>
    <w:rsid w:val="00871F62"/>
    <w:rsid w:val="0087250F"/>
    <w:rsid w:val="00872B60"/>
    <w:rsid w:val="0087368A"/>
    <w:rsid w:val="008738D9"/>
    <w:rsid w:val="00875C9C"/>
    <w:rsid w:val="00876578"/>
    <w:rsid w:val="0087683E"/>
    <w:rsid w:val="00876BBE"/>
    <w:rsid w:val="00876E9B"/>
    <w:rsid w:val="008771A4"/>
    <w:rsid w:val="00877B2C"/>
    <w:rsid w:val="008818F2"/>
    <w:rsid w:val="00881B4A"/>
    <w:rsid w:val="00882309"/>
    <w:rsid w:val="008825DC"/>
    <w:rsid w:val="00883212"/>
    <w:rsid w:val="00883515"/>
    <w:rsid w:val="0088417D"/>
    <w:rsid w:val="00884480"/>
    <w:rsid w:val="00884D3B"/>
    <w:rsid w:val="008869BA"/>
    <w:rsid w:val="00886EA3"/>
    <w:rsid w:val="008901AE"/>
    <w:rsid w:val="00890586"/>
    <w:rsid w:val="00890734"/>
    <w:rsid w:val="00890EB0"/>
    <w:rsid w:val="008913EF"/>
    <w:rsid w:val="00893175"/>
    <w:rsid w:val="00893C31"/>
    <w:rsid w:val="008940FD"/>
    <w:rsid w:val="00894518"/>
    <w:rsid w:val="00895186"/>
    <w:rsid w:val="0089654E"/>
    <w:rsid w:val="008965A2"/>
    <w:rsid w:val="0089690D"/>
    <w:rsid w:val="00897694"/>
    <w:rsid w:val="008A0670"/>
    <w:rsid w:val="008A0B90"/>
    <w:rsid w:val="008A182C"/>
    <w:rsid w:val="008A2CD7"/>
    <w:rsid w:val="008A32B7"/>
    <w:rsid w:val="008A4BAB"/>
    <w:rsid w:val="008A50FC"/>
    <w:rsid w:val="008A5754"/>
    <w:rsid w:val="008A6326"/>
    <w:rsid w:val="008A73D5"/>
    <w:rsid w:val="008A7D37"/>
    <w:rsid w:val="008B0782"/>
    <w:rsid w:val="008B3F68"/>
    <w:rsid w:val="008B46D3"/>
    <w:rsid w:val="008B5ADA"/>
    <w:rsid w:val="008B5D1F"/>
    <w:rsid w:val="008B63F6"/>
    <w:rsid w:val="008B65D1"/>
    <w:rsid w:val="008B7156"/>
    <w:rsid w:val="008C051B"/>
    <w:rsid w:val="008C1318"/>
    <w:rsid w:val="008C30D7"/>
    <w:rsid w:val="008C39C8"/>
    <w:rsid w:val="008C58FA"/>
    <w:rsid w:val="008C65C8"/>
    <w:rsid w:val="008C6638"/>
    <w:rsid w:val="008C7B50"/>
    <w:rsid w:val="008C7C03"/>
    <w:rsid w:val="008D0CF0"/>
    <w:rsid w:val="008D122C"/>
    <w:rsid w:val="008D4CC2"/>
    <w:rsid w:val="008D4CCF"/>
    <w:rsid w:val="008D6071"/>
    <w:rsid w:val="008D6373"/>
    <w:rsid w:val="008D652D"/>
    <w:rsid w:val="008D6E44"/>
    <w:rsid w:val="008D734C"/>
    <w:rsid w:val="008D7373"/>
    <w:rsid w:val="008D7895"/>
    <w:rsid w:val="008E06C1"/>
    <w:rsid w:val="008E0FAF"/>
    <w:rsid w:val="008E2E06"/>
    <w:rsid w:val="008E331C"/>
    <w:rsid w:val="008E4962"/>
    <w:rsid w:val="008E7636"/>
    <w:rsid w:val="008E7C98"/>
    <w:rsid w:val="008F044A"/>
    <w:rsid w:val="008F0DD2"/>
    <w:rsid w:val="008F2772"/>
    <w:rsid w:val="008F2E31"/>
    <w:rsid w:val="008F3A47"/>
    <w:rsid w:val="008F5AEE"/>
    <w:rsid w:val="008F7138"/>
    <w:rsid w:val="008F7164"/>
    <w:rsid w:val="008F71FD"/>
    <w:rsid w:val="00901CDC"/>
    <w:rsid w:val="00902265"/>
    <w:rsid w:val="009032D7"/>
    <w:rsid w:val="00903FE5"/>
    <w:rsid w:val="00904041"/>
    <w:rsid w:val="00904707"/>
    <w:rsid w:val="00904D4B"/>
    <w:rsid w:val="0090510A"/>
    <w:rsid w:val="0090599C"/>
    <w:rsid w:val="00905D88"/>
    <w:rsid w:val="009064AF"/>
    <w:rsid w:val="00906586"/>
    <w:rsid w:val="009072F1"/>
    <w:rsid w:val="00910EB7"/>
    <w:rsid w:val="0091138F"/>
    <w:rsid w:val="00911A54"/>
    <w:rsid w:val="0091488A"/>
    <w:rsid w:val="009152F9"/>
    <w:rsid w:val="00915E3F"/>
    <w:rsid w:val="009164B4"/>
    <w:rsid w:val="0091696C"/>
    <w:rsid w:val="0091756F"/>
    <w:rsid w:val="00917716"/>
    <w:rsid w:val="00920040"/>
    <w:rsid w:val="00921AE3"/>
    <w:rsid w:val="009229D7"/>
    <w:rsid w:val="00922AA2"/>
    <w:rsid w:val="00922B4B"/>
    <w:rsid w:val="00923324"/>
    <w:rsid w:val="0092406B"/>
    <w:rsid w:val="00924113"/>
    <w:rsid w:val="0092564F"/>
    <w:rsid w:val="00925A07"/>
    <w:rsid w:val="00926096"/>
    <w:rsid w:val="009269E6"/>
    <w:rsid w:val="00927037"/>
    <w:rsid w:val="00927243"/>
    <w:rsid w:val="00931B85"/>
    <w:rsid w:val="00932186"/>
    <w:rsid w:val="0093248F"/>
    <w:rsid w:val="00932C67"/>
    <w:rsid w:val="009333A7"/>
    <w:rsid w:val="0093371E"/>
    <w:rsid w:val="00934092"/>
    <w:rsid w:val="009341DD"/>
    <w:rsid w:val="00934674"/>
    <w:rsid w:val="00935A50"/>
    <w:rsid w:val="00936490"/>
    <w:rsid w:val="0093745B"/>
    <w:rsid w:val="00937828"/>
    <w:rsid w:val="00937C82"/>
    <w:rsid w:val="0094052E"/>
    <w:rsid w:val="0094146E"/>
    <w:rsid w:val="00941F6C"/>
    <w:rsid w:val="00943590"/>
    <w:rsid w:val="0094556E"/>
    <w:rsid w:val="00946245"/>
    <w:rsid w:val="00946D82"/>
    <w:rsid w:val="0094739A"/>
    <w:rsid w:val="00950534"/>
    <w:rsid w:val="009507EB"/>
    <w:rsid w:val="00950834"/>
    <w:rsid w:val="00951F72"/>
    <w:rsid w:val="00952062"/>
    <w:rsid w:val="00952D75"/>
    <w:rsid w:val="00952FCA"/>
    <w:rsid w:val="0095394C"/>
    <w:rsid w:val="009540C1"/>
    <w:rsid w:val="009546BA"/>
    <w:rsid w:val="00954A56"/>
    <w:rsid w:val="009558B4"/>
    <w:rsid w:val="00956734"/>
    <w:rsid w:val="00956C24"/>
    <w:rsid w:val="00956C25"/>
    <w:rsid w:val="00957887"/>
    <w:rsid w:val="00957B9B"/>
    <w:rsid w:val="00957C03"/>
    <w:rsid w:val="00957D3E"/>
    <w:rsid w:val="009606FF"/>
    <w:rsid w:val="00960B3D"/>
    <w:rsid w:val="00960C99"/>
    <w:rsid w:val="00960F6A"/>
    <w:rsid w:val="00962E24"/>
    <w:rsid w:val="00964209"/>
    <w:rsid w:val="0096490E"/>
    <w:rsid w:val="00966CDB"/>
    <w:rsid w:val="00967A31"/>
    <w:rsid w:val="00967CC0"/>
    <w:rsid w:val="009702A1"/>
    <w:rsid w:val="00970574"/>
    <w:rsid w:val="00970A89"/>
    <w:rsid w:val="0097172B"/>
    <w:rsid w:val="00971DF0"/>
    <w:rsid w:val="009726A5"/>
    <w:rsid w:val="009733E4"/>
    <w:rsid w:val="00973751"/>
    <w:rsid w:val="009756A8"/>
    <w:rsid w:val="009758F9"/>
    <w:rsid w:val="009762D5"/>
    <w:rsid w:val="0097751E"/>
    <w:rsid w:val="00977C07"/>
    <w:rsid w:val="00977CAE"/>
    <w:rsid w:val="009805D8"/>
    <w:rsid w:val="00980B78"/>
    <w:rsid w:val="009813E2"/>
    <w:rsid w:val="009839FF"/>
    <w:rsid w:val="00983C95"/>
    <w:rsid w:val="0098717F"/>
    <w:rsid w:val="00991239"/>
    <w:rsid w:val="0099262F"/>
    <w:rsid w:val="0099467F"/>
    <w:rsid w:val="00994FED"/>
    <w:rsid w:val="00995F38"/>
    <w:rsid w:val="0099614C"/>
    <w:rsid w:val="00996A90"/>
    <w:rsid w:val="009970ED"/>
    <w:rsid w:val="00997AF7"/>
    <w:rsid w:val="009A0C08"/>
    <w:rsid w:val="009A15C9"/>
    <w:rsid w:val="009A1A95"/>
    <w:rsid w:val="009A1BDD"/>
    <w:rsid w:val="009A3576"/>
    <w:rsid w:val="009A3985"/>
    <w:rsid w:val="009A41F6"/>
    <w:rsid w:val="009A42AF"/>
    <w:rsid w:val="009A446D"/>
    <w:rsid w:val="009A4C66"/>
    <w:rsid w:val="009A537B"/>
    <w:rsid w:val="009A5BE9"/>
    <w:rsid w:val="009A67B3"/>
    <w:rsid w:val="009A6B80"/>
    <w:rsid w:val="009A7617"/>
    <w:rsid w:val="009B0852"/>
    <w:rsid w:val="009B0914"/>
    <w:rsid w:val="009B196C"/>
    <w:rsid w:val="009B29B4"/>
    <w:rsid w:val="009B32DE"/>
    <w:rsid w:val="009B421F"/>
    <w:rsid w:val="009B4488"/>
    <w:rsid w:val="009B4BD7"/>
    <w:rsid w:val="009B557D"/>
    <w:rsid w:val="009B76F8"/>
    <w:rsid w:val="009C0119"/>
    <w:rsid w:val="009C0CA5"/>
    <w:rsid w:val="009C0CE9"/>
    <w:rsid w:val="009C1706"/>
    <w:rsid w:val="009C1FCE"/>
    <w:rsid w:val="009C2607"/>
    <w:rsid w:val="009C28ED"/>
    <w:rsid w:val="009C3C71"/>
    <w:rsid w:val="009C426C"/>
    <w:rsid w:val="009C43B5"/>
    <w:rsid w:val="009C58DA"/>
    <w:rsid w:val="009D148B"/>
    <w:rsid w:val="009D2292"/>
    <w:rsid w:val="009D25FA"/>
    <w:rsid w:val="009D2923"/>
    <w:rsid w:val="009D2946"/>
    <w:rsid w:val="009D323F"/>
    <w:rsid w:val="009D33E6"/>
    <w:rsid w:val="009D3594"/>
    <w:rsid w:val="009D3918"/>
    <w:rsid w:val="009D3E0F"/>
    <w:rsid w:val="009D431E"/>
    <w:rsid w:val="009D47B8"/>
    <w:rsid w:val="009D505B"/>
    <w:rsid w:val="009D5413"/>
    <w:rsid w:val="009D59E2"/>
    <w:rsid w:val="009D7C0B"/>
    <w:rsid w:val="009E01EC"/>
    <w:rsid w:val="009E0794"/>
    <w:rsid w:val="009E1C16"/>
    <w:rsid w:val="009E233F"/>
    <w:rsid w:val="009E2617"/>
    <w:rsid w:val="009E43D0"/>
    <w:rsid w:val="009E6D1B"/>
    <w:rsid w:val="009E74C8"/>
    <w:rsid w:val="009E7666"/>
    <w:rsid w:val="009E79A4"/>
    <w:rsid w:val="009F02F8"/>
    <w:rsid w:val="009F03EC"/>
    <w:rsid w:val="009F1BBA"/>
    <w:rsid w:val="009F21D5"/>
    <w:rsid w:val="009F3906"/>
    <w:rsid w:val="009F3C4D"/>
    <w:rsid w:val="009F489B"/>
    <w:rsid w:val="009F5583"/>
    <w:rsid w:val="009F5BCC"/>
    <w:rsid w:val="00A00698"/>
    <w:rsid w:val="00A00F76"/>
    <w:rsid w:val="00A0168F"/>
    <w:rsid w:val="00A022E3"/>
    <w:rsid w:val="00A05670"/>
    <w:rsid w:val="00A05E29"/>
    <w:rsid w:val="00A05E3F"/>
    <w:rsid w:val="00A060EB"/>
    <w:rsid w:val="00A06533"/>
    <w:rsid w:val="00A0699E"/>
    <w:rsid w:val="00A069FD"/>
    <w:rsid w:val="00A10AFD"/>
    <w:rsid w:val="00A11691"/>
    <w:rsid w:val="00A11B44"/>
    <w:rsid w:val="00A11C17"/>
    <w:rsid w:val="00A11C84"/>
    <w:rsid w:val="00A1243D"/>
    <w:rsid w:val="00A13B61"/>
    <w:rsid w:val="00A1405C"/>
    <w:rsid w:val="00A1408B"/>
    <w:rsid w:val="00A1497B"/>
    <w:rsid w:val="00A154EA"/>
    <w:rsid w:val="00A17615"/>
    <w:rsid w:val="00A20A47"/>
    <w:rsid w:val="00A20C69"/>
    <w:rsid w:val="00A213E8"/>
    <w:rsid w:val="00A23F05"/>
    <w:rsid w:val="00A2450F"/>
    <w:rsid w:val="00A24C69"/>
    <w:rsid w:val="00A25331"/>
    <w:rsid w:val="00A25377"/>
    <w:rsid w:val="00A25C08"/>
    <w:rsid w:val="00A26131"/>
    <w:rsid w:val="00A2737A"/>
    <w:rsid w:val="00A30D9F"/>
    <w:rsid w:val="00A310BC"/>
    <w:rsid w:val="00A322EA"/>
    <w:rsid w:val="00A32DBB"/>
    <w:rsid w:val="00A33A4B"/>
    <w:rsid w:val="00A34557"/>
    <w:rsid w:val="00A34FA0"/>
    <w:rsid w:val="00A3585F"/>
    <w:rsid w:val="00A37F0E"/>
    <w:rsid w:val="00A40B77"/>
    <w:rsid w:val="00A40D63"/>
    <w:rsid w:val="00A4158F"/>
    <w:rsid w:val="00A41BF8"/>
    <w:rsid w:val="00A42F65"/>
    <w:rsid w:val="00A442E8"/>
    <w:rsid w:val="00A463D9"/>
    <w:rsid w:val="00A464BE"/>
    <w:rsid w:val="00A505BA"/>
    <w:rsid w:val="00A50B59"/>
    <w:rsid w:val="00A50B9A"/>
    <w:rsid w:val="00A50F9D"/>
    <w:rsid w:val="00A51AB0"/>
    <w:rsid w:val="00A55504"/>
    <w:rsid w:val="00A55F53"/>
    <w:rsid w:val="00A56B0C"/>
    <w:rsid w:val="00A56C73"/>
    <w:rsid w:val="00A56F88"/>
    <w:rsid w:val="00A5707C"/>
    <w:rsid w:val="00A5737D"/>
    <w:rsid w:val="00A57715"/>
    <w:rsid w:val="00A57844"/>
    <w:rsid w:val="00A6070B"/>
    <w:rsid w:val="00A60F92"/>
    <w:rsid w:val="00A619B1"/>
    <w:rsid w:val="00A63606"/>
    <w:rsid w:val="00A63B2E"/>
    <w:rsid w:val="00A63DC2"/>
    <w:rsid w:val="00A641F0"/>
    <w:rsid w:val="00A64B6E"/>
    <w:rsid w:val="00A6599B"/>
    <w:rsid w:val="00A70402"/>
    <w:rsid w:val="00A70630"/>
    <w:rsid w:val="00A70A9C"/>
    <w:rsid w:val="00A70EBC"/>
    <w:rsid w:val="00A71DC6"/>
    <w:rsid w:val="00A72FF5"/>
    <w:rsid w:val="00A738A6"/>
    <w:rsid w:val="00A74F08"/>
    <w:rsid w:val="00A74FB8"/>
    <w:rsid w:val="00A76340"/>
    <w:rsid w:val="00A767A9"/>
    <w:rsid w:val="00A7680C"/>
    <w:rsid w:val="00A76D15"/>
    <w:rsid w:val="00A76ED3"/>
    <w:rsid w:val="00A77168"/>
    <w:rsid w:val="00A775A5"/>
    <w:rsid w:val="00A77CB9"/>
    <w:rsid w:val="00A77E26"/>
    <w:rsid w:val="00A83607"/>
    <w:rsid w:val="00A840C6"/>
    <w:rsid w:val="00A8522B"/>
    <w:rsid w:val="00A8535D"/>
    <w:rsid w:val="00A8564E"/>
    <w:rsid w:val="00A8584D"/>
    <w:rsid w:val="00A85AC9"/>
    <w:rsid w:val="00A85DED"/>
    <w:rsid w:val="00A860A7"/>
    <w:rsid w:val="00A869EE"/>
    <w:rsid w:val="00A8773E"/>
    <w:rsid w:val="00A87996"/>
    <w:rsid w:val="00A879F7"/>
    <w:rsid w:val="00A90D8E"/>
    <w:rsid w:val="00A90DA3"/>
    <w:rsid w:val="00A9111A"/>
    <w:rsid w:val="00A9199A"/>
    <w:rsid w:val="00A923B3"/>
    <w:rsid w:val="00A93078"/>
    <w:rsid w:val="00A9314A"/>
    <w:rsid w:val="00A94A7E"/>
    <w:rsid w:val="00A961C6"/>
    <w:rsid w:val="00A967F5"/>
    <w:rsid w:val="00AA09BF"/>
    <w:rsid w:val="00AA0FC7"/>
    <w:rsid w:val="00AA146D"/>
    <w:rsid w:val="00AA2C3E"/>
    <w:rsid w:val="00AA486D"/>
    <w:rsid w:val="00AA5444"/>
    <w:rsid w:val="00AA5DEC"/>
    <w:rsid w:val="00AA68C2"/>
    <w:rsid w:val="00AB1813"/>
    <w:rsid w:val="00AB1DE2"/>
    <w:rsid w:val="00AB20A1"/>
    <w:rsid w:val="00AB3BE3"/>
    <w:rsid w:val="00AB41FD"/>
    <w:rsid w:val="00AB50CB"/>
    <w:rsid w:val="00AB5514"/>
    <w:rsid w:val="00AB5CBC"/>
    <w:rsid w:val="00AB67CB"/>
    <w:rsid w:val="00AB6CB6"/>
    <w:rsid w:val="00AB6E67"/>
    <w:rsid w:val="00AB6EA1"/>
    <w:rsid w:val="00AB6F4A"/>
    <w:rsid w:val="00AB7A74"/>
    <w:rsid w:val="00AB7E04"/>
    <w:rsid w:val="00AC0372"/>
    <w:rsid w:val="00AC0A14"/>
    <w:rsid w:val="00AC1363"/>
    <w:rsid w:val="00AC1D17"/>
    <w:rsid w:val="00AC1D24"/>
    <w:rsid w:val="00AC3D7D"/>
    <w:rsid w:val="00AC4BF1"/>
    <w:rsid w:val="00AC55E9"/>
    <w:rsid w:val="00AC5E0D"/>
    <w:rsid w:val="00AC64C7"/>
    <w:rsid w:val="00AC6A78"/>
    <w:rsid w:val="00AC7C18"/>
    <w:rsid w:val="00AD0806"/>
    <w:rsid w:val="00AD0C84"/>
    <w:rsid w:val="00AD2867"/>
    <w:rsid w:val="00AD2DA1"/>
    <w:rsid w:val="00AD3869"/>
    <w:rsid w:val="00AD5432"/>
    <w:rsid w:val="00AD58F7"/>
    <w:rsid w:val="00AD68FC"/>
    <w:rsid w:val="00AE070C"/>
    <w:rsid w:val="00AE0C12"/>
    <w:rsid w:val="00AE0F9C"/>
    <w:rsid w:val="00AE23B7"/>
    <w:rsid w:val="00AE2520"/>
    <w:rsid w:val="00AE36E9"/>
    <w:rsid w:val="00AE3EF6"/>
    <w:rsid w:val="00AE5365"/>
    <w:rsid w:val="00AE54B6"/>
    <w:rsid w:val="00AF1018"/>
    <w:rsid w:val="00AF1E9A"/>
    <w:rsid w:val="00AF2014"/>
    <w:rsid w:val="00AF22E5"/>
    <w:rsid w:val="00AF367C"/>
    <w:rsid w:val="00AF39A2"/>
    <w:rsid w:val="00AF44FA"/>
    <w:rsid w:val="00AF483A"/>
    <w:rsid w:val="00AF4B85"/>
    <w:rsid w:val="00AF4D94"/>
    <w:rsid w:val="00AF5213"/>
    <w:rsid w:val="00AF5F56"/>
    <w:rsid w:val="00AF6ACE"/>
    <w:rsid w:val="00AF6E10"/>
    <w:rsid w:val="00B00783"/>
    <w:rsid w:val="00B02309"/>
    <w:rsid w:val="00B025AC"/>
    <w:rsid w:val="00B02D7D"/>
    <w:rsid w:val="00B02FAD"/>
    <w:rsid w:val="00B03350"/>
    <w:rsid w:val="00B033FF"/>
    <w:rsid w:val="00B03515"/>
    <w:rsid w:val="00B0399A"/>
    <w:rsid w:val="00B03CB0"/>
    <w:rsid w:val="00B04961"/>
    <w:rsid w:val="00B05313"/>
    <w:rsid w:val="00B05501"/>
    <w:rsid w:val="00B05B71"/>
    <w:rsid w:val="00B05C21"/>
    <w:rsid w:val="00B077EB"/>
    <w:rsid w:val="00B10D88"/>
    <w:rsid w:val="00B11607"/>
    <w:rsid w:val="00B11AFB"/>
    <w:rsid w:val="00B131B6"/>
    <w:rsid w:val="00B15475"/>
    <w:rsid w:val="00B157DB"/>
    <w:rsid w:val="00B15E5F"/>
    <w:rsid w:val="00B17512"/>
    <w:rsid w:val="00B20F18"/>
    <w:rsid w:val="00B2106F"/>
    <w:rsid w:val="00B2107B"/>
    <w:rsid w:val="00B222D3"/>
    <w:rsid w:val="00B228D1"/>
    <w:rsid w:val="00B23696"/>
    <w:rsid w:val="00B2393D"/>
    <w:rsid w:val="00B23DC9"/>
    <w:rsid w:val="00B24A48"/>
    <w:rsid w:val="00B24AD0"/>
    <w:rsid w:val="00B24E36"/>
    <w:rsid w:val="00B25219"/>
    <w:rsid w:val="00B25832"/>
    <w:rsid w:val="00B25DE8"/>
    <w:rsid w:val="00B2634B"/>
    <w:rsid w:val="00B268A8"/>
    <w:rsid w:val="00B27301"/>
    <w:rsid w:val="00B273EE"/>
    <w:rsid w:val="00B30172"/>
    <w:rsid w:val="00B329D3"/>
    <w:rsid w:val="00B32A4C"/>
    <w:rsid w:val="00B32E08"/>
    <w:rsid w:val="00B33AA3"/>
    <w:rsid w:val="00B34E32"/>
    <w:rsid w:val="00B350C5"/>
    <w:rsid w:val="00B35916"/>
    <w:rsid w:val="00B36A42"/>
    <w:rsid w:val="00B37DFA"/>
    <w:rsid w:val="00B4096B"/>
    <w:rsid w:val="00B41236"/>
    <w:rsid w:val="00B417A9"/>
    <w:rsid w:val="00B41B90"/>
    <w:rsid w:val="00B42489"/>
    <w:rsid w:val="00B4260D"/>
    <w:rsid w:val="00B42FD7"/>
    <w:rsid w:val="00B4351C"/>
    <w:rsid w:val="00B44610"/>
    <w:rsid w:val="00B44BCE"/>
    <w:rsid w:val="00B458F7"/>
    <w:rsid w:val="00B45914"/>
    <w:rsid w:val="00B460BF"/>
    <w:rsid w:val="00B46ACD"/>
    <w:rsid w:val="00B475AD"/>
    <w:rsid w:val="00B508B3"/>
    <w:rsid w:val="00B510D0"/>
    <w:rsid w:val="00B512DB"/>
    <w:rsid w:val="00B51A59"/>
    <w:rsid w:val="00B520C8"/>
    <w:rsid w:val="00B5257A"/>
    <w:rsid w:val="00B52A3C"/>
    <w:rsid w:val="00B53270"/>
    <w:rsid w:val="00B55283"/>
    <w:rsid w:val="00B557E6"/>
    <w:rsid w:val="00B559EE"/>
    <w:rsid w:val="00B56E6C"/>
    <w:rsid w:val="00B57E3A"/>
    <w:rsid w:val="00B6186B"/>
    <w:rsid w:val="00B628DA"/>
    <w:rsid w:val="00B62A59"/>
    <w:rsid w:val="00B6380C"/>
    <w:rsid w:val="00B638FE"/>
    <w:rsid w:val="00B64035"/>
    <w:rsid w:val="00B6404C"/>
    <w:rsid w:val="00B64D69"/>
    <w:rsid w:val="00B65172"/>
    <w:rsid w:val="00B66498"/>
    <w:rsid w:val="00B70FE4"/>
    <w:rsid w:val="00B736C4"/>
    <w:rsid w:val="00B73CCF"/>
    <w:rsid w:val="00B74666"/>
    <w:rsid w:val="00B74CE4"/>
    <w:rsid w:val="00B75B17"/>
    <w:rsid w:val="00B75CDD"/>
    <w:rsid w:val="00B76135"/>
    <w:rsid w:val="00B76136"/>
    <w:rsid w:val="00B77A97"/>
    <w:rsid w:val="00B8012B"/>
    <w:rsid w:val="00B816C5"/>
    <w:rsid w:val="00B81E84"/>
    <w:rsid w:val="00B81F51"/>
    <w:rsid w:val="00B8219E"/>
    <w:rsid w:val="00B821A1"/>
    <w:rsid w:val="00B8273D"/>
    <w:rsid w:val="00B8346D"/>
    <w:rsid w:val="00B834C0"/>
    <w:rsid w:val="00B835AC"/>
    <w:rsid w:val="00B84BEA"/>
    <w:rsid w:val="00B84CF1"/>
    <w:rsid w:val="00B87C97"/>
    <w:rsid w:val="00B91401"/>
    <w:rsid w:val="00B92D1E"/>
    <w:rsid w:val="00B92DD2"/>
    <w:rsid w:val="00B933D0"/>
    <w:rsid w:val="00B9441B"/>
    <w:rsid w:val="00B94A2E"/>
    <w:rsid w:val="00B94F65"/>
    <w:rsid w:val="00B967D1"/>
    <w:rsid w:val="00B978F8"/>
    <w:rsid w:val="00B97B6C"/>
    <w:rsid w:val="00BA03DD"/>
    <w:rsid w:val="00BA15BA"/>
    <w:rsid w:val="00BA1B4B"/>
    <w:rsid w:val="00BA216E"/>
    <w:rsid w:val="00BA2382"/>
    <w:rsid w:val="00BA2E3E"/>
    <w:rsid w:val="00BA2FA9"/>
    <w:rsid w:val="00BA37F6"/>
    <w:rsid w:val="00BA460A"/>
    <w:rsid w:val="00BA52C3"/>
    <w:rsid w:val="00BA5BF9"/>
    <w:rsid w:val="00BA741B"/>
    <w:rsid w:val="00BB0A6D"/>
    <w:rsid w:val="00BB0FB4"/>
    <w:rsid w:val="00BB14E3"/>
    <w:rsid w:val="00BB29EC"/>
    <w:rsid w:val="00BB3421"/>
    <w:rsid w:val="00BB37A9"/>
    <w:rsid w:val="00BB44E7"/>
    <w:rsid w:val="00BB67A9"/>
    <w:rsid w:val="00BB6EDA"/>
    <w:rsid w:val="00BB7AC2"/>
    <w:rsid w:val="00BC0AD8"/>
    <w:rsid w:val="00BC2394"/>
    <w:rsid w:val="00BC4488"/>
    <w:rsid w:val="00BC4744"/>
    <w:rsid w:val="00BC47A8"/>
    <w:rsid w:val="00BC5558"/>
    <w:rsid w:val="00BC5C55"/>
    <w:rsid w:val="00BC5EC5"/>
    <w:rsid w:val="00BC64B7"/>
    <w:rsid w:val="00BC6BCA"/>
    <w:rsid w:val="00BD026F"/>
    <w:rsid w:val="00BD0F1F"/>
    <w:rsid w:val="00BD1974"/>
    <w:rsid w:val="00BD2DB6"/>
    <w:rsid w:val="00BD337B"/>
    <w:rsid w:val="00BD489E"/>
    <w:rsid w:val="00BD4A7D"/>
    <w:rsid w:val="00BD4BB8"/>
    <w:rsid w:val="00BD537A"/>
    <w:rsid w:val="00BD74F9"/>
    <w:rsid w:val="00BD7557"/>
    <w:rsid w:val="00BD7CDD"/>
    <w:rsid w:val="00BE0BF5"/>
    <w:rsid w:val="00BE16B2"/>
    <w:rsid w:val="00BE1D1F"/>
    <w:rsid w:val="00BE2DB8"/>
    <w:rsid w:val="00BE3408"/>
    <w:rsid w:val="00BE3E48"/>
    <w:rsid w:val="00BE4206"/>
    <w:rsid w:val="00BE46A1"/>
    <w:rsid w:val="00BE631B"/>
    <w:rsid w:val="00BE68B4"/>
    <w:rsid w:val="00BE6C48"/>
    <w:rsid w:val="00BE7EB5"/>
    <w:rsid w:val="00BF0C93"/>
    <w:rsid w:val="00BF1959"/>
    <w:rsid w:val="00BF1DE4"/>
    <w:rsid w:val="00BF20C2"/>
    <w:rsid w:val="00BF27B5"/>
    <w:rsid w:val="00BF399C"/>
    <w:rsid w:val="00BF4A63"/>
    <w:rsid w:val="00BF555E"/>
    <w:rsid w:val="00BF6C0A"/>
    <w:rsid w:val="00BF6C96"/>
    <w:rsid w:val="00BF7B1E"/>
    <w:rsid w:val="00C013C0"/>
    <w:rsid w:val="00C0166B"/>
    <w:rsid w:val="00C01950"/>
    <w:rsid w:val="00C0195F"/>
    <w:rsid w:val="00C01F1B"/>
    <w:rsid w:val="00C034B3"/>
    <w:rsid w:val="00C03F63"/>
    <w:rsid w:val="00C04264"/>
    <w:rsid w:val="00C04D11"/>
    <w:rsid w:val="00C04E05"/>
    <w:rsid w:val="00C0663C"/>
    <w:rsid w:val="00C067DA"/>
    <w:rsid w:val="00C06E04"/>
    <w:rsid w:val="00C07C2D"/>
    <w:rsid w:val="00C07E60"/>
    <w:rsid w:val="00C07F6E"/>
    <w:rsid w:val="00C102FA"/>
    <w:rsid w:val="00C107E4"/>
    <w:rsid w:val="00C11834"/>
    <w:rsid w:val="00C11901"/>
    <w:rsid w:val="00C11CFC"/>
    <w:rsid w:val="00C11EC1"/>
    <w:rsid w:val="00C127AF"/>
    <w:rsid w:val="00C132AC"/>
    <w:rsid w:val="00C13861"/>
    <w:rsid w:val="00C146AB"/>
    <w:rsid w:val="00C15153"/>
    <w:rsid w:val="00C154E8"/>
    <w:rsid w:val="00C15AED"/>
    <w:rsid w:val="00C16C32"/>
    <w:rsid w:val="00C17EE8"/>
    <w:rsid w:val="00C201FC"/>
    <w:rsid w:val="00C20944"/>
    <w:rsid w:val="00C21222"/>
    <w:rsid w:val="00C219BA"/>
    <w:rsid w:val="00C21CF8"/>
    <w:rsid w:val="00C21E20"/>
    <w:rsid w:val="00C22AC2"/>
    <w:rsid w:val="00C22CD3"/>
    <w:rsid w:val="00C23000"/>
    <w:rsid w:val="00C258B6"/>
    <w:rsid w:val="00C259BA"/>
    <w:rsid w:val="00C2667C"/>
    <w:rsid w:val="00C302A1"/>
    <w:rsid w:val="00C30587"/>
    <w:rsid w:val="00C30D95"/>
    <w:rsid w:val="00C30FAD"/>
    <w:rsid w:val="00C31EE9"/>
    <w:rsid w:val="00C32158"/>
    <w:rsid w:val="00C327B3"/>
    <w:rsid w:val="00C32E47"/>
    <w:rsid w:val="00C359B7"/>
    <w:rsid w:val="00C35E40"/>
    <w:rsid w:val="00C369D4"/>
    <w:rsid w:val="00C372A6"/>
    <w:rsid w:val="00C3767F"/>
    <w:rsid w:val="00C40756"/>
    <w:rsid w:val="00C41795"/>
    <w:rsid w:val="00C448BD"/>
    <w:rsid w:val="00C4494B"/>
    <w:rsid w:val="00C44A92"/>
    <w:rsid w:val="00C44EF7"/>
    <w:rsid w:val="00C45149"/>
    <w:rsid w:val="00C45367"/>
    <w:rsid w:val="00C45DB6"/>
    <w:rsid w:val="00C510AC"/>
    <w:rsid w:val="00C51432"/>
    <w:rsid w:val="00C51632"/>
    <w:rsid w:val="00C51788"/>
    <w:rsid w:val="00C51CBC"/>
    <w:rsid w:val="00C51EFE"/>
    <w:rsid w:val="00C53CB6"/>
    <w:rsid w:val="00C54D65"/>
    <w:rsid w:val="00C55A4C"/>
    <w:rsid w:val="00C56138"/>
    <w:rsid w:val="00C57095"/>
    <w:rsid w:val="00C57834"/>
    <w:rsid w:val="00C57AC3"/>
    <w:rsid w:val="00C61F15"/>
    <w:rsid w:val="00C62481"/>
    <w:rsid w:val="00C62C9E"/>
    <w:rsid w:val="00C634C9"/>
    <w:rsid w:val="00C63AA0"/>
    <w:rsid w:val="00C63ADF"/>
    <w:rsid w:val="00C65031"/>
    <w:rsid w:val="00C65B7B"/>
    <w:rsid w:val="00C66AC0"/>
    <w:rsid w:val="00C66BCD"/>
    <w:rsid w:val="00C67AB6"/>
    <w:rsid w:val="00C70189"/>
    <w:rsid w:val="00C7057F"/>
    <w:rsid w:val="00C732D2"/>
    <w:rsid w:val="00C734D4"/>
    <w:rsid w:val="00C753F4"/>
    <w:rsid w:val="00C75919"/>
    <w:rsid w:val="00C75943"/>
    <w:rsid w:val="00C7598C"/>
    <w:rsid w:val="00C76865"/>
    <w:rsid w:val="00C76BCA"/>
    <w:rsid w:val="00C801C7"/>
    <w:rsid w:val="00C80787"/>
    <w:rsid w:val="00C80942"/>
    <w:rsid w:val="00C8220B"/>
    <w:rsid w:val="00C826F7"/>
    <w:rsid w:val="00C82E9B"/>
    <w:rsid w:val="00C83635"/>
    <w:rsid w:val="00C83CB5"/>
    <w:rsid w:val="00C83E7A"/>
    <w:rsid w:val="00C8495E"/>
    <w:rsid w:val="00C851F7"/>
    <w:rsid w:val="00C877CD"/>
    <w:rsid w:val="00C9049C"/>
    <w:rsid w:val="00C90CC9"/>
    <w:rsid w:val="00C90E21"/>
    <w:rsid w:val="00C912AF"/>
    <w:rsid w:val="00C94E4E"/>
    <w:rsid w:val="00C9518C"/>
    <w:rsid w:val="00C951B0"/>
    <w:rsid w:val="00C95D0B"/>
    <w:rsid w:val="00C96198"/>
    <w:rsid w:val="00C96449"/>
    <w:rsid w:val="00C969F6"/>
    <w:rsid w:val="00CA0599"/>
    <w:rsid w:val="00CA141C"/>
    <w:rsid w:val="00CA190A"/>
    <w:rsid w:val="00CA1D13"/>
    <w:rsid w:val="00CA2219"/>
    <w:rsid w:val="00CA240B"/>
    <w:rsid w:val="00CA27CA"/>
    <w:rsid w:val="00CA2DB3"/>
    <w:rsid w:val="00CA3442"/>
    <w:rsid w:val="00CA3543"/>
    <w:rsid w:val="00CA37DE"/>
    <w:rsid w:val="00CA3AB8"/>
    <w:rsid w:val="00CA3D00"/>
    <w:rsid w:val="00CA40DB"/>
    <w:rsid w:val="00CA4802"/>
    <w:rsid w:val="00CA4B10"/>
    <w:rsid w:val="00CA549B"/>
    <w:rsid w:val="00CA5730"/>
    <w:rsid w:val="00CA58C1"/>
    <w:rsid w:val="00CA6470"/>
    <w:rsid w:val="00CA6FB1"/>
    <w:rsid w:val="00CA7068"/>
    <w:rsid w:val="00CA70C4"/>
    <w:rsid w:val="00CA77C3"/>
    <w:rsid w:val="00CA7A69"/>
    <w:rsid w:val="00CB0070"/>
    <w:rsid w:val="00CB05A7"/>
    <w:rsid w:val="00CB0BDC"/>
    <w:rsid w:val="00CB0D5F"/>
    <w:rsid w:val="00CB0D69"/>
    <w:rsid w:val="00CB1268"/>
    <w:rsid w:val="00CB1937"/>
    <w:rsid w:val="00CB25EB"/>
    <w:rsid w:val="00CB2730"/>
    <w:rsid w:val="00CB28B5"/>
    <w:rsid w:val="00CB2B19"/>
    <w:rsid w:val="00CB30D7"/>
    <w:rsid w:val="00CB3221"/>
    <w:rsid w:val="00CB322B"/>
    <w:rsid w:val="00CB51A4"/>
    <w:rsid w:val="00CB5223"/>
    <w:rsid w:val="00CB563F"/>
    <w:rsid w:val="00CB5C18"/>
    <w:rsid w:val="00CB62D0"/>
    <w:rsid w:val="00CB65B2"/>
    <w:rsid w:val="00CB752C"/>
    <w:rsid w:val="00CC0C3D"/>
    <w:rsid w:val="00CC21E2"/>
    <w:rsid w:val="00CC27FA"/>
    <w:rsid w:val="00CC2911"/>
    <w:rsid w:val="00CC2ED9"/>
    <w:rsid w:val="00CC471D"/>
    <w:rsid w:val="00CC4789"/>
    <w:rsid w:val="00CC4933"/>
    <w:rsid w:val="00CC5540"/>
    <w:rsid w:val="00CC5CE7"/>
    <w:rsid w:val="00CC70D0"/>
    <w:rsid w:val="00CC75ED"/>
    <w:rsid w:val="00CC769F"/>
    <w:rsid w:val="00CD207C"/>
    <w:rsid w:val="00CD21D4"/>
    <w:rsid w:val="00CD260C"/>
    <w:rsid w:val="00CD2A13"/>
    <w:rsid w:val="00CD3D10"/>
    <w:rsid w:val="00CD4062"/>
    <w:rsid w:val="00CD4664"/>
    <w:rsid w:val="00CD4689"/>
    <w:rsid w:val="00CD4812"/>
    <w:rsid w:val="00CD4A51"/>
    <w:rsid w:val="00CD5B10"/>
    <w:rsid w:val="00CD5F89"/>
    <w:rsid w:val="00CD66E8"/>
    <w:rsid w:val="00CD741A"/>
    <w:rsid w:val="00CE09A3"/>
    <w:rsid w:val="00CE0C8B"/>
    <w:rsid w:val="00CE146D"/>
    <w:rsid w:val="00CE23C3"/>
    <w:rsid w:val="00CE541E"/>
    <w:rsid w:val="00CE5774"/>
    <w:rsid w:val="00CF1012"/>
    <w:rsid w:val="00CF359E"/>
    <w:rsid w:val="00CF4024"/>
    <w:rsid w:val="00CF42AF"/>
    <w:rsid w:val="00CF554E"/>
    <w:rsid w:val="00CF5CB9"/>
    <w:rsid w:val="00CF5E51"/>
    <w:rsid w:val="00CF6689"/>
    <w:rsid w:val="00CF7F1C"/>
    <w:rsid w:val="00D003E3"/>
    <w:rsid w:val="00D015D7"/>
    <w:rsid w:val="00D018EB"/>
    <w:rsid w:val="00D0268E"/>
    <w:rsid w:val="00D0275F"/>
    <w:rsid w:val="00D03279"/>
    <w:rsid w:val="00D03A96"/>
    <w:rsid w:val="00D04C5D"/>
    <w:rsid w:val="00D05F9F"/>
    <w:rsid w:val="00D063B4"/>
    <w:rsid w:val="00D06732"/>
    <w:rsid w:val="00D07641"/>
    <w:rsid w:val="00D10EB0"/>
    <w:rsid w:val="00D1111F"/>
    <w:rsid w:val="00D13991"/>
    <w:rsid w:val="00D14AB6"/>
    <w:rsid w:val="00D1665C"/>
    <w:rsid w:val="00D167A7"/>
    <w:rsid w:val="00D169DB"/>
    <w:rsid w:val="00D231B2"/>
    <w:rsid w:val="00D24C4E"/>
    <w:rsid w:val="00D25089"/>
    <w:rsid w:val="00D2524A"/>
    <w:rsid w:val="00D25A18"/>
    <w:rsid w:val="00D27540"/>
    <w:rsid w:val="00D27A02"/>
    <w:rsid w:val="00D315FA"/>
    <w:rsid w:val="00D32408"/>
    <w:rsid w:val="00D32B3C"/>
    <w:rsid w:val="00D34488"/>
    <w:rsid w:val="00D349D9"/>
    <w:rsid w:val="00D34C71"/>
    <w:rsid w:val="00D360B6"/>
    <w:rsid w:val="00D36241"/>
    <w:rsid w:val="00D37650"/>
    <w:rsid w:val="00D3770C"/>
    <w:rsid w:val="00D37F7A"/>
    <w:rsid w:val="00D40001"/>
    <w:rsid w:val="00D43297"/>
    <w:rsid w:val="00D4333B"/>
    <w:rsid w:val="00D4345A"/>
    <w:rsid w:val="00D45D04"/>
    <w:rsid w:val="00D46682"/>
    <w:rsid w:val="00D46A81"/>
    <w:rsid w:val="00D47B52"/>
    <w:rsid w:val="00D47CA0"/>
    <w:rsid w:val="00D5137A"/>
    <w:rsid w:val="00D51C5E"/>
    <w:rsid w:val="00D5247E"/>
    <w:rsid w:val="00D53523"/>
    <w:rsid w:val="00D53788"/>
    <w:rsid w:val="00D538AF"/>
    <w:rsid w:val="00D53DB7"/>
    <w:rsid w:val="00D55B5F"/>
    <w:rsid w:val="00D55ED4"/>
    <w:rsid w:val="00D55F85"/>
    <w:rsid w:val="00D56F37"/>
    <w:rsid w:val="00D61E68"/>
    <w:rsid w:val="00D61F7A"/>
    <w:rsid w:val="00D63728"/>
    <w:rsid w:val="00D63B78"/>
    <w:rsid w:val="00D6474D"/>
    <w:rsid w:val="00D65A97"/>
    <w:rsid w:val="00D66EA8"/>
    <w:rsid w:val="00D67E05"/>
    <w:rsid w:val="00D70067"/>
    <w:rsid w:val="00D70F69"/>
    <w:rsid w:val="00D71334"/>
    <w:rsid w:val="00D713C0"/>
    <w:rsid w:val="00D7175D"/>
    <w:rsid w:val="00D71BAF"/>
    <w:rsid w:val="00D71CA9"/>
    <w:rsid w:val="00D727FF"/>
    <w:rsid w:val="00D72A83"/>
    <w:rsid w:val="00D731D3"/>
    <w:rsid w:val="00D7478E"/>
    <w:rsid w:val="00D74EFD"/>
    <w:rsid w:val="00D757F7"/>
    <w:rsid w:val="00D75B9E"/>
    <w:rsid w:val="00D76297"/>
    <w:rsid w:val="00D76468"/>
    <w:rsid w:val="00D77455"/>
    <w:rsid w:val="00D775B7"/>
    <w:rsid w:val="00D8002A"/>
    <w:rsid w:val="00D8015D"/>
    <w:rsid w:val="00D80BF0"/>
    <w:rsid w:val="00D81087"/>
    <w:rsid w:val="00D8153F"/>
    <w:rsid w:val="00D819B6"/>
    <w:rsid w:val="00D826B6"/>
    <w:rsid w:val="00D82FB6"/>
    <w:rsid w:val="00D83856"/>
    <w:rsid w:val="00D83C1A"/>
    <w:rsid w:val="00D84281"/>
    <w:rsid w:val="00D84A3C"/>
    <w:rsid w:val="00D8545D"/>
    <w:rsid w:val="00D8575A"/>
    <w:rsid w:val="00D8669E"/>
    <w:rsid w:val="00D873CC"/>
    <w:rsid w:val="00D9108F"/>
    <w:rsid w:val="00D917DE"/>
    <w:rsid w:val="00D91978"/>
    <w:rsid w:val="00D92034"/>
    <w:rsid w:val="00D92DFD"/>
    <w:rsid w:val="00D93AE8"/>
    <w:rsid w:val="00D94022"/>
    <w:rsid w:val="00D9419C"/>
    <w:rsid w:val="00D94805"/>
    <w:rsid w:val="00D95D9A"/>
    <w:rsid w:val="00D960F3"/>
    <w:rsid w:val="00D968C1"/>
    <w:rsid w:val="00D97485"/>
    <w:rsid w:val="00D97DAD"/>
    <w:rsid w:val="00DA1B3B"/>
    <w:rsid w:val="00DA26A7"/>
    <w:rsid w:val="00DA2AFA"/>
    <w:rsid w:val="00DA2C7D"/>
    <w:rsid w:val="00DA2DDD"/>
    <w:rsid w:val="00DA371B"/>
    <w:rsid w:val="00DA42F4"/>
    <w:rsid w:val="00DA4837"/>
    <w:rsid w:val="00DA5156"/>
    <w:rsid w:val="00DA52AA"/>
    <w:rsid w:val="00DA56C9"/>
    <w:rsid w:val="00DA607C"/>
    <w:rsid w:val="00DA6333"/>
    <w:rsid w:val="00DA747E"/>
    <w:rsid w:val="00DB066A"/>
    <w:rsid w:val="00DB1600"/>
    <w:rsid w:val="00DB19BE"/>
    <w:rsid w:val="00DB1E29"/>
    <w:rsid w:val="00DB1ECF"/>
    <w:rsid w:val="00DB1F84"/>
    <w:rsid w:val="00DB364E"/>
    <w:rsid w:val="00DB37CE"/>
    <w:rsid w:val="00DB3A3C"/>
    <w:rsid w:val="00DB4A72"/>
    <w:rsid w:val="00DB5295"/>
    <w:rsid w:val="00DC04DC"/>
    <w:rsid w:val="00DC2C13"/>
    <w:rsid w:val="00DC3574"/>
    <w:rsid w:val="00DC35DF"/>
    <w:rsid w:val="00DC570F"/>
    <w:rsid w:val="00DC5A70"/>
    <w:rsid w:val="00DC61EC"/>
    <w:rsid w:val="00DC6A0B"/>
    <w:rsid w:val="00DD075B"/>
    <w:rsid w:val="00DD0EE7"/>
    <w:rsid w:val="00DD3299"/>
    <w:rsid w:val="00DD37E7"/>
    <w:rsid w:val="00DD4E8E"/>
    <w:rsid w:val="00DD5111"/>
    <w:rsid w:val="00DD5599"/>
    <w:rsid w:val="00DD5626"/>
    <w:rsid w:val="00DE0499"/>
    <w:rsid w:val="00DE04BD"/>
    <w:rsid w:val="00DE13D5"/>
    <w:rsid w:val="00DE1EEB"/>
    <w:rsid w:val="00DE2EAA"/>
    <w:rsid w:val="00DE2F9F"/>
    <w:rsid w:val="00DE3BB9"/>
    <w:rsid w:val="00DE3CAA"/>
    <w:rsid w:val="00DE4478"/>
    <w:rsid w:val="00DE4529"/>
    <w:rsid w:val="00DE4D30"/>
    <w:rsid w:val="00DF0BA0"/>
    <w:rsid w:val="00DF210E"/>
    <w:rsid w:val="00DF5522"/>
    <w:rsid w:val="00DF5D32"/>
    <w:rsid w:val="00DF665A"/>
    <w:rsid w:val="00DF6B5A"/>
    <w:rsid w:val="00DF6BDA"/>
    <w:rsid w:val="00DF7D39"/>
    <w:rsid w:val="00E00798"/>
    <w:rsid w:val="00E00B06"/>
    <w:rsid w:val="00E0158F"/>
    <w:rsid w:val="00E021CB"/>
    <w:rsid w:val="00E024DD"/>
    <w:rsid w:val="00E02D46"/>
    <w:rsid w:val="00E03021"/>
    <w:rsid w:val="00E04357"/>
    <w:rsid w:val="00E04363"/>
    <w:rsid w:val="00E0472C"/>
    <w:rsid w:val="00E0481E"/>
    <w:rsid w:val="00E0553C"/>
    <w:rsid w:val="00E056EA"/>
    <w:rsid w:val="00E05722"/>
    <w:rsid w:val="00E057D8"/>
    <w:rsid w:val="00E05E50"/>
    <w:rsid w:val="00E06AA6"/>
    <w:rsid w:val="00E1038F"/>
    <w:rsid w:val="00E10FAD"/>
    <w:rsid w:val="00E1197D"/>
    <w:rsid w:val="00E128D1"/>
    <w:rsid w:val="00E12947"/>
    <w:rsid w:val="00E12A20"/>
    <w:rsid w:val="00E13408"/>
    <w:rsid w:val="00E13702"/>
    <w:rsid w:val="00E14692"/>
    <w:rsid w:val="00E148D3"/>
    <w:rsid w:val="00E14FD5"/>
    <w:rsid w:val="00E1580B"/>
    <w:rsid w:val="00E16094"/>
    <w:rsid w:val="00E16787"/>
    <w:rsid w:val="00E17DAE"/>
    <w:rsid w:val="00E2190D"/>
    <w:rsid w:val="00E227CA"/>
    <w:rsid w:val="00E235AB"/>
    <w:rsid w:val="00E2375F"/>
    <w:rsid w:val="00E24369"/>
    <w:rsid w:val="00E2504F"/>
    <w:rsid w:val="00E25FB7"/>
    <w:rsid w:val="00E26E95"/>
    <w:rsid w:val="00E2745A"/>
    <w:rsid w:val="00E30E56"/>
    <w:rsid w:val="00E31064"/>
    <w:rsid w:val="00E314CE"/>
    <w:rsid w:val="00E3159D"/>
    <w:rsid w:val="00E3188F"/>
    <w:rsid w:val="00E31A15"/>
    <w:rsid w:val="00E31BB0"/>
    <w:rsid w:val="00E35EEB"/>
    <w:rsid w:val="00E37013"/>
    <w:rsid w:val="00E37270"/>
    <w:rsid w:val="00E40093"/>
    <w:rsid w:val="00E40349"/>
    <w:rsid w:val="00E405FA"/>
    <w:rsid w:val="00E427D1"/>
    <w:rsid w:val="00E4323E"/>
    <w:rsid w:val="00E43FED"/>
    <w:rsid w:val="00E44504"/>
    <w:rsid w:val="00E44874"/>
    <w:rsid w:val="00E44CD5"/>
    <w:rsid w:val="00E4643F"/>
    <w:rsid w:val="00E47A82"/>
    <w:rsid w:val="00E5022E"/>
    <w:rsid w:val="00E504B7"/>
    <w:rsid w:val="00E50D46"/>
    <w:rsid w:val="00E519D7"/>
    <w:rsid w:val="00E51C21"/>
    <w:rsid w:val="00E51E41"/>
    <w:rsid w:val="00E51F4B"/>
    <w:rsid w:val="00E538C7"/>
    <w:rsid w:val="00E5424C"/>
    <w:rsid w:val="00E54B40"/>
    <w:rsid w:val="00E56835"/>
    <w:rsid w:val="00E56CA7"/>
    <w:rsid w:val="00E57617"/>
    <w:rsid w:val="00E57847"/>
    <w:rsid w:val="00E57FE3"/>
    <w:rsid w:val="00E61533"/>
    <w:rsid w:val="00E61B9D"/>
    <w:rsid w:val="00E623CB"/>
    <w:rsid w:val="00E627EC"/>
    <w:rsid w:val="00E6407A"/>
    <w:rsid w:val="00E64755"/>
    <w:rsid w:val="00E647DF"/>
    <w:rsid w:val="00E6499D"/>
    <w:rsid w:val="00E64B2B"/>
    <w:rsid w:val="00E64FEA"/>
    <w:rsid w:val="00E66D08"/>
    <w:rsid w:val="00E67D2F"/>
    <w:rsid w:val="00E713B1"/>
    <w:rsid w:val="00E715DD"/>
    <w:rsid w:val="00E71780"/>
    <w:rsid w:val="00E7203E"/>
    <w:rsid w:val="00E7280A"/>
    <w:rsid w:val="00E739EB"/>
    <w:rsid w:val="00E745A3"/>
    <w:rsid w:val="00E749C5"/>
    <w:rsid w:val="00E74CB4"/>
    <w:rsid w:val="00E75247"/>
    <w:rsid w:val="00E75618"/>
    <w:rsid w:val="00E759E1"/>
    <w:rsid w:val="00E767AD"/>
    <w:rsid w:val="00E76A4B"/>
    <w:rsid w:val="00E77187"/>
    <w:rsid w:val="00E772D0"/>
    <w:rsid w:val="00E8095F"/>
    <w:rsid w:val="00E80C9C"/>
    <w:rsid w:val="00E8102A"/>
    <w:rsid w:val="00E81195"/>
    <w:rsid w:val="00E8203B"/>
    <w:rsid w:val="00E838E5"/>
    <w:rsid w:val="00E83F92"/>
    <w:rsid w:val="00E84137"/>
    <w:rsid w:val="00E842BE"/>
    <w:rsid w:val="00E84C4B"/>
    <w:rsid w:val="00E8583F"/>
    <w:rsid w:val="00E866A5"/>
    <w:rsid w:val="00E86BC7"/>
    <w:rsid w:val="00E86D94"/>
    <w:rsid w:val="00E90A87"/>
    <w:rsid w:val="00E91931"/>
    <w:rsid w:val="00E925AA"/>
    <w:rsid w:val="00E93AC8"/>
    <w:rsid w:val="00E941FD"/>
    <w:rsid w:val="00E94FA6"/>
    <w:rsid w:val="00E950E8"/>
    <w:rsid w:val="00E958C4"/>
    <w:rsid w:val="00E95F99"/>
    <w:rsid w:val="00E97496"/>
    <w:rsid w:val="00E978BC"/>
    <w:rsid w:val="00E97F08"/>
    <w:rsid w:val="00EA1DDE"/>
    <w:rsid w:val="00EA2956"/>
    <w:rsid w:val="00EA3C53"/>
    <w:rsid w:val="00EA4616"/>
    <w:rsid w:val="00EA4CE0"/>
    <w:rsid w:val="00EA5D21"/>
    <w:rsid w:val="00EA72F0"/>
    <w:rsid w:val="00EB0DD3"/>
    <w:rsid w:val="00EB136F"/>
    <w:rsid w:val="00EB200F"/>
    <w:rsid w:val="00EB23B2"/>
    <w:rsid w:val="00EB39D0"/>
    <w:rsid w:val="00EB4BCD"/>
    <w:rsid w:val="00EB4FF7"/>
    <w:rsid w:val="00EB546D"/>
    <w:rsid w:val="00EB5AC2"/>
    <w:rsid w:val="00EB67DC"/>
    <w:rsid w:val="00EB6BA9"/>
    <w:rsid w:val="00EB7046"/>
    <w:rsid w:val="00EC023B"/>
    <w:rsid w:val="00EC0DCA"/>
    <w:rsid w:val="00EC0F1B"/>
    <w:rsid w:val="00EC10DE"/>
    <w:rsid w:val="00EC1E64"/>
    <w:rsid w:val="00EC2067"/>
    <w:rsid w:val="00EC28D1"/>
    <w:rsid w:val="00EC2C47"/>
    <w:rsid w:val="00EC32D1"/>
    <w:rsid w:val="00EC35EA"/>
    <w:rsid w:val="00EC509D"/>
    <w:rsid w:val="00EC5297"/>
    <w:rsid w:val="00EC692B"/>
    <w:rsid w:val="00EC7596"/>
    <w:rsid w:val="00EC7C2F"/>
    <w:rsid w:val="00ED0F61"/>
    <w:rsid w:val="00ED1A59"/>
    <w:rsid w:val="00ED2674"/>
    <w:rsid w:val="00ED394F"/>
    <w:rsid w:val="00ED3C9E"/>
    <w:rsid w:val="00ED4190"/>
    <w:rsid w:val="00ED4ED4"/>
    <w:rsid w:val="00ED5DBA"/>
    <w:rsid w:val="00ED706E"/>
    <w:rsid w:val="00EE06AA"/>
    <w:rsid w:val="00EE08BD"/>
    <w:rsid w:val="00EE143B"/>
    <w:rsid w:val="00EE1C14"/>
    <w:rsid w:val="00EE1DCB"/>
    <w:rsid w:val="00EE2B6E"/>
    <w:rsid w:val="00EE3168"/>
    <w:rsid w:val="00EE3DAD"/>
    <w:rsid w:val="00EE4D3C"/>
    <w:rsid w:val="00EE5293"/>
    <w:rsid w:val="00EE5523"/>
    <w:rsid w:val="00EE584D"/>
    <w:rsid w:val="00EE5E0A"/>
    <w:rsid w:val="00EE61EE"/>
    <w:rsid w:val="00EE6D17"/>
    <w:rsid w:val="00EE70B4"/>
    <w:rsid w:val="00EE713D"/>
    <w:rsid w:val="00EE730E"/>
    <w:rsid w:val="00EF1B9F"/>
    <w:rsid w:val="00EF1C12"/>
    <w:rsid w:val="00EF2905"/>
    <w:rsid w:val="00EF2D61"/>
    <w:rsid w:val="00EF35E1"/>
    <w:rsid w:val="00EF41FA"/>
    <w:rsid w:val="00EF47E4"/>
    <w:rsid w:val="00EF50CA"/>
    <w:rsid w:val="00EF540A"/>
    <w:rsid w:val="00EF5830"/>
    <w:rsid w:val="00EF5D01"/>
    <w:rsid w:val="00EF6E8E"/>
    <w:rsid w:val="00EF7A1A"/>
    <w:rsid w:val="00EF7A85"/>
    <w:rsid w:val="00F0059F"/>
    <w:rsid w:val="00F005B4"/>
    <w:rsid w:val="00F009C7"/>
    <w:rsid w:val="00F02C95"/>
    <w:rsid w:val="00F02FBE"/>
    <w:rsid w:val="00F03875"/>
    <w:rsid w:val="00F03E34"/>
    <w:rsid w:val="00F04517"/>
    <w:rsid w:val="00F04F54"/>
    <w:rsid w:val="00F04FC6"/>
    <w:rsid w:val="00F05377"/>
    <w:rsid w:val="00F060AB"/>
    <w:rsid w:val="00F064A6"/>
    <w:rsid w:val="00F06EA7"/>
    <w:rsid w:val="00F10F52"/>
    <w:rsid w:val="00F11942"/>
    <w:rsid w:val="00F13418"/>
    <w:rsid w:val="00F13A08"/>
    <w:rsid w:val="00F14065"/>
    <w:rsid w:val="00F15095"/>
    <w:rsid w:val="00F151C4"/>
    <w:rsid w:val="00F1553D"/>
    <w:rsid w:val="00F1572C"/>
    <w:rsid w:val="00F205D4"/>
    <w:rsid w:val="00F20989"/>
    <w:rsid w:val="00F21586"/>
    <w:rsid w:val="00F2182F"/>
    <w:rsid w:val="00F2266E"/>
    <w:rsid w:val="00F23199"/>
    <w:rsid w:val="00F23D38"/>
    <w:rsid w:val="00F23DA6"/>
    <w:rsid w:val="00F246A3"/>
    <w:rsid w:val="00F26DDF"/>
    <w:rsid w:val="00F26DF6"/>
    <w:rsid w:val="00F27039"/>
    <w:rsid w:val="00F27212"/>
    <w:rsid w:val="00F272BD"/>
    <w:rsid w:val="00F2792F"/>
    <w:rsid w:val="00F27E83"/>
    <w:rsid w:val="00F30215"/>
    <w:rsid w:val="00F318C2"/>
    <w:rsid w:val="00F32E45"/>
    <w:rsid w:val="00F32E91"/>
    <w:rsid w:val="00F33477"/>
    <w:rsid w:val="00F34000"/>
    <w:rsid w:val="00F3419F"/>
    <w:rsid w:val="00F34708"/>
    <w:rsid w:val="00F35851"/>
    <w:rsid w:val="00F35EE7"/>
    <w:rsid w:val="00F3625C"/>
    <w:rsid w:val="00F363A3"/>
    <w:rsid w:val="00F370E9"/>
    <w:rsid w:val="00F37C4B"/>
    <w:rsid w:val="00F40067"/>
    <w:rsid w:val="00F41D68"/>
    <w:rsid w:val="00F42863"/>
    <w:rsid w:val="00F4382E"/>
    <w:rsid w:val="00F438BB"/>
    <w:rsid w:val="00F43B59"/>
    <w:rsid w:val="00F4433D"/>
    <w:rsid w:val="00F455DE"/>
    <w:rsid w:val="00F458FA"/>
    <w:rsid w:val="00F45A11"/>
    <w:rsid w:val="00F46E78"/>
    <w:rsid w:val="00F473E3"/>
    <w:rsid w:val="00F5085A"/>
    <w:rsid w:val="00F50C97"/>
    <w:rsid w:val="00F51225"/>
    <w:rsid w:val="00F5135A"/>
    <w:rsid w:val="00F51400"/>
    <w:rsid w:val="00F53A37"/>
    <w:rsid w:val="00F541FD"/>
    <w:rsid w:val="00F543FF"/>
    <w:rsid w:val="00F54540"/>
    <w:rsid w:val="00F54589"/>
    <w:rsid w:val="00F545F0"/>
    <w:rsid w:val="00F5463C"/>
    <w:rsid w:val="00F54F24"/>
    <w:rsid w:val="00F56235"/>
    <w:rsid w:val="00F56237"/>
    <w:rsid w:val="00F568A2"/>
    <w:rsid w:val="00F575AF"/>
    <w:rsid w:val="00F57CE1"/>
    <w:rsid w:val="00F608BA"/>
    <w:rsid w:val="00F61664"/>
    <w:rsid w:val="00F61B1F"/>
    <w:rsid w:val="00F61C8D"/>
    <w:rsid w:val="00F64C66"/>
    <w:rsid w:val="00F65152"/>
    <w:rsid w:val="00F65432"/>
    <w:rsid w:val="00F66CBC"/>
    <w:rsid w:val="00F6734D"/>
    <w:rsid w:val="00F70995"/>
    <w:rsid w:val="00F70C7C"/>
    <w:rsid w:val="00F71DDF"/>
    <w:rsid w:val="00F73839"/>
    <w:rsid w:val="00F75D00"/>
    <w:rsid w:val="00F76A83"/>
    <w:rsid w:val="00F800B0"/>
    <w:rsid w:val="00F80C91"/>
    <w:rsid w:val="00F81BAA"/>
    <w:rsid w:val="00F82F74"/>
    <w:rsid w:val="00F830DA"/>
    <w:rsid w:val="00F8467B"/>
    <w:rsid w:val="00F84F8F"/>
    <w:rsid w:val="00F86582"/>
    <w:rsid w:val="00F86D6D"/>
    <w:rsid w:val="00F878EA"/>
    <w:rsid w:val="00F87C8D"/>
    <w:rsid w:val="00F9093C"/>
    <w:rsid w:val="00F92959"/>
    <w:rsid w:val="00F92EA6"/>
    <w:rsid w:val="00F9391E"/>
    <w:rsid w:val="00F939CC"/>
    <w:rsid w:val="00F93BA1"/>
    <w:rsid w:val="00F944BC"/>
    <w:rsid w:val="00F9455F"/>
    <w:rsid w:val="00F96A8F"/>
    <w:rsid w:val="00F97AE4"/>
    <w:rsid w:val="00FA0427"/>
    <w:rsid w:val="00FA0500"/>
    <w:rsid w:val="00FA112E"/>
    <w:rsid w:val="00FA1E0F"/>
    <w:rsid w:val="00FA2139"/>
    <w:rsid w:val="00FA226C"/>
    <w:rsid w:val="00FA275D"/>
    <w:rsid w:val="00FA2E8B"/>
    <w:rsid w:val="00FA3695"/>
    <w:rsid w:val="00FA3D8D"/>
    <w:rsid w:val="00FA489A"/>
    <w:rsid w:val="00FA5071"/>
    <w:rsid w:val="00FA512B"/>
    <w:rsid w:val="00FA6142"/>
    <w:rsid w:val="00FA6421"/>
    <w:rsid w:val="00FA6912"/>
    <w:rsid w:val="00FA6F64"/>
    <w:rsid w:val="00FB0BB7"/>
    <w:rsid w:val="00FB1966"/>
    <w:rsid w:val="00FB2093"/>
    <w:rsid w:val="00FB22E7"/>
    <w:rsid w:val="00FB2312"/>
    <w:rsid w:val="00FB39AE"/>
    <w:rsid w:val="00FB3C15"/>
    <w:rsid w:val="00FB3EE1"/>
    <w:rsid w:val="00FB3F0C"/>
    <w:rsid w:val="00FB4001"/>
    <w:rsid w:val="00FB5BAE"/>
    <w:rsid w:val="00FB77A2"/>
    <w:rsid w:val="00FC006B"/>
    <w:rsid w:val="00FC0F19"/>
    <w:rsid w:val="00FC1C66"/>
    <w:rsid w:val="00FC26FB"/>
    <w:rsid w:val="00FC2918"/>
    <w:rsid w:val="00FC2DA3"/>
    <w:rsid w:val="00FC3195"/>
    <w:rsid w:val="00FC3559"/>
    <w:rsid w:val="00FC4B94"/>
    <w:rsid w:val="00FC4C4B"/>
    <w:rsid w:val="00FC55C8"/>
    <w:rsid w:val="00FC5B6D"/>
    <w:rsid w:val="00FC5DA0"/>
    <w:rsid w:val="00FC6167"/>
    <w:rsid w:val="00FC6209"/>
    <w:rsid w:val="00FC72FF"/>
    <w:rsid w:val="00FC7B0C"/>
    <w:rsid w:val="00FC7CCB"/>
    <w:rsid w:val="00FD04F8"/>
    <w:rsid w:val="00FD0579"/>
    <w:rsid w:val="00FD057B"/>
    <w:rsid w:val="00FD1D75"/>
    <w:rsid w:val="00FD1F3A"/>
    <w:rsid w:val="00FD243C"/>
    <w:rsid w:val="00FD32F9"/>
    <w:rsid w:val="00FD3B9C"/>
    <w:rsid w:val="00FD620F"/>
    <w:rsid w:val="00FD6312"/>
    <w:rsid w:val="00FD6E6D"/>
    <w:rsid w:val="00FE13A8"/>
    <w:rsid w:val="00FE1892"/>
    <w:rsid w:val="00FE2303"/>
    <w:rsid w:val="00FE2EE9"/>
    <w:rsid w:val="00FE2FAC"/>
    <w:rsid w:val="00FE39E6"/>
    <w:rsid w:val="00FE4C67"/>
    <w:rsid w:val="00FE6A48"/>
    <w:rsid w:val="00FE7F88"/>
    <w:rsid w:val="00FF0307"/>
    <w:rsid w:val="00FF1737"/>
    <w:rsid w:val="00FF1802"/>
    <w:rsid w:val="00FF247B"/>
    <w:rsid w:val="00FF2AD9"/>
    <w:rsid w:val="00FF53E7"/>
    <w:rsid w:val="00FF5A05"/>
    <w:rsid w:val="00FF72CF"/>
    <w:rsid w:val="00FF780D"/>
    <w:rsid w:val="00FF7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48"/>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20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913EF"/>
    <w:pPr>
      <w:keepNext/>
      <w:keepLines/>
      <w:spacing w:before="240" w:after="120" w:line="240" w:lineRule="auto"/>
      <w:jc w:val="both"/>
      <w:outlineLvl w:val="1"/>
    </w:pPr>
    <w:rPr>
      <w:rFonts w:asciiTheme="majorHAnsi" w:eastAsiaTheme="majorEastAsia" w:hAnsiTheme="majorHAnsi" w:cstheme="majorBidi"/>
      <w:b/>
      <w:bCs/>
      <w:color w:val="4F81BD" w:themeColor="accent1"/>
      <w:sz w:val="26"/>
      <w:szCs w:val="26"/>
      <w:lang w:val="pl-PL"/>
    </w:rPr>
  </w:style>
  <w:style w:type="paragraph" w:styleId="Nagwek3">
    <w:name w:val="heading 3"/>
    <w:basedOn w:val="Normalny"/>
    <w:next w:val="Normalny"/>
    <w:link w:val="Nagwek3Znak"/>
    <w:uiPriority w:val="9"/>
    <w:unhideWhenUsed/>
    <w:qFormat/>
    <w:rsid w:val="00A76E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913EF"/>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rsid w:val="00A76ED3"/>
    <w:rPr>
      <w:rFonts w:asciiTheme="majorHAnsi" w:eastAsiaTheme="majorEastAsia" w:hAnsiTheme="majorHAnsi" w:cstheme="majorBidi"/>
      <w:b/>
      <w:bCs/>
      <w:color w:val="4F81BD" w:themeColor="accent1"/>
    </w:rPr>
  </w:style>
  <w:style w:type="paragraph" w:styleId="Akapitzlist">
    <w:name w:val="List Paragraph"/>
    <w:basedOn w:val="Normalny"/>
    <w:link w:val="AkapitzlistZnak"/>
    <w:uiPriority w:val="34"/>
    <w:qFormat/>
    <w:rsid w:val="00320FF3"/>
    <w:pPr>
      <w:ind w:left="720"/>
      <w:contextualSpacing/>
    </w:pPr>
  </w:style>
  <w:style w:type="paragraph" w:styleId="Tekstprzypisukocowego">
    <w:name w:val="endnote text"/>
    <w:basedOn w:val="Normalny"/>
    <w:link w:val="TekstprzypisukocowegoZnak"/>
    <w:semiHidden/>
    <w:unhideWhenUsed/>
    <w:rsid w:val="00327846"/>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327846"/>
    <w:rPr>
      <w:sz w:val="20"/>
      <w:szCs w:val="20"/>
    </w:rPr>
  </w:style>
  <w:style w:type="character" w:styleId="Odwoanieprzypisukocowego">
    <w:name w:val="endnote reference"/>
    <w:basedOn w:val="Domylnaczcionkaakapitu"/>
    <w:semiHidden/>
    <w:unhideWhenUsed/>
    <w:rsid w:val="00327846"/>
    <w:rPr>
      <w:vertAlign w:val="superscript"/>
    </w:rPr>
  </w:style>
  <w:style w:type="character" w:styleId="Odwoaniedokomentarza">
    <w:name w:val="annotation reference"/>
    <w:basedOn w:val="Domylnaczcionkaakapitu"/>
    <w:semiHidden/>
    <w:unhideWhenUsed/>
    <w:rsid w:val="00911A54"/>
    <w:rPr>
      <w:sz w:val="16"/>
      <w:szCs w:val="16"/>
    </w:rPr>
  </w:style>
  <w:style w:type="paragraph" w:styleId="Tekstkomentarza">
    <w:name w:val="annotation text"/>
    <w:basedOn w:val="Normalny"/>
    <w:link w:val="TekstkomentarzaZnak"/>
    <w:uiPriority w:val="99"/>
    <w:semiHidden/>
    <w:unhideWhenUsed/>
    <w:rsid w:val="00911A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A54"/>
    <w:rPr>
      <w:sz w:val="20"/>
      <w:szCs w:val="20"/>
    </w:rPr>
  </w:style>
  <w:style w:type="paragraph" w:styleId="Tematkomentarza">
    <w:name w:val="annotation subject"/>
    <w:basedOn w:val="Tekstkomentarza"/>
    <w:next w:val="Tekstkomentarza"/>
    <w:link w:val="TematkomentarzaZnak"/>
    <w:uiPriority w:val="99"/>
    <w:semiHidden/>
    <w:unhideWhenUsed/>
    <w:rsid w:val="00911A54"/>
    <w:rPr>
      <w:b/>
      <w:bCs/>
    </w:rPr>
  </w:style>
  <w:style w:type="character" w:customStyle="1" w:styleId="TematkomentarzaZnak">
    <w:name w:val="Temat komentarza Znak"/>
    <w:basedOn w:val="TekstkomentarzaZnak"/>
    <w:link w:val="Tematkomentarza"/>
    <w:uiPriority w:val="99"/>
    <w:semiHidden/>
    <w:rsid w:val="00911A54"/>
    <w:rPr>
      <w:b/>
      <w:bCs/>
      <w:sz w:val="20"/>
      <w:szCs w:val="20"/>
    </w:rPr>
  </w:style>
  <w:style w:type="paragraph" w:styleId="Tekstdymka">
    <w:name w:val="Balloon Text"/>
    <w:basedOn w:val="Normalny"/>
    <w:link w:val="TekstdymkaZnak"/>
    <w:uiPriority w:val="99"/>
    <w:semiHidden/>
    <w:unhideWhenUsed/>
    <w:rsid w:val="00911A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A54"/>
    <w:rPr>
      <w:rFonts w:ascii="Tahoma" w:hAnsi="Tahoma" w:cs="Tahoma"/>
      <w:sz w:val="16"/>
      <w:szCs w:val="16"/>
    </w:rPr>
  </w:style>
  <w:style w:type="paragraph" w:styleId="Nagwek">
    <w:name w:val="header"/>
    <w:basedOn w:val="Normalny"/>
    <w:link w:val="NagwekZnak"/>
    <w:uiPriority w:val="48"/>
    <w:unhideWhenUsed/>
    <w:rsid w:val="0016083C"/>
    <w:pPr>
      <w:tabs>
        <w:tab w:val="center" w:pos="4536"/>
        <w:tab w:val="right" w:pos="9072"/>
      </w:tabs>
      <w:spacing w:after="0" w:line="240" w:lineRule="auto"/>
    </w:pPr>
  </w:style>
  <w:style w:type="character" w:customStyle="1" w:styleId="NagwekZnak">
    <w:name w:val="Nagłówek Znak"/>
    <w:basedOn w:val="Domylnaczcionkaakapitu"/>
    <w:link w:val="Nagwek"/>
    <w:uiPriority w:val="48"/>
    <w:rsid w:val="0016083C"/>
  </w:style>
  <w:style w:type="paragraph" w:styleId="Stopka">
    <w:name w:val="footer"/>
    <w:basedOn w:val="Normalny"/>
    <w:link w:val="StopkaZnak"/>
    <w:uiPriority w:val="99"/>
    <w:unhideWhenUsed/>
    <w:rsid w:val="001608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83C"/>
  </w:style>
  <w:style w:type="character" w:customStyle="1" w:styleId="JuParaChar">
    <w:name w:val="Ju_Para Char"/>
    <w:aliases w:val="ECHR_Para Char,Para Char"/>
    <w:link w:val="ECHRPara"/>
    <w:uiPriority w:val="12"/>
    <w:locked/>
    <w:rsid w:val="00D9108F"/>
    <w:rPr>
      <w:rFonts w:ascii="MS Mincho" w:eastAsiaTheme="minorEastAsia" w:hAnsi="MS Mincho"/>
      <w:sz w:val="24"/>
    </w:rPr>
  </w:style>
  <w:style w:type="paragraph" w:customStyle="1" w:styleId="ECHRPara">
    <w:name w:val="ECHR_Para"/>
    <w:aliases w:val="Ju_Para,Para,Left,First line:  0 cm,N_Para"/>
    <w:basedOn w:val="Normalny"/>
    <w:link w:val="JuParaChar"/>
    <w:uiPriority w:val="12"/>
    <w:qFormat/>
    <w:rsid w:val="00D9108F"/>
    <w:pPr>
      <w:spacing w:after="0" w:line="240" w:lineRule="auto"/>
      <w:ind w:firstLine="284"/>
      <w:jc w:val="both"/>
    </w:pPr>
    <w:rPr>
      <w:rFonts w:ascii="MS Mincho" w:eastAsiaTheme="minorEastAsia" w:hAnsi="MS Mincho"/>
      <w:sz w:val="24"/>
    </w:rPr>
  </w:style>
  <w:style w:type="paragraph" w:customStyle="1" w:styleId="ClinContent">
    <w:name w:val="ClinContent"/>
    <w:basedOn w:val="Normalny"/>
    <w:qFormat/>
    <w:rsid w:val="00CD4A51"/>
    <w:pPr>
      <w:spacing w:before="240" w:after="0" w:line="240" w:lineRule="auto"/>
      <w:jc w:val="both"/>
    </w:pPr>
    <w:rPr>
      <w:rFonts w:ascii="Verdana" w:eastAsia="Times New Roman" w:hAnsi="Verdana" w:cs="Times New Roman"/>
      <w:sz w:val="20"/>
      <w:szCs w:val="24"/>
      <w:lang w:eastAsia="en-GB"/>
    </w:rPr>
  </w:style>
  <w:style w:type="character" w:styleId="Hipercze">
    <w:name w:val="Hyperlink"/>
    <w:basedOn w:val="Domylnaczcionkaakapitu"/>
    <w:uiPriority w:val="99"/>
    <w:qFormat/>
    <w:rsid w:val="00B417A9"/>
    <w:rPr>
      <w:color w:val="0000FF" w:themeColor="hyperlink"/>
      <w:u w:val="single"/>
    </w:rPr>
  </w:style>
  <w:style w:type="character" w:customStyle="1" w:styleId="JuParaCar">
    <w:name w:val="Ju_Para Car"/>
    <w:uiPriority w:val="12"/>
    <w:locked/>
    <w:rsid w:val="001E08C7"/>
    <w:rPr>
      <w:rFonts w:ascii="MS Mincho" w:eastAsiaTheme="minorEastAsia" w:hAnsi="MS Mincho"/>
      <w:sz w:val="24"/>
    </w:rPr>
  </w:style>
  <w:style w:type="character" w:customStyle="1" w:styleId="ClinConclusions">
    <w:name w:val="ClinConclusions"/>
    <w:basedOn w:val="Domylnaczcionkaakapitu"/>
    <w:qFormat/>
    <w:rsid w:val="004F19D2"/>
    <w:rPr>
      <w:rFonts w:ascii="Verdana" w:hAnsi="Verdana" w:cs="Times New Roman"/>
      <w:i/>
      <w:iCs/>
      <w:color w:val="auto"/>
    </w:rPr>
  </w:style>
  <w:style w:type="character" w:customStyle="1" w:styleId="AkapitzlistZnak">
    <w:name w:val="Akapit z listą Znak"/>
    <w:link w:val="Akapitzlist"/>
    <w:uiPriority w:val="34"/>
    <w:locked/>
    <w:rsid w:val="00020B06"/>
  </w:style>
  <w:style w:type="character" w:customStyle="1" w:styleId="Nagwek1Znak">
    <w:name w:val="Nagłówek 1 Znak"/>
    <w:basedOn w:val="Domylnaczcionkaakapitu"/>
    <w:link w:val="Nagwek1"/>
    <w:uiPriority w:val="9"/>
    <w:rsid w:val="00020B0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8913EF"/>
    <w:pPr>
      <w:outlineLvl w:val="9"/>
    </w:pPr>
    <w:rPr>
      <w:lang w:eastAsia="en-GB"/>
    </w:rPr>
  </w:style>
  <w:style w:type="paragraph" w:styleId="Spistreci1">
    <w:name w:val="toc 1"/>
    <w:basedOn w:val="Normalny"/>
    <w:next w:val="Normalny"/>
    <w:autoRedefine/>
    <w:uiPriority w:val="39"/>
    <w:unhideWhenUsed/>
    <w:rsid w:val="008913EF"/>
    <w:pPr>
      <w:spacing w:after="100"/>
    </w:pPr>
  </w:style>
  <w:style w:type="paragraph" w:styleId="Spistreci2">
    <w:name w:val="toc 2"/>
    <w:basedOn w:val="Normalny"/>
    <w:next w:val="Normalny"/>
    <w:autoRedefine/>
    <w:uiPriority w:val="39"/>
    <w:unhideWhenUsed/>
    <w:rsid w:val="008913EF"/>
    <w:pPr>
      <w:spacing w:after="100"/>
      <w:ind w:left="220"/>
    </w:pPr>
  </w:style>
  <w:style w:type="character" w:customStyle="1" w:styleId="s7d2086b4">
    <w:name w:val="s7d2086b4"/>
    <w:basedOn w:val="Domylnaczcionkaakapitu"/>
    <w:rsid w:val="006C0553"/>
  </w:style>
  <w:style w:type="character" w:customStyle="1" w:styleId="sb8d990e2">
    <w:name w:val="sb8d990e2"/>
    <w:basedOn w:val="Domylnaczcionkaakapitu"/>
    <w:rsid w:val="00C45367"/>
  </w:style>
  <w:style w:type="paragraph" w:styleId="Tekstprzypisudolnego">
    <w:name w:val="footnote text"/>
    <w:basedOn w:val="Normalny"/>
    <w:link w:val="TekstprzypisudolnegoZnak"/>
    <w:unhideWhenUsed/>
    <w:rsid w:val="004D3D89"/>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rPr>
  </w:style>
  <w:style w:type="character" w:customStyle="1" w:styleId="TekstprzypisudolnegoZnak">
    <w:name w:val="Tekst przypisu dolnego Znak"/>
    <w:basedOn w:val="Domylnaczcionkaakapitu"/>
    <w:link w:val="Tekstprzypisudolnego"/>
    <w:rsid w:val="004D3D89"/>
    <w:rPr>
      <w:rFonts w:ascii="Calibri" w:eastAsia="Calibri" w:hAnsi="Calibri" w:cs="Calibri"/>
      <w:color w:val="000000"/>
      <w:sz w:val="20"/>
      <w:szCs w:val="20"/>
      <w:u w:color="000000"/>
      <w:bdr w:val="nil"/>
      <w:lang w:val="en-US"/>
    </w:rPr>
  </w:style>
  <w:style w:type="character" w:styleId="Odwoanieprzypisudolnego">
    <w:name w:val="footnote reference"/>
    <w:basedOn w:val="Domylnaczcionkaakapitu"/>
    <w:uiPriority w:val="99"/>
    <w:semiHidden/>
    <w:unhideWhenUsed/>
    <w:rsid w:val="004D3D89"/>
    <w:rPr>
      <w:vertAlign w:val="superscript"/>
    </w:rPr>
  </w:style>
  <w:style w:type="paragraph" w:customStyle="1" w:styleId="s1bd70772">
    <w:name w:val="s1bd70772"/>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fbbfee58">
    <w:name w:val="sfbbfee58"/>
    <w:basedOn w:val="Domylnaczcionkaakapitu"/>
    <w:rsid w:val="004D3D89"/>
  </w:style>
  <w:style w:type="paragraph" w:customStyle="1" w:styleId="s6c429373">
    <w:name w:val="s6c429373"/>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ps">
    <w:name w:val="hps"/>
    <w:basedOn w:val="Domylnaczcionkaakapitu"/>
    <w:rsid w:val="004D3D89"/>
  </w:style>
  <w:style w:type="character" w:customStyle="1" w:styleId="atn">
    <w:name w:val="atn"/>
    <w:basedOn w:val="Domylnaczcionkaakapitu"/>
    <w:rsid w:val="004D3D89"/>
  </w:style>
  <w:style w:type="paragraph" w:styleId="Spistreci3">
    <w:name w:val="toc 3"/>
    <w:basedOn w:val="Normalny"/>
    <w:next w:val="Normalny"/>
    <w:autoRedefine/>
    <w:uiPriority w:val="39"/>
    <w:unhideWhenUsed/>
    <w:rsid w:val="00694FAD"/>
    <w:pPr>
      <w:spacing w:after="100"/>
      <w:ind w:left="440"/>
    </w:pPr>
  </w:style>
  <w:style w:type="paragraph" w:customStyle="1" w:styleId="JuList">
    <w:name w:val="Ju_List"/>
    <w:basedOn w:val="Normalny"/>
    <w:uiPriority w:val="28"/>
    <w:qFormat/>
    <w:rsid w:val="004C6C49"/>
    <w:pPr>
      <w:spacing w:after="0" w:line="240" w:lineRule="auto"/>
      <w:ind w:left="340" w:hanging="340"/>
      <w:jc w:val="both"/>
    </w:pPr>
    <w:rPr>
      <w:rFonts w:eastAsiaTheme="minorEastAsia"/>
      <w:sz w:val="24"/>
      <w:lang w:val="en-US"/>
    </w:rPr>
  </w:style>
  <w:style w:type="paragraph" w:customStyle="1" w:styleId="ECHRParaQuote">
    <w:name w:val="ECHR_Para_Quote"/>
    <w:aliases w:val="Ju_Quot,Para_Quote"/>
    <w:basedOn w:val="Normalny"/>
    <w:link w:val="JuQuotChar"/>
    <w:qFormat/>
    <w:rsid w:val="007E0D7C"/>
    <w:pPr>
      <w:spacing w:before="120" w:after="120" w:line="240" w:lineRule="auto"/>
      <w:ind w:left="425" w:firstLine="142"/>
      <w:jc w:val="both"/>
    </w:pPr>
    <w:rPr>
      <w:rFonts w:eastAsiaTheme="minorEastAsia"/>
      <w:sz w:val="20"/>
      <w:lang w:val="en-US"/>
    </w:rPr>
  </w:style>
  <w:style w:type="character" w:customStyle="1" w:styleId="s1a844bc0">
    <w:name w:val="s1a844bc0"/>
    <w:basedOn w:val="Domylnaczcionkaakapitu"/>
    <w:rsid w:val="004E4FF7"/>
  </w:style>
  <w:style w:type="character" w:customStyle="1" w:styleId="JuQuotChar">
    <w:name w:val="Ju_Quot Char"/>
    <w:link w:val="ECHRParaQuote"/>
    <w:rsid w:val="00FC4C4B"/>
    <w:rPr>
      <w:rFonts w:eastAsiaTheme="minorEastAsia"/>
      <w:sz w:val="20"/>
      <w:lang w:val="en-US"/>
    </w:rPr>
  </w:style>
  <w:style w:type="character" w:styleId="UyteHipercze">
    <w:name w:val="FollowedHyperlink"/>
    <w:basedOn w:val="Domylnaczcionkaakapitu"/>
    <w:uiPriority w:val="99"/>
    <w:semiHidden/>
    <w:unhideWhenUsed/>
    <w:rsid w:val="00FC7CCB"/>
    <w:rPr>
      <w:color w:val="800080" w:themeColor="followedHyperlink"/>
      <w:u w:val="single"/>
    </w:rPr>
  </w:style>
  <w:style w:type="character" w:styleId="Pogrubienie">
    <w:name w:val="Strong"/>
    <w:basedOn w:val="Domylnaczcionkaakapitu"/>
    <w:uiPriority w:val="22"/>
    <w:qFormat/>
    <w:rsid w:val="00CB2730"/>
    <w:rPr>
      <w:b/>
      <w:bCs/>
    </w:rPr>
  </w:style>
  <w:style w:type="paragraph" w:customStyle="1" w:styleId="ClinMainKeywordCode">
    <w:name w:val="ClinMainKeywordCode"/>
    <w:basedOn w:val="Normalny"/>
    <w:next w:val="Normalny"/>
    <w:qFormat/>
    <w:rsid w:val="00465D81"/>
    <w:pPr>
      <w:keepNext/>
      <w:spacing w:before="240" w:after="240" w:line="240" w:lineRule="auto"/>
    </w:pPr>
    <w:rPr>
      <w:rFonts w:ascii="Verdana" w:eastAsia="Times New Roman" w:hAnsi="Verdana" w:cs="Times New Roman"/>
      <w:b/>
      <w:sz w:val="24"/>
      <w:szCs w:val="32"/>
      <w:lang w:eastAsia="en-GB"/>
    </w:rPr>
  </w:style>
  <w:style w:type="paragraph" w:customStyle="1" w:styleId="ClinChildKeywordCode">
    <w:name w:val="ClinChildKeywordCode"/>
    <w:basedOn w:val="Normalny"/>
    <w:next w:val="Normalny"/>
    <w:qFormat/>
    <w:rsid w:val="00465D81"/>
    <w:pPr>
      <w:spacing w:before="240" w:after="240" w:line="240" w:lineRule="auto"/>
    </w:pPr>
    <w:rPr>
      <w:rFonts w:ascii="Verdana" w:eastAsia="Times New Roman" w:hAnsi="Verdana" w:cs="Times New Roman"/>
      <w:b/>
      <w:sz w:val="20"/>
      <w:lang w:eastAsia="en-GB"/>
    </w:rPr>
  </w:style>
  <w:style w:type="paragraph" w:customStyle="1" w:styleId="ClinKeyword">
    <w:name w:val="ClinKeyword"/>
    <w:basedOn w:val="Normalny"/>
    <w:qFormat/>
    <w:rsid w:val="00465D81"/>
    <w:pPr>
      <w:keepNext/>
      <w:spacing w:before="240" w:after="100" w:afterAutospacing="1" w:line="240" w:lineRule="auto"/>
    </w:pPr>
    <w:rPr>
      <w:rFonts w:ascii="Verdana" w:eastAsia="Times New Roman" w:hAnsi="Verdana" w:cs="Times New Roman"/>
      <w:b/>
      <w:sz w:val="20"/>
      <w:szCs w:val="24"/>
      <w:lang w:eastAsia="en-GB"/>
    </w:rPr>
  </w:style>
  <w:style w:type="character" w:customStyle="1" w:styleId="ClinHeadNote">
    <w:name w:val="ClinHeadNote"/>
    <w:basedOn w:val="Domylnaczcionkaakapitu"/>
    <w:qFormat/>
    <w:rsid w:val="00465D81"/>
    <w:rPr>
      <w:rFonts w:cs="Times New Roman"/>
    </w:rPr>
  </w:style>
  <w:style w:type="character" w:customStyle="1" w:styleId="ClinCaseTitle">
    <w:name w:val="ClinCaseTitle"/>
    <w:basedOn w:val="Domylnaczcionkaakapitu"/>
    <w:qFormat/>
    <w:rsid w:val="00AB1DE2"/>
    <w:rPr>
      <w:rFonts w:ascii="Verdana" w:hAnsi="Verdana" w:cs="Times New Roman"/>
      <w:b/>
      <w:i/>
      <w:sz w:val="24"/>
    </w:rPr>
  </w:style>
  <w:style w:type="character" w:customStyle="1" w:styleId="ClinHudocDocumentTitle">
    <w:name w:val="ClinHudocDocumentTitle"/>
    <w:basedOn w:val="Domylnaczcionkaakapitu"/>
    <w:qFormat/>
    <w:rsid w:val="00AB1DE2"/>
    <w:rPr>
      <w:rFonts w:ascii="Verdana" w:hAnsi="Verdana" w:cs="Times New Roman"/>
      <w:color w:val="auto"/>
    </w:rPr>
  </w:style>
  <w:style w:type="character" w:customStyle="1" w:styleId="ClinApplicationNumber">
    <w:name w:val="ClinApplicationNumber"/>
    <w:basedOn w:val="Domylnaczcionkaakapitu"/>
    <w:qFormat/>
    <w:rsid w:val="00AB1DE2"/>
    <w:rPr>
      <w:rFonts w:ascii="Verdana" w:hAnsi="Verdana" w:cs="Times New Roman"/>
      <w:b/>
      <w:sz w:val="24"/>
    </w:rPr>
  </w:style>
  <w:style w:type="character" w:customStyle="1" w:styleId="ClinSectionName">
    <w:name w:val="ClinSectionName"/>
    <w:basedOn w:val="Domylnaczcionkaakapitu"/>
    <w:qFormat/>
    <w:rsid w:val="00AB1DE2"/>
    <w:rPr>
      <w:rFonts w:ascii="Verdana" w:hAnsi="Verdana" w:cs="Times New Roman"/>
    </w:rPr>
  </w:style>
  <w:style w:type="paragraph" w:customStyle="1" w:styleId="ECHRCoverTitle1">
    <w:name w:val="ECHR_Cover_Title_1"/>
    <w:aliases w:val="Cover_1"/>
    <w:basedOn w:val="Normalny"/>
    <w:next w:val="Normalny"/>
    <w:uiPriority w:val="24"/>
    <w:qFormat/>
    <w:rsid w:val="00EE6D17"/>
    <w:pPr>
      <w:spacing w:before="840" w:after="0" w:line="240" w:lineRule="auto"/>
      <w:contextualSpacing/>
      <w:jc w:val="center"/>
    </w:pPr>
    <w:rPr>
      <w:color w:val="4F6228" w:themeColor="accent3" w:themeShade="80"/>
      <w:sz w:val="36"/>
      <w:lang w:val="en-US"/>
    </w:rPr>
  </w:style>
  <w:style w:type="paragraph" w:styleId="Tytu">
    <w:name w:val="Title"/>
    <w:basedOn w:val="Normalny"/>
    <w:next w:val="Normalny"/>
    <w:link w:val="TytuZnak"/>
    <w:uiPriority w:val="10"/>
    <w:qFormat/>
    <w:rsid w:val="00E31B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1BB0"/>
    <w:rPr>
      <w:rFonts w:asciiTheme="majorHAnsi" w:eastAsiaTheme="majorEastAsia" w:hAnsiTheme="majorHAnsi" w:cstheme="majorBidi"/>
      <w:color w:val="17365D" w:themeColor="text2" w:themeShade="BF"/>
      <w:spacing w:val="5"/>
      <w:kern w:val="28"/>
      <w:sz w:val="52"/>
      <w:szCs w:val="52"/>
    </w:rPr>
  </w:style>
  <w:style w:type="paragraph" w:customStyle="1" w:styleId="ECHRFooter">
    <w:name w:val="ECHR_Footer"/>
    <w:aliases w:val="Footer_ECHR"/>
    <w:basedOn w:val="Stopka"/>
    <w:link w:val="ECHRFooterChar"/>
    <w:uiPriority w:val="40"/>
    <w:rsid w:val="00137CFF"/>
    <w:pPr>
      <w:tabs>
        <w:tab w:val="clear" w:pos="9072"/>
        <w:tab w:val="right" w:pos="9696"/>
      </w:tabs>
      <w:ind w:left="-680" w:right="-680"/>
    </w:pPr>
    <w:rPr>
      <w:sz w:val="8"/>
      <w:lang w:val="en-US"/>
    </w:rPr>
  </w:style>
  <w:style w:type="character" w:customStyle="1" w:styleId="ECHRFooterChar">
    <w:name w:val="ECHR_Footer Char"/>
    <w:basedOn w:val="Domylnaczcionkaakapitu"/>
    <w:link w:val="ECHRFooter"/>
    <w:uiPriority w:val="40"/>
    <w:rsid w:val="00137CFF"/>
    <w:rPr>
      <w:sz w:val="8"/>
      <w:lang w:val="en-US"/>
    </w:rPr>
  </w:style>
  <w:style w:type="character" w:customStyle="1" w:styleId="TekstpodstawowyZnak">
    <w:name w:val="Tekst podstawowy Znak"/>
    <w:basedOn w:val="Domylnaczcionkaakapitu"/>
    <w:link w:val="Tekstpodstawowy"/>
    <w:rsid w:val="00137CFF"/>
    <w:rPr>
      <w:rFonts w:ascii="Verdana" w:eastAsia="Times New Roman" w:hAnsi="Verdana" w:cs="Times New Roman"/>
      <w:sz w:val="20"/>
      <w:szCs w:val="24"/>
      <w:lang w:eastAsia="en-GB"/>
    </w:rPr>
  </w:style>
  <w:style w:type="paragraph" w:styleId="Tekstpodstawowy">
    <w:name w:val="Body Text"/>
    <w:basedOn w:val="Normalny"/>
    <w:link w:val="TekstpodstawowyZnak"/>
    <w:unhideWhenUsed/>
    <w:rsid w:val="00137CFF"/>
    <w:pPr>
      <w:spacing w:after="120" w:line="240" w:lineRule="auto"/>
    </w:pPr>
    <w:rPr>
      <w:rFonts w:ascii="Verdana" w:eastAsia="Times New Roman" w:hAnsi="Verdana" w:cs="Times New Roman"/>
      <w:sz w:val="20"/>
      <w:szCs w:val="24"/>
      <w:lang w:eastAsia="en-GB"/>
    </w:rPr>
  </w:style>
  <w:style w:type="character" w:customStyle="1" w:styleId="TekstpodstawowyZnak1">
    <w:name w:val="Tekst podstawowy Znak1"/>
    <w:basedOn w:val="Domylnaczcionkaakapitu"/>
    <w:uiPriority w:val="99"/>
    <w:semiHidden/>
    <w:rsid w:val="00137CFF"/>
  </w:style>
  <w:style w:type="paragraph" w:customStyle="1" w:styleId="ClinFooter">
    <w:name w:val="ClinFooter"/>
    <w:basedOn w:val="ClinContent"/>
    <w:qFormat/>
    <w:rsid w:val="00137CFF"/>
    <w:pPr>
      <w:jc w:val="center"/>
    </w:pPr>
  </w:style>
  <w:style w:type="character" w:customStyle="1" w:styleId="sea881cdf">
    <w:name w:val="sea881cdf"/>
    <w:basedOn w:val="Domylnaczcionkaakapitu"/>
    <w:rsid w:val="00137CFF"/>
  </w:style>
  <w:style w:type="paragraph" w:customStyle="1" w:styleId="s440d9021">
    <w:name w:val="s440d9021"/>
    <w:basedOn w:val="Normalny"/>
    <w:rsid w:val="00137CF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sdfc50a6a">
    <w:name w:val="sdfc50a6a"/>
    <w:basedOn w:val="Domylnaczcionkaakapitu"/>
    <w:rsid w:val="00137CFF"/>
  </w:style>
  <w:style w:type="paragraph" w:customStyle="1" w:styleId="s91eda339">
    <w:name w:val="s91eda339"/>
    <w:basedOn w:val="Normalny"/>
    <w:rsid w:val="00137CF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s36748cac">
    <w:name w:val="s36748cac"/>
    <w:basedOn w:val="Normalny"/>
    <w:rsid w:val="00137CF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s1866790f">
    <w:name w:val="s1866790f"/>
    <w:basedOn w:val="Domylnaczcionkaakapitu"/>
    <w:rsid w:val="00137CFF"/>
  </w:style>
  <w:style w:type="paragraph" w:customStyle="1" w:styleId="s746c8714">
    <w:name w:val="s746c8714"/>
    <w:basedOn w:val="Normalny"/>
    <w:rsid w:val="00137CF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s3ca6e50f">
    <w:name w:val="s3ca6e50f"/>
    <w:basedOn w:val="Domylnaczcionkaakapitu"/>
    <w:rsid w:val="00137C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48"/>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20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913EF"/>
    <w:pPr>
      <w:keepNext/>
      <w:keepLines/>
      <w:spacing w:before="240" w:after="120" w:line="240" w:lineRule="auto"/>
      <w:jc w:val="both"/>
      <w:outlineLvl w:val="1"/>
    </w:pPr>
    <w:rPr>
      <w:rFonts w:asciiTheme="majorHAnsi" w:eastAsiaTheme="majorEastAsia" w:hAnsiTheme="majorHAnsi" w:cstheme="majorBidi"/>
      <w:b/>
      <w:bCs/>
      <w:color w:val="4F81BD" w:themeColor="accent1"/>
      <w:sz w:val="26"/>
      <w:szCs w:val="26"/>
      <w:lang w:val="pl-PL"/>
    </w:rPr>
  </w:style>
  <w:style w:type="paragraph" w:styleId="Nagwek3">
    <w:name w:val="heading 3"/>
    <w:basedOn w:val="Normalny"/>
    <w:next w:val="Normalny"/>
    <w:link w:val="Nagwek3Znak"/>
    <w:uiPriority w:val="9"/>
    <w:unhideWhenUsed/>
    <w:qFormat/>
    <w:rsid w:val="00A76E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913EF"/>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rsid w:val="00A76ED3"/>
    <w:rPr>
      <w:rFonts w:asciiTheme="majorHAnsi" w:eastAsiaTheme="majorEastAsia" w:hAnsiTheme="majorHAnsi" w:cstheme="majorBidi"/>
      <w:b/>
      <w:bCs/>
      <w:color w:val="4F81BD" w:themeColor="accent1"/>
    </w:rPr>
  </w:style>
  <w:style w:type="paragraph" w:styleId="Akapitzlist">
    <w:name w:val="List Paragraph"/>
    <w:basedOn w:val="Normalny"/>
    <w:link w:val="AkapitzlistZnak"/>
    <w:uiPriority w:val="34"/>
    <w:qFormat/>
    <w:rsid w:val="00320FF3"/>
    <w:pPr>
      <w:ind w:left="720"/>
      <w:contextualSpacing/>
    </w:pPr>
  </w:style>
  <w:style w:type="paragraph" w:styleId="Tekstprzypisukocowego">
    <w:name w:val="endnote text"/>
    <w:basedOn w:val="Normalny"/>
    <w:link w:val="TekstprzypisukocowegoZnak"/>
    <w:semiHidden/>
    <w:unhideWhenUsed/>
    <w:rsid w:val="00327846"/>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327846"/>
    <w:rPr>
      <w:sz w:val="20"/>
      <w:szCs w:val="20"/>
    </w:rPr>
  </w:style>
  <w:style w:type="character" w:styleId="Odwoanieprzypisukocowego">
    <w:name w:val="endnote reference"/>
    <w:basedOn w:val="Domylnaczcionkaakapitu"/>
    <w:semiHidden/>
    <w:unhideWhenUsed/>
    <w:rsid w:val="00327846"/>
    <w:rPr>
      <w:vertAlign w:val="superscript"/>
    </w:rPr>
  </w:style>
  <w:style w:type="character" w:styleId="Odwoaniedokomentarza">
    <w:name w:val="annotation reference"/>
    <w:basedOn w:val="Domylnaczcionkaakapitu"/>
    <w:semiHidden/>
    <w:unhideWhenUsed/>
    <w:rsid w:val="00911A54"/>
    <w:rPr>
      <w:sz w:val="16"/>
      <w:szCs w:val="16"/>
    </w:rPr>
  </w:style>
  <w:style w:type="paragraph" w:styleId="Tekstkomentarza">
    <w:name w:val="annotation text"/>
    <w:basedOn w:val="Normalny"/>
    <w:link w:val="TekstkomentarzaZnak"/>
    <w:uiPriority w:val="99"/>
    <w:semiHidden/>
    <w:unhideWhenUsed/>
    <w:rsid w:val="00911A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A54"/>
    <w:rPr>
      <w:sz w:val="20"/>
      <w:szCs w:val="20"/>
    </w:rPr>
  </w:style>
  <w:style w:type="paragraph" w:styleId="Tematkomentarza">
    <w:name w:val="annotation subject"/>
    <w:basedOn w:val="Tekstkomentarza"/>
    <w:next w:val="Tekstkomentarza"/>
    <w:link w:val="TematkomentarzaZnak"/>
    <w:uiPriority w:val="99"/>
    <w:semiHidden/>
    <w:unhideWhenUsed/>
    <w:rsid w:val="00911A54"/>
    <w:rPr>
      <w:b/>
      <w:bCs/>
    </w:rPr>
  </w:style>
  <w:style w:type="character" w:customStyle="1" w:styleId="TematkomentarzaZnak">
    <w:name w:val="Temat komentarza Znak"/>
    <w:basedOn w:val="TekstkomentarzaZnak"/>
    <w:link w:val="Tematkomentarza"/>
    <w:uiPriority w:val="99"/>
    <w:semiHidden/>
    <w:rsid w:val="00911A54"/>
    <w:rPr>
      <w:b/>
      <w:bCs/>
      <w:sz w:val="20"/>
      <w:szCs w:val="20"/>
    </w:rPr>
  </w:style>
  <w:style w:type="paragraph" w:styleId="Tekstdymka">
    <w:name w:val="Balloon Text"/>
    <w:basedOn w:val="Normalny"/>
    <w:link w:val="TekstdymkaZnak"/>
    <w:uiPriority w:val="99"/>
    <w:semiHidden/>
    <w:unhideWhenUsed/>
    <w:rsid w:val="00911A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A54"/>
    <w:rPr>
      <w:rFonts w:ascii="Tahoma" w:hAnsi="Tahoma" w:cs="Tahoma"/>
      <w:sz w:val="16"/>
      <w:szCs w:val="16"/>
    </w:rPr>
  </w:style>
  <w:style w:type="paragraph" w:styleId="Nagwek">
    <w:name w:val="header"/>
    <w:basedOn w:val="Normalny"/>
    <w:link w:val="NagwekZnak"/>
    <w:uiPriority w:val="48"/>
    <w:unhideWhenUsed/>
    <w:rsid w:val="0016083C"/>
    <w:pPr>
      <w:tabs>
        <w:tab w:val="center" w:pos="4536"/>
        <w:tab w:val="right" w:pos="9072"/>
      </w:tabs>
      <w:spacing w:after="0" w:line="240" w:lineRule="auto"/>
    </w:pPr>
  </w:style>
  <w:style w:type="character" w:customStyle="1" w:styleId="NagwekZnak">
    <w:name w:val="Nagłówek Znak"/>
    <w:basedOn w:val="Domylnaczcionkaakapitu"/>
    <w:link w:val="Nagwek"/>
    <w:uiPriority w:val="48"/>
    <w:rsid w:val="0016083C"/>
  </w:style>
  <w:style w:type="paragraph" w:styleId="Stopka">
    <w:name w:val="footer"/>
    <w:basedOn w:val="Normalny"/>
    <w:link w:val="StopkaZnak"/>
    <w:uiPriority w:val="99"/>
    <w:unhideWhenUsed/>
    <w:rsid w:val="001608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83C"/>
  </w:style>
  <w:style w:type="character" w:customStyle="1" w:styleId="JuParaChar">
    <w:name w:val="Ju_Para Char"/>
    <w:aliases w:val="ECHR_Para Char,Para Char"/>
    <w:link w:val="ECHRPara"/>
    <w:uiPriority w:val="12"/>
    <w:locked/>
    <w:rsid w:val="00D9108F"/>
    <w:rPr>
      <w:rFonts w:ascii="MS Mincho" w:eastAsiaTheme="minorEastAsia" w:hAnsi="MS Mincho"/>
      <w:sz w:val="24"/>
    </w:rPr>
  </w:style>
  <w:style w:type="paragraph" w:customStyle="1" w:styleId="ECHRPara">
    <w:name w:val="ECHR_Para"/>
    <w:aliases w:val="Ju_Para,Para,Left,First line:  0 cm,N_Para"/>
    <w:basedOn w:val="Normalny"/>
    <w:link w:val="JuParaChar"/>
    <w:uiPriority w:val="12"/>
    <w:qFormat/>
    <w:rsid w:val="00D9108F"/>
    <w:pPr>
      <w:spacing w:after="0" w:line="240" w:lineRule="auto"/>
      <w:ind w:firstLine="284"/>
      <w:jc w:val="both"/>
    </w:pPr>
    <w:rPr>
      <w:rFonts w:ascii="MS Mincho" w:eastAsiaTheme="minorEastAsia" w:hAnsi="MS Mincho"/>
      <w:sz w:val="24"/>
    </w:rPr>
  </w:style>
  <w:style w:type="paragraph" w:customStyle="1" w:styleId="ClinContent">
    <w:name w:val="ClinContent"/>
    <w:basedOn w:val="Normalny"/>
    <w:qFormat/>
    <w:rsid w:val="00CD4A51"/>
    <w:pPr>
      <w:spacing w:before="240" w:after="0" w:line="240" w:lineRule="auto"/>
      <w:jc w:val="both"/>
    </w:pPr>
    <w:rPr>
      <w:rFonts w:ascii="Verdana" w:eastAsia="Times New Roman" w:hAnsi="Verdana" w:cs="Times New Roman"/>
      <w:sz w:val="20"/>
      <w:szCs w:val="24"/>
      <w:lang w:eastAsia="en-GB"/>
    </w:rPr>
  </w:style>
  <w:style w:type="character" w:styleId="Hipercze">
    <w:name w:val="Hyperlink"/>
    <w:basedOn w:val="Domylnaczcionkaakapitu"/>
    <w:uiPriority w:val="99"/>
    <w:qFormat/>
    <w:rsid w:val="00B417A9"/>
    <w:rPr>
      <w:color w:val="0000FF" w:themeColor="hyperlink"/>
      <w:u w:val="single"/>
    </w:rPr>
  </w:style>
  <w:style w:type="character" w:customStyle="1" w:styleId="JuParaCar">
    <w:name w:val="Ju_Para Car"/>
    <w:uiPriority w:val="12"/>
    <w:locked/>
    <w:rsid w:val="001E08C7"/>
    <w:rPr>
      <w:rFonts w:ascii="MS Mincho" w:eastAsiaTheme="minorEastAsia" w:hAnsi="MS Mincho"/>
      <w:sz w:val="24"/>
    </w:rPr>
  </w:style>
  <w:style w:type="character" w:customStyle="1" w:styleId="ClinConclusions">
    <w:name w:val="ClinConclusions"/>
    <w:basedOn w:val="Domylnaczcionkaakapitu"/>
    <w:qFormat/>
    <w:rsid w:val="004F19D2"/>
    <w:rPr>
      <w:rFonts w:ascii="Verdana" w:hAnsi="Verdana" w:cs="Times New Roman"/>
      <w:i/>
      <w:iCs/>
      <w:color w:val="auto"/>
    </w:rPr>
  </w:style>
  <w:style w:type="character" w:customStyle="1" w:styleId="AkapitzlistZnak">
    <w:name w:val="Akapit z listą Znak"/>
    <w:link w:val="Akapitzlist"/>
    <w:uiPriority w:val="34"/>
    <w:locked/>
    <w:rsid w:val="00020B06"/>
  </w:style>
  <w:style w:type="character" w:customStyle="1" w:styleId="Nagwek1Znak">
    <w:name w:val="Nagłówek 1 Znak"/>
    <w:basedOn w:val="Domylnaczcionkaakapitu"/>
    <w:link w:val="Nagwek1"/>
    <w:uiPriority w:val="9"/>
    <w:rsid w:val="00020B0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8913EF"/>
    <w:pPr>
      <w:outlineLvl w:val="9"/>
    </w:pPr>
    <w:rPr>
      <w:lang w:eastAsia="en-GB"/>
    </w:rPr>
  </w:style>
  <w:style w:type="paragraph" w:styleId="Spistreci1">
    <w:name w:val="toc 1"/>
    <w:basedOn w:val="Normalny"/>
    <w:next w:val="Normalny"/>
    <w:autoRedefine/>
    <w:uiPriority w:val="39"/>
    <w:unhideWhenUsed/>
    <w:rsid w:val="008913EF"/>
    <w:pPr>
      <w:spacing w:after="100"/>
    </w:pPr>
  </w:style>
  <w:style w:type="paragraph" w:styleId="Spistreci2">
    <w:name w:val="toc 2"/>
    <w:basedOn w:val="Normalny"/>
    <w:next w:val="Normalny"/>
    <w:autoRedefine/>
    <w:uiPriority w:val="39"/>
    <w:unhideWhenUsed/>
    <w:rsid w:val="008913EF"/>
    <w:pPr>
      <w:spacing w:after="100"/>
      <w:ind w:left="220"/>
    </w:pPr>
  </w:style>
  <w:style w:type="character" w:customStyle="1" w:styleId="s7d2086b4">
    <w:name w:val="s7d2086b4"/>
    <w:basedOn w:val="Domylnaczcionkaakapitu"/>
    <w:rsid w:val="006C0553"/>
  </w:style>
  <w:style w:type="character" w:customStyle="1" w:styleId="sb8d990e2">
    <w:name w:val="sb8d990e2"/>
    <w:basedOn w:val="Domylnaczcionkaakapitu"/>
    <w:rsid w:val="00C45367"/>
  </w:style>
  <w:style w:type="paragraph" w:styleId="Tekstprzypisudolnego">
    <w:name w:val="footnote text"/>
    <w:basedOn w:val="Normalny"/>
    <w:link w:val="TekstprzypisudolnegoZnak"/>
    <w:unhideWhenUsed/>
    <w:rsid w:val="004D3D89"/>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rPr>
  </w:style>
  <w:style w:type="character" w:customStyle="1" w:styleId="TekstprzypisudolnegoZnak">
    <w:name w:val="Tekst przypisu dolnego Znak"/>
    <w:basedOn w:val="Domylnaczcionkaakapitu"/>
    <w:link w:val="Tekstprzypisudolnego"/>
    <w:rsid w:val="004D3D89"/>
    <w:rPr>
      <w:rFonts w:ascii="Calibri" w:eastAsia="Calibri" w:hAnsi="Calibri" w:cs="Calibri"/>
      <w:color w:val="000000"/>
      <w:sz w:val="20"/>
      <w:szCs w:val="20"/>
      <w:u w:color="000000"/>
      <w:bdr w:val="nil"/>
      <w:lang w:val="en-US"/>
    </w:rPr>
  </w:style>
  <w:style w:type="character" w:styleId="Odwoanieprzypisudolnego">
    <w:name w:val="footnote reference"/>
    <w:basedOn w:val="Domylnaczcionkaakapitu"/>
    <w:uiPriority w:val="99"/>
    <w:semiHidden/>
    <w:unhideWhenUsed/>
    <w:rsid w:val="004D3D89"/>
    <w:rPr>
      <w:vertAlign w:val="superscript"/>
    </w:rPr>
  </w:style>
  <w:style w:type="paragraph" w:customStyle="1" w:styleId="s1bd70772">
    <w:name w:val="s1bd70772"/>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fbbfee58">
    <w:name w:val="sfbbfee58"/>
    <w:basedOn w:val="Domylnaczcionkaakapitu"/>
    <w:rsid w:val="004D3D89"/>
  </w:style>
  <w:style w:type="paragraph" w:customStyle="1" w:styleId="s6c429373">
    <w:name w:val="s6c429373"/>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ps">
    <w:name w:val="hps"/>
    <w:basedOn w:val="Domylnaczcionkaakapitu"/>
    <w:rsid w:val="004D3D89"/>
  </w:style>
  <w:style w:type="character" w:customStyle="1" w:styleId="atn">
    <w:name w:val="atn"/>
    <w:basedOn w:val="Domylnaczcionkaakapitu"/>
    <w:rsid w:val="004D3D89"/>
  </w:style>
  <w:style w:type="paragraph" w:styleId="Spistreci3">
    <w:name w:val="toc 3"/>
    <w:basedOn w:val="Normalny"/>
    <w:next w:val="Normalny"/>
    <w:autoRedefine/>
    <w:uiPriority w:val="39"/>
    <w:unhideWhenUsed/>
    <w:rsid w:val="00694FAD"/>
    <w:pPr>
      <w:spacing w:after="100"/>
      <w:ind w:left="440"/>
    </w:pPr>
  </w:style>
  <w:style w:type="paragraph" w:customStyle="1" w:styleId="JuList">
    <w:name w:val="Ju_List"/>
    <w:basedOn w:val="Normalny"/>
    <w:uiPriority w:val="28"/>
    <w:qFormat/>
    <w:rsid w:val="004C6C49"/>
    <w:pPr>
      <w:spacing w:after="0" w:line="240" w:lineRule="auto"/>
      <w:ind w:left="340" w:hanging="340"/>
      <w:jc w:val="both"/>
    </w:pPr>
    <w:rPr>
      <w:rFonts w:eastAsiaTheme="minorEastAsia"/>
      <w:sz w:val="24"/>
      <w:lang w:val="en-US"/>
    </w:rPr>
  </w:style>
  <w:style w:type="paragraph" w:customStyle="1" w:styleId="ECHRParaQuote">
    <w:name w:val="ECHR_Para_Quote"/>
    <w:aliases w:val="Ju_Quot,Para_Quote"/>
    <w:basedOn w:val="Normalny"/>
    <w:link w:val="JuQuotChar"/>
    <w:qFormat/>
    <w:rsid w:val="007E0D7C"/>
    <w:pPr>
      <w:spacing w:before="120" w:after="120" w:line="240" w:lineRule="auto"/>
      <w:ind w:left="425" w:firstLine="142"/>
      <w:jc w:val="both"/>
    </w:pPr>
    <w:rPr>
      <w:rFonts w:eastAsiaTheme="minorEastAsia"/>
      <w:sz w:val="20"/>
      <w:lang w:val="en-US"/>
    </w:rPr>
  </w:style>
  <w:style w:type="character" w:customStyle="1" w:styleId="s1a844bc0">
    <w:name w:val="s1a844bc0"/>
    <w:basedOn w:val="Domylnaczcionkaakapitu"/>
    <w:rsid w:val="004E4FF7"/>
  </w:style>
  <w:style w:type="character" w:customStyle="1" w:styleId="JuQuotChar">
    <w:name w:val="Ju_Quot Char"/>
    <w:link w:val="ECHRParaQuote"/>
    <w:rsid w:val="00FC4C4B"/>
    <w:rPr>
      <w:rFonts w:eastAsiaTheme="minorEastAsia"/>
      <w:sz w:val="20"/>
      <w:lang w:val="en-US"/>
    </w:rPr>
  </w:style>
  <w:style w:type="character" w:styleId="UyteHipercze">
    <w:name w:val="FollowedHyperlink"/>
    <w:basedOn w:val="Domylnaczcionkaakapitu"/>
    <w:uiPriority w:val="99"/>
    <w:semiHidden/>
    <w:unhideWhenUsed/>
    <w:rsid w:val="00FC7CCB"/>
    <w:rPr>
      <w:color w:val="800080" w:themeColor="followedHyperlink"/>
      <w:u w:val="single"/>
    </w:rPr>
  </w:style>
  <w:style w:type="character" w:styleId="Pogrubienie">
    <w:name w:val="Strong"/>
    <w:basedOn w:val="Domylnaczcionkaakapitu"/>
    <w:uiPriority w:val="22"/>
    <w:qFormat/>
    <w:rsid w:val="00CB2730"/>
    <w:rPr>
      <w:b/>
      <w:bCs/>
    </w:rPr>
  </w:style>
  <w:style w:type="paragraph" w:customStyle="1" w:styleId="ClinMainKeywordCode">
    <w:name w:val="ClinMainKeywordCode"/>
    <w:basedOn w:val="Normalny"/>
    <w:next w:val="Normalny"/>
    <w:qFormat/>
    <w:rsid w:val="00465D81"/>
    <w:pPr>
      <w:keepNext/>
      <w:spacing w:before="240" w:after="240" w:line="240" w:lineRule="auto"/>
    </w:pPr>
    <w:rPr>
      <w:rFonts w:ascii="Verdana" w:eastAsia="Times New Roman" w:hAnsi="Verdana" w:cs="Times New Roman"/>
      <w:b/>
      <w:sz w:val="24"/>
      <w:szCs w:val="32"/>
      <w:lang w:eastAsia="en-GB"/>
    </w:rPr>
  </w:style>
  <w:style w:type="paragraph" w:customStyle="1" w:styleId="ClinChildKeywordCode">
    <w:name w:val="ClinChildKeywordCode"/>
    <w:basedOn w:val="Normalny"/>
    <w:next w:val="Normalny"/>
    <w:qFormat/>
    <w:rsid w:val="00465D81"/>
    <w:pPr>
      <w:spacing w:before="240" w:after="240" w:line="240" w:lineRule="auto"/>
    </w:pPr>
    <w:rPr>
      <w:rFonts w:ascii="Verdana" w:eastAsia="Times New Roman" w:hAnsi="Verdana" w:cs="Times New Roman"/>
      <w:b/>
      <w:sz w:val="20"/>
      <w:lang w:eastAsia="en-GB"/>
    </w:rPr>
  </w:style>
  <w:style w:type="paragraph" w:customStyle="1" w:styleId="ClinKeyword">
    <w:name w:val="ClinKeyword"/>
    <w:basedOn w:val="Normalny"/>
    <w:qFormat/>
    <w:rsid w:val="00465D81"/>
    <w:pPr>
      <w:keepNext/>
      <w:spacing w:before="240" w:after="100" w:afterAutospacing="1" w:line="240" w:lineRule="auto"/>
    </w:pPr>
    <w:rPr>
      <w:rFonts w:ascii="Verdana" w:eastAsia="Times New Roman" w:hAnsi="Verdana" w:cs="Times New Roman"/>
      <w:b/>
      <w:sz w:val="20"/>
      <w:szCs w:val="24"/>
      <w:lang w:eastAsia="en-GB"/>
    </w:rPr>
  </w:style>
  <w:style w:type="character" w:customStyle="1" w:styleId="ClinHeadNote">
    <w:name w:val="ClinHeadNote"/>
    <w:basedOn w:val="Domylnaczcionkaakapitu"/>
    <w:qFormat/>
    <w:rsid w:val="00465D81"/>
    <w:rPr>
      <w:rFonts w:cs="Times New Roman"/>
    </w:rPr>
  </w:style>
  <w:style w:type="character" w:customStyle="1" w:styleId="ClinCaseTitle">
    <w:name w:val="ClinCaseTitle"/>
    <w:basedOn w:val="Domylnaczcionkaakapitu"/>
    <w:qFormat/>
    <w:rsid w:val="00AB1DE2"/>
    <w:rPr>
      <w:rFonts w:ascii="Verdana" w:hAnsi="Verdana" w:cs="Times New Roman"/>
      <w:b/>
      <w:i/>
      <w:sz w:val="24"/>
    </w:rPr>
  </w:style>
  <w:style w:type="character" w:customStyle="1" w:styleId="ClinHudocDocumentTitle">
    <w:name w:val="ClinHudocDocumentTitle"/>
    <w:basedOn w:val="Domylnaczcionkaakapitu"/>
    <w:qFormat/>
    <w:rsid w:val="00AB1DE2"/>
    <w:rPr>
      <w:rFonts w:ascii="Verdana" w:hAnsi="Verdana" w:cs="Times New Roman"/>
      <w:color w:val="auto"/>
    </w:rPr>
  </w:style>
  <w:style w:type="character" w:customStyle="1" w:styleId="ClinApplicationNumber">
    <w:name w:val="ClinApplicationNumber"/>
    <w:basedOn w:val="Domylnaczcionkaakapitu"/>
    <w:qFormat/>
    <w:rsid w:val="00AB1DE2"/>
    <w:rPr>
      <w:rFonts w:ascii="Verdana" w:hAnsi="Verdana" w:cs="Times New Roman"/>
      <w:b/>
      <w:sz w:val="24"/>
    </w:rPr>
  </w:style>
  <w:style w:type="character" w:customStyle="1" w:styleId="ClinSectionName">
    <w:name w:val="ClinSectionName"/>
    <w:basedOn w:val="Domylnaczcionkaakapitu"/>
    <w:qFormat/>
    <w:rsid w:val="00AB1DE2"/>
    <w:rPr>
      <w:rFonts w:ascii="Verdana" w:hAnsi="Verdana" w:cs="Times New Roman"/>
    </w:rPr>
  </w:style>
  <w:style w:type="paragraph" w:customStyle="1" w:styleId="ECHRCoverTitle1">
    <w:name w:val="ECHR_Cover_Title_1"/>
    <w:aliases w:val="Cover_1"/>
    <w:basedOn w:val="Normalny"/>
    <w:next w:val="Normalny"/>
    <w:uiPriority w:val="24"/>
    <w:qFormat/>
    <w:rsid w:val="00EE6D17"/>
    <w:pPr>
      <w:spacing w:before="840" w:after="0" w:line="240" w:lineRule="auto"/>
      <w:contextualSpacing/>
      <w:jc w:val="center"/>
    </w:pPr>
    <w:rPr>
      <w:color w:val="4F6228" w:themeColor="accent3" w:themeShade="80"/>
      <w:sz w:val="36"/>
      <w:lang w:val="en-US"/>
    </w:rPr>
  </w:style>
  <w:style w:type="paragraph" w:styleId="Tytu">
    <w:name w:val="Title"/>
    <w:basedOn w:val="Normalny"/>
    <w:next w:val="Normalny"/>
    <w:link w:val="TytuZnak"/>
    <w:uiPriority w:val="10"/>
    <w:qFormat/>
    <w:rsid w:val="00E31B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1BB0"/>
    <w:rPr>
      <w:rFonts w:asciiTheme="majorHAnsi" w:eastAsiaTheme="majorEastAsia" w:hAnsiTheme="majorHAnsi" w:cstheme="majorBidi"/>
      <w:color w:val="17365D" w:themeColor="text2" w:themeShade="BF"/>
      <w:spacing w:val="5"/>
      <w:kern w:val="28"/>
      <w:sz w:val="52"/>
      <w:szCs w:val="52"/>
    </w:rPr>
  </w:style>
  <w:style w:type="paragraph" w:customStyle="1" w:styleId="ECHRFooter">
    <w:name w:val="ECHR_Footer"/>
    <w:aliases w:val="Footer_ECHR"/>
    <w:basedOn w:val="Stopka"/>
    <w:link w:val="ECHRFooterChar"/>
    <w:uiPriority w:val="40"/>
    <w:rsid w:val="00137CFF"/>
    <w:pPr>
      <w:tabs>
        <w:tab w:val="clear" w:pos="9072"/>
        <w:tab w:val="right" w:pos="9696"/>
      </w:tabs>
      <w:ind w:left="-680" w:right="-680"/>
    </w:pPr>
    <w:rPr>
      <w:sz w:val="8"/>
      <w:lang w:val="en-US"/>
    </w:rPr>
  </w:style>
  <w:style w:type="character" w:customStyle="1" w:styleId="ECHRFooterChar">
    <w:name w:val="ECHR_Footer Char"/>
    <w:basedOn w:val="Domylnaczcionkaakapitu"/>
    <w:link w:val="ECHRFooter"/>
    <w:uiPriority w:val="40"/>
    <w:rsid w:val="00137CFF"/>
    <w:rPr>
      <w:sz w:val="8"/>
      <w:lang w:val="en-US"/>
    </w:rPr>
  </w:style>
  <w:style w:type="character" w:customStyle="1" w:styleId="TekstpodstawowyZnak">
    <w:name w:val="Tekst podstawowy Znak"/>
    <w:basedOn w:val="Domylnaczcionkaakapitu"/>
    <w:link w:val="Tekstpodstawowy"/>
    <w:rsid w:val="00137CFF"/>
    <w:rPr>
      <w:rFonts w:ascii="Verdana" w:eastAsia="Times New Roman" w:hAnsi="Verdana" w:cs="Times New Roman"/>
      <w:sz w:val="20"/>
      <w:szCs w:val="24"/>
      <w:lang w:eastAsia="en-GB"/>
    </w:rPr>
  </w:style>
  <w:style w:type="paragraph" w:styleId="Tekstpodstawowy">
    <w:name w:val="Body Text"/>
    <w:basedOn w:val="Normalny"/>
    <w:link w:val="TekstpodstawowyZnak"/>
    <w:unhideWhenUsed/>
    <w:rsid w:val="00137CFF"/>
    <w:pPr>
      <w:spacing w:after="120" w:line="240" w:lineRule="auto"/>
    </w:pPr>
    <w:rPr>
      <w:rFonts w:ascii="Verdana" w:eastAsia="Times New Roman" w:hAnsi="Verdana" w:cs="Times New Roman"/>
      <w:sz w:val="20"/>
      <w:szCs w:val="24"/>
      <w:lang w:eastAsia="en-GB"/>
    </w:rPr>
  </w:style>
  <w:style w:type="character" w:customStyle="1" w:styleId="TekstpodstawowyZnak1">
    <w:name w:val="Tekst podstawowy Znak1"/>
    <w:basedOn w:val="Domylnaczcionkaakapitu"/>
    <w:uiPriority w:val="99"/>
    <w:semiHidden/>
    <w:rsid w:val="00137CFF"/>
  </w:style>
  <w:style w:type="paragraph" w:customStyle="1" w:styleId="ClinFooter">
    <w:name w:val="ClinFooter"/>
    <w:basedOn w:val="ClinContent"/>
    <w:qFormat/>
    <w:rsid w:val="00137CFF"/>
    <w:pPr>
      <w:jc w:val="center"/>
    </w:pPr>
  </w:style>
  <w:style w:type="character" w:customStyle="1" w:styleId="sea881cdf">
    <w:name w:val="sea881cdf"/>
    <w:basedOn w:val="Domylnaczcionkaakapitu"/>
    <w:rsid w:val="00137CFF"/>
  </w:style>
  <w:style w:type="paragraph" w:customStyle="1" w:styleId="s440d9021">
    <w:name w:val="s440d9021"/>
    <w:basedOn w:val="Normalny"/>
    <w:rsid w:val="00137CF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sdfc50a6a">
    <w:name w:val="sdfc50a6a"/>
    <w:basedOn w:val="Domylnaczcionkaakapitu"/>
    <w:rsid w:val="00137CFF"/>
  </w:style>
  <w:style w:type="paragraph" w:customStyle="1" w:styleId="s91eda339">
    <w:name w:val="s91eda339"/>
    <w:basedOn w:val="Normalny"/>
    <w:rsid w:val="00137CF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s36748cac">
    <w:name w:val="s36748cac"/>
    <w:basedOn w:val="Normalny"/>
    <w:rsid w:val="00137CF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s1866790f">
    <w:name w:val="s1866790f"/>
    <w:basedOn w:val="Domylnaczcionkaakapitu"/>
    <w:rsid w:val="00137CFF"/>
  </w:style>
  <w:style w:type="paragraph" w:customStyle="1" w:styleId="s746c8714">
    <w:name w:val="s746c8714"/>
    <w:basedOn w:val="Normalny"/>
    <w:rsid w:val="00137CF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s3ca6e50f">
    <w:name w:val="s3ca6e50f"/>
    <w:basedOn w:val="Domylnaczcionkaakapitu"/>
    <w:rsid w:val="00137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58179">
      <w:bodyDiv w:val="1"/>
      <w:marLeft w:val="0"/>
      <w:marRight w:val="0"/>
      <w:marTop w:val="0"/>
      <w:marBottom w:val="0"/>
      <w:divBdr>
        <w:top w:val="none" w:sz="0" w:space="0" w:color="auto"/>
        <w:left w:val="none" w:sz="0" w:space="0" w:color="auto"/>
        <w:bottom w:val="none" w:sz="0" w:space="0" w:color="auto"/>
        <w:right w:val="none" w:sz="0" w:space="0" w:color="auto"/>
      </w:divBdr>
    </w:div>
    <w:div w:id="466705279">
      <w:bodyDiv w:val="1"/>
      <w:marLeft w:val="0"/>
      <w:marRight w:val="0"/>
      <w:marTop w:val="0"/>
      <w:marBottom w:val="0"/>
      <w:divBdr>
        <w:top w:val="none" w:sz="0" w:space="0" w:color="auto"/>
        <w:left w:val="none" w:sz="0" w:space="0" w:color="auto"/>
        <w:bottom w:val="none" w:sz="0" w:space="0" w:color="auto"/>
        <w:right w:val="none" w:sz="0" w:space="0" w:color="auto"/>
      </w:divBdr>
      <w:divsChild>
        <w:div w:id="875122244">
          <w:marLeft w:val="0"/>
          <w:marRight w:val="0"/>
          <w:marTop w:val="0"/>
          <w:marBottom w:val="0"/>
          <w:divBdr>
            <w:top w:val="none" w:sz="0" w:space="0" w:color="auto"/>
            <w:left w:val="none" w:sz="0" w:space="0" w:color="auto"/>
            <w:bottom w:val="none" w:sz="0" w:space="0" w:color="auto"/>
            <w:right w:val="none" w:sz="0" w:space="0" w:color="auto"/>
          </w:divBdr>
        </w:div>
      </w:divsChild>
    </w:div>
    <w:div w:id="525867237">
      <w:bodyDiv w:val="1"/>
      <w:marLeft w:val="0"/>
      <w:marRight w:val="0"/>
      <w:marTop w:val="0"/>
      <w:marBottom w:val="0"/>
      <w:divBdr>
        <w:top w:val="none" w:sz="0" w:space="0" w:color="auto"/>
        <w:left w:val="none" w:sz="0" w:space="0" w:color="auto"/>
        <w:bottom w:val="none" w:sz="0" w:space="0" w:color="auto"/>
        <w:right w:val="none" w:sz="0" w:space="0" w:color="auto"/>
      </w:divBdr>
    </w:div>
    <w:div w:id="558176790">
      <w:bodyDiv w:val="1"/>
      <w:marLeft w:val="0"/>
      <w:marRight w:val="0"/>
      <w:marTop w:val="0"/>
      <w:marBottom w:val="0"/>
      <w:divBdr>
        <w:top w:val="none" w:sz="0" w:space="0" w:color="auto"/>
        <w:left w:val="none" w:sz="0" w:space="0" w:color="auto"/>
        <w:bottom w:val="none" w:sz="0" w:space="0" w:color="auto"/>
        <w:right w:val="none" w:sz="0" w:space="0" w:color="auto"/>
      </w:divBdr>
    </w:div>
    <w:div w:id="621571394">
      <w:bodyDiv w:val="1"/>
      <w:marLeft w:val="0"/>
      <w:marRight w:val="0"/>
      <w:marTop w:val="0"/>
      <w:marBottom w:val="0"/>
      <w:divBdr>
        <w:top w:val="none" w:sz="0" w:space="0" w:color="auto"/>
        <w:left w:val="none" w:sz="0" w:space="0" w:color="auto"/>
        <w:bottom w:val="none" w:sz="0" w:space="0" w:color="auto"/>
        <w:right w:val="none" w:sz="0" w:space="0" w:color="auto"/>
      </w:divBdr>
    </w:div>
    <w:div w:id="700010406">
      <w:bodyDiv w:val="1"/>
      <w:marLeft w:val="0"/>
      <w:marRight w:val="0"/>
      <w:marTop w:val="0"/>
      <w:marBottom w:val="0"/>
      <w:divBdr>
        <w:top w:val="none" w:sz="0" w:space="0" w:color="auto"/>
        <w:left w:val="none" w:sz="0" w:space="0" w:color="auto"/>
        <w:bottom w:val="none" w:sz="0" w:space="0" w:color="auto"/>
        <w:right w:val="none" w:sz="0" w:space="0" w:color="auto"/>
      </w:divBdr>
      <w:divsChild>
        <w:div w:id="197789491">
          <w:marLeft w:val="0"/>
          <w:marRight w:val="0"/>
          <w:marTop w:val="0"/>
          <w:marBottom w:val="0"/>
          <w:divBdr>
            <w:top w:val="none" w:sz="0" w:space="0" w:color="auto"/>
            <w:left w:val="none" w:sz="0" w:space="0" w:color="auto"/>
            <w:bottom w:val="none" w:sz="0" w:space="0" w:color="auto"/>
            <w:right w:val="none" w:sz="0" w:space="0" w:color="auto"/>
          </w:divBdr>
        </w:div>
      </w:divsChild>
    </w:div>
    <w:div w:id="1009989761">
      <w:bodyDiv w:val="1"/>
      <w:marLeft w:val="0"/>
      <w:marRight w:val="0"/>
      <w:marTop w:val="0"/>
      <w:marBottom w:val="0"/>
      <w:divBdr>
        <w:top w:val="none" w:sz="0" w:space="0" w:color="auto"/>
        <w:left w:val="none" w:sz="0" w:space="0" w:color="auto"/>
        <w:bottom w:val="none" w:sz="0" w:space="0" w:color="auto"/>
        <w:right w:val="none" w:sz="0" w:space="0" w:color="auto"/>
      </w:divBdr>
    </w:div>
    <w:div w:id="1099715149">
      <w:bodyDiv w:val="1"/>
      <w:marLeft w:val="0"/>
      <w:marRight w:val="0"/>
      <w:marTop w:val="0"/>
      <w:marBottom w:val="0"/>
      <w:divBdr>
        <w:top w:val="none" w:sz="0" w:space="0" w:color="auto"/>
        <w:left w:val="none" w:sz="0" w:space="0" w:color="auto"/>
        <w:bottom w:val="none" w:sz="0" w:space="0" w:color="auto"/>
        <w:right w:val="none" w:sz="0" w:space="0" w:color="auto"/>
      </w:divBdr>
    </w:div>
    <w:div w:id="1122965042">
      <w:bodyDiv w:val="1"/>
      <w:marLeft w:val="0"/>
      <w:marRight w:val="0"/>
      <w:marTop w:val="0"/>
      <w:marBottom w:val="0"/>
      <w:divBdr>
        <w:top w:val="none" w:sz="0" w:space="0" w:color="auto"/>
        <w:left w:val="none" w:sz="0" w:space="0" w:color="auto"/>
        <w:bottom w:val="none" w:sz="0" w:space="0" w:color="auto"/>
        <w:right w:val="none" w:sz="0" w:space="0" w:color="auto"/>
      </w:divBdr>
      <w:divsChild>
        <w:div w:id="717246715">
          <w:marLeft w:val="0"/>
          <w:marRight w:val="0"/>
          <w:marTop w:val="0"/>
          <w:marBottom w:val="0"/>
          <w:divBdr>
            <w:top w:val="none" w:sz="0" w:space="0" w:color="auto"/>
            <w:left w:val="none" w:sz="0" w:space="0" w:color="auto"/>
            <w:bottom w:val="none" w:sz="0" w:space="0" w:color="auto"/>
            <w:right w:val="none" w:sz="0" w:space="0" w:color="auto"/>
          </w:divBdr>
          <w:divsChild>
            <w:div w:id="1947732540">
              <w:marLeft w:val="0"/>
              <w:marRight w:val="0"/>
              <w:marTop w:val="0"/>
              <w:marBottom w:val="0"/>
              <w:divBdr>
                <w:top w:val="none" w:sz="0" w:space="0" w:color="auto"/>
                <w:left w:val="none" w:sz="0" w:space="0" w:color="auto"/>
                <w:bottom w:val="none" w:sz="0" w:space="0" w:color="auto"/>
                <w:right w:val="none" w:sz="0" w:space="0" w:color="auto"/>
              </w:divBdr>
              <w:divsChild>
                <w:div w:id="807014207">
                  <w:marLeft w:val="0"/>
                  <w:marRight w:val="0"/>
                  <w:marTop w:val="0"/>
                  <w:marBottom w:val="0"/>
                  <w:divBdr>
                    <w:top w:val="none" w:sz="0" w:space="0" w:color="auto"/>
                    <w:left w:val="none" w:sz="0" w:space="0" w:color="auto"/>
                    <w:bottom w:val="none" w:sz="0" w:space="0" w:color="auto"/>
                    <w:right w:val="none" w:sz="0" w:space="0" w:color="auto"/>
                  </w:divBdr>
                  <w:divsChild>
                    <w:div w:id="1168711910">
                      <w:marLeft w:val="0"/>
                      <w:marRight w:val="0"/>
                      <w:marTop w:val="0"/>
                      <w:marBottom w:val="0"/>
                      <w:divBdr>
                        <w:top w:val="none" w:sz="0" w:space="0" w:color="auto"/>
                        <w:left w:val="none" w:sz="0" w:space="0" w:color="auto"/>
                        <w:bottom w:val="none" w:sz="0" w:space="0" w:color="auto"/>
                        <w:right w:val="none" w:sz="0" w:space="0" w:color="auto"/>
                      </w:divBdr>
                      <w:divsChild>
                        <w:div w:id="1139568242">
                          <w:marLeft w:val="0"/>
                          <w:marRight w:val="0"/>
                          <w:marTop w:val="0"/>
                          <w:marBottom w:val="0"/>
                          <w:divBdr>
                            <w:top w:val="none" w:sz="0" w:space="0" w:color="auto"/>
                            <w:left w:val="none" w:sz="0" w:space="0" w:color="auto"/>
                            <w:bottom w:val="none" w:sz="0" w:space="0" w:color="auto"/>
                            <w:right w:val="none" w:sz="0" w:space="0" w:color="auto"/>
                          </w:divBdr>
                          <w:divsChild>
                            <w:div w:id="12808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982405">
      <w:bodyDiv w:val="1"/>
      <w:marLeft w:val="0"/>
      <w:marRight w:val="0"/>
      <w:marTop w:val="0"/>
      <w:marBottom w:val="0"/>
      <w:divBdr>
        <w:top w:val="none" w:sz="0" w:space="0" w:color="auto"/>
        <w:left w:val="none" w:sz="0" w:space="0" w:color="auto"/>
        <w:bottom w:val="none" w:sz="0" w:space="0" w:color="auto"/>
        <w:right w:val="none" w:sz="0" w:space="0" w:color="auto"/>
      </w:divBdr>
      <w:divsChild>
        <w:div w:id="816579036">
          <w:marLeft w:val="0"/>
          <w:marRight w:val="0"/>
          <w:marTop w:val="0"/>
          <w:marBottom w:val="0"/>
          <w:divBdr>
            <w:top w:val="none" w:sz="0" w:space="0" w:color="auto"/>
            <w:left w:val="none" w:sz="0" w:space="0" w:color="auto"/>
            <w:bottom w:val="none" w:sz="0" w:space="0" w:color="auto"/>
            <w:right w:val="none" w:sz="0" w:space="0" w:color="auto"/>
          </w:divBdr>
        </w:div>
      </w:divsChild>
    </w:div>
    <w:div w:id="1307590433">
      <w:bodyDiv w:val="1"/>
      <w:marLeft w:val="0"/>
      <w:marRight w:val="0"/>
      <w:marTop w:val="0"/>
      <w:marBottom w:val="0"/>
      <w:divBdr>
        <w:top w:val="none" w:sz="0" w:space="0" w:color="auto"/>
        <w:left w:val="none" w:sz="0" w:space="0" w:color="auto"/>
        <w:bottom w:val="none" w:sz="0" w:space="0" w:color="auto"/>
        <w:right w:val="none" w:sz="0" w:space="0" w:color="auto"/>
      </w:divBdr>
    </w:div>
    <w:div w:id="1444765469">
      <w:bodyDiv w:val="1"/>
      <w:marLeft w:val="0"/>
      <w:marRight w:val="0"/>
      <w:marTop w:val="0"/>
      <w:marBottom w:val="0"/>
      <w:divBdr>
        <w:top w:val="none" w:sz="0" w:space="0" w:color="auto"/>
        <w:left w:val="none" w:sz="0" w:space="0" w:color="auto"/>
        <w:bottom w:val="none" w:sz="0" w:space="0" w:color="auto"/>
        <w:right w:val="none" w:sz="0" w:space="0" w:color="auto"/>
      </w:divBdr>
    </w:div>
    <w:div w:id="1507356850">
      <w:bodyDiv w:val="1"/>
      <w:marLeft w:val="0"/>
      <w:marRight w:val="0"/>
      <w:marTop w:val="0"/>
      <w:marBottom w:val="0"/>
      <w:divBdr>
        <w:top w:val="none" w:sz="0" w:space="0" w:color="auto"/>
        <w:left w:val="none" w:sz="0" w:space="0" w:color="auto"/>
        <w:bottom w:val="none" w:sz="0" w:space="0" w:color="auto"/>
        <w:right w:val="none" w:sz="0" w:space="0" w:color="auto"/>
      </w:divBdr>
    </w:div>
    <w:div w:id="1531189547">
      <w:bodyDiv w:val="1"/>
      <w:marLeft w:val="0"/>
      <w:marRight w:val="0"/>
      <w:marTop w:val="0"/>
      <w:marBottom w:val="0"/>
      <w:divBdr>
        <w:top w:val="none" w:sz="0" w:space="0" w:color="auto"/>
        <w:left w:val="none" w:sz="0" w:space="0" w:color="auto"/>
        <w:bottom w:val="none" w:sz="0" w:space="0" w:color="auto"/>
        <w:right w:val="none" w:sz="0" w:space="0" w:color="auto"/>
      </w:divBdr>
    </w:div>
    <w:div w:id="1552693692">
      <w:bodyDiv w:val="1"/>
      <w:marLeft w:val="0"/>
      <w:marRight w:val="0"/>
      <w:marTop w:val="0"/>
      <w:marBottom w:val="0"/>
      <w:divBdr>
        <w:top w:val="none" w:sz="0" w:space="0" w:color="auto"/>
        <w:left w:val="none" w:sz="0" w:space="0" w:color="auto"/>
        <w:bottom w:val="none" w:sz="0" w:space="0" w:color="auto"/>
        <w:right w:val="none" w:sz="0" w:space="0" w:color="auto"/>
      </w:divBdr>
    </w:div>
    <w:div w:id="1563520498">
      <w:bodyDiv w:val="1"/>
      <w:marLeft w:val="0"/>
      <w:marRight w:val="0"/>
      <w:marTop w:val="0"/>
      <w:marBottom w:val="0"/>
      <w:divBdr>
        <w:top w:val="none" w:sz="0" w:space="0" w:color="auto"/>
        <w:left w:val="none" w:sz="0" w:space="0" w:color="auto"/>
        <w:bottom w:val="none" w:sz="0" w:space="0" w:color="auto"/>
        <w:right w:val="none" w:sz="0" w:space="0" w:color="auto"/>
      </w:divBdr>
    </w:div>
    <w:div w:id="1731072785">
      <w:bodyDiv w:val="1"/>
      <w:marLeft w:val="0"/>
      <w:marRight w:val="0"/>
      <w:marTop w:val="0"/>
      <w:marBottom w:val="0"/>
      <w:divBdr>
        <w:top w:val="none" w:sz="0" w:space="0" w:color="auto"/>
        <w:left w:val="none" w:sz="0" w:space="0" w:color="auto"/>
        <w:bottom w:val="none" w:sz="0" w:space="0" w:color="auto"/>
        <w:right w:val="none" w:sz="0" w:space="0" w:color="auto"/>
      </w:divBdr>
    </w:div>
    <w:div w:id="1746607946">
      <w:bodyDiv w:val="1"/>
      <w:marLeft w:val="0"/>
      <w:marRight w:val="0"/>
      <w:marTop w:val="0"/>
      <w:marBottom w:val="0"/>
      <w:divBdr>
        <w:top w:val="none" w:sz="0" w:space="0" w:color="auto"/>
        <w:left w:val="none" w:sz="0" w:space="0" w:color="auto"/>
        <w:bottom w:val="none" w:sz="0" w:space="0" w:color="auto"/>
        <w:right w:val="none" w:sz="0" w:space="0" w:color="auto"/>
      </w:divBdr>
    </w:div>
    <w:div w:id="1764180216">
      <w:bodyDiv w:val="1"/>
      <w:marLeft w:val="0"/>
      <w:marRight w:val="0"/>
      <w:marTop w:val="0"/>
      <w:marBottom w:val="0"/>
      <w:divBdr>
        <w:top w:val="none" w:sz="0" w:space="0" w:color="auto"/>
        <w:left w:val="none" w:sz="0" w:space="0" w:color="auto"/>
        <w:bottom w:val="none" w:sz="0" w:space="0" w:color="auto"/>
        <w:right w:val="none" w:sz="0" w:space="0" w:color="auto"/>
      </w:divBdr>
    </w:div>
    <w:div w:id="1777284577">
      <w:bodyDiv w:val="1"/>
      <w:marLeft w:val="0"/>
      <w:marRight w:val="0"/>
      <w:marTop w:val="0"/>
      <w:marBottom w:val="0"/>
      <w:divBdr>
        <w:top w:val="none" w:sz="0" w:space="0" w:color="auto"/>
        <w:left w:val="none" w:sz="0" w:space="0" w:color="auto"/>
        <w:bottom w:val="none" w:sz="0" w:space="0" w:color="auto"/>
        <w:right w:val="none" w:sz="0" w:space="0" w:color="auto"/>
      </w:divBdr>
    </w:div>
    <w:div w:id="1777481543">
      <w:bodyDiv w:val="1"/>
      <w:marLeft w:val="0"/>
      <w:marRight w:val="0"/>
      <w:marTop w:val="0"/>
      <w:marBottom w:val="0"/>
      <w:divBdr>
        <w:top w:val="none" w:sz="0" w:space="0" w:color="auto"/>
        <w:left w:val="none" w:sz="0" w:space="0" w:color="auto"/>
        <w:bottom w:val="none" w:sz="0" w:space="0" w:color="auto"/>
        <w:right w:val="none" w:sz="0" w:space="0" w:color="auto"/>
      </w:divBdr>
    </w:div>
    <w:div w:id="1780292895">
      <w:bodyDiv w:val="1"/>
      <w:marLeft w:val="0"/>
      <w:marRight w:val="0"/>
      <w:marTop w:val="0"/>
      <w:marBottom w:val="0"/>
      <w:divBdr>
        <w:top w:val="none" w:sz="0" w:space="0" w:color="auto"/>
        <w:left w:val="none" w:sz="0" w:space="0" w:color="auto"/>
        <w:bottom w:val="none" w:sz="0" w:space="0" w:color="auto"/>
        <w:right w:val="none" w:sz="0" w:space="0" w:color="auto"/>
      </w:divBdr>
    </w:div>
    <w:div w:id="1940989641">
      <w:bodyDiv w:val="1"/>
      <w:marLeft w:val="0"/>
      <w:marRight w:val="0"/>
      <w:marTop w:val="0"/>
      <w:marBottom w:val="0"/>
      <w:divBdr>
        <w:top w:val="none" w:sz="0" w:space="0" w:color="auto"/>
        <w:left w:val="none" w:sz="0" w:space="0" w:color="auto"/>
        <w:bottom w:val="none" w:sz="0" w:space="0" w:color="auto"/>
        <w:right w:val="none" w:sz="0" w:space="0" w:color="auto"/>
      </w:divBdr>
      <w:divsChild>
        <w:div w:id="1506357444">
          <w:marLeft w:val="0"/>
          <w:marRight w:val="0"/>
          <w:marTop w:val="0"/>
          <w:marBottom w:val="0"/>
          <w:divBdr>
            <w:top w:val="none" w:sz="0" w:space="0" w:color="auto"/>
            <w:left w:val="none" w:sz="0" w:space="0" w:color="auto"/>
            <w:bottom w:val="none" w:sz="0" w:space="0" w:color="auto"/>
            <w:right w:val="none" w:sz="0" w:space="0" w:color="auto"/>
          </w:divBdr>
        </w:div>
      </w:divsChild>
    </w:div>
    <w:div w:id="2028676495">
      <w:bodyDiv w:val="1"/>
      <w:marLeft w:val="0"/>
      <w:marRight w:val="0"/>
      <w:marTop w:val="0"/>
      <w:marBottom w:val="0"/>
      <w:divBdr>
        <w:top w:val="none" w:sz="0" w:space="0" w:color="auto"/>
        <w:left w:val="none" w:sz="0" w:space="0" w:color="auto"/>
        <w:bottom w:val="none" w:sz="0" w:space="0" w:color="auto"/>
        <w:right w:val="none" w:sz="0" w:space="0" w:color="auto"/>
      </w:divBdr>
    </w:div>
    <w:div w:id="2117476342">
      <w:bodyDiv w:val="1"/>
      <w:marLeft w:val="0"/>
      <w:marRight w:val="0"/>
      <w:marTop w:val="0"/>
      <w:marBottom w:val="0"/>
      <w:divBdr>
        <w:top w:val="none" w:sz="0" w:space="0" w:color="auto"/>
        <w:left w:val="none" w:sz="0" w:space="0" w:color="auto"/>
        <w:bottom w:val="none" w:sz="0" w:space="0" w:color="auto"/>
        <w:right w:val="none" w:sz="0" w:space="0" w:color="auto"/>
      </w:divBdr>
    </w:div>
    <w:div w:id="214014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e.int/en/web/conventions/full-list/-/conventions/treaty/024" TargetMode="External"/><Relationship Id="rId18" Type="http://schemas.openxmlformats.org/officeDocument/2006/relationships/hyperlink" Target="http://hudoc.echr.coe.int/eng?i=002-11428" TargetMode="External"/><Relationship Id="rId26" Type="http://schemas.openxmlformats.org/officeDocument/2006/relationships/hyperlink" Target="http://hudoc.echr.coe.int/eng?i=002-6532" TargetMode="External"/><Relationship Id="rId39" Type="http://schemas.openxmlformats.org/officeDocument/2006/relationships/hyperlink" Target="http://hudoc.echr.coe.int/eng?i=002-11424" TargetMode="External"/><Relationship Id="rId3" Type="http://schemas.microsoft.com/office/2007/relationships/stylesWithEffects" Target="stylesWithEffects.xml"/><Relationship Id="rId21" Type="http://schemas.openxmlformats.org/officeDocument/2006/relationships/hyperlink" Target="http://hudoc.echr.coe.int/eng?i=002-11799" TargetMode="External"/><Relationship Id="rId34" Type="http://schemas.openxmlformats.org/officeDocument/2006/relationships/hyperlink" Target="https://www.ohchr.org/EN/HRBodies/CRPD/Pages/ConventionRightsPersonsWithDisabilities.aspx" TargetMode="External"/><Relationship Id="rId42" Type="http://schemas.openxmlformats.org/officeDocument/2006/relationships/hyperlink" Target="https://hudoc.echr.coe.int/eng"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hudoc.echr.coe.int/eng?i=002-11446" TargetMode="External"/><Relationship Id="rId17" Type="http://schemas.openxmlformats.org/officeDocument/2006/relationships/hyperlink" Target="https://search.coe.int/cm/Pages/result_details.aspx?ObjectId=090000168076f1fd" TargetMode="External"/><Relationship Id="rId25" Type="http://schemas.openxmlformats.org/officeDocument/2006/relationships/hyperlink" Target="http://hudoc.echr.coe.int/eng?i=001-58198" TargetMode="External"/><Relationship Id="rId33" Type="http://schemas.openxmlformats.org/officeDocument/2006/relationships/hyperlink" Target="http://hudoc.echr.coe.int/eng?i=002-11716" TargetMode="External"/><Relationship Id="rId38" Type="http://schemas.openxmlformats.org/officeDocument/2006/relationships/hyperlink" Target="http://hudoc.echr.coe.int/eng?i=001-180877"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oe.int/en/web/cm" TargetMode="External"/><Relationship Id="rId20" Type="http://schemas.openxmlformats.org/officeDocument/2006/relationships/hyperlink" Target="https://www.unhcr.org/3b66c2aa10" TargetMode="External"/><Relationship Id="rId29" Type="http://schemas.openxmlformats.org/officeDocument/2006/relationships/hyperlink" Target="http://hudoc.echr.coe.int/eng?i=001-107448" TargetMode="External"/><Relationship Id="rId41" Type="http://schemas.openxmlformats.org/officeDocument/2006/relationships/hyperlink" Target="http://hudoc.echr.coe.int/fre?i=002-978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hudoc.echr.coe.int/eng?i=001-186201" TargetMode="External"/><Relationship Id="rId24" Type="http://schemas.openxmlformats.org/officeDocument/2006/relationships/hyperlink" Target="http://hudoc.echr.coe.int/eng?i=002-10648" TargetMode="External"/><Relationship Id="rId32" Type="http://schemas.openxmlformats.org/officeDocument/2006/relationships/hyperlink" Target="http://hudoc.echr.coe.int/eng?i=002-10354" TargetMode="External"/><Relationship Id="rId37" Type="http://schemas.openxmlformats.org/officeDocument/2006/relationships/hyperlink" Target="http://hudoc.echr.coe.int/eng?i=002-11758" TargetMode="External"/><Relationship Id="rId40" Type="http://schemas.openxmlformats.org/officeDocument/2006/relationships/hyperlink" Target="http://hudoc.echr.coe.int/eng?i=003-6380464-8364383"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hudoc.echr.coe.int/eng?i=001-178631" TargetMode="External"/><Relationship Id="rId23" Type="http://schemas.openxmlformats.org/officeDocument/2006/relationships/hyperlink" Target="http://hudoc.echr.coe.int/eng?i=002-2237" TargetMode="External"/><Relationship Id="rId28" Type="http://schemas.openxmlformats.org/officeDocument/2006/relationships/hyperlink" Target="http://hudoc.echr.coe.int/eng?i=002-3083" TargetMode="External"/><Relationship Id="rId36" Type="http://schemas.openxmlformats.org/officeDocument/2006/relationships/hyperlink" Target="https://hudoc.echr.coe.int/eng" TargetMode="External"/><Relationship Id="rId49" Type="http://schemas.openxmlformats.org/officeDocument/2006/relationships/fontTable" Target="fontTable.xml"/><Relationship Id="rId10" Type="http://schemas.openxmlformats.org/officeDocument/2006/relationships/hyperlink" Target="https://www.coe.int/cm" TargetMode="External"/><Relationship Id="rId19" Type="http://schemas.openxmlformats.org/officeDocument/2006/relationships/hyperlink" Target="https://eur-lex.europa.eu/legal-content/EN/TXT/PDF/?uri=CELEX:32013L0032&amp;from=en" TargetMode="External"/><Relationship Id="rId31" Type="http://schemas.openxmlformats.org/officeDocument/2006/relationships/hyperlink" Target="http://hudoc.echr.coe.int/eng?i=002-7488" TargetMode="External"/><Relationship Id="rId44" Type="http://schemas.openxmlformats.org/officeDocument/2006/relationships/hyperlink" Target="https://www.echr.coe.int/Pages/home.aspx?p=caselaw/analysis/guides&amp;c=" TargetMode="External"/><Relationship Id="rId4" Type="http://schemas.openxmlformats.org/officeDocument/2006/relationships/settings" Target="settings.xml"/><Relationship Id="rId9" Type="http://schemas.openxmlformats.org/officeDocument/2006/relationships/hyperlink" Target="http://hudoc.echr.coe.int/eng?i=002-9584" TargetMode="External"/><Relationship Id="rId14" Type="http://schemas.openxmlformats.org/officeDocument/2006/relationships/hyperlink" Target="http://hudoc.echr.coe.int/eng?i=002-9462" TargetMode="External"/><Relationship Id="rId22" Type="http://schemas.openxmlformats.org/officeDocument/2006/relationships/hyperlink" Target="http://hudoc.echr.coe.int/eng?i=001-200832" TargetMode="External"/><Relationship Id="rId27" Type="http://schemas.openxmlformats.org/officeDocument/2006/relationships/hyperlink" Target="http://hudoc.echr.coe.int/eng?i=002-1322" TargetMode="External"/><Relationship Id="rId30" Type="http://schemas.openxmlformats.org/officeDocument/2006/relationships/hyperlink" Target="http://hudoc.echr.coe.int/eng?i=002-7581" TargetMode="External"/><Relationship Id="rId35" Type="http://schemas.openxmlformats.org/officeDocument/2006/relationships/hyperlink" Target="https://search.coe.int/cm/Pages/result_details.aspx?ObjectId=09000016805dc0c1" TargetMode="External"/><Relationship Id="rId43" Type="http://schemas.openxmlformats.org/officeDocument/2006/relationships/hyperlink" Target="https://www.echr.coe.int/Pages/home.aspx?p=caselaw/analysis&amp;c" TargetMode="External"/><Relationship Id="rId48" Type="http://schemas.openxmlformats.org/officeDocument/2006/relationships/footer" Target="footer2.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26" Type="http://schemas.openxmlformats.org/officeDocument/2006/relationships/hyperlink" Target="http://hudoc.exec.coe.int/eng?i=004-1866" TargetMode="External"/><Relationship Id="rId21" Type="http://schemas.openxmlformats.org/officeDocument/2006/relationships/hyperlink" Target="http://hudoc.echr.coe.int/eng?i=001-162644" TargetMode="External"/><Relationship Id="rId34" Type="http://schemas.openxmlformats.org/officeDocument/2006/relationships/hyperlink" Target="http://hudoc.echr.coe.int/eng?i=001-175455" TargetMode="External"/><Relationship Id="rId42" Type="http://schemas.openxmlformats.org/officeDocument/2006/relationships/hyperlink" Target="http://hudoc.echr.coe.int/eng?i=002-1663" TargetMode="External"/><Relationship Id="rId47" Type="http://schemas.openxmlformats.org/officeDocument/2006/relationships/hyperlink" Target="http://hudoc.echr.coe.int/eng?i=002-120" TargetMode="External"/><Relationship Id="rId50" Type="http://schemas.openxmlformats.org/officeDocument/2006/relationships/hyperlink" Target="http://hudoc.echr.coe.int/eng?i=001-177867" TargetMode="External"/><Relationship Id="rId55" Type="http://schemas.openxmlformats.org/officeDocument/2006/relationships/hyperlink" Target="https://www.echr.coe.int/Documents/FS_Life_sentences_ENG.pdf" TargetMode="External"/><Relationship Id="rId63" Type="http://schemas.openxmlformats.org/officeDocument/2006/relationships/hyperlink" Target="http://hudoc.echr.coe.int/eng?i=001-175433" TargetMode="External"/><Relationship Id="rId68" Type="http://schemas.openxmlformats.org/officeDocument/2006/relationships/hyperlink" Target="http://hudoc.echr.coe.int/eng?i=001-194117" TargetMode="External"/><Relationship Id="rId76" Type="http://schemas.openxmlformats.org/officeDocument/2006/relationships/hyperlink" Target="http://hudoc.echr.coe.int/eng?i=002-11092" TargetMode="External"/><Relationship Id="rId84" Type="http://schemas.openxmlformats.org/officeDocument/2006/relationships/hyperlink" Target="http://hudoc.echr.coe.int/eng?i=002-1663" TargetMode="External"/><Relationship Id="rId89" Type="http://schemas.openxmlformats.org/officeDocument/2006/relationships/hyperlink" Target="http://hudoc.echr.coe.int/eng?i=002-7632" TargetMode="External"/><Relationship Id="rId97" Type="http://schemas.openxmlformats.org/officeDocument/2006/relationships/hyperlink" Target="https://www.echr.coe.int/Documents/FS_Surrogacy_ENG.pdf" TargetMode="External"/><Relationship Id="rId7" Type="http://schemas.openxmlformats.org/officeDocument/2006/relationships/hyperlink" Target="http://hudoc.echr.coe.int/eng?i=002-90" TargetMode="External"/><Relationship Id="rId71" Type="http://schemas.openxmlformats.org/officeDocument/2006/relationships/hyperlink" Target="http://hudoc.echr.coe.int/eng?i=001-180879" TargetMode="External"/><Relationship Id="rId92" Type="http://schemas.openxmlformats.org/officeDocument/2006/relationships/hyperlink" Target="http://hudoc.echr.coe.int/eng?i=001-199407" TargetMode="External"/><Relationship Id="rId2" Type="http://schemas.openxmlformats.org/officeDocument/2006/relationships/hyperlink" Target="https://www.echr.coe.int/Documents/Cases_list_2019_ENG.pdf" TargetMode="External"/><Relationship Id="rId16" Type="http://schemas.openxmlformats.org/officeDocument/2006/relationships/hyperlink" Target="http://hudoc.echr.coe.int/eng?i=001-99120" TargetMode="External"/><Relationship Id="rId29" Type="http://schemas.openxmlformats.org/officeDocument/2006/relationships/hyperlink" Target="http://hudoc.echr.coe.int/eng?i=002-628" TargetMode="External"/><Relationship Id="rId11" Type="http://schemas.openxmlformats.org/officeDocument/2006/relationships/hyperlink" Target="http://hudoc.echr.coe.int/eng?i=001-168781" TargetMode="External"/><Relationship Id="rId24" Type="http://schemas.openxmlformats.org/officeDocument/2006/relationships/hyperlink" Target="http://hudoc.echr.coe.int/eng?i=002-10648" TargetMode="External"/><Relationship Id="rId32" Type="http://schemas.openxmlformats.org/officeDocument/2006/relationships/hyperlink" Target="http://hudoc.echr.coe.int/eng?i=002-10343" TargetMode="External"/><Relationship Id="rId37" Type="http://schemas.openxmlformats.org/officeDocument/2006/relationships/hyperlink" Target="http://hudoc.echr.coe.int/eng?i=001-98902" TargetMode="External"/><Relationship Id="rId40" Type="http://schemas.openxmlformats.org/officeDocument/2006/relationships/hyperlink" Target="http://hudoc.echr.coe.int/eng?i=002-3566" TargetMode="External"/><Relationship Id="rId45" Type="http://schemas.openxmlformats.org/officeDocument/2006/relationships/hyperlink" Target="http://hudoc.echr.coe.int/eng?i=002-2439" TargetMode="External"/><Relationship Id="rId53" Type="http://schemas.openxmlformats.org/officeDocument/2006/relationships/hyperlink" Target="http://hudoc.echr.coe.int/eng?i=001-152996" TargetMode="External"/><Relationship Id="rId58" Type="http://schemas.openxmlformats.org/officeDocument/2006/relationships/hyperlink" Target="http://hudoc.echr.coe.int/eng?i=001-168374" TargetMode="External"/><Relationship Id="rId66" Type="http://schemas.openxmlformats.org/officeDocument/2006/relationships/hyperlink" Target="http://www.echr.coe.int/Documents/FS_Detention_mental_health_ENG.pdf" TargetMode="External"/><Relationship Id="rId74" Type="http://schemas.openxmlformats.org/officeDocument/2006/relationships/hyperlink" Target="https://www.echr.coe.int/Documents/FS_Childrens_ENG.pdf" TargetMode="External"/><Relationship Id="rId79" Type="http://schemas.openxmlformats.org/officeDocument/2006/relationships/hyperlink" Target="http://hudoc.echr.coe.int/eng?i=001-98902" TargetMode="External"/><Relationship Id="rId87" Type="http://schemas.openxmlformats.org/officeDocument/2006/relationships/hyperlink" Target="http://hudoc.echr.coe.int/eng?i=002-24" TargetMode="External"/><Relationship Id="rId5" Type="http://schemas.openxmlformats.org/officeDocument/2006/relationships/hyperlink" Target="http://hudoc.echr.coe.int/eng?i=001-58257" TargetMode="External"/><Relationship Id="rId61" Type="http://schemas.openxmlformats.org/officeDocument/2006/relationships/hyperlink" Target="http://hudoc.echr.coe.int/eng?i=001-193286" TargetMode="External"/><Relationship Id="rId82" Type="http://schemas.openxmlformats.org/officeDocument/2006/relationships/hyperlink" Target="http://hudoc.echr.coe.int/eng?i=002-3566" TargetMode="External"/><Relationship Id="rId90" Type="http://schemas.openxmlformats.org/officeDocument/2006/relationships/hyperlink" Target="http://hudoc.echr.coe.int/eng?i=002-9121" TargetMode="External"/><Relationship Id="rId95" Type="http://schemas.openxmlformats.org/officeDocument/2006/relationships/hyperlink" Target="http://hudoc.echr.coe.int/eng?i=001-165462" TargetMode="External"/><Relationship Id="rId19" Type="http://schemas.openxmlformats.org/officeDocument/2006/relationships/hyperlink" Target="http://hudoc.echr.coe.int/eng?i=002-428" TargetMode="External"/><Relationship Id="rId14" Type="http://schemas.openxmlformats.org/officeDocument/2006/relationships/hyperlink" Target="http://hudoc.echr.coe.int/eng?i=002-11775" TargetMode="External"/><Relationship Id="rId22" Type="http://schemas.openxmlformats.org/officeDocument/2006/relationships/hyperlink" Target="http://hudoc.echr.coe.int/eng?i=002-8933" TargetMode="External"/><Relationship Id="rId27" Type="http://schemas.openxmlformats.org/officeDocument/2006/relationships/hyperlink" Target="https://www.echr.coe.int/Documents/FS_Dublin_ENG.pdf" TargetMode="External"/><Relationship Id="rId30" Type="http://schemas.openxmlformats.org/officeDocument/2006/relationships/hyperlink" Target="http://hudoc.echr.coe.int/eng?i=002-7460" TargetMode="External"/><Relationship Id="rId35" Type="http://schemas.openxmlformats.org/officeDocument/2006/relationships/hyperlink" Target="https://www.echr.coe.int/Documents/FS_Detention_conditions_ENG.pdf" TargetMode="External"/><Relationship Id="rId43" Type="http://schemas.openxmlformats.org/officeDocument/2006/relationships/hyperlink" Target="http://hudoc.echr.coe.int/eng?i=002-6928" TargetMode="External"/><Relationship Id="rId48" Type="http://schemas.openxmlformats.org/officeDocument/2006/relationships/hyperlink" Target="http://hudoc.echr.coe.int/eng?i=001-180868" TargetMode="External"/><Relationship Id="rId56" Type="http://schemas.openxmlformats.org/officeDocument/2006/relationships/hyperlink" Target="http://hudoc.echr.coe.int/eng?i=002-5560" TargetMode="External"/><Relationship Id="rId64" Type="http://schemas.openxmlformats.org/officeDocument/2006/relationships/hyperlink" Target="https://www.echr.coe.int/Documents/FS_European_Union_ENG.pdf" TargetMode="External"/><Relationship Id="rId69" Type="http://schemas.openxmlformats.org/officeDocument/2006/relationships/hyperlink" Target="http://hudoc.echr.coe.int/eng?i=001-180876" TargetMode="External"/><Relationship Id="rId77" Type="http://schemas.openxmlformats.org/officeDocument/2006/relationships/hyperlink" Target="https://www.echr.coe.int/Documents/FS_Detention_conditions_ENG.pdf" TargetMode="External"/><Relationship Id="rId8" Type="http://schemas.openxmlformats.org/officeDocument/2006/relationships/hyperlink" Target="http://hudoc.echr.coe.int/eng?i=002-5018" TargetMode="External"/><Relationship Id="rId51" Type="http://schemas.openxmlformats.org/officeDocument/2006/relationships/hyperlink" Target="http://hudoc.echr.coe.int/eng?i=002-782" TargetMode="External"/><Relationship Id="rId72" Type="http://schemas.openxmlformats.org/officeDocument/2006/relationships/hyperlink" Target="https://hudoc.echr.coe.int/eng" TargetMode="External"/><Relationship Id="rId80" Type="http://schemas.openxmlformats.org/officeDocument/2006/relationships/hyperlink" Target="http://hudoc.echr.coe.int/eng?i=002-4577" TargetMode="External"/><Relationship Id="rId85" Type="http://schemas.openxmlformats.org/officeDocument/2006/relationships/hyperlink" Target="http://hudoc.echr.coe.int/eng?i=002-628" TargetMode="External"/><Relationship Id="rId93" Type="http://schemas.openxmlformats.org/officeDocument/2006/relationships/hyperlink" Target="http://hudoc.echr.coe.int/eng?i=001-175446" TargetMode="External"/><Relationship Id="rId3" Type="http://schemas.openxmlformats.org/officeDocument/2006/relationships/hyperlink" Target="http://hudoc.echr.coe.int/eng?i=001-194133" TargetMode="External"/><Relationship Id="rId12" Type="http://schemas.openxmlformats.org/officeDocument/2006/relationships/hyperlink" Target="http://hudoc.echr.coe.int/eng?i=001-186202" TargetMode="External"/><Relationship Id="rId17" Type="http://schemas.openxmlformats.org/officeDocument/2006/relationships/hyperlink" Target="http://hudoc.echr.coe.int/eng?i=002-5134" TargetMode="External"/><Relationship Id="rId25" Type="http://schemas.openxmlformats.org/officeDocument/2006/relationships/hyperlink" Target="http://hudoc.echr.coe.int/eng?i=002-1067" TargetMode="External"/><Relationship Id="rId33" Type="http://schemas.openxmlformats.org/officeDocument/2006/relationships/hyperlink" Target="http://hudoc.echr.coe.int/eng?i=001-199413" TargetMode="External"/><Relationship Id="rId38" Type="http://schemas.openxmlformats.org/officeDocument/2006/relationships/hyperlink" Target="http://hudoc.echr.coe.int/eng?i=002-4577" TargetMode="External"/><Relationship Id="rId46" Type="http://schemas.openxmlformats.org/officeDocument/2006/relationships/hyperlink" Target="http://hudoc.echr.coe.int/eng?i=002-11188" TargetMode="External"/><Relationship Id="rId59" Type="http://schemas.openxmlformats.org/officeDocument/2006/relationships/hyperlink" Target="http://hudoc.echr.coe.int/eng?i=001-172656" TargetMode="External"/><Relationship Id="rId67" Type="http://schemas.openxmlformats.org/officeDocument/2006/relationships/hyperlink" Target="http://hudoc.echr.coe.int/eng?i=001-194117" TargetMode="External"/><Relationship Id="rId20" Type="http://schemas.openxmlformats.org/officeDocument/2006/relationships/hyperlink" Target="http://hudoc.echr.coe.int/eng?i=002-2955" TargetMode="External"/><Relationship Id="rId41" Type="http://schemas.openxmlformats.org/officeDocument/2006/relationships/hyperlink" Target="http://hudoc.echr.coe.int/eng?i=002-2285" TargetMode="External"/><Relationship Id="rId54" Type="http://schemas.openxmlformats.org/officeDocument/2006/relationships/hyperlink" Target="http://hudoc.echr.coe.int/eng?i=001-181663" TargetMode="External"/><Relationship Id="rId62" Type="http://schemas.openxmlformats.org/officeDocument/2006/relationships/hyperlink" Target="http://hudoc.echr.coe.int/eng?i=001-166666" TargetMode="External"/><Relationship Id="rId70" Type="http://schemas.openxmlformats.org/officeDocument/2006/relationships/hyperlink" Target="http://hudoc.echr.coe.int/eng?i=001-180876" TargetMode="External"/><Relationship Id="rId75" Type="http://schemas.openxmlformats.org/officeDocument/2006/relationships/hyperlink" Target="http://hudoc.echr.coe.int/eng?i=002-4908" TargetMode="External"/><Relationship Id="rId83" Type="http://schemas.openxmlformats.org/officeDocument/2006/relationships/hyperlink" Target="http://hudoc.echr.coe.int/eng?i=002-2285" TargetMode="External"/><Relationship Id="rId88" Type="http://schemas.openxmlformats.org/officeDocument/2006/relationships/hyperlink" Target="http://hudoc.echr.coe.int/eng?i=001-152934" TargetMode="External"/><Relationship Id="rId91" Type="http://schemas.openxmlformats.org/officeDocument/2006/relationships/hyperlink" Target="http://hudoc.echr.coe.int/eng?i=001-175454" TargetMode="External"/><Relationship Id="rId96" Type="http://schemas.openxmlformats.org/officeDocument/2006/relationships/hyperlink" Target="http://hudoc.echr.coe.int/eng?i=002-11439" TargetMode="External"/><Relationship Id="rId1" Type="http://schemas.openxmlformats.org/officeDocument/2006/relationships/hyperlink" Target="http://hudoc.echr.coe.int/eng?i=001-200090" TargetMode="External"/><Relationship Id="rId6" Type="http://schemas.openxmlformats.org/officeDocument/2006/relationships/hyperlink" Target="http://hudoc.echr.coe.int/eng?i=002-5699" TargetMode="External"/><Relationship Id="rId15" Type="http://schemas.openxmlformats.org/officeDocument/2006/relationships/hyperlink" Target="https://www.echr.coe.int/Documents/CLIN_2017_12_213_ENG.pdf" TargetMode="External"/><Relationship Id="rId23" Type="http://schemas.openxmlformats.org/officeDocument/2006/relationships/hyperlink" Target="http://hudoc.echr.coe.int/eng?i=001-59454" TargetMode="External"/><Relationship Id="rId28" Type="http://schemas.openxmlformats.org/officeDocument/2006/relationships/hyperlink" Target="http://hudoc.echr.coe.int/eng?i=002-6682" TargetMode="External"/><Relationship Id="rId36" Type="http://schemas.openxmlformats.org/officeDocument/2006/relationships/hyperlink" Target="http://hudoc.echr.coe.int/eng?i=001-57988" TargetMode="External"/><Relationship Id="rId49" Type="http://schemas.openxmlformats.org/officeDocument/2006/relationships/hyperlink" Target="http://hudoc.echr.coe.int/eng?i=001-175442" TargetMode="External"/><Relationship Id="rId57" Type="http://schemas.openxmlformats.org/officeDocument/2006/relationships/hyperlink" Target="http://hudoc.echr.coe.int/eng?i=002-9595" TargetMode="External"/><Relationship Id="rId10" Type="http://schemas.openxmlformats.org/officeDocument/2006/relationships/hyperlink" Target="http://hudoc.echr.coe.int/eng?i=002-238" TargetMode="External"/><Relationship Id="rId31" Type="http://schemas.openxmlformats.org/officeDocument/2006/relationships/hyperlink" Target="http://hudoc.echr.coe.int/eng?i=001-163920" TargetMode="External"/><Relationship Id="rId44" Type="http://schemas.openxmlformats.org/officeDocument/2006/relationships/hyperlink" Target="http://hudoc.echr.coe.int/eng?i=001-153992" TargetMode="External"/><Relationship Id="rId52" Type="http://schemas.openxmlformats.org/officeDocument/2006/relationships/hyperlink" Target="https://www.echr.coe.int/Documents/FS_Workplace_surveillance_ENG.pdf" TargetMode="External"/><Relationship Id="rId60" Type="http://schemas.openxmlformats.org/officeDocument/2006/relationships/hyperlink" Target="http://hudoc.echr.coe.int/eng?i=002-1236" TargetMode="External"/><Relationship Id="rId65" Type="http://schemas.openxmlformats.org/officeDocument/2006/relationships/hyperlink" Target="http://niepelnosprawni.gov.pl/container/dokumenty-miedzynarodowe/dokumenty-rady-europejskiej/Zalecenie%20Rec.2004.10.pdf" TargetMode="External"/><Relationship Id="rId73" Type="http://schemas.openxmlformats.org/officeDocument/2006/relationships/hyperlink" Target="http://hudoc.echr.coe.int/eng?i=002-784" TargetMode="External"/><Relationship Id="rId78" Type="http://schemas.openxmlformats.org/officeDocument/2006/relationships/hyperlink" Target="http://hudoc.echr.coe.int/eng?i=001-57988" TargetMode="External"/><Relationship Id="rId81" Type="http://schemas.openxmlformats.org/officeDocument/2006/relationships/hyperlink" Target="http://hudoc.echr.coe.int/eng?i=002-3721" TargetMode="External"/><Relationship Id="rId86" Type="http://schemas.openxmlformats.org/officeDocument/2006/relationships/hyperlink" Target="http://hudoc.echr.coe.int/eng?i=002-250" TargetMode="External"/><Relationship Id="rId94" Type="http://schemas.openxmlformats.org/officeDocument/2006/relationships/hyperlink" Target="http://hudoc.echr.coe.int/eng?i=002-9780" TargetMode="External"/><Relationship Id="rId4" Type="http://schemas.openxmlformats.org/officeDocument/2006/relationships/hyperlink" Target="http://hudoc.echr.coe.int/eng?i=002-1158" TargetMode="External"/><Relationship Id="rId9" Type="http://schemas.openxmlformats.org/officeDocument/2006/relationships/hyperlink" Target="http://hudoc.echr.coe.int/eng?i=002-2277" TargetMode="External"/><Relationship Id="rId13" Type="http://schemas.openxmlformats.org/officeDocument/2006/relationships/hyperlink" Target="http://hudoc.echr.coe.int/eng?i=002-11776" TargetMode="External"/><Relationship Id="rId18" Type="http://schemas.openxmlformats.org/officeDocument/2006/relationships/hyperlink" Target="http://hudoc.echr.coe.int/eng?i=002-1142" TargetMode="External"/><Relationship Id="rId39" Type="http://schemas.openxmlformats.org/officeDocument/2006/relationships/hyperlink" Target="http://hudoc.echr.coe.int/eng?i=002-372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92</Pages>
  <Words>39593</Words>
  <Characters>237558</Characters>
  <Application>Microsoft Office Word</Application>
  <DocSecurity>0</DocSecurity>
  <Lines>1979</Lines>
  <Paragraphs>553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276598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2020-08-03T13:13:00Z</dcterms:created>
  <dcterms:modified xsi:type="dcterms:W3CDTF">2020-08-03T13:13:00Z</dcterms:modified>
</cp:coreProperties>
</file>