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D3D1" w14:textId="77777777" w:rsidR="0028222D" w:rsidRPr="0028222D" w:rsidRDefault="0028222D" w:rsidP="0028222D">
      <w:pPr>
        <w:pStyle w:val="Nagwek6"/>
      </w:pPr>
      <w:r w:rsidRPr="0028222D">
        <w:t>DZIAŁ 801 – OŚWIATA I WYCHOWANIE</w:t>
      </w:r>
    </w:p>
    <w:p w14:paraId="0E85AD87" w14:textId="77777777" w:rsidR="0028222D" w:rsidRPr="00A927F8" w:rsidRDefault="0028222D" w:rsidP="0028222D">
      <w:pPr>
        <w:spacing w:line="360" w:lineRule="auto"/>
      </w:pPr>
    </w:p>
    <w:p w14:paraId="395EDB27" w14:textId="5AA1BCB3" w:rsidR="0028222D" w:rsidRPr="00D0769D" w:rsidRDefault="0028222D" w:rsidP="0028222D">
      <w:pPr>
        <w:spacing w:line="360" w:lineRule="auto"/>
        <w:jc w:val="both"/>
      </w:pPr>
      <w:r w:rsidRPr="00D0769D">
        <w:t xml:space="preserve">Dochody </w:t>
      </w:r>
      <w:r w:rsidR="00315227">
        <w:t xml:space="preserve">zaplanowane </w:t>
      </w:r>
      <w:r w:rsidRPr="00D0769D">
        <w:t>w</w:t>
      </w:r>
      <w:r w:rsidR="00315227">
        <w:t xml:space="preserve"> tym</w:t>
      </w:r>
      <w:r w:rsidRPr="00D0769D">
        <w:t xml:space="preserve"> dziale za 2024</w:t>
      </w:r>
      <w:r w:rsidR="00315227">
        <w:t xml:space="preserve"> </w:t>
      </w:r>
      <w:r w:rsidRPr="00D0769D">
        <w:t>r.</w:t>
      </w:r>
      <w:r w:rsidR="00227D66">
        <w:t xml:space="preserve"> w wysokości 30 tys. zł</w:t>
      </w:r>
      <w:r w:rsidRPr="00D0769D">
        <w:t xml:space="preserve"> zrealizowano w kwocie </w:t>
      </w:r>
      <w:r w:rsidR="00227D66">
        <w:t>28</w:t>
      </w:r>
      <w:r w:rsidRPr="00D0769D">
        <w:t xml:space="preserve"> tys. zł, co stanowi </w:t>
      </w:r>
      <w:r w:rsidR="00227D66">
        <w:t>93,3</w:t>
      </w:r>
      <w:r w:rsidRPr="00D0769D">
        <w:t>% planu</w:t>
      </w:r>
      <w:r w:rsidRPr="00D0769D">
        <w:rPr>
          <w:szCs w:val="26"/>
        </w:rPr>
        <w:t xml:space="preserve">. Dochody wykonane przez Kuratorium Oświaty pochodzą </w:t>
      </w:r>
      <w:r w:rsidR="00315227">
        <w:rPr>
          <w:szCs w:val="26"/>
        </w:rPr>
        <w:br/>
      </w:r>
      <w:r w:rsidRPr="00D0769D">
        <w:rPr>
          <w:szCs w:val="26"/>
        </w:rPr>
        <w:t>z tytułu:</w:t>
      </w:r>
    </w:p>
    <w:p w14:paraId="070A291C" w14:textId="77777777" w:rsidR="0028222D" w:rsidRPr="00D0769D" w:rsidRDefault="0028222D" w:rsidP="0028222D">
      <w:pPr>
        <w:numPr>
          <w:ilvl w:val="0"/>
          <w:numId w:val="1"/>
        </w:numPr>
        <w:suppressAutoHyphens/>
        <w:spacing w:line="360" w:lineRule="auto"/>
        <w:jc w:val="both"/>
        <w:rPr>
          <w:szCs w:val="26"/>
        </w:rPr>
      </w:pPr>
      <w:r w:rsidRPr="00D0769D">
        <w:rPr>
          <w:szCs w:val="26"/>
        </w:rPr>
        <w:t xml:space="preserve">wpływów z opłat za duplikaty świadectw i dyplomów oraz legalizacji świadectw – </w:t>
      </w:r>
      <w:r>
        <w:rPr>
          <w:szCs w:val="26"/>
        </w:rPr>
        <w:br/>
      </w:r>
      <w:r w:rsidRPr="00D0769D">
        <w:rPr>
          <w:szCs w:val="26"/>
        </w:rPr>
        <w:t>10 tys. zł, stanowi 100% planu wynoszącego 10 tys. zł;</w:t>
      </w:r>
    </w:p>
    <w:p w14:paraId="2BD7C4A8" w14:textId="451C0540" w:rsidR="0028222D" w:rsidRPr="00D0769D" w:rsidRDefault="0028222D" w:rsidP="0028222D">
      <w:pPr>
        <w:numPr>
          <w:ilvl w:val="0"/>
          <w:numId w:val="1"/>
        </w:numPr>
        <w:suppressAutoHyphens/>
        <w:spacing w:line="360" w:lineRule="auto"/>
        <w:jc w:val="both"/>
        <w:rPr>
          <w:szCs w:val="26"/>
        </w:rPr>
      </w:pPr>
      <w:r w:rsidRPr="00D0769D">
        <w:rPr>
          <w:szCs w:val="26"/>
        </w:rPr>
        <w:t>wpływów za zezwolenia, akredytacje oraz opłaty ewidencyjne – 13 tys. zł, co stanowi 82,2% planu wynoszącego 16 tys. zł</w:t>
      </w:r>
      <w:r w:rsidR="0022681D">
        <w:rPr>
          <w:szCs w:val="26"/>
        </w:rPr>
        <w:t>. Niższe od planowanego wykonanie dochodów wynika przede wszystkim z trudnej do przewidzenia liczby wniosków o dokonanie czynności, co utrudnia zaplanowanie dochodu</w:t>
      </w:r>
      <w:r w:rsidRPr="00D0769D">
        <w:rPr>
          <w:szCs w:val="26"/>
        </w:rPr>
        <w:t>;</w:t>
      </w:r>
    </w:p>
    <w:p w14:paraId="0FA01E53" w14:textId="77777777" w:rsidR="0028222D" w:rsidRDefault="0028222D" w:rsidP="0028222D">
      <w:pPr>
        <w:numPr>
          <w:ilvl w:val="0"/>
          <w:numId w:val="1"/>
        </w:numPr>
        <w:suppressAutoHyphens/>
        <w:spacing w:line="360" w:lineRule="auto"/>
        <w:jc w:val="both"/>
        <w:rPr>
          <w:szCs w:val="26"/>
        </w:rPr>
      </w:pPr>
      <w:r w:rsidRPr="00D0769D">
        <w:rPr>
          <w:szCs w:val="26"/>
        </w:rPr>
        <w:t xml:space="preserve">wpływów z różnych dochodów (kwota dotyczy dochodów płatnika składek ZUS </w:t>
      </w:r>
      <w:r w:rsidRPr="00D0769D">
        <w:rPr>
          <w:szCs w:val="26"/>
        </w:rPr>
        <w:br/>
        <w:t>i podatku PIT) – 5 tys. zł, stanowi 125% planu wynoszącego 4 tys. zł</w:t>
      </w:r>
      <w:r>
        <w:rPr>
          <w:szCs w:val="26"/>
        </w:rPr>
        <w:t>.</w:t>
      </w:r>
    </w:p>
    <w:p w14:paraId="2F09B983" w14:textId="77777777" w:rsidR="00511981" w:rsidRPr="00D0769D" w:rsidRDefault="00511981" w:rsidP="00511981">
      <w:pPr>
        <w:suppressAutoHyphens/>
        <w:spacing w:line="360" w:lineRule="auto"/>
        <w:ind w:left="720"/>
        <w:jc w:val="both"/>
        <w:rPr>
          <w:szCs w:val="26"/>
        </w:rPr>
      </w:pPr>
    </w:p>
    <w:p w14:paraId="0CB81FF6" w14:textId="46AAFAE3" w:rsidR="0028222D" w:rsidRPr="006877B2" w:rsidRDefault="00227D66" w:rsidP="0028222D">
      <w:pPr>
        <w:suppressAutoHyphens/>
        <w:spacing w:line="360" w:lineRule="auto"/>
        <w:jc w:val="both"/>
      </w:pPr>
      <w:r>
        <w:rPr>
          <w:szCs w:val="26"/>
        </w:rPr>
        <w:t>Osiągnięto przy tym d</w:t>
      </w:r>
      <w:r w:rsidR="0028222D" w:rsidRPr="00557B46">
        <w:rPr>
          <w:szCs w:val="26"/>
        </w:rPr>
        <w:t>ochody nieplanowane w kwocie 107 tys. zł</w:t>
      </w:r>
      <w:r>
        <w:rPr>
          <w:szCs w:val="26"/>
        </w:rPr>
        <w:t>.</w:t>
      </w:r>
      <w:r w:rsidR="0028222D" w:rsidRPr="00557B46">
        <w:rPr>
          <w:szCs w:val="26"/>
        </w:rPr>
        <w:t xml:space="preserve"> </w:t>
      </w:r>
      <w:r>
        <w:rPr>
          <w:szCs w:val="26"/>
        </w:rPr>
        <w:t>P</w:t>
      </w:r>
      <w:r w:rsidR="0028222D" w:rsidRPr="00557B46">
        <w:rPr>
          <w:szCs w:val="26"/>
        </w:rPr>
        <w:t xml:space="preserve">ochodziły </w:t>
      </w:r>
      <w:r>
        <w:rPr>
          <w:szCs w:val="26"/>
        </w:rPr>
        <w:t xml:space="preserve">one </w:t>
      </w:r>
      <w:r w:rsidR="0028222D" w:rsidRPr="00557B46">
        <w:rPr>
          <w:szCs w:val="26"/>
        </w:rPr>
        <w:t>przede wszystkim z tytułu</w:t>
      </w:r>
      <w:r w:rsidR="0028222D" w:rsidRPr="00557B46">
        <w:t xml:space="preserve"> </w:t>
      </w:r>
      <w:r w:rsidR="0028222D" w:rsidRPr="006877B2">
        <w:t xml:space="preserve">zwrotów dotacji </w:t>
      </w:r>
      <w:r w:rsidR="0028222D">
        <w:t>na</w:t>
      </w:r>
      <w:r w:rsidR="0028222D" w:rsidRPr="006877B2">
        <w:t xml:space="preserve"> </w:t>
      </w:r>
      <w:r w:rsidR="0028222D" w:rsidRPr="006877B2">
        <w:rPr>
          <w:szCs w:val="26"/>
        </w:rPr>
        <w:t>wyposażenia szkół w podręczniki, materiały edukacyjne lub materiały ćwiczeniowe</w:t>
      </w:r>
      <w:r w:rsidR="0028222D">
        <w:rPr>
          <w:szCs w:val="26"/>
        </w:rPr>
        <w:t>.</w:t>
      </w:r>
    </w:p>
    <w:p w14:paraId="0EAED0A0" w14:textId="77777777" w:rsidR="0028222D" w:rsidRPr="00EC0279" w:rsidRDefault="0028222D" w:rsidP="0028222D">
      <w:pPr>
        <w:suppressAutoHyphens/>
        <w:spacing w:line="360" w:lineRule="auto"/>
        <w:jc w:val="both"/>
        <w:rPr>
          <w:color w:val="FF0000"/>
          <w:szCs w:val="26"/>
        </w:rPr>
      </w:pPr>
    </w:p>
    <w:p w14:paraId="63863CB3" w14:textId="2867BCD2" w:rsidR="0028222D" w:rsidRPr="00A927F8" w:rsidRDefault="0028222D" w:rsidP="0028222D">
      <w:pPr>
        <w:suppressAutoHyphens/>
        <w:spacing w:line="360" w:lineRule="auto"/>
        <w:jc w:val="both"/>
        <w:rPr>
          <w:szCs w:val="26"/>
        </w:rPr>
      </w:pPr>
      <w:r>
        <w:rPr>
          <w:szCs w:val="26"/>
        </w:rPr>
        <w:t>Na koniec 2024 r. w</w:t>
      </w:r>
      <w:r w:rsidRPr="00D0769D">
        <w:rPr>
          <w:szCs w:val="26"/>
        </w:rPr>
        <w:t xml:space="preserve"> Kuratorium Oświaty zaległości w wysokości 47 tys. zł. (zarówno </w:t>
      </w:r>
      <w:r>
        <w:rPr>
          <w:szCs w:val="26"/>
        </w:rPr>
        <w:br/>
      </w:r>
      <w:r w:rsidRPr="00D0769D">
        <w:rPr>
          <w:szCs w:val="26"/>
        </w:rPr>
        <w:t>w 2021 r., 2022 r., jak i w 2023 r.) stanowi</w:t>
      </w:r>
      <w:r>
        <w:rPr>
          <w:szCs w:val="26"/>
        </w:rPr>
        <w:t>ły</w:t>
      </w:r>
      <w:r w:rsidRPr="00D0769D">
        <w:rPr>
          <w:szCs w:val="26"/>
        </w:rPr>
        <w:t xml:space="preserve"> należności z tytułu bezumownego korzystania </w:t>
      </w:r>
      <w:r>
        <w:rPr>
          <w:szCs w:val="26"/>
        </w:rPr>
        <w:br/>
      </w:r>
      <w:r w:rsidRPr="00D0769D">
        <w:rPr>
          <w:szCs w:val="26"/>
        </w:rPr>
        <w:t xml:space="preserve">z nieruchomości przez firmę BIMIT MITA w okresie od 1 stycznia 2021 r. do </w:t>
      </w:r>
      <w:r w:rsidR="00227D66">
        <w:rPr>
          <w:szCs w:val="26"/>
        </w:rPr>
        <w:br/>
      </w:r>
      <w:r w:rsidRPr="00D0769D">
        <w:rPr>
          <w:szCs w:val="26"/>
        </w:rPr>
        <w:t>31 grudnia 2021 r. Noty obciążeniowe z tego tytułu wystawiane były w cyklach miesięcznych z dołu</w:t>
      </w:r>
      <w:r>
        <w:rPr>
          <w:szCs w:val="26"/>
        </w:rPr>
        <w:t>. Z</w:t>
      </w:r>
      <w:r w:rsidRPr="00D0769D">
        <w:rPr>
          <w:szCs w:val="26"/>
        </w:rPr>
        <w:t xml:space="preserve">obowiązany w 2021 r. początkowo regulował częściowo płatności, jednakże później zaprzestał ich dokonywania. W celu dochodzenia roszczeń Kuratorium Oświaty </w:t>
      </w:r>
      <w:r>
        <w:rPr>
          <w:szCs w:val="26"/>
        </w:rPr>
        <w:br/>
      </w:r>
      <w:r w:rsidRPr="00D0769D">
        <w:rPr>
          <w:szCs w:val="26"/>
        </w:rPr>
        <w:t>w Gdańsku skierowało do Sądu Rejonowego Gdańsk Południe wniosek o zawezwanie do próby ugodowej.</w:t>
      </w:r>
    </w:p>
    <w:p w14:paraId="63615638" w14:textId="77777777" w:rsidR="00566838" w:rsidRDefault="00566838"/>
    <w:sectPr w:rsidR="00566838" w:rsidSect="0028222D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5251" w14:textId="77777777" w:rsidR="00B65DE0" w:rsidRDefault="00B65DE0">
      <w:r>
        <w:separator/>
      </w:r>
    </w:p>
  </w:endnote>
  <w:endnote w:type="continuationSeparator" w:id="0">
    <w:p w14:paraId="45131FCC" w14:textId="77777777" w:rsidR="00B65DE0" w:rsidRDefault="00B6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903B" w14:textId="77777777" w:rsidR="00B65DE0" w:rsidRDefault="00B65DE0">
      <w:r>
        <w:separator/>
      </w:r>
    </w:p>
  </w:footnote>
  <w:footnote w:type="continuationSeparator" w:id="0">
    <w:p w14:paraId="370C2A7E" w14:textId="77777777" w:rsidR="00B65DE0" w:rsidRDefault="00B6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902C" w14:textId="77777777" w:rsidR="0074020A" w:rsidRDefault="0074020A">
    <w:pPr>
      <w:pStyle w:val="Nagwek"/>
      <w:rPr>
        <w:sz w:val="20"/>
        <w:szCs w:val="20"/>
      </w:rPr>
    </w:pPr>
  </w:p>
  <w:p w14:paraId="624EA619" w14:textId="77777777" w:rsidR="0074020A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11E38"/>
    <w:multiLevelType w:val="hybridMultilevel"/>
    <w:tmpl w:val="94AC1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1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2D"/>
    <w:rsid w:val="001275B9"/>
    <w:rsid w:val="00132259"/>
    <w:rsid w:val="00216941"/>
    <w:rsid w:val="0022681D"/>
    <w:rsid w:val="00227D66"/>
    <w:rsid w:val="0028222D"/>
    <w:rsid w:val="00315227"/>
    <w:rsid w:val="003A509E"/>
    <w:rsid w:val="004E47EA"/>
    <w:rsid w:val="00511981"/>
    <w:rsid w:val="00566838"/>
    <w:rsid w:val="006151DA"/>
    <w:rsid w:val="0074020A"/>
    <w:rsid w:val="007C0D49"/>
    <w:rsid w:val="009B5623"/>
    <w:rsid w:val="009E619A"/>
    <w:rsid w:val="00B65DE0"/>
    <w:rsid w:val="00D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3188"/>
  <w15:chartTrackingRefBased/>
  <w15:docId w15:val="{6D034DBB-2E4B-4005-A1AC-CB5835D7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2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2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2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2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8222D"/>
    <w:pPr>
      <w:keepNext/>
      <w:keepLines/>
      <w:spacing w:before="40"/>
      <w:outlineLvl w:val="5"/>
    </w:pPr>
    <w:rPr>
      <w:rFonts w:eastAsiaTheme="majorEastAsia" w:cstheme="majorBidi"/>
      <w:b/>
      <w:iCs/>
      <w:color w:val="000000" w:themeColor="text1"/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2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2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2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2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2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2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8222D"/>
    <w:rPr>
      <w:rFonts w:ascii="Times New Roman" w:eastAsiaTheme="majorEastAsia" w:hAnsi="Times New Roman" w:cstheme="majorBidi"/>
      <w:b/>
      <w:iCs/>
      <w:color w:val="000000" w:themeColor="text1"/>
      <w:kern w:val="0"/>
      <w:sz w:val="28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2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2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2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2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2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2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2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22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282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222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5</cp:revision>
  <dcterms:created xsi:type="dcterms:W3CDTF">2025-04-08T09:47:00Z</dcterms:created>
  <dcterms:modified xsi:type="dcterms:W3CDTF">2025-04-17T07:57:00Z</dcterms:modified>
</cp:coreProperties>
</file>