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F2" w:rsidRPr="00F72CAF" w:rsidRDefault="00F35C47" w:rsidP="00F72CAF">
      <w:pPr>
        <w:rPr>
          <w:lang w:val="pl-PL" w:eastAsia="pl-PL"/>
        </w:rPr>
      </w:pPr>
      <w:r w:rsidRPr="00F35C47"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669338" cy="1163782"/>
                <wp:effectExtent l="57150" t="57150" r="45720" b="55880"/>
                <wp:wrapTopAndBottom/>
                <wp:docPr id="217" name="Pole tekstowe 2" descr="Standardy technologiczne &#10;Systemu Rejestrów Państw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338" cy="11637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contourW="635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F35C47" w:rsidRPr="00687C69" w:rsidRDefault="00F35C47" w:rsidP="00F35C47">
                            <w:pPr>
                              <w:pStyle w:val="Nagwek1"/>
                            </w:pPr>
                            <w:bookmarkStart w:id="0" w:name="_Toc27658527"/>
                            <w:bookmarkStart w:id="1" w:name="_Toc27660509"/>
                            <w:bookmarkStart w:id="2" w:name="_Toc27661028"/>
                            <w:bookmarkStart w:id="3" w:name="_Toc27659326"/>
                            <w:r w:rsidRPr="00687C69">
                              <w:t>Standardy technologiczne</w:t>
                            </w:r>
                            <w:bookmarkEnd w:id="0"/>
                            <w:bookmarkEnd w:id="1"/>
                            <w:bookmarkEnd w:id="2"/>
                            <w:r w:rsidRPr="00687C69">
                              <w:t xml:space="preserve"> </w:t>
                            </w:r>
                          </w:p>
                          <w:p w:rsidR="00F35C47" w:rsidRPr="00F35C47" w:rsidRDefault="00F35C47" w:rsidP="002D5748">
                            <w:pPr>
                              <w:pStyle w:val="Nagwek1"/>
                            </w:pPr>
                            <w:bookmarkStart w:id="4" w:name="_Toc27660510"/>
                            <w:bookmarkStart w:id="5" w:name="_Toc27661029"/>
                            <w:r w:rsidRPr="00687C69">
                              <w:t>Systemu Rejestrów Państwowych</w:t>
                            </w:r>
                            <w:bookmarkEnd w:id="4"/>
                            <w:bookmarkEnd w:id="5"/>
                          </w:p>
                          <w:p w:rsidR="00F35C47" w:rsidRPr="00B33122" w:rsidRDefault="00F35C47">
                            <w:pPr>
                              <w:rPr>
                                <w:lang w:val="pl-PL"/>
                              </w:rPr>
                            </w:pPr>
                          </w:p>
                          <w:p w:rsidR="00F35C47" w:rsidRPr="00687C69" w:rsidRDefault="00F35C47" w:rsidP="00F35C47">
                            <w:pPr>
                              <w:pStyle w:val="Nagwek1"/>
                            </w:pPr>
                            <w:bookmarkStart w:id="6" w:name="_Toc27660511"/>
                            <w:bookmarkStart w:id="7" w:name="_Toc27661030"/>
                            <w:r w:rsidRPr="00687C69">
                              <w:t>Standardy technologiczne</w:t>
                            </w:r>
                            <w:bookmarkEnd w:id="3"/>
                            <w:bookmarkEnd w:id="6"/>
                            <w:bookmarkEnd w:id="7"/>
                            <w:r w:rsidRPr="00687C69">
                              <w:t xml:space="preserve"> </w:t>
                            </w:r>
                          </w:p>
                          <w:p w:rsidR="00F35C47" w:rsidRPr="00F35C47" w:rsidRDefault="00F35C47" w:rsidP="002D5748">
                            <w:pPr>
                              <w:pStyle w:val="Nagwek1"/>
                            </w:pPr>
                            <w:bookmarkStart w:id="8" w:name="_Toc27659327"/>
                            <w:bookmarkStart w:id="9" w:name="_Toc27660512"/>
                            <w:bookmarkStart w:id="10" w:name="_Toc27661031"/>
                            <w:r w:rsidRPr="00687C69">
                              <w:t>Systemu Rejestrów Państwowych</w:t>
                            </w:r>
                            <w:bookmarkEnd w:id="8"/>
                            <w:bookmarkEnd w:id="9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Standardy technologiczne &#10;Systemu Rejestrów Państwowych" style="position:absolute;left:0;text-align:left;margin-left:0;margin-top:0;width:446.4pt;height:91.6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" filled="f" stroked="f">
                <v:textbox>
                  <w:txbxContent>
                    <w:p w:rsidR="00F35C47" w:rsidRPr="00687C69" w:rsidRDefault="00F35C47" w:rsidP="00F35C47">
                      <w:pPr>
                        <w:pStyle w:val="Nagwek1"/>
                      </w:pPr>
                      <w:bookmarkStart w:id="11" w:name="_Toc27658527"/>
                      <w:bookmarkStart w:id="12" w:name="_Toc27660509"/>
                      <w:bookmarkStart w:id="13" w:name="_Toc27661028"/>
                      <w:bookmarkStart w:id="14" w:name="_Toc27659326"/>
                      <w:r w:rsidRPr="00687C69">
                        <w:t>Standardy technologiczne</w:t>
                      </w:r>
                      <w:bookmarkEnd w:id="11"/>
                      <w:bookmarkEnd w:id="12"/>
                      <w:bookmarkEnd w:id="13"/>
                      <w:r w:rsidRPr="00687C69">
                        <w:t xml:space="preserve"> </w:t>
                      </w:r>
                    </w:p>
                    <w:p w:rsidR="00F35C47" w:rsidRPr="00F35C47" w:rsidRDefault="00F35C47" w:rsidP="002D5748">
                      <w:pPr>
                        <w:pStyle w:val="Nagwek1"/>
                      </w:pPr>
                      <w:bookmarkStart w:id="15" w:name="_Toc27660510"/>
                      <w:bookmarkStart w:id="16" w:name="_Toc27661029"/>
                      <w:r w:rsidRPr="00687C69">
                        <w:t>Systemu Rejestrów Państwowych</w:t>
                      </w:r>
                      <w:bookmarkEnd w:id="15"/>
                      <w:bookmarkEnd w:id="16"/>
                    </w:p>
                    <w:p w:rsidR="00F35C47" w:rsidRPr="00B33122" w:rsidRDefault="00F35C47">
                      <w:pPr>
                        <w:rPr>
                          <w:lang w:val="pl-PL"/>
                        </w:rPr>
                      </w:pPr>
                    </w:p>
                    <w:p w:rsidR="00F35C47" w:rsidRPr="00687C69" w:rsidRDefault="00F35C47" w:rsidP="00F35C47">
                      <w:pPr>
                        <w:pStyle w:val="Nagwek1"/>
                      </w:pPr>
                      <w:bookmarkStart w:id="17" w:name="_Toc27660511"/>
                      <w:bookmarkStart w:id="18" w:name="_Toc27661030"/>
                      <w:r w:rsidRPr="00687C69">
                        <w:t>Standardy technologiczne</w:t>
                      </w:r>
                      <w:bookmarkEnd w:id="14"/>
                      <w:bookmarkEnd w:id="17"/>
                      <w:bookmarkEnd w:id="18"/>
                      <w:r w:rsidRPr="00687C69">
                        <w:t xml:space="preserve"> </w:t>
                      </w:r>
                    </w:p>
                    <w:p w:rsidR="00F35C47" w:rsidRPr="00F35C47" w:rsidRDefault="00F35C47" w:rsidP="002D5748">
                      <w:pPr>
                        <w:pStyle w:val="Nagwek1"/>
                      </w:pPr>
                      <w:bookmarkStart w:id="19" w:name="_Toc27659327"/>
                      <w:bookmarkStart w:id="20" w:name="_Toc27660512"/>
                      <w:bookmarkStart w:id="21" w:name="_Toc27661031"/>
                      <w:r w:rsidRPr="00687C69">
                        <w:t>Systemu Rejestrów Państwowych</w:t>
                      </w:r>
                      <w:bookmarkEnd w:id="19"/>
                      <w:bookmarkEnd w:id="20"/>
                      <w:bookmarkEnd w:id="2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B33122" w:rsidRDefault="00B33122" w:rsidP="00B33122">
      <w:pPr>
        <w:pStyle w:val="Spistreci1"/>
        <w:pageBreakBefore/>
        <w:rPr>
          <w:rFonts w:asciiTheme="minorHAnsi" w:eastAsiaTheme="minorEastAsia" w:hAnsiTheme="minorHAnsi" w:cstheme="minorBidi"/>
          <w:b w:val="0"/>
          <w:bCs w:val="0"/>
          <w:iCs w:val="0"/>
          <w:noProof/>
          <w:color w:val="auto"/>
          <w:sz w:val="22"/>
          <w:lang w:val="pl-PL" w:eastAsia="pl-PL"/>
        </w:rPr>
      </w:pPr>
      <w:r>
        <w:rPr>
          <w:rFonts w:asciiTheme="majorHAnsi" w:hAnsiTheme="majorHAnsi" w:cstheme="majorHAnsi"/>
          <w:lang w:val="pl-PL"/>
        </w:rPr>
        <w:lastRenderedPageBreak/>
        <w:fldChar w:fldCharType="begin"/>
      </w:r>
      <w:r>
        <w:rPr>
          <w:rFonts w:asciiTheme="majorHAnsi" w:hAnsiTheme="majorHAnsi" w:cstheme="majorHAnsi"/>
          <w:lang w:val="pl-PL"/>
        </w:rPr>
        <w:instrText xml:space="preserve"> TOC \o "1-3" \h \z \u </w:instrText>
      </w:r>
      <w:r>
        <w:rPr>
          <w:rFonts w:asciiTheme="majorHAnsi" w:hAnsiTheme="majorHAnsi" w:cstheme="majorHAnsi"/>
          <w:lang w:val="pl-PL"/>
        </w:rPr>
        <w:fldChar w:fldCharType="separate"/>
      </w:r>
    </w:p>
    <w:p w:rsidR="00B33122" w:rsidRDefault="00646556">
      <w:pPr>
        <w:pStyle w:val="Spistreci2"/>
        <w:tabs>
          <w:tab w:val="left" w:pos="400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32" w:history="1">
        <w:r w:rsidR="00B33122" w:rsidRPr="005C062E">
          <w:rPr>
            <w:rStyle w:val="Hipercze"/>
            <w:noProof/>
          </w:rPr>
          <w:t>1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Wstęp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_Toc27661032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3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2"/>
        <w:tabs>
          <w:tab w:val="left" w:pos="400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33" w:history="1">
        <w:r w:rsidR="00B33122" w:rsidRPr="005C062E">
          <w:rPr>
            <w:rStyle w:val="Hipercze"/>
            <w:noProof/>
          </w:rPr>
          <w:t>2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Protokoły wymiany danych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_Toc27661033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3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2"/>
        <w:tabs>
          <w:tab w:val="left" w:pos="400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34" w:history="1">
        <w:r w:rsidR="00B33122" w:rsidRPr="005C062E">
          <w:rPr>
            <w:rStyle w:val="Hipercze"/>
            <w:noProof/>
          </w:rPr>
          <w:t>3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Struktury wymiany danych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_Toc27661034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4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2"/>
        <w:tabs>
          <w:tab w:val="left" w:pos="400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35" w:history="1">
        <w:r w:rsidR="00B33122" w:rsidRPr="005C062E">
          <w:rPr>
            <w:rStyle w:val="Hipercze"/>
            <w:noProof/>
          </w:rPr>
          <w:t>4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Integracja z podmiotami zewnętrznymi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_Toc27661035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4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2"/>
        <w:tabs>
          <w:tab w:val="left" w:pos="400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36" w:history="1">
        <w:r w:rsidR="00B33122" w:rsidRPr="005C062E">
          <w:rPr>
            <w:rStyle w:val="Hipercze"/>
            <w:noProof/>
          </w:rPr>
          <w:t>5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Mechanizmy bezpieczeństwa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_Toc27661036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4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3"/>
        <w:tabs>
          <w:tab w:val="left" w:pos="600"/>
          <w:tab w:val="right" w:leader="dot" w:pos="8487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37" w:history="1">
        <w:r w:rsidR="00B33122" w:rsidRPr="005C062E">
          <w:rPr>
            <w:rStyle w:val="Hipercze"/>
            <w:noProof/>
          </w:rPr>
          <w:t>5.1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Procesy uwierzytelnienia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_Toc27661037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4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3"/>
        <w:tabs>
          <w:tab w:val="left" w:pos="600"/>
          <w:tab w:val="right" w:leader="dot" w:pos="8487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38" w:history="1">
        <w:r w:rsidR="00B33122" w:rsidRPr="005C062E">
          <w:rPr>
            <w:rStyle w:val="Hipercze"/>
            <w:noProof/>
          </w:rPr>
          <w:t>5.2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Identyfikacja użytkownika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_Toc27661038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4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3"/>
        <w:tabs>
          <w:tab w:val="left" w:pos="600"/>
          <w:tab w:val="right" w:leader="dot" w:pos="8487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39" w:history="1">
        <w:r w:rsidR="00B33122" w:rsidRPr="005C062E">
          <w:rPr>
            <w:rStyle w:val="Hipercze"/>
            <w:noProof/>
          </w:rPr>
          <w:t>5.3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Procesy autoryzacji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_Toc27661039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4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3"/>
        <w:tabs>
          <w:tab w:val="left" w:pos="600"/>
          <w:tab w:val="right" w:leader="dot" w:pos="8487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40" w:history="1">
        <w:r w:rsidR="00B33122" w:rsidRPr="005C062E">
          <w:rPr>
            <w:rStyle w:val="Hipercze"/>
            <w:noProof/>
          </w:rPr>
          <w:t>5.4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Procesy audytu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_Toc27661040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5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3"/>
        <w:tabs>
          <w:tab w:val="left" w:pos="600"/>
          <w:tab w:val="right" w:leader="dot" w:pos="8487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41" w:history="1">
        <w:r w:rsidR="00B33122" w:rsidRPr="005C062E">
          <w:rPr>
            <w:rStyle w:val="Hipercze"/>
            <w:noProof/>
          </w:rPr>
          <w:t>5.5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Nadawanie uprawnień użytkownikom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_Toc27661041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5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3"/>
        <w:tabs>
          <w:tab w:val="left" w:pos="600"/>
          <w:tab w:val="right" w:leader="dot" w:pos="8487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42" w:history="1">
        <w:r w:rsidR="00B33122" w:rsidRPr="005C062E">
          <w:rPr>
            <w:rStyle w:val="Hipercze"/>
            <w:noProof/>
          </w:rPr>
          <w:t>5.6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Poufność (ang. confidentiality)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_Toc27661042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5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3"/>
        <w:tabs>
          <w:tab w:val="left" w:pos="600"/>
          <w:tab w:val="right" w:leader="dot" w:pos="8487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43" w:history="1">
        <w:r w:rsidR="00B33122" w:rsidRPr="005C062E">
          <w:rPr>
            <w:rStyle w:val="Hipercze"/>
            <w:noProof/>
          </w:rPr>
          <w:t>5.7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Integralność (ang. integrity)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_Toc27661043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6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3"/>
        <w:tabs>
          <w:tab w:val="left" w:pos="600"/>
          <w:tab w:val="right" w:leader="dot" w:pos="8487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44" w:history="1">
        <w:r w:rsidR="00B33122" w:rsidRPr="005C062E">
          <w:rPr>
            <w:rStyle w:val="Hipercze"/>
            <w:noProof/>
          </w:rPr>
          <w:t>5.8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Dostępność (ang. availability)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_Toc27661044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6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2"/>
        <w:tabs>
          <w:tab w:val="left" w:pos="400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45" w:history="1">
        <w:r w:rsidR="00B33122" w:rsidRPr="005C062E">
          <w:rPr>
            <w:rStyle w:val="Hipercze"/>
            <w:noProof/>
          </w:rPr>
          <w:t>6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Architektura poszczególnych warstw Systemu Rejestrów Państwowych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_Toc27661045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6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3"/>
        <w:tabs>
          <w:tab w:val="left" w:pos="600"/>
          <w:tab w:val="right" w:leader="dot" w:pos="8487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46" w:history="1">
        <w:r w:rsidR="00B33122" w:rsidRPr="005C062E">
          <w:rPr>
            <w:rStyle w:val="Hipercze"/>
            <w:noProof/>
          </w:rPr>
          <w:t>6.1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Architektura warstwy prezentacji danych (GUI)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_Toc27661046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6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3"/>
        <w:tabs>
          <w:tab w:val="left" w:pos="600"/>
          <w:tab w:val="right" w:leader="dot" w:pos="8487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47" w:history="1">
        <w:r w:rsidR="00B33122" w:rsidRPr="005C062E">
          <w:rPr>
            <w:rStyle w:val="Hipercze"/>
            <w:noProof/>
          </w:rPr>
          <w:t>6.2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Architektura warstwy logiki biznesowej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_Toc27661047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7</w:t>
        </w:r>
        <w:r w:rsidR="00B33122">
          <w:rPr>
            <w:noProof/>
            <w:webHidden/>
          </w:rPr>
          <w:fldChar w:fldCharType="end"/>
        </w:r>
      </w:hyperlink>
    </w:p>
    <w:p w:rsidR="00B33122" w:rsidRDefault="00646556">
      <w:pPr>
        <w:pStyle w:val="Spistreci3"/>
        <w:tabs>
          <w:tab w:val="left" w:pos="600"/>
          <w:tab w:val="right" w:leader="dot" w:pos="8487"/>
        </w:tabs>
        <w:rPr>
          <w:rFonts w:asciiTheme="minorHAnsi" w:eastAsiaTheme="minorEastAsia" w:hAnsiTheme="minorHAnsi" w:cstheme="minorBidi"/>
          <w:iCs w:val="0"/>
          <w:noProof/>
          <w:color w:val="auto"/>
          <w:sz w:val="22"/>
          <w:lang w:val="pl-PL" w:eastAsia="pl-PL"/>
        </w:rPr>
      </w:pPr>
      <w:hyperlink w:anchor="_Toc27661048" w:history="1">
        <w:r w:rsidR="00B33122" w:rsidRPr="005C062E">
          <w:rPr>
            <w:rStyle w:val="Hipercze"/>
            <w:noProof/>
          </w:rPr>
          <w:t>6.3</w:t>
        </w:r>
        <w:r w:rsidR="00B33122">
          <w:rPr>
            <w:rFonts w:asciiTheme="minorHAnsi" w:eastAsiaTheme="minorEastAsia" w:hAnsiTheme="minorHAnsi" w:cstheme="minorBidi"/>
            <w:iCs w:val="0"/>
            <w:noProof/>
            <w:color w:val="auto"/>
            <w:sz w:val="22"/>
            <w:lang w:val="pl-PL" w:eastAsia="pl-PL"/>
          </w:rPr>
          <w:tab/>
        </w:r>
        <w:r w:rsidR="00B33122" w:rsidRPr="005C062E">
          <w:rPr>
            <w:rStyle w:val="Hipercze"/>
            <w:noProof/>
          </w:rPr>
          <w:t>Architektura warstwy danych</w:t>
        </w:r>
        <w:r w:rsidR="00B33122">
          <w:rPr>
            <w:noProof/>
            <w:webHidden/>
          </w:rPr>
          <w:tab/>
        </w:r>
        <w:r w:rsidR="00B33122">
          <w:rPr>
            <w:noProof/>
            <w:webHidden/>
          </w:rPr>
          <w:fldChar w:fldCharType="begin"/>
        </w:r>
        <w:r w:rsidR="00B33122">
          <w:rPr>
            <w:noProof/>
            <w:webHidden/>
          </w:rPr>
          <w:instrText xml:space="preserve"> PAGEREF _Toc27661048 \h </w:instrText>
        </w:r>
        <w:r w:rsidR="00B33122">
          <w:rPr>
            <w:noProof/>
            <w:webHidden/>
          </w:rPr>
        </w:r>
        <w:r w:rsidR="00B33122">
          <w:rPr>
            <w:noProof/>
            <w:webHidden/>
          </w:rPr>
          <w:fldChar w:fldCharType="separate"/>
        </w:r>
        <w:r w:rsidR="00FB0DBA">
          <w:rPr>
            <w:noProof/>
            <w:webHidden/>
          </w:rPr>
          <w:t>7</w:t>
        </w:r>
        <w:r w:rsidR="00B33122">
          <w:rPr>
            <w:noProof/>
            <w:webHidden/>
          </w:rPr>
          <w:fldChar w:fldCharType="end"/>
        </w:r>
      </w:hyperlink>
    </w:p>
    <w:p w:rsidR="00F72CAF" w:rsidRPr="00973A40" w:rsidRDefault="00B33122" w:rsidP="00973A40">
      <w:pPr>
        <w:spacing w:after="0"/>
        <w:jc w:val="left"/>
        <w:rPr>
          <w:rFonts w:asciiTheme="majorHAnsi" w:hAnsiTheme="majorHAnsi" w:cstheme="majorHAnsi"/>
          <w:lang w:val="pl-PL"/>
        </w:rPr>
        <w:sectPr w:rsidR="00F72CAF" w:rsidRPr="00973A40" w:rsidSect="00AB5D4D">
          <w:headerReference w:type="default" r:id="rId11"/>
          <w:footerReference w:type="even" r:id="rId12"/>
          <w:footerReference w:type="default" r:id="rId13"/>
          <w:headerReference w:type="first" r:id="rId14"/>
          <w:pgSz w:w="11899" w:h="16838"/>
          <w:pgMar w:top="1440" w:right="1701" w:bottom="1440" w:left="1701" w:header="709" w:footer="352" w:gutter="0"/>
          <w:cols w:space="708"/>
          <w:titlePg/>
          <w:docGrid w:linePitch="360"/>
        </w:sectPr>
      </w:pPr>
      <w:r>
        <w:rPr>
          <w:rFonts w:asciiTheme="majorHAnsi" w:hAnsiTheme="majorHAnsi" w:cstheme="majorHAnsi"/>
          <w:lang w:val="pl-PL"/>
        </w:rPr>
        <w:fldChar w:fldCharType="end"/>
      </w:r>
      <w:bookmarkStart w:id="22" w:name="_GoBack"/>
      <w:bookmarkEnd w:id="22"/>
    </w:p>
    <w:p w:rsidR="002A3513" w:rsidRPr="004C5D54" w:rsidRDefault="00580004" w:rsidP="00F35C47">
      <w:pPr>
        <w:pStyle w:val="Nagwek2"/>
      </w:pPr>
      <w:bookmarkStart w:id="23" w:name="scroll-bookmark-1"/>
      <w:bookmarkStart w:id="24" w:name="scroll-bookmark-2"/>
      <w:bookmarkStart w:id="25" w:name="_Toc27660513"/>
      <w:bookmarkStart w:id="26" w:name="_Toc27661032"/>
      <w:bookmarkEnd w:id="23"/>
      <w:r w:rsidRPr="00687C69">
        <w:lastRenderedPageBreak/>
        <w:t>Wstęp</w:t>
      </w:r>
      <w:bookmarkEnd w:id="24"/>
      <w:bookmarkEnd w:id="25"/>
      <w:bookmarkEnd w:id="26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Celem dokumentu jest przedstawienie standardów technologicznych funkcjonowania Systemu Rejestrów Państwowych (SRP). Uzupełnienie niniejszego dokumentu stanowi dokument opisujący standardy wymiany danych przetwarzanych w rejestrach publicznych z wykorzystaniem Systemu Rejestrów Państwowych.</w:t>
      </w:r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W skład Systemu Rejestrów Państwowych wchodzą rejestry:</w:t>
      </w:r>
    </w:p>
    <w:p w:rsidR="006C5F09" w:rsidRPr="000D77E8" w:rsidRDefault="00580004" w:rsidP="00685396">
      <w:pPr>
        <w:numPr>
          <w:ilvl w:val="0"/>
          <w:numId w:val="3"/>
        </w:num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PESEL - Powszechny Elektroniczny System Ewidencji Ludności</w:t>
      </w:r>
    </w:p>
    <w:p w:rsidR="006C5F09" w:rsidRPr="00973A40" w:rsidRDefault="00580004" w:rsidP="00685396">
      <w:pPr>
        <w:numPr>
          <w:ilvl w:val="0"/>
          <w:numId w:val="3"/>
        </w:numPr>
        <w:jc w:val="left"/>
        <w:rPr>
          <w:rFonts w:asciiTheme="majorHAnsi" w:hAnsiTheme="majorHAnsi" w:cstheme="majorHAnsi"/>
        </w:rPr>
      </w:pPr>
      <w:r w:rsidRPr="00973A40">
        <w:rPr>
          <w:rFonts w:asciiTheme="majorHAnsi" w:hAnsiTheme="majorHAnsi" w:cstheme="majorHAnsi"/>
        </w:rPr>
        <w:t xml:space="preserve">RSC - </w:t>
      </w:r>
      <w:proofErr w:type="spellStart"/>
      <w:r w:rsidRPr="00973A40">
        <w:rPr>
          <w:rFonts w:asciiTheme="majorHAnsi" w:hAnsiTheme="majorHAnsi" w:cstheme="majorHAnsi"/>
        </w:rPr>
        <w:t>Rejestr</w:t>
      </w:r>
      <w:proofErr w:type="spellEnd"/>
      <w:r w:rsidRPr="00973A40">
        <w:rPr>
          <w:rFonts w:asciiTheme="majorHAnsi" w:hAnsiTheme="majorHAnsi" w:cstheme="majorHAnsi"/>
        </w:rPr>
        <w:t xml:space="preserve"> </w:t>
      </w:r>
      <w:proofErr w:type="spellStart"/>
      <w:r w:rsidRPr="00973A40">
        <w:rPr>
          <w:rFonts w:asciiTheme="majorHAnsi" w:hAnsiTheme="majorHAnsi" w:cstheme="majorHAnsi"/>
        </w:rPr>
        <w:t>Stanu</w:t>
      </w:r>
      <w:proofErr w:type="spellEnd"/>
      <w:r w:rsidRPr="00973A40">
        <w:rPr>
          <w:rFonts w:asciiTheme="majorHAnsi" w:hAnsiTheme="majorHAnsi" w:cstheme="majorHAnsi"/>
        </w:rPr>
        <w:t xml:space="preserve"> </w:t>
      </w:r>
      <w:proofErr w:type="spellStart"/>
      <w:r w:rsidRPr="00973A40">
        <w:rPr>
          <w:rFonts w:asciiTheme="majorHAnsi" w:hAnsiTheme="majorHAnsi" w:cstheme="majorHAnsi"/>
        </w:rPr>
        <w:t>Cywilnego</w:t>
      </w:r>
      <w:proofErr w:type="spellEnd"/>
    </w:p>
    <w:p w:rsidR="006C5F09" w:rsidRPr="00973A40" w:rsidRDefault="00580004" w:rsidP="00685396">
      <w:pPr>
        <w:numPr>
          <w:ilvl w:val="0"/>
          <w:numId w:val="3"/>
        </w:numPr>
        <w:jc w:val="left"/>
        <w:rPr>
          <w:rFonts w:asciiTheme="majorHAnsi" w:hAnsiTheme="majorHAnsi" w:cstheme="majorHAnsi"/>
        </w:rPr>
      </w:pPr>
      <w:r w:rsidRPr="00973A40">
        <w:rPr>
          <w:rFonts w:asciiTheme="majorHAnsi" w:hAnsiTheme="majorHAnsi" w:cstheme="majorHAnsi"/>
        </w:rPr>
        <w:t>RDO - Rejestr Dowodów Osobistych</w:t>
      </w:r>
    </w:p>
    <w:p w:rsidR="006C5F09" w:rsidRPr="00973A40" w:rsidRDefault="00580004" w:rsidP="00685396">
      <w:pPr>
        <w:numPr>
          <w:ilvl w:val="0"/>
          <w:numId w:val="3"/>
        </w:numPr>
        <w:jc w:val="left"/>
        <w:rPr>
          <w:rFonts w:asciiTheme="majorHAnsi" w:hAnsiTheme="majorHAnsi" w:cstheme="majorHAnsi"/>
        </w:rPr>
      </w:pPr>
      <w:r w:rsidRPr="00973A40">
        <w:rPr>
          <w:rFonts w:asciiTheme="majorHAnsi" w:hAnsiTheme="majorHAnsi" w:cstheme="majorHAnsi"/>
        </w:rPr>
        <w:t>SOP - System Odznaczeń Państwowych</w:t>
      </w:r>
    </w:p>
    <w:p w:rsidR="006C5F09" w:rsidRPr="00973A40" w:rsidRDefault="00580004" w:rsidP="00685396">
      <w:pPr>
        <w:numPr>
          <w:ilvl w:val="0"/>
          <w:numId w:val="3"/>
        </w:numPr>
        <w:jc w:val="left"/>
        <w:rPr>
          <w:rFonts w:asciiTheme="majorHAnsi" w:hAnsiTheme="majorHAnsi" w:cstheme="majorHAnsi"/>
        </w:rPr>
      </w:pPr>
      <w:r w:rsidRPr="00973A40">
        <w:rPr>
          <w:rFonts w:asciiTheme="majorHAnsi" w:hAnsiTheme="majorHAnsi" w:cstheme="majorHAnsi"/>
        </w:rPr>
        <w:t>CRS - Centralny Rejestr Sprzeciwów</w:t>
      </w:r>
    </w:p>
    <w:p w:rsidR="006C5F09" w:rsidRPr="00973A40" w:rsidRDefault="00580004" w:rsidP="00685396">
      <w:pPr>
        <w:numPr>
          <w:ilvl w:val="0"/>
          <w:numId w:val="3"/>
        </w:numPr>
        <w:jc w:val="left"/>
        <w:rPr>
          <w:rFonts w:asciiTheme="majorHAnsi" w:hAnsiTheme="majorHAnsi" w:cstheme="majorHAnsi"/>
        </w:rPr>
      </w:pPr>
      <w:r w:rsidRPr="00973A40">
        <w:rPr>
          <w:rFonts w:asciiTheme="majorHAnsi" w:hAnsiTheme="majorHAnsi" w:cstheme="majorHAnsi"/>
        </w:rPr>
        <w:t>RDK - Rejestr Danych Kontaktowych</w:t>
      </w:r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Zakres przetwarzanych i przechowywanych danych przez poszczególne rejestry jest określony przez przyjęte akty prawne (ustawy, rozporządzenia) podobnie jak sposób ich udostępniania oraz upoważnione do przetwarzania tych danych podmioty.</w:t>
      </w:r>
    </w:p>
    <w:p w:rsidR="006C5F09" w:rsidRPr="004C5D54" w:rsidRDefault="00580004" w:rsidP="00F35C47">
      <w:pPr>
        <w:pStyle w:val="Nagwek2"/>
      </w:pPr>
      <w:bookmarkStart w:id="27" w:name="scroll-bookmark-3"/>
      <w:bookmarkStart w:id="28" w:name="_Toc27660514"/>
      <w:bookmarkStart w:id="29" w:name="_Toc27661033"/>
      <w:r w:rsidRPr="004C5D54">
        <w:t>Protokoły wymiany danych</w:t>
      </w:r>
      <w:bookmarkEnd w:id="27"/>
      <w:bookmarkEnd w:id="28"/>
      <w:bookmarkEnd w:id="29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Wymiana danych pomiędzy SRP a systemami zewnętrznymi realizowana jest w oparciu o zestaw wystawianych usług sieciowych opartych o protokół zdalnego dostępu SOAP w wersji 1.1 bazujący na języku XML. Opis formalny poszczególnych usług jest zawarty w dokumentach WSDL. Warstwę transportową stanowi protokół HTTP w wersji 1.1 wykorzystujący szyfrowanie w oparciu o protokół TLS w wersji 1.2.</w:t>
      </w:r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 xml:space="preserve">W przypadku rejestru RDK wymiana danych z systemami zewnętrznymi realizowana jest w oparciu o zestaw wystawionych usług sieciowych opartych na podejściu REST w formacie JSON i opisanych formalnie w dokumentach zgodnych ze specyfikacją Open API w </w:t>
      </w:r>
      <w:r w:rsidR="0028576E" w:rsidRPr="000D77E8">
        <w:rPr>
          <w:rFonts w:asciiTheme="majorHAnsi" w:hAnsiTheme="majorHAnsi" w:cstheme="majorHAnsi"/>
          <w:lang w:val="pl-PL"/>
        </w:rPr>
        <w:t>wersji 3.0. Warstwa transportowa</w:t>
      </w:r>
      <w:r w:rsidRPr="000D77E8">
        <w:rPr>
          <w:rFonts w:asciiTheme="majorHAnsi" w:hAnsiTheme="majorHAnsi" w:cstheme="majorHAnsi"/>
          <w:lang w:val="pl-PL"/>
        </w:rPr>
        <w:t xml:space="preserve"> stanowi protokół HTTP w wersji 1.1 wykorzystujący szyfrowanie w oparciu o protokół TLS w wersji 1.2.</w:t>
      </w:r>
    </w:p>
    <w:p w:rsidR="006C5F09" w:rsidRPr="008B04E1" w:rsidRDefault="00580004" w:rsidP="00F35C47">
      <w:pPr>
        <w:pStyle w:val="Nagwek2"/>
      </w:pPr>
      <w:bookmarkStart w:id="30" w:name="scroll-bookmark-4"/>
      <w:bookmarkStart w:id="31" w:name="_Toc27660515"/>
      <w:bookmarkStart w:id="32" w:name="_Toc27661034"/>
      <w:r w:rsidRPr="008B04E1">
        <w:lastRenderedPageBreak/>
        <w:t>Struktury wymiany danych</w:t>
      </w:r>
      <w:bookmarkEnd w:id="30"/>
      <w:bookmarkEnd w:id="31"/>
      <w:bookmarkEnd w:id="32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Aktualnie obowiązujące kontrakty dla usług udostępnianych przez System Rejestrów Państwowych są opisane w dokumencie "Standardy wymiany danych przetwarzanych w rejestrach".</w:t>
      </w:r>
    </w:p>
    <w:p w:rsidR="006C5F09" w:rsidRPr="008B04E1" w:rsidRDefault="00580004" w:rsidP="00F35C47">
      <w:pPr>
        <w:pStyle w:val="Nagwek2"/>
      </w:pPr>
      <w:bookmarkStart w:id="33" w:name="scroll-bookmark-5"/>
      <w:bookmarkStart w:id="34" w:name="_Toc27660516"/>
      <w:bookmarkStart w:id="35" w:name="_Toc27661035"/>
      <w:r w:rsidRPr="008B04E1">
        <w:t>Integracja z podmiotami zewnętrznymi</w:t>
      </w:r>
      <w:bookmarkEnd w:id="33"/>
      <w:bookmarkEnd w:id="34"/>
      <w:bookmarkEnd w:id="35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 xml:space="preserve">Na postawie odrębnych procedur systemy zewnętrzne mogą otrzymać dostęp do usług sieciowych SRP. Podmioty uzyskując prawa do korzystania z usług otrzymują stosowną dokumentację w zakresie API usług (WSDL i </w:t>
      </w:r>
      <w:proofErr w:type="spellStart"/>
      <w:r w:rsidRPr="000D77E8">
        <w:rPr>
          <w:rFonts w:asciiTheme="majorHAnsi" w:hAnsiTheme="majorHAnsi" w:cstheme="majorHAnsi"/>
          <w:lang w:val="pl-PL"/>
        </w:rPr>
        <w:t>OpenAPI</w:t>
      </w:r>
      <w:proofErr w:type="spellEnd"/>
      <w:r w:rsidRPr="000D77E8">
        <w:rPr>
          <w:rFonts w:asciiTheme="majorHAnsi" w:hAnsiTheme="majorHAnsi" w:cstheme="majorHAnsi"/>
          <w:lang w:val="pl-PL"/>
        </w:rPr>
        <w:t xml:space="preserve"> odpowiednio). </w:t>
      </w:r>
    </w:p>
    <w:p w:rsidR="006C5F09" w:rsidRPr="00F35C47" w:rsidRDefault="00580004" w:rsidP="00F35C47">
      <w:pPr>
        <w:pStyle w:val="Nagwek2"/>
      </w:pPr>
      <w:bookmarkStart w:id="36" w:name="scroll-bookmark-6"/>
      <w:bookmarkStart w:id="37" w:name="_Toc27660517"/>
      <w:bookmarkStart w:id="38" w:name="_Toc27661036"/>
      <w:r w:rsidRPr="00F35C47">
        <w:t>Mechanizmy bezpieczeństwa</w:t>
      </w:r>
      <w:bookmarkEnd w:id="36"/>
      <w:bookmarkEnd w:id="37"/>
      <w:bookmarkEnd w:id="38"/>
    </w:p>
    <w:p w:rsidR="006C5F09" w:rsidRPr="008B04E1" w:rsidRDefault="00580004" w:rsidP="00F35C47">
      <w:pPr>
        <w:pStyle w:val="Nagwek3"/>
      </w:pPr>
      <w:bookmarkStart w:id="39" w:name="scroll-bookmark-7"/>
      <w:bookmarkStart w:id="40" w:name="_Toc27661037"/>
      <w:proofErr w:type="spellStart"/>
      <w:r w:rsidRPr="008B04E1">
        <w:t>Procesy</w:t>
      </w:r>
      <w:proofErr w:type="spellEnd"/>
      <w:r w:rsidRPr="008B04E1">
        <w:t xml:space="preserve"> </w:t>
      </w:r>
      <w:proofErr w:type="spellStart"/>
      <w:r w:rsidRPr="008B04E1">
        <w:t>uwierzytelnienia</w:t>
      </w:r>
      <w:bookmarkEnd w:id="39"/>
      <w:bookmarkEnd w:id="40"/>
      <w:proofErr w:type="spellEnd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Proces uwierzytelniania odbywa się w oparciu o certyfikaty X.509 wydawane przez Centrum Certyfikacji Ministerstwa Cyfryzacji. W oparciu o posiadane certyfikaty nawiązywane jest szyfrowane połączenie w oparciu o protokół TLS w wersji 1.2, gdzie przeprowadzana jest weryfikacja ważności certyfikatu, jego wystawcy oraz czy certyfikat nie został odwołany w oparciu o listy CRL. Poprawne uwierzytelnienie użytkownika/systemu zewnętrznego pozawala na zestawienie szyfrowanego kanału komunikacyjnego umożliwiającego również dostępu do systemu. W przypadku niepowodzenia procesu uwierzytelniania kończy się błędem i brakiem dostępu do Systemu Rejestrów Państwowych.</w:t>
      </w:r>
    </w:p>
    <w:p w:rsidR="006C5F09" w:rsidRPr="00D76C11" w:rsidRDefault="00580004" w:rsidP="00F35C47">
      <w:pPr>
        <w:pStyle w:val="Nagwek3"/>
      </w:pPr>
      <w:bookmarkStart w:id="41" w:name="scroll-bookmark-8"/>
      <w:bookmarkStart w:id="42" w:name="_Toc27661038"/>
      <w:proofErr w:type="spellStart"/>
      <w:r w:rsidRPr="00D76C11">
        <w:t>Identyfikacja</w:t>
      </w:r>
      <w:proofErr w:type="spellEnd"/>
      <w:r w:rsidRPr="00D76C11">
        <w:t xml:space="preserve"> </w:t>
      </w:r>
      <w:proofErr w:type="spellStart"/>
      <w:r w:rsidRPr="00D76C11">
        <w:t>użytkownika</w:t>
      </w:r>
      <w:bookmarkEnd w:id="41"/>
      <w:bookmarkEnd w:id="42"/>
      <w:proofErr w:type="spellEnd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 xml:space="preserve">Użytkownik identyfikowany jest na podstawie informacji zawartej w polu </w:t>
      </w:r>
      <w:proofErr w:type="spellStart"/>
      <w:r w:rsidRPr="000D77E8">
        <w:rPr>
          <w:rFonts w:asciiTheme="majorHAnsi" w:hAnsiTheme="majorHAnsi" w:cstheme="majorHAnsi"/>
          <w:lang w:val="pl-PL"/>
        </w:rPr>
        <w:t>SubjectDN</w:t>
      </w:r>
      <w:proofErr w:type="spellEnd"/>
      <w:r w:rsidRPr="000D77E8">
        <w:rPr>
          <w:rFonts w:asciiTheme="majorHAnsi" w:hAnsiTheme="majorHAnsi" w:cstheme="majorHAnsi"/>
          <w:lang w:val="pl-PL"/>
        </w:rPr>
        <w:t xml:space="preserve"> certyfikatu, za pomocą, którego  nawiązał połączenie TLS (informacja zawarta w </w:t>
      </w:r>
      <w:proofErr w:type="spellStart"/>
      <w:r w:rsidRPr="000D77E8">
        <w:rPr>
          <w:rFonts w:asciiTheme="majorHAnsi" w:hAnsiTheme="majorHAnsi" w:cstheme="majorHAnsi"/>
          <w:lang w:val="pl-PL"/>
        </w:rPr>
        <w:t>SubjectDN</w:t>
      </w:r>
      <w:proofErr w:type="spellEnd"/>
      <w:r w:rsidRPr="000D77E8">
        <w:rPr>
          <w:rFonts w:asciiTheme="majorHAnsi" w:hAnsiTheme="majorHAnsi" w:cstheme="majorHAnsi"/>
          <w:lang w:val="pl-PL"/>
        </w:rPr>
        <w:t xml:space="preserve"> jest jednocześnie loginem użytkownika w ramach SRP).</w:t>
      </w:r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Każdy system zewnętrzny zobowiązany jest do zapewnienia po swojej stronie logowania wszystkich żądań przesłanych do SRP wraz z informacją o tym, jaki użytkownik (pracownik jednostki) odpowiada za przesłanie zapytania, a co za tym idzie, który pracownik uzyskał za pomocą zapytania dostęp do określonych danych.</w:t>
      </w:r>
    </w:p>
    <w:p w:rsidR="006C5F09" w:rsidRPr="00D76C11" w:rsidRDefault="00580004" w:rsidP="00F35C47">
      <w:pPr>
        <w:pStyle w:val="Nagwek3"/>
      </w:pPr>
      <w:bookmarkStart w:id="43" w:name="scroll-bookmark-9"/>
      <w:bookmarkStart w:id="44" w:name="_Toc27661039"/>
      <w:proofErr w:type="spellStart"/>
      <w:r w:rsidRPr="00D76C11">
        <w:t>Procesy</w:t>
      </w:r>
      <w:proofErr w:type="spellEnd"/>
      <w:r w:rsidRPr="00D76C11">
        <w:t xml:space="preserve"> </w:t>
      </w:r>
      <w:proofErr w:type="spellStart"/>
      <w:r w:rsidRPr="00D76C11">
        <w:t>autoryzacji</w:t>
      </w:r>
      <w:bookmarkEnd w:id="43"/>
      <w:bookmarkEnd w:id="44"/>
      <w:proofErr w:type="spellEnd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Proces autoryzacji rozpoczyna s</w:t>
      </w:r>
      <w:r w:rsidR="0028576E" w:rsidRPr="000D77E8">
        <w:rPr>
          <w:rFonts w:asciiTheme="majorHAnsi" w:hAnsiTheme="majorHAnsi" w:cstheme="majorHAnsi"/>
          <w:lang w:val="pl-PL"/>
        </w:rPr>
        <w:t>ię po poprawnym uwierzytelnieniu</w:t>
      </w:r>
      <w:r w:rsidRPr="000D77E8">
        <w:rPr>
          <w:rFonts w:asciiTheme="majorHAnsi" w:hAnsiTheme="majorHAnsi" w:cstheme="majorHAnsi"/>
          <w:lang w:val="pl-PL"/>
        </w:rPr>
        <w:t xml:space="preserve"> i identyfikacji użytkownika/systemu zewnętrznego w Systemie Rejestrów Państwowych weryfikacją posiadanych przez podmiot uprawnień. Autoryzacja dostępu do poszczególnych </w:t>
      </w:r>
      <w:r w:rsidRPr="000D77E8">
        <w:rPr>
          <w:rFonts w:asciiTheme="majorHAnsi" w:hAnsiTheme="majorHAnsi" w:cstheme="majorHAnsi"/>
          <w:lang w:val="pl-PL"/>
        </w:rPr>
        <w:lastRenderedPageBreak/>
        <w:t>funkcjonalności w oparciu o posiadane uprawnienia odbywa się każdorazowo przed ich wywołaniem. Brak autoryzacji kończy się błędem i brakiem dostępu do funkcjonalności.</w:t>
      </w:r>
    </w:p>
    <w:p w:rsidR="006C5F09" w:rsidRPr="00D76C11" w:rsidRDefault="00580004" w:rsidP="00F35C47">
      <w:pPr>
        <w:pStyle w:val="Nagwek3"/>
      </w:pPr>
      <w:bookmarkStart w:id="45" w:name="scroll-bookmark-10"/>
      <w:bookmarkStart w:id="46" w:name="_Toc27661040"/>
      <w:proofErr w:type="spellStart"/>
      <w:r w:rsidRPr="00D76C11">
        <w:t>Procesy</w:t>
      </w:r>
      <w:proofErr w:type="spellEnd"/>
      <w:r w:rsidRPr="00D76C11">
        <w:t xml:space="preserve"> </w:t>
      </w:r>
      <w:proofErr w:type="spellStart"/>
      <w:r w:rsidRPr="00D76C11">
        <w:t>audytu</w:t>
      </w:r>
      <w:bookmarkEnd w:id="45"/>
      <w:bookmarkEnd w:id="46"/>
      <w:proofErr w:type="spellEnd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Wszystkie operacje wykonywane w Systemie Rejestrów Państwowych są rejestrowane w logu audytowym. W logu tym zapisywane są wszystkie wchodzące do systemu zlecenia aktualizacji lub udostępnienia danych. Wszystkie dane audytowe muszą zawierać informacje dotyczące podmiotu/osoby wysyłającej żądanie, parametry żądania, datę i czas żądania oraz rezultat żądania.</w:t>
      </w:r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Ponadto w logu zapisywane są wybrane informacje diagnostyczne dotyczące poprawności działania poszczególnych rejestrów, co ma na celu szybsze wykrywanie i usuwanie problemów z funkcjonowaniem SRP.</w:t>
      </w:r>
    </w:p>
    <w:p w:rsidR="006C5F09" w:rsidRPr="00D76C11" w:rsidRDefault="00580004" w:rsidP="00F35C47">
      <w:pPr>
        <w:pStyle w:val="Nagwek3"/>
      </w:pPr>
      <w:bookmarkStart w:id="47" w:name="scroll-bookmark-11"/>
      <w:bookmarkStart w:id="48" w:name="_Toc27661041"/>
      <w:proofErr w:type="spellStart"/>
      <w:r w:rsidRPr="00D76C11">
        <w:t>Nadawanie</w:t>
      </w:r>
      <w:proofErr w:type="spellEnd"/>
      <w:r w:rsidRPr="00D76C11">
        <w:t xml:space="preserve"> </w:t>
      </w:r>
      <w:proofErr w:type="spellStart"/>
      <w:r w:rsidRPr="00D76C11">
        <w:t>uprawnień</w:t>
      </w:r>
      <w:proofErr w:type="spellEnd"/>
      <w:r w:rsidRPr="00D76C11">
        <w:t xml:space="preserve"> </w:t>
      </w:r>
      <w:proofErr w:type="spellStart"/>
      <w:r w:rsidRPr="00D76C11">
        <w:t>użytkownikom</w:t>
      </w:r>
      <w:bookmarkEnd w:id="47"/>
      <w:bookmarkEnd w:id="48"/>
      <w:proofErr w:type="spellEnd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Uprawnienia w SRP są nadawane przez administratora systemu w module autoryzacji Systemu Rejestrów Państwowych. Proces polega na zarejestrowaniu użytkownika przez administratora w module autoryzacji na podstawie wpisu w LDAP, który zawiera dane oraz certyfikat użytkownika. Następnie do użytkownika przypisywane są uprzednio zdefiniowane role, które są zbiorem uprawnień do określonych funkcjonalności systemu. Administrator z odpowiednim dostępem ma możliwość zdefiniowania nowej roli z istniejących uprawnień. Zarejestrowani użytkownicy, role i uprawnienia przechowywane są w wewnętrznej bazie modułu autoryzacji. Na takiej samej zasadzie administrator dodaje do systemu nowy zewnętrzny podmiot i nadaje mu uprawnienia do łączenia się do systemu, charakterystyczne dla połączeń pomiędzy systemowych.</w:t>
      </w:r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W analogiczny sposób uprawnienia nadawane są wszystkim aplikacjom zewnętrznym, w tym aplikacjom wspierającym. Dla aplikacji zostaje wydany certyfikat przez Centrum Certyfikacji oraz zostaje wykonany wpis do bazy LDAP. Administrator SRP na tej podstawie tworzy wpis w bazie autoryzacji nadający aplikacji odpowiedni dostęp do systemu. Przypisując role do aplikacji można nadać jej uprawnienia do realizacji określonych usług i pobierania odpowiednich subskrypcji. </w:t>
      </w:r>
    </w:p>
    <w:p w:rsidR="006C5F09" w:rsidRPr="00706004" w:rsidRDefault="00580004" w:rsidP="00F35C47">
      <w:pPr>
        <w:pStyle w:val="Nagwek3"/>
      </w:pPr>
      <w:bookmarkStart w:id="49" w:name="scroll-bookmark-12"/>
      <w:bookmarkStart w:id="50" w:name="_Toc27661042"/>
      <w:proofErr w:type="spellStart"/>
      <w:r w:rsidRPr="00706004">
        <w:t>Poufność</w:t>
      </w:r>
      <w:proofErr w:type="spellEnd"/>
      <w:r w:rsidRPr="00706004">
        <w:t xml:space="preserve"> (</w:t>
      </w:r>
      <w:proofErr w:type="spellStart"/>
      <w:r w:rsidRPr="00706004">
        <w:t>ang.</w:t>
      </w:r>
      <w:proofErr w:type="spellEnd"/>
      <w:r w:rsidRPr="00706004">
        <w:t> confidentiality)</w:t>
      </w:r>
      <w:bookmarkEnd w:id="49"/>
      <w:bookmarkEnd w:id="50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color w:val="222222"/>
          <w:lang w:val="pl-PL"/>
        </w:rPr>
        <w:t xml:space="preserve">System Rejestrów Państwowych eliminuje kradzież danych wprowadzając szyfrowanie komunikacji w oparciu o protokół TLS 1.2. Wydawanie certyfikatów w standardzie X.509 jest </w:t>
      </w:r>
      <w:r w:rsidRPr="000D77E8">
        <w:rPr>
          <w:rFonts w:asciiTheme="majorHAnsi" w:hAnsiTheme="majorHAnsi" w:cstheme="majorHAnsi"/>
          <w:color w:val="222222"/>
          <w:lang w:val="pl-PL"/>
        </w:rPr>
        <w:lastRenderedPageBreak/>
        <w:t>realizowane przez urząd certyfikacji (CA) działający w Ministerstwie Cyfryzacji (Centrum Certyfi</w:t>
      </w:r>
      <w:r w:rsidR="002D5748">
        <w:rPr>
          <w:rFonts w:asciiTheme="majorHAnsi" w:hAnsiTheme="majorHAnsi" w:cstheme="majorHAnsi"/>
          <w:color w:val="222222"/>
          <w:lang w:val="pl-PL"/>
        </w:rPr>
        <w:t>kacji Ministerstwa Cyfryzacji).</w:t>
      </w:r>
    </w:p>
    <w:p w:rsidR="006C5F09" w:rsidRPr="00706004" w:rsidRDefault="00580004" w:rsidP="00F35C47">
      <w:pPr>
        <w:pStyle w:val="Nagwek3"/>
      </w:pPr>
      <w:bookmarkStart w:id="51" w:name="scroll-bookmark-13"/>
      <w:bookmarkStart w:id="52" w:name="_Toc27661043"/>
      <w:proofErr w:type="spellStart"/>
      <w:r w:rsidRPr="00706004">
        <w:t>Integralność</w:t>
      </w:r>
      <w:proofErr w:type="spellEnd"/>
      <w:r w:rsidRPr="00706004">
        <w:t xml:space="preserve"> (</w:t>
      </w:r>
      <w:proofErr w:type="spellStart"/>
      <w:r w:rsidRPr="00706004">
        <w:t>ang.</w:t>
      </w:r>
      <w:proofErr w:type="spellEnd"/>
      <w:r w:rsidRPr="00706004">
        <w:t xml:space="preserve"> integrity)</w:t>
      </w:r>
      <w:bookmarkEnd w:id="51"/>
      <w:bookmarkEnd w:id="52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 xml:space="preserve">Wszystkie zmiany wykonywane w rejestrach państwowych wymagają podpisu operatora. Aplikacje wspierające muszą to uwzględnić w swojej konstrukcji. Po wygenerowaniu komunikatu (XML/JSON)  opisującego zmianę w systemie, musi on zostać przekazany operatorowi i zostać przez niego podpisany. Następnie podpisany przez operatora komunikat (XML/JSON) zostaje osadzony w wywołaniu usługi </w:t>
      </w:r>
      <w:proofErr w:type="spellStart"/>
      <w:r w:rsidRPr="000D77E8">
        <w:rPr>
          <w:rFonts w:asciiTheme="majorHAnsi" w:hAnsiTheme="majorHAnsi" w:cstheme="majorHAnsi"/>
          <w:lang w:val="pl-PL"/>
        </w:rPr>
        <w:t>WebService</w:t>
      </w:r>
      <w:proofErr w:type="spellEnd"/>
      <w:r w:rsidRPr="000D77E8">
        <w:rPr>
          <w:rFonts w:asciiTheme="majorHAnsi" w:hAnsiTheme="majorHAnsi" w:cstheme="majorHAnsi"/>
          <w:lang w:val="pl-PL"/>
        </w:rPr>
        <w:t>.</w:t>
      </w:r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 xml:space="preserve">Podpisów nie wymagają operacje udostępniania danych  (wyszukiwanie, pobranie danych, itp.). W przypadku udostępnienia usług zewnętrznej aplikacji wykorzystującej jedynie ograniczony zestaw usług realizujących weryfikację danych, ze względu na niskie ryzyko usługi, do połączenia wystarczy jedynie bezpieczny kanał </w:t>
      </w:r>
      <w:proofErr w:type="spellStart"/>
      <w:r w:rsidRPr="000D77E8">
        <w:rPr>
          <w:rFonts w:asciiTheme="majorHAnsi" w:hAnsiTheme="majorHAnsi" w:cstheme="majorHAnsi"/>
          <w:lang w:val="pl-PL"/>
        </w:rPr>
        <w:t>mTLS</w:t>
      </w:r>
      <w:proofErr w:type="spellEnd"/>
      <w:r w:rsidRPr="000D77E8">
        <w:rPr>
          <w:rFonts w:asciiTheme="majorHAnsi" w:hAnsiTheme="majorHAnsi" w:cstheme="majorHAnsi"/>
          <w:lang w:val="pl-PL"/>
        </w:rPr>
        <w:t xml:space="preserve"> z</w:t>
      </w:r>
      <w:r w:rsidR="002D5748">
        <w:rPr>
          <w:rFonts w:asciiTheme="majorHAnsi" w:hAnsiTheme="majorHAnsi" w:cstheme="majorHAnsi"/>
          <w:lang w:val="pl-PL"/>
        </w:rPr>
        <w:t>estawiony po dedykowanym łączu.</w:t>
      </w:r>
    </w:p>
    <w:p w:rsidR="006C5F09" w:rsidRPr="00706004" w:rsidRDefault="00580004" w:rsidP="00F35C47">
      <w:pPr>
        <w:pStyle w:val="Nagwek3"/>
      </w:pPr>
      <w:bookmarkStart w:id="53" w:name="scroll-bookmark-14"/>
      <w:bookmarkStart w:id="54" w:name="_Toc27661044"/>
      <w:proofErr w:type="spellStart"/>
      <w:r w:rsidRPr="00706004">
        <w:t>Dostępność</w:t>
      </w:r>
      <w:proofErr w:type="spellEnd"/>
      <w:r w:rsidRPr="00706004">
        <w:t xml:space="preserve"> (</w:t>
      </w:r>
      <w:proofErr w:type="spellStart"/>
      <w:r w:rsidRPr="00706004">
        <w:t>ang.</w:t>
      </w:r>
      <w:proofErr w:type="spellEnd"/>
      <w:r w:rsidRPr="00706004">
        <w:t xml:space="preserve"> availability)</w:t>
      </w:r>
      <w:bookmarkEnd w:id="53"/>
      <w:bookmarkEnd w:id="54"/>
    </w:p>
    <w:p w:rsidR="006C5F09" w:rsidRPr="00973A40" w:rsidRDefault="00580004" w:rsidP="00973A40">
      <w:pPr>
        <w:jc w:val="left"/>
        <w:rPr>
          <w:rFonts w:asciiTheme="majorHAnsi" w:hAnsiTheme="majorHAnsi" w:cstheme="majorHAnsi"/>
        </w:rPr>
      </w:pPr>
      <w:r w:rsidRPr="000D77E8">
        <w:rPr>
          <w:rFonts w:asciiTheme="majorHAnsi" w:hAnsiTheme="majorHAnsi" w:cstheme="majorHAnsi"/>
          <w:lang w:val="pl-PL"/>
        </w:rPr>
        <w:t xml:space="preserve">System Rejestrów Państwowym został zbudowany w oparciu o architekturę wysokiej dostępności. Ma to na celu ograniczenie niedostępności dostarczanych przez system funkcjonalności w przypadku awarii któregoś z elementów systemu, jak również ograniczenia wpływu na niedostępność w trakcie prowadzenia prac serwisowych. </w:t>
      </w:r>
      <w:proofErr w:type="spellStart"/>
      <w:r w:rsidRPr="00973A40">
        <w:rPr>
          <w:rFonts w:asciiTheme="majorHAnsi" w:hAnsiTheme="majorHAnsi" w:cstheme="majorHAnsi"/>
        </w:rPr>
        <w:t>Gwarantowany</w:t>
      </w:r>
      <w:proofErr w:type="spellEnd"/>
      <w:r w:rsidRPr="00973A40">
        <w:rPr>
          <w:rFonts w:asciiTheme="majorHAnsi" w:hAnsiTheme="majorHAnsi" w:cstheme="majorHAnsi"/>
        </w:rPr>
        <w:t xml:space="preserve"> </w:t>
      </w:r>
      <w:proofErr w:type="spellStart"/>
      <w:r w:rsidRPr="00973A40">
        <w:rPr>
          <w:rFonts w:asciiTheme="majorHAnsi" w:hAnsiTheme="majorHAnsi" w:cstheme="majorHAnsi"/>
        </w:rPr>
        <w:t>poziom</w:t>
      </w:r>
      <w:proofErr w:type="spellEnd"/>
      <w:r w:rsidRPr="00973A40">
        <w:rPr>
          <w:rFonts w:asciiTheme="majorHAnsi" w:hAnsiTheme="majorHAnsi" w:cstheme="majorHAnsi"/>
        </w:rPr>
        <w:t xml:space="preserve"> </w:t>
      </w:r>
      <w:proofErr w:type="spellStart"/>
      <w:r w:rsidRPr="00973A40">
        <w:rPr>
          <w:rFonts w:asciiTheme="majorHAnsi" w:hAnsiTheme="majorHAnsi" w:cstheme="majorHAnsi"/>
        </w:rPr>
        <w:t>dostępności</w:t>
      </w:r>
      <w:proofErr w:type="spellEnd"/>
      <w:r w:rsidRPr="00973A40">
        <w:rPr>
          <w:rFonts w:asciiTheme="majorHAnsi" w:hAnsiTheme="majorHAnsi" w:cstheme="majorHAnsi"/>
        </w:rPr>
        <w:t xml:space="preserve"> </w:t>
      </w:r>
      <w:proofErr w:type="spellStart"/>
      <w:r w:rsidRPr="00973A40">
        <w:rPr>
          <w:rFonts w:asciiTheme="majorHAnsi" w:hAnsiTheme="majorHAnsi" w:cstheme="majorHAnsi"/>
        </w:rPr>
        <w:t>systemu</w:t>
      </w:r>
      <w:proofErr w:type="spellEnd"/>
      <w:r w:rsidRPr="00973A40">
        <w:rPr>
          <w:rFonts w:asciiTheme="majorHAnsi" w:hAnsiTheme="majorHAnsi" w:cstheme="majorHAnsi"/>
        </w:rPr>
        <w:t xml:space="preserve"> (SLA) wynosi 98 %.</w:t>
      </w:r>
    </w:p>
    <w:p w:rsidR="006C5F09" w:rsidRPr="00706004" w:rsidRDefault="00580004" w:rsidP="00F35C47">
      <w:pPr>
        <w:pStyle w:val="Nagwek2"/>
      </w:pPr>
      <w:bookmarkStart w:id="55" w:name="scroll-bookmark-15"/>
      <w:bookmarkStart w:id="56" w:name="_Toc27660518"/>
      <w:bookmarkStart w:id="57" w:name="_Toc27661045"/>
      <w:r w:rsidRPr="00F35C47">
        <w:t>Architektura</w:t>
      </w:r>
      <w:r w:rsidRPr="00706004">
        <w:t xml:space="preserve"> poszczególnych warstw Systemu Rejestrów Państwowych</w:t>
      </w:r>
      <w:bookmarkEnd w:id="55"/>
      <w:bookmarkEnd w:id="56"/>
      <w:bookmarkEnd w:id="57"/>
    </w:p>
    <w:p w:rsidR="006C5F09" w:rsidRPr="00F72CAF" w:rsidRDefault="00580004" w:rsidP="00F35C47">
      <w:pPr>
        <w:pStyle w:val="Nagwek3"/>
        <w:rPr>
          <w:lang w:val="pl-PL"/>
        </w:rPr>
      </w:pPr>
      <w:bookmarkStart w:id="58" w:name="scroll-bookmark-16"/>
      <w:bookmarkStart w:id="59" w:name="_Toc27661046"/>
      <w:r w:rsidRPr="00F72CAF">
        <w:rPr>
          <w:lang w:val="pl-PL"/>
        </w:rPr>
        <w:t>Architektura warstwy prezentacji danych (GUI)</w:t>
      </w:r>
      <w:bookmarkEnd w:id="58"/>
      <w:bookmarkEnd w:id="59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 xml:space="preserve">Systemu Rejestrów Państwowych posiada interfejs graficzny użytkownika udostępniający funkcje SRP osobom uprawnionym. Interfejs użytkownika (GUI) umożliwia realizację procesów biznesowych w rejestrach w sposób przewidywalny i kontrolowany, zgodnie z zakresem funkcjonalnym. GUI użytkownika jest głównie oparte na architekturze "cienkiego klienta", czyli modelu, w którym logika biznesowa wykonywana jest na serwerach zarządzanych centralnie. Komponenty składające się na warstwę to przede wszystkim strony JSP odpowiedzialne za samą prezentację danych oraz </w:t>
      </w:r>
      <w:proofErr w:type="spellStart"/>
      <w:r w:rsidRPr="000D77E8">
        <w:rPr>
          <w:rFonts w:asciiTheme="majorHAnsi" w:hAnsiTheme="majorHAnsi" w:cstheme="majorHAnsi"/>
          <w:lang w:val="pl-PL"/>
        </w:rPr>
        <w:t>Servlety</w:t>
      </w:r>
      <w:proofErr w:type="spellEnd"/>
      <w:r w:rsidRPr="000D77E8">
        <w:rPr>
          <w:rFonts w:asciiTheme="majorHAnsi" w:hAnsiTheme="majorHAnsi" w:cstheme="majorHAnsi"/>
          <w:lang w:val="pl-PL"/>
        </w:rPr>
        <w:t>, odpowiadające za kontrolę przepływu sterowania w aplikacji.</w:t>
      </w:r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 xml:space="preserve">Wybrane komponenty wykorzystują wzorzec SPA (ang. Single </w:t>
      </w:r>
      <w:proofErr w:type="spellStart"/>
      <w:r w:rsidRPr="000D77E8">
        <w:rPr>
          <w:rFonts w:asciiTheme="majorHAnsi" w:hAnsiTheme="majorHAnsi" w:cstheme="majorHAnsi"/>
          <w:lang w:val="pl-PL"/>
        </w:rPr>
        <w:t>Page</w:t>
      </w:r>
      <w:proofErr w:type="spellEnd"/>
      <w:r w:rsidRPr="000D77E8">
        <w:rPr>
          <w:rFonts w:asciiTheme="majorHAnsi" w:hAnsiTheme="majorHAnsi" w:cstheme="majorHAnsi"/>
          <w:lang w:val="pl-PL"/>
        </w:rPr>
        <w:t xml:space="preserve"> Application) dostarczając graficzny interfejs użytkownika.</w:t>
      </w:r>
    </w:p>
    <w:p w:rsidR="006C5F09" w:rsidRPr="00706004" w:rsidRDefault="00580004" w:rsidP="00F35C47">
      <w:pPr>
        <w:pStyle w:val="Nagwek3"/>
      </w:pPr>
      <w:bookmarkStart w:id="60" w:name="scroll-bookmark-17"/>
      <w:bookmarkStart w:id="61" w:name="_Toc27661047"/>
      <w:proofErr w:type="spellStart"/>
      <w:r w:rsidRPr="00706004">
        <w:lastRenderedPageBreak/>
        <w:t>Architektura</w:t>
      </w:r>
      <w:proofErr w:type="spellEnd"/>
      <w:r w:rsidRPr="00706004">
        <w:t xml:space="preserve"> </w:t>
      </w:r>
      <w:proofErr w:type="spellStart"/>
      <w:r w:rsidRPr="00706004">
        <w:t>warstwy</w:t>
      </w:r>
      <w:proofErr w:type="spellEnd"/>
      <w:r w:rsidRPr="00706004">
        <w:t xml:space="preserve"> </w:t>
      </w:r>
      <w:proofErr w:type="spellStart"/>
      <w:r w:rsidRPr="00706004">
        <w:t>logiki</w:t>
      </w:r>
      <w:proofErr w:type="spellEnd"/>
      <w:r w:rsidRPr="00706004">
        <w:t xml:space="preserve"> </w:t>
      </w:r>
      <w:proofErr w:type="spellStart"/>
      <w:r w:rsidRPr="00706004">
        <w:t>biznesowej</w:t>
      </w:r>
      <w:bookmarkEnd w:id="60"/>
      <w:bookmarkEnd w:id="61"/>
      <w:proofErr w:type="spellEnd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 xml:space="preserve">Większość rejestrów wchodzących w skład System Rejestrów Państwowych wykorzystuje platformę JEE. Komponenty logiki biznesowej oraz Interfejs ŹRÓDŁO działają w obrębie wspólnego klastra serwera aplikacyjnego JEE (Java Enterprise). Logika biznesowa jest enkapsulowana w standardowych komponentach EJB (Enterprise </w:t>
      </w:r>
      <w:proofErr w:type="spellStart"/>
      <w:r w:rsidRPr="000D77E8">
        <w:rPr>
          <w:rFonts w:asciiTheme="majorHAnsi" w:hAnsiTheme="majorHAnsi" w:cstheme="majorHAnsi"/>
          <w:lang w:val="pl-PL"/>
        </w:rPr>
        <w:t>JavaBeans</w:t>
      </w:r>
      <w:proofErr w:type="spellEnd"/>
      <w:r w:rsidRPr="000D77E8">
        <w:rPr>
          <w:rFonts w:asciiTheme="majorHAnsi" w:hAnsiTheme="majorHAnsi" w:cstheme="majorHAnsi"/>
          <w:lang w:val="pl-PL"/>
        </w:rPr>
        <w:t xml:space="preserve">, w wersji 3.0 i wyższej). Są to komponenty wykorzystywane do tworzenia złożonych aplikacji klasy </w:t>
      </w:r>
      <w:proofErr w:type="spellStart"/>
      <w:r w:rsidRPr="000D77E8">
        <w:rPr>
          <w:rFonts w:asciiTheme="majorHAnsi" w:hAnsiTheme="majorHAnsi" w:cstheme="majorHAnsi"/>
          <w:lang w:val="pl-PL"/>
        </w:rPr>
        <w:t>enterprise</w:t>
      </w:r>
      <w:proofErr w:type="spellEnd"/>
      <w:r w:rsidRPr="000D77E8">
        <w:rPr>
          <w:rFonts w:asciiTheme="majorHAnsi" w:hAnsiTheme="majorHAnsi" w:cstheme="majorHAnsi"/>
          <w:lang w:val="pl-PL"/>
        </w:rPr>
        <w:t>. Działają one po stronie serwera aplikacji i są zarządzane przez kontener EJB serwera aplikacyjnego. Kontener implementuje zbiór systemowych funkcji zapewniających łatwą implementację lokalnych i zdalnych interfejsów komunikacyjnych, bezpieczeństwa komunikacji komponentów i obsługę transakcji.</w:t>
      </w:r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Wybrane komponenty wchodzące w skład System Rejestrów Państwowych są elementami architektury EDA (ang. Event-</w:t>
      </w:r>
      <w:proofErr w:type="spellStart"/>
      <w:r w:rsidRPr="000D77E8">
        <w:rPr>
          <w:rFonts w:asciiTheme="majorHAnsi" w:hAnsiTheme="majorHAnsi" w:cstheme="majorHAnsi"/>
          <w:lang w:val="pl-PL"/>
        </w:rPr>
        <w:t>Driven</w:t>
      </w:r>
      <w:proofErr w:type="spellEnd"/>
      <w:r w:rsidRPr="000D77E8">
        <w:rPr>
          <w:rFonts w:asciiTheme="majorHAnsi" w:hAnsiTheme="majorHAnsi" w:cstheme="majorHAnsi"/>
          <w:lang w:val="pl-PL"/>
        </w:rPr>
        <w:t xml:space="preserve"> Architecture). Wykorzystują one koncepcje związane z architekturą </w:t>
      </w:r>
      <w:proofErr w:type="spellStart"/>
      <w:r w:rsidRPr="000D77E8">
        <w:rPr>
          <w:rFonts w:asciiTheme="majorHAnsi" w:hAnsiTheme="majorHAnsi" w:cstheme="majorHAnsi"/>
          <w:lang w:val="pl-PL"/>
        </w:rPr>
        <w:t>mikrousług</w:t>
      </w:r>
      <w:proofErr w:type="spellEnd"/>
      <w:r w:rsidRPr="000D77E8">
        <w:rPr>
          <w:rFonts w:asciiTheme="majorHAnsi" w:hAnsiTheme="majorHAnsi" w:cstheme="majorHAnsi"/>
          <w:lang w:val="pl-PL"/>
        </w:rPr>
        <w:t xml:space="preserve"> integrowanych za pomocą wymiany komunikatów (za pośrednictwem klastra </w:t>
      </w:r>
      <w:proofErr w:type="spellStart"/>
      <w:r w:rsidRPr="000D77E8">
        <w:rPr>
          <w:rFonts w:asciiTheme="majorHAnsi" w:hAnsiTheme="majorHAnsi" w:cstheme="majorHAnsi"/>
          <w:lang w:val="pl-PL"/>
        </w:rPr>
        <w:t>EventHub</w:t>
      </w:r>
      <w:proofErr w:type="spellEnd"/>
      <w:r w:rsidRPr="000D77E8">
        <w:rPr>
          <w:rFonts w:asciiTheme="majorHAnsi" w:hAnsiTheme="majorHAnsi" w:cstheme="majorHAnsi"/>
          <w:lang w:val="pl-PL"/>
        </w:rPr>
        <w:t>).  Architektura ta z definicji posiada cechy niezależnej skalo</w:t>
      </w:r>
      <w:r w:rsidR="002D5748">
        <w:rPr>
          <w:rFonts w:asciiTheme="majorHAnsi" w:hAnsiTheme="majorHAnsi" w:cstheme="majorHAnsi"/>
          <w:lang w:val="pl-PL"/>
        </w:rPr>
        <w:t>walności poszczególnych usług.</w:t>
      </w:r>
    </w:p>
    <w:p w:rsidR="006C5F09" w:rsidRPr="00706004" w:rsidRDefault="00580004" w:rsidP="00F35C47">
      <w:pPr>
        <w:pStyle w:val="Nagwek3"/>
      </w:pPr>
      <w:bookmarkStart w:id="62" w:name="scroll-bookmark-18"/>
      <w:bookmarkStart w:id="63" w:name="_Toc27661048"/>
      <w:proofErr w:type="spellStart"/>
      <w:r w:rsidRPr="00706004">
        <w:t>Architektura</w:t>
      </w:r>
      <w:proofErr w:type="spellEnd"/>
      <w:r w:rsidRPr="00706004">
        <w:t xml:space="preserve"> </w:t>
      </w:r>
      <w:proofErr w:type="spellStart"/>
      <w:r w:rsidRPr="00706004">
        <w:t>warstwy</w:t>
      </w:r>
      <w:proofErr w:type="spellEnd"/>
      <w:r w:rsidRPr="00706004">
        <w:t xml:space="preserve"> </w:t>
      </w:r>
      <w:proofErr w:type="spellStart"/>
      <w:r w:rsidRPr="00706004">
        <w:t>danych</w:t>
      </w:r>
      <w:bookmarkEnd w:id="62"/>
      <w:bookmarkEnd w:id="63"/>
      <w:proofErr w:type="spellEnd"/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>Dane wszystkich Rejestrów przechowywanych w Systemie Rejestrów Państwowych są przechowywane w relacyjnej bazie danych. Poszczególne rejestry znajdują się w odrębnych schematach, obsługiwane są przez ten sam silnik bazodanowy, dzięki czemu możliwe jest zapewnienie własności ACID dla operacji dotyczących więcej niż jednego rejestru.</w:t>
      </w:r>
    </w:p>
    <w:p w:rsidR="006C5F09" w:rsidRPr="000D77E8" w:rsidRDefault="00580004" w:rsidP="00973A40">
      <w:pPr>
        <w:jc w:val="left"/>
        <w:rPr>
          <w:rFonts w:asciiTheme="majorHAnsi" w:hAnsiTheme="majorHAnsi" w:cstheme="majorHAnsi"/>
          <w:lang w:val="pl-PL"/>
        </w:rPr>
      </w:pPr>
      <w:r w:rsidRPr="000D77E8">
        <w:rPr>
          <w:rFonts w:asciiTheme="majorHAnsi" w:hAnsiTheme="majorHAnsi" w:cstheme="majorHAnsi"/>
          <w:lang w:val="pl-PL"/>
        </w:rPr>
        <w:t xml:space="preserve">Niektóre moduły pomocnicze uruchomione są na odrębnych silnikach bazy danych. W uzasadnionych przypadkach dla komponentów wspierających mają również zastosowanie bazy typu </w:t>
      </w:r>
      <w:proofErr w:type="spellStart"/>
      <w:r w:rsidRPr="000D77E8">
        <w:rPr>
          <w:rFonts w:asciiTheme="majorHAnsi" w:hAnsiTheme="majorHAnsi" w:cstheme="majorHAnsi"/>
          <w:lang w:val="pl-PL"/>
        </w:rPr>
        <w:t>NoSQL</w:t>
      </w:r>
      <w:proofErr w:type="spellEnd"/>
      <w:r w:rsidRPr="000D77E8">
        <w:rPr>
          <w:rFonts w:asciiTheme="majorHAnsi" w:hAnsiTheme="majorHAnsi" w:cstheme="majorHAnsi"/>
          <w:lang w:val="pl-PL"/>
        </w:rPr>
        <w:t>.</w:t>
      </w:r>
    </w:p>
    <w:p w:rsidR="002A3513" w:rsidRPr="00973A40" w:rsidRDefault="00580004" w:rsidP="00973A40">
      <w:pPr>
        <w:jc w:val="left"/>
        <w:rPr>
          <w:rFonts w:asciiTheme="majorHAnsi" w:hAnsiTheme="majorHAnsi" w:cstheme="majorHAnsi"/>
        </w:rPr>
      </w:pPr>
      <w:r w:rsidRPr="000D77E8">
        <w:rPr>
          <w:rFonts w:asciiTheme="majorHAnsi" w:hAnsiTheme="majorHAnsi" w:cstheme="majorHAnsi"/>
          <w:color w:val="333333"/>
          <w:lang w:val="pl-PL"/>
        </w:rPr>
        <w:t>System Rejestrów Państwowym</w:t>
      </w:r>
      <w:r w:rsidRPr="000D77E8">
        <w:rPr>
          <w:rFonts w:asciiTheme="majorHAnsi" w:hAnsiTheme="majorHAnsi" w:cstheme="majorHAnsi"/>
          <w:lang w:val="pl-PL"/>
        </w:rPr>
        <w:t> </w:t>
      </w:r>
      <w:r w:rsidRPr="000D77E8">
        <w:rPr>
          <w:rFonts w:asciiTheme="majorHAnsi" w:hAnsiTheme="majorHAnsi" w:cstheme="majorHAnsi"/>
          <w:color w:val="333333"/>
          <w:lang w:val="pl-PL"/>
        </w:rPr>
        <w:t xml:space="preserve">został zbudowany w oparciu o architekturę wysokiej dostępności. Ma to na celu ograniczenie niedostępności dostarczanych przez system funkcjonalności w przypadku awarii któregoś z elementów systemu, jak również ograniczenia wpływu na niedostępność w trakcie prowadzenia prac serwisowych. </w:t>
      </w:r>
      <w:proofErr w:type="spellStart"/>
      <w:r w:rsidRPr="00973A40">
        <w:rPr>
          <w:rFonts w:asciiTheme="majorHAnsi" w:hAnsiTheme="majorHAnsi" w:cstheme="majorHAnsi"/>
          <w:color w:val="333333"/>
        </w:rPr>
        <w:t>Minimalna</w:t>
      </w:r>
      <w:proofErr w:type="spellEnd"/>
      <w:r w:rsidRPr="00973A40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973A40">
        <w:rPr>
          <w:rFonts w:asciiTheme="majorHAnsi" w:hAnsiTheme="majorHAnsi" w:cstheme="majorHAnsi"/>
          <w:color w:val="333333"/>
        </w:rPr>
        <w:t>dopuszczalna</w:t>
      </w:r>
      <w:proofErr w:type="spellEnd"/>
      <w:r w:rsidRPr="00973A40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973A40">
        <w:rPr>
          <w:rFonts w:asciiTheme="majorHAnsi" w:hAnsiTheme="majorHAnsi" w:cstheme="majorHAnsi"/>
          <w:color w:val="333333"/>
        </w:rPr>
        <w:t>niedostępność</w:t>
      </w:r>
      <w:proofErr w:type="spellEnd"/>
      <w:r w:rsidRPr="00973A40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973A40">
        <w:rPr>
          <w:rFonts w:asciiTheme="majorHAnsi" w:hAnsiTheme="majorHAnsi" w:cstheme="majorHAnsi"/>
          <w:color w:val="333333"/>
        </w:rPr>
        <w:t>systemy</w:t>
      </w:r>
      <w:proofErr w:type="spellEnd"/>
      <w:r w:rsidRPr="00973A40">
        <w:rPr>
          <w:rFonts w:asciiTheme="majorHAnsi" w:hAnsiTheme="majorHAnsi" w:cstheme="majorHAnsi"/>
          <w:color w:val="333333"/>
        </w:rPr>
        <w:t xml:space="preserve"> (SLA) </w:t>
      </w:r>
      <w:proofErr w:type="spellStart"/>
      <w:r w:rsidRPr="00973A40">
        <w:rPr>
          <w:rFonts w:asciiTheme="majorHAnsi" w:hAnsiTheme="majorHAnsi" w:cstheme="majorHAnsi"/>
          <w:color w:val="333333"/>
        </w:rPr>
        <w:t>wynosi</w:t>
      </w:r>
      <w:proofErr w:type="spellEnd"/>
      <w:r w:rsidRPr="00973A40">
        <w:rPr>
          <w:rFonts w:asciiTheme="majorHAnsi" w:hAnsiTheme="majorHAnsi" w:cstheme="majorHAnsi"/>
          <w:color w:val="333333"/>
        </w:rPr>
        <w:t xml:space="preserve"> 98 %.</w:t>
      </w:r>
    </w:p>
    <w:sectPr w:rsidR="002A3513" w:rsidRPr="00973A40" w:rsidSect="001E1B97">
      <w:footerReference w:type="default" r:id="rId15"/>
      <w:headerReference w:type="first" r:id="rId16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556" w:rsidRDefault="00646556">
      <w:pPr>
        <w:spacing w:before="0" w:after="0" w:line="240" w:lineRule="auto"/>
      </w:pPr>
      <w:r>
        <w:separator/>
      </w:r>
    </w:p>
  </w:endnote>
  <w:endnote w:type="continuationSeparator" w:id="0">
    <w:p w:rsidR="00646556" w:rsidRDefault="006465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ource Sans Pro">
    <w:charset w:val="00"/>
    <w:family w:val="auto"/>
    <w:pitch w:val="variable"/>
    <w:sig w:usb0="600002F7" w:usb1="02000001" w:usb2="00000000" w:usb3="00000000" w:csb0="0000019F" w:csb1="00000000"/>
  </w:font>
  <w:font w:name="Calibri-Bold">
    <w:altName w:val="Times New Roman"/>
    <w:charset w:val="00"/>
    <w:family w:val="auto"/>
    <w:pitch w:val="variable"/>
    <w:sig w:usb0="20000287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7E8" w:rsidRDefault="000D77E8" w:rsidP="00D8012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77E8" w:rsidRDefault="000D77E8" w:rsidP="00D801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7E8" w:rsidRPr="001E1B97" w:rsidRDefault="000D77E8" w:rsidP="001E1B97">
    <w:pPr>
      <w:pStyle w:val="Niebieskatre"/>
      <w:jc w:val="right"/>
      <w:rPr>
        <w:b w:val="0"/>
        <w:sz w:val="18"/>
        <w:szCs w:val="18"/>
      </w:rPr>
    </w:pPr>
    <w:r w:rsidRPr="00F44EEB">
      <w:rPr>
        <w:b w:val="0"/>
        <w:sz w:val="18"/>
        <w:szCs w:val="18"/>
      </w:rPr>
      <w:t xml:space="preserve">Strona </w:t>
    </w:r>
    <w:r w:rsidRPr="00F44EEB">
      <w:rPr>
        <w:b w:val="0"/>
        <w:sz w:val="18"/>
        <w:szCs w:val="18"/>
      </w:rPr>
      <w:fldChar w:fldCharType="begin"/>
    </w:r>
    <w:r w:rsidRPr="00F44EEB">
      <w:rPr>
        <w:b w:val="0"/>
        <w:sz w:val="18"/>
        <w:szCs w:val="18"/>
      </w:rPr>
      <w:instrText>PAGE</w:instrText>
    </w:r>
    <w:r w:rsidRPr="00F44EEB">
      <w:rPr>
        <w:b w:val="0"/>
        <w:sz w:val="18"/>
        <w:szCs w:val="18"/>
      </w:rPr>
      <w:fldChar w:fldCharType="separate"/>
    </w:r>
    <w:r w:rsidR="00FB0DBA">
      <w:rPr>
        <w:b w:val="0"/>
        <w:noProof/>
        <w:sz w:val="18"/>
        <w:szCs w:val="18"/>
      </w:rPr>
      <w:t>2</w:t>
    </w:r>
    <w:r w:rsidRPr="00F44EEB">
      <w:rPr>
        <w:b w:val="0"/>
        <w:sz w:val="18"/>
        <w:szCs w:val="18"/>
      </w:rPr>
      <w:fldChar w:fldCharType="end"/>
    </w:r>
    <w:r w:rsidRPr="00F44EEB">
      <w:rPr>
        <w:b w:val="0"/>
        <w:sz w:val="18"/>
        <w:szCs w:val="18"/>
      </w:rPr>
      <w:t xml:space="preserve"> z </w:t>
    </w:r>
    <w:r w:rsidRPr="00F44EEB">
      <w:rPr>
        <w:b w:val="0"/>
        <w:sz w:val="18"/>
        <w:szCs w:val="18"/>
      </w:rPr>
      <w:fldChar w:fldCharType="begin"/>
    </w:r>
    <w:r w:rsidRPr="00F44EEB">
      <w:rPr>
        <w:b w:val="0"/>
        <w:sz w:val="18"/>
        <w:szCs w:val="18"/>
      </w:rPr>
      <w:instrText>NUMPAGES</w:instrText>
    </w:r>
    <w:r w:rsidRPr="00F44EEB">
      <w:rPr>
        <w:b w:val="0"/>
        <w:sz w:val="18"/>
        <w:szCs w:val="18"/>
      </w:rPr>
      <w:fldChar w:fldCharType="separate"/>
    </w:r>
    <w:r w:rsidR="00FB0DBA">
      <w:rPr>
        <w:b w:val="0"/>
        <w:noProof/>
        <w:sz w:val="18"/>
        <w:szCs w:val="18"/>
      </w:rPr>
      <w:t>7</w:t>
    </w:r>
    <w:r w:rsidRPr="00F44EEB">
      <w:rPr>
        <w:b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7E8" w:rsidRPr="001E1B97" w:rsidRDefault="000D77E8" w:rsidP="001E1B97">
    <w:pPr>
      <w:pStyle w:val="Niebieskatre"/>
      <w:jc w:val="right"/>
      <w:rPr>
        <w:b w:val="0"/>
        <w:sz w:val="18"/>
        <w:szCs w:val="18"/>
      </w:rPr>
    </w:pPr>
    <w:r>
      <w:rPr>
        <w:b w:val="0"/>
        <w:sz w:val="18"/>
        <w:szCs w:val="18"/>
      </w:rPr>
      <w:t>S</w:t>
    </w:r>
    <w:r w:rsidRPr="00F44EEB">
      <w:rPr>
        <w:b w:val="0"/>
        <w:sz w:val="18"/>
        <w:szCs w:val="18"/>
      </w:rPr>
      <w:t xml:space="preserve">trona </w:t>
    </w:r>
    <w:r w:rsidRPr="00F44EEB">
      <w:rPr>
        <w:b w:val="0"/>
        <w:sz w:val="18"/>
        <w:szCs w:val="18"/>
      </w:rPr>
      <w:fldChar w:fldCharType="begin"/>
    </w:r>
    <w:r w:rsidRPr="00F44EEB">
      <w:rPr>
        <w:b w:val="0"/>
        <w:sz w:val="18"/>
        <w:szCs w:val="18"/>
      </w:rPr>
      <w:instrText>PAGE</w:instrText>
    </w:r>
    <w:r w:rsidRPr="00F44EEB">
      <w:rPr>
        <w:b w:val="0"/>
        <w:sz w:val="18"/>
        <w:szCs w:val="18"/>
      </w:rPr>
      <w:fldChar w:fldCharType="separate"/>
    </w:r>
    <w:r w:rsidR="00FB0DBA">
      <w:rPr>
        <w:b w:val="0"/>
        <w:noProof/>
        <w:sz w:val="18"/>
        <w:szCs w:val="18"/>
      </w:rPr>
      <w:t>7</w:t>
    </w:r>
    <w:r w:rsidRPr="00F44EEB">
      <w:rPr>
        <w:b w:val="0"/>
        <w:sz w:val="18"/>
        <w:szCs w:val="18"/>
      </w:rPr>
      <w:fldChar w:fldCharType="end"/>
    </w:r>
    <w:r w:rsidRPr="00F44EEB">
      <w:rPr>
        <w:b w:val="0"/>
        <w:sz w:val="18"/>
        <w:szCs w:val="18"/>
      </w:rPr>
      <w:t xml:space="preserve"> z </w:t>
    </w:r>
    <w:r w:rsidRPr="00F44EEB">
      <w:rPr>
        <w:b w:val="0"/>
        <w:sz w:val="18"/>
        <w:szCs w:val="18"/>
      </w:rPr>
      <w:fldChar w:fldCharType="begin"/>
    </w:r>
    <w:r w:rsidRPr="00F44EEB">
      <w:rPr>
        <w:b w:val="0"/>
        <w:sz w:val="18"/>
        <w:szCs w:val="18"/>
      </w:rPr>
      <w:instrText>NUMPAGES</w:instrText>
    </w:r>
    <w:r w:rsidRPr="00F44EEB">
      <w:rPr>
        <w:b w:val="0"/>
        <w:sz w:val="18"/>
        <w:szCs w:val="18"/>
      </w:rPr>
      <w:fldChar w:fldCharType="separate"/>
    </w:r>
    <w:r w:rsidR="00FB0DBA">
      <w:rPr>
        <w:b w:val="0"/>
        <w:noProof/>
        <w:sz w:val="18"/>
        <w:szCs w:val="18"/>
      </w:rPr>
      <w:t>7</w:t>
    </w:r>
    <w:r w:rsidRPr="00F44EEB">
      <w:rPr>
        <w:b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556" w:rsidRDefault="00646556">
      <w:pPr>
        <w:spacing w:before="0" w:after="0" w:line="240" w:lineRule="auto"/>
      </w:pPr>
      <w:r>
        <w:separator/>
      </w:r>
    </w:p>
  </w:footnote>
  <w:footnote w:type="continuationSeparator" w:id="0">
    <w:p w:rsidR="00646556" w:rsidRDefault="006465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8D" w:rsidRDefault="000D77E8" w:rsidP="008A278D">
    <w:pPr>
      <w:pStyle w:val="Nagwek"/>
      <w:spacing w:after="360"/>
      <w:rPr>
        <w:sz w:val="18"/>
        <w:szCs w:val="18"/>
      </w:rPr>
    </w:pPr>
    <w:r>
      <w:rPr>
        <w:noProof/>
        <w:lang w:val="pl-PL" w:eastAsia="pl-PL"/>
      </w:rPr>
      <w:drawing>
        <wp:inline distT="0" distB="0" distL="0" distR="0" wp14:anchorId="003135F1" wp14:editId="7AEF0822">
          <wp:extent cx="5395595" cy="411569"/>
          <wp:effectExtent l="0" t="0" r="0" b="7620"/>
          <wp:docPr id="3" name="Obraz 3" descr="Barwy od lewej: 1. Fundusze Europejskie - Polska Cyfrowa, 2. Rzeczpospolita Polska, 3. Rozwój Systemu Rejestrów Państwowych, 4. Unia Europejska - Europejski Fundusz Rozwoju Regionalnego" title="Barwy w nagłówku (wersja kolorow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ów w wersji podstawowej układ pozio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595" cy="411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7E8" w:rsidRPr="00AB5D4D" w:rsidRDefault="000D77E8" w:rsidP="00AB5D4D">
    <w:pPr>
      <w:pStyle w:val="Nagwek"/>
    </w:pPr>
    <w:r>
      <w:rPr>
        <w:noProof/>
        <w:lang w:val="pl-PL" w:eastAsia="pl-PL"/>
      </w:rPr>
      <w:drawing>
        <wp:inline distT="0" distB="0" distL="0" distR="0" wp14:anchorId="3F17F94A" wp14:editId="15C35431">
          <wp:extent cx="5395595" cy="411569"/>
          <wp:effectExtent l="0" t="0" r="0" b="7620"/>
          <wp:docPr id="4" name="Obraz 4" descr="Barwy od lewej: 1. Fundusze Europejskie - Polska Cyfrowa, 2. Rzeczpospolita Polska, 3. Rozwój Systemu Rejestrów Państwowych, 4. Unia Europejska - Europejski Fundusz Rozwoju Regionalnego" title="Barwy w nagłówku (wersja kolorow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ów w wersji podstawowej układ pozio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595" cy="411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7E8" w:rsidRDefault="000D77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B442E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C6B0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9A1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63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60EA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DAA7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8008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065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D4E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864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7152DC"/>
    <w:multiLevelType w:val="multilevel"/>
    <w:tmpl w:val="33B8620A"/>
    <w:lvl w:ilvl="0">
      <w:start w:val="1"/>
      <w:numFmt w:val="decimal"/>
      <w:pStyle w:val="Nagwek2"/>
      <w:lvlText w:val="%1"/>
      <w:lvlJc w:val="left"/>
      <w:pPr>
        <w:ind w:left="432" w:hanging="432"/>
      </w:pPr>
      <w:rPr>
        <w:rFonts w:asciiTheme="majorHAnsi" w:hAnsiTheme="majorHAnsi" w:cstheme="majorHAnsi" w:hint="default"/>
      </w:rPr>
    </w:lvl>
    <w:lvl w:ilvl="1">
      <w:start w:val="1"/>
      <w:numFmt w:val="decimal"/>
      <w:pStyle w:val="Nagwek3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F627CE"/>
    <w:multiLevelType w:val="hybridMultilevel"/>
    <w:tmpl w:val="7DF627CE"/>
    <w:lvl w:ilvl="0" w:tplc="B3E4AC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5B64BA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4EC62E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C78E3A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8F2F80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A6CE99D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70AC45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AFC079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EFA36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42947"/>
    <w:rsid w:val="00053BAB"/>
    <w:rsid w:val="00055224"/>
    <w:rsid w:val="00091F1E"/>
    <w:rsid w:val="000B08B0"/>
    <w:rsid w:val="000B1C98"/>
    <w:rsid w:val="000C30A8"/>
    <w:rsid w:val="000D499C"/>
    <w:rsid w:val="000D77E8"/>
    <w:rsid w:val="000E57ED"/>
    <w:rsid w:val="000F3162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75EA"/>
    <w:rsid w:val="001E1B97"/>
    <w:rsid w:val="001E3B1B"/>
    <w:rsid w:val="001F0E9E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8576E"/>
    <w:rsid w:val="00294EE2"/>
    <w:rsid w:val="002A3513"/>
    <w:rsid w:val="002A5611"/>
    <w:rsid w:val="002B48D8"/>
    <w:rsid w:val="002D0E23"/>
    <w:rsid w:val="002D5748"/>
    <w:rsid w:val="002E1EC5"/>
    <w:rsid w:val="002F0D43"/>
    <w:rsid w:val="002F4EC4"/>
    <w:rsid w:val="002F6A76"/>
    <w:rsid w:val="002F79E0"/>
    <w:rsid w:val="003111A7"/>
    <w:rsid w:val="00330C80"/>
    <w:rsid w:val="00354372"/>
    <w:rsid w:val="003570EA"/>
    <w:rsid w:val="0036214D"/>
    <w:rsid w:val="00365BA6"/>
    <w:rsid w:val="00374AF9"/>
    <w:rsid w:val="00394C42"/>
    <w:rsid w:val="003C1D96"/>
    <w:rsid w:val="003E152B"/>
    <w:rsid w:val="003F0512"/>
    <w:rsid w:val="0042219C"/>
    <w:rsid w:val="00425E40"/>
    <w:rsid w:val="004266BE"/>
    <w:rsid w:val="00426718"/>
    <w:rsid w:val="00446192"/>
    <w:rsid w:val="00452C6E"/>
    <w:rsid w:val="00462D65"/>
    <w:rsid w:val="00481948"/>
    <w:rsid w:val="00483DC6"/>
    <w:rsid w:val="004934CB"/>
    <w:rsid w:val="004A79BA"/>
    <w:rsid w:val="004B5047"/>
    <w:rsid w:val="004B5FCD"/>
    <w:rsid w:val="004C5D54"/>
    <w:rsid w:val="004D4905"/>
    <w:rsid w:val="004D4D87"/>
    <w:rsid w:val="004D710A"/>
    <w:rsid w:val="004E4DAA"/>
    <w:rsid w:val="00506961"/>
    <w:rsid w:val="00514C1B"/>
    <w:rsid w:val="00531B81"/>
    <w:rsid w:val="0055323B"/>
    <w:rsid w:val="005540AD"/>
    <w:rsid w:val="00561976"/>
    <w:rsid w:val="00562E3B"/>
    <w:rsid w:val="00577554"/>
    <w:rsid w:val="00580004"/>
    <w:rsid w:val="00605B03"/>
    <w:rsid w:val="0063464D"/>
    <w:rsid w:val="00645893"/>
    <w:rsid w:val="00646556"/>
    <w:rsid w:val="00685396"/>
    <w:rsid w:val="00687C69"/>
    <w:rsid w:val="006903FA"/>
    <w:rsid w:val="006952FE"/>
    <w:rsid w:val="006A2407"/>
    <w:rsid w:val="006B2C3A"/>
    <w:rsid w:val="006C364E"/>
    <w:rsid w:val="006C5F09"/>
    <w:rsid w:val="006D4B5D"/>
    <w:rsid w:val="006E4D7D"/>
    <w:rsid w:val="006F31B1"/>
    <w:rsid w:val="006F56FD"/>
    <w:rsid w:val="00706004"/>
    <w:rsid w:val="00707F4C"/>
    <w:rsid w:val="0074468F"/>
    <w:rsid w:val="00757EE9"/>
    <w:rsid w:val="00770DF8"/>
    <w:rsid w:val="007A372C"/>
    <w:rsid w:val="007A76AB"/>
    <w:rsid w:val="007C5657"/>
    <w:rsid w:val="007D06AE"/>
    <w:rsid w:val="007F209D"/>
    <w:rsid w:val="007F3748"/>
    <w:rsid w:val="00806714"/>
    <w:rsid w:val="00831334"/>
    <w:rsid w:val="00837A0D"/>
    <w:rsid w:val="00852D83"/>
    <w:rsid w:val="00864F4D"/>
    <w:rsid w:val="0087617C"/>
    <w:rsid w:val="008964A9"/>
    <w:rsid w:val="008A278D"/>
    <w:rsid w:val="008B04E1"/>
    <w:rsid w:val="008B1C6A"/>
    <w:rsid w:val="008B7020"/>
    <w:rsid w:val="008C0E6C"/>
    <w:rsid w:val="008C1571"/>
    <w:rsid w:val="008D309B"/>
    <w:rsid w:val="008E1CB2"/>
    <w:rsid w:val="008F4EAC"/>
    <w:rsid w:val="00910A82"/>
    <w:rsid w:val="00916A12"/>
    <w:rsid w:val="00920E8C"/>
    <w:rsid w:val="0093769A"/>
    <w:rsid w:val="00937D46"/>
    <w:rsid w:val="0094016E"/>
    <w:rsid w:val="00940D8A"/>
    <w:rsid w:val="009515D5"/>
    <w:rsid w:val="009550EE"/>
    <w:rsid w:val="009709DB"/>
    <w:rsid w:val="00973A40"/>
    <w:rsid w:val="00980665"/>
    <w:rsid w:val="009873A8"/>
    <w:rsid w:val="00994241"/>
    <w:rsid w:val="00995731"/>
    <w:rsid w:val="0099728D"/>
    <w:rsid w:val="009B76C6"/>
    <w:rsid w:val="009C77F6"/>
    <w:rsid w:val="009D3DE2"/>
    <w:rsid w:val="009E13E9"/>
    <w:rsid w:val="00A12D84"/>
    <w:rsid w:val="00A17CE3"/>
    <w:rsid w:val="00A32AD6"/>
    <w:rsid w:val="00A35A67"/>
    <w:rsid w:val="00A36F31"/>
    <w:rsid w:val="00A46A1E"/>
    <w:rsid w:val="00A662D1"/>
    <w:rsid w:val="00A91702"/>
    <w:rsid w:val="00AB3248"/>
    <w:rsid w:val="00AB5D4D"/>
    <w:rsid w:val="00AB6BA6"/>
    <w:rsid w:val="00AE2366"/>
    <w:rsid w:val="00AF4DB6"/>
    <w:rsid w:val="00B21CB4"/>
    <w:rsid w:val="00B33122"/>
    <w:rsid w:val="00B5616C"/>
    <w:rsid w:val="00BC642E"/>
    <w:rsid w:val="00BE0FD9"/>
    <w:rsid w:val="00BE281B"/>
    <w:rsid w:val="00BE5325"/>
    <w:rsid w:val="00C1553A"/>
    <w:rsid w:val="00C42E29"/>
    <w:rsid w:val="00C4331B"/>
    <w:rsid w:val="00C61902"/>
    <w:rsid w:val="00C81AB8"/>
    <w:rsid w:val="00C868C5"/>
    <w:rsid w:val="00CA4ACB"/>
    <w:rsid w:val="00CA79E8"/>
    <w:rsid w:val="00CF0B4F"/>
    <w:rsid w:val="00D10529"/>
    <w:rsid w:val="00D34F85"/>
    <w:rsid w:val="00D63938"/>
    <w:rsid w:val="00D706C6"/>
    <w:rsid w:val="00D76C11"/>
    <w:rsid w:val="00D8012A"/>
    <w:rsid w:val="00D841F2"/>
    <w:rsid w:val="00D96E1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96B9D"/>
    <w:rsid w:val="00EA4AC4"/>
    <w:rsid w:val="00EB34FD"/>
    <w:rsid w:val="00EB7A17"/>
    <w:rsid w:val="00EF77D3"/>
    <w:rsid w:val="00EF7F2A"/>
    <w:rsid w:val="00F021C2"/>
    <w:rsid w:val="00F050FD"/>
    <w:rsid w:val="00F32249"/>
    <w:rsid w:val="00F32F9C"/>
    <w:rsid w:val="00F33171"/>
    <w:rsid w:val="00F35C47"/>
    <w:rsid w:val="00F44EEB"/>
    <w:rsid w:val="00F46B4A"/>
    <w:rsid w:val="00F504FB"/>
    <w:rsid w:val="00F52A14"/>
    <w:rsid w:val="00F62148"/>
    <w:rsid w:val="00F72CAF"/>
    <w:rsid w:val="00F82C93"/>
    <w:rsid w:val="00F976D6"/>
    <w:rsid w:val="00FA1D89"/>
    <w:rsid w:val="00FA4557"/>
    <w:rsid w:val="00FB0DBA"/>
    <w:rsid w:val="00FD109F"/>
    <w:rsid w:val="00FD10FA"/>
    <w:rsid w:val="00FF0F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E2492-6D75-477A-B952-29A2C8E6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ny">
    <w:name w:val="Normal"/>
    <w:qFormat/>
    <w:rsid w:val="00A12D84"/>
    <w:pPr>
      <w:spacing w:before="120" w:after="120" w:line="360" w:lineRule="auto"/>
      <w:jc w:val="both"/>
    </w:pPr>
  </w:style>
  <w:style w:type="paragraph" w:styleId="Nagwek1">
    <w:name w:val="heading 1"/>
    <w:basedOn w:val="Niebieskatre"/>
    <w:next w:val="Normalny"/>
    <w:link w:val="Nagwek1Znak"/>
    <w:uiPriority w:val="9"/>
    <w:qFormat/>
    <w:rsid w:val="00687C69"/>
    <w:pPr>
      <w:jc w:val="center"/>
      <w:outlineLvl w:val="0"/>
    </w:pPr>
    <w:rPr>
      <w:rFonts w:asciiTheme="majorHAnsi" w:hAnsiTheme="majorHAnsi" w:cstheme="majorHAnsi"/>
      <w:sz w:val="52"/>
      <w:szCs w:val="72"/>
    </w:rPr>
  </w:style>
  <w:style w:type="paragraph" w:styleId="Nagwek2">
    <w:name w:val="heading 2"/>
    <w:basedOn w:val="Nagwek1"/>
    <w:next w:val="Normalny"/>
    <w:qFormat/>
    <w:rsid w:val="00F35C47"/>
    <w:pPr>
      <w:keepNext/>
      <w:numPr>
        <w:numId w:val="2"/>
      </w:numPr>
      <w:spacing w:after="240" w:line="240" w:lineRule="auto"/>
      <w:ind w:left="431" w:hanging="431"/>
      <w:jc w:val="left"/>
      <w:outlineLvl w:val="1"/>
    </w:pPr>
    <w:rPr>
      <w:sz w:val="28"/>
      <w:szCs w:val="28"/>
    </w:rPr>
  </w:style>
  <w:style w:type="paragraph" w:styleId="Nagwek3">
    <w:name w:val="heading 3"/>
    <w:basedOn w:val="Nagwek"/>
    <w:next w:val="Normalny"/>
    <w:qFormat/>
    <w:rsid w:val="00F35C47"/>
    <w:pPr>
      <w:keepNext/>
      <w:numPr>
        <w:ilvl w:val="1"/>
        <w:numId w:val="2"/>
      </w:numPr>
      <w:tabs>
        <w:tab w:val="left" w:pos="567"/>
      </w:tabs>
      <w:spacing w:before="0" w:line="240" w:lineRule="auto"/>
      <w:ind w:left="578" w:hanging="578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agwek"/>
    <w:next w:val="Normalny"/>
    <w:link w:val="Nagwek4Znak"/>
    <w:rsid w:val="00561976"/>
    <w:pPr>
      <w:keepNext/>
      <w:keepLines/>
      <w:numPr>
        <w:ilvl w:val="3"/>
        <w:numId w:val="2"/>
      </w:numPr>
      <w:spacing w:before="240"/>
      <w:ind w:left="862" w:hanging="862"/>
      <w:outlineLvl w:val="3"/>
    </w:pPr>
    <w:rPr>
      <w:rFonts w:eastAsiaTheme="majorEastAsia" w:cstheme="majorBidi"/>
      <w:iCs/>
    </w:rPr>
  </w:style>
  <w:style w:type="paragraph" w:styleId="Nagwek5">
    <w:name w:val="heading 5"/>
    <w:basedOn w:val="Nagwek"/>
    <w:next w:val="Normalny"/>
    <w:link w:val="Nagwek5Znak"/>
    <w:unhideWhenUsed/>
    <w:rsid w:val="00561976"/>
    <w:pPr>
      <w:keepNext/>
      <w:keepLines/>
      <w:numPr>
        <w:ilvl w:val="4"/>
        <w:numId w:val="2"/>
      </w:numPr>
      <w:spacing w:before="240"/>
      <w:ind w:left="1009" w:hanging="1009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semiHidden/>
    <w:unhideWhenUsed/>
    <w:rsid w:val="00561976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63849B"/>
    </w:rPr>
  </w:style>
  <w:style w:type="paragraph" w:styleId="Nagwek7">
    <w:name w:val="heading 7"/>
    <w:basedOn w:val="Nagwek"/>
    <w:next w:val="Normalny"/>
    <w:link w:val="Nagwek7Znak"/>
    <w:semiHidden/>
    <w:unhideWhenUsed/>
    <w:rsid w:val="00561976"/>
    <w:pPr>
      <w:keepNext/>
      <w:keepLines/>
      <w:numPr>
        <w:ilvl w:val="6"/>
        <w:numId w:val="2"/>
      </w:numPr>
      <w:spacing w:before="240"/>
      <w:ind w:left="1298" w:hanging="1298"/>
      <w:outlineLvl w:val="6"/>
    </w:pPr>
    <w:rPr>
      <w:rFonts w:eastAsiaTheme="majorEastAsia" w:cstheme="majorBidi"/>
    </w:rPr>
  </w:style>
  <w:style w:type="paragraph" w:styleId="Nagwek8">
    <w:name w:val="heading 8"/>
    <w:basedOn w:val="Nagwek"/>
    <w:next w:val="Normalny"/>
    <w:link w:val="Nagwek8Znak"/>
    <w:semiHidden/>
    <w:unhideWhenUsed/>
    <w:rsid w:val="00561976"/>
    <w:pPr>
      <w:keepNext/>
      <w:keepLines/>
      <w:numPr>
        <w:ilvl w:val="7"/>
        <w:numId w:val="2"/>
      </w:numPr>
      <w:spacing w:before="240"/>
      <w:outlineLvl w:val="7"/>
    </w:pPr>
    <w:rPr>
      <w:rFonts w:eastAsiaTheme="majorEastAsia" w:cstheme="majorBidi"/>
      <w:szCs w:val="21"/>
    </w:rPr>
  </w:style>
  <w:style w:type="paragraph" w:styleId="Nagwek9">
    <w:name w:val="heading 9"/>
    <w:basedOn w:val="Nagwek"/>
    <w:next w:val="Normalny"/>
    <w:link w:val="Nagwek9Znak"/>
    <w:semiHidden/>
    <w:unhideWhenUsed/>
    <w:rsid w:val="00561976"/>
    <w:pPr>
      <w:keepNext/>
      <w:keepLines/>
      <w:numPr>
        <w:ilvl w:val="8"/>
        <w:numId w:val="2"/>
      </w:numPr>
      <w:spacing w:before="240"/>
      <w:ind w:left="1582" w:hanging="1582"/>
      <w:outlineLvl w:val="8"/>
    </w:pPr>
    <w:rPr>
      <w:rFonts w:eastAsiaTheme="majorEastAsia" w:cstheme="majorBidi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94241"/>
    <w:pPr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805BCE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rsid w:val="00561976"/>
    <w:pPr>
      <w:tabs>
        <w:tab w:val="center" w:pos="4536"/>
        <w:tab w:val="right" w:pos="9072"/>
      </w:tabs>
      <w:spacing w:after="0"/>
      <w:jc w:val="left"/>
    </w:pPr>
    <w:rPr>
      <w:color w:val="63849B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61976"/>
    <w:rPr>
      <w:rFonts w:ascii="Calibri" w:hAnsi="Calibri"/>
      <w:color w:val="63849B"/>
    </w:rPr>
  </w:style>
  <w:style w:type="paragraph" w:styleId="Stopka">
    <w:name w:val="footer"/>
    <w:basedOn w:val="Normalny"/>
    <w:link w:val="StopkaZnak"/>
    <w:uiPriority w:val="9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DF63C1"/>
    <w:rPr>
      <w:rFonts w:ascii="Arial" w:hAnsi="Arial"/>
      <w:sz w:val="18"/>
    </w:rPr>
  </w:style>
  <w:style w:type="character" w:styleId="Numerstrony">
    <w:name w:val="page number"/>
    <w:basedOn w:val="Domylnaczcionkaakapitu"/>
    <w:rsid w:val="0082378C"/>
    <w:rPr>
      <w:rFonts w:ascii="Arial" w:hAnsi="Arial"/>
      <w:sz w:val="20"/>
    </w:rPr>
  </w:style>
  <w:style w:type="table" w:styleId="Tabela-Siatka">
    <w:name w:val="Table Grid"/>
    <w:basedOn w:val="Standardowy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istreci1">
    <w:name w:val="toc 1"/>
    <w:basedOn w:val="Spistreci3"/>
    <w:next w:val="Normalny"/>
    <w:autoRedefine/>
    <w:uiPriority w:val="39"/>
    <w:rsid w:val="009E13E9"/>
    <w:pPr>
      <w:tabs>
        <w:tab w:val="right" w:leader="dot" w:pos="8487"/>
      </w:tabs>
    </w:pPr>
    <w:rPr>
      <w:b/>
      <w:bCs/>
      <w:color w:val="404040" w:themeColor="text1" w:themeTint="BF"/>
      <w:sz w:val="20"/>
    </w:rPr>
  </w:style>
  <w:style w:type="paragraph" w:styleId="Spistreci2">
    <w:name w:val="toc 2"/>
    <w:basedOn w:val="Spistreci1"/>
    <w:next w:val="Normalny"/>
    <w:autoRedefine/>
    <w:uiPriority w:val="39"/>
    <w:rsid w:val="00F72CAF"/>
    <w:rPr>
      <w:bCs w:val="0"/>
      <w:color w:val="595959" w:themeColor="text1" w:themeTint="A6"/>
    </w:rPr>
  </w:style>
  <w:style w:type="paragraph" w:styleId="Spistreci3">
    <w:name w:val="toc 3"/>
    <w:basedOn w:val="Normalny"/>
    <w:next w:val="Normalny"/>
    <w:autoRedefine/>
    <w:uiPriority w:val="39"/>
    <w:rsid w:val="00F72CAF"/>
    <w:pPr>
      <w:spacing w:before="0" w:after="0" w:line="240" w:lineRule="auto"/>
    </w:pPr>
    <w:rPr>
      <w:iCs/>
      <w:color w:val="595959" w:themeColor="text1" w:themeTint="A6"/>
      <w:sz w:val="18"/>
    </w:rPr>
  </w:style>
  <w:style w:type="paragraph" w:styleId="Spistreci4">
    <w:name w:val="toc 4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Mapadokumentu">
    <w:name w:val="Document Map"/>
    <w:basedOn w:val="Normalny"/>
    <w:link w:val="MapadokumentuZnak"/>
    <w:rsid w:val="00552316"/>
    <w:pPr>
      <w:spacing w:after="0"/>
    </w:pPr>
    <w:rPr>
      <w:rFonts w:ascii="Lucida Grande" w:hAnsi="Lucida Grande"/>
    </w:rPr>
  </w:style>
  <w:style w:type="character" w:customStyle="1" w:styleId="MapadokumentuZnak">
    <w:name w:val="Mapa dokumentu Znak"/>
    <w:basedOn w:val="Domylnaczcionkaakapitu"/>
    <w:link w:val="Mapadokumentu"/>
    <w:rsid w:val="00552316"/>
    <w:rPr>
      <w:rFonts w:ascii="Lucida Grande" w:hAnsi="Lucida Grande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1334"/>
    <w:pPr>
      <w:keepLines/>
      <w:spacing w:before="480" w:line="276" w:lineRule="auto"/>
      <w:outlineLvl w:val="9"/>
    </w:pPr>
    <w:rPr>
      <w:rFonts w:eastAsiaTheme="majorEastAsia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561976"/>
    <w:rPr>
      <w:rFonts w:eastAsiaTheme="majorEastAsia" w:cstheme="majorBidi"/>
      <w:iCs/>
      <w:color w:val="63849B"/>
      <w:sz w:val="24"/>
    </w:rPr>
  </w:style>
  <w:style w:type="character" w:customStyle="1" w:styleId="Nagwek5Znak">
    <w:name w:val="Nagłówek 5 Znak"/>
    <w:basedOn w:val="Domylnaczcionkaakapitu"/>
    <w:link w:val="Nagwek5"/>
    <w:rsid w:val="00561976"/>
    <w:rPr>
      <w:rFonts w:eastAsiaTheme="majorEastAsia" w:cstheme="majorBidi"/>
      <w:color w:val="63849B"/>
      <w:sz w:val="24"/>
    </w:rPr>
  </w:style>
  <w:style w:type="table" w:customStyle="1" w:styleId="ScrollSectionColumn">
    <w:name w:val="Scroll Section Column"/>
    <w:basedOn w:val="Standardowy"/>
    <w:uiPriority w:val="99"/>
    <w:rsid w:val="00E868FB"/>
    <w:tblPr/>
  </w:style>
  <w:style w:type="table" w:customStyle="1" w:styleId="ScrollTip">
    <w:name w:val="Scroll Tip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Standardowy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Standardowy"/>
    <w:uiPriority w:val="99"/>
    <w:qFormat/>
    <w:rsid w:val="00A12D84"/>
    <w:rPr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pPr>
        <w:wordWrap/>
        <w:spacing w:line="240" w:lineRule="auto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63849B"/>
      </w:tcPr>
    </w:tblStylePr>
    <w:tblStylePr w:type="firstCol">
      <w:rPr>
        <w:b w:val="0"/>
        <w:color w:val="auto"/>
      </w:rPr>
    </w:tblStylePr>
    <w:tblStylePr w:type="band1Horz">
      <w:pPr>
        <w:wordWrap/>
        <w:spacing w:line="240" w:lineRule="auto"/>
      </w:pPr>
    </w:tblStylePr>
  </w:style>
  <w:style w:type="table" w:customStyle="1" w:styleId="ScrollPanel">
    <w:name w:val="Scroll Panel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Standardowy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Zwykytekst">
    <w:name w:val="Plain Text"/>
    <w:basedOn w:val="Normalny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ytu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561976"/>
    <w:rPr>
      <w:rFonts w:eastAsiaTheme="majorEastAsia" w:cstheme="majorBidi"/>
      <w:color w:val="63849B"/>
    </w:rPr>
  </w:style>
  <w:style w:type="character" w:customStyle="1" w:styleId="Nagwek7Znak">
    <w:name w:val="Nagłówek 7 Znak"/>
    <w:basedOn w:val="Domylnaczcionkaakapitu"/>
    <w:link w:val="Nagwek7"/>
    <w:semiHidden/>
    <w:rsid w:val="00561976"/>
    <w:rPr>
      <w:rFonts w:eastAsiaTheme="majorEastAsia" w:cstheme="majorBidi"/>
      <w:color w:val="63849B"/>
      <w:sz w:val="24"/>
    </w:rPr>
  </w:style>
  <w:style w:type="character" w:customStyle="1" w:styleId="Nagwek8Znak">
    <w:name w:val="Nagłówek 8 Znak"/>
    <w:basedOn w:val="Domylnaczcionkaakapitu"/>
    <w:link w:val="Nagwek8"/>
    <w:semiHidden/>
    <w:rsid w:val="00561976"/>
    <w:rPr>
      <w:rFonts w:eastAsiaTheme="majorEastAsia" w:cstheme="majorBidi"/>
      <w:color w:val="63849B"/>
      <w:sz w:val="24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561976"/>
    <w:rPr>
      <w:rFonts w:eastAsiaTheme="majorEastAsia" w:cstheme="majorBidi"/>
      <w:color w:val="63849B"/>
      <w:sz w:val="24"/>
      <w:szCs w:val="21"/>
    </w:rPr>
  </w:style>
  <w:style w:type="character" w:styleId="Wyrnienieintensywne">
    <w:name w:val="Intense Emphasis"/>
    <w:basedOn w:val="Domylnaczcionkaakapitu"/>
    <w:rsid w:val="00831334"/>
    <w:rPr>
      <w:i/>
      <w:iCs/>
      <w:color w:val="7F7F7F" w:themeColor="text1" w:themeTint="80"/>
    </w:rPr>
  </w:style>
  <w:style w:type="paragraph" w:styleId="Cytatintensywny">
    <w:name w:val="Intense Quote"/>
    <w:basedOn w:val="Normalny"/>
    <w:next w:val="Normalny"/>
    <w:link w:val="CytatintensywnyZnak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CytatintensywnyZnak">
    <w:name w:val="Cytat intensywny Znak"/>
    <w:basedOn w:val="Domylnaczcionkaakapitu"/>
    <w:link w:val="Cytatintensywny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Odwoanieintensywne">
    <w:name w:val="Intense Reference"/>
    <w:basedOn w:val="Domylnaczcionkaakapitu"/>
    <w:rsid w:val="00831334"/>
    <w:rPr>
      <w:b/>
      <w:bCs/>
      <w:smallCaps/>
      <w:color w:val="7F7F7F" w:themeColor="text1" w:themeTint="80"/>
      <w:spacing w:val="5"/>
    </w:rPr>
  </w:style>
  <w:style w:type="table" w:styleId="Zwykatabela1">
    <w:name w:val="Plain Table 1"/>
    <w:basedOn w:val="Standardowy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Standardowy"/>
    <w:uiPriority w:val="99"/>
    <w:rsid w:val="003111A7"/>
    <w:tblPr/>
  </w:style>
  <w:style w:type="paragraph" w:customStyle="1" w:styleId="Niebieskatre">
    <w:name w:val="Niebieska treść"/>
    <w:basedOn w:val="Normalny"/>
    <w:link w:val="NiebieskatreZnak"/>
    <w:qFormat/>
    <w:rsid w:val="001E1B97"/>
    <w:pPr>
      <w:spacing w:before="0" w:after="0"/>
    </w:pPr>
    <w:rPr>
      <w:rFonts w:eastAsia="Arial Unicode MS" w:cs="Calibri-Bold"/>
      <w:b/>
      <w:bCs/>
      <w:color w:val="63849B"/>
      <w:lang w:val="pl-PL" w:eastAsia="pl-PL"/>
    </w:rPr>
  </w:style>
  <w:style w:type="character" w:customStyle="1" w:styleId="NiebieskatreZnak">
    <w:name w:val="Niebieska treść Znak"/>
    <w:link w:val="Niebieskatre"/>
    <w:rsid w:val="001E1B97"/>
    <w:rPr>
      <w:rFonts w:ascii="Calibri" w:eastAsia="Arial Unicode MS" w:hAnsi="Calibri" w:cs="Calibri-Bold"/>
      <w:b/>
      <w:bCs/>
      <w:color w:val="63849B"/>
      <w:sz w:val="22"/>
      <w:szCs w:val="22"/>
      <w:lang w:val="pl-PL" w:eastAsia="pl-PL"/>
    </w:rPr>
  </w:style>
  <w:style w:type="paragraph" w:customStyle="1" w:styleId="Tekstpodstawowybodytext">
    <w:name w:val="Tekst podstawowy.body text"/>
    <w:basedOn w:val="Normalny"/>
    <w:rsid w:val="00A35A67"/>
    <w:pPr>
      <w:widowControl w:val="0"/>
      <w:ind w:left="2520"/>
    </w:pPr>
    <w:rPr>
      <w:rFonts w:ascii="Book Antiqua" w:hAnsi="Book Antiqua"/>
      <w:snapToGrid w:val="0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87C69"/>
    <w:rPr>
      <w:rFonts w:asciiTheme="majorHAnsi" w:eastAsia="Arial Unicode MS" w:hAnsiTheme="majorHAnsi" w:cstheme="majorHAnsi"/>
      <w:b/>
      <w:bCs/>
      <w:color w:val="63849B"/>
      <w:sz w:val="52"/>
      <w:szCs w:val="72"/>
      <w:lang w:val="pl-PL" w:eastAsia="pl-PL"/>
    </w:rPr>
  </w:style>
  <w:style w:type="paragraph" w:customStyle="1" w:styleId="Akapitwypunktowany">
    <w:name w:val="Akapit wypunktowany"/>
    <w:basedOn w:val="Normalny"/>
    <w:link w:val="AkapitwypunktowanyZnak"/>
    <w:qFormat/>
    <w:rsid w:val="002A3513"/>
    <w:pPr>
      <w:suppressAutoHyphens/>
      <w:spacing w:before="0" w:after="80" w:line="276" w:lineRule="auto"/>
    </w:pPr>
    <w:rPr>
      <w:lang w:val="x-none" w:eastAsia="x-none"/>
    </w:rPr>
  </w:style>
  <w:style w:type="character" w:customStyle="1" w:styleId="AkapitwypunktowanyZnak">
    <w:name w:val="Akapit wypunktowany Znak"/>
    <w:link w:val="Akapitwypunktowany"/>
    <w:rsid w:val="002A3513"/>
    <w:rPr>
      <w:rFonts w:ascii="Calibri" w:hAnsi="Calibri"/>
      <w:sz w:val="22"/>
      <w:szCs w:val="22"/>
      <w:lang w:val="x-none" w:eastAsia="x-none"/>
    </w:rPr>
  </w:style>
  <w:style w:type="paragraph" w:styleId="Akapitzlist">
    <w:name w:val="List Paragraph"/>
    <w:basedOn w:val="Normalny"/>
    <w:rsid w:val="00561976"/>
    <w:pPr>
      <w:ind w:left="720"/>
      <w:contextualSpacing/>
    </w:pPr>
  </w:style>
  <w:style w:type="table" w:customStyle="1" w:styleId="TableGrid0">
    <w:name w:val="Table Grid_0"/>
    <w:basedOn w:val="TableNormal0"/>
    <w:uiPriority w:val="59"/>
    <w:rsid w:val="00E868FB"/>
    <w:tblPr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semiHidden/>
    <w:unhideWhenUsed/>
    <w:rsid w:val="007060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607BF69A0349478888ADFA0370FFAF" ma:contentTypeVersion="10" ma:contentTypeDescription="Utwórz nowy dokument." ma:contentTypeScope="" ma:versionID="fea6340db1c31c96dc4fe7e5459e3946">
  <xsd:schema xmlns:xsd="http://www.w3.org/2001/XMLSchema" xmlns:xs="http://www.w3.org/2001/XMLSchema" xmlns:p="http://schemas.microsoft.com/office/2006/metadata/properties" xmlns:ns2="a787c0e2-6a3a-42d6-bef2-c89235b2337d" xmlns:ns3="b161b1f2-8137-4387-8ddd-6d37bd1bee99" targetNamespace="http://schemas.microsoft.com/office/2006/metadata/properties" ma:root="true" ma:fieldsID="f4fb56c28cc497f7111759e1d4f773a8" ns2:_="" ns3:_="">
    <xsd:import namespace="a787c0e2-6a3a-42d6-bef2-c89235b2337d"/>
    <xsd:import namespace="b161b1f2-8137-4387-8ddd-6d37bd1be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7c0e2-6a3a-42d6-bef2-c89235b23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1b1f2-8137-4387-8ddd-6d37bd1be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B34B-B07F-4110-9278-32A2027BFD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253C0E-D3AA-414D-9ACF-898F4E367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CCBE2-7D9C-4A13-B47C-069C532D7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7c0e2-6a3a-42d6-bef2-c89235b2337d"/>
    <ds:schemaRef ds:uri="b161b1f2-8137-4387-8ddd-6d37bd1be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B2A0C2-F5DC-449E-8F7E-6FE1A466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1672</Words>
  <Characters>10038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Standardy technologiczne SRP</vt:lpstr>
      <vt:lpstr/>
    </vt:vector>
  </TitlesOfParts>
  <Company/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technologiczne SRP</dc:title>
  <dc:subject/>
  <dc:creator>Stefan</dc:creator>
  <cp:keywords/>
  <dc:description/>
  <cp:lastModifiedBy>Sztajnke Jacek (Bluesoft)</cp:lastModifiedBy>
  <cp:revision>4</cp:revision>
  <cp:lastPrinted>2019-12-20T12:02:00Z</cp:lastPrinted>
  <dcterms:created xsi:type="dcterms:W3CDTF">2019-12-18T12:07:00Z</dcterms:created>
  <dcterms:modified xsi:type="dcterms:W3CDTF">2019-12-20T12:03:00Z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0x01010051607BF69A0349478888ADFA0370FFAF</vt:lpwstr>
  </property>
</Properties>
</file>