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4E34" w14:textId="77777777" w:rsidR="00B94630" w:rsidRDefault="000D22DC">
      <w:pPr>
        <w:pStyle w:val="Nagwek10"/>
        <w:keepNext/>
        <w:keepLines/>
      </w:pPr>
      <w:bookmarkStart w:id="0" w:name="bookmark0"/>
      <w:r>
        <w:rPr>
          <w:rStyle w:val="Nagwek1"/>
          <w:b/>
          <w:bCs/>
        </w:rPr>
        <w:t>Informaciones detalladas relativas a la base legal, propósito y período de procesamiento de los datos personales</w:t>
      </w:r>
      <w:r>
        <w:rPr>
          <w:rStyle w:val="Nagwek1"/>
          <w:b/>
          <w:bCs/>
        </w:rPr>
        <w:br/>
        <w:t>en relación con las actividades específicas realizadas por el cónsul de la República de Polonia</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4363"/>
        <w:gridCol w:w="6523"/>
        <w:gridCol w:w="3038"/>
      </w:tblGrid>
      <w:tr w:rsidR="00B94630" w14:paraId="72EE1890" w14:textId="77777777">
        <w:tblPrEx>
          <w:tblCellMar>
            <w:top w:w="0" w:type="dxa"/>
            <w:bottom w:w="0" w:type="dxa"/>
          </w:tblCellMar>
        </w:tblPrEx>
        <w:trPr>
          <w:trHeight w:hRule="exact" w:val="408"/>
          <w:jc w:val="center"/>
        </w:trPr>
        <w:tc>
          <w:tcPr>
            <w:tcW w:w="2242" w:type="dxa"/>
            <w:tcBorders>
              <w:top w:val="single" w:sz="4" w:space="0" w:color="auto"/>
              <w:left w:val="single" w:sz="4" w:space="0" w:color="auto"/>
            </w:tcBorders>
            <w:shd w:val="clear" w:color="auto" w:fill="auto"/>
          </w:tcPr>
          <w:p w14:paraId="3004E1C8" w14:textId="77777777" w:rsidR="00B94630" w:rsidRDefault="00B94630">
            <w:pPr>
              <w:rPr>
                <w:sz w:val="10"/>
                <w:szCs w:val="10"/>
              </w:rPr>
            </w:pPr>
          </w:p>
        </w:tc>
        <w:tc>
          <w:tcPr>
            <w:tcW w:w="4363" w:type="dxa"/>
            <w:tcBorders>
              <w:top w:val="single" w:sz="4" w:space="0" w:color="auto"/>
              <w:left w:val="single" w:sz="4" w:space="0" w:color="auto"/>
            </w:tcBorders>
            <w:shd w:val="clear" w:color="auto" w:fill="auto"/>
            <w:vAlign w:val="center"/>
          </w:tcPr>
          <w:p w14:paraId="465674AC" w14:textId="77777777" w:rsidR="00B94630" w:rsidRDefault="000D22DC">
            <w:pPr>
              <w:pStyle w:val="Inne0"/>
              <w:jc w:val="center"/>
            </w:pPr>
            <w:r>
              <w:rPr>
                <w:rStyle w:val="Inne"/>
                <w:b/>
                <w:bCs/>
              </w:rPr>
              <w:t>BASE LEGAL</w:t>
            </w:r>
          </w:p>
        </w:tc>
        <w:tc>
          <w:tcPr>
            <w:tcW w:w="6523" w:type="dxa"/>
            <w:tcBorders>
              <w:top w:val="single" w:sz="4" w:space="0" w:color="auto"/>
              <w:left w:val="single" w:sz="4" w:space="0" w:color="auto"/>
            </w:tcBorders>
            <w:shd w:val="clear" w:color="auto" w:fill="auto"/>
            <w:vAlign w:val="center"/>
          </w:tcPr>
          <w:p w14:paraId="7DC6BB1B" w14:textId="77777777" w:rsidR="00B94630" w:rsidRDefault="000D22DC">
            <w:pPr>
              <w:pStyle w:val="Inne0"/>
              <w:jc w:val="center"/>
            </w:pPr>
            <w:r>
              <w:rPr>
                <w:rStyle w:val="Inne"/>
                <w:b/>
                <w:bCs/>
              </w:rPr>
              <w:t>OBJETIVO</w:t>
            </w:r>
          </w:p>
        </w:tc>
        <w:tc>
          <w:tcPr>
            <w:tcW w:w="3038" w:type="dxa"/>
            <w:tcBorders>
              <w:top w:val="single" w:sz="4" w:space="0" w:color="auto"/>
              <w:left w:val="single" w:sz="4" w:space="0" w:color="auto"/>
              <w:right w:val="single" w:sz="4" w:space="0" w:color="auto"/>
            </w:tcBorders>
            <w:shd w:val="clear" w:color="auto" w:fill="auto"/>
            <w:vAlign w:val="center"/>
          </w:tcPr>
          <w:p w14:paraId="4C04E5BB" w14:textId="77777777" w:rsidR="00B94630" w:rsidRDefault="000D22DC">
            <w:pPr>
              <w:pStyle w:val="Inne0"/>
              <w:jc w:val="center"/>
            </w:pPr>
            <w:r>
              <w:rPr>
                <w:rStyle w:val="Inne"/>
                <w:b/>
                <w:bCs/>
              </w:rPr>
              <w:t>PERIODO</w:t>
            </w:r>
          </w:p>
        </w:tc>
      </w:tr>
      <w:tr w:rsidR="00B94630" w14:paraId="34CAB2FC" w14:textId="77777777">
        <w:tblPrEx>
          <w:tblCellMar>
            <w:top w:w="0" w:type="dxa"/>
            <w:bottom w:w="0" w:type="dxa"/>
          </w:tblCellMar>
        </w:tblPrEx>
        <w:trPr>
          <w:trHeight w:hRule="exact" w:val="1128"/>
          <w:jc w:val="center"/>
        </w:trPr>
        <w:tc>
          <w:tcPr>
            <w:tcW w:w="2242" w:type="dxa"/>
            <w:tcBorders>
              <w:top w:val="single" w:sz="4" w:space="0" w:color="auto"/>
              <w:left w:val="single" w:sz="4" w:space="0" w:color="auto"/>
            </w:tcBorders>
            <w:shd w:val="clear" w:color="auto" w:fill="auto"/>
            <w:vAlign w:val="center"/>
          </w:tcPr>
          <w:p w14:paraId="33314027" w14:textId="77777777" w:rsidR="00B94630" w:rsidRDefault="000D22DC">
            <w:pPr>
              <w:pStyle w:val="Inne0"/>
              <w:jc w:val="center"/>
            </w:pPr>
            <w:r>
              <w:rPr>
                <w:rStyle w:val="Inne"/>
                <w:b/>
                <w:bCs/>
              </w:rPr>
              <w:t xml:space="preserve">Asuntos </w:t>
            </w:r>
            <w:r>
              <w:rPr>
                <w:rStyle w:val="Inne"/>
                <w:b/>
                <w:bCs/>
              </w:rPr>
              <w:t>relacionados con documentos perdidos y transmisión de documentos encontrados</w:t>
            </w:r>
          </w:p>
        </w:tc>
        <w:tc>
          <w:tcPr>
            <w:tcW w:w="4363" w:type="dxa"/>
            <w:tcBorders>
              <w:top w:val="single" w:sz="4" w:space="0" w:color="auto"/>
              <w:left w:val="single" w:sz="4" w:space="0" w:color="auto"/>
            </w:tcBorders>
            <w:shd w:val="clear" w:color="auto" w:fill="auto"/>
            <w:vAlign w:val="center"/>
          </w:tcPr>
          <w:p w14:paraId="0376EB1E" w14:textId="77777777" w:rsidR="00B94630" w:rsidRDefault="000D22DC">
            <w:pPr>
              <w:pStyle w:val="Inne0"/>
              <w:jc w:val="both"/>
            </w:pPr>
            <w:r>
              <w:rPr>
                <w:rStyle w:val="Inne"/>
              </w:rPr>
              <w:t>Ley de 25 de junio de 2015 - Derecho consular, Ley de 6 de agosto de 2010 sobre tarjetas de identidad</w:t>
            </w:r>
          </w:p>
        </w:tc>
        <w:tc>
          <w:tcPr>
            <w:tcW w:w="6523" w:type="dxa"/>
            <w:tcBorders>
              <w:top w:val="single" w:sz="4" w:space="0" w:color="auto"/>
              <w:left w:val="single" w:sz="4" w:space="0" w:color="auto"/>
            </w:tcBorders>
            <w:shd w:val="clear" w:color="auto" w:fill="auto"/>
            <w:vAlign w:val="center"/>
          </w:tcPr>
          <w:p w14:paraId="0426944D" w14:textId="77777777" w:rsidR="00B94630" w:rsidRDefault="000D22DC">
            <w:pPr>
              <w:pStyle w:val="Inne0"/>
              <w:jc w:val="both"/>
            </w:pPr>
            <w:r>
              <w:rPr>
                <w:rStyle w:val="Inne"/>
              </w:rPr>
              <w:t>Notificación de la de pérdida o deterioro de la tarjeta de identidad y solici</w:t>
            </w:r>
            <w:r>
              <w:rPr>
                <w:rStyle w:val="Inne"/>
              </w:rPr>
              <w:t>tud de un certificado que confirma la pérdida o deterioro de la tarjeta de identidad. Transferencia de la matrícula y de los certificados de matrícula a Polonia.</w:t>
            </w:r>
          </w:p>
        </w:tc>
        <w:tc>
          <w:tcPr>
            <w:tcW w:w="3038" w:type="dxa"/>
            <w:tcBorders>
              <w:top w:val="single" w:sz="4" w:space="0" w:color="auto"/>
              <w:left w:val="single" w:sz="4" w:space="0" w:color="auto"/>
              <w:right w:val="single" w:sz="4" w:space="0" w:color="auto"/>
            </w:tcBorders>
            <w:shd w:val="clear" w:color="auto" w:fill="auto"/>
            <w:vAlign w:val="center"/>
          </w:tcPr>
          <w:p w14:paraId="5713FC81" w14:textId="77777777" w:rsidR="00B94630" w:rsidRDefault="000D22DC">
            <w:pPr>
              <w:pStyle w:val="Inne0"/>
            </w:pPr>
            <w:r>
              <w:rPr>
                <w:rStyle w:val="Inne"/>
              </w:rPr>
              <w:t>5 años</w:t>
            </w:r>
          </w:p>
        </w:tc>
      </w:tr>
      <w:tr w:rsidR="00B94630" w14:paraId="175A1249" w14:textId="77777777">
        <w:tblPrEx>
          <w:tblCellMar>
            <w:top w:w="0" w:type="dxa"/>
            <w:bottom w:w="0" w:type="dxa"/>
          </w:tblCellMar>
        </w:tblPrEx>
        <w:trPr>
          <w:trHeight w:hRule="exact" w:val="2285"/>
          <w:jc w:val="center"/>
        </w:trPr>
        <w:tc>
          <w:tcPr>
            <w:tcW w:w="2242" w:type="dxa"/>
            <w:tcBorders>
              <w:top w:val="single" w:sz="4" w:space="0" w:color="auto"/>
              <w:left w:val="single" w:sz="4" w:space="0" w:color="auto"/>
            </w:tcBorders>
            <w:shd w:val="clear" w:color="auto" w:fill="auto"/>
            <w:vAlign w:val="center"/>
          </w:tcPr>
          <w:p w14:paraId="5F414A62" w14:textId="77777777" w:rsidR="00B94630" w:rsidRDefault="000D22DC">
            <w:pPr>
              <w:pStyle w:val="Inne0"/>
              <w:jc w:val="center"/>
            </w:pPr>
            <w:r>
              <w:rPr>
                <w:rStyle w:val="Inne"/>
                <w:b/>
                <w:bCs/>
              </w:rPr>
              <w:t>Asuntos de visado</w:t>
            </w:r>
          </w:p>
        </w:tc>
        <w:tc>
          <w:tcPr>
            <w:tcW w:w="4363" w:type="dxa"/>
            <w:tcBorders>
              <w:top w:val="single" w:sz="4" w:space="0" w:color="auto"/>
              <w:left w:val="single" w:sz="4" w:space="0" w:color="auto"/>
            </w:tcBorders>
            <w:shd w:val="clear" w:color="auto" w:fill="auto"/>
          </w:tcPr>
          <w:p w14:paraId="66CF6D76" w14:textId="77777777" w:rsidR="00B94630" w:rsidRDefault="000D22DC">
            <w:pPr>
              <w:pStyle w:val="Inne0"/>
              <w:spacing w:line="271" w:lineRule="auto"/>
              <w:jc w:val="both"/>
            </w:pPr>
            <w:r>
              <w:rPr>
                <w:rStyle w:val="Inne"/>
              </w:rPr>
              <w:t xml:space="preserve">Ley de 12 de diciembre de 2013 sobre los extranjeros, </w:t>
            </w:r>
            <w:r>
              <w:rPr>
                <w:rStyle w:val="Inne"/>
              </w:rPr>
              <w:t xml:space="preserve">Reglamento (CE) n° 810/2009 del Parlamento Europeo y del Consejo, de 13 de julio de 2009 por el que se establece un Código comunitario sobre visados (Código de visados), Ley de 14 de julio de 2006 sobre la entrada al territorio de la República de Polonia, </w:t>
            </w:r>
            <w:r>
              <w:rPr>
                <w:rStyle w:val="Inne"/>
              </w:rPr>
              <w:t>la estancia y la salida de dicho territorio de los ciudadanos de los estados miembros de la UE y sus familiares, Ley de 25 de junio de 2015 - Derecho consular</w:t>
            </w:r>
          </w:p>
        </w:tc>
        <w:tc>
          <w:tcPr>
            <w:tcW w:w="6523" w:type="dxa"/>
            <w:tcBorders>
              <w:top w:val="single" w:sz="4" w:space="0" w:color="auto"/>
              <w:left w:val="single" w:sz="4" w:space="0" w:color="auto"/>
            </w:tcBorders>
            <w:shd w:val="clear" w:color="auto" w:fill="auto"/>
            <w:vAlign w:val="center"/>
          </w:tcPr>
          <w:p w14:paraId="3EA73C3B" w14:textId="77777777" w:rsidR="00B94630" w:rsidRDefault="000D22DC">
            <w:pPr>
              <w:pStyle w:val="Inne0"/>
              <w:jc w:val="both"/>
            </w:pPr>
            <w:r>
              <w:rPr>
                <w:rStyle w:val="Inne"/>
              </w:rPr>
              <w:t>Emisión o rechazo de solicitud de un visado Schengen o visado nacional, retirada o anulación de l</w:t>
            </w:r>
            <w:r>
              <w:rPr>
                <w:rStyle w:val="Inne"/>
              </w:rPr>
              <w:t>os visados y resolución relativa a la nueva solicitud del visado.</w:t>
            </w:r>
          </w:p>
        </w:tc>
        <w:tc>
          <w:tcPr>
            <w:tcW w:w="3038" w:type="dxa"/>
            <w:tcBorders>
              <w:top w:val="single" w:sz="4" w:space="0" w:color="auto"/>
              <w:left w:val="single" w:sz="4" w:space="0" w:color="auto"/>
              <w:right w:val="single" w:sz="4" w:space="0" w:color="auto"/>
            </w:tcBorders>
            <w:shd w:val="clear" w:color="auto" w:fill="auto"/>
            <w:vAlign w:val="center"/>
          </w:tcPr>
          <w:p w14:paraId="30BE80A5" w14:textId="12B5BB96" w:rsidR="00B94630" w:rsidRDefault="00774FBC">
            <w:pPr>
              <w:pStyle w:val="Inne0"/>
            </w:pPr>
            <w:r>
              <w:rPr>
                <w:rStyle w:val="Inne"/>
              </w:rPr>
              <w:t>1</w:t>
            </w:r>
            <w:r w:rsidR="000D22DC">
              <w:rPr>
                <w:rStyle w:val="Inne"/>
              </w:rPr>
              <w:t xml:space="preserve"> año</w:t>
            </w:r>
            <w:r w:rsidR="000D22DC">
              <w:rPr>
                <w:rStyle w:val="Inne"/>
              </w:rPr>
              <w:t xml:space="preserve"> (desde la fecha de la decisión)</w:t>
            </w:r>
          </w:p>
        </w:tc>
      </w:tr>
      <w:tr w:rsidR="00B94630" w14:paraId="228054ED" w14:textId="77777777">
        <w:tblPrEx>
          <w:tblCellMar>
            <w:top w:w="0" w:type="dxa"/>
            <w:bottom w:w="0" w:type="dxa"/>
          </w:tblCellMar>
        </w:tblPrEx>
        <w:trPr>
          <w:trHeight w:hRule="exact" w:val="451"/>
          <w:jc w:val="center"/>
        </w:trPr>
        <w:tc>
          <w:tcPr>
            <w:tcW w:w="2242" w:type="dxa"/>
            <w:tcBorders>
              <w:top w:val="single" w:sz="4" w:space="0" w:color="auto"/>
              <w:left w:val="single" w:sz="4" w:space="0" w:color="auto"/>
            </w:tcBorders>
            <w:shd w:val="clear" w:color="auto" w:fill="auto"/>
            <w:vAlign w:val="bottom"/>
          </w:tcPr>
          <w:p w14:paraId="757C33E9" w14:textId="77777777" w:rsidR="00B94630" w:rsidRDefault="000D22DC">
            <w:pPr>
              <w:pStyle w:val="Inne0"/>
              <w:jc w:val="center"/>
            </w:pPr>
            <w:r>
              <w:rPr>
                <w:rStyle w:val="Inne"/>
                <w:b/>
                <w:bCs/>
              </w:rPr>
              <w:t>Asuntos relativos a las traducciones</w:t>
            </w:r>
          </w:p>
        </w:tc>
        <w:tc>
          <w:tcPr>
            <w:tcW w:w="4363" w:type="dxa"/>
            <w:tcBorders>
              <w:top w:val="single" w:sz="4" w:space="0" w:color="auto"/>
              <w:left w:val="single" w:sz="4" w:space="0" w:color="auto"/>
            </w:tcBorders>
            <w:shd w:val="clear" w:color="auto" w:fill="auto"/>
            <w:vAlign w:val="center"/>
          </w:tcPr>
          <w:p w14:paraId="38E07718" w14:textId="77777777" w:rsidR="00B94630" w:rsidRDefault="000D22DC">
            <w:pPr>
              <w:pStyle w:val="Inne0"/>
              <w:jc w:val="both"/>
            </w:pPr>
            <w:r>
              <w:rPr>
                <w:rStyle w:val="Inne"/>
              </w:rPr>
              <w:t>Ley de 25 de junio de 2015 - Derecho consular</w:t>
            </w:r>
          </w:p>
        </w:tc>
        <w:tc>
          <w:tcPr>
            <w:tcW w:w="6523" w:type="dxa"/>
            <w:tcBorders>
              <w:top w:val="single" w:sz="4" w:space="0" w:color="auto"/>
              <w:left w:val="single" w:sz="4" w:space="0" w:color="auto"/>
            </w:tcBorders>
            <w:shd w:val="clear" w:color="auto" w:fill="auto"/>
          </w:tcPr>
          <w:p w14:paraId="63EEFE85" w14:textId="77777777" w:rsidR="008877F8" w:rsidRPr="008877F8" w:rsidRDefault="000D22DC" w:rsidP="008877F8">
            <w:pPr>
              <w:pStyle w:val="Inne0"/>
              <w:jc w:val="both"/>
              <w:rPr>
                <w:lang w:val="es-AR"/>
              </w:rPr>
            </w:pPr>
            <w:r>
              <w:rPr>
                <w:rStyle w:val="Inne"/>
              </w:rPr>
              <w:t xml:space="preserve">Traducción de documentos, certificación de </w:t>
            </w:r>
            <w:r>
              <w:rPr>
                <w:rStyle w:val="Inne"/>
              </w:rPr>
              <w:t>traducciones</w:t>
            </w:r>
            <w:r w:rsidR="008877F8">
              <w:rPr>
                <w:rStyle w:val="Inne"/>
              </w:rPr>
              <w:t xml:space="preserve">, </w:t>
            </w:r>
            <w:r w:rsidR="008877F8" w:rsidRPr="008877F8">
              <w:t>emisión de un formulario estándar multilingüe</w:t>
            </w:r>
          </w:p>
          <w:p w14:paraId="16459A87" w14:textId="62A71F2A" w:rsidR="00B94630" w:rsidRPr="008877F8" w:rsidRDefault="00B94630">
            <w:pPr>
              <w:pStyle w:val="Inne0"/>
              <w:jc w:val="both"/>
              <w:rPr>
                <w:lang w:val="es-AR"/>
              </w:rPr>
            </w:pPr>
          </w:p>
        </w:tc>
        <w:tc>
          <w:tcPr>
            <w:tcW w:w="3038" w:type="dxa"/>
            <w:tcBorders>
              <w:top w:val="single" w:sz="4" w:space="0" w:color="auto"/>
              <w:left w:val="single" w:sz="4" w:space="0" w:color="auto"/>
              <w:right w:val="single" w:sz="4" w:space="0" w:color="auto"/>
            </w:tcBorders>
            <w:shd w:val="clear" w:color="auto" w:fill="auto"/>
            <w:vAlign w:val="center"/>
          </w:tcPr>
          <w:p w14:paraId="0745F979" w14:textId="77777777" w:rsidR="00B94630" w:rsidRDefault="000D22DC">
            <w:pPr>
              <w:pStyle w:val="Inne0"/>
            </w:pPr>
            <w:r>
              <w:rPr>
                <w:rStyle w:val="Inne"/>
              </w:rPr>
              <w:t>5 años</w:t>
            </w:r>
          </w:p>
        </w:tc>
      </w:tr>
      <w:tr w:rsidR="00B94630" w14:paraId="6328F8AB" w14:textId="77777777">
        <w:tblPrEx>
          <w:tblCellMar>
            <w:top w:w="0" w:type="dxa"/>
            <w:bottom w:w="0" w:type="dxa"/>
          </w:tblCellMar>
        </w:tblPrEx>
        <w:trPr>
          <w:trHeight w:hRule="exact" w:val="1325"/>
          <w:jc w:val="center"/>
        </w:trPr>
        <w:tc>
          <w:tcPr>
            <w:tcW w:w="2242" w:type="dxa"/>
            <w:tcBorders>
              <w:top w:val="single" w:sz="4" w:space="0" w:color="auto"/>
              <w:left w:val="single" w:sz="4" w:space="0" w:color="auto"/>
            </w:tcBorders>
            <w:shd w:val="clear" w:color="auto" w:fill="auto"/>
            <w:vAlign w:val="center"/>
          </w:tcPr>
          <w:p w14:paraId="3046C3E4" w14:textId="77777777" w:rsidR="00B94630" w:rsidRDefault="000D22DC">
            <w:pPr>
              <w:pStyle w:val="Inne0"/>
              <w:spacing w:line="233" w:lineRule="auto"/>
              <w:jc w:val="center"/>
            </w:pPr>
            <w:r>
              <w:rPr>
                <w:rStyle w:val="Inne"/>
                <w:b/>
                <w:bCs/>
              </w:rPr>
              <w:t>Asuntos relativos a la asistencia consular</w:t>
            </w:r>
          </w:p>
        </w:tc>
        <w:tc>
          <w:tcPr>
            <w:tcW w:w="4363" w:type="dxa"/>
            <w:tcBorders>
              <w:top w:val="single" w:sz="4" w:space="0" w:color="auto"/>
              <w:left w:val="single" w:sz="4" w:space="0" w:color="auto"/>
            </w:tcBorders>
            <w:shd w:val="clear" w:color="auto" w:fill="auto"/>
            <w:vAlign w:val="center"/>
          </w:tcPr>
          <w:p w14:paraId="25D5D9B9" w14:textId="77777777" w:rsidR="00B94630" w:rsidRDefault="000D22DC">
            <w:pPr>
              <w:pStyle w:val="Inne0"/>
              <w:jc w:val="both"/>
            </w:pPr>
            <w:r>
              <w:rPr>
                <w:rStyle w:val="Inne"/>
              </w:rPr>
              <w:t>Ley de 25 de junio de 2015 - Derecho consular y en relación con el art. 6 apartado 1 letra c y d y el art. 9 apartado 2 letra c de RGPD</w:t>
            </w:r>
          </w:p>
        </w:tc>
        <w:tc>
          <w:tcPr>
            <w:tcW w:w="6523" w:type="dxa"/>
            <w:tcBorders>
              <w:top w:val="single" w:sz="4" w:space="0" w:color="auto"/>
              <w:left w:val="single" w:sz="4" w:space="0" w:color="auto"/>
            </w:tcBorders>
            <w:shd w:val="clear" w:color="auto" w:fill="auto"/>
            <w:vAlign w:val="center"/>
          </w:tcPr>
          <w:p w14:paraId="180E4428" w14:textId="77777777" w:rsidR="00B94630" w:rsidRDefault="000D22DC">
            <w:pPr>
              <w:pStyle w:val="Inne0"/>
              <w:jc w:val="both"/>
            </w:pPr>
            <w:r>
              <w:rPr>
                <w:rStyle w:val="Inne"/>
              </w:rPr>
              <w:t>Concesión de asistencia consular.</w:t>
            </w:r>
          </w:p>
        </w:tc>
        <w:tc>
          <w:tcPr>
            <w:tcW w:w="3038" w:type="dxa"/>
            <w:tcBorders>
              <w:top w:val="single" w:sz="4" w:space="0" w:color="auto"/>
              <w:left w:val="single" w:sz="4" w:space="0" w:color="auto"/>
              <w:right w:val="single" w:sz="4" w:space="0" w:color="auto"/>
            </w:tcBorders>
            <w:shd w:val="clear" w:color="auto" w:fill="auto"/>
            <w:vAlign w:val="bottom"/>
          </w:tcPr>
          <w:p w14:paraId="765983FA" w14:textId="77777777" w:rsidR="00B94630" w:rsidRDefault="000D22DC">
            <w:pPr>
              <w:pStyle w:val="Inne0"/>
            </w:pPr>
            <w:r>
              <w:rPr>
                <w:rStyle w:val="Inne"/>
              </w:rPr>
              <w:t xml:space="preserve">5 años (con la </w:t>
            </w:r>
            <w:r>
              <w:rPr>
                <w:rStyle w:val="Inne"/>
              </w:rPr>
              <w:t>excepción de los datos personales relacionados con la devolución de depósitos aceptados o la devolución de los artículos encontrados que se procesan indefinidamente)</w:t>
            </w:r>
          </w:p>
        </w:tc>
      </w:tr>
      <w:tr w:rsidR="00B94630" w14:paraId="52278AF6" w14:textId="77777777">
        <w:tblPrEx>
          <w:tblCellMar>
            <w:top w:w="0" w:type="dxa"/>
            <w:bottom w:w="0" w:type="dxa"/>
          </w:tblCellMar>
        </w:tblPrEx>
        <w:trPr>
          <w:trHeight w:hRule="exact" w:val="509"/>
          <w:jc w:val="center"/>
        </w:trPr>
        <w:tc>
          <w:tcPr>
            <w:tcW w:w="2242" w:type="dxa"/>
            <w:tcBorders>
              <w:top w:val="single" w:sz="4" w:space="0" w:color="auto"/>
              <w:left w:val="single" w:sz="4" w:space="0" w:color="auto"/>
            </w:tcBorders>
            <w:shd w:val="clear" w:color="auto" w:fill="auto"/>
            <w:vAlign w:val="bottom"/>
          </w:tcPr>
          <w:p w14:paraId="35D892DC" w14:textId="77777777" w:rsidR="00B94630" w:rsidRDefault="000D22DC">
            <w:pPr>
              <w:pStyle w:val="Inne0"/>
              <w:jc w:val="center"/>
            </w:pPr>
            <w:r>
              <w:rPr>
                <w:rStyle w:val="Inne"/>
                <w:b/>
                <w:bCs/>
              </w:rPr>
              <w:t>Asuntos relativos a la asistencia jurídica</w:t>
            </w:r>
          </w:p>
        </w:tc>
        <w:tc>
          <w:tcPr>
            <w:tcW w:w="4363" w:type="dxa"/>
            <w:tcBorders>
              <w:top w:val="single" w:sz="4" w:space="0" w:color="auto"/>
              <w:left w:val="single" w:sz="4" w:space="0" w:color="auto"/>
            </w:tcBorders>
            <w:shd w:val="clear" w:color="auto" w:fill="auto"/>
            <w:vAlign w:val="center"/>
          </w:tcPr>
          <w:p w14:paraId="5086DA7D" w14:textId="77777777" w:rsidR="00B94630" w:rsidRDefault="000D22DC">
            <w:pPr>
              <w:pStyle w:val="Inne0"/>
              <w:jc w:val="both"/>
            </w:pPr>
            <w:r>
              <w:rPr>
                <w:rStyle w:val="Inne"/>
              </w:rPr>
              <w:t xml:space="preserve">Ley de 25 de junio de 2015 - Derecho </w:t>
            </w:r>
            <w:r>
              <w:rPr>
                <w:rStyle w:val="Inne"/>
              </w:rPr>
              <w:t>consular</w:t>
            </w:r>
          </w:p>
        </w:tc>
        <w:tc>
          <w:tcPr>
            <w:tcW w:w="6523" w:type="dxa"/>
            <w:tcBorders>
              <w:top w:val="single" w:sz="4" w:space="0" w:color="auto"/>
              <w:left w:val="single" w:sz="4" w:space="0" w:color="auto"/>
            </w:tcBorders>
            <w:shd w:val="clear" w:color="auto" w:fill="auto"/>
            <w:vAlign w:val="bottom"/>
          </w:tcPr>
          <w:p w14:paraId="6078BBB5" w14:textId="77777777" w:rsidR="00B94630" w:rsidRDefault="000D22DC">
            <w:pPr>
              <w:pStyle w:val="Inne0"/>
              <w:jc w:val="both"/>
            </w:pPr>
            <w:r>
              <w:rPr>
                <w:rStyle w:val="Inne"/>
              </w:rPr>
              <w:t>Entrega de cartas, audiencias, envío de información a la autoridad competente, tribunal o fiscal de acuerdo con la solicitud de asistencia legal.</w:t>
            </w:r>
          </w:p>
        </w:tc>
        <w:tc>
          <w:tcPr>
            <w:tcW w:w="3038" w:type="dxa"/>
            <w:tcBorders>
              <w:top w:val="single" w:sz="4" w:space="0" w:color="auto"/>
              <w:left w:val="single" w:sz="4" w:space="0" w:color="auto"/>
              <w:right w:val="single" w:sz="4" w:space="0" w:color="auto"/>
            </w:tcBorders>
            <w:shd w:val="clear" w:color="auto" w:fill="auto"/>
          </w:tcPr>
          <w:p w14:paraId="12C607D7" w14:textId="77777777" w:rsidR="00B94630" w:rsidRDefault="000D22DC">
            <w:pPr>
              <w:pStyle w:val="Inne0"/>
            </w:pPr>
            <w:r>
              <w:rPr>
                <w:rStyle w:val="Inne"/>
              </w:rPr>
              <w:t>5 años</w:t>
            </w:r>
          </w:p>
        </w:tc>
      </w:tr>
      <w:tr w:rsidR="00B94630" w14:paraId="5F7EB6AE" w14:textId="77777777">
        <w:tblPrEx>
          <w:tblCellMar>
            <w:top w:w="0" w:type="dxa"/>
            <w:bottom w:w="0" w:type="dxa"/>
          </w:tblCellMar>
        </w:tblPrEx>
        <w:trPr>
          <w:trHeight w:hRule="exact" w:val="1987"/>
          <w:jc w:val="center"/>
        </w:trPr>
        <w:tc>
          <w:tcPr>
            <w:tcW w:w="2242" w:type="dxa"/>
            <w:tcBorders>
              <w:top w:val="single" w:sz="4" w:space="0" w:color="auto"/>
              <w:left w:val="single" w:sz="4" w:space="0" w:color="auto"/>
            </w:tcBorders>
            <w:shd w:val="clear" w:color="auto" w:fill="auto"/>
            <w:vAlign w:val="center"/>
          </w:tcPr>
          <w:p w14:paraId="520AE0A0" w14:textId="77777777" w:rsidR="00B94630" w:rsidRDefault="000D22DC">
            <w:pPr>
              <w:pStyle w:val="Inne0"/>
              <w:jc w:val="center"/>
            </w:pPr>
            <w:r>
              <w:rPr>
                <w:rStyle w:val="Inne"/>
                <w:b/>
                <w:bCs/>
              </w:rPr>
              <w:t>Asuntos relativos al estado civil y a la ley de modificación de nombres y apellidos</w:t>
            </w:r>
          </w:p>
        </w:tc>
        <w:tc>
          <w:tcPr>
            <w:tcW w:w="4363" w:type="dxa"/>
            <w:tcBorders>
              <w:top w:val="single" w:sz="4" w:space="0" w:color="auto"/>
              <w:left w:val="single" w:sz="4" w:space="0" w:color="auto"/>
            </w:tcBorders>
            <w:shd w:val="clear" w:color="auto" w:fill="auto"/>
            <w:vAlign w:val="center"/>
          </w:tcPr>
          <w:p w14:paraId="06582B20" w14:textId="77777777" w:rsidR="00B94630" w:rsidRDefault="000D22DC">
            <w:pPr>
              <w:pStyle w:val="Inne0"/>
              <w:jc w:val="both"/>
            </w:pPr>
            <w:r>
              <w:rPr>
                <w:rStyle w:val="Inne"/>
              </w:rPr>
              <w:t xml:space="preserve">Ley de </w:t>
            </w:r>
            <w:r>
              <w:rPr>
                <w:rStyle w:val="Inne"/>
              </w:rPr>
              <w:t>28 de noviembre de 2014 sobre actas de estado civil, Ley de 17 de octubre de 2008 sobre modificación de nombres y apellidos y Ley de 25 de junio de 2015 - Derecho consular</w:t>
            </w:r>
          </w:p>
        </w:tc>
        <w:tc>
          <w:tcPr>
            <w:tcW w:w="6523" w:type="dxa"/>
            <w:tcBorders>
              <w:top w:val="single" w:sz="4" w:space="0" w:color="auto"/>
              <w:left w:val="single" w:sz="4" w:space="0" w:color="auto"/>
            </w:tcBorders>
            <w:shd w:val="clear" w:color="auto" w:fill="auto"/>
            <w:vAlign w:val="center"/>
          </w:tcPr>
          <w:p w14:paraId="7F7B2BA9" w14:textId="77777777" w:rsidR="00B94630" w:rsidRDefault="000D22DC">
            <w:pPr>
              <w:pStyle w:val="Inne0"/>
              <w:jc w:val="both"/>
            </w:pPr>
            <w:r>
              <w:rPr>
                <w:rStyle w:val="Inne"/>
              </w:rPr>
              <w:t>Respuesta a la solicitud de actuación prevista en las disposiciones legales pertinen</w:t>
            </w:r>
            <w:r>
              <w:rPr>
                <w:rStyle w:val="Inne"/>
              </w:rPr>
              <w:t>tes.</w:t>
            </w:r>
          </w:p>
        </w:tc>
        <w:tc>
          <w:tcPr>
            <w:tcW w:w="3038" w:type="dxa"/>
            <w:tcBorders>
              <w:top w:val="single" w:sz="4" w:space="0" w:color="auto"/>
              <w:left w:val="single" w:sz="4" w:space="0" w:color="auto"/>
              <w:right w:val="single" w:sz="4" w:space="0" w:color="auto"/>
            </w:tcBorders>
            <w:shd w:val="clear" w:color="auto" w:fill="auto"/>
            <w:vAlign w:val="bottom"/>
          </w:tcPr>
          <w:p w14:paraId="3346E5B6" w14:textId="77777777" w:rsidR="00B94630" w:rsidRDefault="000D22DC">
            <w:pPr>
              <w:pStyle w:val="Inne0"/>
            </w:pPr>
            <w:r>
              <w:rPr>
                <w:rStyle w:val="Inne"/>
              </w:rPr>
              <w:t>50 años (matrimonio ante el cónsul de la República de Polonia)</w:t>
            </w:r>
          </w:p>
          <w:p w14:paraId="41E73F93" w14:textId="77777777" w:rsidR="00B94630" w:rsidRDefault="000D22DC">
            <w:pPr>
              <w:pStyle w:val="Inne0"/>
            </w:pPr>
            <w:r>
              <w:rPr>
                <w:rStyle w:val="Inne"/>
              </w:rPr>
              <w:t>10 años (cambio de nombre y apellido, reconocimiento de paternidad, nacimientos, defunciones, matrimonios en el extranjero, transcripción de registros del estado civil en la República de P</w:t>
            </w:r>
            <w:r>
              <w:rPr>
                <w:rStyle w:val="Inne"/>
              </w:rPr>
              <w:t>olonia, otros asuntos del estado civil)</w:t>
            </w:r>
          </w:p>
        </w:tc>
      </w:tr>
      <w:tr w:rsidR="00B94630" w14:paraId="5530B658" w14:textId="77777777">
        <w:tblPrEx>
          <w:tblCellMar>
            <w:top w:w="0" w:type="dxa"/>
            <w:bottom w:w="0" w:type="dxa"/>
          </w:tblCellMar>
        </w:tblPrEx>
        <w:trPr>
          <w:trHeight w:hRule="exact" w:val="672"/>
          <w:jc w:val="center"/>
        </w:trPr>
        <w:tc>
          <w:tcPr>
            <w:tcW w:w="2242" w:type="dxa"/>
            <w:tcBorders>
              <w:top w:val="single" w:sz="4" w:space="0" w:color="auto"/>
              <w:left w:val="single" w:sz="4" w:space="0" w:color="auto"/>
            </w:tcBorders>
            <w:shd w:val="clear" w:color="auto" w:fill="auto"/>
            <w:vAlign w:val="center"/>
          </w:tcPr>
          <w:p w14:paraId="1B33079B" w14:textId="77777777" w:rsidR="00B94630" w:rsidRDefault="000D22DC">
            <w:pPr>
              <w:pStyle w:val="Inne0"/>
              <w:jc w:val="center"/>
            </w:pPr>
            <w:r>
              <w:rPr>
                <w:rStyle w:val="Inne"/>
                <w:b/>
                <w:bCs/>
              </w:rPr>
              <w:t>Asuntos notariales</w:t>
            </w:r>
          </w:p>
        </w:tc>
        <w:tc>
          <w:tcPr>
            <w:tcW w:w="4363" w:type="dxa"/>
            <w:tcBorders>
              <w:top w:val="single" w:sz="4" w:space="0" w:color="auto"/>
              <w:left w:val="single" w:sz="4" w:space="0" w:color="auto"/>
            </w:tcBorders>
            <w:shd w:val="clear" w:color="auto" w:fill="auto"/>
            <w:vAlign w:val="center"/>
          </w:tcPr>
          <w:p w14:paraId="0FB78959" w14:textId="77777777" w:rsidR="00B94630" w:rsidRDefault="000D22DC">
            <w:pPr>
              <w:pStyle w:val="Inne0"/>
              <w:spacing w:line="233" w:lineRule="auto"/>
              <w:jc w:val="both"/>
            </w:pPr>
            <w:r>
              <w:rPr>
                <w:rStyle w:val="Inne"/>
              </w:rPr>
              <w:t>Ley de 14 de febrero de 1991 - Derecho notarial, Ley de 25 de junio de 2015 - Derecho consular</w:t>
            </w:r>
          </w:p>
        </w:tc>
        <w:tc>
          <w:tcPr>
            <w:tcW w:w="6523" w:type="dxa"/>
            <w:tcBorders>
              <w:top w:val="single" w:sz="4" w:space="0" w:color="auto"/>
              <w:left w:val="single" w:sz="4" w:space="0" w:color="auto"/>
            </w:tcBorders>
            <w:shd w:val="clear" w:color="auto" w:fill="auto"/>
          </w:tcPr>
          <w:p w14:paraId="0F1CCC1D" w14:textId="77777777" w:rsidR="00B94630" w:rsidRDefault="000D22DC">
            <w:pPr>
              <w:pStyle w:val="Inne0"/>
              <w:jc w:val="both"/>
            </w:pPr>
            <w:r>
              <w:rPr>
                <w:rStyle w:val="Inne"/>
              </w:rPr>
              <w:t xml:space="preserve">Respuesta a la solicitud de operaciones notariales previstas en las disposiciones legales </w:t>
            </w:r>
            <w:r>
              <w:rPr>
                <w:rStyle w:val="Inne"/>
              </w:rPr>
              <w:t>pertinentes.</w:t>
            </w:r>
          </w:p>
        </w:tc>
        <w:tc>
          <w:tcPr>
            <w:tcW w:w="3038" w:type="dxa"/>
            <w:tcBorders>
              <w:top w:val="single" w:sz="4" w:space="0" w:color="auto"/>
              <w:left w:val="single" w:sz="4" w:space="0" w:color="auto"/>
              <w:right w:val="single" w:sz="4" w:space="0" w:color="auto"/>
            </w:tcBorders>
            <w:shd w:val="clear" w:color="auto" w:fill="auto"/>
            <w:vAlign w:val="bottom"/>
          </w:tcPr>
          <w:p w14:paraId="5ECF3186" w14:textId="77777777" w:rsidR="00B94630" w:rsidRDefault="000D22DC">
            <w:pPr>
              <w:pStyle w:val="Inne0"/>
            </w:pPr>
            <w:r>
              <w:rPr>
                <w:rStyle w:val="Inne"/>
              </w:rPr>
              <w:t>10 años (datos relacionados con la emisión de una escritura notarial)</w:t>
            </w:r>
          </w:p>
          <w:p w14:paraId="4DABDC56" w14:textId="77777777" w:rsidR="00B94630" w:rsidRDefault="000D22DC">
            <w:pPr>
              <w:pStyle w:val="Inne0"/>
            </w:pPr>
            <w:r>
              <w:rPr>
                <w:rStyle w:val="Inne"/>
              </w:rPr>
              <w:t>2 años (otras actividades notariales)</w:t>
            </w:r>
          </w:p>
        </w:tc>
      </w:tr>
      <w:tr w:rsidR="00B94630" w14:paraId="47910BC2" w14:textId="77777777">
        <w:tblPrEx>
          <w:tblCellMar>
            <w:top w:w="0" w:type="dxa"/>
            <w:bottom w:w="0" w:type="dxa"/>
          </w:tblCellMar>
        </w:tblPrEx>
        <w:trPr>
          <w:trHeight w:hRule="exact" w:val="1334"/>
          <w:jc w:val="center"/>
        </w:trPr>
        <w:tc>
          <w:tcPr>
            <w:tcW w:w="2242" w:type="dxa"/>
            <w:tcBorders>
              <w:top w:val="single" w:sz="4" w:space="0" w:color="auto"/>
              <w:left w:val="single" w:sz="4" w:space="0" w:color="auto"/>
              <w:bottom w:val="single" w:sz="4" w:space="0" w:color="auto"/>
            </w:tcBorders>
            <w:shd w:val="clear" w:color="auto" w:fill="auto"/>
            <w:vAlign w:val="center"/>
          </w:tcPr>
          <w:p w14:paraId="48D02569" w14:textId="77777777" w:rsidR="00B94630" w:rsidRDefault="000D22DC">
            <w:pPr>
              <w:pStyle w:val="Inne0"/>
              <w:jc w:val="center"/>
            </w:pPr>
            <w:r>
              <w:rPr>
                <w:rStyle w:val="Inne"/>
                <w:b/>
                <w:bCs/>
              </w:rPr>
              <w:t>Asuntos relativos a la emisión de un documento de viaje temporal</w:t>
            </w:r>
          </w:p>
        </w:tc>
        <w:tc>
          <w:tcPr>
            <w:tcW w:w="4363" w:type="dxa"/>
            <w:tcBorders>
              <w:top w:val="single" w:sz="4" w:space="0" w:color="auto"/>
              <w:left w:val="single" w:sz="4" w:space="0" w:color="auto"/>
              <w:bottom w:val="single" w:sz="4" w:space="0" w:color="auto"/>
            </w:tcBorders>
            <w:shd w:val="clear" w:color="auto" w:fill="auto"/>
          </w:tcPr>
          <w:p w14:paraId="74380602" w14:textId="77777777" w:rsidR="00B94630" w:rsidRDefault="000D22DC">
            <w:pPr>
              <w:pStyle w:val="Inne0"/>
              <w:jc w:val="both"/>
            </w:pPr>
            <w:r>
              <w:rPr>
                <w:rStyle w:val="Inne"/>
              </w:rPr>
              <w:t xml:space="preserve">Decisión de los representantes de los gobiernos de los Estados </w:t>
            </w:r>
            <w:r>
              <w:rPr>
                <w:rStyle w:val="Inne"/>
              </w:rPr>
              <w:t>Miembros, reunidos en el seno del Consejo de 25 de junio de 1996 relativa al establecimiento de un documento provisional de viaje, Ley de 12 de diciembre de 2013 sobre los extranjeros y Ley de 25 de junio de 2015 - Derecho consular</w:t>
            </w:r>
          </w:p>
        </w:tc>
        <w:tc>
          <w:tcPr>
            <w:tcW w:w="6523" w:type="dxa"/>
            <w:tcBorders>
              <w:top w:val="single" w:sz="4" w:space="0" w:color="auto"/>
              <w:left w:val="single" w:sz="4" w:space="0" w:color="auto"/>
              <w:bottom w:val="single" w:sz="4" w:space="0" w:color="auto"/>
            </w:tcBorders>
            <w:shd w:val="clear" w:color="auto" w:fill="auto"/>
            <w:vAlign w:val="center"/>
          </w:tcPr>
          <w:p w14:paraId="244B64E7" w14:textId="77777777" w:rsidR="00B94630" w:rsidRDefault="000D22DC">
            <w:pPr>
              <w:pStyle w:val="Inne0"/>
              <w:jc w:val="both"/>
            </w:pPr>
            <w:r>
              <w:rPr>
                <w:rStyle w:val="Inne"/>
              </w:rPr>
              <w:t xml:space="preserve">Emisión de un documento </w:t>
            </w:r>
            <w:r>
              <w:rPr>
                <w:rStyle w:val="Inne"/>
              </w:rPr>
              <w:t>de viaje temporal o un documento de viaje temporal polaco para un extranjero.</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B6AB43A" w14:textId="77777777" w:rsidR="00B94630" w:rsidRDefault="000D22DC">
            <w:pPr>
              <w:pStyle w:val="Inne0"/>
            </w:pPr>
            <w:r>
              <w:rPr>
                <w:rStyle w:val="Inne"/>
              </w:rPr>
              <w:t>10 años</w:t>
            </w:r>
          </w:p>
        </w:tc>
      </w:tr>
    </w:tbl>
    <w:p w14:paraId="227CE087" w14:textId="77777777" w:rsidR="00B94630" w:rsidRDefault="000D22DC">
      <w:pPr>
        <w:spacing w:line="1" w:lineRule="exact"/>
        <w:rPr>
          <w:sz w:val="2"/>
          <w:szCs w:val="2"/>
        </w:rPr>
      </w:pPr>
      <w:r>
        <w:br w:type="page"/>
      </w:r>
    </w:p>
    <w:tbl>
      <w:tblPr>
        <w:tblOverlap w:val="never"/>
        <w:tblW w:w="16166" w:type="dxa"/>
        <w:jc w:val="center"/>
        <w:tblLayout w:type="fixed"/>
        <w:tblCellMar>
          <w:left w:w="10" w:type="dxa"/>
          <w:right w:w="10" w:type="dxa"/>
        </w:tblCellMar>
        <w:tblLook w:val="0000" w:firstRow="0" w:lastRow="0" w:firstColumn="0" w:lastColumn="0" w:noHBand="0" w:noVBand="0"/>
      </w:tblPr>
      <w:tblGrid>
        <w:gridCol w:w="2242"/>
        <w:gridCol w:w="4363"/>
        <w:gridCol w:w="6523"/>
        <w:gridCol w:w="3038"/>
      </w:tblGrid>
      <w:tr w:rsidR="00B94630" w14:paraId="1AA39CDD" w14:textId="77777777" w:rsidTr="008877F8">
        <w:tblPrEx>
          <w:tblCellMar>
            <w:top w:w="0" w:type="dxa"/>
            <w:bottom w:w="0" w:type="dxa"/>
          </w:tblCellMar>
        </w:tblPrEx>
        <w:trPr>
          <w:trHeight w:hRule="exact" w:val="893"/>
          <w:jc w:val="center"/>
        </w:trPr>
        <w:tc>
          <w:tcPr>
            <w:tcW w:w="2242" w:type="dxa"/>
            <w:tcBorders>
              <w:top w:val="single" w:sz="4" w:space="0" w:color="auto"/>
              <w:left w:val="single" w:sz="4" w:space="0" w:color="auto"/>
            </w:tcBorders>
            <w:shd w:val="clear" w:color="auto" w:fill="auto"/>
            <w:vAlign w:val="center"/>
          </w:tcPr>
          <w:p w14:paraId="2BBE66B9" w14:textId="77777777" w:rsidR="00B94630" w:rsidRDefault="000D22DC">
            <w:pPr>
              <w:pStyle w:val="Inne0"/>
              <w:jc w:val="center"/>
            </w:pPr>
            <w:r>
              <w:rPr>
                <w:rStyle w:val="Inne"/>
                <w:b/>
                <w:bCs/>
              </w:rPr>
              <w:lastRenderedPageBreak/>
              <w:t>Asuntos relativos a la Tarjeta de Polaco</w:t>
            </w:r>
          </w:p>
        </w:tc>
        <w:tc>
          <w:tcPr>
            <w:tcW w:w="4363" w:type="dxa"/>
            <w:tcBorders>
              <w:top w:val="single" w:sz="4" w:space="0" w:color="auto"/>
              <w:left w:val="single" w:sz="4" w:space="0" w:color="auto"/>
            </w:tcBorders>
            <w:shd w:val="clear" w:color="auto" w:fill="auto"/>
            <w:vAlign w:val="center"/>
          </w:tcPr>
          <w:p w14:paraId="42778C37" w14:textId="77777777" w:rsidR="00B94630" w:rsidRDefault="000D22DC">
            <w:pPr>
              <w:pStyle w:val="Inne0"/>
              <w:spacing w:line="233" w:lineRule="auto"/>
              <w:jc w:val="both"/>
            </w:pPr>
            <w:r>
              <w:rPr>
                <w:rStyle w:val="Inne"/>
              </w:rPr>
              <w:t>Ley de 7 de septiembre de 2007 sobre la Tarjeta de Polaco y Ley de 25 de junio de 2015 - Derecho consular</w:t>
            </w:r>
          </w:p>
        </w:tc>
        <w:tc>
          <w:tcPr>
            <w:tcW w:w="6523" w:type="dxa"/>
            <w:tcBorders>
              <w:top w:val="single" w:sz="4" w:space="0" w:color="auto"/>
              <w:left w:val="single" w:sz="4" w:space="0" w:color="auto"/>
            </w:tcBorders>
            <w:shd w:val="clear" w:color="auto" w:fill="auto"/>
            <w:vAlign w:val="center"/>
          </w:tcPr>
          <w:p w14:paraId="7F4AFEFB" w14:textId="77777777" w:rsidR="00B94630" w:rsidRDefault="000D22DC">
            <w:pPr>
              <w:pStyle w:val="Inne0"/>
              <w:jc w:val="both"/>
            </w:pPr>
            <w:r>
              <w:rPr>
                <w:rStyle w:val="Inne"/>
              </w:rPr>
              <w:t xml:space="preserve">Concesión, </w:t>
            </w:r>
            <w:r>
              <w:rPr>
                <w:rStyle w:val="Inne"/>
              </w:rPr>
              <w:t>rechazo de solicitud, anulación o renovación de la Tarjeta de Polaco.</w:t>
            </w:r>
          </w:p>
        </w:tc>
        <w:tc>
          <w:tcPr>
            <w:tcW w:w="3038" w:type="dxa"/>
            <w:tcBorders>
              <w:top w:val="single" w:sz="4" w:space="0" w:color="auto"/>
              <w:left w:val="single" w:sz="4" w:space="0" w:color="auto"/>
              <w:right w:val="single" w:sz="4" w:space="0" w:color="auto"/>
            </w:tcBorders>
            <w:shd w:val="clear" w:color="auto" w:fill="auto"/>
            <w:vAlign w:val="bottom"/>
          </w:tcPr>
          <w:p w14:paraId="7B24DDB0" w14:textId="77777777" w:rsidR="00B94630" w:rsidRDefault="000D22DC">
            <w:pPr>
              <w:pStyle w:val="Inne0"/>
            </w:pPr>
            <w:r>
              <w:rPr>
                <w:rStyle w:val="Inne"/>
              </w:rPr>
              <w:t>10 años</w:t>
            </w:r>
          </w:p>
          <w:p w14:paraId="5059A88A" w14:textId="77777777" w:rsidR="00B94630" w:rsidRDefault="000D22DC">
            <w:pPr>
              <w:pStyle w:val="Inne0"/>
            </w:pPr>
            <w:r>
              <w:rPr>
                <w:rStyle w:val="Inne"/>
              </w:rPr>
              <w:t>2 años en el caso de reportar pérdida, destrucción o hallazgo de la Tarjeta de Polaco</w:t>
            </w:r>
          </w:p>
        </w:tc>
      </w:tr>
      <w:tr w:rsidR="00B94630" w14:paraId="5D760E6E" w14:textId="77777777" w:rsidTr="008877F8">
        <w:tblPrEx>
          <w:tblCellMar>
            <w:top w:w="0" w:type="dxa"/>
            <w:bottom w:w="0" w:type="dxa"/>
          </w:tblCellMar>
        </w:tblPrEx>
        <w:trPr>
          <w:trHeight w:hRule="exact" w:val="350"/>
          <w:jc w:val="center"/>
        </w:trPr>
        <w:tc>
          <w:tcPr>
            <w:tcW w:w="2242" w:type="dxa"/>
            <w:tcBorders>
              <w:top w:val="single" w:sz="4" w:space="0" w:color="auto"/>
              <w:left w:val="single" w:sz="4" w:space="0" w:color="auto"/>
            </w:tcBorders>
            <w:shd w:val="clear" w:color="auto" w:fill="auto"/>
            <w:vAlign w:val="center"/>
          </w:tcPr>
          <w:p w14:paraId="11C57EE3" w14:textId="77777777" w:rsidR="00B94630" w:rsidRDefault="000D22DC">
            <w:pPr>
              <w:pStyle w:val="Inne0"/>
              <w:jc w:val="center"/>
            </w:pPr>
            <w:r>
              <w:rPr>
                <w:rStyle w:val="Inne"/>
                <w:b/>
                <w:bCs/>
              </w:rPr>
              <w:t>Carnés de alumnos</w:t>
            </w:r>
          </w:p>
        </w:tc>
        <w:tc>
          <w:tcPr>
            <w:tcW w:w="4363" w:type="dxa"/>
            <w:tcBorders>
              <w:top w:val="single" w:sz="4" w:space="0" w:color="auto"/>
              <w:left w:val="single" w:sz="4" w:space="0" w:color="auto"/>
            </w:tcBorders>
            <w:shd w:val="clear" w:color="auto" w:fill="auto"/>
            <w:vAlign w:val="center"/>
          </w:tcPr>
          <w:p w14:paraId="60A19192" w14:textId="77777777" w:rsidR="00B94630" w:rsidRDefault="000D22DC">
            <w:pPr>
              <w:pStyle w:val="Inne0"/>
              <w:jc w:val="both"/>
            </w:pPr>
            <w:r>
              <w:rPr>
                <w:rStyle w:val="Inne"/>
              </w:rPr>
              <w:t>Ley de 25 de junio de 2015 - Derecho consular</w:t>
            </w:r>
          </w:p>
        </w:tc>
        <w:tc>
          <w:tcPr>
            <w:tcW w:w="6523" w:type="dxa"/>
            <w:tcBorders>
              <w:top w:val="single" w:sz="4" w:space="0" w:color="auto"/>
              <w:left w:val="single" w:sz="4" w:space="0" w:color="auto"/>
            </w:tcBorders>
            <w:shd w:val="clear" w:color="auto" w:fill="auto"/>
            <w:vAlign w:val="center"/>
          </w:tcPr>
          <w:p w14:paraId="315A7657" w14:textId="77777777" w:rsidR="00B94630" w:rsidRDefault="000D22DC">
            <w:pPr>
              <w:pStyle w:val="Inne0"/>
              <w:jc w:val="both"/>
            </w:pPr>
            <w:r>
              <w:rPr>
                <w:rStyle w:val="Inne"/>
              </w:rPr>
              <w:t xml:space="preserve">Emitir un carné de </w:t>
            </w:r>
            <w:r>
              <w:rPr>
                <w:rStyle w:val="Inne"/>
              </w:rPr>
              <w:t>alumno.</w:t>
            </w:r>
          </w:p>
        </w:tc>
        <w:tc>
          <w:tcPr>
            <w:tcW w:w="3038" w:type="dxa"/>
            <w:tcBorders>
              <w:top w:val="single" w:sz="4" w:space="0" w:color="auto"/>
              <w:left w:val="single" w:sz="4" w:space="0" w:color="auto"/>
              <w:right w:val="single" w:sz="4" w:space="0" w:color="auto"/>
            </w:tcBorders>
            <w:shd w:val="clear" w:color="auto" w:fill="auto"/>
            <w:vAlign w:val="center"/>
          </w:tcPr>
          <w:p w14:paraId="767ABB72" w14:textId="77777777" w:rsidR="00B94630" w:rsidRDefault="000D22DC">
            <w:pPr>
              <w:pStyle w:val="Inne0"/>
            </w:pPr>
            <w:r>
              <w:rPr>
                <w:rStyle w:val="Inne"/>
              </w:rPr>
              <w:t>5 años</w:t>
            </w:r>
          </w:p>
        </w:tc>
      </w:tr>
      <w:tr w:rsidR="008877F8" w14:paraId="666DF0E9" w14:textId="77777777" w:rsidTr="008877F8">
        <w:tblPrEx>
          <w:tblCellMar>
            <w:top w:w="0" w:type="dxa"/>
            <w:bottom w:w="0" w:type="dxa"/>
          </w:tblCellMar>
        </w:tblPrEx>
        <w:trPr>
          <w:trHeight w:hRule="exact" w:val="1183"/>
          <w:jc w:val="center"/>
        </w:trPr>
        <w:tc>
          <w:tcPr>
            <w:tcW w:w="2242" w:type="dxa"/>
            <w:tcBorders>
              <w:top w:val="single" w:sz="4" w:space="0" w:color="auto"/>
              <w:left w:val="single" w:sz="4" w:space="0" w:color="auto"/>
            </w:tcBorders>
            <w:shd w:val="clear" w:color="auto" w:fill="auto"/>
            <w:vAlign w:val="bottom"/>
          </w:tcPr>
          <w:p w14:paraId="0A14F782" w14:textId="77777777" w:rsidR="008877F8" w:rsidRPr="008877F8" w:rsidRDefault="008877F8" w:rsidP="008877F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eastAsia="Times New Roman" w:hAnsiTheme="minorHAnsi" w:cstheme="minorHAnsi"/>
                <w:b/>
                <w:bCs/>
                <w:color w:val="1F1F1F"/>
                <w:sz w:val="18"/>
                <w:szCs w:val="18"/>
                <w:lang w:eastAsia="pl-PL" w:bidi="ar-SA"/>
              </w:rPr>
            </w:pPr>
            <w:r w:rsidRPr="008877F8">
              <w:rPr>
                <w:rFonts w:asciiTheme="minorHAnsi" w:eastAsia="Times New Roman" w:hAnsiTheme="minorHAnsi" w:cstheme="minorHAnsi"/>
                <w:b/>
                <w:bCs/>
                <w:color w:val="1F1F1F"/>
                <w:sz w:val="18"/>
                <w:szCs w:val="18"/>
                <w:lang w:eastAsia="pl-PL" w:bidi="ar-SA"/>
              </w:rPr>
              <w:t>Certificado emitido de conformidad con el art. sección 11aa 4</w:t>
            </w:r>
          </w:p>
          <w:p w14:paraId="0A00BA0F" w14:textId="68ED3A17" w:rsidR="008877F8" w:rsidRPr="008877F8" w:rsidRDefault="008877F8" w:rsidP="008877F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Inne"/>
                <w:rFonts w:asciiTheme="minorHAnsi" w:eastAsia="Times New Roman" w:hAnsiTheme="minorHAnsi" w:cstheme="minorHAnsi"/>
                <w:b/>
                <w:bCs/>
                <w:color w:val="1F1F1F"/>
                <w:lang w:val="es-AR" w:eastAsia="pl-PL" w:bidi="ar-SA"/>
              </w:rPr>
            </w:pPr>
            <w:r w:rsidRPr="008877F8">
              <w:rPr>
                <w:rFonts w:asciiTheme="minorHAnsi" w:eastAsia="Times New Roman" w:hAnsiTheme="minorHAnsi" w:cstheme="minorHAnsi"/>
                <w:b/>
                <w:bCs/>
                <w:color w:val="1F1F1F"/>
                <w:sz w:val="18"/>
                <w:szCs w:val="18"/>
                <w:lang w:eastAsia="pl-PL" w:bidi="ar-SA"/>
              </w:rPr>
              <w:t>Ley de 7 de octubre de 1999 sobre la lengua polaca</w:t>
            </w:r>
          </w:p>
        </w:tc>
        <w:tc>
          <w:tcPr>
            <w:tcW w:w="4363" w:type="dxa"/>
            <w:tcBorders>
              <w:top w:val="single" w:sz="4" w:space="0" w:color="auto"/>
              <w:left w:val="single" w:sz="4" w:space="0" w:color="auto"/>
            </w:tcBorders>
            <w:shd w:val="clear" w:color="auto" w:fill="auto"/>
            <w:vAlign w:val="center"/>
          </w:tcPr>
          <w:p w14:paraId="58EE8C91" w14:textId="536EB778" w:rsidR="008877F8" w:rsidRDefault="008877F8" w:rsidP="008877F8">
            <w:pPr>
              <w:pStyle w:val="Inne0"/>
              <w:jc w:val="both"/>
              <w:rPr>
                <w:rStyle w:val="Inne"/>
              </w:rPr>
            </w:pPr>
            <w:r>
              <w:rPr>
                <w:rStyle w:val="Inne"/>
              </w:rPr>
              <w:t>Ley de 7 de octubre de 1999 – lengua polaca</w:t>
            </w:r>
          </w:p>
        </w:tc>
        <w:tc>
          <w:tcPr>
            <w:tcW w:w="6523" w:type="dxa"/>
            <w:tcBorders>
              <w:top w:val="single" w:sz="4" w:space="0" w:color="auto"/>
              <w:left w:val="single" w:sz="4" w:space="0" w:color="auto"/>
            </w:tcBorders>
            <w:shd w:val="clear" w:color="auto" w:fill="auto"/>
            <w:vAlign w:val="center"/>
          </w:tcPr>
          <w:p w14:paraId="52937C94" w14:textId="114737ED" w:rsidR="008877F8" w:rsidRPr="008877F8" w:rsidRDefault="008877F8" w:rsidP="008877F8">
            <w:pPr>
              <w:pStyle w:val="Inne0"/>
              <w:jc w:val="both"/>
              <w:rPr>
                <w:rStyle w:val="Inne"/>
                <w:lang w:val="es-AR"/>
              </w:rPr>
            </w:pPr>
            <w:r w:rsidRPr="008877F8">
              <w:t>Expedición de un certificado de diáspora polaca.</w:t>
            </w:r>
          </w:p>
        </w:tc>
        <w:tc>
          <w:tcPr>
            <w:tcW w:w="3038" w:type="dxa"/>
            <w:tcBorders>
              <w:top w:val="single" w:sz="4" w:space="0" w:color="auto"/>
              <w:left w:val="single" w:sz="4" w:space="0" w:color="auto"/>
              <w:right w:val="single" w:sz="4" w:space="0" w:color="auto"/>
            </w:tcBorders>
            <w:shd w:val="clear" w:color="auto" w:fill="auto"/>
            <w:vAlign w:val="center"/>
          </w:tcPr>
          <w:p w14:paraId="7F1F14CD" w14:textId="4BDE9EE7" w:rsidR="008877F8" w:rsidRDefault="008877F8" w:rsidP="008877F8">
            <w:pPr>
              <w:pStyle w:val="Inne0"/>
              <w:rPr>
                <w:rStyle w:val="Inne"/>
              </w:rPr>
            </w:pPr>
            <w:r>
              <w:rPr>
                <w:rStyle w:val="Inne"/>
              </w:rPr>
              <w:t>5 años</w:t>
            </w:r>
          </w:p>
        </w:tc>
      </w:tr>
      <w:tr w:rsidR="008877F8" w14:paraId="69FC2EC2" w14:textId="77777777" w:rsidTr="008877F8">
        <w:tblPrEx>
          <w:tblCellMar>
            <w:top w:w="0" w:type="dxa"/>
            <w:bottom w:w="0" w:type="dxa"/>
          </w:tblCellMar>
        </w:tblPrEx>
        <w:trPr>
          <w:trHeight w:hRule="exact" w:val="1109"/>
          <w:jc w:val="center"/>
        </w:trPr>
        <w:tc>
          <w:tcPr>
            <w:tcW w:w="2242" w:type="dxa"/>
            <w:tcBorders>
              <w:top w:val="single" w:sz="4" w:space="0" w:color="auto"/>
              <w:left w:val="single" w:sz="4" w:space="0" w:color="auto"/>
            </w:tcBorders>
            <w:shd w:val="clear" w:color="auto" w:fill="auto"/>
            <w:vAlign w:val="bottom"/>
          </w:tcPr>
          <w:p w14:paraId="15148248" w14:textId="77777777" w:rsidR="008877F8" w:rsidRDefault="008877F8" w:rsidP="008877F8">
            <w:pPr>
              <w:pStyle w:val="Inne0"/>
              <w:jc w:val="center"/>
            </w:pPr>
            <w:r>
              <w:rPr>
                <w:rStyle w:val="Inne"/>
                <w:b/>
                <w:bCs/>
              </w:rPr>
              <w:t>Asuntos relativos a la legalización de documentos y la obtención de documentos en el extranjero</w:t>
            </w:r>
          </w:p>
        </w:tc>
        <w:tc>
          <w:tcPr>
            <w:tcW w:w="4363" w:type="dxa"/>
            <w:tcBorders>
              <w:top w:val="single" w:sz="4" w:space="0" w:color="auto"/>
              <w:left w:val="single" w:sz="4" w:space="0" w:color="auto"/>
            </w:tcBorders>
            <w:shd w:val="clear" w:color="auto" w:fill="auto"/>
            <w:vAlign w:val="center"/>
          </w:tcPr>
          <w:p w14:paraId="4ED6C259" w14:textId="77777777" w:rsidR="008877F8" w:rsidRDefault="008877F8" w:rsidP="008877F8">
            <w:pPr>
              <w:pStyle w:val="Inne0"/>
              <w:jc w:val="both"/>
            </w:pPr>
            <w:r>
              <w:rPr>
                <w:rStyle w:val="Inne"/>
              </w:rPr>
              <w:t>Ley de 25 de junio de 2015 - Derecho consular</w:t>
            </w:r>
          </w:p>
        </w:tc>
        <w:tc>
          <w:tcPr>
            <w:tcW w:w="6523" w:type="dxa"/>
            <w:tcBorders>
              <w:top w:val="single" w:sz="4" w:space="0" w:color="auto"/>
              <w:left w:val="single" w:sz="4" w:space="0" w:color="auto"/>
            </w:tcBorders>
            <w:shd w:val="clear" w:color="auto" w:fill="auto"/>
            <w:vAlign w:val="center"/>
          </w:tcPr>
          <w:p w14:paraId="1FEAA108" w14:textId="77777777" w:rsidR="008877F8" w:rsidRDefault="008877F8" w:rsidP="008877F8">
            <w:pPr>
              <w:pStyle w:val="Inne0"/>
              <w:jc w:val="both"/>
            </w:pPr>
            <w:r>
              <w:rPr>
                <w:rStyle w:val="Inne"/>
              </w:rPr>
              <w:t>Legalización de un documento oficial elaborado o compulsado en el país anfitrión.</w:t>
            </w:r>
          </w:p>
        </w:tc>
        <w:tc>
          <w:tcPr>
            <w:tcW w:w="3038" w:type="dxa"/>
            <w:tcBorders>
              <w:top w:val="single" w:sz="4" w:space="0" w:color="auto"/>
              <w:left w:val="single" w:sz="4" w:space="0" w:color="auto"/>
              <w:right w:val="single" w:sz="4" w:space="0" w:color="auto"/>
            </w:tcBorders>
            <w:shd w:val="clear" w:color="auto" w:fill="auto"/>
            <w:vAlign w:val="center"/>
          </w:tcPr>
          <w:p w14:paraId="07307B70" w14:textId="77777777" w:rsidR="008877F8" w:rsidRDefault="008877F8" w:rsidP="008877F8">
            <w:pPr>
              <w:pStyle w:val="Inne0"/>
            </w:pPr>
            <w:r>
              <w:rPr>
                <w:rStyle w:val="Inne"/>
              </w:rPr>
              <w:t>2 años</w:t>
            </w:r>
          </w:p>
        </w:tc>
      </w:tr>
      <w:tr w:rsidR="008877F8" w14:paraId="3F3B4E66" w14:textId="77777777" w:rsidTr="008877F8">
        <w:tblPrEx>
          <w:tblCellMar>
            <w:top w:w="0" w:type="dxa"/>
            <w:bottom w:w="0" w:type="dxa"/>
          </w:tblCellMar>
        </w:tblPrEx>
        <w:trPr>
          <w:trHeight w:hRule="exact" w:val="1325"/>
          <w:jc w:val="center"/>
        </w:trPr>
        <w:tc>
          <w:tcPr>
            <w:tcW w:w="2242" w:type="dxa"/>
            <w:tcBorders>
              <w:top w:val="single" w:sz="4" w:space="0" w:color="auto"/>
              <w:left w:val="single" w:sz="4" w:space="0" w:color="auto"/>
            </w:tcBorders>
            <w:shd w:val="clear" w:color="auto" w:fill="auto"/>
            <w:vAlign w:val="center"/>
          </w:tcPr>
          <w:p w14:paraId="0A9AB5BA" w14:textId="77777777" w:rsidR="008877F8" w:rsidRDefault="008877F8" w:rsidP="008877F8">
            <w:pPr>
              <w:pStyle w:val="Inne0"/>
              <w:spacing w:line="233" w:lineRule="auto"/>
              <w:jc w:val="center"/>
            </w:pPr>
            <w:r>
              <w:rPr>
                <w:rStyle w:val="Inne"/>
                <w:b/>
                <w:bCs/>
              </w:rPr>
              <w:t>Asuntos relativos al tráfico fronterizo menor</w:t>
            </w:r>
          </w:p>
        </w:tc>
        <w:tc>
          <w:tcPr>
            <w:tcW w:w="4363" w:type="dxa"/>
            <w:tcBorders>
              <w:top w:val="single" w:sz="4" w:space="0" w:color="auto"/>
              <w:left w:val="single" w:sz="4" w:space="0" w:color="auto"/>
            </w:tcBorders>
            <w:shd w:val="clear" w:color="auto" w:fill="auto"/>
            <w:vAlign w:val="bottom"/>
          </w:tcPr>
          <w:p w14:paraId="6C3A4D9A" w14:textId="77777777" w:rsidR="008877F8" w:rsidRDefault="008877F8" w:rsidP="008877F8">
            <w:pPr>
              <w:pStyle w:val="Inne0"/>
              <w:jc w:val="both"/>
            </w:pPr>
            <w:r>
              <w:rPr>
                <w:rStyle w:val="Inne"/>
              </w:rPr>
              <w:t>Reglamento 1931/2006 del Parlamento Europeo y del Consejo por el que se establecen normas relativas al tráfico fronterizo menor en las fronteras terrestres exteriores de los Estados miembros y por el que se modifican las disposiciones del Convenio de Schengen y Ley de 25 de junio de 2015 - Derecho consular</w:t>
            </w:r>
          </w:p>
        </w:tc>
        <w:tc>
          <w:tcPr>
            <w:tcW w:w="6523" w:type="dxa"/>
            <w:tcBorders>
              <w:top w:val="single" w:sz="4" w:space="0" w:color="auto"/>
              <w:left w:val="single" w:sz="4" w:space="0" w:color="auto"/>
            </w:tcBorders>
            <w:shd w:val="clear" w:color="auto" w:fill="auto"/>
            <w:vAlign w:val="center"/>
          </w:tcPr>
          <w:p w14:paraId="13BFED28" w14:textId="77777777" w:rsidR="008877F8" w:rsidRDefault="008877F8" w:rsidP="008877F8">
            <w:pPr>
              <w:pStyle w:val="Inne0"/>
              <w:jc w:val="both"/>
            </w:pPr>
            <w:r>
              <w:rPr>
                <w:rStyle w:val="Inne"/>
              </w:rPr>
              <w:t>Emisión, denegación de emisión, cancelación del permiso para cruzar la frontera en el marco del tráfico fronterizo menor.</w:t>
            </w:r>
          </w:p>
        </w:tc>
        <w:tc>
          <w:tcPr>
            <w:tcW w:w="3038" w:type="dxa"/>
            <w:tcBorders>
              <w:top w:val="single" w:sz="4" w:space="0" w:color="auto"/>
              <w:left w:val="single" w:sz="4" w:space="0" w:color="auto"/>
              <w:right w:val="single" w:sz="4" w:space="0" w:color="auto"/>
            </w:tcBorders>
            <w:shd w:val="clear" w:color="auto" w:fill="auto"/>
            <w:vAlign w:val="center"/>
          </w:tcPr>
          <w:p w14:paraId="44F9D3B3" w14:textId="77777777" w:rsidR="008877F8" w:rsidRDefault="008877F8" w:rsidP="008877F8">
            <w:pPr>
              <w:pStyle w:val="Inne0"/>
            </w:pPr>
            <w:r>
              <w:rPr>
                <w:rStyle w:val="Inne"/>
              </w:rPr>
              <w:t>2 años</w:t>
            </w:r>
          </w:p>
        </w:tc>
      </w:tr>
      <w:tr w:rsidR="008877F8" w14:paraId="329A8D5D" w14:textId="77777777" w:rsidTr="008877F8">
        <w:tblPrEx>
          <w:tblCellMar>
            <w:top w:w="0" w:type="dxa"/>
            <w:bottom w:w="0" w:type="dxa"/>
          </w:tblCellMar>
        </w:tblPrEx>
        <w:trPr>
          <w:trHeight w:hRule="exact" w:val="672"/>
          <w:jc w:val="center"/>
        </w:trPr>
        <w:tc>
          <w:tcPr>
            <w:tcW w:w="2242" w:type="dxa"/>
            <w:tcBorders>
              <w:top w:val="single" w:sz="4" w:space="0" w:color="auto"/>
              <w:left w:val="single" w:sz="4" w:space="0" w:color="auto"/>
            </w:tcBorders>
            <w:shd w:val="clear" w:color="auto" w:fill="auto"/>
            <w:vAlign w:val="center"/>
          </w:tcPr>
          <w:p w14:paraId="613B66C2" w14:textId="77777777" w:rsidR="008877F8" w:rsidRDefault="008877F8" w:rsidP="008877F8">
            <w:pPr>
              <w:pStyle w:val="Inne0"/>
              <w:jc w:val="center"/>
            </w:pPr>
            <w:r>
              <w:rPr>
                <w:rStyle w:val="Inne"/>
                <w:b/>
                <w:bCs/>
              </w:rPr>
              <w:t>Asuntos de pasaporte</w:t>
            </w:r>
          </w:p>
        </w:tc>
        <w:tc>
          <w:tcPr>
            <w:tcW w:w="4363" w:type="dxa"/>
            <w:tcBorders>
              <w:top w:val="single" w:sz="4" w:space="0" w:color="auto"/>
              <w:left w:val="single" w:sz="4" w:space="0" w:color="auto"/>
            </w:tcBorders>
            <w:shd w:val="clear" w:color="auto" w:fill="auto"/>
          </w:tcPr>
          <w:p w14:paraId="3EE21A29" w14:textId="5EE2B98F" w:rsidR="008877F8" w:rsidRDefault="008877F8" w:rsidP="008877F8">
            <w:pPr>
              <w:pStyle w:val="Inne0"/>
              <w:jc w:val="both"/>
            </w:pPr>
            <w:r>
              <w:rPr>
                <w:rStyle w:val="Inne"/>
              </w:rPr>
              <w:t>Ley de 27 de enero de 2022 sobre los documentos de pasaporte y Ley de 25 de junio de 2015 - Derecho consular</w:t>
            </w:r>
          </w:p>
        </w:tc>
        <w:tc>
          <w:tcPr>
            <w:tcW w:w="6523" w:type="dxa"/>
            <w:tcBorders>
              <w:top w:val="single" w:sz="4" w:space="0" w:color="auto"/>
              <w:left w:val="single" w:sz="4" w:space="0" w:color="auto"/>
            </w:tcBorders>
            <w:shd w:val="clear" w:color="auto" w:fill="auto"/>
          </w:tcPr>
          <w:p w14:paraId="03127023" w14:textId="61256E83" w:rsidR="008877F8" w:rsidRPr="008877F8" w:rsidRDefault="008877F8" w:rsidP="008877F8">
            <w:pPr>
              <w:pStyle w:val="Inne0"/>
              <w:jc w:val="both"/>
              <w:rPr>
                <w:lang w:val="es-AR"/>
              </w:rPr>
            </w:pPr>
            <w:r>
              <w:rPr>
                <w:rStyle w:val="Inne"/>
              </w:rPr>
              <w:t xml:space="preserve">Emisión de un pasaporte, notificación de la pérdida, destrucción, denegación de emisión </w:t>
            </w:r>
            <w:r w:rsidRPr="008877F8">
              <w:t>declaración de nulidad</w:t>
            </w:r>
            <w:r>
              <w:rPr>
                <w:lang w:val="es-AR"/>
              </w:rPr>
              <w:t xml:space="preserve"> </w:t>
            </w:r>
            <w:r>
              <w:rPr>
                <w:rStyle w:val="Inne"/>
              </w:rPr>
              <w:t>y cancelación de un pasaporte.</w:t>
            </w:r>
          </w:p>
        </w:tc>
        <w:tc>
          <w:tcPr>
            <w:tcW w:w="3038" w:type="dxa"/>
            <w:tcBorders>
              <w:top w:val="single" w:sz="4" w:space="0" w:color="auto"/>
              <w:left w:val="single" w:sz="4" w:space="0" w:color="auto"/>
              <w:right w:val="single" w:sz="4" w:space="0" w:color="auto"/>
            </w:tcBorders>
            <w:shd w:val="clear" w:color="auto" w:fill="auto"/>
            <w:vAlign w:val="center"/>
          </w:tcPr>
          <w:p w14:paraId="7564AF00" w14:textId="77777777" w:rsidR="008877F8" w:rsidRDefault="008877F8" w:rsidP="008877F8">
            <w:pPr>
              <w:pStyle w:val="Inne0"/>
            </w:pPr>
            <w:r>
              <w:rPr>
                <w:rStyle w:val="Inne"/>
              </w:rPr>
              <w:t>60 años si se expide un pasaporte, en otros casos, 10 años.</w:t>
            </w:r>
          </w:p>
        </w:tc>
      </w:tr>
      <w:tr w:rsidR="008877F8" w14:paraId="3C320361" w14:textId="77777777" w:rsidTr="008877F8">
        <w:tblPrEx>
          <w:tblCellMar>
            <w:top w:w="0" w:type="dxa"/>
            <w:bottom w:w="0" w:type="dxa"/>
          </w:tblCellMar>
        </w:tblPrEx>
        <w:trPr>
          <w:trHeight w:hRule="exact" w:val="446"/>
          <w:jc w:val="center"/>
        </w:trPr>
        <w:tc>
          <w:tcPr>
            <w:tcW w:w="2242" w:type="dxa"/>
            <w:tcBorders>
              <w:top w:val="single" w:sz="4" w:space="0" w:color="auto"/>
              <w:left w:val="single" w:sz="4" w:space="0" w:color="auto"/>
            </w:tcBorders>
            <w:shd w:val="clear" w:color="auto" w:fill="auto"/>
            <w:vAlign w:val="bottom"/>
          </w:tcPr>
          <w:p w14:paraId="6E2DE4A6" w14:textId="77777777" w:rsidR="008877F8" w:rsidRDefault="008877F8" w:rsidP="008877F8">
            <w:pPr>
              <w:pStyle w:val="Inne0"/>
              <w:spacing w:line="228" w:lineRule="auto"/>
              <w:jc w:val="center"/>
            </w:pPr>
            <w:r>
              <w:rPr>
                <w:rStyle w:val="Inne"/>
                <w:b/>
                <w:bCs/>
              </w:rPr>
              <w:t>Asuntos relativos a la repatriación</w:t>
            </w:r>
          </w:p>
        </w:tc>
        <w:tc>
          <w:tcPr>
            <w:tcW w:w="4363" w:type="dxa"/>
            <w:tcBorders>
              <w:top w:val="single" w:sz="4" w:space="0" w:color="auto"/>
              <w:left w:val="single" w:sz="4" w:space="0" w:color="auto"/>
            </w:tcBorders>
            <w:shd w:val="clear" w:color="auto" w:fill="auto"/>
            <w:vAlign w:val="bottom"/>
          </w:tcPr>
          <w:p w14:paraId="71A9B986" w14:textId="77777777" w:rsidR="008877F8" w:rsidRDefault="008877F8" w:rsidP="008877F8">
            <w:pPr>
              <w:pStyle w:val="Inne0"/>
              <w:spacing w:line="233" w:lineRule="auto"/>
              <w:jc w:val="both"/>
            </w:pPr>
            <w:r>
              <w:rPr>
                <w:rStyle w:val="Inne"/>
              </w:rPr>
              <w:t>Ley de 7 de septiembre de 2007 sobre repatriación y Ley de 25 de junio de 2015 - Derecho consular</w:t>
            </w:r>
          </w:p>
        </w:tc>
        <w:tc>
          <w:tcPr>
            <w:tcW w:w="6523" w:type="dxa"/>
            <w:tcBorders>
              <w:top w:val="single" w:sz="4" w:space="0" w:color="auto"/>
              <w:left w:val="single" w:sz="4" w:space="0" w:color="auto"/>
            </w:tcBorders>
            <w:shd w:val="clear" w:color="auto" w:fill="auto"/>
            <w:vAlign w:val="bottom"/>
          </w:tcPr>
          <w:p w14:paraId="173F4863" w14:textId="77777777" w:rsidR="008877F8" w:rsidRDefault="008877F8" w:rsidP="008877F8">
            <w:pPr>
              <w:pStyle w:val="Inne0"/>
              <w:spacing w:line="233" w:lineRule="auto"/>
              <w:jc w:val="both"/>
            </w:pPr>
            <w:r>
              <w:rPr>
                <w:rStyle w:val="Inne"/>
              </w:rPr>
              <w:t>Reconocimiento como persona de origen polaco, otorgamiento de un visado de repatriación, asistencia a repatriados con cargo al presupuesto estatal.</w:t>
            </w:r>
          </w:p>
        </w:tc>
        <w:tc>
          <w:tcPr>
            <w:tcW w:w="3038" w:type="dxa"/>
            <w:tcBorders>
              <w:top w:val="single" w:sz="4" w:space="0" w:color="auto"/>
              <w:left w:val="single" w:sz="4" w:space="0" w:color="auto"/>
              <w:right w:val="single" w:sz="4" w:space="0" w:color="auto"/>
            </w:tcBorders>
            <w:shd w:val="clear" w:color="auto" w:fill="auto"/>
            <w:vAlign w:val="center"/>
          </w:tcPr>
          <w:p w14:paraId="71C8B76F" w14:textId="77777777" w:rsidR="008877F8" w:rsidRDefault="008877F8" w:rsidP="008877F8">
            <w:pPr>
              <w:pStyle w:val="Inne0"/>
            </w:pPr>
            <w:r>
              <w:rPr>
                <w:rStyle w:val="Inne"/>
              </w:rPr>
              <w:t>25 años</w:t>
            </w:r>
          </w:p>
        </w:tc>
      </w:tr>
      <w:tr w:rsidR="008877F8" w14:paraId="180DC740" w14:textId="77777777" w:rsidTr="008877F8">
        <w:tblPrEx>
          <w:tblCellMar>
            <w:top w:w="0" w:type="dxa"/>
            <w:bottom w:w="0" w:type="dxa"/>
          </w:tblCellMar>
        </w:tblPrEx>
        <w:trPr>
          <w:trHeight w:hRule="exact" w:val="451"/>
          <w:jc w:val="center"/>
        </w:trPr>
        <w:tc>
          <w:tcPr>
            <w:tcW w:w="2242" w:type="dxa"/>
            <w:tcBorders>
              <w:top w:val="single" w:sz="4" w:space="0" w:color="auto"/>
              <w:left w:val="single" w:sz="4" w:space="0" w:color="auto"/>
            </w:tcBorders>
            <w:shd w:val="clear" w:color="auto" w:fill="auto"/>
            <w:vAlign w:val="bottom"/>
          </w:tcPr>
          <w:p w14:paraId="65B862FF" w14:textId="77777777" w:rsidR="008877F8" w:rsidRDefault="008877F8" w:rsidP="008877F8">
            <w:pPr>
              <w:pStyle w:val="Inne0"/>
              <w:jc w:val="center"/>
            </w:pPr>
            <w:r>
              <w:rPr>
                <w:rStyle w:val="Inne"/>
                <w:b/>
                <w:bCs/>
              </w:rPr>
              <w:t>Asuntos relativos a herencias</w:t>
            </w:r>
          </w:p>
        </w:tc>
        <w:tc>
          <w:tcPr>
            <w:tcW w:w="4363" w:type="dxa"/>
            <w:tcBorders>
              <w:top w:val="single" w:sz="4" w:space="0" w:color="auto"/>
              <w:left w:val="single" w:sz="4" w:space="0" w:color="auto"/>
            </w:tcBorders>
            <w:shd w:val="clear" w:color="auto" w:fill="auto"/>
            <w:vAlign w:val="center"/>
          </w:tcPr>
          <w:p w14:paraId="6DBACAC4" w14:textId="77777777" w:rsidR="008877F8" w:rsidRDefault="008877F8" w:rsidP="008877F8">
            <w:pPr>
              <w:pStyle w:val="Inne0"/>
              <w:jc w:val="both"/>
            </w:pPr>
            <w:r>
              <w:rPr>
                <w:rStyle w:val="Inne"/>
              </w:rPr>
              <w:t>Ley de 25 de junio de 2015 - Derecho consular</w:t>
            </w:r>
          </w:p>
        </w:tc>
        <w:tc>
          <w:tcPr>
            <w:tcW w:w="6523" w:type="dxa"/>
            <w:tcBorders>
              <w:top w:val="single" w:sz="4" w:space="0" w:color="auto"/>
              <w:left w:val="single" w:sz="4" w:space="0" w:color="auto"/>
            </w:tcBorders>
            <w:shd w:val="clear" w:color="auto" w:fill="auto"/>
            <w:vAlign w:val="bottom"/>
          </w:tcPr>
          <w:p w14:paraId="3201C441" w14:textId="0EB96184" w:rsidR="008877F8" w:rsidRDefault="008877F8" w:rsidP="008877F8">
            <w:pPr>
              <w:pStyle w:val="Inne0"/>
              <w:jc w:val="both"/>
            </w:pPr>
            <w:r>
              <w:rPr>
                <w:rStyle w:val="Inne"/>
              </w:rPr>
              <w:t>La ejecución de los derechos de herencia correspondientes a la Tesorería del Estado</w:t>
            </w:r>
          </w:p>
        </w:tc>
        <w:tc>
          <w:tcPr>
            <w:tcW w:w="3038" w:type="dxa"/>
            <w:tcBorders>
              <w:top w:val="single" w:sz="4" w:space="0" w:color="auto"/>
              <w:left w:val="single" w:sz="4" w:space="0" w:color="auto"/>
              <w:right w:val="single" w:sz="4" w:space="0" w:color="auto"/>
            </w:tcBorders>
            <w:shd w:val="clear" w:color="auto" w:fill="auto"/>
            <w:vAlign w:val="center"/>
          </w:tcPr>
          <w:p w14:paraId="08D2BF9E" w14:textId="77777777" w:rsidR="008877F8" w:rsidRDefault="008877F8" w:rsidP="008877F8">
            <w:pPr>
              <w:pStyle w:val="Inne0"/>
            </w:pPr>
            <w:r>
              <w:rPr>
                <w:rStyle w:val="Inne"/>
              </w:rPr>
              <w:t>Sin límite de tiempo</w:t>
            </w:r>
          </w:p>
        </w:tc>
      </w:tr>
      <w:tr w:rsidR="008877F8" w14:paraId="1A56F013" w14:textId="77777777" w:rsidTr="008877F8">
        <w:tblPrEx>
          <w:tblCellMar>
            <w:top w:w="0" w:type="dxa"/>
            <w:bottom w:w="0" w:type="dxa"/>
          </w:tblCellMar>
        </w:tblPrEx>
        <w:trPr>
          <w:trHeight w:hRule="exact" w:val="1766"/>
          <w:jc w:val="center"/>
        </w:trPr>
        <w:tc>
          <w:tcPr>
            <w:tcW w:w="2242" w:type="dxa"/>
            <w:tcBorders>
              <w:top w:val="single" w:sz="4" w:space="0" w:color="auto"/>
              <w:left w:val="single" w:sz="4" w:space="0" w:color="auto"/>
            </w:tcBorders>
            <w:shd w:val="clear" w:color="auto" w:fill="auto"/>
            <w:vAlign w:val="center"/>
          </w:tcPr>
          <w:p w14:paraId="63A1943A" w14:textId="77777777" w:rsidR="008877F8" w:rsidRDefault="008877F8" w:rsidP="008877F8">
            <w:pPr>
              <w:pStyle w:val="Inne0"/>
              <w:jc w:val="center"/>
            </w:pPr>
            <w:r>
              <w:rPr>
                <w:rStyle w:val="Inne"/>
                <w:b/>
                <w:bCs/>
              </w:rPr>
              <w:t>Asuntos relativos a la ciudadanía polaca</w:t>
            </w:r>
          </w:p>
        </w:tc>
        <w:tc>
          <w:tcPr>
            <w:tcW w:w="4363" w:type="dxa"/>
            <w:tcBorders>
              <w:top w:val="single" w:sz="4" w:space="0" w:color="auto"/>
              <w:left w:val="single" w:sz="4" w:space="0" w:color="auto"/>
            </w:tcBorders>
            <w:shd w:val="clear" w:color="auto" w:fill="auto"/>
            <w:vAlign w:val="center"/>
          </w:tcPr>
          <w:p w14:paraId="48C054D4" w14:textId="77777777" w:rsidR="008877F8" w:rsidRDefault="008877F8" w:rsidP="008877F8">
            <w:pPr>
              <w:pStyle w:val="Inne0"/>
              <w:jc w:val="both"/>
            </w:pPr>
            <w:r>
              <w:rPr>
                <w:rStyle w:val="Inne"/>
              </w:rPr>
              <w:t>Ley de 2 de abril de 2009 sobre la ciudadanía polaca y Ley de 25 de junio de 2015 - Derecho consular</w:t>
            </w:r>
          </w:p>
        </w:tc>
        <w:tc>
          <w:tcPr>
            <w:tcW w:w="6523" w:type="dxa"/>
            <w:tcBorders>
              <w:top w:val="single" w:sz="4" w:space="0" w:color="auto"/>
              <w:left w:val="single" w:sz="4" w:space="0" w:color="auto"/>
            </w:tcBorders>
            <w:shd w:val="clear" w:color="auto" w:fill="auto"/>
            <w:vAlign w:val="center"/>
          </w:tcPr>
          <w:p w14:paraId="1583281A" w14:textId="77777777" w:rsidR="008877F8" w:rsidRDefault="008877F8" w:rsidP="008877F8">
            <w:pPr>
              <w:pStyle w:val="Inne0"/>
              <w:jc w:val="both"/>
            </w:pPr>
            <w:r>
              <w:rPr>
                <w:rStyle w:val="Inne"/>
              </w:rPr>
              <w:t>Respuesta a la solicitud de: otorgamiento de la ciudadanía polaca por el Presidente de la República de Polonia, consentimiento del Presidente de la República de Polonia para renunciar a la ciudadanía polaca, restauración de la ciudadanía polaca, confirmación de la ciudadanía polaca, aceptación de una declaración de consentimiento para la adquisición de la ciudadanía polaca, renuncia a la ciudadanía polaca, reconocimiento como ciudadano polaco.</w:t>
            </w:r>
          </w:p>
        </w:tc>
        <w:tc>
          <w:tcPr>
            <w:tcW w:w="3038" w:type="dxa"/>
            <w:tcBorders>
              <w:top w:val="single" w:sz="4" w:space="0" w:color="auto"/>
              <w:left w:val="single" w:sz="4" w:space="0" w:color="auto"/>
              <w:right w:val="single" w:sz="4" w:space="0" w:color="auto"/>
            </w:tcBorders>
            <w:shd w:val="clear" w:color="auto" w:fill="auto"/>
            <w:vAlign w:val="bottom"/>
          </w:tcPr>
          <w:p w14:paraId="63A6342D" w14:textId="117EBAD8" w:rsidR="008877F8" w:rsidRDefault="008877F8" w:rsidP="008877F8">
            <w:pPr>
              <w:pStyle w:val="Inne0"/>
            </w:pPr>
            <w:r>
              <w:rPr>
                <w:rStyle w:val="Inne"/>
              </w:rPr>
              <w:t>20 años (en lo relativo al reconocimiento de la ciudadanía, adquisición, concesión, restauración de la ciudadanía y pérdida de la ciudadanía</w:t>
            </w:r>
          </w:p>
          <w:p w14:paraId="7A2C8E2B" w14:textId="77777777" w:rsidR="008877F8" w:rsidRDefault="008877F8" w:rsidP="008877F8">
            <w:pPr>
              <w:pStyle w:val="Inne0"/>
            </w:pPr>
            <w:r>
              <w:rPr>
                <w:rStyle w:val="Inne"/>
              </w:rPr>
              <w:t>5 años (en lo relativo a otra correspondencia en asuntos de ciudadanía)</w:t>
            </w:r>
          </w:p>
        </w:tc>
      </w:tr>
      <w:tr w:rsidR="008877F8" w14:paraId="74B7FCBD" w14:textId="77777777" w:rsidTr="008877F8">
        <w:tblPrEx>
          <w:tblCellMar>
            <w:top w:w="0" w:type="dxa"/>
            <w:bottom w:w="0" w:type="dxa"/>
          </w:tblCellMar>
        </w:tblPrEx>
        <w:trPr>
          <w:trHeight w:hRule="exact" w:val="451"/>
          <w:jc w:val="center"/>
        </w:trPr>
        <w:tc>
          <w:tcPr>
            <w:tcW w:w="2242" w:type="dxa"/>
            <w:tcBorders>
              <w:top w:val="single" w:sz="4" w:space="0" w:color="auto"/>
              <w:left w:val="single" w:sz="4" w:space="0" w:color="auto"/>
            </w:tcBorders>
            <w:shd w:val="clear" w:color="auto" w:fill="auto"/>
            <w:vAlign w:val="bottom"/>
          </w:tcPr>
          <w:p w14:paraId="1444C479" w14:textId="77777777" w:rsidR="008877F8" w:rsidRDefault="008877F8" w:rsidP="008877F8">
            <w:pPr>
              <w:pStyle w:val="Inne0"/>
              <w:spacing w:line="233" w:lineRule="auto"/>
              <w:jc w:val="center"/>
            </w:pPr>
            <w:r>
              <w:rPr>
                <w:rStyle w:val="Inne"/>
                <w:b/>
                <w:bCs/>
              </w:rPr>
              <w:t>Asuntos relativos a la obtención de información</w:t>
            </w:r>
          </w:p>
        </w:tc>
        <w:tc>
          <w:tcPr>
            <w:tcW w:w="4363" w:type="dxa"/>
            <w:tcBorders>
              <w:top w:val="single" w:sz="4" w:space="0" w:color="auto"/>
              <w:left w:val="single" w:sz="4" w:space="0" w:color="auto"/>
            </w:tcBorders>
            <w:shd w:val="clear" w:color="auto" w:fill="auto"/>
            <w:vAlign w:val="center"/>
          </w:tcPr>
          <w:p w14:paraId="2D3218F2" w14:textId="77777777" w:rsidR="008877F8" w:rsidRDefault="008877F8" w:rsidP="008877F8">
            <w:pPr>
              <w:pStyle w:val="Inne0"/>
              <w:jc w:val="both"/>
            </w:pPr>
            <w:r>
              <w:rPr>
                <w:rStyle w:val="Inne"/>
              </w:rPr>
              <w:t>Ley de 25 de junio de 2015 - Derecho consular</w:t>
            </w:r>
          </w:p>
        </w:tc>
        <w:tc>
          <w:tcPr>
            <w:tcW w:w="6523" w:type="dxa"/>
            <w:tcBorders>
              <w:top w:val="single" w:sz="4" w:space="0" w:color="auto"/>
              <w:left w:val="single" w:sz="4" w:space="0" w:color="auto"/>
            </w:tcBorders>
            <w:shd w:val="clear" w:color="auto" w:fill="auto"/>
            <w:vAlign w:val="center"/>
          </w:tcPr>
          <w:p w14:paraId="75F3BE39" w14:textId="77777777" w:rsidR="008877F8" w:rsidRDefault="008877F8" w:rsidP="008877F8">
            <w:pPr>
              <w:pStyle w:val="Inne0"/>
              <w:jc w:val="both"/>
            </w:pPr>
            <w:r>
              <w:rPr>
                <w:rStyle w:val="Inne"/>
              </w:rPr>
              <w:t>Concesión de la información.</w:t>
            </w:r>
          </w:p>
        </w:tc>
        <w:tc>
          <w:tcPr>
            <w:tcW w:w="3038" w:type="dxa"/>
            <w:tcBorders>
              <w:top w:val="single" w:sz="4" w:space="0" w:color="auto"/>
              <w:left w:val="single" w:sz="4" w:space="0" w:color="auto"/>
              <w:right w:val="single" w:sz="4" w:space="0" w:color="auto"/>
            </w:tcBorders>
            <w:shd w:val="clear" w:color="auto" w:fill="auto"/>
            <w:vAlign w:val="center"/>
          </w:tcPr>
          <w:p w14:paraId="22D58765" w14:textId="77777777" w:rsidR="008877F8" w:rsidRDefault="008877F8" w:rsidP="008877F8">
            <w:pPr>
              <w:pStyle w:val="Inne0"/>
            </w:pPr>
            <w:r>
              <w:rPr>
                <w:rStyle w:val="Inne"/>
              </w:rPr>
              <w:t>2 años</w:t>
            </w:r>
          </w:p>
        </w:tc>
      </w:tr>
      <w:tr w:rsidR="008877F8" w14:paraId="04C5CBCB" w14:textId="77777777" w:rsidTr="008877F8">
        <w:tblPrEx>
          <w:tblCellMar>
            <w:top w:w="0" w:type="dxa"/>
            <w:bottom w:w="0" w:type="dxa"/>
          </w:tblCellMar>
        </w:tblPrEx>
        <w:trPr>
          <w:trHeight w:hRule="exact" w:val="1330"/>
          <w:jc w:val="center"/>
        </w:trPr>
        <w:tc>
          <w:tcPr>
            <w:tcW w:w="2242" w:type="dxa"/>
            <w:tcBorders>
              <w:top w:val="single" w:sz="4" w:space="0" w:color="auto"/>
              <w:left w:val="single" w:sz="4" w:space="0" w:color="auto"/>
            </w:tcBorders>
            <w:shd w:val="clear" w:color="auto" w:fill="auto"/>
            <w:vAlign w:val="center"/>
          </w:tcPr>
          <w:p w14:paraId="5167D0B3" w14:textId="77777777" w:rsidR="008877F8" w:rsidRDefault="008877F8" w:rsidP="008877F8">
            <w:pPr>
              <w:pStyle w:val="Inne0"/>
              <w:spacing w:line="233" w:lineRule="auto"/>
              <w:jc w:val="center"/>
            </w:pPr>
            <w:r>
              <w:rPr>
                <w:rStyle w:val="Inne"/>
                <w:b/>
                <w:bCs/>
              </w:rPr>
              <w:t>Asuntos relativos a la expedición de certificados</w:t>
            </w:r>
          </w:p>
        </w:tc>
        <w:tc>
          <w:tcPr>
            <w:tcW w:w="4363" w:type="dxa"/>
            <w:tcBorders>
              <w:top w:val="single" w:sz="4" w:space="0" w:color="auto"/>
              <w:left w:val="single" w:sz="4" w:space="0" w:color="auto"/>
            </w:tcBorders>
            <w:shd w:val="clear" w:color="auto" w:fill="auto"/>
            <w:vAlign w:val="center"/>
          </w:tcPr>
          <w:p w14:paraId="16BE4E8D" w14:textId="77777777" w:rsidR="008877F8" w:rsidRDefault="008877F8" w:rsidP="008877F8">
            <w:pPr>
              <w:pStyle w:val="Inne0"/>
              <w:jc w:val="both"/>
            </w:pPr>
            <w:r>
              <w:rPr>
                <w:rStyle w:val="Inne"/>
              </w:rPr>
              <w:t>Ley de 25 de junio de 2015 - Derecho consular</w:t>
            </w:r>
          </w:p>
        </w:tc>
        <w:tc>
          <w:tcPr>
            <w:tcW w:w="6523" w:type="dxa"/>
            <w:tcBorders>
              <w:top w:val="single" w:sz="4" w:space="0" w:color="auto"/>
              <w:left w:val="single" w:sz="4" w:space="0" w:color="auto"/>
            </w:tcBorders>
            <w:shd w:val="clear" w:color="auto" w:fill="auto"/>
            <w:vAlign w:val="center"/>
          </w:tcPr>
          <w:p w14:paraId="1DD843CD" w14:textId="77777777" w:rsidR="008877F8" w:rsidRDefault="008877F8" w:rsidP="008877F8">
            <w:pPr>
              <w:pStyle w:val="Inne0"/>
              <w:jc w:val="both"/>
            </w:pPr>
            <w:r>
              <w:rPr>
                <w:rStyle w:val="Inne"/>
              </w:rPr>
              <w:t>Emisión de un certificado que sirva para satisfacer interés legal de una parte o una obligación que surja de una disposición legal.</w:t>
            </w:r>
          </w:p>
        </w:tc>
        <w:tc>
          <w:tcPr>
            <w:tcW w:w="3038" w:type="dxa"/>
            <w:tcBorders>
              <w:top w:val="single" w:sz="4" w:space="0" w:color="auto"/>
              <w:left w:val="single" w:sz="4" w:space="0" w:color="auto"/>
              <w:right w:val="single" w:sz="4" w:space="0" w:color="auto"/>
            </w:tcBorders>
            <w:shd w:val="clear" w:color="auto" w:fill="auto"/>
            <w:vAlign w:val="bottom"/>
          </w:tcPr>
          <w:p w14:paraId="0CADDB61" w14:textId="77777777" w:rsidR="008877F8" w:rsidRDefault="008877F8" w:rsidP="008877F8">
            <w:pPr>
              <w:pStyle w:val="Inne0"/>
            </w:pPr>
            <w:r>
              <w:rPr>
                <w:rStyle w:val="Inne"/>
              </w:rPr>
              <w:t>10 años, y en el caso de expedir un certificado en asunto de importación o transporte de armas y municiones a través del territorio de la República de Polonia, transporte de cadáveres, - exhumación 5 años.</w:t>
            </w:r>
          </w:p>
        </w:tc>
      </w:tr>
      <w:tr w:rsidR="008877F8" w14:paraId="3FDC3454" w14:textId="77777777" w:rsidTr="008877F8">
        <w:tblPrEx>
          <w:tblCellMar>
            <w:top w:w="0" w:type="dxa"/>
            <w:bottom w:w="0" w:type="dxa"/>
          </w:tblCellMar>
        </w:tblPrEx>
        <w:trPr>
          <w:trHeight w:hRule="exact" w:val="888"/>
          <w:jc w:val="center"/>
        </w:trPr>
        <w:tc>
          <w:tcPr>
            <w:tcW w:w="2242" w:type="dxa"/>
            <w:tcBorders>
              <w:top w:val="single" w:sz="4" w:space="0" w:color="auto"/>
              <w:left w:val="single" w:sz="4" w:space="0" w:color="auto"/>
            </w:tcBorders>
            <w:shd w:val="clear" w:color="auto" w:fill="auto"/>
            <w:vAlign w:val="bottom"/>
          </w:tcPr>
          <w:p w14:paraId="3327DD06" w14:textId="77777777" w:rsidR="008877F8" w:rsidRDefault="008877F8" w:rsidP="008877F8">
            <w:pPr>
              <w:pStyle w:val="Inne0"/>
              <w:jc w:val="center"/>
            </w:pPr>
            <w:r>
              <w:rPr>
                <w:rStyle w:val="Inne"/>
                <w:b/>
                <w:bCs/>
              </w:rPr>
              <w:t>Asuntos relativos a la prestación de asistencia a los polacos en el extranjero</w:t>
            </w:r>
          </w:p>
        </w:tc>
        <w:tc>
          <w:tcPr>
            <w:tcW w:w="4363" w:type="dxa"/>
            <w:tcBorders>
              <w:top w:val="single" w:sz="4" w:space="0" w:color="auto"/>
              <w:left w:val="single" w:sz="4" w:space="0" w:color="auto"/>
            </w:tcBorders>
            <w:shd w:val="clear" w:color="auto" w:fill="auto"/>
            <w:vAlign w:val="center"/>
          </w:tcPr>
          <w:p w14:paraId="1B570473" w14:textId="77777777" w:rsidR="008877F8" w:rsidRDefault="008877F8" w:rsidP="008877F8">
            <w:pPr>
              <w:pStyle w:val="Inne0"/>
              <w:jc w:val="both"/>
            </w:pPr>
            <w:r>
              <w:rPr>
                <w:rStyle w:val="Inne"/>
              </w:rPr>
              <w:t>Ley de 25 de junio de 2015 - Derecho consular y sobre la base de las premisas del art. 6 apartado 1 letra d y art. 9 apartado 2 letra c de RGPD</w:t>
            </w:r>
          </w:p>
        </w:tc>
        <w:tc>
          <w:tcPr>
            <w:tcW w:w="6523" w:type="dxa"/>
            <w:tcBorders>
              <w:top w:val="single" w:sz="4" w:space="0" w:color="auto"/>
              <w:left w:val="single" w:sz="4" w:space="0" w:color="auto"/>
            </w:tcBorders>
            <w:shd w:val="clear" w:color="auto" w:fill="auto"/>
            <w:vAlign w:val="center"/>
          </w:tcPr>
          <w:p w14:paraId="74527E60" w14:textId="77777777" w:rsidR="008877F8" w:rsidRDefault="008877F8" w:rsidP="008877F8">
            <w:pPr>
              <w:pStyle w:val="Inne0"/>
              <w:jc w:val="both"/>
            </w:pPr>
            <w:r>
              <w:rPr>
                <w:rStyle w:val="Inne"/>
              </w:rPr>
              <w:t>La protección de los intereses de los ciudadanos polacos y las personas jurídicas polacas que permanecen temporalmente en el extranjero, incluida la información sobre situaciones de emergencia y crisis.</w:t>
            </w:r>
          </w:p>
        </w:tc>
        <w:tc>
          <w:tcPr>
            <w:tcW w:w="3038" w:type="dxa"/>
            <w:tcBorders>
              <w:top w:val="single" w:sz="4" w:space="0" w:color="auto"/>
              <w:left w:val="single" w:sz="4" w:space="0" w:color="auto"/>
              <w:right w:val="single" w:sz="4" w:space="0" w:color="auto"/>
            </w:tcBorders>
            <w:shd w:val="clear" w:color="auto" w:fill="auto"/>
            <w:vAlign w:val="center"/>
          </w:tcPr>
          <w:p w14:paraId="1BC71779" w14:textId="77777777" w:rsidR="008877F8" w:rsidRDefault="008877F8" w:rsidP="008877F8">
            <w:pPr>
              <w:pStyle w:val="Inne0"/>
            </w:pPr>
            <w:r>
              <w:rPr>
                <w:rStyle w:val="Inne"/>
              </w:rPr>
              <w:t>5 años</w:t>
            </w:r>
          </w:p>
        </w:tc>
      </w:tr>
      <w:tr w:rsidR="008877F8" w14:paraId="6D4450CA" w14:textId="77777777" w:rsidTr="008877F8">
        <w:tblPrEx>
          <w:tblCellMar>
            <w:top w:w="0" w:type="dxa"/>
            <w:bottom w:w="0" w:type="dxa"/>
          </w:tblCellMar>
        </w:tblPrEx>
        <w:trPr>
          <w:trHeight w:hRule="exact" w:val="667"/>
          <w:jc w:val="center"/>
        </w:trPr>
        <w:tc>
          <w:tcPr>
            <w:tcW w:w="2242" w:type="dxa"/>
            <w:tcBorders>
              <w:top w:val="single" w:sz="4" w:space="0" w:color="auto"/>
              <w:left w:val="single" w:sz="4" w:space="0" w:color="auto"/>
            </w:tcBorders>
            <w:shd w:val="clear" w:color="auto" w:fill="auto"/>
            <w:vAlign w:val="center"/>
          </w:tcPr>
          <w:p w14:paraId="7DD05D45" w14:textId="77777777" w:rsidR="008877F8" w:rsidRDefault="008877F8" w:rsidP="008877F8">
            <w:pPr>
              <w:pStyle w:val="Inne0"/>
              <w:spacing w:line="233" w:lineRule="auto"/>
              <w:jc w:val="center"/>
            </w:pPr>
            <w:r>
              <w:rPr>
                <w:rStyle w:val="Inne"/>
                <w:b/>
                <w:bCs/>
              </w:rPr>
              <w:lastRenderedPageBreak/>
              <w:t>Elecciones nacionales y referendos</w:t>
            </w:r>
          </w:p>
        </w:tc>
        <w:tc>
          <w:tcPr>
            <w:tcW w:w="4363" w:type="dxa"/>
            <w:tcBorders>
              <w:top w:val="single" w:sz="4" w:space="0" w:color="auto"/>
              <w:left w:val="single" w:sz="4" w:space="0" w:color="auto"/>
            </w:tcBorders>
            <w:shd w:val="clear" w:color="auto" w:fill="auto"/>
            <w:vAlign w:val="center"/>
          </w:tcPr>
          <w:p w14:paraId="3D970957" w14:textId="77777777" w:rsidR="008877F8" w:rsidRDefault="008877F8" w:rsidP="008877F8">
            <w:pPr>
              <w:pStyle w:val="Inne0"/>
              <w:jc w:val="both"/>
            </w:pPr>
            <w:r>
              <w:rPr>
                <w:rStyle w:val="Inne"/>
              </w:rPr>
              <w:t>Ley de 25 de junio de 2015 - Derecho consular y Ley de 5 de enero de 2011 - Código electoral</w:t>
            </w:r>
          </w:p>
        </w:tc>
        <w:tc>
          <w:tcPr>
            <w:tcW w:w="6523" w:type="dxa"/>
            <w:tcBorders>
              <w:top w:val="single" w:sz="4" w:space="0" w:color="auto"/>
              <w:left w:val="single" w:sz="4" w:space="0" w:color="auto"/>
            </w:tcBorders>
            <w:shd w:val="clear" w:color="auto" w:fill="auto"/>
            <w:vAlign w:val="bottom"/>
          </w:tcPr>
          <w:p w14:paraId="664E3063" w14:textId="77777777" w:rsidR="008877F8" w:rsidRDefault="008877F8" w:rsidP="008877F8">
            <w:pPr>
              <w:pStyle w:val="Inne0"/>
              <w:jc w:val="both"/>
            </w:pPr>
            <w:r>
              <w:rPr>
                <w:rStyle w:val="Inne"/>
              </w:rPr>
              <w:t>Llevar a cabo una votación en las elecciones del Presidente de la República de Polonia, a la Cámara Baja del Parlamento de la República de Polonia y a la Cámara Alta, al Parlamento Europeo y en un referéndum nacional.</w:t>
            </w:r>
          </w:p>
        </w:tc>
        <w:tc>
          <w:tcPr>
            <w:tcW w:w="3038" w:type="dxa"/>
            <w:tcBorders>
              <w:top w:val="single" w:sz="4" w:space="0" w:color="auto"/>
              <w:left w:val="single" w:sz="4" w:space="0" w:color="auto"/>
              <w:right w:val="single" w:sz="4" w:space="0" w:color="auto"/>
            </w:tcBorders>
            <w:shd w:val="clear" w:color="auto" w:fill="auto"/>
            <w:vAlign w:val="center"/>
          </w:tcPr>
          <w:p w14:paraId="60A32160" w14:textId="77777777" w:rsidR="008877F8" w:rsidRDefault="008877F8" w:rsidP="008877F8">
            <w:pPr>
              <w:pStyle w:val="Inne0"/>
            </w:pPr>
            <w:r>
              <w:rPr>
                <w:rStyle w:val="Inne"/>
              </w:rPr>
              <w:t>5 años</w:t>
            </w:r>
          </w:p>
        </w:tc>
      </w:tr>
      <w:tr w:rsidR="008877F8" w14:paraId="613150E7" w14:textId="77777777" w:rsidTr="008877F8">
        <w:tblPrEx>
          <w:tblCellMar>
            <w:top w:w="0" w:type="dxa"/>
            <w:bottom w:w="0" w:type="dxa"/>
          </w:tblCellMar>
        </w:tblPrEx>
        <w:trPr>
          <w:trHeight w:hRule="exact" w:val="1487"/>
          <w:jc w:val="center"/>
        </w:trPr>
        <w:tc>
          <w:tcPr>
            <w:tcW w:w="2242" w:type="dxa"/>
            <w:tcBorders>
              <w:top w:val="single" w:sz="4" w:space="0" w:color="auto"/>
              <w:left w:val="single" w:sz="4" w:space="0" w:color="auto"/>
              <w:bottom w:val="single" w:sz="4" w:space="0" w:color="auto"/>
            </w:tcBorders>
            <w:shd w:val="clear" w:color="auto" w:fill="auto"/>
          </w:tcPr>
          <w:p w14:paraId="70DC4B51" w14:textId="77777777" w:rsidR="008877F8" w:rsidRDefault="008877F8" w:rsidP="008877F8">
            <w:pPr>
              <w:pStyle w:val="Inne0"/>
              <w:jc w:val="center"/>
            </w:pPr>
            <w:r>
              <w:rPr>
                <w:rStyle w:val="Inne"/>
                <w:b/>
                <w:bCs/>
              </w:rPr>
              <w:t>Asuntos relativos a las cartillas de vela y otros asuntos marítimos</w:t>
            </w:r>
          </w:p>
        </w:tc>
        <w:tc>
          <w:tcPr>
            <w:tcW w:w="4363" w:type="dxa"/>
            <w:tcBorders>
              <w:top w:val="single" w:sz="4" w:space="0" w:color="auto"/>
              <w:left w:val="single" w:sz="4" w:space="0" w:color="auto"/>
              <w:bottom w:val="single" w:sz="4" w:space="0" w:color="auto"/>
            </w:tcBorders>
            <w:shd w:val="clear" w:color="auto" w:fill="auto"/>
            <w:vAlign w:val="center"/>
          </w:tcPr>
          <w:p w14:paraId="4069243D" w14:textId="77777777" w:rsidR="008877F8" w:rsidRDefault="008877F8" w:rsidP="008877F8">
            <w:pPr>
              <w:pStyle w:val="Inne0"/>
              <w:jc w:val="both"/>
              <w:rPr>
                <w:rStyle w:val="Inne"/>
              </w:rPr>
            </w:pPr>
            <w:r>
              <w:rPr>
                <w:rStyle w:val="Inne"/>
              </w:rPr>
              <w:t>Ley de 25 de junio de 2015 - Derecho consular</w:t>
            </w:r>
          </w:p>
          <w:p w14:paraId="50281D5C" w14:textId="77777777" w:rsidR="008877F8" w:rsidRPr="008877F8" w:rsidRDefault="008877F8" w:rsidP="008877F8">
            <w:pPr>
              <w:pStyle w:val="Inne0"/>
              <w:jc w:val="both"/>
            </w:pPr>
            <w:r w:rsidRPr="008877F8">
              <w:t xml:space="preserve">Ley del Código Marítimo de 29 de junio de 2020, </w:t>
            </w:r>
          </w:p>
          <w:p w14:paraId="2DFB3B79" w14:textId="77777777" w:rsidR="008877F8" w:rsidRPr="008877F8" w:rsidRDefault="008877F8" w:rsidP="008877F8">
            <w:pPr>
              <w:pStyle w:val="Inne0"/>
              <w:jc w:val="both"/>
            </w:pPr>
            <w:r w:rsidRPr="008877F8">
              <w:t xml:space="preserve">Ley de 18 de agosto de 2011 sobre seguridad marítima, </w:t>
            </w:r>
          </w:p>
          <w:p w14:paraId="1A255DC3" w14:textId="77777777" w:rsidR="008877F8" w:rsidRPr="008877F8" w:rsidRDefault="008877F8" w:rsidP="008877F8">
            <w:pPr>
              <w:pStyle w:val="Inne0"/>
              <w:jc w:val="both"/>
            </w:pPr>
            <w:r w:rsidRPr="008877F8">
              <w:t xml:space="preserve">Ley de 16 de marzo de 1995 sobre prevención de la contaminación del mar provocada por los buques, </w:t>
            </w:r>
          </w:p>
          <w:p w14:paraId="4E425F08" w14:textId="4E6819EF" w:rsidR="008877F8" w:rsidRPr="008877F8" w:rsidRDefault="008877F8" w:rsidP="008877F8">
            <w:pPr>
              <w:pStyle w:val="Inne0"/>
              <w:jc w:val="both"/>
              <w:rPr>
                <w:lang w:val="es-AR"/>
              </w:rPr>
            </w:pPr>
            <w:r w:rsidRPr="008877F8">
              <w:t>Ley de 5 de agosto de 2015 sobre el trabajo marítimo</w:t>
            </w:r>
          </w:p>
        </w:tc>
        <w:tc>
          <w:tcPr>
            <w:tcW w:w="6523" w:type="dxa"/>
            <w:tcBorders>
              <w:top w:val="single" w:sz="4" w:space="0" w:color="auto"/>
              <w:left w:val="single" w:sz="4" w:space="0" w:color="auto"/>
              <w:bottom w:val="single" w:sz="4" w:space="0" w:color="auto"/>
            </w:tcBorders>
            <w:shd w:val="clear" w:color="auto" w:fill="auto"/>
            <w:vAlign w:val="bottom"/>
          </w:tcPr>
          <w:p w14:paraId="63449271" w14:textId="77777777" w:rsidR="008877F8" w:rsidRDefault="008877F8" w:rsidP="008877F8">
            <w:pPr>
              <w:pStyle w:val="Inne0"/>
              <w:jc w:val="both"/>
            </w:pPr>
            <w:r>
              <w:rPr>
                <w:rStyle w:val="Inne"/>
              </w:rPr>
              <w:t>Emisión de una cartilla de vela, emisión de un certificado temporal de nacionalidad polaca de una nave, certificado de seguridad de una nave.</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58B2DF67" w14:textId="77777777" w:rsidR="008877F8" w:rsidRDefault="008877F8" w:rsidP="008877F8">
            <w:pPr>
              <w:pStyle w:val="Inne0"/>
            </w:pPr>
            <w:r>
              <w:rPr>
                <w:rStyle w:val="Inne"/>
              </w:rPr>
              <w:t>10 años en asuntos relacionados con cartillas de vela, en los demás casos 5 años</w:t>
            </w:r>
          </w:p>
        </w:tc>
      </w:tr>
      <w:tr w:rsidR="008877F8" w14:paraId="68199561" w14:textId="77777777" w:rsidTr="008877F8">
        <w:tblPrEx>
          <w:tblCellMar>
            <w:top w:w="0" w:type="dxa"/>
            <w:bottom w:w="0" w:type="dxa"/>
          </w:tblCellMar>
        </w:tblPrEx>
        <w:trPr>
          <w:trHeight w:hRule="exact" w:val="970"/>
          <w:jc w:val="center"/>
        </w:trPr>
        <w:tc>
          <w:tcPr>
            <w:tcW w:w="2242" w:type="dxa"/>
            <w:tcBorders>
              <w:top w:val="single" w:sz="4" w:space="0" w:color="auto"/>
              <w:left w:val="single" w:sz="4" w:space="0" w:color="auto"/>
              <w:bottom w:val="single" w:sz="4" w:space="0" w:color="auto"/>
            </w:tcBorders>
            <w:shd w:val="clear" w:color="auto" w:fill="auto"/>
          </w:tcPr>
          <w:p w14:paraId="70225952" w14:textId="0731D31B" w:rsidR="008877F8" w:rsidRDefault="008877F8" w:rsidP="008877F8">
            <w:pPr>
              <w:pStyle w:val="Inne0"/>
              <w:jc w:val="center"/>
              <w:rPr>
                <w:rStyle w:val="Inne"/>
                <w:b/>
                <w:bCs/>
              </w:rPr>
            </w:pPr>
            <w:r>
              <w:rPr>
                <w:rFonts w:eastAsia="Times New Roman" w:cs="Arial"/>
                <w:b/>
                <w:bCs/>
                <w:lang w:eastAsia="pl-PL"/>
              </w:rPr>
              <w:t>EPUAP</w:t>
            </w:r>
          </w:p>
        </w:tc>
        <w:tc>
          <w:tcPr>
            <w:tcW w:w="4363" w:type="dxa"/>
            <w:tcBorders>
              <w:top w:val="single" w:sz="4" w:space="0" w:color="auto"/>
              <w:left w:val="single" w:sz="4" w:space="0" w:color="auto"/>
              <w:bottom w:val="single" w:sz="4" w:space="0" w:color="auto"/>
            </w:tcBorders>
            <w:shd w:val="clear" w:color="auto" w:fill="auto"/>
            <w:vAlign w:val="center"/>
          </w:tcPr>
          <w:p w14:paraId="70C992C7" w14:textId="7C308014" w:rsidR="008877F8" w:rsidRPr="008877F8" w:rsidRDefault="008877F8" w:rsidP="008877F8">
            <w:pPr>
              <w:pStyle w:val="Inne0"/>
              <w:jc w:val="both"/>
              <w:rPr>
                <w:rStyle w:val="Inne"/>
                <w:lang w:val="es-AR"/>
              </w:rPr>
            </w:pPr>
            <w:r w:rsidRPr="008877F8">
              <w:t>Ley EPUAP de 17 de febrero de 2005 sobre informatización de las actividades de las entidades que desempeñan funciones públicas Confirmación de un perfil de confianza 20 años</w:t>
            </w:r>
          </w:p>
        </w:tc>
        <w:tc>
          <w:tcPr>
            <w:tcW w:w="6523" w:type="dxa"/>
            <w:tcBorders>
              <w:top w:val="single" w:sz="4" w:space="0" w:color="auto"/>
              <w:left w:val="single" w:sz="4" w:space="0" w:color="auto"/>
              <w:bottom w:val="single" w:sz="4" w:space="0" w:color="auto"/>
            </w:tcBorders>
            <w:shd w:val="clear" w:color="auto" w:fill="auto"/>
            <w:vAlign w:val="bottom"/>
          </w:tcPr>
          <w:p w14:paraId="0010BD08" w14:textId="37D923BA" w:rsidR="008877F8" w:rsidRPr="008877F8" w:rsidRDefault="008877F8" w:rsidP="008877F8">
            <w:pPr>
              <w:pStyle w:val="Inne0"/>
              <w:jc w:val="both"/>
              <w:rPr>
                <w:rStyle w:val="Inne"/>
                <w:lang w:val="es-AR"/>
              </w:rPr>
            </w:pPr>
            <w:r w:rsidRPr="008877F8">
              <w:t>Confirmación de un perfil de confianza</w:t>
            </w:r>
          </w:p>
        </w:tc>
        <w:tc>
          <w:tcPr>
            <w:tcW w:w="3038" w:type="dxa"/>
            <w:tcBorders>
              <w:top w:val="single" w:sz="4" w:space="0" w:color="auto"/>
              <w:left w:val="single" w:sz="4" w:space="0" w:color="auto"/>
              <w:bottom w:val="single" w:sz="4" w:space="0" w:color="auto"/>
              <w:right w:val="single" w:sz="4" w:space="0" w:color="auto"/>
            </w:tcBorders>
            <w:shd w:val="clear" w:color="auto" w:fill="auto"/>
          </w:tcPr>
          <w:p w14:paraId="1D307C34" w14:textId="661D8512" w:rsidR="008877F8" w:rsidRDefault="008877F8" w:rsidP="008877F8">
            <w:pPr>
              <w:pStyle w:val="Inne0"/>
              <w:rPr>
                <w:rStyle w:val="Inne"/>
              </w:rPr>
            </w:pPr>
            <w:r>
              <w:rPr>
                <w:rStyle w:val="Inne"/>
              </w:rPr>
              <w:t>10</w:t>
            </w:r>
            <w:r>
              <w:rPr>
                <w:rStyle w:val="Inne"/>
              </w:rPr>
              <w:t xml:space="preserve"> años</w:t>
            </w:r>
          </w:p>
        </w:tc>
      </w:tr>
    </w:tbl>
    <w:p w14:paraId="3BF989A1" w14:textId="77777777" w:rsidR="00B94630" w:rsidRDefault="000D22D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4363"/>
        <w:gridCol w:w="6523"/>
        <w:gridCol w:w="3038"/>
      </w:tblGrid>
      <w:tr w:rsidR="00B94630" w14:paraId="197957EC" w14:textId="77777777">
        <w:tblPrEx>
          <w:tblCellMar>
            <w:top w:w="0" w:type="dxa"/>
            <w:bottom w:w="0" w:type="dxa"/>
          </w:tblCellMar>
        </w:tblPrEx>
        <w:trPr>
          <w:trHeight w:hRule="exact" w:val="672"/>
          <w:jc w:val="center"/>
        </w:trPr>
        <w:tc>
          <w:tcPr>
            <w:tcW w:w="2242" w:type="dxa"/>
            <w:tcBorders>
              <w:top w:val="single" w:sz="4" w:space="0" w:color="auto"/>
              <w:left w:val="single" w:sz="4" w:space="0" w:color="auto"/>
            </w:tcBorders>
            <w:shd w:val="clear" w:color="auto" w:fill="auto"/>
            <w:vAlign w:val="center"/>
          </w:tcPr>
          <w:p w14:paraId="6F21CBEA" w14:textId="77777777" w:rsidR="00B94630" w:rsidRDefault="000D22DC">
            <w:pPr>
              <w:pStyle w:val="Inne0"/>
              <w:jc w:val="center"/>
            </w:pPr>
            <w:r>
              <w:rPr>
                <w:rStyle w:val="Inne"/>
                <w:b/>
                <w:bCs/>
              </w:rPr>
              <w:lastRenderedPageBreak/>
              <w:t>Plataforma EPUAP</w:t>
            </w:r>
          </w:p>
        </w:tc>
        <w:tc>
          <w:tcPr>
            <w:tcW w:w="4363" w:type="dxa"/>
            <w:tcBorders>
              <w:top w:val="single" w:sz="4" w:space="0" w:color="auto"/>
              <w:left w:val="single" w:sz="4" w:space="0" w:color="auto"/>
            </w:tcBorders>
            <w:shd w:val="clear" w:color="auto" w:fill="auto"/>
            <w:vAlign w:val="bottom"/>
          </w:tcPr>
          <w:p w14:paraId="7E98B575" w14:textId="77777777" w:rsidR="00B94630" w:rsidRDefault="000D22DC">
            <w:pPr>
              <w:pStyle w:val="Inne0"/>
            </w:pPr>
            <w:r>
              <w:rPr>
                <w:rStyle w:val="Inne"/>
              </w:rPr>
              <w:t>Ley de 17 de febrero de 2005 sobre la informatización de las actividades de las entidades que realizan tareas públicas</w:t>
            </w:r>
          </w:p>
        </w:tc>
        <w:tc>
          <w:tcPr>
            <w:tcW w:w="6523" w:type="dxa"/>
            <w:tcBorders>
              <w:top w:val="single" w:sz="4" w:space="0" w:color="auto"/>
              <w:left w:val="single" w:sz="4" w:space="0" w:color="auto"/>
            </w:tcBorders>
            <w:shd w:val="clear" w:color="auto" w:fill="auto"/>
            <w:vAlign w:val="center"/>
          </w:tcPr>
          <w:p w14:paraId="4376479C" w14:textId="77777777" w:rsidR="00B94630" w:rsidRDefault="000D22DC">
            <w:pPr>
              <w:pStyle w:val="Inne0"/>
              <w:jc w:val="both"/>
            </w:pPr>
            <w:r>
              <w:rPr>
                <w:rStyle w:val="Inne"/>
              </w:rPr>
              <w:t xml:space="preserve">Confirmación de un </w:t>
            </w:r>
            <w:r>
              <w:rPr>
                <w:rStyle w:val="Inne"/>
              </w:rPr>
              <w:t>perfil de confianza.</w:t>
            </w:r>
          </w:p>
        </w:tc>
        <w:tc>
          <w:tcPr>
            <w:tcW w:w="3038" w:type="dxa"/>
            <w:tcBorders>
              <w:top w:val="single" w:sz="4" w:space="0" w:color="auto"/>
              <w:left w:val="single" w:sz="4" w:space="0" w:color="auto"/>
              <w:right w:val="single" w:sz="4" w:space="0" w:color="auto"/>
            </w:tcBorders>
            <w:shd w:val="clear" w:color="auto" w:fill="auto"/>
            <w:vAlign w:val="center"/>
          </w:tcPr>
          <w:p w14:paraId="2BA5FA20" w14:textId="77777777" w:rsidR="00B94630" w:rsidRDefault="000D22DC">
            <w:pPr>
              <w:pStyle w:val="Inne0"/>
            </w:pPr>
            <w:r>
              <w:rPr>
                <w:rStyle w:val="Inne"/>
              </w:rPr>
              <w:t>20 años</w:t>
            </w:r>
          </w:p>
        </w:tc>
      </w:tr>
      <w:tr w:rsidR="00B94630" w14:paraId="0040EA91" w14:textId="77777777">
        <w:tblPrEx>
          <w:tblCellMar>
            <w:top w:w="0" w:type="dxa"/>
            <w:bottom w:w="0" w:type="dxa"/>
          </w:tblCellMar>
        </w:tblPrEx>
        <w:trPr>
          <w:trHeight w:hRule="exact" w:val="1555"/>
          <w:jc w:val="center"/>
        </w:trPr>
        <w:tc>
          <w:tcPr>
            <w:tcW w:w="2242" w:type="dxa"/>
            <w:tcBorders>
              <w:top w:val="single" w:sz="4" w:space="0" w:color="auto"/>
              <w:left w:val="single" w:sz="4" w:space="0" w:color="auto"/>
              <w:bottom w:val="single" w:sz="4" w:space="0" w:color="auto"/>
            </w:tcBorders>
            <w:shd w:val="clear" w:color="auto" w:fill="auto"/>
          </w:tcPr>
          <w:p w14:paraId="5F2EB859" w14:textId="77777777" w:rsidR="00B94630" w:rsidRDefault="000D22DC">
            <w:pPr>
              <w:pStyle w:val="Inne0"/>
              <w:jc w:val="center"/>
            </w:pPr>
            <w:r>
              <w:rPr>
                <w:rStyle w:val="Inne"/>
                <w:b/>
                <w:bCs/>
              </w:rPr>
              <w:t>Asuntos relativos a solicitudes de permiso para prestar servicio en un ejército extranjero, de disposición de documentos en recursos de IPN</w:t>
            </w:r>
          </w:p>
        </w:tc>
        <w:tc>
          <w:tcPr>
            <w:tcW w:w="4363" w:type="dxa"/>
            <w:tcBorders>
              <w:top w:val="single" w:sz="4" w:space="0" w:color="auto"/>
              <w:left w:val="single" w:sz="4" w:space="0" w:color="auto"/>
              <w:bottom w:val="single" w:sz="4" w:space="0" w:color="auto"/>
            </w:tcBorders>
            <w:shd w:val="clear" w:color="auto" w:fill="auto"/>
            <w:vAlign w:val="center"/>
          </w:tcPr>
          <w:p w14:paraId="1E631057" w14:textId="77777777" w:rsidR="00B94630" w:rsidRDefault="000D22DC">
            <w:pPr>
              <w:pStyle w:val="Inne0"/>
              <w:jc w:val="both"/>
            </w:pPr>
            <w:r>
              <w:rPr>
                <w:rStyle w:val="Inne"/>
              </w:rPr>
              <w:t>Ley de 25 de junio de 2015 - Derecho consular</w:t>
            </w:r>
          </w:p>
        </w:tc>
        <w:tc>
          <w:tcPr>
            <w:tcW w:w="6523" w:type="dxa"/>
            <w:tcBorders>
              <w:top w:val="single" w:sz="4" w:space="0" w:color="auto"/>
              <w:left w:val="single" w:sz="4" w:space="0" w:color="auto"/>
              <w:bottom w:val="single" w:sz="4" w:space="0" w:color="auto"/>
            </w:tcBorders>
            <w:shd w:val="clear" w:color="auto" w:fill="auto"/>
            <w:vAlign w:val="center"/>
          </w:tcPr>
          <w:p w14:paraId="5976A38F" w14:textId="77777777" w:rsidR="00B94630" w:rsidRDefault="000D22DC">
            <w:pPr>
              <w:pStyle w:val="Inne0"/>
              <w:jc w:val="both"/>
            </w:pPr>
            <w:r>
              <w:rPr>
                <w:rStyle w:val="Inne"/>
              </w:rPr>
              <w:t xml:space="preserve">Presentación a la autoridad </w:t>
            </w:r>
            <w:r>
              <w:rPr>
                <w:rStyle w:val="Inne"/>
              </w:rPr>
              <w:t>competente de la solicitud de consentimiento para servir en un ejército extranjero o una organización militar extranjera, traslado al Instituto de la Memoria Nacional de la solicitud de acceso a documentos archivados en el Instituto de Memoria Nacional.</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376D8981" w14:textId="77777777" w:rsidR="00B94630" w:rsidRDefault="000D22DC">
            <w:pPr>
              <w:pStyle w:val="Inne0"/>
            </w:pPr>
            <w:r>
              <w:rPr>
                <w:rStyle w:val="Inne"/>
              </w:rPr>
              <w:t>10</w:t>
            </w:r>
            <w:r>
              <w:rPr>
                <w:rStyle w:val="Inne"/>
              </w:rPr>
              <w:t xml:space="preserve"> años</w:t>
            </w:r>
          </w:p>
        </w:tc>
      </w:tr>
    </w:tbl>
    <w:p w14:paraId="557361D7" w14:textId="77777777" w:rsidR="000D22DC" w:rsidRDefault="000D22DC"/>
    <w:sectPr w:rsidR="000D22DC">
      <w:pgSz w:w="16840" w:h="11900" w:orient="landscape"/>
      <w:pgMar w:top="426" w:right="250" w:bottom="248" w:left="42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EC84" w14:textId="77777777" w:rsidR="000D22DC" w:rsidRDefault="000D22DC">
      <w:r>
        <w:separator/>
      </w:r>
    </w:p>
  </w:endnote>
  <w:endnote w:type="continuationSeparator" w:id="0">
    <w:p w14:paraId="3DB41B1C" w14:textId="77777777" w:rsidR="000D22DC" w:rsidRDefault="000D2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FF78" w14:textId="77777777" w:rsidR="000D22DC" w:rsidRDefault="000D22DC"/>
  </w:footnote>
  <w:footnote w:type="continuationSeparator" w:id="0">
    <w:p w14:paraId="4B49A135" w14:textId="77777777" w:rsidR="000D22DC" w:rsidRDefault="000D22D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30"/>
    <w:rsid w:val="000D22DC"/>
    <w:rsid w:val="00774FBC"/>
    <w:rsid w:val="008877F8"/>
    <w:rsid w:val="00B946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06A5B"/>
  <w15:docId w15:val="{D6E24B41-25FE-47A0-805B-8A3E6ADD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
    <w:name w:val="Nagłówek #1_"/>
    <w:basedOn w:val="Domylnaczcionkaakapitu"/>
    <w:link w:val="Nagwek10"/>
    <w:rPr>
      <w:rFonts w:ascii="Calibri" w:eastAsia="Calibri" w:hAnsi="Calibri" w:cs="Calibri"/>
      <w:b/>
      <w:bCs/>
      <w:i w:val="0"/>
      <w:iCs w:val="0"/>
      <w:smallCaps w:val="0"/>
      <w:strike w:val="0"/>
      <w:sz w:val="20"/>
      <w:szCs w:val="20"/>
      <w:u w:val="single"/>
    </w:rPr>
  </w:style>
  <w:style w:type="character" w:customStyle="1" w:styleId="Inne">
    <w:name w:val="Inne_"/>
    <w:basedOn w:val="Domylnaczcionkaakapitu"/>
    <w:link w:val="Inne0"/>
    <w:rPr>
      <w:rFonts w:ascii="Calibri" w:eastAsia="Calibri" w:hAnsi="Calibri" w:cs="Calibri"/>
      <w:b w:val="0"/>
      <w:bCs w:val="0"/>
      <w:i w:val="0"/>
      <w:iCs w:val="0"/>
      <w:smallCaps w:val="0"/>
      <w:strike w:val="0"/>
      <w:sz w:val="18"/>
      <w:szCs w:val="18"/>
      <w:u w:val="none"/>
    </w:rPr>
  </w:style>
  <w:style w:type="paragraph" w:customStyle="1" w:styleId="Nagwek10">
    <w:name w:val="Nagłówek #1"/>
    <w:basedOn w:val="Normalny"/>
    <w:link w:val="Nagwek1"/>
    <w:pPr>
      <w:spacing w:after="240"/>
      <w:jc w:val="center"/>
      <w:outlineLvl w:val="0"/>
    </w:pPr>
    <w:rPr>
      <w:rFonts w:ascii="Calibri" w:eastAsia="Calibri" w:hAnsi="Calibri" w:cs="Calibri"/>
      <w:b/>
      <w:bCs/>
      <w:sz w:val="20"/>
      <w:szCs w:val="20"/>
      <w:u w:val="single"/>
    </w:rPr>
  </w:style>
  <w:style w:type="paragraph" w:customStyle="1" w:styleId="Inne0">
    <w:name w:val="Inne"/>
    <w:basedOn w:val="Normalny"/>
    <w:link w:val="Inne"/>
    <w:rPr>
      <w:rFonts w:ascii="Calibri" w:eastAsia="Calibri" w:hAnsi="Calibri" w:cs="Calibri"/>
      <w:sz w:val="18"/>
      <w:szCs w:val="18"/>
    </w:rPr>
  </w:style>
  <w:style w:type="paragraph" w:styleId="HTML-wstpniesformatowany">
    <w:name w:val="HTML Preformatted"/>
    <w:basedOn w:val="Normalny"/>
    <w:link w:val="HTML-wstpniesformatowanyZnak"/>
    <w:uiPriority w:val="99"/>
    <w:semiHidden/>
    <w:unhideWhenUsed/>
    <w:rsid w:val="008877F8"/>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8877F8"/>
    <w:rPr>
      <w:rFonts w:ascii="Consolas" w:hAnsi="Consolas"/>
      <w:color w:val="000000"/>
      <w:sz w:val="20"/>
      <w:szCs w:val="20"/>
    </w:rPr>
  </w:style>
  <w:style w:type="character" w:customStyle="1" w:styleId="y2iqfc">
    <w:name w:val="y2iqfc"/>
    <w:basedOn w:val="Domylnaczcionkaakapitu"/>
    <w:rsid w:val="0088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19693">
      <w:bodyDiv w:val="1"/>
      <w:marLeft w:val="0"/>
      <w:marRight w:val="0"/>
      <w:marTop w:val="0"/>
      <w:marBottom w:val="0"/>
      <w:divBdr>
        <w:top w:val="none" w:sz="0" w:space="0" w:color="auto"/>
        <w:left w:val="none" w:sz="0" w:space="0" w:color="auto"/>
        <w:bottom w:val="none" w:sz="0" w:space="0" w:color="auto"/>
        <w:right w:val="none" w:sz="0" w:space="0" w:color="auto"/>
      </w:divBdr>
    </w:div>
    <w:div w:id="478695137">
      <w:bodyDiv w:val="1"/>
      <w:marLeft w:val="0"/>
      <w:marRight w:val="0"/>
      <w:marTop w:val="0"/>
      <w:marBottom w:val="0"/>
      <w:divBdr>
        <w:top w:val="none" w:sz="0" w:space="0" w:color="auto"/>
        <w:left w:val="none" w:sz="0" w:space="0" w:color="auto"/>
        <w:bottom w:val="none" w:sz="0" w:space="0" w:color="auto"/>
        <w:right w:val="none" w:sz="0" w:space="0" w:color="auto"/>
      </w:divBdr>
    </w:div>
    <w:div w:id="534929762">
      <w:bodyDiv w:val="1"/>
      <w:marLeft w:val="0"/>
      <w:marRight w:val="0"/>
      <w:marTop w:val="0"/>
      <w:marBottom w:val="0"/>
      <w:divBdr>
        <w:top w:val="none" w:sz="0" w:space="0" w:color="auto"/>
        <w:left w:val="none" w:sz="0" w:space="0" w:color="auto"/>
        <w:bottom w:val="none" w:sz="0" w:space="0" w:color="auto"/>
        <w:right w:val="none" w:sz="0" w:space="0" w:color="auto"/>
      </w:divBdr>
    </w:div>
    <w:div w:id="705761024">
      <w:bodyDiv w:val="1"/>
      <w:marLeft w:val="0"/>
      <w:marRight w:val="0"/>
      <w:marTop w:val="0"/>
      <w:marBottom w:val="0"/>
      <w:divBdr>
        <w:top w:val="none" w:sz="0" w:space="0" w:color="auto"/>
        <w:left w:val="none" w:sz="0" w:space="0" w:color="auto"/>
        <w:bottom w:val="none" w:sz="0" w:space="0" w:color="auto"/>
        <w:right w:val="none" w:sz="0" w:space="0" w:color="auto"/>
      </w:divBdr>
    </w:div>
    <w:div w:id="822625202">
      <w:bodyDiv w:val="1"/>
      <w:marLeft w:val="0"/>
      <w:marRight w:val="0"/>
      <w:marTop w:val="0"/>
      <w:marBottom w:val="0"/>
      <w:divBdr>
        <w:top w:val="none" w:sz="0" w:space="0" w:color="auto"/>
        <w:left w:val="none" w:sz="0" w:space="0" w:color="auto"/>
        <w:bottom w:val="none" w:sz="0" w:space="0" w:color="auto"/>
        <w:right w:val="none" w:sz="0" w:space="0" w:color="auto"/>
      </w:divBdr>
    </w:div>
    <w:div w:id="853687291">
      <w:bodyDiv w:val="1"/>
      <w:marLeft w:val="0"/>
      <w:marRight w:val="0"/>
      <w:marTop w:val="0"/>
      <w:marBottom w:val="0"/>
      <w:divBdr>
        <w:top w:val="none" w:sz="0" w:space="0" w:color="auto"/>
        <w:left w:val="none" w:sz="0" w:space="0" w:color="auto"/>
        <w:bottom w:val="none" w:sz="0" w:space="0" w:color="auto"/>
        <w:right w:val="none" w:sz="0" w:space="0" w:color="auto"/>
      </w:divBdr>
    </w:div>
    <w:div w:id="910889759">
      <w:bodyDiv w:val="1"/>
      <w:marLeft w:val="0"/>
      <w:marRight w:val="0"/>
      <w:marTop w:val="0"/>
      <w:marBottom w:val="0"/>
      <w:divBdr>
        <w:top w:val="none" w:sz="0" w:space="0" w:color="auto"/>
        <w:left w:val="none" w:sz="0" w:space="0" w:color="auto"/>
        <w:bottom w:val="none" w:sz="0" w:space="0" w:color="auto"/>
        <w:right w:val="none" w:sz="0" w:space="0" w:color="auto"/>
      </w:divBdr>
    </w:div>
    <w:div w:id="995836752">
      <w:bodyDiv w:val="1"/>
      <w:marLeft w:val="0"/>
      <w:marRight w:val="0"/>
      <w:marTop w:val="0"/>
      <w:marBottom w:val="0"/>
      <w:divBdr>
        <w:top w:val="none" w:sz="0" w:space="0" w:color="auto"/>
        <w:left w:val="none" w:sz="0" w:space="0" w:color="auto"/>
        <w:bottom w:val="none" w:sz="0" w:space="0" w:color="auto"/>
        <w:right w:val="none" w:sz="0" w:space="0" w:color="auto"/>
      </w:divBdr>
    </w:div>
    <w:div w:id="1180389231">
      <w:bodyDiv w:val="1"/>
      <w:marLeft w:val="0"/>
      <w:marRight w:val="0"/>
      <w:marTop w:val="0"/>
      <w:marBottom w:val="0"/>
      <w:divBdr>
        <w:top w:val="none" w:sz="0" w:space="0" w:color="auto"/>
        <w:left w:val="none" w:sz="0" w:space="0" w:color="auto"/>
        <w:bottom w:val="none" w:sz="0" w:space="0" w:color="auto"/>
        <w:right w:val="none" w:sz="0" w:space="0" w:color="auto"/>
      </w:divBdr>
    </w:div>
    <w:div w:id="1406369326">
      <w:bodyDiv w:val="1"/>
      <w:marLeft w:val="0"/>
      <w:marRight w:val="0"/>
      <w:marTop w:val="0"/>
      <w:marBottom w:val="0"/>
      <w:divBdr>
        <w:top w:val="none" w:sz="0" w:space="0" w:color="auto"/>
        <w:left w:val="none" w:sz="0" w:space="0" w:color="auto"/>
        <w:bottom w:val="none" w:sz="0" w:space="0" w:color="auto"/>
        <w:right w:val="none" w:sz="0" w:space="0" w:color="auto"/>
      </w:divBdr>
    </w:div>
    <w:div w:id="1577473367">
      <w:bodyDiv w:val="1"/>
      <w:marLeft w:val="0"/>
      <w:marRight w:val="0"/>
      <w:marTop w:val="0"/>
      <w:marBottom w:val="0"/>
      <w:divBdr>
        <w:top w:val="none" w:sz="0" w:space="0" w:color="auto"/>
        <w:left w:val="none" w:sz="0" w:space="0" w:color="auto"/>
        <w:bottom w:val="none" w:sz="0" w:space="0" w:color="auto"/>
        <w:right w:val="none" w:sz="0" w:space="0" w:color="auto"/>
      </w:divBdr>
    </w:div>
    <w:div w:id="1710648893">
      <w:bodyDiv w:val="1"/>
      <w:marLeft w:val="0"/>
      <w:marRight w:val="0"/>
      <w:marTop w:val="0"/>
      <w:marBottom w:val="0"/>
      <w:divBdr>
        <w:top w:val="none" w:sz="0" w:space="0" w:color="auto"/>
        <w:left w:val="none" w:sz="0" w:space="0" w:color="auto"/>
        <w:bottom w:val="none" w:sz="0" w:space="0" w:color="auto"/>
        <w:right w:val="none" w:sz="0" w:space="0" w:color="auto"/>
      </w:divBdr>
    </w:div>
    <w:div w:id="2031098590">
      <w:bodyDiv w:val="1"/>
      <w:marLeft w:val="0"/>
      <w:marRight w:val="0"/>
      <w:marTop w:val="0"/>
      <w:marBottom w:val="0"/>
      <w:divBdr>
        <w:top w:val="none" w:sz="0" w:space="0" w:color="auto"/>
        <w:left w:val="none" w:sz="0" w:space="0" w:color="auto"/>
        <w:bottom w:val="none" w:sz="0" w:space="0" w:color="auto"/>
        <w:right w:val="none" w:sz="0" w:space="0" w:color="auto"/>
      </w:divBdr>
    </w:div>
    <w:div w:id="2036689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1348</Words>
  <Characters>8093</Characters>
  <Application>Microsoft Office Word</Application>
  <DocSecurity>0</DocSecurity>
  <Lines>67</Lines>
  <Paragraphs>18</Paragraphs>
  <ScaleCrop>false</ScaleCrop>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 es</dc:title>
  <dc:subject/>
  <dc:creator>swietlikm</dc:creator>
  <cp:keywords/>
  <cp:lastModifiedBy>Perendyk Monika</cp:lastModifiedBy>
  <cp:revision>3</cp:revision>
  <dcterms:created xsi:type="dcterms:W3CDTF">2025-02-20T19:17:00Z</dcterms:created>
  <dcterms:modified xsi:type="dcterms:W3CDTF">2025-02-20T19:25:00Z</dcterms:modified>
</cp:coreProperties>
</file>