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6BE1" w14:textId="5BB1FC09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703FE1">
        <w:rPr>
          <w:rFonts w:ascii="Arial" w:hAnsi="Arial" w:cs="Arial"/>
          <w:bCs/>
          <w:i/>
          <w:iCs/>
          <w:sz w:val="20"/>
          <w:szCs w:val="20"/>
        </w:rPr>
        <w:t>3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0CB7A05D" w14:textId="0F3FEF0D" w:rsidR="00FA399F" w:rsidRDefault="00FA399F" w:rsidP="00FA399F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Aktualizacja 1</w:t>
      </w:r>
      <w:r w:rsidR="008F149D">
        <w:rPr>
          <w:rFonts w:ascii="Arial" w:hAnsi="Arial" w:cs="Arial"/>
          <w:i/>
          <w:iCs/>
          <w:sz w:val="20"/>
          <w:szCs w:val="20"/>
        </w:rPr>
        <w:t>1</w:t>
      </w:r>
      <w:r>
        <w:rPr>
          <w:rFonts w:ascii="Arial" w:hAnsi="Arial" w:cs="Arial"/>
          <w:i/>
          <w:iCs/>
          <w:sz w:val="20"/>
          <w:szCs w:val="20"/>
        </w:rPr>
        <w:t xml:space="preserve">.2025 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31654096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B9C69A0" w:rsidR="00503FF2" w:rsidRPr="00C83EB6" w:rsidRDefault="00CF4650" w:rsidP="00C83EB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1764B5" w:rsidRPr="00C83EB6">
        <w:rPr>
          <w:rFonts w:ascii="Arial" w:hAnsi="Arial" w:cs="Arial"/>
          <w:sz w:val="20"/>
          <w:szCs w:val="20"/>
          <w:lang w:eastAsia="pl-PL"/>
        </w:rPr>
        <w:t>w tym</w:t>
      </w:r>
      <w:r w:rsidR="00C83EB6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1764B5" w:rsidRPr="00C83EB6">
        <w:rPr>
          <w:rFonts w:ascii="Arial" w:hAnsi="Arial" w:cs="Arial"/>
          <w:sz w:val="20"/>
          <w:szCs w:val="20"/>
          <w:lang w:eastAsia="pl-PL"/>
        </w:rPr>
        <w:t xml:space="preserve">:  </w:t>
      </w:r>
      <w:r w:rsidR="00503FF2" w:rsidRPr="00C83EB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Pr="003A404F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</w:t>
      </w:r>
      <w:r w:rsidR="003278C8" w:rsidRPr="006C1E18">
        <w:rPr>
          <w:rFonts w:ascii="Arial" w:hAnsi="Arial" w:cs="Arial"/>
          <w:sz w:val="20"/>
          <w:szCs w:val="20"/>
        </w:rPr>
        <w:lastRenderedPageBreak/>
        <w:t xml:space="preserve">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78AFC921" w:rsidR="00CD3B95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D3B95" w:rsidRPr="006C1E18">
        <w:rPr>
          <w:rFonts w:ascii="Arial" w:hAnsi="Arial" w:cs="Arial"/>
          <w:sz w:val="20"/>
          <w:szCs w:val="20"/>
        </w:rPr>
        <w:t>;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1923E4C7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C261A6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 sprawozdani</w:t>
      </w:r>
      <w:r w:rsidR="00C261A6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C261A6">
        <w:rPr>
          <w:rFonts w:ascii="Arial" w:hAnsi="Arial" w:cs="Arial"/>
          <w:sz w:val="20"/>
          <w:szCs w:val="20"/>
          <w:lang w:eastAsia="pl-PL"/>
        </w:rPr>
        <w:t xml:space="preserve"> za ostatni rok obrachunkowy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C261A6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C261A6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C261A6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5B8401E2" w:rsidR="0023737E" w:rsidRPr="006C1E18" w:rsidRDefault="0023737E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następujące dokumenty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Pr="006C1E18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9449F7" w:rsidR="0023737E" w:rsidRPr="006C1E18" w:rsidRDefault="00B06BBD" w:rsidP="00F76E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>
        <w:rPr>
          <w:rFonts w:ascii="Arial" w:hAnsi="Arial" w:cs="Arial"/>
          <w:sz w:val="20"/>
          <w:szCs w:val="20"/>
          <w:lang w:eastAsia="pl-PL"/>
        </w:rPr>
        <w:t>P</w:t>
      </w:r>
      <w:r w:rsidR="00200DF7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r w:rsidR="002350E5" w:rsidRPr="006C1E18">
        <w:rPr>
          <w:rFonts w:ascii="Arial" w:hAnsi="Arial" w:cs="Arial"/>
          <w:sz w:val="20"/>
          <w:szCs w:val="20"/>
          <w:lang w:eastAsia="pl-PL"/>
        </w:rPr>
        <w:t>;</w:t>
      </w:r>
    </w:p>
    <w:p w14:paraId="01B68F5C" w14:textId="77777777" w:rsidR="0023737E" w:rsidRPr="006C1E18" w:rsidRDefault="0023737E" w:rsidP="00F76E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75DC04CF" w:rsidR="0023737E" w:rsidRPr="006C1E18" w:rsidRDefault="0023737E" w:rsidP="00F76E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</w:t>
      </w:r>
      <w:r w:rsidR="00A06A30" w:rsidRPr="006C1E18">
        <w:rPr>
          <w:rFonts w:ascii="Arial" w:hAnsi="Arial" w:cs="Arial"/>
          <w:sz w:val="20"/>
          <w:szCs w:val="20"/>
          <w:lang w:eastAsia="pl-PL"/>
        </w:rPr>
        <w:t>…</w:t>
      </w:r>
    </w:p>
    <w:p w14:paraId="2BD6B564" w14:textId="69E64FC3" w:rsidR="00B06BBD" w:rsidRPr="006C1E18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1"/>
      </w:r>
    </w:p>
    <w:p w14:paraId="7E1CD378" w14:textId="1CC87743" w:rsidR="008061A2" w:rsidRPr="00BB3D52" w:rsidRDefault="008061A2" w:rsidP="00BB3D52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3" w:name="_Hlk203564157"/>
    </w:p>
    <w:bookmarkEnd w:id="3"/>
    <w:p w14:paraId="6A628074" w14:textId="26381D71" w:rsidR="008061A2" w:rsidRPr="008061A2" w:rsidRDefault="00B84A97" w:rsidP="00B75CF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  <w:bookmarkStart w:id="4" w:name="_Hlk203564199"/>
    </w:p>
    <w:bookmarkEnd w:id="4"/>
    <w:p w14:paraId="3949E13B" w14:textId="51CE484C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 xml:space="preserve">w sprawie oceny skutków wywieranych przez niektóre przedsięwzięcia publiczne i prywatne na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B30202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9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590C47EE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20F0F6D8" w:rsidR="002116C6" w:rsidRPr="00B30202" w:rsidRDefault="002116C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4D0116" w:rsidRPr="004D0116">
        <w:rPr>
          <w:rFonts w:ascii="Arial" w:eastAsiaTheme="minorEastAsia" w:hAnsi="Arial" w:cs="Arial"/>
          <w:sz w:val="20"/>
          <w:szCs w:val="20"/>
        </w:rPr>
        <w:t>Europejskiego Obszaru Gospodarczego (EOG)</w:t>
      </w:r>
      <w:r w:rsidR="00C261A6">
        <w:rPr>
          <w:rFonts w:ascii="Arial" w:eastAsiaTheme="minorEastAsia" w:hAnsi="Arial" w:cs="Arial"/>
          <w:sz w:val="20"/>
          <w:szCs w:val="20"/>
        </w:rPr>
        <w:t xml:space="preserve"> </w:t>
      </w:r>
      <w:r w:rsidRPr="00B30202">
        <w:rPr>
          <w:rFonts w:ascii="Arial" w:eastAsiaTheme="minorEastAsia" w:hAnsi="Arial" w:cs="Arial"/>
          <w:sz w:val="20"/>
          <w:szCs w:val="20"/>
        </w:rPr>
        <w:t xml:space="preserve">lub Szwajcarii, </w:t>
      </w:r>
      <w:r w:rsidR="005B05C7">
        <w:rPr>
          <w:rFonts w:ascii="Arial" w:eastAsiaTheme="minorEastAsia" w:hAnsi="Arial" w:cs="Arial"/>
          <w:sz w:val="20"/>
          <w:szCs w:val="20"/>
        </w:rPr>
        <w:t>nad którymi musi być sprawowana kontrola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EOG lub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ze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Szwajcarii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61EBB146" w:rsidR="00955DA0" w:rsidRPr="00B30202" w:rsidRDefault="00BC3F52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lub nabywcę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756752CF" w:rsidR="00BD6F21" w:rsidRPr="006912CE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C261A6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form:</w:t>
      </w:r>
    </w:p>
    <w:p w14:paraId="620AF830" w14:textId="0F5F5184" w:rsidR="00BD6F21" w:rsidRPr="000D228F" w:rsidRDefault="003C3283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D228F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rynku wewnętrznego UE</w:t>
      </w:r>
      <w:r w:rsidR="0083346C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Pr="000D228F">
        <w:rPr>
          <w:rFonts w:ascii="Arial" w:eastAsiaTheme="minorEastAsia" w:hAnsi="Arial" w:cs="Arial"/>
          <w:sz w:val="20"/>
          <w:szCs w:val="20"/>
        </w:rPr>
        <w:t>, tj. wprowadzi innowację produktową (na bazie uzyskanych wyników rozpocznie produkcję nowych/ulepszonych wyrobów lub zacznie świadczyć nowe/ulepszone usługi) lub wprowadzi innowację w swoim procesie biznesowym (na bazie uzyskanych wyników wprowadzi nowy/ulepszony proces produkcji wyrobów lub świadczenia usług, które są/będą wprowadzone na rynek)</w:t>
      </w:r>
      <w:r w:rsidR="00BD6F21" w:rsidRPr="000D228F">
        <w:rPr>
          <w:rFonts w:ascii="Arial" w:eastAsiaTheme="minorEastAsia" w:hAnsi="Arial" w:cs="Arial"/>
          <w:sz w:val="20"/>
          <w:szCs w:val="20"/>
        </w:rPr>
        <w:t xml:space="preserve"> lub </w:t>
      </w:r>
    </w:p>
    <w:p w14:paraId="59E045AB" w14:textId="6D56525A" w:rsidR="00BD6F21" w:rsidRPr="00381539" w:rsidRDefault="00BD6F21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udziel</w:t>
      </w:r>
      <w:r w:rsidR="00073BDB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</w:t>
      </w:r>
      <w:r w:rsidR="005D1810" w:rsidRPr="00381539">
        <w:rPr>
          <w:rFonts w:ascii="Arial" w:eastAsiaTheme="minorEastAsia" w:hAnsi="Arial" w:cs="Arial"/>
          <w:sz w:val="20"/>
          <w:szCs w:val="20"/>
        </w:rPr>
        <w:t>ji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na korzystanie z przysługujących praw do wyników prac B+R w działalności gospodarczej prowadzonej przez innego przedsiębiorcę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="005D1810" w:rsidRPr="00381539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1B893C6F" w14:textId="69346904" w:rsidR="005D1810" w:rsidRPr="00B30202" w:rsidRDefault="005D1810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sprzeda (na zasadach rynkowych) praw</w:t>
      </w:r>
      <w:r w:rsidR="00EC7C94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do wyników</w:t>
      </w:r>
      <w:r w:rsidR="00651DF1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w celu wprowadzenia ich do działalności gospodarczej</w:t>
      </w:r>
      <w:r w:rsidR="0040438F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innego przedsiębiorcy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6D1A52D6" w14:textId="46B101E5" w:rsidR="00A47066" w:rsidRPr="00381539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</w:t>
      </w:r>
      <w:r w:rsidR="00C8599E" w:rsidRPr="00381539">
        <w:rPr>
          <w:rFonts w:ascii="Arial" w:eastAsiaTheme="minorEastAsia" w:hAnsi="Arial" w:cs="Arial"/>
          <w:sz w:val="20"/>
          <w:szCs w:val="20"/>
        </w:rPr>
        <w:t>/ sprzedaży</w:t>
      </w:r>
      <w:r w:rsidRPr="00381539">
        <w:rPr>
          <w:rFonts w:ascii="Arial" w:eastAsiaTheme="minorEastAsia" w:hAnsi="Arial" w:cs="Arial"/>
          <w:sz w:val="20"/>
          <w:szCs w:val="20"/>
        </w:rPr>
        <w:t>:</w:t>
      </w:r>
    </w:p>
    <w:p w14:paraId="5BAE7BEA" w14:textId="24E8E567" w:rsidR="00164C42" w:rsidRPr="00164C42" w:rsidRDefault="00E335EC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licencjobiorca/ nabywca musi być podmiotem założonym (zarejestrowanym)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w państwie</w:t>
      </w:r>
      <w:r w:rsidR="00DF2056" w:rsidRPr="00DF2056">
        <w:t xml:space="preserve"> </w:t>
      </w:r>
      <w:r w:rsidR="00DF2056" w:rsidRPr="00DF2056">
        <w:rPr>
          <w:rFonts w:ascii="Arial" w:eastAsiaTheme="minorEastAsia" w:hAnsi="Arial" w:cs="Arial"/>
          <w:sz w:val="20"/>
          <w:szCs w:val="20"/>
        </w:rPr>
        <w:t>należąc</w:t>
      </w:r>
      <w:r w:rsidR="00C83EB6">
        <w:rPr>
          <w:rFonts w:ascii="Arial" w:eastAsiaTheme="minorEastAsia" w:hAnsi="Arial" w:cs="Arial"/>
          <w:sz w:val="20"/>
          <w:szCs w:val="20"/>
        </w:rPr>
        <w:t>ym</w:t>
      </w:r>
      <w:r w:rsidR="00DF2056" w:rsidRPr="00DF2056">
        <w:rPr>
          <w:rFonts w:ascii="Arial" w:eastAsiaTheme="minorEastAsia" w:hAnsi="Arial" w:cs="Arial"/>
          <w:sz w:val="20"/>
          <w:szCs w:val="20"/>
        </w:rPr>
        <w:t xml:space="preserve"> do Europejskiego Obszaru Gospodarczego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DF2056">
        <w:rPr>
          <w:rFonts w:ascii="Arial" w:eastAsiaTheme="minorEastAsia" w:hAnsi="Arial" w:cs="Arial"/>
          <w:sz w:val="20"/>
          <w:szCs w:val="20"/>
        </w:rPr>
        <w:t>(</w:t>
      </w:r>
      <w:r w:rsidR="00DE41B3" w:rsidRPr="00164C42">
        <w:rPr>
          <w:rFonts w:ascii="Arial" w:eastAsiaTheme="minorEastAsia" w:hAnsi="Arial" w:cs="Arial"/>
          <w:sz w:val="20"/>
          <w:szCs w:val="20"/>
        </w:rPr>
        <w:t>EOG</w:t>
      </w:r>
      <w:r w:rsidR="00DF2056">
        <w:rPr>
          <w:rFonts w:ascii="Arial" w:eastAsiaTheme="minorEastAsia" w:hAnsi="Arial" w:cs="Arial"/>
          <w:sz w:val="20"/>
          <w:szCs w:val="20"/>
        </w:rPr>
        <w:t>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lub w Szwajcarii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oraz</w:t>
      </w:r>
      <w:r w:rsidR="00936426" w:rsidRPr="00164C42">
        <w:rPr>
          <w:rFonts w:ascii="Arial" w:eastAsiaTheme="minorEastAsia" w:hAnsi="Arial" w:cs="Arial"/>
          <w:sz w:val="20"/>
          <w:szCs w:val="20"/>
        </w:rPr>
        <w:t xml:space="preserve"> musi być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kontrolowany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C83EB6" w:rsidRPr="00D43313">
        <w:rPr>
          <w:rFonts w:ascii="Arial" w:eastAsiaTheme="minorEastAsia" w:hAnsi="Arial" w:cs="Arial"/>
          <w:sz w:val="20"/>
          <w:szCs w:val="20"/>
        </w:rPr>
        <w:t>(sprawowana kontrola)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przez państwo </w:t>
      </w:r>
      <w:r w:rsidR="00FB6A06" w:rsidRPr="00164C42">
        <w:rPr>
          <w:rFonts w:ascii="Arial" w:eastAsiaTheme="minorEastAsia" w:hAnsi="Arial" w:cs="Arial"/>
          <w:sz w:val="20"/>
          <w:szCs w:val="20"/>
        </w:rPr>
        <w:t>lub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podmiot z państwa </w:t>
      </w:r>
      <w:r w:rsidR="00DF2056">
        <w:rPr>
          <w:rFonts w:ascii="Arial" w:eastAsiaTheme="minorEastAsia" w:hAnsi="Arial" w:cs="Arial"/>
          <w:sz w:val="20"/>
          <w:szCs w:val="20"/>
        </w:rPr>
        <w:t>należącego do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Europejskiego Obszaru Gospodarczego (EOG) lub</w:t>
      </w:r>
      <w:r w:rsidR="00DF2056">
        <w:rPr>
          <w:rFonts w:ascii="Arial" w:eastAsiaTheme="minorEastAsia" w:hAnsi="Arial" w:cs="Arial"/>
          <w:sz w:val="20"/>
          <w:szCs w:val="20"/>
        </w:rPr>
        <w:t xml:space="preserve"> ze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Szwajcarii</w:t>
      </w:r>
      <w:r w:rsidR="00164C42" w:rsidRPr="00164C42">
        <w:rPr>
          <w:rFonts w:ascii="Arial" w:eastAsiaTheme="minorEastAsia" w:hAnsi="Arial" w:cs="Arial"/>
          <w:sz w:val="20"/>
          <w:szCs w:val="20"/>
        </w:rPr>
        <w:t xml:space="preserve">. </w:t>
      </w:r>
      <w:r w:rsidR="00B974A3" w:rsidRPr="00164C42">
        <w:rPr>
          <w:rFonts w:ascii="Arial" w:eastAsiaTheme="minorEastAsia" w:hAnsi="Arial" w:cs="Arial"/>
          <w:sz w:val="20"/>
          <w:szCs w:val="20"/>
        </w:rPr>
        <w:t xml:space="preserve">Wraz z zawarciem umowy licencji/ sprzedaży </w:t>
      </w:r>
      <w:r w:rsidR="00A56800" w:rsidRPr="00164C42">
        <w:rPr>
          <w:rFonts w:ascii="Arial" w:eastAsiaTheme="minorEastAsia" w:hAnsi="Arial" w:cs="Arial"/>
          <w:sz w:val="20"/>
          <w:szCs w:val="20"/>
        </w:rPr>
        <w:t xml:space="preserve">Beneficjent zobowiązuje </w:t>
      </w:r>
      <w:r w:rsidR="00F665F1" w:rsidRPr="00164C42">
        <w:rPr>
          <w:rFonts w:ascii="Arial" w:eastAsiaTheme="minorEastAsia" w:hAnsi="Arial" w:cs="Arial"/>
          <w:sz w:val="20"/>
          <w:szCs w:val="20"/>
        </w:rPr>
        <w:t>l</w:t>
      </w:r>
      <w:r w:rsidR="00A56800" w:rsidRPr="00164C42">
        <w:rPr>
          <w:rFonts w:ascii="Arial" w:eastAsiaTheme="minorEastAsia" w:hAnsi="Arial" w:cs="Arial"/>
          <w:sz w:val="20"/>
          <w:szCs w:val="20"/>
        </w:rPr>
        <w:t>icencjobiorc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</w:t>
      </w:r>
      <w:r w:rsidR="00A56800" w:rsidRPr="00164C42">
        <w:rPr>
          <w:rFonts w:ascii="Arial" w:eastAsiaTheme="minorEastAsia" w:hAnsi="Arial" w:cs="Arial"/>
          <w:sz w:val="20"/>
          <w:szCs w:val="20"/>
        </w:rPr>
        <w:t>/ nabywc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 praw do wyników prac B+R do złożenia oświadczenia</w:t>
      </w:r>
      <w:r w:rsidR="00C83EB6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="00F665F1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51480E" w:rsidRPr="00164C42">
        <w:rPr>
          <w:rFonts w:ascii="Arial" w:eastAsiaTheme="minorEastAsia" w:hAnsi="Arial" w:cs="Arial"/>
          <w:sz w:val="20"/>
          <w:szCs w:val="20"/>
        </w:rPr>
        <w:t>dotyczącego</w:t>
      </w:r>
      <w:r w:rsidR="003F48A8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107510" w:rsidRPr="00164C42">
        <w:rPr>
          <w:rFonts w:ascii="Arial" w:eastAsiaTheme="minorEastAsia" w:hAnsi="Arial" w:cs="Arial"/>
          <w:sz w:val="20"/>
          <w:szCs w:val="20"/>
        </w:rPr>
        <w:t xml:space="preserve">sprawowania kontroli </w:t>
      </w:r>
      <w:r w:rsidR="00270444" w:rsidRPr="00164C42">
        <w:rPr>
          <w:rFonts w:ascii="Arial" w:eastAsiaTheme="minorEastAsia" w:hAnsi="Arial" w:cs="Arial"/>
          <w:sz w:val="20"/>
          <w:szCs w:val="20"/>
        </w:rPr>
        <w:t xml:space="preserve">nad licencjobiorcą/ nabywcą 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o treści </w:t>
      </w:r>
      <w:r w:rsidR="00C91562">
        <w:rPr>
          <w:rFonts w:ascii="Arial" w:eastAsiaTheme="minorEastAsia" w:hAnsi="Arial" w:cs="Arial"/>
          <w:sz w:val="20"/>
          <w:szCs w:val="20"/>
        </w:rPr>
        <w:t>zgodnej z załącznikiem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do Umowy.</w:t>
      </w:r>
    </w:p>
    <w:p w14:paraId="1AF8DD7C" w14:textId="6BF8207A" w:rsidR="00164C42" w:rsidRPr="00164C42" w:rsidRDefault="005C080C" w:rsidP="00F76E9A">
      <w:pPr>
        <w:pStyle w:val="Akapitzlist"/>
        <w:numPr>
          <w:ilvl w:val="1"/>
          <w:numId w:val="51"/>
        </w:num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zapewni, że licencjobiorca</w:t>
      </w:r>
      <w:r w:rsidR="00A64ACF" w:rsidRPr="00164C42">
        <w:rPr>
          <w:rFonts w:ascii="Arial" w:eastAsiaTheme="minorEastAsia" w:hAnsi="Arial" w:cs="Arial"/>
          <w:sz w:val="20"/>
          <w:szCs w:val="20"/>
        </w:rPr>
        <w:t>/ nabywca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wdroży wyniki</w:t>
      </w:r>
      <w:r w:rsidR="00597562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we własnej działalności gospodarczej, tj. rozpocznie produkcję </w:t>
      </w:r>
      <w:r w:rsidR="00E275BA" w:rsidRPr="00164C42">
        <w:t xml:space="preserve"> </w:t>
      </w:r>
      <w:r w:rsidR="00E275BA" w:rsidRPr="00164C42">
        <w:rPr>
          <w:rFonts w:ascii="Arial" w:eastAsiaTheme="minorEastAsia" w:hAnsi="Arial" w:cs="Arial"/>
          <w:sz w:val="20"/>
          <w:szCs w:val="20"/>
        </w:rPr>
        <w:t>nowych/ulepszonych wyrobów/ świadczenie nowych/ulepszonych usług  lub zastosuje nową technologię w swoim procesie biznesowym (na bazie uzyskanych wyników wprowadzi nowy/ulepszony proces produkcji wyrobów lub świadczenia usług, które będą wprowadzone na rynek)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1A632CF4" w14:textId="2902D9B0" w:rsid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wdrożenie wyników prac B+R przez licencjobiorcę</w:t>
      </w:r>
      <w:r w:rsidR="00D12B02" w:rsidRPr="00164C42">
        <w:rPr>
          <w:rFonts w:ascii="Arial" w:eastAsiaTheme="minorEastAsia" w:hAnsi="Arial" w:cs="Arial"/>
          <w:sz w:val="20"/>
          <w:szCs w:val="20"/>
        </w:rPr>
        <w:t>/ nabywcę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nastąpi na terytorium</w:t>
      </w:r>
      <w:r w:rsidR="00BE15DF" w:rsidRPr="00164C42">
        <w:rPr>
          <w:rFonts w:ascii="Arial" w:eastAsiaTheme="minorEastAsia" w:hAnsi="Arial" w:cs="Arial"/>
          <w:sz w:val="20"/>
          <w:szCs w:val="20"/>
        </w:rPr>
        <w:t xml:space="preserve"> rynku wewnętrznego Unii Europejskiej</w:t>
      </w:r>
      <w:r w:rsid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681641" w:rsidRPr="00164C42">
        <w:rPr>
          <w:rFonts w:ascii="Arial" w:eastAsiaTheme="minorEastAsia" w:hAnsi="Arial" w:cs="Arial"/>
          <w:sz w:val="20"/>
          <w:szCs w:val="20"/>
        </w:rPr>
        <w:t xml:space="preserve">nie później niż 5 lat od zakończenia </w:t>
      </w:r>
      <w:r w:rsidR="0039715E" w:rsidRPr="00164C42">
        <w:rPr>
          <w:rFonts w:ascii="Arial" w:eastAsiaTheme="minorEastAsia" w:hAnsi="Arial" w:cs="Arial"/>
          <w:sz w:val="20"/>
          <w:szCs w:val="20"/>
        </w:rPr>
        <w:t>P</w:t>
      </w:r>
      <w:r w:rsidR="00681641" w:rsidRPr="00164C42">
        <w:rPr>
          <w:rFonts w:ascii="Arial" w:eastAsiaTheme="minorEastAsia" w:hAnsi="Arial" w:cs="Arial"/>
          <w:sz w:val="20"/>
          <w:szCs w:val="20"/>
        </w:rPr>
        <w:t>rojektu (niezależnie od daty zawarcia umowy licencji/ umowy sprzedaży</w:t>
      </w:r>
      <w:r w:rsidR="00164C42">
        <w:rPr>
          <w:rFonts w:ascii="Arial" w:eastAsiaTheme="minorEastAsia" w:hAnsi="Arial" w:cs="Arial"/>
          <w:sz w:val="20"/>
          <w:szCs w:val="20"/>
        </w:rPr>
        <w:t>;</w:t>
      </w:r>
      <w:r w:rsidR="00F87CC2" w:rsidRPr="00F87CC2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Beneficjent przedłoży Instytucji sprawozdanie, o którym mowa w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§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693C3F">
        <w:rPr>
          <w:rFonts w:ascii="Arial" w:eastAsiaTheme="minorEastAsia" w:hAnsi="Arial" w:cs="Arial"/>
          <w:sz w:val="20"/>
          <w:szCs w:val="20"/>
        </w:rPr>
        <w:t xml:space="preserve"> </w:t>
      </w:r>
      <w:r w:rsidR="00F87CC2" w:rsidRPr="002F4A04">
        <w:rPr>
          <w:rFonts w:ascii="Arial" w:eastAsiaTheme="minorEastAsia" w:hAnsi="Arial" w:cs="Arial"/>
          <w:sz w:val="20"/>
          <w:szCs w:val="20"/>
        </w:rPr>
        <w:t>10</w:t>
      </w:r>
      <w:r w:rsidR="00F87CC2">
        <w:rPr>
          <w:rFonts w:ascii="Arial" w:eastAsiaTheme="minorEastAsia" w:hAnsi="Arial" w:cs="Arial"/>
          <w:sz w:val="20"/>
          <w:szCs w:val="20"/>
        </w:rPr>
        <w:t xml:space="preserve"> Umowy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F87CC2">
        <w:rPr>
          <w:rFonts w:ascii="Arial" w:eastAsiaTheme="minorEastAsia" w:hAnsi="Arial" w:cs="Arial"/>
          <w:sz w:val="20"/>
          <w:szCs w:val="20"/>
        </w:rPr>
        <w:t xml:space="preserve"> wyników prac B+R przez licencjobiorcę/ nabywcę, w terminie 30 dni od dnia złożenia oświadczenia, o którym mowa w ust. 6 lit. e</w:t>
      </w:r>
      <w:r w:rsidR="00F87CC2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F4D2C53" w14:textId="35940374" w:rsidR="00A47066" w:rsidRP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 wdrożenie wyników prac B+R nie uznaje się licencjonowania wyników</w:t>
      </w:r>
      <w:r w:rsidR="0027091D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w celu ich dalszego sublicencjonowania</w:t>
      </w:r>
      <w:r w:rsidR="00B1104C" w:rsidRPr="00164C42">
        <w:rPr>
          <w:rFonts w:ascii="Arial" w:eastAsiaTheme="minorEastAsia" w:hAnsi="Arial" w:cs="Arial"/>
          <w:sz w:val="20"/>
          <w:szCs w:val="20"/>
        </w:rPr>
        <w:t xml:space="preserve"> oraz zbycia praw do tych wyników w celu ich dalszej odsprzedaż</w:t>
      </w:r>
      <w:r w:rsidR="00164C42">
        <w:rPr>
          <w:rFonts w:ascii="Arial" w:eastAsiaTheme="minorEastAsia" w:hAnsi="Arial" w:cs="Arial"/>
          <w:sz w:val="20"/>
          <w:szCs w:val="20"/>
        </w:rPr>
        <w:t>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.  </w:t>
      </w:r>
    </w:p>
    <w:p w14:paraId="365A1ACA" w14:textId="6A6483EF" w:rsidR="00967ACF" w:rsidRPr="00430BB4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C61C3A">
        <w:rPr>
          <w:rFonts w:ascii="Arial" w:eastAsiaTheme="minorEastAsia" w:hAnsi="Arial" w:cs="Arial"/>
          <w:sz w:val="20"/>
          <w:szCs w:val="20"/>
        </w:rPr>
        <w:t>sprzedaż praw do tych wyników</w:t>
      </w:r>
      <w:r w:rsidR="00C61C3A" w:rsidRPr="00BD6F21">
        <w:rPr>
          <w:rFonts w:ascii="Arial" w:eastAsiaTheme="minorEastAsia" w:hAnsi="Arial" w:cs="Arial"/>
          <w:sz w:val="20"/>
          <w:szCs w:val="20"/>
        </w:rPr>
        <w:t xml:space="preserve"> 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1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2ABDD33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lub umowa sprzedaży praw do tych wyników</w:t>
      </w:r>
      <w:r w:rsidR="00A47066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7D54529D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gwarancję ceny udzielenia licencji na korzystanie z tych wyników</w:t>
      </w:r>
      <w:r w:rsidR="003F00AB" w:rsidRPr="00381539">
        <w:rPr>
          <w:rFonts w:ascii="Arial" w:eastAsiaTheme="minorEastAsia" w:hAnsi="Arial" w:cs="Arial"/>
          <w:sz w:val="20"/>
          <w:szCs w:val="20"/>
        </w:rPr>
        <w:t xml:space="preserve">/ ceny zbycia praw </w:t>
      </w:r>
      <w:r w:rsidR="00635631" w:rsidRPr="00381539">
        <w:rPr>
          <w:rFonts w:ascii="Arial" w:eastAsiaTheme="minorEastAsia" w:hAnsi="Arial" w:cs="Arial"/>
          <w:sz w:val="20"/>
          <w:szCs w:val="20"/>
        </w:rPr>
        <w:t>do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po cenie rynkowej; </w:t>
      </w:r>
    </w:p>
    <w:p w14:paraId="2AAE0CD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635631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(w przypadku umowy licencji) </w:t>
      </w:r>
      <w:r w:rsidR="001B38EE" w:rsidRPr="00164C42">
        <w:rPr>
          <w:rFonts w:ascii="Arial" w:eastAsiaTheme="minorEastAsia" w:hAnsi="Arial" w:cs="Arial"/>
          <w:sz w:val="20"/>
          <w:szCs w:val="20"/>
        </w:rPr>
        <w:t xml:space="preserve"> lub zakaz zbywania praw do tych wyników (w przypadku umowy sprzedaży)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podmiotowi trzeciemu;</w:t>
      </w:r>
    </w:p>
    <w:p w14:paraId="035EF73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termin, w jakim ma nastąpić wprowadzenie tych wyników do działalności gospodarczej licencjobiorcy</w:t>
      </w:r>
      <w:r w:rsidR="00C042B5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</w:t>
      </w:r>
      <w:r w:rsidR="00324A8C" w:rsidRPr="00164C42">
        <w:rPr>
          <w:rFonts w:ascii="Arial" w:eastAsiaTheme="minorEastAsia" w:hAnsi="Arial" w:cs="Arial"/>
          <w:sz w:val="20"/>
          <w:szCs w:val="20"/>
        </w:rPr>
        <w:t>/ umowy sprzedaży</w:t>
      </w:r>
      <w:r w:rsidRPr="00164C42">
        <w:rPr>
          <w:rFonts w:ascii="Arial" w:eastAsiaTheme="minorEastAsia" w:hAnsi="Arial" w:cs="Arial"/>
          <w:sz w:val="20"/>
          <w:szCs w:val="20"/>
        </w:rPr>
        <w:t>);</w:t>
      </w:r>
    </w:p>
    <w:p w14:paraId="097E90BA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324A8C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01B8A76F" w:rsidR="00164C42" w:rsidRDefault="0068700D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lastRenderedPageBreak/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własności intelektualnej będącej przedmiotem umowy udzielenia licencji/ sprzedaży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licencjobiorcy/ nabywcy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26F25835" w:rsidR="003D1409" w:rsidRDefault="00507D29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licencjobiorcy/ nabywcy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83EB6" w:rsidRPr="00E26EAB">
        <w:rPr>
          <w:rFonts w:ascii="Arial" w:eastAsiaTheme="minorEastAsia" w:hAnsi="Arial" w:cs="Arial"/>
          <w:sz w:val="20"/>
          <w:szCs w:val="20"/>
        </w:rPr>
        <w:t>sprawowaniu kontroli</w:t>
      </w:r>
      <w:r w:rsidR="003B494C">
        <w:rPr>
          <w:rFonts w:ascii="Arial" w:eastAsiaTheme="minorEastAsia" w:hAnsi="Arial" w:cs="Arial"/>
          <w:sz w:val="20"/>
          <w:szCs w:val="20"/>
        </w:rPr>
        <w:t>)</w:t>
      </w:r>
      <w:r w:rsidR="00C83EB6" w:rsidRPr="00E26EAB">
        <w:rPr>
          <w:rFonts w:ascii="Arial" w:eastAsiaTheme="minorEastAsia" w:hAnsi="Arial" w:cs="Arial"/>
          <w:sz w:val="20"/>
          <w:szCs w:val="20"/>
        </w:rPr>
        <w:t>,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licencji/ umowy sprzedaży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287EEE62" w14:textId="70BF91A0" w:rsidR="00F87CC2" w:rsidRPr="00164C42" w:rsidRDefault="00F87CC2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zobowiązanie licencjobiorcy/ nabywcy do przekazania Beneficjentowi informacji niezbędnych do sporządzenia sprawozdania, o którym mowa w ust. 4 pkt 3.</w:t>
      </w:r>
    </w:p>
    <w:bookmarkEnd w:id="6"/>
    <w:p w14:paraId="4C782205" w14:textId="6A18F050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430A9C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236884" w:rsidRPr="00381539">
        <w:rPr>
          <w:rFonts w:ascii="Arial" w:eastAsiaTheme="minorEastAsia" w:hAnsi="Arial" w:cs="Arial"/>
          <w:sz w:val="20"/>
          <w:szCs w:val="20"/>
        </w:rPr>
        <w:t>kopię umowy sprzedaży praw do wyników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lastRenderedPageBreak/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2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1C732632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A60AF7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42B10042" w:rsidR="00B23E8E" w:rsidRPr="005A7CD2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 xml:space="preserve">rozporządzenia Ministra Funduszy i Polityki Regionalnej z dnia 13 stycznia 2023 r. </w:t>
      </w:r>
      <w:r w:rsidRPr="005A7CD2">
        <w:rPr>
          <w:rFonts w:ascii="Arial" w:hAnsi="Arial" w:cs="Arial"/>
          <w:i/>
          <w:sz w:val="20"/>
          <w:szCs w:val="20"/>
        </w:rPr>
        <w:t>w sprawie udzielania pomocy finansowej przez Narodowe Centrum Badań i Rozwoju w ramach programu Fundusze Europejskie dla Nowoczesnej Gospodarki 2021-2027</w:t>
      </w:r>
      <w:r w:rsidRPr="005A7CD2">
        <w:rPr>
          <w:rFonts w:ascii="Arial" w:hAnsi="Arial" w:cs="Arial"/>
          <w:sz w:val="20"/>
          <w:szCs w:val="20"/>
        </w:rPr>
        <w:t xml:space="preserve"> (Dz. U. z 2023 r. poz. 187 z </w:t>
      </w:r>
      <w:proofErr w:type="spellStart"/>
      <w:r w:rsidRPr="005A7CD2">
        <w:rPr>
          <w:rFonts w:ascii="Arial" w:hAnsi="Arial" w:cs="Arial"/>
          <w:sz w:val="20"/>
          <w:szCs w:val="20"/>
        </w:rPr>
        <w:t>późn</w:t>
      </w:r>
      <w:proofErr w:type="spellEnd"/>
      <w:r w:rsidRPr="005A7CD2">
        <w:rPr>
          <w:rFonts w:ascii="Arial" w:hAnsi="Arial" w:cs="Arial"/>
          <w:sz w:val="20"/>
          <w:szCs w:val="20"/>
        </w:rPr>
        <w:t>. zm.)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D2E6F98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E4F059A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4 i </w:t>
      </w:r>
      <w:r w:rsidRPr="00381539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42F20656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Wkład własny należy wnieść w formie pieniężnej i nie może być sfinansowany ze środków publicznych. </w:t>
      </w:r>
    </w:p>
    <w:p w14:paraId="078152A8" w14:textId="2D992324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 przypadku zmiany kwoty wydatków kwalifikowalnych wynikającej ze zmiany zakresu Projektu, kwota przyznanego dofinansowania ulega zmianie po wyrażeniu zgody przez Instytucję, z zachowaniem postanowień ust. 4 oraz ust. 21.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nabycia prawa użytkowania wieczystego gruntu:</w:t>
      </w:r>
    </w:p>
    <w:p w14:paraId="66C9B981" w14:textId="77777777" w:rsidR="00B23E8E" w:rsidRPr="00381539" w:rsidRDefault="00B23E8E" w:rsidP="00F76E9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opinii rzeczoznawcy majątkowego potwierdzającej, że cena nabycia nie przekracza wartości rynkowej gruntu, aktualnej na dzień nabycia,</w:t>
      </w:r>
    </w:p>
    <w:p w14:paraId="63DE7A54" w14:textId="77777777" w:rsidR="00B23E8E" w:rsidRPr="00381539" w:rsidRDefault="00B23E8E" w:rsidP="00F76E9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oświadczenia podmiotu zbywającego, że grunt nie był współfinansowany ze środków unijnych lub z dotacji krajowych,</w:t>
      </w:r>
    </w:p>
    <w:p w14:paraId="6907DB01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516669D1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</w:t>
      </w:r>
      <w:r w:rsidR="00E5351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9052AF">
        <w:rPr>
          <w:rFonts w:ascii="Arial" w:hAnsi="Arial" w:cs="Arial"/>
          <w:sz w:val="20"/>
          <w:szCs w:val="20"/>
          <w:lang w:eastAsia="pl-PL"/>
        </w:rPr>
        <w:t>ów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E53510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E53510"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płatność z wyłączeniem wydatków, których kwalifikowalność nie została udokumentowana prawidłowo.</w:t>
      </w:r>
    </w:p>
    <w:p w14:paraId="6D09865A" w14:textId="77777777" w:rsidR="00B23E8E" w:rsidRPr="00381539" w:rsidRDefault="00B23E8E" w:rsidP="00F76E9A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F76E9A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F76E9A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F76E9A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3896D7F6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83EB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lastRenderedPageBreak/>
        <w:t>pozytywnej weryfikacji części sprawozdawczej wniosku o płatność.</w:t>
      </w:r>
    </w:p>
    <w:p w14:paraId="36F3D930" w14:textId="77777777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47EC9481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69AB9B2C" w14:textId="5A09F074" w:rsidR="00B23E8E" w:rsidRPr="00381539" w:rsidRDefault="00B23E8E" w:rsidP="00F76E9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22E907EC" w14:textId="77777777" w:rsidR="00B23E8E" w:rsidRPr="005D65B3" w:rsidRDefault="00B23E8E" w:rsidP="00EB3872">
      <w:pPr>
        <w:pStyle w:val="Akapitzlist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F76E9A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77777777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4C5CF5C0" w14:textId="77777777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3DAE374" w14:textId="3DCF14C7" w:rsidR="00BD6F21" w:rsidRPr="00706869" w:rsidRDefault="003705D5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34B87F74" w:rsidR="00BD6F21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5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0FB37884" w:rsidR="00663595" w:rsidRPr="00381539" w:rsidRDefault="006860B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="00266DBF" w:rsidRPr="00D00CC6">
        <w:rPr>
          <w:rFonts w:ascii="Arial" w:hAnsi="Arial" w:cs="Arial"/>
          <w:sz w:val="20"/>
          <w:szCs w:val="20"/>
          <w:lang w:eastAsia="pl-PL"/>
        </w:rPr>
        <w:t xml:space="preserve"> oraz nie więcej niż 10 mln</w:t>
      </w:r>
      <w:r w:rsidR="00FD6926" w:rsidRPr="00D00CC6">
        <w:rPr>
          <w:rFonts w:ascii="Arial" w:hAnsi="Arial" w:cs="Arial"/>
          <w:sz w:val="20"/>
          <w:szCs w:val="20"/>
          <w:lang w:eastAsia="pl-PL"/>
        </w:rPr>
        <w:t xml:space="preserve"> zł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7E251" w14:textId="77777777" w:rsidR="00C83EB6" w:rsidRPr="00C83EB6" w:rsidRDefault="007F4F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6CF3D113" w:rsidR="00DA0DE1" w:rsidRPr="00381539" w:rsidRDefault="00C83EB6" w:rsidP="00C83EB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2E5D71">
        <w:rPr>
          <w:rFonts w:ascii="Arial" w:hAnsi="Arial" w:cs="Arial"/>
          <w:sz w:val="20"/>
          <w:szCs w:val="20"/>
          <w:lang w:eastAsia="pl-PL"/>
        </w:rPr>
        <w:t>e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8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29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F76E9A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0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0A8BFF5" w:rsidR="00C40FC5" w:rsidRPr="00381539" w:rsidRDefault="008E0B97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C83EB6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7C7649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1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7C7649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4D9162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5733FBE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lastRenderedPageBreak/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2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B051DB7" w14:textId="14925CD2" w:rsidR="00ED0279" w:rsidRDefault="00ED0279" w:rsidP="00F76E9A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4DFF9285" w14:textId="7FE283F1" w:rsidR="00F115F5" w:rsidRPr="00F115F5" w:rsidRDefault="00F115F5" w:rsidP="00BB3D52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bookmarkStart w:id="13" w:name="_Hlk203564293"/>
    </w:p>
    <w:bookmarkEnd w:id="13"/>
    <w:p w14:paraId="0C4A5313" w14:textId="01F7B3F4" w:rsidR="005F357B" w:rsidRPr="00381539" w:rsidRDefault="005F357B" w:rsidP="00F76E9A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Pr="00381539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4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4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0053EB65" w:rsidR="00A755CE" w:rsidRPr="00A755CE" w:rsidRDefault="00A755CE" w:rsidP="00F76E9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693C3F" w:rsidRPr="00693C3F">
        <w:rPr>
          <w:rFonts w:ascii="Arial" w:hAnsi="Arial" w:cs="Arial"/>
          <w:sz w:val="20"/>
          <w:szCs w:val="20"/>
        </w:rPr>
        <w:t>każdorazowo do niezwłocznego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45C1A59B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wypełniania obowiązków informacyjnych i promocyjnych,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</w:t>
      </w:r>
      <w:r w:rsidRPr="00381539">
        <w:rPr>
          <w:rFonts w:ascii="Arial" w:hAnsi="Arial" w:cs="Arial"/>
          <w:sz w:val="20"/>
          <w:szCs w:val="20"/>
        </w:rPr>
        <w:lastRenderedPageBreak/>
        <w:t xml:space="preserve">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35BAB11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5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3FF664F3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(łączny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6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55E0F6A4" w:rsidR="00E620B1" w:rsidRPr="00381539" w:rsidRDefault="002F75B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381539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lastRenderedPageBreak/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30FAFDCE" w:rsidR="0056466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C83EB6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>bez ograniczeń co do liczby egzemplarzy i nośników, w zakresie następujących pól eksploatacji:</w:t>
      </w:r>
    </w:p>
    <w:p w14:paraId="6D42BB4B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5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5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6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6"/>
    <w:p w14:paraId="3DA50AC9" w14:textId="74672186" w:rsidR="00446D17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F76E9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</w:p>
    <w:p w14:paraId="59ADE1B3" w14:textId="21467C9C" w:rsidR="007C6F27" w:rsidRPr="00381539" w:rsidRDefault="007C6F27" w:rsidP="00F76E9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</w:t>
      </w:r>
      <w:r w:rsidRPr="00381539">
        <w:rPr>
          <w:rFonts w:ascii="Arial" w:hAnsi="Arial" w:cs="Arial"/>
          <w:sz w:val="20"/>
          <w:szCs w:val="20"/>
        </w:rPr>
        <w:lastRenderedPageBreak/>
        <w:t>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7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7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337DFC87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03AFBF4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7C7649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47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7C7649">
      <w:pPr>
        <w:pStyle w:val="Akapitzlist"/>
        <w:numPr>
          <w:ilvl w:val="0"/>
          <w:numId w:val="1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8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8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660B8387" w:rsidR="00842662" w:rsidRPr="00951001" w:rsidRDefault="00AC10CD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BD54AF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21F3746C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="0006551C">
        <w:rPr>
          <w:rFonts w:ascii="Arial" w:hAnsi="Arial" w:cs="Arial"/>
          <w:sz w:val="20"/>
          <w:szCs w:val="20"/>
        </w:rPr>
        <w:t xml:space="preserve">lub kopii </w:t>
      </w:r>
      <w:r w:rsidR="0006551C" w:rsidRPr="00AB785B">
        <w:rPr>
          <w:rFonts w:ascii="Arial" w:hAnsi="Arial" w:cs="Arial"/>
          <w:sz w:val="20"/>
          <w:szCs w:val="20"/>
        </w:rPr>
        <w:t>umowy sprzedaży praw do</w:t>
      </w:r>
      <w:r w:rsidR="0006551C">
        <w:rPr>
          <w:rFonts w:ascii="Arial" w:hAnsi="Arial" w:cs="Arial"/>
          <w:sz w:val="20"/>
          <w:szCs w:val="20"/>
        </w:rPr>
        <w:t xml:space="preserve"> tych</w:t>
      </w:r>
      <w:r w:rsidR="0006551C" w:rsidRPr="00AB785B">
        <w:rPr>
          <w:rFonts w:ascii="Arial" w:hAnsi="Arial" w:cs="Arial"/>
          <w:sz w:val="20"/>
          <w:szCs w:val="20"/>
        </w:rPr>
        <w:t xml:space="preserve"> wyników</w:t>
      </w:r>
      <w:r w:rsidR="0006551C">
        <w:rPr>
          <w:rFonts w:ascii="Arial" w:hAnsi="Arial" w:cs="Arial"/>
          <w:sz w:val="20"/>
          <w:szCs w:val="20"/>
        </w:rPr>
        <w:t xml:space="preserve"> </w:t>
      </w:r>
      <w:r w:rsidR="00AB785B" w:rsidRP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163BDF08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285E6E">
        <w:rPr>
          <w:rFonts w:ascii="Arial" w:hAnsi="Arial" w:cs="Arial"/>
          <w:sz w:val="20"/>
          <w:szCs w:val="20"/>
        </w:rPr>
        <w:t>/ nabywca</w:t>
      </w:r>
      <w:r w:rsidRPr="00D458A6">
        <w:rPr>
          <w:rFonts w:ascii="Arial" w:hAnsi="Arial" w:cs="Arial"/>
          <w:sz w:val="20"/>
          <w:szCs w:val="20"/>
        </w:rPr>
        <w:t xml:space="preserve"> 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3F2DFAA" w:rsidR="00C60C22" w:rsidRDefault="00C60C22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F06A96">
        <w:rPr>
          <w:rFonts w:ascii="Arial" w:hAnsi="Arial" w:cs="Arial"/>
          <w:sz w:val="20"/>
          <w:szCs w:val="20"/>
        </w:rPr>
        <w:t xml:space="preserve">na terytorium rynku wewnętrznego UE </w:t>
      </w:r>
      <w:r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C33A53">
        <w:rPr>
          <w:rFonts w:ascii="Arial" w:hAnsi="Arial" w:cs="Arial"/>
          <w:sz w:val="20"/>
          <w:szCs w:val="20"/>
        </w:rPr>
        <w:t xml:space="preserve">umowie </w:t>
      </w:r>
      <w:r w:rsidRPr="00D458A6">
        <w:rPr>
          <w:rFonts w:ascii="Arial" w:hAnsi="Arial" w:cs="Arial"/>
          <w:sz w:val="20"/>
          <w:szCs w:val="20"/>
        </w:rPr>
        <w:t>udzielenia licencji</w:t>
      </w:r>
      <w:r w:rsidR="00035CCF">
        <w:rPr>
          <w:rFonts w:ascii="Arial" w:hAnsi="Arial" w:cs="Arial"/>
          <w:sz w:val="20"/>
          <w:szCs w:val="20"/>
        </w:rPr>
        <w:t>/ w umowie sprzedaży</w:t>
      </w:r>
      <w:r w:rsidR="009F39CE">
        <w:rPr>
          <w:rFonts w:ascii="Arial" w:hAnsi="Arial" w:cs="Arial"/>
          <w:sz w:val="20"/>
          <w:szCs w:val="20"/>
        </w:rPr>
        <w:t xml:space="preserve"> praw do wyników</w:t>
      </w:r>
      <w:r w:rsidRPr="00D458A6">
        <w:rPr>
          <w:rFonts w:ascii="Arial" w:hAnsi="Arial" w:cs="Arial"/>
          <w:sz w:val="20"/>
          <w:szCs w:val="20"/>
        </w:rPr>
        <w:t xml:space="preserve"> zawartej z Beneficjentem lub</w:t>
      </w:r>
    </w:p>
    <w:p w14:paraId="7B067EDB" w14:textId="04310E35" w:rsidR="00F14EC6" w:rsidRPr="009A2D21" w:rsidRDefault="00F14EC6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234828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CE4D6E" w:rsidRPr="00951001">
        <w:rPr>
          <w:rFonts w:ascii="Arial" w:hAnsi="Arial" w:cs="Arial"/>
          <w:sz w:val="20"/>
          <w:szCs w:val="20"/>
        </w:rPr>
        <w:t xml:space="preserve"> w terminie określonym</w:t>
      </w:r>
      <w:r w:rsidR="001D3AFC" w:rsidRPr="00951001">
        <w:rPr>
          <w:rFonts w:ascii="Arial" w:hAnsi="Arial" w:cs="Arial"/>
          <w:sz w:val="20"/>
          <w:szCs w:val="20"/>
        </w:rPr>
        <w:t xml:space="preserve">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050816E2" w:rsidR="00C60C22" w:rsidRPr="00EB3872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</w:t>
      </w:r>
      <w:r w:rsidR="008F362D">
        <w:rPr>
          <w:rFonts w:ascii="Arial" w:hAnsi="Arial" w:cs="Arial"/>
          <w:sz w:val="20"/>
          <w:szCs w:val="20"/>
        </w:rPr>
        <w:t xml:space="preserve"> lub </w:t>
      </w:r>
      <w:r w:rsidR="008F362D" w:rsidRPr="008F362D">
        <w:rPr>
          <w:rFonts w:ascii="Arial" w:hAnsi="Arial" w:cs="Arial"/>
          <w:sz w:val="20"/>
          <w:szCs w:val="20"/>
        </w:rPr>
        <w:t>w przypadku umowy sprzedaży praw do wyników prac B+R odsprzedał te wyniki podmiotowi trzeciemu</w:t>
      </w:r>
      <w:r w:rsidRPr="00D458A6">
        <w:rPr>
          <w:rFonts w:ascii="Arial" w:hAnsi="Arial" w:cs="Arial"/>
          <w:sz w:val="20"/>
          <w:szCs w:val="20"/>
        </w:rPr>
        <w:t>.</w:t>
      </w:r>
    </w:p>
    <w:p w14:paraId="2C7AD9A3" w14:textId="236C4FB1" w:rsidR="00C33ACE" w:rsidRPr="005D65B3" w:rsidRDefault="00663A1F" w:rsidP="007C7649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Pr="005D65B3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lastRenderedPageBreak/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lastRenderedPageBreak/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49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F76E9A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0FD9609A" w:rsidR="00720018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156C7F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2A355179" w:rsidR="007A5D71" w:rsidRPr="005D65B3" w:rsidRDefault="1127C306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 xml:space="preserve">5b </w:t>
      </w:r>
      <w:r w:rsidR="1D6C5F98" w:rsidRPr="0060583D">
        <w:rPr>
          <w:rFonts w:ascii="Arial" w:hAnsi="Arial" w:cs="Arial"/>
          <w:sz w:val="20"/>
          <w:szCs w:val="20"/>
        </w:rPr>
        <w:t>ust.</w:t>
      </w:r>
      <w:r w:rsidR="00693C3F">
        <w:rPr>
          <w:rFonts w:ascii="Arial" w:hAnsi="Arial" w:cs="Arial"/>
          <w:sz w:val="20"/>
          <w:szCs w:val="20"/>
        </w:rPr>
        <w:t xml:space="preserve"> </w:t>
      </w:r>
      <w:r w:rsidR="004A0495">
        <w:rPr>
          <w:rFonts w:ascii="Arial" w:hAnsi="Arial" w:cs="Arial"/>
          <w:sz w:val="20"/>
          <w:szCs w:val="20"/>
        </w:rPr>
        <w:t>7 i</w:t>
      </w:r>
      <w:r w:rsidR="1D6C5F98" w:rsidRPr="0060583D">
        <w:rPr>
          <w:rFonts w:ascii="Arial" w:hAnsi="Arial" w:cs="Arial"/>
          <w:sz w:val="20"/>
          <w:szCs w:val="20"/>
        </w:rPr>
        <w:t xml:space="preserve">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w formie </w:t>
      </w:r>
      <w:r w:rsidR="00251E0F" w:rsidRPr="005D65B3">
        <w:rPr>
          <w:rFonts w:ascii="Arial" w:hAnsi="Arial" w:cs="Arial"/>
          <w:sz w:val="20"/>
          <w:szCs w:val="20"/>
        </w:rPr>
        <w:t>pisemn</w:t>
      </w:r>
      <w:r w:rsidR="00931BE9">
        <w:rPr>
          <w:rFonts w:ascii="Arial" w:hAnsi="Arial" w:cs="Arial"/>
          <w:sz w:val="20"/>
          <w:szCs w:val="20"/>
        </w:rPr>
        <w:t>ej</w:t>
      </w:r>
      <w:r w:rsidR="00301700">
        <w:rPr>
          <w:rFonts w:ascii="Arial" w:hAnsi="Arial" w:cs="Arial"/>
          <w:sz w:val="20"/>
          <w:szCs w:val="20"/>
        </w:rPr>
        <w:t xml:space="preserve"> lub 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7C3BC417" w:rsidR="006F1FF4" w:rsidRPr="005D65B3" w:rsidRDefault="006F1FF4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A0495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9" w:name="_Hlk114733887"/>
      <w:r w:rsidRPr="005D65B3">
        <w:rPr>
          <w:rFonts w:cs="Arial"/>
        </w:rPr>
        <w:t>§</w:t>
      </w:r>
      <w:bookmarkEnd w:id="19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07983514" w:rsidR="0053467F" w:rsidRPr="005D65B3" w:rsidRDefault="00872BC5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="00DD12F5" w:rsidRPr="005D65B3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F76E9A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7CA24F1D" w:rsidR="00603818" w:rsidRPr="005D65B3" w:rsidRDefault="00251E0F" w:rsidP="00F76E9A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029488DD" w:rsidR="00AE6E04" w:rsidRPr="00AB782E" w:rsidRDefault="00026EEB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B782E">
        <w:rPr>
          <w:rFonts w:ascii="Arial" w:hAnsi="Arial" w:cs="Arial"/>
          <w:sz w:val="20"/>
          <w:szCs w:val="20"/>
        </w:rPr>
        <w:t xml:space="preserve">oszczędności, </w:t>
      </w:r>
      <w:r w:rsidR="009C174D" w:rsidRPr="00AB782E">
        <w:rPr>
          <w:rFonts w:ascii="Arial" w:hAnsi="Arial" w:cs="Arial"/>
          <w:sz w:val="20"/>
          <w:szCs w:val="20"/>
        </w:rPr>
        <w:t xml:space="preserve">powstałych </w:t>
      </w:r>
      <w:r w:rsidR="007E0EB4" w:rsidRPr="00AB782E">
        <w:rPr>
          <w:rFonts w:ascii="Arial" w:hAnsi="Arial" w:cs="Arial"/>
          <w:sz w:val="20"/>
          <w:szCs w:val="20"/>
        </w:rPr>
        <w:t xml:space="preserve">w trakcie realizacji </w:t>
      </w:r>
      <w:r w:rsidR="00427889" w:rsidRPr="00AB782E">
        <w:rPr>
          <w:rFonts w:ascii="Arial" w:hAnsi="Arial" w:cs="Arial"/>
          <w:sz w:val="20"/>
          <w:szCs w:val="20"/>
        </w:rPr>
        <w:t>P</w:t>
      </w:r>
      <w:r w:rsidR="007E0EB4" w:rsidRPr="00AB782E">
        <w:rPr>
          <w:rFonts w:ascii="Arial" w:hAnsi="Arial" w:cs="Arial"/>
          <w:sz w:val="20"/>
          <w:szCs w:val="20"/>
        </w:rPr>
        <w:t>rojektu</w:t>
      </w:r>
      <w:r w:rsidRPr="00AB782E">
        <w:rPr>
          <w:rFonts w:ascii="Arial" w:hAnsi="Arial" w:cs="Arial"/>
          <w:sz w:val="20"/>
          <w:szCs w:val="20"/>
        </w:rPr>
        <w:t>,</w:t>
      </w:r>
      <w:r w:rsidR="007E0EB4" w:rsidRPr="00AB782E">
        <w:rPr>
          <w:rFonts w:ascii="Arial" w:hAnsi="Arial" w:cs="Arial"/>
          <w:sz w:val="20"/>
          <w:szCs w:val="20"/>
        </w:rPr>
        <w:t xml:space="preserve"> </w:t>
      </w:r>
      <w:r w:rsidR="00BB4489" w:rsidRPr="00AB782E">
        <w:rPr>
          <w:rFonts w:ascii="Arial" w:hAnsi="Arial" w:cs="Arial"/>
          <w:sz w:val="20"/>
          <w:szCs w:val="20"/>
        </w:rPr>
        <w:t xml:space="preserve">na </w:t>
      </w:r>
      <w:r w:rsidR="007970F6" w:rsidRPr="007970F6">
        <w:rPr>
          <w:rFonts w:ascii="Arial" w:hAnsi="Arial" w:cs="Arial"/>
          <w:sz w:val="20"/>
          <w:szCs w:val="20"/>
        </w:rPr>
        <w:t xml:space="preserve">rozszerzenie zakresu rzeczowego ujętego </w:t>
      </w:r>
      <w:r w:rsidR="00864B4A" w:rsidRPr="00AB782E">
        <w:rPr>
          <w:rFonts w:ascii="Arial" w:hAnsi="Arial" w:cs="Arial"/>
          <w:sz w:val="20"/>
          <w:szCs w:val="20"/>
        </w:rPr>
        <w:t>w zatwierdzony</w:t>
      </w:r>
      <w:r w:rsidR="006619B4" w:rsidRPr="00AB782E">
        <w:rPr>
          <w:rFonts w:ascii="Arial" w:hAnsi="Arial" w:cs="Arial"/>
          <w:sz w:val="20"/>
          <w:szCs w:val="20"/>
        </w:rPr>
        <w:t>m</w:t>
      </w:r>
      <w:r w:rsidR="00627F5F" w:rsidRPr="00AB782E">
        <w:rPr>
          <w:rFonts w:ascii="Arial" w:hAnsi="Arial" w:cs="Arial"/>
          <w:sz w:val="20"/>
          <w:szCs w:val="20"/>
        </w:rPr>
        <w:t xml:space="preserve"> pierwotnie wniosku o dofinansowanie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20" w:name="_Hlk125727899"/>
      <w:r w:rsidRPr="005D65B3">
        <w:rPr>
          <w:rFonts w:cs="Arial"/>
        </w:rPr>
        <w:t>§ 13</w:t>
      </w:r>
      <w:bookmarkEnd w:id="20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5"/>
      </w:r>
    </w:p>
    <w:p w14:paraId="2B53C952" w14:textId="77942999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01E0AE9D" w:rsidR="006A1032" w:rsidRPr="005D65B3" w:rsidRDefault="00702755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57"/>
      </w:r>
      <w:r w:rsidR="00E73FF1">
        <w:rPr>
          <w:rFonts w:ascii="Arial" w:hAnsi="Arial" w:cs="Arial"/>
          <w:sz w:val="20"/>
          <w:szCs w:val="20"/>
        </w:rPr>
        <w:t xml:space="preserve">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1" w:name="_Hlk124429433"/>
      <w:r w:rsidRPr="005D65B3">
        <w:rPr>
          <w:rFonts w:cs="Arial"/>
        </w:rPr>
        <w:lastRenderedPageBreak/>
        <w:t>§ 14</w:t>
      </w:r>
      <w:bookmarkEnd w:id="21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13DA11BF" w14:textId="3331A30F" w:rsidR="00B75CF6" w:rsidRPr="007C7649" w:rsidRDefault="12585183" w:rsidP="007C7649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4A0495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bookmarkStart w:id="22" w:name="_Hlk203564349"/>
    </w:p>
    <w:bookmarkEnd w:id="22"/>
    <w:p w14:paraId="63CA4464" w14:textId="701315FD" w:rsidR="007A5B18" w:rsidRPr="005D65B3" w:rsidRDefault="000D697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267AB4B8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BB3D52">
        <w:rPr>
          <w:rFonts w:ascii="Arial" w:hAnsi="Arial" w:cs="Arial"/>
          <w:sz w:val="20"/>
          <w:szCs w:val="20"/>
        </w:rPr>
        <w:t xml:space="preserve"> </w:t>
      </w:r>
      <w:r w:rsidR="00F82827">
        <w:rPr>
          <w:rFonts w:ascii="Arial" w:hAnsi="Arial" w:cs="Arial"/>
          <w:sz w:val="20"/>
          <w:szCs w:val="20"/>
        </w:rPr>
        <w:t>P</w:t>
      </w:r>
      <w:r w:rsidR="00041282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studiów wykonalności, </w:t>
      </w:r>
    </w:p>
    <w:p w14:paraId="3A057AF5" w14:textId="7FD411F8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56F43725" w14:textId="77777777" w:rsidR="00FE1C12" w:rsidRPr="00E77215" w:rsidRDefault="00FE1C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71F47482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4A2698E9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5C4FBE2" w14:textId="4C73C67E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</w:t>
      </w:r>
      <w:r w:rsidR="00710F2F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6A9E5372" w14:textId="19F9AFDE" w:rsidR="00FE1C12" w:rsidRPr="00FE1C12" w:rsidRDefault="00FE1C12" w:rsidP="00FE1C12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5D65B3" w:rsidRDefault="00845704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5D65B3">
        <w:rPr>
          <w:rFonts w:ascii="Arial" w:hAnsi="Arial" w:cs="Arial"/>
          <w:sz w:val="20"/>
          <w:szCs w:val="20"/>
        </w:rPr>
        <w:t>– należy przez to rozumieć</w:t>
      </w:r>
      <w:r w:rsidRPr="005D65B3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9ED8720" w:rsidR="000D6975" w:rsidRDefault="000D6975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5C11CB85" w:rsidR="00BF1612" w:rsidRPr="005D65B3" w:rsidRDefault="00BF1612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154D2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3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3"/>
    </w:p>
    <w:p w14:paraId="48F30AB5" w14:textId="0C2020C8" w:rsidR="00BF1612" w:rsidRPr="005D65B3" w:rsidRDefault="002479C4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4" w:name="_Hlk125728189"/>
      <w:r w:rsidRPr="005D65B3">
        <w:rPr>
          <w:rFonts w:cs="Arial"/>
        </w:rPr>
        <w:t>§ 15</w:t>
      </w:r>
      <w:bookmarkEnd w:id="24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5D65B3">
        <w:rPr>
          <w:rFonts w:ascii="Arial" w:hAnsi="Arial" w:cs="Arial"/>
          <w:sz w:val="20"/>
          <w:szCs w:val="20"/>
        </w:rPr>
        <w:t xml:space="preserve">poz. 187, z </w:t>
      </w:r>
      <w:proofErr w:type="spellStart"/>
      <w:r w:rsidRPr="005D65B3">
        <w:rPr>
          <w:rFonts w:ascii="Arial" w:hAnsi="Arial" w:cs="Arial"/>
          <w:sz w:val="20"/>
          <w:szCs w:val="20"/>
        </w:rPr>
        <w:t>późn</w:t>
      </w:r>
      <w:proofErr w:type="spellEnd"/>
      <w:r w:rsidRPr="005D65B3">
        <w:rPr>
          <w:rFonts w:ascii="Arial" w:hAnsi="Arial" w:cs="Arial"/>
          <w:sz w:val="20"/>
          <w:szCs w:val="20"/>
        </w:rPr>
        <w:t>. zm.);</w:t>
      </w:r>
    </w:p>
    <w:p w14:paraId="36FF58A0" w14:textId="54E4E836" w:rsidR="000A5E41" w:rsidRPr="00D458A6" w:rsidRDefault="000B59EC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</w:t>
      </w:r>
      <w:r w:rsidRPr="005D65B3">
        <w:rPr>
          <w:rFonts w:ascii="Arial" w:hAnsi="Arial" w:cs="Arial"/>
          <w:sz w:val="20"/>
          <w:szCs w:val="20"/>
        </w:rPr>
        <w:lastRenderedPageBreak/>
        <w:t xml:space="preserve">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F76E9A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5" w:name="_Hlk199934392"/>
      <w:bookmarkStart w:id="26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5"/>
      <w:r>
        <w:rPr>
          <w:rFonts w:ascii="Arial" w:hAnsi="Arial" w:cs="Arial"/>
          <w:sz w:val="20"/>
          <w:szCs w:val="20"/>
        </w:rPr>
        <w:t xml:space="preserve"> ustawy </w:t>
      </w:r>
      <w:bookmarkEnd w:id="26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DF23F" w:rsidR="00E251C1" w:rsidRPr="005D65B3" w:rsidRDefault="007B7E6B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C068C9">
        <w:rPr>
          <w:rFonts w:ascii="Arial" w:hAnsi="Arial" w:cs="Arial"/>
          <w:sz w:val="20"/>
          <w:szCs w:val="20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</w:t>
      </w:r>
      <w:r w:rsidRPr="005D65B3">
        <w:rPr>
          <w:rFonts w:ascii="Arial" w:hAnsi="Arial" w:cs="Arial"/>
          <w:sz w:val="20"/>
          <w:szCs w:val="20"/>
        </w:rPr>
        <w:lastRenderedPageBreak/>
        <w:t xml:space="preserve">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4E183817" w:rsidR="008F6FE1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59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092ACD6" w:rsidR="00321393" w:rsidRDefault="004754E4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0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2F5EF6B1" w:rsidR="005E5DC8" w:rsidRPr="005E5DC8" w:rsidDel="00A172C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AC2D2F">
        <w:rPr>
          <w:rFonts w:ascii="Arial" w:hAnsi="Arial" w:cs="Arial"/>
          <w:sz w:val="20"/>
          <w:szCs w:val="20"/>
        </w:rPr>
        <w:t xml:space="preserve"> </w:t>
      </w:r>
      <w:r w:rsidR="00F92993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1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18E2" w14:textId="77777777" w:rsidR="00055B02" w:rsidRDefault="00055B02" w:rsidP="001F6437">
      <w:pPr>
        <w:spacing w:after="0" w:line="240" w:lineRule="auto"/>
      </w:pPr>
      <w:r>
        <w:separator/>
      </w:r>
    </w:p>
  </w:endnote>
  <w:endnote w:type="continuationSeparator" w:id="0">
    <w:p w14:paraId="7E356EB5" w14:textId="77777777" w:rsidR="00055B02" w:rsidRDefault="00055B02" w:rsidP="001F6437">
      <w:pPr>
        <w:spacing w:after="0" w:line="240" w:lineRule="auto"/>
      </w:pPr>
      <w:r>
        <w:continuationSeparator/>
      </w:r>
    </w:p>
  </w:endnote>
  <w:endnote w:type="continuationNotice" w:id="1">
    <w:p w14:paraId="0937AD60" w14:textId="77777777" w:rsidR="00055B02" w:rsidRDefault="00055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5671" w14:textId="77777777" w:rsidR="00055B02" w:rsidRDefault="00055B02" w:rsidP="001F6437">
      <w:pPr>
        <w:spacing w:after="0" w:line="240" w:lineRule="auto"/>
      </w:pPr>
      <w:r>
        <w:separator/>
      </w:r>
    </w:p>
  </w:footnote>
  <w:footnote w:type="continuationSeparator" w:id="0">
    <w:p w14:paraId="001DCB18" w14:textId="77777777" w:rsidR="00055B02" w:rsidRDefault="00055B02" w:rsidP="001F6437">
      <w:pPr>
        <w:spacing w:after="0" w:line="240" w:lineRule="auto"/>
      </w:pPr>
      <w:r>
        <w:continuationSeparator/>
      </w:r>
    </w:p>
  </w:footnote>
  <w:footnote w:type="continuationNotice" w:id="1">
    <w:p w14:paraId="66E18AF5" w14:textId="77777777" w:rsidR="00055B02" w:rsidRDefault="00055B02">
      <w:pPr>
        <w:spacing w:after="0" w:line="240" w:lineRule="auto"/>
      </w:pPr>
    </w:p>
  </w:footnote>
  <w:footnote w:id="2">
    <w:p w14:paraId="07EEF5F9" w14:textId="73D01DE5" w:rsidR="00F7340C" w:rsidRPr="0041233C" w:rsidRDefault="00F501E7" w:rsidP="00F94C3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06B680EA" w14:textId="182F6B62" w:rsidR="006E7960" w:rsidRDefault="006E7960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Pr="00C54D24">
        <w:rPr>
          <w:rFonts w:ascii="Arial" w:hAnsi="Arial" w:cs="Arial"/>
          <w:sz w:val="16"/>
          <w:szCs w:val="16"/>
        </w:rPr>
        <w:t xml:space="preserve"> </w:t>
      </w:r>
      <w:r w:rsidRPr="005A48D7">
        <w:rPr>
          <w:rFonts w:ascii="Arial" w:hAnsi="Arial" w:cs="Arial"/>
          <w:sz w:val="16"/>
          <w:szCs w:val="16"/>
        </w:rPr>
        <w:t xml:space="preserve"> </w:t>
      </w:r>
      <w:r w:rsidRPr="00C54D24">
        <w:rPr>
          <w:rFonts w:ascii="Arial" w:hAnsi="Arial" w:cs="Arial"/>
          <w:sz w:val="16"/>
          <w:szCs w:val="16"/>
        </w:rPr>
        <w:t xml:space="preserve">w § </w:t>
      </w:r>
      <w:r>
        <w:rPr>
          <w:rFonts w:ascii="Arial" w:hAnsi="Arial" w:cs="Arial"/>
          <w:sz w:val="16"/>
          <w:szCs w:val="16"/>
        </w:rPr>
        <w:t>5</w:t>
      </w:r>
      <w:r w:rsidRPr="00C54D24">
        <w:rPr>
          <w:rFonts w:ascii="Arial" w:hAnsi="Arial" w:cs="Arial"/>
          <w:sz w:val="16"/>
          <w:szCs w:val="16"/>
        </w:rPr>
        <w:t xml:space="preserve"> ust. 2</w:t>
      </w:r>
      <w:r>
        <w:rPr>
          <w:rFonts w:ascii="Arial" w:hAnsi="Arial" w:cs="Arial"/>
          <w:sz w:val="16"/>
          <w:szCs w:val="16"/>
        </w:rPr>
        <w:t>1</w:t>
      </w:r>
      <w:r w:rsidR="00F529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Umowy</w:t>
      </w:r>
      <w:r w:rsidR="00F5291E">
        <w:rPr>
          <w:rFonts w:ascii="Arial" w:hAnsi="Arial" w:cs="Arial"/>
          <w:sz w:val="16"/>
          <w:szCs w:val="16"/>
        </w:rPr>
        <w:t>.</w:t>
      </w:r>
    </w:p>
  </w:footnote>
  <w:footnote w:id="4">
    <w:p w14:paraId="6ABE6D00" w14:textId="38AE2D7C" w:rsidR="00C83EB6" w:rsidRDefault="00C83EB6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eastAsiaTheme="minorHAnsi" w:hAnsi="Arial" w:cs="Arial"/>
          <w:sz w:val="16"/>
          <w:szCs w:val="16"/>
          <w:lang w:eastAsia="en-US"/>
        </w:rPr>
        <w:t>W przypadku braku danego rodzaju pomocy należy wpisać „0”.</w:t>
      </w:r>
    </w:p>
  </w:footnote>
  <w:footnote w:id="5">
    <w:p w14:paraId="3E5FF82D" w14:textId="17D0397D" w:rsidR="00DB708B" w:rsidRDefault="00DB708B" w:rsidP="00F94C32">
      <w:pPr>
        <w:pStyle w:val="Tekstprzypisudolnego"/>
        <w:spacing w:before="60"/>
        <w:jc w:val="both"/>
      </w:pPr>
      <w:r w:rsidRPr="00EB3872">
        <w:rPr>
          <w:rStyle w:val="Odwoanieprzypisudolnego"/>
          <w:rFonts w:ascii="Arial" w:hAnsi="Arial" w:cs="Arial"/>
        </w:rPr>
        <w:footnoteRef/>
      </w:r>
      <w:r w:rsidRPr="00EB3872">
        <w:rPr>
          <w:rFonts w:ascii="Arial" w:hAnsi="Arial" w:cs="Arial"/>
        </w:rPr>
        <w:t xml:space="preserve"> </w:t>
      </w:r>
      <w:r w:rsidRPr="000C4AEC">
        <w:rPr>
          <w:rFonts w:ascii="Arial" w:hAnsi="Arial" w:cs="Arial"/>
          <w:sz w:val="16"/>
          <w:szCs w:val="16"/>
        </w:rPr>
        <w:t>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="000F620F" w:rsidRPr="00AC1B63">
        <w:rPr>
          <w:rFonts w:ascii="Arial" w:hAnsi="Arial" w:cs="Arial"/>
          <w:sz w:val="16"/>
          <w:szCs w:val="16"/>
        </w:rPr>
        <w:t>w</w:t>
      </w:r>
      <w:r w:rsidRPr="005D65B3">
        <w:rPr>
          <w:rFonts w:ascii="Arial" w:hAnsi="Arial" w:cs="Arial"/>
          <w:sz w:val="16"/>
          <w:szCs w:val="16"/>
        </w:rPr>
        <w:t>skazanych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6">
    <w:p w14:paraId="4E1E3A97" w14:textId="46F4997A" w:rsidR="004023C9" w:rsidRPr="00EB3872" w:rsidRDefault="004023C9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Jeżeli dotyczy</w:t>
      </w:r>
      <w:r w:rsidR="006727F0">
        <w:rPr>
          <w:rFonts w:ascii="Arial" w:hAnsi="Arial" w:cs="Arial"/>
          <w:sz w:val="16"/>
          <w:szCs w:val="16"/>
        </w:rPr>
        <w:t>.</w:t>
      </w:r>
    </w:p>
  </w:footnote>
  <w:footnote w:id="7">
    <w:p w14:paraId="2F60B90C" w14:textId="651FC9E9" w:rsidR="00C261A6" w:rsidRDefault="00C261A6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C261A6">
        <w:rPr>
          <w:rFonts w:ascii="Arial" w:hAnsi="Arial" w:cs="Arial"/>
          <w:sz w:val="16"/>
          <w:szCs w:val="16"/>
        </w:rPr>
        <w:t>Wymóg dotyczy przypadku, kiedy sprawozdanie nie jest publikowane w ogólnodostępnych rejestrach.</w:t>
      </w:r>
    </w:p>
  </w:footnote>
  <w:footnote w:id="8">
    <w:p w14:paraId="68752FB3" w14:textId="27CB5200" w:rsidR="00B06BBD" w:rsidRPr="00E67198" w:rsidRDefault="00B06BBD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E67198">
        <w:rPr>
          <w:rFonts w:ascii="Arial" w:hAnsi="Arial" w:cs="Arial"/>
          <w:sz w:val="16"/>
          <w:szCs w:val="16"/>
          <w:vertAlign w:val="superscript"/>
        </w:rPr>
        <w:footnoteRef/>
      </w:r>
      <w:r w:rsidRPr="00B06BBD">
        <w:rPr>
          <w:rFonts w:ascii="Arial" w:hAnsi="Arial" w:cs="Arial"/>
          <w:sz w:val="16"/>
          <w:szCs w:val="16"/>
        </w:rPr>
        <w:t xml:space="preserve"> Wybrać właściwe</w:t>
      </w:r>
      <w:r w:rsidR="00F94C32">
        <w:rPr>
          <w:rFonts w:ascii="Arial" w:hAnsi="Arial" w:cs="Arial"/>
          <w:sz w:val="16"/>
          <w:szCs w:val="16"/>
        </w:rPr>
        <w:t>.</w:t>
      </w:r>
    </w:p>
  </w:footnote>
  <w:footnote w:id="9">
    <w:p w14:paraId="11F39239" w14:textId="59632901" w:rsidR="00B06BBD" w:rsidRDefault="00B06BBD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B06BBD">
        <w:rPr>
          <w:rFonts w:ascii="Arial" w:hAnsi="Arial" w:cs="Arial"/>
          <w:sz w:val="16"/>
          <w:szCs w:val="16"/>
          <w:lang w:eastAsia="x-none"/>
        </w:rPr>
        <w:t xml:space="preserve">Jeżeli dotyczy – obowiązek może wynikać z </w:t>
      </w:r>
      <w:r w:rsidR="007C5BB7">
        <w:rPr>
          <w:rFonts w:ascii="Arial" w:hAnsi="Arial" w:cs="Arial"/>
          <w:sz w:val="16"/>
          <w:szCs w:val="16"/>
          <w:lang w:eastAsia="x-none"/>
        </w:rPr>
        <w:t>Regulaminu wyboru projektów</w:t>
      </w:r>
      <w:r w:rsidRPr="00B06BBD"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10">
    <w:p w14:paraId="41E4E309" w14:textId="0C3940A3" w:rsidR="00B06BBD" w:rsidRDefault="00B06BBD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241F6F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1F6F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1F6F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1F6F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1F6F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1">
    <w:p w14:paraId="723C2948" w14:textId="3E159142" w:rsidR="00B06BBD" w:rsidRDefault="00B06BBD" w:rsidP="00F94C32">
      <w:pPr>
        <w:pStyle w:val="Tekstprzypisudolnego"/>
        <w:spacing w:before="60"/>
        <w:rPr>
          <w:rFonts w:ascii="Arial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2638E18A">
        <w:rPr>
          <w:rFonts w:ascii="Arial" w:hAnsi="Arial" w:cs="Arial"/>
          <w:sz w:val="16"/>
          <w:szCs w:val="16"/>
          <w:lang w:eastAsia="en-US"/>
        </w:rPr>
        <w:t>Wybrać właściwe</w:t>
      </w:r>
      <w:r w:rsidR="00F94C32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12">
    <w:p w14:paraId="16759BA0" w14:textId="66854391" w:rsidR="00DB708B" w:rsidRPr="00244DF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7BE5CDBA" w14:textId="0D2F93AF" w:rsidR="00DB708B" w:rsidRPr="00817EB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4">
    <w:p w14:paraId="3A12400C" w14:textId="2793B92C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6A30B013" w14:textId="36F36853" w:rsidR="00DB708B" w:rsidRPr="004E2D51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8">
    <w:p w14:paraId="16C78CAA" w14:textId="77777777" w:rsidR="00DB708B" w:rsidRPr="00817EB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2C67DFDD" w14:textId="262BA7BF" w:rsidR="00BC453C" w:rsidRPr="00232B9E" w:rsidRDefault="00BC453C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B30202">
        <w:rPr>
          <w:rStyle w:val="Odwoanieprzypisudolnego"/>
        </w:rPr>
        <w:footnoteRef/>
      </w:r>
      <w:r w:rsidRPr="00B30202">
        <w:t xml:space="preserve"> </w:t>
      </w:r>
      <w:r w:rsidRPr="00B30202">
        <w:rPr>
          <w:rFonts w:ascii="Arial" w:hAnsi="Arial" w:cs="Arial"/>
          <w:sz w:val="16"/>
          <w:szCs w:val="16"/>
        </w:rPr>
        <w:t xml:space="preserve">Beneficjent </w:t>
      </w:r>
      <w:r w:rsidR="00810615" w:rsidRPr="00B30202">
        <w:rPr>
          <w:rFonts w:ascii="Arial" w:hAnsi="Arial" w:cs="Arial"/>
          <w:sz w:val="16"/>
          <w:szCs w:val="16"/>
        </w:rPr>
        <w:t>mu</w:t>
      </w:r>
      <w:r w:rsidR="00263092" w:rsidRPr="00B30202">
        <w:rPr>
          <w:rFonts w:ascii="Arial" w:hAnsi="Arial" w:cs="Arial"/>
          <w:sz w:val="16"/>
          <w:szCs w:val="16"/>
        </w:rPr>
        <w:t>s</w:t>
      </w:r>
      <w:r w:rsidR="000D228F">
        <w:rPr>
          <w:rFonts w:ascii="Arial" w:hAnsi="Arial" w:cs="Arial"/>
          <w:sz w:val="16"/>
          <w:szCs w:val="16"/>
        </w:rPr>
        <w:t>i</w:t>
      </w:r>
      <w:r w:rsidR="00263092" w:rsidRPr="00B30202">
        <w:rPr>
          <w:rFonts w:ascii="Arial" w:hAnsi="Arial" w:cs="Arial"/>
          <w:sz w:val="16"/>
          <w:szCs w:val="16"/>
        </w:rPr>
        <w:t xml:space="preserve"> być</w:t>
      </w:r>
      <w:r w:rsidR="00EB3872" w:rsidRPr="00B30202">
        <w:rPr>
          <w:rFonts w:ascii="Arial" w:hAnsi="Arial" w:cs="Arial"/>
          <w:sz w:val="16"/>
          <w:szCs w:val="16"/>
        </w:rPr>
        <w:t xml:space="preserve"> kontrolowan</w:t>
      </w:r>
      <w:r w:rsidR="000D228F">
        <w:rPr>
          <w:rFonts w:ascii="Arial" w:hAnsi="Arial" w:cs="Arial"/>
          <w:sz w:val="16"/>
          <w:szCs w:val="16"/>
        </w:rPr>
        <w:t>y</w:t>
      </w:r>
      <w:r w:rsidRPr="00B30202">
        <w:rPr>
          <w:rFonts w:ascii="Arial" w:hAnsi="Arial" w:cs="Arial"/>
          <w:sz w:val="16"/>
          <w:szCs w:val="16"/>
        </w:rPr>
        <w:t xml:space="preserve"> </w:t>
      </w:r>
      <w:r w:rsidR="00C83EB6" w:rsidRPr="00D74E0D">
        <w:rPr>
          <w:rFonts w:ascii="Arial" w:hAnsi="Arial" w:cs="Arial"/>
          <w:sz w:val="16"/>
          <w:szCs w:val="16"/>
        </w:rPr>
        <w:t>(musi być sprawowana kontrola)</w:t>
      </w:r>
      <w:r w:rsidR="00C83EB6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B30202">
        <w:rPr>
          <w:rFonts w:ascii="Arial" w:hAnsi="Arial" w:cs="Arial"/>
          <w:sz w:val="16"/>
          <w:szCs w:val="16"/>
        </w:rPr>
        <w:t>państwa</w:t>
      </w:r>
      <w:r w:rsidR="00232B9E" w:rsidRPr="00B30202">
        <w:rPr>
          <w:rFonts w:ascii="Arial" w:hAnsi="Arial" w:cs="Arial"/>
          <w:sz w:val="16"/>
          <w:szCs w:val="16"/>
        </w:rPr>
        <w:t xml:space="preserve"> należącego do</w:t>
      </w:r>
      <w:r w:rsidR="00EB3872" w:rsidRPr="00B30202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>Europejskiego Obszaru Gospodarczego (EOG) lub</w:t>
      </w:r>
      <w:r w:rsidR="00232B9E" w:rsidRPr="00B30202">
        <w:rPr>
          <w:rFonts w:ascii="Arial" w:hAnsi="Arial" w:cs="Arial"/>
          <w:sz w:val="16"/>
          <w:szCs w:val="16"/>
        </w:rPr>
        <w:t xml:space="preserve"> ze</w:t>
      </w:r>
      <w:r w:rsidR="007563EA" w:rsidRPr="00B30202">
        <w:rPr>
          <w:rFonts w:ascii="Arial" w:hAnsi="Arial" w:cs="Arial"/>
          <w:sz w:val="16"/>
          <w:szCs w:val="16"/>
        </w:rPr>
        <w:t xml:space="preserve"> Szwajcarii</w:t>
      </w:r>
      <w:r w:rsidR="00F24612">
        <w:rPr>
          <w:rFonts w:ascii="Arial" w:hAnsi="Arial" w:cs="Arial"/>
          <w:sz w:val="16"/>
          <w:szCs w:val="16"/>
        </w:rPr>
        <w:t>.</w:t>
      </w:r>
    </w:p>
  </w:footnote>
  <w:footnote w:id="20">
    <w:p w14:paraId="7746D5CD" w14:textId="5897653D" w:rsidR="0083346C" w:rsidRDefault="0083346C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83346C">
        <w:rPr>
          <w:rFonts w:ascii="Arial" w:hAnsi="Arial" w:cs="Arial"/>
          <w:sz w:val="16"/>
          <w:szCs w:val="16"/>
        </w:rPr>
        <w:t>Rynek wewnętrzny obejmuje 27 państw UE, EOG (Islandię, Liechtenstein, Norwegię) oraz dodatkowo Szwajcarię</w:t>
      </w:r>
      <w:r w:rsidR="00513892">
        <w:rPr>
          <w:rFonts w:ascii="Arial" w:hAnsi="Arial" w:cs="Arial"/>
          <w:sz w:val="16"/>
          <w:szCs w:val="16"/>
        </w:rPr>
        <w:t>.</w:t>
      </w:r>
    </w:p>
  </w:footnote>
  <w:footnote w:id="21">
    <w:p w14:paraId="421EF7F3" w14:textId="77777777" w:rsidR="00731010" w:rsidRDefault="00731010" w:rsidP="00F94C32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Pr="00F324AC">
        <w:rPr>
          <w:rFonts w:ascii="Arial" w:hAnsi="Arial" w:cs="Arial"/>
          <w:sz w:val="16"/>
          <w:szCs w:val="16"/>
        </w:rPr>
        <w:t>Cena może zostać uznana za rynkową, jeśli:</w:t>
      </w:r>
      <w:r>
        <w:t xml:space="preserve"> </w:t>
      </w:r>
    </w:p>
    <w:p w14:paraId="391AF693" w14:textId="0A4B1926" w:rsidR="00731010" w:rsidRPr="00F324AC" w:rsidRDefault="00731010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a)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jej wysokość określono w drodze otwartej, przejrzystej i niedyskryminacyjnej konkurencyjnej procedury udzielenia licencji; lub</w:t>
      </w:r>
    </w:p>
    <w:p w14:paraId="5A724250" w14:textId="5A3861EE" w:rsidR="00731010" w:rsidRPr="00F324AC" w:rsidRDefault="00731010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b)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wycena niezależnego eksperta potwierdza, że cena jest co najmniej równa wartości rynkowej; lub</w:t>
      </w:r>
    </w:p>
    <w:p w14:paraId="38D84EA2" w14:textId="1CB2B576" w:rsidR="00731010" w:rsidRDefault="00731010" w:rsidP="00F94C32">
      <w:pPr>
        <w:pStyle w:val="Tekstprzypisudolnego"/>
        <w:spacing w:before="60"/>
        <w:jc w:val="both"/>
      </w:pPr>
      <w:r w:rsidRPr="00F324AC">
        <w:rPr>
          <w:rFonts w:ascii="Arial" w:hAnsi="Arial" w:cs="Arial"/>
          <w:sz w:val="16"/>
          <w:szCs w:val="16"/>
        </w:rPr>
        <w:t>c)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2">
    <w:p w14:paraId="71F7047E" w14:textId="0CE66F2E" w:rsidR="00B32451" w:rsidRDefault="00B32451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="003E7E27" w:rsidRPr="00164C42">
        <w:rPr>
          <w:rFonts w:ascii="Arial" w:hAnsi="Arial" w:cs="Arial"/>
          <w:sz w:val="16"/>
          <w:szCs w:val="16"/>
        </w:rPr>
        <w:t xml:space="preserve">Załącznik nr </w:t>
      </w:r>
      <w:r w:rsidR="00F74386">
        <w:rPr>
          <w:rFonts w:ascii="Arial" w:hAnsi="Arial" w:cs="Arial"/>
          <w:sz w:val="16"/>
          <w:szCs w:val="16"/>
        </w:rPr>
        <w:t>8</w:t>
      </w:r>
      <w:r w:rsidR="00C83EB6">
        <w:rPr>
          <w:rFonts w:ascii="Arial" w:hAnsi="Arial" w:cs="Arial"/>
          <w:sz w:val="16"/>
          <w:szCs w:val="16"/>
        </w:rPr>
        <w:t xml:space="preserve"> do Umowy</w:t>
      </w:r>
      <w:r w:rsidR="003E7E27" w:rsidRPr="00164C4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3">
    <w:p w14:paraId="34E7090C" w14:textId="77777777" w:rsidR="00C64303" w:rsidRPr="008560E3" w:rsidRDefault="00C64303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24">
    <w:p w14:paraId="37510329" w14:textId="783DA548" w:rsidR="00B23E8E" w:rsidRPr="00164F61" w:rsidRDefault="00B23E8E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>
        <w:rPr>
          <w:rFonts w:ascii="Arial" w:hAnsi="Arial" w:cs="Arial"/>
          <w:sz w:val="16"/>
          <w:szCs w:val="16"/>
        </w:rPr>
        <w:t>Beneficjent</w:t>
      </w:r>
      <w:r w:rsidRPr="00164F61">
        <w:rPr>
          <w:rFonts w:ascii="Arial" w:hAnsi="Arial" w:cs="Arial"/>
          <w:sz w:val="16"/>
          <w:szCs w:val="16"/>
        </w:rPr>
        <w:t xml:space="preserve"> nie rozpocz</w:t>
      </w:r>
      <w:r>
        <w:rPr>
          <w:rFonts w:ascii="Arial" w:hAnsi="Arial" w:cs="Arial"/>
          <w:sz w:val="16"/>
          <w:szCs w:val="16"/>
        </w:rPr>
        <w:t>ęli</w:t>
      </w:r>
      <w:r w:rsidRPr="00164F61">
        <w:rPr>
          <w:rFonts w:ascii="Arial" w:hAnsi="Arial" w:cs="Arial"/>
          <w:sz w:val="16"/>
          <w:szCs w:val="16"/>
        </w:rPr>
        <w:t xml:space="preserve"> działań w </w:t>
      </w:r>
      <w:r w:rsidR="00EA0058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rojekcie</w:t>
      </w:r>
      <w:r w:rsidRPr="00164F61">
        <w:rPr>
          <w:rFonts w:ascii="Arial" w:hAnsi="Arial" w:cs="Arial"/>
          <w:sz w:val="16"/>
          <w:szCs w:val="16"/>
        </w:rPr>
        <w:t xml:space="preserve"> przed lub w dniu złożenia wniosku.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5">
    <w:p w14:paraId="39F30E2B" w14:textId="77777777" w:rsidR="00B23E8E" w:rsidRPr="00164F61" w:rsidRDefault="00B23E8E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>
        <w:rPr>
          <w:rFonts w:ascii="Arial" w:hAnsi="Arial" w:cs="Arial"/>
          <w:sz w:val="16"/>
          <w:szCs w:val="16"/>
        </w:rPr>
        <w:t>1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6">
    <w:p w14:paraId="3C734C08" w14:textId="77777777" w:rsidR="00B23E8E" w:rsidRPr="00C268C7" w:rsidRDefault="00B23E8E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</w:t>
      </w:r>
      <w:r>
        <w:rPr>
          <w:rFonts w:ascii="Arial" w:hAnsi="Arial" w:cs="Arial"/>
          <w:sz w:val="16"/>
          <w:szCs w:val="16"/>
        </w:rPr>
        <w:t>stawką ryczałtową</w:t>
      </w:r>
      <w:r w:rsidRPr="00C268C7">
        <w:rPr>
          <w:rFonts w:ascii="Arial" w:hAnsi="Arial" w:cs="Arial"/>
          <w:sz w:val="16"/>
          <w:szCs w:val="16"/>
        </w:rPr>
        <w:t>.</w:t>
      </w:r>
    </w:p>
  </w:footnote>
  <w:footnote w:id="27">
    <w:p w14:paraId="0FE33A9A" w14:textId="697AECBA" w:rsidR="00E93939" w:rsidRDefault="00E93939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W przypadku zmiany miejsca realizacji </w:t>
      </w:r>
      <w:r w:rsidR="00F42A36" w:rsidRPr="00EB3872">
        <w:rPr>
          <w:rFonts w:ascii="Arial" w:hAnsi="Arial" w:cs="Arial"/>
          <w:sz w:val="16"/>
          <w:szCs w:val="16"/>
        </w:rPr>
        <w:t>prac</w:t>
      </w:r>
      <w:r w:rsidRPr="00EB387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7D5B05">
        <w:rPr>
          <w:rFonts w:ascii="Arial" w:hAnsi="Arial" w:cs="Arial"/>
          <w:sz w:val="16"/>
          <w:szCs w:val="16"/>
        </w:rPr>
        <w:t>art. 25 ust. 6</w:t>
      </w:r>
      <w:r w:rsidR="007D5B05">
        <w:rPr>
          <w:rFonts w:ascii="Arial" w:hAnsi="Arial" w:cs="Arial"/>
          <w:sz w:val="16"/>
          <w:szCs w:val="16"/>
        </w:rP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lit. c </w:t>
      </w:r>
      <w:r w:rsidR="005719BC" w:rsidRPr="00EB3872">
        <w:rPr>
          <w:rFonts w:ascii="Arial" w:hAnsi="Arial" w:cs="Arial"/>
          <w:sz w:val="16"/>
          <w:szCs w:val="16"/>
        </w:rPr>
        <w:t>r</w:t>
      </w:r>
      <w:r w:rsidRPr="00EB387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28">
    <w:p w14:paraId="737BA692" w14:textId="582DE522" w:rsidR="00873E49" w:rsidRDefault="00873E49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693E1D">
        <w:rPr>
          <w:rFonts w:ascii="Arial" w:hAnsi="Arial" w:cs="Arial"/>
          <w:sz w:val="16"/>
          <w:szCs w:val="16"/>
        </w:rPr>
        <w:t xml:space="preserve">oziom transzy zaliczki  </w:t>
      </w:r>
      <w:r>
        <w:rPr>
          <w:rFonts w:ascii="Arial" w:hAnsi="Arial" w:cs="Arial"/>
          <w:sz w:val="16"/>
          <w:szCs w:val="16"/>
        </w:rPr>
        <w:t>zostanie zmniejszony w przypadku wskazania przez eksperta, na etapie oceny wniosku</w:t>
      </w:r>
      <w:r w:rsidR="005719BC">
        <w:rPr>
          <w:rFonts w:ascii="Arial" w:hAnsi="Arial" w:cs="Arial"/>
          <w:sz w:val="16"/>
          <w:szCs w:val="16"/>
        </w:rPr>
        <w:t xml:space="preserve"> o dofinansowanie</w:t>
      </w:r>
      <w:r>
        <w:rPr>
          <w:rFonts w:ascii="Arial" w:hAnsi="Arial" w:cs="Arial"/>
          <w:sz w:val="16"/>
          <w:szCs w:val="16"/>
        </w:rPr>
        <w:t xml:space="preserve">, niższego poziomu </w:t>
      </w:r>
      <w:r w:rsidRPr="00693E1D">
        <w:rPr>
          <w:rFonts w:ascii="Arial" w:hAnsi="Arial" w:cs="Arial"/>
          <w:sz w:val="16"/>
          <w:szCs w:val="16"/>
        </w:rPr>
        <w:t>transzy zaliczki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3DC99C37" w14:textId="07DEF36B" w:rsidR="00CF2E47" w:rsidRPr="00EB3872" w:rsidRDefault="00CF2E47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Z zastrzeżeniem</w:t>
      </w:r>
      <w:r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postanowień</w:t>
      </w:r>
      <w:r w:rsidRPr="00EB3872"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§</w:t>
      </w:r>
      <w:r w:rsidRPr="00EB3872">
        <w:rPr>
          <w:rFonts w:ascii="Arial" w:hAnsi="Arial" w:cs="Arial"/>
          <w:sz w:val="16"/>
          <w:szCs w:val="16"/>
        </w:rPr>
        <w:t xml:space="preserve"> 5b ust. 1</w:t>
      </w:r>
      <w:r w:rsidR="008A6BAA">
        <w:rPr>
          <w:rFonts w:ascii="Arial" w:hAnsi="Arial" w:cs="Arial"/>
          <w:sz w:val="16"/>
          <w:szCs w:val="16"/>
        </w:rPr>
        <w:t xml:space="preserve"> Umowy</w:t>
      </w:r>
      <w:r w:rsidRPr="00EB3872">
        <w:rPr>
          <w:rFonts w:ascii="Arial" w:hAnsi="Arial" w:cs="Arial"/>
          <w:sz w:val="16"/>
          <w:szCs w:val="16"/>
        </w:rPr>
        <w:t>.</w:t>
      </w:r>
    </w:p>
  </w:footnote>
  <w:footnote w:id="30">
    <w:p w14:paraId="1ADCC777" w14:textId="4A82E9B9" w:rsidR="00FE56FB" w:rsidRDefault="00FE56FB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="00C33906" w:rsidRPr="00E67198">
        <w:rPr>
          <w:rFonts w:ascii="Arial" w:hAnsi="Arial" w:cs="Arial"/>
          <w:sz w:val="16"/>
          <w:szCs w:val="16"/>
        </w:rPr>
        <w:t>Do łącznej kwoty nierozliczonych transz zaliczek należy również dodać zalic</w:t>
      </w:r>
      <w:r w:rsidR="00C33906" w:rsidRPr="004C69D8">
        <w:rPr>
          <w:rFonts w:ascii="Arial" w:hAnsi="Arial" w:cs="Arial"/>
          <w:sz w:val="16"/>
          <w:szCs w:val="16"/>
        </w:rPr>
        <w:t>zkę zatwierdzoną.</w:t>
      </w:r>
    </w:p>
  </w:footnote>
  <w:footnote w:id="31">
    <w:p w14:paraId="32E731C3" w14:textId="05234014" w:rsidR="002D67F7" w:rsidRPr="002D67F7" w:rsidRDefault="002D67F7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</w:t>
      </w:r>
      <w:r w:rsidR="00E34CA4">
        <w:rPr>
          <w:rFonts w:ascii="Arial" w:hAnsi="Arial" w:cs="Arial"/>
          <w:sz w:val="16"/>
          <w:szCs w:val="16"/>
        </w:rPr>
        <w:t>poziomu</w:t>
      </w:r>
      <w:r w:rsidR="00E34CA4" w:rsidRPr="002D67F7">
        <w:rPr>
          <w:rFonts w:ascii="Arial" w:hAnsi="Arial" w:cs="Arial"/>
          <w:sz w:val="16"/>
          <w:szCs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>dofinansowania przyznanego Beneficjentowi</w:t>
      </w:r>
      <w:r w:rsidR="002F74BE">
        <w:rPr>
          <w:rFonts w:ascii="Arial" w:hAnsi="Arial" w:cs="Arial"/>
          <w:sz w:val="16"/>
          <w:szCs w:val="16"/>
        </w:rPr>
        <w:t>.</w:t>
      </w:r>
    </w:p>
  </w:footnote>
  <w:footnote w:id="32">
    <w:p w14:paraId="0360DC34" w14:textId="6C6635E5" w:rsidR="00AB6B7E" w:rsidRDefault="00AB6B7E" w:rsidP="00F94C32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="006D0845" w:rsidRPr="0015338A">
        <w:rPr>
          <w:rFonts w:ascii="Arial" w:hAnsi="Arial" w:cs="Arial"/>
          <w:sz w:val="16"/>
          <w:szCs w:val="16"/>
        </w:rPr>
        <w:t>Okres odpowiadający okresowi trwałości wynosi</w:t>
      </w:r>
      <w:r w:rsidR="00F324AC">
        <w:rPr>
          <w:rFonts w:ascii="Arial" w:hAnsi="Arial" w:cs="Arial"/>
          <w:sz w:val="16"/>
          <w:szCs w:val="16"/>
        </w:rPr>
        <w:t xml:space="preserve"> 3 lata </w:t>
      </w:r>
      <w:r w:rsidR="00F324AC" w:rsidRPr="0015338A">
        <w:rPr>
          <w:rFonts w:ascii="Arial" w:hAnsi="Arial" w:cs="Arial"/>
          <w:sz w:val="16"/>
          <w:szCs w:val="16"/>
        </w:rPr>
        <w:t>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MŚP/</w:t>
      </w:r>
      <w:r w:rsidR="006D0845" w:rsidRPr="0015338A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15338A">
        <w:rPr>
          <w:rFonts w:ascii="Arial" w:hAnsi="Arial" w:cs="Arial"/>
          <w:sz w:val="16"/>
          <w:szCs w:val="16"/>
        </w:rPr>
        <w:t xml:space="preserve">. </w:t>
      </w:r>
    </w:p>
  </w:footnote>
  <w:footnote w:id="33">
    <w:p w14:paraId="5DE134A2" w14:textId="22DEDCC5" w:rsidR="00DB708B" w:rsidRPr="00822CC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4">
    <w:p w14:paraId="23F76E37" w14:textId="5A03DF05" w:rsidR="00490400" w:rsidRDefault="00490400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15338A">
        <w:rPr>
          <w:rFonts w:ascii="Arial" w:hAnsi="Arial" w:cs="Arial"/>
          <w:sz w:val="16"/>
          <w:szCs w:val="16"/>
        </w:rPr>
        <w:t>Wzór sprawozdania zostanie udostępniony na stronie internetowej Instytucji.</w:t>
      </w:r>
    </w:p>
  </w:footnote>
  <w:footnote w:id="35">
    <w:p w14:paraId="57577304" w14:textId="77777777" w:rsidR="00C44992" w:rsidRDefault="00C44992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36">
    <w:p w14:paraId="42C2034D" w14:textId="3A238ABB" w:rsidR="004B3FA8" w:rsidRDefault="004B3FA8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D458A6">
        <w:rPr>
          <w:rFonts w:ascii="Arial" w:hAnsi="Arial" w:cs="Arial"/>
          <w:sz w:val="16"/>
          <w:szCs w:val="16"/>
        </w:rPr>
        <w:t>Dotyczy publikacji w mediach społecznościowych</w:t>
      </w:r>
      <w:r w:rsidR="0077552F">
        <w:rPr>
          <w:rFonts w:ascii="Arial" w:hAnsi="Arial" w:cs="Arial"/>
          <w:sz w:val="16"/>
          <w:szCs w:val="16"/>
        </w:rPr>
        <w:t>.</w:t>
      </w:r>
    </w:p>
  </w:footnote>
  <w:footnote w:id="37">
    <w:p w14:paraId="73DFB15A" w14:textId="52B9D487" w:rsidR="00DB708B" w:rsidRPr="00822CC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8">
    <w:p w14:paraId="598D0A97" w14:textId="266B11BC" w:rsidR="00DB708B" w:rsidRDefault="00DB708B" w:rsidP="00F94C32">
      <w:pPr>
        <w:pStyle w:val="Tekstprzypisudolnego"/>
        <w:spacing w:before="60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9">
    <w:p w14:paraId="16739C7E" w14:textId="53FE305D" w:rsidR="00DB708B" w:rsidRPr="002F75B6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0">
    <w:p w14:paraId="0FDD54C0" w14:textId="169194A2" w:rsidR="00DB708B" w:rsidRPr="007F431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1">
    <w:p w14:paraId="3908F4AF" w14:textId="62A4F0C7" w:rsidR="00DB708B" w:rsidRDefault="00DB708B" w:rsidP="00F94C32">
      <w:pPr>
        <w:pStyle w:val="Tekstprzypisudolnego"/>
        <w:spacing w:before="60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2">
    <w:p w14:paraId="34BF4DCF" w14:textId="6D3B97D8" w:rsidR="00DB708B" w:rsidRPr="000C4AE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3">
    <w:p w14:paraId="573D6F19" w14:textId="1DC3FC4F" w:rsidR="00DB708B" w:rsidRPr="007D31A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4">
    <w:p w14:paraId="39138061" w14:textId="7DCDAA81" w:rsidR="00DB708B" w:rsidRPr="000C4AEC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5">
    <w:p w14:paraId="3C30CE19" w14:textId="42AFC63F" w:rsidR="00DB708B" w:rsidRPr="000C4AEC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6">
    <w:p w14:paraId="5ABCEE73" w14:textId="4B3D1723" w:rsidR="00DB708B" w:rsidRDefault="00DB708B" w:rsidP="00F94C32">
      <w:pPr>
        <w:pStyle w:val="Tekstprzypisudolnego"/>
        <w:spacing w:before="60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7">
    <w:p w14:paraId="6FFDA485" w14:textId="55A65198" w:rsidR="00757C16" w:rsidRPr="004C163A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>
        <w:rPr>
          <w:rFonts w:ascii="Arial" w:hAnsi="Arial" w:cs="Arial"/>
          <w:sz w:val="16"/>
          <w:szCs w:val="16"/>
        </w:rPr>
        <w:t xml:space="preserve">Beneficjentem </w:t>
      </w:r>
      <w:r w:rsidR="00FE407E">
        <w:rPr>
          <w:rFonts w:ascii="Arial" w:hAnsi="Arial" w:cs="Arial"/>
          <w:sz w:val="16"/>
          <w:szCs w:val="16"/>
        </w:rPr>
        <w:t>jest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 zależn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</w:p>
  </w:footnote>
  <w:footnote w:id="48">
    <w:p w14:paraId="1618828B" w14:textId="4B06502D" w:rsidR="00DB708B" w:rsidRPr="00D04549" w:rsidRDefault="00DB708B" w:rsidP="00F94C32">
      <w:pPr>
        <w:pStyle w:val="Tekstprzypisudolnego"/>
        <w:spacing w:before="60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49">
    <w:p w14:paraId="328D9238" w14:textId="77777777" w:rsidR="00DB708B" w:rsidRDefault="00DB708B" w:rsidP="00F94C32">
      <w:pPr>
        <w:pStyle w:val="Tekstprzypisudolnego"/>
        <w:spacing w:before="60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0">
    <w:p w14:paraId="7C2F2EB4" w14:textId="44E6100F" w:rsidR="00DB708B" w:rsidRPr="0057763B" w:rsidRDefault="00DB708B" w:rsidP="00F94C32">
      <w:pPr>
        <w:pStyle w:val="Tekstprzypisudolnego"/>
        <w:spacing w:before="60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1">
    <w:p w14:paraId="391FB0B8" w14:textId="43B25EF9" w:rsidR="00DB708B" w:rsidRDefault="00DB708B" w:rsidP="00F94C32">
      <w:pPr>
        <w:pStyle w:val="Tekstprzypisudolnego"/>
        <w:spacing w:before="60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2">
    <w:p w14:paraId="009EF36A" w14:textId="7638C211" w:rsidR="00DB708B" w:rsidRDefault="00DB708B" w:rsidP="00F94C32">
      <w:pPr>
        <w:pStyle w:val="Tekstprzypisudolnego"/>
        <w:spacing w:before="60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3">
    <w:p w14:paraId="5BD589CE" w14:textId="49682B1C" w:rsidR="00DB708B" w:rsidRPr="0081640B" w:rsidRDefault="00DB708B" w:rsidP="00F94C32">
      <w:pPr>
        <w:pStyle w:val="Tekstprzypisudolnego"/>
        <w:spacing w:before="60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4">
    <w:p w14:paraId="2288B795" w14:textId="77777777" w:rsidR="00251E0F" w:rsidRDefault="00251E0F" w:rsidP="00F94C32">
      <w:pPr>
        <w:pStyle w:val="Tekstprzypisudolnego"/>
        <w:spacing w:before="60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5">
    <w:p w14:paraId="4BDFF050" w14:textId="526FE416" w:rsidR="00DB708B" w:rsidRPr="007D31A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>
        <w:rPr>
          <w:rFonts w:ascii="Arial" w:hAnsi="Arial" w:cs="Arial"/>
          <w:sz w:val="16"/>
          <w:szCs w:val="16"/>
        </w:rPr>
        <w:t>.</w:t>
      </w:r>
    </w:p>
  </w:footnote>
  <w:footnote w:id="56">
    <w:p w14:paraId="1D47F065" w14:textId="2D85AA22" w:rsidR="00DB708B" w:rsidRPr="000578F7" w:rsidRDefault="00DB708B" w:rsidP="00F94C3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7">
    <w:p w14:paraId="199EC20F" w14:textId="4BF098CA" w:rsidR="006B7AE6" w:rsidRPr="00D458A6" w:rsidRDefault="006B7AE6" w:rsidP="00F94C32">
      <w:pPr>
        <w:pStyle w:val="Tekstprzypisudolnego"/>
        <w:spacing w:before="60"/>
        <w:rPr>
          <w:rFonts w:ascii="Arial" w:eastAsiaTheme="minorHAnsi" w:hAnsi="Arial" w:cs="Arial"/>
          <w:sz w:val="16"/>
          <w:szCs w:val="16"/>
        </w:rPr>
      </w:pPr>
      <w:r w:rsidRPr="00484FE6">
        <w:rPr>
          <w:rStyle w:val="Odwoanieprzypisudolnego"/>
        </w:rPr>
        <w:footnoteRef/>
      </w:r>
      <w:r w:rsidRPr="00484FE6">
        <w:t xml:space="preserve"> </w:t>
      </w:r>
      <w:r w:rsidR="00484FE6" w:rsidRPr="00484FE6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484FE6">
        <w:rPr>
          <w:rFonts w:ascii="Arial" w:eastAsiaTheme="minorHAnsi" w:hAnsi="Arial" w:cs="Arial"/>
          <w:sz w:val="16"/>
          <w:szCs w:val="16"/>
        </w:rPr>
        <w:t>.</w:t>
      </w:r>
      <w:r w:rsidR="00865542" w:rsidRPr="00D458A6">
        <w:rPr>
          <w:rFonts w:ascii="Arial" w:eastAsiaTheme="minorHAnsi" w:hAnsi="Arial" w:cs="Arial"/>
          <w:sz w:val="16"/>
          <w:szCs w:val="16"/>
        </w:rPr>
        <w:t xml:space="preserve"> </w:t>
      </w:r>
    </w:p>
  </w:footnote>
  <w:footnote w:id="58">
    <w:p w14:paraId="6BDE10BB" w14:textId="40B09BC8" w:rsidR="00DB708B" w:rsidRDefault="00DB708B" w:rsidP="00F94C32">
      <w:pPr>
        <w:pStyle w:val="Tekstprzypisudolnego"/>
        <w:spacing w:before="60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9">
    <w:p w14:paraId="5145D89B" w14:textId="4BF89B0E" w:rsidR="00DB708B" w:rsidRPr="0022191B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0">
    <w:p w14:paraId="10106909" w14:textId="0426747C" w:rsidR="00254F0F" w:rsidRDefault="00254F0F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254F0F">
        <w:rPr>
          <w:rFonts w:ascii="Arial" w:hAnsi="Arial" w:cs="Arial"/>
          <w:sz w:val="16"/>
          <w:szCs w:val="16"/>
        </w:rPr>
        <w:t>Instytucja zastrzega sobie możliwość powierzenia podmiotom zewnętrznym czynności w zakresie zweryfikowania informacji zawartych w oświadczeniu.</w:t>
      </w:r>
    </w:p>
  </w:footnote>
  <w:footnote w:id="61">
    <w:p w14:paraId="6E8C7C5D" w14:textId="3887CCA0" w:rsidR="00FC4D37" w:rsidRDefault="00FC4D37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Oświadczenie składa </w:t>
      </w:r>
      <w:r w:rsidR="00F82DB8">
        <w:rPr>
          <w:rFonts w:ascii="Arial" w:hAnsi="Arial" w:cs="Arial"/>
          <w:sz w:val="16"/>
          <w:szCs w:val="16"/>
        </w:rPr>
        <w:t>Beneficjent</w:t>
      </w:r>
      <w:r w:rsidRPr="00EB3872">
        <w:rPr>
          <w:rFonts w:ascii="Arial" w:hAnsi="Arial" w:cs="Arial"/>
          <w:sz w:val="16"/>
          <w:szCs w:val="16"/>
        </w:rPr>
        <w:t xml:space="preserve">, </w:t>
      </w:r>
      <w:r w:rsidR="00F82DB8">
        <w:rPr>
          <w:rFonts w:ascii="Arial" w:hAnsi="Arial" w:cs="Arial"/>
          <w:sz w:val="16"/>
          <w:szCs w:val="16"/>
        </w:rPr>
        <w:t xml:space="preserve">o ile </w:t>
      </w:r>
      <w:r w:rsidRPr="00EB387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069250E0"/>
    <w:lvl w:ilvl="0" w:tplc="1F78952C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5001C7"/>
    <w:multiLevelType w:val="hybridMultilevel"/>
    <w:tmpl w:val="912E05E4"/>
    <w:lvl w:ilvl="0" w:tplc="7BE6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D56CE"/>
    <w:multiLevelType w:val="hybridMultilevel"/>
    <w:tmpl w:val="E2127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92F4CB0"/>
    <w:multiLevelType w:val="hybridMultilevel"/>
    <w:tmpl w:val="8774FA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9192309">
    <w:abstractNumId w:val="58"/>
  </w:num>
  <w:num w:numId="2" w16cid:durableId="1610772758">
    <w:abstractNumId w:val="43"/>
  </w:num>
  <w:num w:numId="3" w16cid:durableId="1400053370">
    <w:abstractNumId w:val="42"/>
  </w:num>
  <w:num w:numId="4" w16cid:durableId="302539251">
    <w:abstractNumId w:val="32"/>
  </w:num>
  <w:num w:numId="5" w16cid:durableId="942306626">
    <w:abstractNumId w:val="30"/>
  </w:num>
  <w:num w:numId="6" w16cid:durableId="1289775690">
    <w:abstractNumId w:val="4"/>
  </w:num>
  <w:num w:numId="7" w16cid:durableId="1543470707">
    <w:abstractNumId w:val="26"/>
  </w:num>
  <w:num w:numId="8" w16cid:durableId="568271685">
    <w:abstractNumId w:val="34"/>
  </w:num>
  <w:num w:numId="9" w16cid:durableId="212890735">
    <w:abstractNumId w:val="12"/>
  </w:num>
  <w:num w:numId="10" w16cid:durableId="262344671">
    <w:abstractNumId w:val="16"/>
  </w:num>
  <w:num w:numId="11" w16cid:durableId="1736007205">
    <w:abstractNumId w:val="54"/>
  </w:num>
  <w:num w:numId="12" w16cid:durableId="1880432138">
    <w:abstractNumId w:val="52"/>
  </w:num>
  <w:num w:numId="13" w16cid:durableId="799035408">
    <w:abstractNumId w:val="55"/>
  </w:num>
  <w:num w:numId="14" w16cid:durableId="1446532975">
    <w:abstractNumId w:val="24"/>
  </w:num>
  <w:num w:numId="15" w16cid:durableId="1667895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2139">
    <w:abstractNumId w:val="38"/>
  </w:num>
  <w:num w:numId="17" w16cid:durableId="1232043629">
    <w:abstractNumId w:val="8"/>
  </w:num>
  <w:num w:numId="18" w16cid:durableId="1250892578">
    <w:abstractNumId w:val="40"/>
  </w:num>
  <w:num w:numId="19" w16cid:durableId="832448966">
    <w:abstractNumId w:val="25"/>
  </w:num>
  <w:num w:numId="20" w16cid:durableId="938440876">
    <w:abstractNumId w:val="10"/>
  </w:num>
  <w:num w:numId="21" w16cid:durableId="1743870541">
    <w:abstractNumId w:val="1"/>
  </w:num>
  <w:num w:numId="22" w16cid:durableId="1120684463">
    <w:abstractNumId w:val="9"/>
  </w:num>
  <w:num w:numId="23" w16cid:durableId="2117871860">
    <w:abstractNumId w:val="6"/>
  </w:num>
  <w:num w:numId="24" w16cid:durableId="1014109163">
    <w:abstractNumId w:val="31"/>
  </w:num>
  <w:num w:numId="25" w16cid:durableId="1442071655">
    <w:abstractNumId w:val="46"/>
  </w:num>
  <w:num w:numId="26" w16cid:durableId="1271014356">
    <w:abstractNumId w:val="39"/>
  </w:num>
  <w:num w:numId="27" w16cid:durableId="1920098086">
    <w:abstractNumId w:val="17"/>
  </w:num>
  <w:num w:numId="28" w16cid:durableId="475951202">
    <w:abstractNumId w:val="18"/>
  </w:num>
  <w:num w:numId="29" w16cid:durableId="365758072">
    <w:abstractNumId w:val="7"/>
  </w:num>
  <w:num w:numId="30" w16cid:durableId="58484864">
    <w:abstractNumId w:val="0"/>
  </w:num>
  <w:num w:numId="31" w16cid:durableId="1106578667">
    <w:abstractNumId w:val="21"/>
  </w:num>
  <w:num w:numId="32" w16cid:durableId="1699626605">
    <w:abstractNumId w:val="15"/>
  </w:num>
  <w:num w:numId="33" w16cid:durableId="1772821561">
    <w:abstractNumId w:val="51"/>
  </w:num>
  <w:num w:numId="34" w16cid:durableId="1745879213">
    <w:abstractNumId w:val="41"/>
  </w:num>
  <w:num w:numId="35" w16cid:durableId="1266305769">
    <w:abstractNumId w:val="50"/>
  </w:num>
  <w:num w:numId="36" w16cid:durableId="1751854654">
    <w:abstractNumId w:val="49"/>
  </w:num>
  <w:num w:numId="37" w16cid:durableId="1780490645">
    <w:abstractNumId w:val="37"/>
  </w:num>
  <w:num w:numId="38" w16cid:durableId="2106460684">
    <w:abstractNumId w:val="29"/>
  </w:num>
  <w:num w:numId="39" w16cid:durableId="1076241891">
    <w:abstractNumId w:val="48"/>
  </w:num>
  <w:num w:numId="40" w16cid:durableId="1146319442">
    <w:abstractNumId w:val="35"/>
  </w:num>
  <w:num w:numId="41" w16cid:durableId="437723685">
    <w:abstractNumId w:val="5"/>
  </w:num>
  <w:num w:numId="42" w16cid:durableId="2117796440">
    <w:abstractNumId w:val="45"/>
  </w:num>
  <w:num w:numId="43" w16cid:durableId="1829664080">
    <w:abstractNumId w:val="19"/>
  </w:num>
  <w:num w:numId="44" w16cid:durableId="653025740">
    <w:abstractNumId w:val="13"/>
  </w:num>
  <w:num w:numId="45" w16cid:durableId="851989879">
    <w:abstractNumId w:val="36"/>
  </w:num>
  <w:num w:numId="46" w16cid:durableId="518666615">
    <w:abstractNumId w:val="28"/>
  </w:num>
  <w:num w:numId="47" w16cid:durableId="1917278392">
    <w:abstractNumId w:val="44"/>
  </w:num>
  <w:num w:numId="48" w16cid:durableId="1160461594">
    <w:abstractNumId w:val="14"/>
  </w:num>
  <w:num w:numId="49" w16cid:durableId="665016208">
    <w:abstractNumId w:val="3"/>
  </w:num>
  <w:num w:numId="50" w16cid:durableId="1180436596">
    <w:abstractNumId w:val="11"/>
  </w:num>
  <w:num w:numId="51" w16cid:durableId="1792743775">
    <w:abstractNumId w:val="33"/>
  </w:num>
  <w:num w:numId="52" w16cid:durableId="1523860577">
    <w:abstractNumId w:val="27"/>
  </w:num>
  <w:num w:numId="53" w16cid:durableId="478691555">
    <w:abstractNumId w:val="23"/>
  </w:num>
  <w:num w:numId="54" w16cid:durableId="2123960256">
    <w:abstractNumId w:val="2"/>
  </w:num>
  <w:num w:numId="55" w16cid:durableId="2006128728">
    <w:abstractNumId w:val="20"/>
  </w:num>
  <w:num w:numId="56" w16cid:durableId="137235342">
    <w:abstractNumId w:val="47"/>
  </w:num>
  <w:num w:numId="57" w16cid:durableId="235553340">
    <w:abstractNumId w:val="56"/>
  </w:num>
  <w:num w:numId="58" w16cid:durableId="1560286065">
    <w:abstractNumId w:val="22"/>
  </w:num>
  <w:num w:numId="59" w16cid:durableId="1482035493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B32"/>
    <w:rsid w:val="00033B69"/>
    <w:rsid w:val="00033C2F"/>
    <w:rsid w:val="00033DD7"/>
    <w:rsid w:val="000341F2"/>
    <w:rsid w:val="00034256"/>
    <w:rsid w:val="0003470C"/>
    <w:rsid w:val="000348AC"/>
    <w:rsid w:val="00034C83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282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1DA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5B02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4E8C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8F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88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9C2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1B2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C7F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3E0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622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847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7F7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584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3D67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97AC3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0A3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BA5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599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B01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3950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94C"/>
    <w:rsid w:val="003B4A42"/>
    <w:rsid w:val="003B4C9D"/>
    <w:rsid w:val="003B5021"/>
    <w:rsid w:val="003B525C"/>
    <w:rsid w:val="003B573A"/>
    <w:rsid w:val="003B59A9"/>
    <w:rsid w:val="003B66B2"/>
    <w:rsid w:val="003B70A3"/>
    <w:rsid w:val="003B710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900"/>
    <w:rsid w:val="003D7BF1"/>
    <w:rsid w:val="003D7CE0"/>
    <w:rsid w:val="003E001A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5C68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4D2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AA5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07A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4FE6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95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116"/>
    <w:rsid w:val="004D0D16"/>
    <w:rsid w:val="004D0D49"/>
    <w:rsid w:val="004D0D5C"/>
    <w:rsid w:val="004D0E47"/>
    <w:rsid w:val="004D0F8A"/>
    <w:rsid w:val="004D0F94"/>
    <w:rsid w:val="004D13F4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4F1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89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224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5C7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ACC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3AB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724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73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3D46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1BA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3C3F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3FE1"/>
    <w:rsid w:val="00704100"/>
    <w:rsid w:val="0070423F"/>
    <w:rsid w:val="00704623"/>
    <w:rsid w:val="00704771"/>
    <w:rsid w:val="007048B6"/>
    <w:rsid w:val="0070490B"/>
    <w:rsid w:val="00704D2D"/>
    <w:rsid w:val="00704DA7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0F2F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9B4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2D91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354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649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1A2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4F44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46C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6D36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CAA"/>
    <w:rsid w:val="008E7FEA"/>
    <w:rsid w:val="008F011A"/>
    <w:rsid w:val="008F03FE"/>
    <w:rsid w:val="008F0D11"/>
    <w:rsid w:val="008F0E9A"/>
    <w:rsid w:val="008F101B"/>
    <w:rsid w:val="008F12C7"/>
    <w:rsid w:val="008F149D"/>
    <w:rsid w:val="008F155A"/>
    <w:rsid w:val="008F15CA"/>
    <w:rsid w:val="008F1647"/>
    <w:rsid w:val="008F1C73"/>
    <w:rsid w:val="008F1FED"/>
    <w:rsid w:val="008F20B0"/>
    <w:rsid w:val="008F2102"/>
    <w:rsid w:val="008F2183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2AF"/>
    <w:rsid w:val="0090536E"/>
    <w:rsid w:val="0090573B"/>
    <w:rsid w:val="00905A73"/>
    <w:rsid w:val="00905B20"/>
    <w:rsid w:val="009063FF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992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87F26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2597"/>
    <w:rsid w:val="00993335"/>
    <w:rsid w:val="009938B1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2"/>
    <w:rsid w:val="00A226B3"/>
    <w:rsid w:val="00A22FFC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4EC8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AF7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752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8A1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839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6A5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2D2F"/>
    <w:rsid w:val="00AC3227"/>
    <w:rsid w:val="00AC3492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3DE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8EB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CF6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D52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719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4DC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1A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39C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2E12"/>
    <w:rsid w:val="00C831B6"/>
    <w:rsid w:val="00C8360A"/>
    <w:rsid w:val="00C838F8"/>
    <w:rsid w:val="00C83EB6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0DEC"/>
    <w:rsid w:val="00CB101F"/>
    <w:rsid w:val="00CB1184"/>
    <w:rsid w:val="00CB15C9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4EBB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2F2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6F3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8A8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42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AD1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1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63F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0E5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5F5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612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543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6E9A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827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CC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93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C32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99F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1C12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9BC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12bffdb78a1b9fdead7ec32fb50d01a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4db8132e2366d86dcb134012764b71a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E08B5-FE06-466A-80C9-6A9012FCB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30</Pages>
  <Words>12491</Words>
  <Characters>74946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87263</CharactersWithSpaces>
  <SharedDoc>false</SharedDoc>
  <HLinks>
    <vt:vector size="30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5636205</vt:i4>
      </vt:variant>
      <vt:variant>
        <vt:i4>9</vt:i4>
      </vt:variant>
      <vt:variant>
        <vt:i4>0</vt:i4>
      </vt:variant>
      <vt:variant>
        <vt:i4>5</vt:i4>
      </vt:variant>
      <vt:variant>
        <vt:lpwstr>mailto:jakub.fryzlewicz@ncbr.gov.pl</vt:lpwstr>
      </vt:variant>
      <vt:variant>
        <vt:lpwstr/>
      </vt:variant>
      <vt:variant>
        <vt:i4>4980849</vt:i4>
      </vt:variant>
      <vt:variant>
        <vt:i4>6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mailto:ewakatarzyna.wisniewska@ncbr.gov.pl</vt:lpwstr>
      </vt:variant>
      <vt:variant>
        <vt:lpwstr/>
      </vt:variant>
      <vt:variant>
        <vt:i4>3604494</vt:i4>
      </vt:variant>
      <vt:variant>
        <vt:i4>0</vt:i4>
      </vt:variant>
      <vt:variant>
        <vt:i4>0</vt:i4>
      </vt:variant>
      <vt:variant>
        <vt:i4>5</vt:i4>
      </vt:variant>
      <vt:variant>
        <vt:lpwstr>mailto:Justyna.Szlagowska@ncbr.gov.pl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Milena Piątkowska</cp:lastModifiedBy>
  <cp:revision>18</cp:revision>
  <cp:lastPrinted>2023-11-15T12:27:00Z</cp:lastPrinted>
  <dcterms:created xsi:type="dcterms:W3CDTF">2025-07-23T11:11:00Z</dcterms:created>
  <dcterms:modified xsi:type="dcterms:W3CDTF">2025-11-12T10:09:00Z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