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D84E" w14:textId="6ED4A928" w:rsidR="00EA2B9B" w:rsidRPr="00EF6169" w:rsidRDefault="00DA78DA" w:rsidP="00A86AED">
      <w:pPr>
        <w:spacing w:before="120" w:after="0" w:line="240" w:lineRule="auto"/>
        <w:ind w:left="708"/>
        <w:jc w:val="center"/>
        <w:rPr>
          <w:rFonts w:ascii="Arial" w:hAnsi="Arial" w:cs="Arial"/>
          <w:b/>
          <w:bCs/>
          <w:sz w:val="24"/>
          <w:szCs w:val="24"/>
        </w:rPr>
      </w:pPr>
      <w:r w:rsidRPr="00EF6169">
        <w:rPr>
          <w:rFonts w:ascii="Arial" w:hAnsi="Arial" w:cs="Arial"/>
          <w:b/>
          <w:bCs/>
          <w:sz w:val="24"/>
          <w:szCs w:val="24"/>
        </w:rPr>
        <w:t>Koncepcja</w:t>
      </w:r>
      <w:r w:rsidR="00BE76D5" w:rsidRPr="00EF6169">
        <w:rPr>
          <w:rFonts w:ascii="Arial" w:hAnsi="Arial" w:cs="Arial"/>
          <w:b/>
          <w:bCs/>
          <w:sz w:val="24"/>
          <w:szCs w:val="24"/>
        </w:rPr>
        <w:t xml:space="preserve"> p</w:t>
      </w:r>
      <w:r w:rsidR="00F73DCD" w:rsidRPr="00EF6169">
        <w:rPr>
          <w:rFonts w:ascii="Arial" w:hAnsi="Arial" w:cs="Arial"/>
          <w:b/>
          <w:bCs/>
          <w:sz w:val="24"/>
          <w:szCs w:val="24"/>
        </w:rPr>
        <w:t>rogram</w:t>
      </w:r>
      <w:r w:rsidR="00BE76D5" w:rsidRPr="00EF6169">
        <w:rPr>
          <w:rFonts w:ascii="Arial" w:hAnsi="Arial" w:cs="Arial"/>
          <w:b/>
          <w:bCs/>
          <w:sz w:val="24"/>
          <w:szCs w:val="24"/>
        </w:rPr>
        <w:t>u</w:t>
      </w:r>
      <w:r w:rsidR="00F73DCD" w:rsidRPr="00EF6169">
        <w:rPr>
          <w:rFonts w:ascii="Arial" w:hAnsi="Arial" w:cs="Arial"/>
          <w:b/>
          <w:bCs/>
          <w:sz w:val="24"/>
          <w:szCs w:val="24"/>
        </w:rPr>
        <w:t xml:space="preserve"> </w:t>
      </w:r>
      <w:r w:rsidR="00BE76D5" w:rsidRPr="00EF6169">
        <w:rPr>
          <w:rFonts w:ascii="Arial" w:hAnsi="Arial" w:cs="Arial"/>
          <w:b/>
          <w:bCs/>
          <w:sz w:val="24"/>
          <w:szCs w:val="24"/>
        </w:rPr>
        <w:t>r</w:t>
      </w:r>
      <w:r w:rsidR="00F73DCD" w:rsidRPr="00EF6169">
        <w:rPr>
          <w:rFonts w:ascii="Arial" w:hAnsi="Arial" w:cs="Arial"/>
          <w:b/>
          <w:bCs/>
          <w:sz w:val="24"/>
          <w:szCs w:val="24"/>
        </w:rPr>
        <w:t>ządow</w:t>
      </w:r>
      <w:r w:rsidR="00BE76D5" w:rsidRPr="00EF6169">
        <w:rPr>
          <w:rFonts w:ascii="Arial" w:hAnsi="Arial" w:cs="Arial"/>
          <w:b/>
          <w:bCs/>
          <w:sz w:val="24"/>
          <w:szCs w:val="24"/>
        </w:rPr>
        <w:t>ego</w:t>
      </w:r>
      <w:r w:rsidR="00DF2D15" w:rsidRPr="00EF6169">
        <w:rPr>
          <w:rFonts w:ascii="Arial" w:hAnsi="Arial" w:cs="Arial"/>
          <w:b/>
          <w:bCs/>
          <w:sz w:val="24"/>
          <w:szCs w:val="24"/>
        </w:rPr>
        <w:t xml:space="preserve"> na rok 2022 pn. </w:t>
      </w:r>
      <w:r w:rsidR="0011313C" w:rsidRPr="00EF6169">
        <w:rPr>
          <w:rFonts w:ascii="Arial" w:hAnsi="Arial" w:cs="Arial"/>
          <w:b/>
          <w:bCs/>
          <w:sz w:val="24"/>
          <w:szCs w:val="24"/>
        </w:rPr>
        <w:br/>
      </w:r>
      <w:r w:rsidR="00DF2D15" w:rsidRPr="00EF6169">
        <w:rPr>
          <w:rFonts w:ascii="Arial" w:hAnsi="Arial" w:cs="Arial"/>
          <w:b/>
          <w:bCs/>
          <w:sz w:val="24"/>
          <w:szCs w:val="24"/>
        </w:rPr>
        <w:t>„Pomoc dla sektorów energochłonnych związana z nagłymi wzrostami cen gazu ziemnego i energii elektrycznej”</w:t>
      </w:r>
    </w:p>
    <w:p w14:paraId="665D59D6" w14:textId="77777777" w:rsidR="001B2043" w:rsidRPr="00EF6169" w:rsidRDefault="001B2043" w:rsidP="004052AF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16B8199" w14:textId="77777777" w:rsidR="001B2043" w:rsidRPr="00EF6169" w:rsidRDefault="001B2043" w:rsidP="001B2043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F6169">
        <w:rPr>
          <w:rFonts w:ascii="Arial" w:hAnsi="Arial" w:cs="Arial"/>
          <w:b/>
          <w:bCs/>
          <w:sz w:val="24"/>
          <w:szCs w:val="24"/>
        </w:rPr>
        <w:t>Definicje</w:t>
      </w:r>
    </w:p>
    <w:p w14:paraId="34579A75" w14:textId="77777777" w:rsidR="001B2043" w:rsidRPr="00EF6169" w:rsidRDefault="001B2043" w:rsidP="001B2043">
      <w:p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>Użyte w Programie pojęcia i skróty oznaczają:</w:t>
      </w:r>
    </w:p>
    <w:p w14:paraId="226D2EAB" w14:textId="77777777" w:rsidR="00BE76D5" w:rsidRPr="00EF6169" w:rsidRDefault="00BE76D5" w:rsidP="00BE76D5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>Ustawa - Ustawa z dnia 29 września 2022 r. o zasadach realizacji programów wsparcia przedsiębiorców w związku z sytuacją na rynku energii w latach 2022-2024 (Dz.U. 2022 poz. 2088).</w:t>
      </w:r>
    </w:p>
    <w:p w14:paraId="1FCD461C" w14:textId="77777777" w:rsidR="001B2043" w:rsidRPr="00EF6169" w:rsidRDefault="001B2043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>Dysponent Funduszu – minister właściwy do spraw gospodarki;</w:t>
      </w:r>
    </w:p>
    <w:p w14:paraId="21075E37" w14:textId="77777777" w:rsidR="001B2043" w:rsidRPr="00EF6169" w:rsidRDefault="001B2043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>Operator Programu – Narodowy Fundusz Ochrony Środowiska i Gospodarki Wodnej;</w:t>
      </w:r>
    </w:p>
    <w:p w14:paraId="32B626BE" w14:textId="77777777" w:rsidR="001B2043" w:rsidRPr="00EF6169" w:rsidRDefault="001B2043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 xml:space="preserve">Wnioskodawca – podmiot, który złożył Wniosek o udzielenie Pomocy; </w:t>
      </w:r>
    </w:p>
    <w:p w14:paraId="10F91ACC" w14:textId="6E8D0A8C" w:rsidR="001B2043" w:rsidRPr="00EF6169" w:rsidRDefault="001B2043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 xml:space="preserve">Beneficjent – przedsiębiorca, któremu udzielono Pomocy na podstawie Umowy o udzielenie Pomocy, o której mowa </w:t>
      </w:r>
      <w:r w:rsidR="00BE76D5" w:rsidRPr="00EF6169">
        <w:rPr>
          <w:rFonts w:ascii="Arial" w:hAnsi="Arial" w:cs="Arial"/>
          <w:bCs/>
          <w:sz w:val="24"/>
          <w:szCs w:val="24"/>
        </w:rPr>
        <w:t xml:space="preserve">w </w:t>
      </w:r>
      <w:r w:rsidRPr="00EF6169">
        <w:rPr>
          <w:rFonts w:ascii="Arial" w:hAnsi="Arial" w:cs="Arial"/>
          <w:bCs/>
          <w:sz w:val="24"/>
          <w:szCs w:val="24"/>
        </w:rPr>
        <w:t xml:space="preserve">art. 7 </w:t>
      </w:r>
      <w:r w:rsidR="00BE76D5" w:rsidRPr="00EF6169">
        <w:rPr>
          <w:rFonts w:ascii="Arial" w:hAnsi="Arial" w:cs="Arial"/>
          <w:bCs/>
          <w:sz w:val="24"/>
          <w:szCs w:val="24"/>
        </w:rPr>
        <w:t>U</w:t>
      </w:r>
      <w:r w:rsidRPr="00EF6169">
        <w:rPr>
          <w:rFonts w:ascii="Arial" w:hAnsi="Arial" w:cs="Arial"/>
          <w:bCs/>
          <w:sz w:val="24"/>
          <w:szCs w:val="24"/>
        </w:rPr>
        <w:t xml:space="preserve">stawy; </w:t>
      </w:r>
    </w:p>
    <w:p w14:paraId="3F85BA6F" w14:textId="7A76321A" w:rsidR="001B2043" w:rsidRPr="00EF6169" w:rsidRDefault="001B2043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>Umowa – umowa</w:t>
      </w:r>
      <w:r w:rsidR="00BE76D5" w:rsidRPr="00EF6169">
        <w:rPr>
          <w:rFonts w:ascii="Arial" w:hAnsi="Arial" w:cs="Arial"/>
          <w:bCs/>
          <w:sz w:val="24"/>
          <w:szCs w:val="24"/>
        </w:rPr>
        <w:t xml:space="preserve"> o udzielenie Pomocy</w:t>
      </w:r>
      <w:r w:rsidRPr="00EF6169">
        <w:rPr>
          <w:rFonts w:ascii="Arial" w:hAnsi="Arial" w:cs="Arial"/>
          <w:bCs/>
          <w:sz w:val="24"/>
          <w:szCs w:val="24"/>
        </w:rPr>
        <w:t xml:space="preserve">, o której mowa w art. 7 Ustawy, zawarta pomiędzy Operatorem Programu a Beneficjentem; </w:t>
      </w:r>
    </w:p>
    <w:p w14:paraId="084E0241" w14:textId="19923377" w:rsidR="001B2043" w:rsidRPr="00EF6169" w:rsidRDefault="001B2043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>Wniosek – wniosek</w:t>
      </w:r>
      <w:r w:rsidR="00BE76D5" w:rsidRPr="00EF6169">
        <w:rPr>
          <w:rFonts w:ascii="Arial" w:hAnsi="Arial" w:cs="Arial"/>
          <w:bCs/>
          <w:sz w:val="24"/>
          <w:szCs w:val="24"/>
        </w:rPr>
        <w:t xml:space="preserve"> składany przez Wnioskodawcę do Operatora Programu w celu udzielenia Pomocy</w:t>
      </w:r>
      <w:r w:rsidRPr="00EF6169">
        <w:rPr>
          <w:rFonts w:ascii="Arial" w:hAnsi="Arial" w:cs="Arial"/>
          <w:bCs/>
          <w:sz w:val="24"/>
          <w:szCs w:val="24"/>
        </w:rPr>
        <w:t xml:space="preserve"> wraz z załącznikami;</w:t>
      </w:r>
    </w:p>
    <w:p w14:paraId="33B9277E" w14:textId="77777777" w:rsidR="001B2043" w:rsidRPr="00EF6169" w:rsidRDefault="001B2043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 xml:space="preserve">Pomoc – pomoc publiczna w rozumieniu Ustawy; </w:t>
      </w:r>
    </w:p>
    <w:p w14:paraId="612CE93C" w14:textId="77777777" w:rsidR="001B2043" w:rsidRPr="00EF6169" w:rsidRDefault="001B2043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>Udzielenie Pomocy – zawarcie Umowy;</w:t>
      </w:r>
    </w:p>
    <w:p w14:paraId="12FC822F" w14:textId="2828E3C4" w:rsidR="001B2043" w:rsidRPr="00EF6169" w:rsidRDefault="001B2043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>Okres kwalifikowany – okres od 1 lutego 2022 r, do 31 grudnia 2022 r.;</w:t>
      </w:r>
    </w:p>
    <w:p w14:paraId="48E331DD" w14:textId="34AFDD15" w:rsidR="001B2043" w:rsidRPr="00EF6169" w:rsidRDefault="001B2043" w:rsidP="001B2043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>Okres referencyjny – okres od 1 stycznia 2021 r. do 31 grudnia 2021 r.</w:t>
      </w:r>
      <w:r w:rsidR="00A86AED" w:rsidRPr="00EF6169">
        <w:rPr>
          <w:rFonts w:ascii="Arial" w:hAnsi="Arial" w:cs="Arial"/>
          <w:bCs/>
          <w:sz w:val="24"/>
          <w:szCs w:val="24"/>
        </w:rPr>
        <w:t>;</w:t>
      </w:r>
    </w:p>
    <w:p w14:paraId="153BDF67" w14:textId="189F9C10" w:rsidR="00586AD5" w:rsidRPr="00EF6169" w:rsidRDefault="00586AD5" w:rsidP="009F64EB">
      <w:pPr>
        <w:numPr>
          <w:ilvl w:val="0"/>
          <w:numId w:val="24"/>
        </w:num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6169">
        <w:rPr>
          <w:rFonts w:ascii="Arial" w:hAnsi="Arial" w:cs="Arial"/>
          <w:bCs/>
          <w:sz w:val="24"/>
          <w:szCs w:val="24"/>
        </w:rPr>
        <w:t>Okres wnioskowany – okres złożony z miesięcy, w których Wnioskodawca poniósł koszty kwalifikowane zgłoszone we Wniosku, niewykraczający poza Okres kwalifikowany.</w:t>
      </w:r>
    </w:p>
    <w:p w14:paraId="5AFC7042" w14:textId="77777777" w:rsidR="001B2043" w:rsidRPr="00EF6169" w:rsidRDefault="001B2043" w:rsidP="004052AF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3E02153" w14:textId="26AE2B21" w:rsidR="00A43D0E" w:rsidRPr="00EF6169" w:rsidRDefault="009E7FB3" w:rsidP="004052AF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F6169">
        <w:rPr>
          <w:rFonts w:ascii="Arial" w:hAnsi="Arial" w:cs="Arial"/>
          <w:b/>
          <w:bCs/>
          <w:sz w:val="24"/>
          <w:szCs w:val="24"/>
        </w:rPr>
        <w:t xml:space="preserve">Przedsiębiorcy uprawieni do otrzymania </w:t>
      </w:r>
      <w:r w:rsidR="00BE76D5" w:rsidRPr="00EF6169">
        <w:rPr>
          <w:rFonts w:ascii="Arial" w:hAnsi="Arial" w:cs="Arial"/>
          <w:b/>
          <w:bCs/>
          <w:sz w:val="24"/>
          <w:szCs w:val="24"/>
        </w:rPr>
        <w:t>P</w:t>
      </w:r>
      <w:r w:rsidRPr="00EF6169">
        <w:rPr>
          <w:rFonts w:ascii="Arial" w:hAnsi="Arial" w:cs="Arial"/>
          <w:b/>
          <w:bCs/>
          <w:sz w:val="24"/>
          <w:szCs w:val="24"/>
        </w:rPr>
        <w:t>omocy</w:t>
      </w:r>
    </w:p>
    <w:p w14:paraId="7A36B4CE" w14:textId="31CE0BF4" w:rsidR="00660C3E" w:rsidRPr="00EF6169" w:rsidRDefault="00D62807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O Pomoc mo</w:t>
      </w:r>
      <w:r w:rsidR="00660C3E" w:rsidRPr="00EF6169">
        <w:rPr>
          <w:rFonts w:ascii="Arial" w:eastAsiaTheme="minorEastAsia" w:hAnsi="Arial" w:cs="Arial"/>
          <w:sz w:val="24"/>
          <w:szCs w:val="24"/>
        </w:rPr>
        <w:t>że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ubiegać się przedsiębiorc</w:t>
      </w:r>
      <w:r w:rsidR="00660C3E" w:rsidRPr="00EF6169">
        <w:rPr>
          <w:rFonts w:ascii="Arial" w:eastAsiaTheme="minorEastAsia" w:hAnsi="Arial" w:cs="Arial"/>
          <w:sz w:val="24"/>
          <w:szCs w:val="24"/>
        </w:rPr>
        <w:t>a</w:t>
      </w:r>
      <w:r w:rsidR="091A5936" w:rsidRPr="00EF6169">
        <w:rPr>
          <w:rFonts w:ascii="Arial" w:eastAsiaTheme="minorEastAsia" w:hAnsi="Arial" w:cs="Arial"/>
          <w:sz w:val="24"/>
          <w:szCs w:val="24"/>
        </w:rPr>
        <w:t xml:space="preserve"> w rozumieniu ustawy z dnia 6 marca 2018</w:t>
      </w:r>
      <w:r w:rsidR="004E4FDE" w:rsidRPr="00EF6169">
        <w:rPr>
          <w:rFonts w:ascii="Arial" w:eastAsiaTheme="minorEastAsia" w:hAnsi="Arial" w:cs="Arial"/>
          <w:sz w:val="24"/>
          <w:szCs w:val="24"/>
        </w:rPr>
        <w:t> </w:t>
      </w:r>
      <w:r w:rsidR="091A5936" w:rsidRPr="00EF6169">
        <w:rPr>
          <w:rFonts w:ascii="Arial" w:eastAsiaTheme="minorEastAsia" w:hAnsi="Arial" w:cs="Arial"/>
          <w:sz w:val="24"/>
          <w:szCs w:val="24"/>
        </w:rPr>
        <w:t>r. Prawo przedsiębiorców (t.j.: Dz. U. z 2021 r. poz. 162, z późn zm.)</w:t>
      </w:r>
      <w:r w:rsidRPr="00EF6169">
        <w:rPr>
          <w:rFonts w:ascii="Arial" w:eastAsiaTheme="minorEastAsia" w:hAnsi="Arial" w:cs="Arial"/>
          <w:sz w:val="24"/>
          <w:szCs w:val="24"/>
        </w:rPr>
        <w:t xml:space="preserve">, </w:t>
      </w:r>
      <w:r w:rsidR="00660C3E" w:rsidRPr="00EF6169">
        <w:rPr>
          <w:rFonts w:ascii="Arial" w:eastAsiaTheme="minorEastAsia" w:hAnsi="Arial" w:cs="Arial"/>
          <w:sz w:val="24"/>
          <w:szCs w:val="24"/>
        </w:rPr>
        <w:t>który</w:t>
      </w:r>
      <w:r w:rsidR="001B2043" w:rsidRPr="00EF6169">
        <w:rPr>
          <w:rFonts w:ascii="Arial" w:eastAsiaTheme="minorEastAsia" w:hAnsi="Arial" w:cs="Arial"/>
          <w:sz w:val="24"/>
          <w:szCs w:val="24"/>
        </w:rPr>
        <w:t xml:space="preserve"> spełnia następujące kryteria</w:t>
      </w:r>
      <w:r w:rsidR="00660C3E" w:rsidRPr="00EF6169">
        <w:rPr>
          <w:rFonts w:ascii="Arial" w:eastAsiaTheme="minorEastAsia" w:hAnsi="Arial" w:cs="Arial"/>
          <w:sz w:val="24"/>
          <w:szCs w:val="24"/>
        </w:rPr>
        <w:t>:</w:t>
      </w:r>
    </w:p>
    <w:p w14:paraId="64C938A3" w14:textId="33DA9C63" w:rsidR="00CB6515" w:rsidRPr="00EF6169" w:rsidRDefault="00CB6515" w:rsidP="00CB6515">
      <w:pPr>
        <w:pStyle w:val="AODocTxt"/>
        <w:numPr>
          <w:ilvl w:val="0"/>
          <w:numId w:val="12"/>
        </w:numPr>
        <w:spacing w:before="120" w:line="240" w:lineRule="auto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wykonuje działalność gospodarczą na dzień złożenia wniosku i wykonywał ją przez cały </w:t>
      </w:r>
      <w:r w:rsidR="00BA392A" w:rsidRPr="00EF6169">
        <w:rPr>
          <w:rFonts w:ascii="Arial" w:eastAsiaTheme="minorEastAsia" w:hAnsi="Arial" w:cs="Arial"/>
          <w:sz w:val="24"/>
          <w:szCs w:val="24"/>
          <w:lang w:val="pl-PL"/>
        </w:rPr>
        <w:t>O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kres kwalifikowany i </w:t>
      </w:r>
      <w:r w:rsidR="00BA392A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Okres 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referencyjny na terytorium Rzeczpospolitej Polskiej; </w:t>
      </w:r>
    </w:p>
    <w:p w14:paraId="33E40CF8" w14:textId="32FD3E64" w:rsidR="00107C3F" w:rsidRPr="00EF6169" w:rsidRDefault="00E449C4" w:rsidP="0074161B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>poni</w:t>
      </w:r>
      <w:r w:rsidR="00660C3E" w:rsidRPr="00EF6169">
        <w:rPr>
          <w:rFonts w:ascii="Arial" w:hAnsi="Arial" w:cs="Arial"/>
          <w:sz w:val="24"/>
          <w:szCs w:val="24"/>
        </w:rPr>
        <w:t xml:space="preserve">ósł </w:t>
      </w:r>
      <w:r w:rsidRPr="00EF6169">
        <w:rPr>
          <w:rFonts w:ascii="Arial" w:hAnsi="Arial" w:cs="Arial"/>
          <w:sz w:val="24"/>
          <w:szCs w:val="24"/>
        </w:rPr>
        <w:t xml:space="preserve">koszty zakupu energii elektrycznej </w:t>
      </w:r>
      <w:r w:rsidR="001B2043" w:rsidRPr="00EF6169">
        <w:rPr>
          <w:rFonts w:ascii="Arial" w:hAnsi="Arial" w:cs="Arial"/>
          <w:sz w:val="24"/>
          <w:szCs w:val="24"/>
        </w:rPr>
        <w:t>lub</w:t>
      </w:r>
      <w:r w:rsidRPr="00EF6169">
        <w:rPr>
          <w:rFonts w:ascii="Arial" w:hAnsi="Arial" w:cs="Arial"/>
          <w:sz w:val="24"/>
          <w:szCs w:val="24"/>
        </w:rPr>
        <w:t xml:space="preserve"> gazu ziemnego</w:t>
      </w:r>
      <w:r w:rsidR="00107C3F" w:rsidRPr="00EF6169">
        <w:rPr>
          <w:rFonts w:ascii="Arial" w:hAnsi="Arial" w:cs="Arial"/>
          <w:sz w:val="24"/>
          <w:szCs w:val="24"/>
        </w:rPr>
        <w:t>:</w:t>
      </w:r>
    </w:p>
    <w:p w14:paraId="1AF24274" w14:textId="186F3DEA" w:rsidR="00107C3F" w:rsidRPr="00EF6169" w:rsidRDefault="00107C3F" w:rsidP="00107C3F">
      <w:pPr>
        <w:pStyle w:val="Akapitzlist"/>
        <w:numPr>
          <w:ilvl w:val="1"/>
          <w:numId w:val="12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w roku 2021, </w:t>
      </w:r>
      <w:r w:rsidR="00E449C4" w:rsidRPr="00EF6169">
        <w:rPr>
          <w:rFonts w:ascii="Arial" w:hAnsi="Arial" w:cs="Arial"/>
          <w:sz w:val="24"/>
          <w:szCs w:val="24"/>
        </w:rPr>
        <w:t xml:space="preserve">stanowiące nie mniej niż 3% </w:t>
      </w:r>
      <w:r w:rsidR="009F64EB" w:rsidRPr="00EF6169">
        <w:rPr>
          <w:rFonts w:ascii="Arial" w:hAnsi="Arial" w:cs="Arial"/>
          <w:sz w:val="24"/>
          <w:szCs w:val="24"/>
        </w:rPr>
        <w:t xml:space="preserve">jego </w:t>
      </w:r>
      <w:r w:rsidR="00E449C4" w:rsidRPr="00EF6169">
        <w:rPr>
          <w:rFonts w:ascii="Arial" w:hAnsi="Arial" w:cs="Arial"/>
          <w:sz w:val="24"/>
          <w:szCs w:val="24"/>
        </w:rPr>
        <w:t>wartości produkcji</w:t>
      </w:r>
      <w:r w:rsidRPr="00EF6169">
        <w:rPr>
          <w:rFonts w:ascii="Arial" w:hAnsi="Arial" w:cs="Arial"/>
          <w:sz w:val="24"/>
          <w:szCs w:val="24"/>
        </w:rPr>
        <w:t xml:space="preserve"> lub </w:t>
      </w:r>
    </w:p>
    <w:p w14:paraId="23C31283" w14:textId="3FB21FC0" w:rsidR="00107C3F" w:rsidRPr="00EF6169" w:rsidRDefault="00107C3F" w:rsidP="00107C3F">
      <w:pPr>
        <w:pStyle w:val="Akapitzlist"/>
        <w:numPr>
          <w:ilvl w:val="1"/>
          <w:numId w:val="12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>w okresie od 1 stycznia do 30 czerwca 2022 stanowiące</w:t>
      </w:r>
      <w:r w:rsidR="007C4001" w:rsidRPr="00EF6169">
        <w:rPr>
          <w:rFonts w:ascii="Arial" w:hAnsi="Arial" w:cs="Arial"/>
          <w:sz w:val="24"/>
          <w:szCs w:val="24"/>
        </w:rPr>
        <w:t xml:space="preserve"> </w:t>
      </w:r>
      <w:r w:rsidRPr="00EF6169">
        <w:rPr>
          <w:rFonts w:ascii="Arial" w:hAnsi="Arial" w:cs="Arial"/>
          <w:sz w:val="24"/>
          <w:szCs w:val="24"/>
        </w:rPr>
        <w:t xml:space="preserve">nie mniej niż 6% </w:t>
      </w:r>
      <w:r w:rsidR="009F64EB" w:rsidRPr="00EF6169">
        <w:rPr>
          <w:rFonts w:ascii="Arial" w:hAnsi="Arial" w:cs="Arial"/>
          <w:sz w:val="24"/>
          <w:szCs w:val="24"/>
        </w:rPr>
        <w:t xml:space="preserve">jego </w:t>
      </w:r>
      <w:r w:rsidRPr="00EF6169">
        <w:rPr>
          <w:rFonts w:ascii="Arial" w:hAnsi="Arial" w:cs="Arial"/>
          <w:sz w:val="24"/>
          <w:szCs w:val="24"/>
        </w:rPr>
        <w:t>wartości produkcji;</w:t>
      </w:r>
    </w:p>
    <w:p w14:paraId="11C4D89F" w14:textId="0AF0B10E" w:rsidR="009F64EB" w:rsidRPr="00EF6169" w:rsidRDefault="009F64EB" w:rsidP="00107C3F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co najmniej 50 % jego przychodu w </w:t>
      </w:r>
      <w:r w:rsidR="00BA392A" w:rsidRPr="00EF6169">
        <w:rPr>
          <w:rFonts w:ascii="Arial" w:hAnsi="Arial" w:cs="Arial"/>
          <w:sz w:val="24"/>
          <w:szCs w:val="24"/>
        </w:rPr>
        <w:t>O</w:t>
      </w:r>
      <w:r w:rsidRPr="00EF6169">
        <w:rPr>
          <w:rFonts w:ascii="Arial" w:hAnsi="Arial" w:cs="Arial"/>
          <w:sz w:val="24"/>
          <w:szCs w:val="24"/>
        </w:rPr>
        <w:t xml:space="preserve">kresie referencyjnym i </w:t>
      </w:r>
      <w:r w:rsidR="00BA392A" w:rsidRPr="00EF6169">
        <w:rPr>
          <w:rFonts w:ascii="Arial" w:hAnsi="Arial" w:cs="Arial"/>
          <w:sz w:val="24"/>
          <w:szCs w:val="24"/>
        </w:rPr>
        <w:t>O</w:t>
      </w:r>
      <w:r w:rsidRPr="00EF6169">
        <w:rPr>
          <w:rFonts w:ascii="Arial" w:hAnsi="Arial" w:cs="Arial"/>
          <w:sz w:val="24"/>
          <w:szCs w:val="24"/>
        </w:rPr>
        <w:t xml:space="preserve">kresie kwalifikowanym pochodziło z działalności w jednej lub wielu podklasach PKD </w:t>
      </w:r>
      <w:r w:rsidR="00CB6515" w:rsidRPr="00EF6169">
        <w:rPr>
          <w:rFonts w:ascii="Arial" w:hAnsi="Arial" w:cs="Arial"/>
          <w:sz w:val="24"/>
          <w:szCs w:val="24"/>
        </w:rPr>
        <w:lastRenderedPageBreak/>
        <w:t xml:space="preserve">wymienionych w Załączniku lub sprzedaży produktów o kodach PRODCOM </w:t>
      </w:r>
      <w:r w:rsidRPr="00EF6169">
        <w:rPr>
          <w:rFonts w:ascii="Arial" w:hAnsi="Arial" w:cs="Arial"/>
          <w:sz w:val="24"/>
          <w:szCs w:val="24"/>
        </w:rPr>
        <w:t>wymienionych w Zał</w:t>
      </w:r>
      <w:r w:rsidR="00CB6515" w:rsidRPr="00EF6169">
        <w:rPr>
          <w:rFonts w:ascii="Arial" w:hAnsi="Arial" w:cs="Arial"/>
          <w:sz w:val="24"/>
          <w:szCs w:val="24"/>
        </w:rPr>
        <w:t>ą</w:t>
      </w:r>
      <w:r w:rsidRPr="00EF6169">
        <w:rPr>
          <w:rFonts w:ascii="Arial" w:hAnsi="Arial" w:cs="Arial"/>
          <w:sz w:val="24"/>
          <w:szCs w:val="24"/>
        </w:rPr>
        <w:t>czniku</w:t>
      </w:r>
      <w:r w:rsidR="00CC18C2" w:rsidRPr="00EF6169">
        <w:rPr>
          <w:rFonts w:ascii="Arial" w:hAnsi="Arial" w:cs="Arial"/>
          <w:sz w:val="24"/>
          <w:szCs w:val="24"/>
        </w:rPr>
        <w:t>;</w:t>
      </w:r>
    </w:p>
    <w:p w14:paraId="2635AC65" w14:textId="18B87200" w:rsidR="00953D2E" w:rsidRPr="00EF6169" w:rsidRDefault="00953D2E" w:rsidP="44F50D6C">
      <w:pPr>
        <w:pStyle w:val="AODocTxt"/>
        <w:numPr>
          <w:ilvl w:val="0"/>
          <w:numId w:val="2"/>
        </w:numPr>
        <w:spacing w:before="120" w:line="240" w:lineRule="auto"/>
        <w:ind w:left="708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na dzień składania </w:t>
      </w:r>
      <w:r w:rsidR="47583F29" w:rsidRPr="00EF6169">
        <w:rPr>
          <w:rFonts w:ascii="Arial" w:eastAsiaTheme="minorEastAsia" w:hAnsi="Arial" w:cs="Arial"/>
          <w:sz w:val="24"/>
          <w:szCs w:val="24"/>
          <w:lang w:val="pl-PL"/>
        </w:rPr>
        <w:t>w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niosku </w:t>
      </w:r>
      <w:r w:rsidR="00451D7C" w:rsidRPr="00EF6169">
        <w:rPr>
          <w:rFonts w:ascii="Arial" w:eastAsiaTheme="minorEastAsia" w:hAnsi="Arial" w:cs="Arial"/>
          <w:sz w:val="24"/>
          <w:szCs w:val="24"/>
          <w:lang w:val="pl-PL"/>
        </w:rPr>
        <w:t>oraz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na dzień </w:t>
      </w:r>
      <w:r w:rsidR="001B2043" w:rsidRPr="00EF6169">
        <w:rPr>
          <w:rFonts w:ascii="Arial" w:eastAsiaTheme="minorEastAsia" w:hAnsi="Arial" w:cs="Arial"/>
          <w:sz w:val="24"/>
          <w:szCs w:val="24"/>
          <w:lang w:val="pl-PL"/>
        </w:rPr>
        <w:t>zawarcia U</w:t>
      </w:r>
      <w:r w:rsidR="00451D7C" w:rsidRPr="00EF6169">
        <w:rPr>
          <w:rFonts w:ascii="Arial" w:eastAsiaTheme="minorEastAsia" w:hAnsi="Arial" w:cs="Arial"/>
          <w:sz w:val="24"/>
          <w:szCs w:val="24"/>
          <w:lang w:val="pl-PL"/>
        </w:rPr>
        <w:t>mowy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451D7C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nie </w:t>
      </w:r>
      <w:r w:rsidR="00CF304F" w:rsidRPr="00EF6169">
        <w:rPr>
          <w:rFonts w:ascii="Arial" w:eastAsiaTheme="minorEastAsia" w:hAnsi="Arial" w:cs="Arial"/>
          <w:sz w:val="24"/>
          <w:szCs w:val="24"/>
          <w:lang w:val="pl-PL"/>
        </w:rPr>
        <w:t>jest</w:t>
      </w:r>
      <w:r w:rsidR="000F4422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</w:t>
      </w:r>
      <w:r w:rsidR="00451D7C" w:rsidRPr="00EF6169">
        <w:rPr>
          <w:rFonts w:ascii="Arial" w:eastAsiaTheme="minorEastAsia" w:hAnsi="Arial" w:cs="Arial"/>
          <w:sz w:val="24"/>
          <w:szCs w:val="24"/>
          <w:lang w:val="pl-PL"/>
        </w:rPr>
        <w:t>w</w:t>
      </w:r>
      <w:r w:rsidR="00053405" w:rsidRPr="00EF6169">
        <w:rPr>
          <w:rFonts w:ascii="Arial" w:eastAsiaTheme="minorEastAsia" w:hAnsi="Arial" w:cs="Arial"/>
          <w:sz w:val="24"/>
          <w:szCs w:val="24"/>
          <w:lang w:val="pl-PL"/>
        </w:rPr>
        <w:t> </w:t>
      </w:r>
      <w:r w:rsidR="00451D7C" w:rsidRPr="00EF6169">
        <w:rPr>
          <w:rFonts w:ascii="Arial" w:eastAsiaTheme="minorEastAsia" w:hAnsi="Arial" w:cs="Arial"/>
          <w:sz w:val="24"/>
          <w:szCs w:val="24"/>
          <w:lang w:val="pl-PL"/>
        </w:rPr>
        <w:t>likwidacji lub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upadłości na podstawie prawa polskiego; </w:t>
      </w:r>
    </w:p>
    <w:p w14:paraId="74235815" w14:textId="77777777" w:rsidR="007C1F1A" w:rsidRPr="00EF6169" w:rsidRDefault="007C1F1A" w:rsidP="2E67BFB0">
      <w:pPr>
        <w:pStyle w:val="AODocTxt"/>
        <w:numPr>
          <w:ilvl w:val="0"/>
          <w:numId w:val="2"/>
        </w:numPr>
        <w:spacing w:before="120" w:line="240" w:lineRule="auto"/>
        <w:ind w:left="708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hAnsi="Arial" w:cs="Arial"/>
          <w:sz w:val="24"/>
          <w:szCs w:val="24"/>
          <w:lang w:val="pl-PL"/>
        </w:rPr>
        <w:t>nie zalega z zapłatą podatków stanowiących dochód budżetu państwa,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Pr="00EF6169">
        <w:rPr>
          <w:rFonts w:ascii="Arial" w:hAnsi="Arial" w:cs="Arial"/>
          <w:sz w:val="24"/>
          <w:szCs w:val="24"/>
          <w:lang w:val="pl-PL"/>
        </w:rPr>
        <w:t xml:space="preserve">wyjątkiem przypadków, gdy uzyskał przewidziane prawem zwolnienie, odroczenie, rozłożenie na raty zaległości podatkowych albo podatku lub wstrzymanie w całości wykonania decyzji właściwego organu podatkowego; </w:t>
      </w:r>
    </w:p>
    <w:p w14:paraId="0AF72314" w14:textId="3266C4BB" w:rsidR="007C1F1A" w:rsidRPr="00EF6169" w:rsidRDefault="007C1F1A" w:rsidP="2E67BFB0">
      <w:pPr>
        <w:pStyle w:val="AODocTxt"/>
        <w:numPr>
          <w:ilvl w:val="0"/>
          <w:numId w:val="2"/>
        </w:numPr>
        <w:spacing w:before="120" w:line="240" w:lineRule="auto"/>
        <w:ind w:left="708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hAnsi="Arial" w:cs="Arial"/>
          <w:sz w:val="24"/>
          <w:szCs w:val="24"/>
          <w:lang w:val="pl-PL"/>
        </w:rPr>
        <w:t xml:space="preserve">nie zalega z zapłatą należności z tytułu składek na ubezpieczenia społeczne, </w:t>
      </w:r>
      <w:r w:rsidR="00990327" w:rsidRPr="00EF6169">
        <w:rPr>
          <w:rFonts w:ascii="Arial" w:hAnsi="Arial" w:cs="Arial"/>
          <w:sz w:val="24"/>
          <w:szCs w:val="24"/>
          <w:lang w:val="pl-PL"/>
        </w:rPr>
        <w:br/>
      </w:r>
      <w:r w:rsidRPr="00EF6169">
        <w:rPr>
          <w:rFonts w:ascii="Arial" w:hAnsi="Arial" w:cs="Arial"/>
          <w:sz w:val="24"/>
          <w:szCs w:val="24"/>
          <w:lang w:val="pl-PL"/>
        </w:rPr>
        <w:t>z wyjątkiem przypadków, gdy zawarł umowę o odroczeniu terminu płatności</w:t>
      </w:r>
      <w:r w:rsidR="004A4DD9" w:rsidRPr="00EF6169">
        <w:rPr>
          <w:rFonts w:ascii="Arial" w:hAnsi="Arial" w:cs="Arial"/>
          <w:sz w:val="24"/>
          <w:szCs w:val="24"/>
          <w:lang w:val="pl-PL"/>
        </w:rPr>
        <w:t>;</w:t>
      </w:r>
    </w:p>
    <w:p w14:paraId="46097D13" w14:textId="5A0069C4" w:rsidR="009714CE" w:rsidRPr="00EF6169" w:rsidRDefault="00AE09F4" w:rsidP="00A3231A">
      <w:pPr>
        <w:pStyle w:val="AODocTxt"/>
        <w:numPr>
          <w:ilvl w:val="0"/>
          <w:numId w:val="2"/>
        </w:numPr>
        <w:spacing w:before="120" w:line="240" w:lineRule="auto"/>
        <w:ind w:left="708"/>
        <w:rPr>
          <w:rFonts w:ascii="Arial" w:hAnsi="Arial" w:cs="Arial"/>
          <w:sz w:val="24"/>
          <w:szCs w:val="24"/>
          <w:lang w:val="pl-PL"/>
        </w:rPr>
      </w:pPr>
      <w:r w:rsidRPr="00EF6169">
        <w:rPr>
          <w:rFonts w:ascii="Arial" w:hAnsi="Arial" w:cs="Arial"/>
          <w:sz w:val="24"/>
          <w:szCs w:val="24"/>
          <w:lang w:val="pl-PL"/>
        </w:rPr>
        <w:t xml:space="preserve">nie </w:t>
      </w:r>
      <w:r w:rsidR="007C1F1A" w:rsidRPr="00EF6169">
        <w:rPr>
          <w:rFonts w:ascii="Arial" w:hAnsi="Arial" w:cs="Arial"/>
          <w:sz w:val="24"/>
          <w:szCs w:val="24"/>
          <w:lang w:val="pl-PL"/>
        </w:rPr>
        <w:t xml:space="preserve">jest </w:t>
      </w:r>
      <w:r w:rsidRPr="00EF6169">
        <w:rPr>
          <w:rFonts w:ascii="Arial" w:hAnsi="Arial" w:cs="Arial"/>
          <w:sz w:val="24"/>
          <w:szCs w:val="24"/>
          <w:lang w:val="pl-PL"/>
        </w:rPr>
        <w:t>obję</w:t>
      </w:r>
      <w:r w:rsidR="007C1F1A" w:rsidRPr="00EF6169">
        <w:rPr>
          <w:rFonts w:ascii="Arial" w:hAnsi="Arial" w:cs="Arial"/>
          <w:sz w:val="24"/>
          <w:szCs w:val="24"/>
          <w:lang w:val="pl-PL"/>
        </w:rPr>
        <w:t>ty</w:t>
      </w:r>
      <w:r w:rsidRPr="00EF6169">
        <w:rPr>
          <w:rFonts w:ascii="Arial" w:hAnsi="Arial" w:cs="Arial"/>
          <w:sz w:val="24"/>
          <w:szCs w:val="24"/>
          <w:lang w:val="pl-PL"/>
        </w:rPr>
        <w:t xml:space="preserve"> sankcjami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 przyjętymi na podstawie: rozporządzenia </w:t>
      </w:r>
      <w:r w:rsidR="007605FE" w:rsidRPr="00EF6169">
        <w:rPr>
          <w:rFonts w:ascii="Arial" w:hAnsi="Arial" w:cs="Arial"/>
          <w:sz w:val="24"/>
          <w:szCs w:val="24"/>
          <w:lang w:val="pl-PL"/>
        </w:rPr>
        <w:t xml:space="preserve">Rady 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(UE) nr 269/2014 z dnia 17 marca 2014 r. w sprawie środków ograniczających </w:t>
      </w:r>
      <w:r w:rsidR="000F4422" w:rsidRPr="00EF6169">
        <w:rPr>
          <w:rFonts w:ascii="Arial" w:hAnsi="Arial" w:cs="Arial"/>
          <w:sz w:val="24"/>
          <w:szCs w:val="24"/>
          <w:lang w:val="pl-PL"/>
        </w:rPr>
        <w:br/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w odniesieniu do działań podważających integralność terytorialną, suwerenność i niezależność Ukrainy lub im zagrażających (Dz. Urz. UE L 78 </w:t>
      </w:r>
      <w:r w:rsidR="000F4422" w:rsidRPr="00EF6169">
        <w:rPr>
          <w:rFonts w:ascii="Arial" w:hAnsi="Arial" w:cs="Arial"/>
          <w:sz w:val="24"/>
          <w:szCs w:val="24"/>
          <w:lang w:val="pl-PL"/>
        </w:rPr>
        <w:br/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z 17.03.2014, str. 6, z późn. zm.), rozporządzenia </w:t>
      </w:r>
      <w:r w:rsidR="007605FE" w:rsidRPr="00EF6169">
        <w:rPr>
          <w:rFonts w:ascii="Arial" w:hAnsi="Arial" w:cs="Arial"/>
          <w:sz w:val="24"/>
          <w:szCs w:val="24"/>
          <w:lang w:val="pl-PL"/>
        </w:rPr>
        <w:t xml:space="preserve">Rady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(UE) nr 833/2014 z dnia 31 lipca 2014 r. dotyczącego środków ograniczających w związku z działaniami Rosji destabilizującymi sytuację na Ukrainie (Dz. Urz. UE L 229 z 31.07.2014, str. 1, z późn. zm.), rozporządzenia Rady (WE) nr 765/2006 z dnia 18 maja 2006 r. dotyczącego środków ograniczających w związku z sytuacją na Białorusi i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udziałem Białorusi w agresji Rosji wobec Ukrainy (Dz. Urz. UE L 134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20.05.2006, str. 1, z późn. zm.),  decyzji Rady 2012/642/WPZiB z dnia 15</w:t>
      </w:r>
      <w:r w:rsidR="004E4FDE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października 2012 r. dotyczącej środków ograniczających w związku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sytuacją na Białorusi i udziałem Białorusi w agresji Rosji wobec Ukrainy (Dz.</w:t>
      </w:r>
      <w:r w:rsidR="00053405" w:rsidRPr="00EF6169">
        <w:rPr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Urz. UE L 285 z 17.10.2012, str. 1, z późn. zm.),  decyzji Rady 2014/145/WPZiB z dnia 17</w:t>
      </w:r>
      <w:r w:rsidR="004E4FDE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marca 2014 r. w sprawie środków ograniczających w związku z działaniami podważającymi integralność terytorialną, suwerenność i niezależność Ukrainy lub im zagrażającymi (Dz. Urz. UE L 78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17.03.2014, str. 16, z późn. zm.) lub decyzji Rady 2014/512/WPZiB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dnia 31 lipca 2014 r. dotyczącej środków ograniczających w związku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działaniami Rosji destabilizującymi sytuację na Ukrainie (Dz. Urz. UE L 229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31.07.2014, str. 13, z późn. zm.), w szczególności</w:t>
      </w:r>
      <w:r w:rsidR="007605FE" w:rsidRPr="00EF6169">
        <w:rPr>
          <w:rFonts w:ascii="Arial" w:hAnsi="Arial" w:cs="Arial"/>
          <w:sz w:val="24"/>
          <w:szCs w:val="24"/>
          <w:lang w:val="pl-PL"/>
        </w:rPr>
        <w:t xml:space="preserve"> nie jest</w:t>
      </w:r>
      <w:r w:rsidR="009714CE" w:rsidRPr="00EF6169">
        <w:rPr>
          <w:rFonts w:ascii="Arial" w:hAnsi="Arial" w:cs="Arial"/>
          <w:sz w:val="24"/>
          <w:szCs w:val="24"/>
          <w:lang w:val="pl-PL"/>
        </w:rPr>
        <w:t>: </w:t>
      </w:r>
    </w:p>
    <w:p w14:paraId="75100E54" w14:textId="5D061FE3" w:rsidR="009714CE" w:rsidRPr="00EF6169" w:rsidRDefault="007605FE" w:rsidP="0074161B">
      <w:pPr>
        <w:pStyle w:val="AODocTxt"/>
        <w:spacing w:before="120" w:line="240" w:lineRule="auto"/>
        <w:ind w:left="708"/>
        <w:rPr>
          <w:rFonts w:ascii="Arial" w:hAnsi="Arial" w:cs="Arial"/>
          <w:sz w:val="24"/>
          <w:szCs w:val="24"/>
          <w:lang w:val="pl-PL"/>
        </w:rPr>
      </w:pPr>
      <w:r w:rsidRPr="00EF6169">
        <w:rPr>
          <w:rFonts w:ascii="Arial" w:hAnsi="Arial" w:cs="Arial"/>
          <w:sz w:val="24"/>
          <w:szCs w:val="24"/>
          <w:lang w:val="pl-PL"/>
        </w:rPr>
        <w:t xml:space="preserve">-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podmiot</w:t>
      </w:r>
      <w:r w:rsidRPr="00EF6169">
        <w:rPr>
          <w:rFonts w:ascii="Arial" w:hAnsi="Arial" w:cs="Arial"/>
          <w:sz w:val="24"/>
          <w:szCs w:val="24"/>
          <w:lang w:val="pl-PL"/>
        </w:rPr>
        <w:t>e</w:t>
      </w:r>
      <w:r w:rsidR="009714CE" w:rsidRPr="00EF6169">
        <w:rPr>
          <w:rFonts w:ascii="Arial" w:hAnsi="Arial" w:cs="Arial"/>
          <w:sz w:val="24"/>
          <w:szCs w:val="24"/>
          <w:lang w:val="pl-PL"/>
        </w:rPr>
        <w:t>m wymienionym w aktach prawnych nakładających te sankcje; </w:t>
      </w:r>
    </w:p>
    <w:p w14:paraId="040290D9" w14:textId="2ACEFBEB" w:rsidR="009714CE" w:rsidRPr="00EF6169" w:rsidRDefault="007605FE" w:rsidP="0074161B">
      <w:pPr>
        <w:pStyle w:val="AODocTxt"/>
        <w:spacing w:before="120" w:line="240" w:lineRule="auto"/>
        <w:ind w:left="708"/>
        <w:rPr>
          <w:rFonts w:ascii="Arial" w:hAnsi="Arial" w:cs="Arial"/>
          <w:sz w:val="24"/>
          <w:szCs w:val="24"/>
          <w:lang w:val="pl-PL"/>
        </w:rPr>
      </w:pPr>
      <w:r w:rsidRPr="00EF6169">
        <w:rPr>
          <w:rFonts w:ascii="Arial" w:hAnsi="Arial" w:cs="Arial"/>
          <w:sz w:val="24"/>
          <w:szCs w:val="24"/>
          <w:lang w:val="pl-PL"/>
        </w:rPr>
        <w:t xml:space="preserve">-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przedsiębiorc</w:t>
      </w:r>
      <w:r w:rsidRPr="00EF6169">
        <w:rPr>
          <w:rFonts w:ascii="Arial" w:hAnsi="Arial" w:cs="Arial"/>
          <w:sz w:val="24"/>
          <w:szCs w:val="24"/>
          <w:lang w:val="pl-PL"/>
        </w:rPr>
        <w:t>ą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 będącym własnością podmiotów, w które są wymierzone te sankcje, lub powiązanym z takimi podmiotami w sposób, o którym mowa w art. 2 ust. 2 rozporządzenia Komisji (UE) nr 1407/2013 z dnia 18 grudnia 2013 r. w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sprawie stosowania art. 107 i 108 Traktatu o funkcjonowaniu Unii Europejskiej do pomocy de minimis (Dz. Urz.</w:t>
      </w:r>
      <w:r w:rsidRPr="00EF6169">
        <w:rPr>
          <w:rFonts w:ascii="Arial" w:hAnsi="Arial" w:cs="Arial"/>
          <w:sz w:val="24"/>
          <w:szCs w:val="24"/>
          <w:lang w:val="pl-PL"/>
        </w:rPr>
        <w:t xml:space="preserve">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UE L 352 z 24.12.2013, str. 1, z</w:t>
      </w:r>
      <w:r w:rsidR="00053405" w:rsidRPr="00EF6169">
        <w:rPr>
          <w:rFonts w:ascii="Arial" w:hAnsi="Arial" w:cs="Arial"/>
          <w:sz w:val="24"/>
          <w:szCs w:val="24"/>
          <w:lang w:val="pl-PL"/>
        </w:rPr>
        <w:t> </w:t>
      </w:r>
      <w:r w:rsidR="009714CE" w:rsidRPr="00EF6169">
        <w:rPr>
          <w:rFonts w:ascii="Arial" w:hAnsi="Arial" w:cs="Arial"/>
          <w:sz w:val="24"/>
          <w:szCs w:val="24"/>
          <w:lang w:val="pl-PL"/>
        </w:rPr>
        <w:t>późn. zm.); </w:t>
      </w:r>
    </w:p>
    <w:p w14:paraId="2C6B01E3" w14:textId="141FCE7A" w:rsidR="007C1F1A" w:rsidRPr="00EF6169" w:rsidRDefault="007605FE" w:rsidP="00B63413">
      <w:pPr>
        <w:pStyle w:val="AODocTxt"/>
        <w:spacing w:before="120" w:line="240" w:lineRule="auto"/>
        <w:ind w:left="708"/>
        <w:rPr>
          <w:lang w:val="pl-PL"/>
        </w:rPr>
      </w:pPr>
      <w:r w:rsidRPr="00EF6169">
        <w:rPr>
          <w:rFonts w:ascii="Arial" w:hAnsi="Arial" w:cs="Arial"/>
          <w:sz w:val="24"/>
          <w:szCs w:val="24"/>
          <w:lang w:val="pl-PL"/>
        </w:rPr>
        <w:t xml:space="preserve">-  </w:t>
      </w:r>
      <w:r w:rsidR="009714CE" w:rsidRPr="00EF6169">
        <w:rPr>
          <w:rFonts w:ascii="Arial" w:hAnsi="Arial" w:cs="Arial"/>
          <w:sz w:val="24"/>
          <w:szCs w:val="24"/>
          <w:lang w:val="pl-PL"/>
        </w:rPr>
        <w:t>przedsiębiorc</w:t>
      </w:r>
      <w:r w:rsidRPr="00EF6169">
        <w:rPr>
          <w:rFonts w:ascii="Arial" w:hAnsi="Arial" w:cs="Arial"/>
          <w:sz w:val="24"/>
          <w:szCs w:val="24"/>
          <w:lang w:val="pl-PL"/>
        </w:rPr>
        <w:t>ą</w:t>
      </w:r>
      <w:r w:rsidR="009714CE" w:rsidRPr="00EF6169">
        <w:rPr>
          <w:rFonts w:ascii="Arial" w:hAnsi="Arial" w:cs="Arial"/>
          <w:sz w:val="24"/>
          <w:szCs w:val="24"/>
          <w:lang w:val="pl-PL"/>
        </w:rPr>
        <w:t xml:space="preserve"> prowadzącym działalność w sektorach przemysłu, w które są wymierzone te sankcje, chyba że przedsiębiorca wykaże, że udzielenie mu pomocy nie będzie stać w sprzeczności z tymi sankcjami. </w:t>
      </w:r>
    </w:p>
    <w:p w14:paraId="7D849854" w14:textId="10EAB52A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F6169">
        <w:rPr>
          <w:rFonts w:ascii="Arial" w:hAnsi="Arial" w:cs="Arial"/>
          <w:b/>
          <w:bCs/>
          <w:sz w:val="24"/>
          <w:szCs w:val="24"/>
        </w:rPr>
        <w:t>Okres przyznania Pomocy</w:t>
      </w:r>
    </w:p>
    <w:p w14:paraId="62D4BF22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>Pomoc przyznaje się za koszty kwalifikowane, poniesione na zakup energii elektrycznej i gazu ziemnego, obliczone zgodnie ze wzorem przedstawionym w Programie w okresie od 1 lutego do 31 grudnia 2022 r.</w:t>
      </w:r>
    </w:p>
    <w:p w14:paraId="16B5557E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F6169">
        <w:rPr>
          <w:rFonts w:ascii="Arial" w:hAnsi="Arial" w:cs="Arial"/>
          <w:b/>
          <w:bCs/>
          <w:sz w:val="24"/>
          <w:szCs w:val="24"/>
        </w:rPr>
        <w:t>Budżet</w:t>
      </w:r>
    </w:p>
    <w:p w14:paraId="459D89F5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lastRenderedPageBreak/>
        <w:t>Maksymalny budżet Programu wynosi 5 079 416 000 zł i jest finansowany ze środków Funduszu Rekompensat Pośrednich Kosztów Energii. Na pokrycie kosztów poniesionych przez Operatora przeznacza się 15 238 000 zł.</w:t>
      </w:r>
    </w:p>
    <w:p w14:paraId="5BBFF2DA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F6169">
        <w:rPr>
          <w:rFonts w:ascii="Arial" w:hAnsi="Arial" w:cs="Arial"/>
          <w:b/>
          <w:bCs/>
          <w:sz w:val="24"/>
          <w:szCs w:val="24"/>
        </w:rPr>
        <w:t>Zasady dokonywania wypłaty środków</w:t>
      </w:r>
    </w:p>
    <w:p w14:paraId="6DD475A0" w14:textId="6E25C9A4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>W przypadku, gdy wartość wszystkich pozytywnie rozpatrzonych Wniosków</w:t>
      </w:r>
      <w:r w:rsidR="00FE2D89" w:rsidRPr="00EF6169">
        <w:rPr>
          <w:rFonts w:ascii="Arial" w:hAnsi="Arial" w:cs="Arial"/>
          <w:sz w:val="24"/>
          <w:szCs w:val="24"/>
        </w:rPr>
        <w:t>, uwzględniająca limity obowiązujące na poziomie grupy kapitałowej,</w:t>
      </w:r>
      <w:r w:rsidRPr="00EF6169">
        <w:rPr>
          <w:rFonts w:ascii="Arial" w:hAnsi="Arial" w:cs="Arial"/>
          <w:sz w:val="24"/>
          <w:szCs w:val="24"/>
        </w:rPr>
        <w:t xml:space="preserve"> przekracza budżet Programu, Operator Programu udzieli Pomocy w kwocie pomniejszonej proporcjonalnie do udziału kwoty budżetu Programu do łącznej wartości Pomocy wynikającej z pozytywnie rozpatrzonych Wniosków. </w:t>
      </w:r>
    </w:p>
    <w:p w14:paraId="0AB17290" w14:textId="77777777" w:rsidR="00BA392A" w:rsidRPr="00EF6169" w:rsidRDefault="00BA392A" w:rsidP="00BA392A">
      <w:pPr>
        <w:pStyle w:val="AODocTxt"/>
        <w:keepNext/>
        <w:spacing w:before="120" w:line="240" w:lineRule="auto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sz w:val="24"/>
          <w:szCs w:val="24"/>
          <w:lang w:val="pl-PL"/>
        </w:rPr>
        <w:t>Na potrzeby określenia limitu kwoty Pomocy przyjmuje się średni kurs wymiany euro na złote ogłaszany przez Narodowy Bank Polski w dniu zawarcia Umowy pomiędzy Operatorem Programu  a Wnioskodawcą.</w:t>
      </w:r>
    </w:p>
    <w:p w14:paraId="5484C678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>Wypłata Pomocy jest dokonywana przez Dysponenta Funduszu Rekompensat Pośrednich Kosztów Emisji. Pomoc udzielana jest w kwocie nie wyższej niż przedstawiona we Wniosku.</w:t>
      </w:r>
    </w:p>
    <w:p w14:paraId="04BEC05D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t>Kumulacja Pomocy</w:t>
      </w:r>
    </w:p>
    <w:p w14:paraId="24E6704D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Pomoc będzie kumulowana z:</w:t>
      </w:r>
    </w:p>
    <w:p w14:paraId="376EFC83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1) inną pomocą udzielaną zgodnie z sekcją 2.4 komunikatu Komisji Tymczasowe kryzysowe ramy środków pomocy państwa w celu wsparcia gospodarki po agresji Rosji wobec Ukrainy (Dz. Urz. UE CI 131 z 24.03.2022, str. 1 z późn. zm.), zwanego dalej „komunikatem”,</w:t>
      </w:r>
    </w:p>
    <w:p w14:paraId="37D9EC75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2) inną pomocą udzieloną zgodnie z sekcją 2.1 komunikatu,</w:t>
      </w:r>
    </w:p>
    <w:p w14:paraId="3E510731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– pod warunkiem, że łączna kwota pomocy udzielonej wnioskodawcom z jednej grupy kapitałowej nie przekroczy kwoty odpowiednio: </w:t>
      </w:r>
    </w:p>
    <w:p w14:paraId="458DAF9A" w14:textId="77777777" w:rsidR="00BA392A" w:rsidRPr="00EF6169" w:rsidRDefault="00BA392A" w:rsidP="00BA392A">
      <w:pPr>
        <w:pStyle w:val="Akapitzlist"/>
        <w:numPr>
          <w:ilvl w:val="0"/>
          <w:numId w:val="23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4 mln EUR w wariancie bazowym,</w:t>
      </w:r>
    </w:p>
    <w:p w14:paraId="679687C0" w14:textId="77777777" w:rsidR="00BA392A" w:rsidRPr="00EF6169" w:rsidRDefault="00BA392A" w:rsidP="00BA392A">
      <w:pPr>
        <w:pStyle w:val="Akapitzlist"/>
        <w:numPr>
          <w:ilvl w:val="0"/>
          <w:numId w:val="23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50 mln EUR w przypadku spadku wartości EBITDA o 40 %.</w:t>
      </w:r>
    </w:p>
    <w:p w14:paraId="14E2C4AB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3) pomocą przyznaną na podstawie rozporządzeń de minimis</w:t>
      </w:r>
      <w:r w:rsidRPr="00EF6169">
        <w:rPr>
          <w:rStyle w:val="Odwoanieprzypisudolnego"/>
          <w:rFonts w:ascii="Arial" w:eastAsiaTheme="minorEastAsia" w:hAnsi="Arial"/>
          <w:sz w:val="24"/>
          <w:szCs w:val="24"/>
        </w:rPr>
        <w:footnoteReference w:id="1"/>
      </w:r>
      <w:r w:rsidRPr="00EF6169">
        <w:rPr>
          <w:rFonts w:ascii="Arial" w:eastAsiaTheme="minorEastAsia" w:hAnsi="Arial" w:cs="Arial"/>
          <w:sz w:val="24"/>
          <w:szCs w:val="24"/>
        </w:rPr>
        <w:t xml:space="preserve"> lub z pomocą przyznaną na podstawie rozporządzeń w sprawie wyłączeń grupowych</w:t>
      </w:r>
      <w:r w:rsidRPr="00EF6169">
        <w:rPr>
          <w:rStyle w:val="Odwoanieprzypisudolnego"/>
          <w:rFonts w:ascii="Arial" w:eastAsiaTheme="minorEastAsia" w:hAnsi="Arial"/>
          <w:sz w:val="24"/>
          <w:szCs w:val="24"/>
        </w:rPr>
        <w:footnoteReference w:id="2"/>
      </w:r>
      <w:r w:rsidRPr="00EF6169">
        <w:rPr>
          <w:rFonts w:ascii="Arial" w:eastAsiaTheme="minorEastAsia" w:hAnsi="Arial" w:cs="Arial"/>
          <w:sz w:val="24"/>
          <w:szCs w:val="24"/>
        </w:rPr>
        <w:t xml:space="preserve"> pod warunkiem przestrzegania przepisów i zasad dotyczących kumulacji określonych w tych rozporządzeniach; </w:t>
      </w:r>
    </w:p>
    <w:p w14:paraId="5A9F8785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lastRenderedPageBreak/>
        <w:t>4) pomocą przyznawaną na podstawie tymczasowych ram w kontekście COVID-19</w:t>
      </w:r>
      <w:r w:rsidRPr="00EF6169">
        <w:rPr>
          <w:rStyle w:val="Odwoanieprzypisudolnego"/>
          <w:rFonts w:ascii="Arial" w:eastAsiaTheme="minorEastAsia" w:hAnsi="Arial"/>
          <w:sz w:val="24"/>
          <w:szCs w:val="24"/>
        </w:rPr>
        <w:footnoteReference w:id="3"/>
      </w:r>
      <w:r w:rsidRPr="00EF6169">
        <w:rPr>
          <w:rFonts w:ascii="Arial" w:eastAsiaTheme="minorEastAsia" w:hAnsi="Arial" w:cs="Arial"/>
          <w:sz w:val="24"/>
          <w:szCs w:val="24"/>
        </w:rPr>
        <w:t>, pod warunkiem że przestrzegane są zasady dotyczące kumulacji określone w tych ramach.</w:t>
      </w:r>
    </w:p>
    <w:p w14:paraId="351EEA62" w14:textId="1C69CE0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t xml:space="preserve">Forma </w:t>
      </w:r>
      <w:r w:rsidR="00BE76D5" w:rsidRPr="00EF6169">
        <w:rPr>
          <w:rFonts w:ascii="Arial" w:eastAsiaTheme="minorEastAsia" w:hAnsi="Arial" w:cs="Arial"/>
          <w:b/>
          <w:bCs/>
          <w:sz w:val="24"/>
          <w:szCs w:val="24"/>
        </w:rPr>
        <w:t>P</w:t>
      </w:r>
      <w:r w:rsidRPr="00EF6169">
        <w:rPr>
          <w:rFonts w:ascii="Arial" w:eastAsiaTheme="minorEastAsia" w:hAnsi="Arial" w:cs="Arial"/>
          <w:b/>
          <w:bCs/>
          <w:sz w:val="24"/>
          <w:szCs w:val="24"/>
        </w:rPr>
        <w:t>omocy</w:t>
      </w:r>
    </w:p>
    <w:p w14:paraId="7E128F1C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Pomoc bezzwrotna (wypłacana  zaliczkowo).</w:t>
      </w:r>
    </w:p>
    <w:p w14:paraId="47C244E9" w14:textId="2346203A" w:rsidR="00BA392A" w:rsidRPr="00EF6169" w:rsidRDefault="00BE76D5" w:rsidP="00BA392A">
      <w:p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t>Maksymalna</w:t>
      </w:r>
      <w:r w:rsidR="00BA392A" w:rsidRPr="00EF6169">
        <w:rPr>
          <w:rFonts w:ascii="Arial" w:eastAsiaTheme="minorEastAsia" w:hAnsi="Arial" w:cs="Arial"/>
          <w:b/>
          <w:bCs/>
          <w:sz w:val="24"/>
          <w:szCs w:val="24"/>
        </w:rPr>
        <w:t xml:space="preserve"> kwot</w:t>
      </w:r>
      <w:r w:rsidRPr="00EF6169">
        <w:rPr>
          <w:rFonts w:ascii="Arial" w:eastAsiaTheme="minorEastAsia" w:hAnsi="Arial" w:cs="Arial"/>
          <w:b/>
          <w:bCs/>
          <w:sz w:val="24"/>
          <w:szCs w:val="24"/>
        </w:rPr>
        <w:t>a</w:t>
      </w:r>
      <w:r w:rsidR="00BA392A" w:rsidRPr="00EF6169">
        <w:rPr>
          <w:rFonts w:ascii="Arial" w:eastAsiaTheme="minorEastAsia" w:hAnsi="Arial" w:cs="Arial"/>
          <w:b/>
          <w:bCs/>
          <w:sz w:val="24"/>
          <w:szCs w:val="24"/>
        </w:rPr>
        <w:t xml:space="preserve"> Pomocy</w:t>
      </w:r>
    </w:p>
    <w:p w14:paraId="02DA6E5F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Łączna kwota Pomocy na Wnioskodawcę nie może przekroczyć 50% kosztów kwalifikowanych. Łączna kwota Pomocy przyznana Wnioskodawcom z jednej grupy kapitałowej</w:t>
      </w:r>
      <w:r w:rsidRPr="00EF6169">
        <w:rPr>
          <w:rStyle w:val="Odwoanieprzypisudolnego"/>
          <w:rFonts w:ascii="Arial" w:eastAsiaTheme="minorEastAsia" w:hAnsi="Arial"/>
          <w:sz w:val="24"/>
          <w:szCs w:val="24"/>
        </w:rPr>
        <w:footnoteReference w:id="4"/>
      </w:r>
      <w:r w:rsidRPr="00EF6169">
        <w:rPr>
          <w:rFonts w:ascii="Arial" w:eastAsiaTheme="minorEastAsia" w:hAnsi="Arial" w:cs="Arial"/>
          <w:sz w:val="24"/>
          <w:szCs w:val="24"/>
        </w:rPr>
        <w:t xml:space="preserve"> nie może przekroczyć 4 mln EUR. W przypadku ogłoszenia analogicznego programu w 2023 r., limit 4 mln EUR będzie dotyczył sumy pomocy w obu tych latach.</w:t>
      </w:r>
    </w:p>
    <w:p w14:paraId="10C8F02E" w14:textId="7D2D35AB" w:rsidR="00BA392A" w:rsidRPr="00EF6169" w:rsidRDefault="00BA392A" w:rsidP="00BA392A">
      <w:pPr>
        <w:pStyle w:val="AODocTxt"/>
        <w:keepNext/>
        <w:spacing w:before="120" w:line="240" w:lineRule="auto"/>
        <w:rPr>
          <w:rFonts w:ascii="Arial" w:eastAsiaTheme="minorEastAsia" w:hAnsi="Arial" w:cs="Arial"/>
          <w:b/>
          <w:bCs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  <w:lang w:val="pl-PL"/>
        </w:rPr>
        <w:t xml:space="preserve">Zwiększenie </w:t>
      </w:r>
      <w:r w:rsidR="00C97E77" w:rsidRPr="00EF6169">
        <w:rPr>
          <w:rFonts w:ascii="Arial" w:eastAsiaTheme="minorEastAsia" w:hAnsi="Arial" w:cs="Arial"/>
          <w:b/>
          <w:bCs/>
          <w:sz w:val="24"/>
          <w:szCs w:val="24"/>
          <w:lang w:val="pl-PL"/>
        </w:rPr>
        <w:t>maksymalnej</w:t>
      </w:r>
      <w:r w:rsidRPr="00EF6169">
        <w:rPr>
          <w:rFonts w:ascii="Arial" w:eastAsiaTheme="minorEastAsia" w:hAnsi="Arial" w:cs="Arial"/>
          <w:b/>
          <w:bCs/>
          <w:sz w:val="24"/>
          <w:szCs w:val="24"/>
          <w:lang w:val="pl-PL"/>
        </w:rPr>
        <w:t xml:space="preserve"> kwoty Pomocy</w:t>
      </w:r>
    </w:p>
    <w:p w14:paraId="7634FDE8" w14:textId="6FB2D997" w:rsidR="00C97E77" w:rsidRPr="00EF6169" w:rsidRDefault="00BA392A" w:rsidP="00C97E77">
      <w:pPr>
        <w:pStyle w:val="AODocTxt"/>
        <w:keepNext/>
        <w:spacing w:before="120" w:line="240" w:lineRule="auto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Pomoc w zwiększonej kwocie może zostać udzielona Wnioskodawcy, który wykaże obniżenie wskaźnika EBITDA o </w:t>
      </w:r>
      <w:r w:rsidR="0035533D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co najmniej 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40% w roku 2022 w porównaniu do </w:t>
      </w:r>
      <w:r w:rsidR="00C97E77" w:rsidRPr="00EF6169">
        <w:rPr>
          <w:rFonts w:ascii="Arial" w:eastAsiaTheme="minorEastAsia" w:hAnsi="Arial" w:cs="Arial"/>
          <w:sz w:val="24"/>
          <w:szCs w:val="24"/>
          <w:lang w:val="pl-PL"/>
        </w:rPr>
        <w:t>2021 r.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lub wykaże ujemny wskaźnik EBITDA w </w:t>
      </w:r>
      <w:r w:rsidR="00C97E77" w:rsidRPr="00EF6169">
        <w:rPr>
          <w:rFonts w:ascii="Arial" w:eastAsiaTheme="minorEastAsia" w:hAnsi="Arial" w:cs="Arial"/>
          <w:sz w:val="24"/>
          <w:szCs w:val="24"/>
          <w:lang w:val="pl-PL"/>
        </w:rPr>
        <w:t>roku 2022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. Kwota Pomocy udzielonej takiemu Wnioskodawcy nie może przekroczyć 80% kosztów kwalifikowanych, a wskaźnik EBITDA w Okresie kwalifikowanym z uwzględnieniem udzielonej </w:t>
      </w:r>
      <w:r w:rsidR="00BE76D5" w:rsidRPr="00EF6169">
        <w:rPr>
          <w:rFonts w:ascii="Arial" w:eastAsiaTheme="minorEastAsia" w:hAnsi="Arial" w:cs="Arial"/>
          <w:sz w:val="24"/>
          <w:szCs w:val="24"/>
          <w:lang w:val="pl-PL"/>
        </w:rPr>
        <w:t>P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omocy nie może być wyższy niż 70% w porównaniu do 2021 r. </w:t>
      </w:r>
      <w:r w:rsidR="00C97E77" w:rsidRPr="00EF6169">
        <w:rPr>
          <w:rFonts w:ascii="Arial" w:eastAsiaTheme="minorEastAsia" w:hAnsi="Arial" w:cs="Arial"/>
          <w:sz w:val="24"/>
          <w:szCs w:val="24"/>
          <w:lang w:val="pl-PL"/>
        </w:rPr>
        <w:t>Kwota Pomocy udzielona Wnioskodawcom z jednej grupy kapitałowej nie może przekroczyć w sumie 50 mln EUR.</w:t>
      </w:r>
    </w:p>
    <w:p w14:paraId="37B26887" w14:textId="69FDAD55" w:rsidR="00C97E77" w:rsidRPr="00EF6169" w:rsidRDefault="00C97E77" w:rsidP="00C97E77">
      <w:pPr>
        <w:pStyle w:val="AODocTxt"/>
        <w:keepNext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sz w:val="24"/>
          <w:szCs w:val="24"/>
          <w:lang w:val="pl-PL"/>
        </w:rPr>
        <w:t>Jeśli wskaźnik EBITDA w roku 2021 i w roku 2022 jest ujemny, to pomoc nie może spowodować, że wskaźnik EBITDA w 2022  osiągnie wartość dodatnią.</w:t>
      </w:r>
    </w:p>
    <w:p w14:paraId="738841A6" w14:textId="1934E430" w:rsidR="00BA392A" w:rsidRPr="00EF6169" w:rsidRDefault="00BA392A" w:rsidP="00BA392A">
      <w:pPr>
        <w:pStyle w:val="AODocTxt"/>
        <w:keepNext/>
        <w:spacing w:before="120" w:line="240" w:lineRule="auto"/>
        <w:rPr>
          <w:rFonts w:ascii="Arial" w:eastAsiaTheme="minorEastAsia" w:hAnsi="Arial" w:cs="Arial"/>
          <w:sz w:val="24"/>
          <w:szCs w:val="24"/>
          <w:lang w:val="pl-PL"/>
        </w:rPr>
      </w:pP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Pomoc w zwiększonej kwocie może zostać udzielona Wnioskodawcy, który wykaże spadek EBITDA w </w:t>
      </w:r>
      <w:r w:rsidR="00586AD5" w:rsidRPr="00EF6169">
        <w:rPr>
          <w:rFonts w:ascii="Arial" w:eastAsiaTheme="minorEastAsia" w:hAnsi="Arial" w:cs="Arial"/>
          <w:sz w:val="24"/>
          <w:szCs w:val="24"/>
          <w:lang w:val="pl-PL"/>
        </w:rPr>
        <w:t>okresie od 1 lipca do 31 grudnia 2022 r.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 w stosunku do </w:t>
      </w:r>
      <w:r w:rsidR="00586AD5"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analogicznego okresu w 2021 r. 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lub ujemnym wskaźnikiem EBITDA </w:t>
      </w:r>
      <w:r w:rsidR="00586AD5" w:rsidRPr="00EF6169">
        <w:rPr>
          <w:rFonts w:ascii="Arial" w:eastAsiaTheme="minorEastAsia" w:hAnsi="Arial" w:cs="Arial"/>
          <w:sz w:val="24"/>
          <w:szCs w:val="24"/>
          <w:lang w:val="pl-PL"/>
        </w:rPr>
        <w:t>w okresie od 1 lipca do 31 grudnia 2022 r</w:t>
      </w:r>
      <w:r w:rsidRPr="00EF6169">
        <w:rPr>
          <w:rFonts w:ascii="Arial" w:eastAsiaTheme="minorEastAsia" w:hAnsi="Arial" w:cs="Arial"/>
          <w:sz w:val="24"/>
          <w:szCs w:val="24"/>
          <w:lang w:val="pl-PL"/>
        </w:rPr>
        <w:t xml:space="preserve">. W takim przypadku </w:t>
      </w:r>
      <w:r w:rsidR="00586AD5" w:rsidRPr="00EF6169">
        <w:rPr>
          <w:rFonts w:ascii="Arial" w:eastAsiaTheme="minorEastAsia" w:hAnsi="Arial" w:cs="Arial"/>
          <w:sz w:val="24"/>
          <w:szCs w:val="24"/>
          <w:lang w:val="pl-PL"/>
        </w:rPr>
        <w:t>Okres wnioskowany nie może wykroczyć poza okres od 1 lipca do 31 grudnia 2022 r.</w:t>
      </w:r>
    </w:p>
    <w:p w14:paraId="4D4B756A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F6169">
        <w:rPr>
          <w:rFonts w:ascii="Arial" w:hAnsi="Arial" w:cs="Arial"/>
          <w:b/>
          <w:bCs/>
          <w:sz w:val="24"/>
          <w:szCs w:val="24"/>
        </w:rPr>
        <w:t>Sposób obliczania wysokości Pomocy</w:t>
      </w:r>
    </w:p>
    <w:p w14:paraId="62E443F0" w14:textId="77777777" w:rsidR="00BA392A" w:rsidRPr="00EF6169" w:rsidRDefault="00BA392A" w:rsidP="00BA392A">
      <w:pPr>
        <w:tabs>
          <w:tab w:val="left" w:pos="426"/>
        </w:tabs>
        <w:spacing w:after="120" w:line="36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6A0F459F" w14:textId="6CCB70CB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>Wysokość udzielonej Pomocy wynika z kosztów poniesionych przez Wnioskodawcę na zakup gazu lub energii elektrycznej w wybranych miesiącach, zawierających się w Okresie kwalifikowanym, obliczanych według następującego wzoru:</w:t>
      </w:r>
    </w:p>
    <w:p w14:paraId="66EED321" w14:textId="77777777" w:rsidR="00BA392A" w:rsidRPr="00EF6169" w:rsidRDefault="00BA392A" w:rsidP="00BA392A">
      <w:pPr>
        <w:tabs>
          <w:tab w:val="left" w:pos="426"/>
        </w:tabs>
        <w:spacing w:after="120" w:line="360" w:lineRule="auto"/>
        <w:contextualSpacing/>
        <w:jc w:val="both"/>
        <w:rPr>
          <w:rFonts w:ascii="Arial" w:eastAsiaTheme="minorEastAsia" w:hAnsi="Arial" w:cs="Arial"/>
          <w:sz w:val="24"/>
          <w:szCs w:val="24"/>
        </w:rPr>
      </w:pPr>
    </w:p>
    <w:p w14:paraId="7326882E" w14:textId="77777777" w:rsidR="00BA392A" w:rsidRPr="00EF6169" w:rsidRDefault="00BA392A" w:rsidP="00BA392A">
      <w:pPr>
        <w:tabs>
          <w:tab w:val="left" w:pos="426"/>
        </w:tabs>
        <w:spacing w:after="120" w:line="360" w:lineRule="auto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t>Koszty kwalifikowane = (p(t) - p(ref) * 1,5) * q(t)</w:t>
      </w:r>
    </w:p>
    <w:p w14:paraId="28433BD5" w14:textId="77777777" w:rsidR="00BA392A" w:rsidRPr="00EF6169" w:rsidRDefault="00BA392A" w:rsidP="00BA392A">
      <w:pPr>
        <w:tabs>
          <w:tab w:val="left" w:pos="426"/>
        </w:tabs>
        <w:spacing w:after="120" w:line="360" w:lineRule="auto"/>
        <w:ind w:left="708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Gdzie:</w:t>
      </w:r>
    </w:p>
    <w:p w14:paraId="365B1C3E" w14:textId="53898BFF" w:rsidR="00BA392A" w:rsidRPr="00EF6169" w:rsidRDefault="00BA392A" w:rsidP="00BA392A">
      <w:pPr>
        <w:numPr>
          <w:ilvl w:val="1"/>
          <w:numId w:val="22"/>
        </w:numPr>
        <w:tabs>
          <w:tab w:val="left" w:pos="426"/>
        </w:tabs>
        <w:spacing w:after="120" w:line="360" w:lineRule="auto"/>
        <w:ind w:left="708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t>t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oznacza dany miesiąc </w:t>
      </w:r>
      <w:r w:rsidR="00FF08BA" w:rsidRPr="00EF6169">
        <w:rPr>
          <w:rFonts w:ascii="Arial" w:eastAsiaTheme="minorEastAsia" w:hAnsi="Arial" w:cs="Arial"/>
          <w:sz w:val="24"/>
          <w:szCs w:val="24"/>
        </w:rPr>
        <w:t>albo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okres kilku miesięcy w Okresie kwalifikowanym</w:t>
      </w:r>
      <w:r w:rsidR="00FF08BA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Pr="00EF6169">
        <w:rPr>
          <w:rFonts w:ascii="Arial" w:eastAsiaTheme="minorEastAsia" w:hAnsi="Arial" w:cs="Arial"/>
          <w:sz w:val="24"/>
          <w:szCs w:val="24"/>
        </w:rPr>
        <w:t>(jeśli dotyczy);</w:t>
      </w:r>
    </w:p>
    <w:p w14:paraId="0EC187D5" w14:textId="3AAE84EA" w:rsidR="00BA392A" w:rsidRPr="00EF6169" w:rsidRDefault="00BA392A" w:rsidP="00BA392A">
      <w:pPr>
        <w:numPr>
          <w:ilvl w:val="1"/>
          <w:numId w:val="22"/>
        </w:numPr>
        <w:tabs>
          <w:tab w:val="left" w:pos="426"/>
        </w:tabs>
        <w:spacing w:after="120" w:line="360" w:lineRule="auto"/>
        <w:ind w:left="708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lastRenderedPageBreak/>
        <w:t>p(t)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oznacza średnią cenę brutto za jednostkę zużytą</w:t>
      </w:r>
      <w:r w:rsidRPr="00EF6169">
        <w:rPr>
          <w:rStyle w:val="Odwoanieprzypisudolnego"/>
          <w:rFonts w:ascii="Arial" w:eastAsiaTheme="minorEastAsia" w:hAnsi="Arial"/>
          <w:sz w:val="24"/>
          <w:szCs w:val="24"/>
        </w:rPr>
        <w:footnoteReference w:id="5"/>
      </w:r>
      <w:r w:rsidRPr="00EF6169">
        <w:rPr>
          <w:rFonts w:ascii="Arial" w:eastAsiaTheme="minorEastAsia" w:hAnsi="Arial" w:cs="Arial"/>
          <w:sz w:val="24"/>
          <w:szCs w:val="24"/>
        </w:rPr>
        <w:t xml:space="preserve"> przez beneficjenta w okresie </w:t>
      </w:r>
      <w:r w:rsidRPr="00EF6169">
        <w:rPr>
          <w:rFonts w:ascii="Arial" w:eastAsiaTheme="minorEastAsia" w:hAnsi="Arial" w:cs="Arial"/>
          <w:b/>
          <w:bCs/>
          <w:sz w:val="24"/>
          <w:szCs w:val="24"/>
        </w:rPr>
        <w:t>t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(w PLN/MWh);</w:t>
      </w:r>
    </w:p>
    <w:p w14:paraId="3184BFCF" w14:textId="5E39122A" w:rsidR="00BA392A" w:rsidRPr="00EF6169" w:rsidRDefault="00BA392A" w:rsidP="00BA392A">
      <w:pPr>
        <w:numPr>
          <w:ilvl w:val="1"/>
          <w:numId w:val="22"/>
        </w:numPr>
        <w:tabs>
          <w:tab w:val="left" w:pos="426"/>
        </w:tabs>
        <w:spacing w:after="120" w:line="360" w:lineRule="auto"/>
        <w:ind w:left="708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t>p(ref)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oznacza średnią cenę brutto za jednostkę zużytą przez beneficjenta w Okresie referencyjnym (w PLN/MWh);</w:t>
      </w:r>
    </w:p>
    <w:p w14:paraId="4CBF4256" w14:textId="07EBD0F1" w:rsidR="00BA392A" w:rsidRPr="00EF6169" w:rsidRDefault="00BA392A" w:rsidP="00BA392A">
      <w:pPr>
        <w:numPr>
          <w:ilvl w:val="0"/>
          <w:numId w:val="22"/>
        </w:numPr>
        <w:tabs>
          <w:tab w:val="left" w:pos="426"/>
        </w:tabs>
        <w:spacing w:after="120" w:line="360" w:lineRule="auto"/>
        <w:contextualSpacing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t>q(t)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oznacza ilość nabytą od dostawców zewnętrznych</w:t>
      </w:r>
      <w:r w:rsidRPr="00EF6169">
        <w:rPr>
          <w:rStyle w:val="Odwoanieprzypisudolnego"/>
          <w:rFonts w:ascii="Arial" w:eastAsiaTheme="minorEastAsia" w:hAnsi="Arial"/>
          <w:sz w:val="24"/>
          <w:szCs w:val="24"/>
        </w:rPr>
        <w:footnoteReference w:id="6"/>
      </w:r>
      <w:r w:rsidRPr="00EF6169">
        <w:rPr>
          <w:rFonts w:ascii="Arial" w:eastAsiaTheme="minorEastAsia" w:hAnsi="Arial" w:cs="Arial"/>
          <w:sz w:val="24"/>
          <w:szCs w:val="24"/>
        </w:rPr>
        <w:t xml:space="preserve"> i zużytą przez Wnioskodawcę w okresie </w:t>
      </w:r>
      <w:r w:rsidRPr="00EF6169">
        <w:rPr>
          <w:rFonts w:ascii="Arial" w:eastAsiaTheme="minorEastAsia" w:hAnsi="Arial" w:cs="Arial"/>
          <w:b/>
          <w:bCs/>
          <w:sz w:val="24"/>
          <w:szCs w:val="24"/>
        </w:rPr>
        <w:t>t</w:t>
      </w:r>
      <w:r w:rsidRPr="00EF6169">
        <w:rPr>
          <w:rFonts w:ascii="Arial" w:eastAsiaTheme="minorEastAsia" w:hAnsi="Arial" w:cs="Arial"/>
          <w:sz w:val="24"/>
          <w:szCs w:val="24"/>
        </w:rPr>
        <w:t>.</w:t>
      </w:r>
    </w:p>
    <w:p w14:paraId="6060CAC9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W okresie od 1 września do 31 grudnia 2022 r. ilość gazu ziemnego lub energii elektrycznej przyjęta do obliczania kosztów kwalifikowanych nie może przekroczyć 70% zużycia Wnioskodawcy w analogicznym okresie w 2021 r.</w:t>
      </w:r>
    </w:p>
    <w:p w14:paraId="7C507049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W związku z przyjęciem ustawy </w:t>
      </w:r>
      <w:r w:rsidRPr="00EF6169">
        <w:rPr>
          <w:rStyle w:val="markedcontent"/>
          <w:rFonts w:ascii="Arial" w:hAnsi="Arial" w:cs="Arial"/>
          <w:sz w:val="25"/>
          <w:szCs w:val="25"/>
        </w:rPr>
        <w:t>z dnia 27 października 2022 r.</w:t>
      </w:r>
      <w:r w:rsidRPr="00EF6169">
        <w:br/>
      </w:r>
      <w:r w:rsidRPr="00EF6169">
        <w:rPr>
          <w:rStyle w:val="markedcontent"/>
          <w:rFonts w:ascii="Arial" w:hAnsi="Arial" w:cs="Arial"/>
          <w:sz w:val="25"/>
          <w:szCs w:val="25"/>
        </w:rPr>
        <w:t>o środkach nadzwyczajnych mających na celu ograniczenie wysokości cen energii elektrycznej oraz wsparciu niektórych odbiorców w 2023 roku (Dz. U. 2022 poz. 2243), zgodnie z którą mikro, małe i średnie przedsiębiorstwa są uprawnione do zakupu energii elektrycznej po ustalonej cenie maksymalnej, przedsiębiorcy objęci ww. ustawą za okres od 1 grudnia 2022 r. mogą wnioskować o Pomoc jedynie z tytułu kosztów zakupu gazu ziemnego.</w:t>
      </w:r>
    </w:p>
    <w:p w14:paraId="7E4AEA15" w14:textId="6A375FC8" w:rsidR="009950B9" w:rsidRPr="00EF6169" w:rsidRDefault="009950B9" w:rsidP="004052AF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b/>
          <w:color w:val="000000"/>
          <w:sz w:val="24"/>
          <w:szCs w:val="24"/>
        </w:rPr>
        <w:t>Wniosek zawiera:</w:t>
      </w:r>
    </w:p>
    <w:p w14:paraId="1B032FC7" w14:textId="5C9B69CF" w:rsidR="009950B9" w:rsidRPr="00EF6169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oznaczenie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W</w:t>
      </w:r>
      <w:r w:rsidRPr="00EF6169">
        <w:rPr>
          <w:rFonts w:ascii="Arial" w:hAnsi="Arial" w:cs="Arial"/>
          <w:color w:val="000000"/>
          <w:sz w:val="24"/>
          <w:szCs w:val="24"/>
        </w:rPr>
        <w:t>nioskodawcy – jego firmę, siedzibę i adres poczty elektronicznej;</w:t>
      </w:r>
    </w:p>
    <w:p w14:paraId="644C9A6A" w14:textId="51371EF0" w:rsidR="009950B9" w:rsidRPr="00EF6169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numer w Krajowym Rejestrze Sądowym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 xml:space="preserve"> (o ile dotyczy)</w:t>
      </w:r>
      <w:r w:rsidR="009A532D" w:rsidRPr="00EF6169">
        <w:rPr>
          <w:rFonts w:ascii="Arial" w:hAnsi="Arial" w:cs="Arial"/>
          <w:color w:val="000000"/>
          <w:sz w:val="24"/>
          <w:szCs w:val="24"/>
        </w:rPr>
        <w:t>;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9CCCC64" w14:textId="40EE82EE" w:rsidR="009950B9" w:rsidRPr="00EF6169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numer identyfikacji podatkowej (NIP);</w:t>
      </w:r>
    </w:p>
    <w:p w14:paraId="0648C2AB" w14:textId="22153F4A" w:rsidR="00107B28" w:rsidRPr="00EF6169" w:rsidRDefault="002A1236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numer rachunku, na który ma zostać dokonana wypłata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Pomocy</w:t>
      </w:r>
      <w:r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1F25047A" w14:textId="2EA2C4A0" w:rsidR="00107B28" w:rsidRPr="00EF6169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oznaczenie </w:t>
      </w:r>
      <w:r w:rsidR="00FF08BA" w:rsidRPr="00EF6169">
        <w:rPr>
          <w:rFonts w:ascii="Arial" w:hAnsi="Arial" w:cs="Arial"/>
          <w:color w:val="000000"/>
          <w:sz w:val="24"/>
          <w:szCs w:val="24"/>
        </w:rPr>
        <w:t>O</w:t>
      </w:r>
      <w:r w:rsidRPr="00EF6169">
        <w:rPr>
          <w:rFonts w:ascii="Arial" w:hAnsi="Arial" w:cs="Arial"/>
          <w:color w:val="000000"/>
          <w:sz w:val="24"/>
          <w:szCs w:val="24"/>
        </w:rPr>
        <w:t>kresu</w:t>
      </w:r>
      <w:r w:rsidR="00FF08BA" w:rsidRPr="00EF6169">
        <w:rPr>
          <w:rFonts w:ascii="Arial" w:hAnsi="Arial" w:cs="Arial"/>
          <w:color w:val="000000"/>
          <w:sz w:val="24"/>
          <w:szCs w:val="24"/>
        </w:rPr>
        <w:t xml:space="preserve"> wnioskowanego</w:t>
      </w:r>
      <w:r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2706F078" w14:textId="39E3152E" w:rsidR="00107B28" w:rsidRPr="00EF6169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oznacz</w:t>
      </w:r>
      <w:r w:rsidR="00A701C7" w:rsidRPr="00EF6169">
        <w:rPr>
          <w:rFonts w:ascii="Arial" w:hAnsi="Arial" w:cs="Arial"/>
          <w:color w:val="000000"/>
          <w:sz w:val="24"/>
          <w:szCs w:val="24"/>
        </w:rPr>
        <w:t xml:space="preserve">enie </w:t>
      </w:r>
      <w:r w:rsidRPr="00EF6169">
        <w:rPr>
          <w:rFonts w:ascii="Arial" w:hAnsi="Arial" w:cs="Arial"/>
          <w:color w:val="000000"/>
          <w:sz w:val="24"/>
          <w:szCs w:val="24"/>
        </w:rPr>
        <w:t>ilości energii elektrycznej lub gazu ziemnego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>, podawanych w MWh,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 zakupionych i zużytych na własny użytek przez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W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 xml:space="preserve">nioskodawcę 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w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O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kresie </w:t>
      </w:r>
      <w:r w:rsidR="00FF08BA" w:rsidRPr="00EF6169">
        <w:rPr>
          <w:rFonts w:ascii="Arial" w:hAnsi="Arial" w:cs="Arial"/>
          <w:color w:val="000000"/>
          <w:sz w:val="24"/>
          <w:szCs w:val="24"/>
        </w:rPr>
        <w:t>wnioskowanym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 xml:space="preserve"> i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O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>kresie referencyjnym</w:t>
      </w:r>
      <w:r w:rsidRPr="00EF6169">
        <w:rPr>
          <w:rFonts w:ascii="Arial" w:hAnsi="Arial" w:cs="Arial"/>
          <w:color w:val="000000"/>
          <w:sz w:val="24"/>
          <w:szCs w:val="24"/>
        </w:rPr>
        <w:t>, z dokładnością do czterech miejsc po przecinku;</w:t>
      </w:r>
    </w:p>
    <w:p w14:paraId="72D1EB0F" w14:textId="5CEA732F" w:rsidR="00107B28" w:rsidRPr="00EF6169" w:rsidRDefault="009950B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ceny jednostkowe zakupu energii elektrycznej lub gazu ziemnego przez</w:t>
      </w:r>
      <w:r w:rsidR="00C51C27"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W</w:t>
      </w:r>
      <w:r w:rsidR="006902AD" w:rsidRPr="00EF6169">
        <w:rPr>
          <w:rFonts w:ascii="Arial" w:hAnsi="Arial" w:cs="Arial"/>
          <w:color w:val="000000"/>
          <w:sz w:val="24"/>
          <w:szCs w:val="24"/>
        </w:rPr>
        <w:t xml:space="preserve">nioskodawcę 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w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O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kresie </w:t>
      </w:r>
      <w:r w:rsidR="00FF08BA" w:rsidRPr="00EF6169">
        <w:rPr>
          <w:rFonts w:ascii="Arial" w:hAnsi="Arial" w:cs="Arial"/>
          <w:color w:val="000000"/>
          <w:sz w:val="24"/>
          <w:szCs w:val="24"/>
        </w:rPr>
        <w:t>wnioskowanym</w:t>
      </w:r>
      <w:r w:rsidR="006D3909"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 xml:space="preserve">i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O</w:t>
      </w:r>
      <w:r w:rsidR="00807C2C" w:rsidRPr="00EF6169">
        <w:rPr>
          <w:rFonts w:ascii="Arial" w:hAnsi="Arial" w:cs="Arial"/>
          <w:color w:val="000000"/>
          <w:sz w:val="24"/>
          <w:szCs w:val="24"/>
        </w:rPr>
        <w:t>kresie referencyjnym</w:t>
      </w:r>
      <w:r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64BD3595" w14:textId="5ECCAAC0" w:rsidR="00107B28" w:rsidRPr="00EF6169" w:rsidRDefault="00EA0160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wartość wskaźnika EBITDA, wykazanego przez</w:t>
      </w:r>
      <w:r w:rsidR="00BE4EB2"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Wnioskodawc</w:t>
      </w:r>
      <w:r w:rsidRPr="00EF6169">
        <w:rPr>
          <w:rFonts w:ascii="Arial" w:hAnsi="Arial" w:cs="Arial"/>
          <w:color w:val="000000"/>
          <w:sz w:val="24"/>
          <w:szCs w:val="24"/>
        </w:rPr>
        <w:t>ę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 w:rsidR="00BE4EB2" w:rsidRPr="00EF6169">
        <w:rPr>
          <w:rFonts w:ascii="Arial" w:hAnsi="Arial" w:cs="Arial"/>
          <w:color w:val="000000"/>
          <w:sz w:val="24"/>
          <w:szCs w:val="24"/>
        </w:rPr>
        <w:t xml:space="preserve">w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O</w:t>
      </w:r>
      <w:r w:rsidR="00BE4EB2" w:rsidRPr="00EF6169">
        <w:rPr>
          <w:rFonts w:ascii="Arial" w:hAnsi="Arial" w:cs="Arial"/>
          <w:color w:val="000000"/>
          <w:sz w:val="24"/>
          <w:szCs w:val="24"/>
        </w:rPr>
        <w:t>kresie kwalifikowanym</w:t>
      </w:r>
      <w:r w:rsidR="4044CFB5"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 w:rsidRPr="00EF6169">
        <w:rPr>
          <w:rFonts w:ascii="Arial" w:hAnsi="Arial" w:cs="Arial"/>
          <w:color w:val="000000"/>
          <w:sz w:val="24"/>
          <w:szCs w:val="24"/>
        </w:rPr>
        <w:t>i Okresie referencyjnym (o ile dotyczy)</w:t>
      </w:r>
      <w:r w:rsidR="00536197"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66B169D5" w14:textId="77777777" w:rsidR="00107B28" w:rsidRPr="00EF6169" w:rsidRDefault="002A1236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wysokość </w:t>
      </w:r>
      <w:r w:rsidR="00890368" w:rsidRPr="00EF6169">
        <w:rPr>
          <w:rFonts w:ascii="Arial" w:hAnsi="Arial" w:cs="Arial"/>
          <w:color w:val="000000"/>
          <w:sz w:val="24"/>
          <w:szCs w:val="24"/>
        </w:rPr>
        <w:t xml:space="preserve">obliczonych </w:t>
      </w:r>
      <w:r w:rsidRPr="00EF6169">
        <w:rPr>
          <w:rFonts w:ascii="Arial" w:hAnsi="Arial" w:cs="Arial"/>
          <w:color w:val="000000"/>
          <w:sz w:val="24"/>
          <w:szCs w:val="24"/>
        </w:rPr>
        <w:t>kosztów kwalifikowanych;</w:t>
      </w:r>
    </w:p>
    <w:p w14:paraId="30EFBB0D" w14:textId="1DB92145" w:rsidR="00107B28" w:rsidRPr="00EF6169" w:rsidRDefault="00225FA5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wnioskowaną wysokość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Pomocy</w:t>
      </w:r>
      <w:r w:rsidR="00A61BA9"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1C548300" w14:textId="1306C22C" w:rsidR="00107B28" w:rsidRPr="00EF6169" w:rsidRDefault="00247629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inne </w:t>
      </w:r>
      <w:r w:rsidR="009437F9" w:rsidRPr="00EF6169">
        <w:rPr>
          <w:rFonts w:ascii="Arial" w:hAnsi="Arial" w:cs="Arial"/>
          <w:color w:val="000000"/>
          <w:sz w:val="24"/>
          <w:szCs w:val="24"/>
        </w:rPr>
        <w:t>i</w:t>
      </w:r>
      <w:r w:rsidR="008C6992" w:rsidRPr="00EF6169">
        <w:rPr>
          <w:rFonts w:ascii="Arial" w:hAnsi="Arial" w:cs="Arial"/>
          <w:color w:val="000000"/>
          <w:sz w:val="24"/>
          <w:szCs w:val="24"/>
        </w:rPr>
        <w:t xml:space="preserve">nformacje niezbędne do 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udzielenia i </w:t>
      </w:r>
      <w:r w:rsidR="008C6992" w:rsidRPr="00EF6169">
        <w:rPr>
          <w:rFonts w:ascii="Arial" w:hAnsi="Arial" w:cs="Arial"/>
          <w:color w:val="000000"/>
          <w:sz w:val="24"/>
          <w:szCs w:val="24"/>
        </w:rPr>
        <w:t>ustalenia</w:t>
      </w:r>
      <w:r w:rsidR="009437F9" w:rsidRPr="00EF6169">
        <w:rPr>
          <w:rFonts w:ascii="Arial" w:hAnsi="Arial" w:cs="Arial"/>
          <w:color w:val="000000"/>
          <w:sz w:val="24"/>
          <w:szCs w:val="24"/>
        </w:rPr>
        <w:t xml:space="preserve"> wielkości dopuszczalnej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P</w:t>
      </w:r>
      <w:r w:rsidR="009437F9" w:rsidRPr="00EF6169">
        <w:rPr>
          <w:rFonts w:ascii="Arial" w:hAnsi="Arial" w:cs="Arial"/>
          <w:color w:val="000000"/>
          <w:sz w:val="24"/>
          <w:szCs w:val="24"/>
        </w:rPr>
        <w:t>omocy</w:t>
      </w:r>
      <w:r w:rsidR="00C51C27"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4A751F72" w14:textId="5ACDEF02" w:rsidR="009437F9" w:rsidRPr="00EF6169" w:rsidRDefault="002D78EC" w:rsidP="00F862A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o</w:t>
      </w:r>
      <w:r w:rsidR="009437F9" w:rsidRPr="00EF6169">
        <w:rPr>
          <w:rFonts w:ascii="Arial" w:hAnsi="Arial" w:cs="Arial"/>
          <w:color w:val="000000"/>
          <w:sz w:val="24"/>
          <w:szCs w:val="24"/>
        </w:rPr>
        <w:t>świadczenia</w:t>
      </w:r>
      <w:r w:rsidR="00A90801" w:rsidRPr="00EF6169">
        <w:rPr>
          <w:rFonts w:ascii="Arial" w:hAnsi="Arial" w:cs="Arial"/>
          <w:color w:val="000000"/>
          <w:sz w:val="24"/>
          <w:szCs w:val="24"/>
        </w:rPr>
        <w:t xml:space="preserve"> Wnioskodawcy</w:t>
      </w:r>
      <w:r w:rsidR="009437F9" w:rsidRPr="00EF6169">
        <w:rPr>
          <w:rFonts w:ascii="Arial" w:hAnsi="Arial" w:cs="Arial"/>
          <w:color w:val="000000"/>
          <w:sz w:val="24"/>
          <w:szCs w:val="24"/>
        </w:rPr>
        <w:t>:</w:t>
      </w:r>
    </w:p>
    <w:p w14:paraId="5C1B16BB" w14:textId="107BF1CD" w:rsidR="00A90801" w:rsidRPr="00EF6169" w:rsidRDefault="00A90801" w:rsidP="00A90801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>o osiągnięciu co najmniej 50 % przychodu w okresie referencyjnym i okresie kwalifikowanym z działalności w jednej lub wielu podklasach PKD wymienionych w Załączniku lub sprzedaży produktów o kodach PRODCOM wymienionych w Załączniku,</w:t>
      </w:r>
    </w:p>
    <w:p w14:paraId="65EB589D" w14:textId="7EFAAD51" w:rsidR="009437F9" w:rsidRPr="00EF6169" w:rsidRDefault="009437F9" w:rsidP="009437F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że na dzień składania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W</w:t>
      </w:r>
      <w:r w:rsidRPr="00EF6169">
        <w:rPr>
          <w:rFonts w:ascii="Arial" w:hAnsi="Arial" w:cs="Arial"/>
          <w:color w:val="000000"/>
          <w:sz w:val="24"/>
          <w:szCs w:val="24"/>
        </w:rPr>
        <w:t>niosku nie jest w likwidacji lub upadłości na podstawie prawa polskiego,</w:t>
      </w:r>
    </w:p>
    <w:p w14:paraId="3199DBBE" w14:textId="57C2509B" w:rsidR="00697862" w:rsidRPr="00EF6169" w:rsidRDefault="009437F9" w:rsidP="0069786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lastRenderedPageBreak/>
        <w:t>o przewidywan</w:t>
      </w:r>
      <w:r w:rsidR="00A90801" w:rsidRPr="00EF6169">
        <w:rPr>
          <w:rFonts w:ascii="Arial" w:hAnsi="Arial" w:cs="Arial"/>
          <w:color w:val="000000"/>
          <w:sz w:val="24"/>
          <w:szCs w:val="24"/>
        </w:rPr>
        <w:t>ym spadku wskaźnika EBITDA</w:t>
      </w:r>
      <w:r w:rsidR="00A90801" w:rsidRPr="00EF6169">
        <w:rPr>
          <w:rStyle w:val="Odwoanieprzypisudolnego"/>
          <w:rFonts w:ascii="Arial" w:hAnsi="Arial"/>
          <w:color w:val="000000"/>
          <w:sz w:val="24"/>
          <w:szCs w:val="24"/>
        </w:rPr>
        <w:footnoteReference w:id="7"/>
      </w:r>
      <w:r w:rsidR="00A90801" w:rsidRPr="00EF6169">
        <w:rPr>
          <w:rFonts w:ascii="Arial" w:hAnsi="Arial" w:cs="Arial"/>
          <w:color w:val="000000"/>
          <w:sz w:val="24"/>
          <w:szCs w:val="24"/>
        </w:rPr>
        <w:t xml:space="preserve"> w </w:t>
      </w:r>
      <w:r w:rsidR="00DB199E" w:rsidRPr="00EF6169">
        <w:rPr>
          <w:rFonts w:ascii="Arial" w:hAnsi="Arial" w:cs="Arial"/>
          <w:color w:val="000000"/>
          <w:sz w:val="24"/>
          <w:szCs w:val="24"/>
        </w:rPr>
        <w:t>2022 r</w:t>
      </w:r>
      <w:r w:rsidR="00FF08BA" w:rsidRPr="00EF6169">
        <w:rPr>
          <w:rFonts w:ascii="Arial" w:hAnsi="Arial" w:cs="Arial"/>
          <w:color w:val="000000"/>
          <w:sz w:val="24"/>
          <w:szCs w:val="24"/>
        </w:rPr>
        <w:t>. albo w drugim półroczu 2022 r.</w:t>
      </w:r>
      <w:r w:rsidR="00A90801" w:rsidRPr="00EF6169">
        <w:rPr>
          <w:rFonts w:ascii="Arial" w:hAnsi="Arial" w:cs="Arial"/>
          <w:color w:val="000000"/>
          <w:sz w:val="24"/>
          <w:szCs w:val="24"/>
        </w:rPr>
        <w:t xml:space="preserve"> uprawniającym do zwiększonego limitu Pomocy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 (o ile dotyczy),</w:t>
      </w:r>
    </w:p>
    <w:p w14:paraId="6BDC3BE4" w14:textId="53511FC3" w:rsidR="00D34EAB" w:rsidRPr="00EF6169" w:rsidRDefault="009437F9" w:rsidP="0069786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o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 xml:space="preserve">prawdziwości danych zawartych we Wniosku wraz z klauzulą o </w:t>
      </w:r>
      <w:r w:rsidRPr="00EF6169">
        <w:rPr>
          <w:rFonts w:ascii="Arial" w:hAnsi="Arial" w:cs="Arial"/>
          <w:color w:val="000000"/>
          <w:sz w:val="24"/>
          <w:szCs w:val="24"/>
        </w:rPr>
        <w:t>treści „Jestem świadomy odpowiedzialności karnej za złożenie fałszywego oświadczenia”.</w:t>
      </w:r>
    </w:p>
    <w:p w14:paraId="3FD77E9C" w14:textId="59CE912F" w:rsidR="009950B9" w:rsidRPr="00EF6169" w:rsidRDefault="009950B9" w:rsidP="004052AF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F6169">
        <w:rPr>
          <w:rFonts w:ascii="Arial" w:hAnsi="Arial" w:cs="Arial"/>
          <w:b/>
          <w:bCs/>
          <w:sz w:val="24"/>
          <w:szCs w:val="24"/>
        </w:rPr>
        <w:t xml:space="preserve">Załączniki do </w:t>
      </w:r>
      <w:r w:rsidR="00A90801" w:rsidRPr="00EF6169">
        <w:rPr>
          <w:rFonts w:ascii="Arial" w:hAnsi="Arial" w:cs="Arial"/>
          <w:b/>
          <w:bCs/>
          <w:sz w:val="24"/>
          <w:szCs w:val="24"/>
        </w:rPr>
        <w:t>W</w:t>
      </w:r>
      <w:r w:rsidRPr="00EF6169">
        <w:rPr>
          <w:rFonts w:ascii="Arial" w:hAnsi="Arial" w:cs="Arial"/>
          <w:b/>
          <w:bCs/>
          <w:sz w:val="24"/>
          <w:szCs w:val="24"/>
        </w:rPr>
        <w:t>niosku</w:t>
      </w:r>
    </w:p>
    <w:p w14:paraId="4920FD24" w14:textId="523C3CF5" w:rsidR="009950B9" w:rsidRPr="00EF6169" w:rsidRDefault="009950B9" w:rsidP="004052AF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Do </w:t>
      </w:r>
      <w:r w:rsidR="00D12F00" w:rsidRPr="00EF6169">
        <w:rPr>
          <w:rFonts w:ascii="Arial" w:hAnsi="Arial" w:cs="Arial"/>
          <w:sz w:val="24"/>
          <w:szCs w:val="24"/>
        </w:rPr>
        <w:t>W</w:t>
      </w:r>
      <w:r w:rsidRPr="00EF6169">
        <w:rPr>
          <w:rFonts w:ascii="Arial" w:hAnsi="Arial" w:cs="Arial"/>
          <w:sz w:val="24"/>
          <w:szCs w:val="24"/>
        </w:rPr>
        <w:t xml:space="preserve">niosku </w:t>
      </w:r>
      <w:r w:rsidR="00A90801" w:rsidRPr="00EF6169">
        <w:rPr>
          <w:rFonts w:ascii="Arial" w:hAnsi="Arial" w:cs="Arial"/>
          <w:sz w:val="24"/>
          <w:szCs w:val="24"/>
        </w:rPr>
        <w:t>z</w:t>
      </w:r>
      <w:r w:rsidRPr="00EF6169">
        <w:rPr>
          <w:rFonts w:ascii="Arial" w:hAnsi="Arial" w:cs="Arial"/>
          <w:sz w:val="24"/>
          <w:szCs w:val="24"/>
        </w:rPr>
        <w:t xml:space="preserve">ałącza </w:t>
      </w:r>
      <w:r w:rsidR="00A90801" w:rsidRPr="00EF6169">
        <w:rPr>
          <w:rFonts w:ascii="Arial" w:hAnsi="Arial" w:cs="Arial"/>
          <w:sz w:val="24"/>
          <w:szCs w:val="24"/>
        </w:rPr>
        <w:t>się</w:t>
      </w:r>
      <w:r w:rsidRPr="00EF6169">
        <w:rPr>
          <w:rFonts w:ascii="Arial" w:hAnsi="Arial" w:cs="Arial"/>
          <w:sz w:val="24"/>
          <w:szCs w:val="24"/>
        </w:rPr>
        <w:t>:</w:t>
      </w:r>
    </w:p>
    <w:p w14:paraId="0B14930C" w14:textId="30CACEAF" w:rsidR="00E84B04" w:rsidRPr="00EF6169" w:rsidRDefault="00D12204" w:rsidP="0005340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zaświadczenia właściwych organów </w:t>
      </w:r>
      <w:r w:rsidR="0044734B" w:rsidRPr="00EF6169">
        <w:rPr>
          <w:rFonts w:ascii="Arial" w:hAnsi="Arial" w:cs="Arial"/>
          <w:color w:val="000000"/>
          <w:sz w:val="24"/>
          <w:szCs w:val="24"/>
        </w:rPr>
        <w:t xml:space="preserve">(wydane nie wcześniej niż 30 dni przed dniem złożenia wniosku) </w:t>
      </w:r>
      <w:r w:rsidRPr="00EF6169">
        <w:rPr>
          <w:rFonts w:ascii="Arial" w:hAnsi="Arial" w:cs="Arial"/>
          <w:color w:val="000000"/>
          <w:sz w:val="24"/>
          <w:szCs w:val="24"/>
        </w:rPr>
        <w:t>potwierdzające, że</w:t>
      </w:r>
      <w:r w:rsidR="00E84B04" w:rsidRPr="00EF6169">
        <w:rPr>
          <w:rFonts w:ascii="Arial" w:hAnsi="Arial" w:cs="Arial"/>
          <w:color w:val="000000"/>
          <w:sz w:val="24"/>
          <w:szCs w:val="24"/>
        </w:rPr>
        <w:t xml:space="preserve"> </w:t>
      </w:r>
      <w:r w:rsidR="00D12F00" w:rsidRPr="00EF6169">
        <w:rPr>
          <w:rFonts w:ascii="Arial" w:hAnsi="Arial" w:cs="Arial"/>
          <w:color w:val="000000"/>
          <w:sz w:val="24"/>
          <w:szCs w:val="24"/>
        </w:rPr>
        <w:t>W</w:t>
      </w:r>
      <w:r w:rsidR="00E84B04" w:rsidRPr="00EF6169">
        <w:rPr>
          <w:rFonts w:ascii="Arial" w:hAnsi="Arial" w:cs="Arial"/>
          <w:color w:val="000000"/>
          <w:sz w:val="24"/>
          <w:szCs w:val="24"/>
        </w:rPr>
        <w:t>nioskodawca</w:t>
      </w:r>
      <w:r w:rsidR="00053405" w:rsidRPr="00EF6169">
        <w:rPr>
          <w:rFonts w:ascii="Arial" w:hAnsi="Arial" w:cs="Arial"/>
          <w:color w:val="000000"/>
          <w:sz w:val="24"/>
          <w:szCs w:val="24"/>
        </w:rPr>
        <w:t>:</w:t>
      </w:r>
    </w:p>
    <w:p w14:paraId="2F59DF7E" w14:textId="1CB594C9" w:rsidR="00E84B04" w:rsidRPr="00EF6169" w:rsidRDefault="00D12204" w:rsidP="0069786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 xml:space="preserve">nie zalega z zapłatą podatków stanowiących dochód budżetu państwa, </w:t>
      </w:r>
      <w:r w:rsidR="00DA312B" w:rsidRPr="00EF6169">
        <w:rPr>
          <w:rFonts w:ascii="Arial" w:hAnsi="Arial" w:cs="Arial"/>
          <w:color w:val="000000"/>
          <w:sz w:val="24"/>
          <w:szCs w:val="24"/>
        </w:rPr>
        <w:br/>
      </w:r>
      <w:r w:rsidRPr="00EF6169">
        <w:rPr>
          <w:rFonts w:ascii="Arial" w:hAnsi="Arial" w:cs="Arial"/>
          <w:color w:val="000000"/>
          <w:sz w:val="24"/>
          <w:szCs w:val="24"/>
        </w:rPr>
        <w:t xml:space="preserve">z wyjątkiem przypadków, gdy uzyskał przewidziane prawem zwolnienie, odroczenie, rozłożenie na raty zaległości podatkowych albo podatku </w:t>
      </w:r>
      <w:r w:rsidR="00DA312B" w:rsidRPr="00EF6169">
        <w:rPr>
          <w:rFonts w:ascii="Arial" w:hAnsi="Arial" w:cs="Arial"/>
          <w:color w:val="000000"/>
          <w:sz w:val="24"/>
          <w:szCs w:val="24"/>
        </w:rPr>
        <w:br/>
      </w:r>
      <w:r w:rsidRPr="00EF6169">
        <w:rPr>
          <w:rFonts w:ascii="Arial" w:hAnsi="Arial" w:cs="Arial"/>
          <w:color w:val="000000"/>
          <w:sz w:val="24"/>
          <w:szCs w:val="24"/>
        </w:rPr>
        <w:t>lub wstrzymanie w całości wykonania decyzji właściwego organu podatkowego;</w:t>
      </w:r>
    </w:p>
    <w:p w14:paraId="25DFBE17" w14:textId="0D9E5311" w:rsidR="009950B9" w:rsidRPr="00EF6169" w:rsidRDefault="00D12204" w:rsidP="0069786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nie zalega z zapłatą należności z tytułu składek na ubezpieczenia społeczne, z</w:t>
      </w:r>
      <w:r w:rsidR="004E4FDE" w:rsidRPr="00EF6169">
        <w:rPr>
          <w:rFonts w:ascii="Arial" w:hAnsi="Arial" w:cs="Arial"/>
          <w:color w:val="000000"/>
          <w:sz w:val="24"/>
          <w:szCs w:val="24"/>
        </w:rPr>
        <w:t> </w:t>
      </w:r>
      <w:r w:rsidRPr="00EF6169">
        <w:rPr>
          <w:rFonts w:ascii="Arial" w:hAnsi="Arial" w:cs="Arial"/>
          <w:color w:val="000000"/>
          <w:sz w:val="24"/>
          <w:szCs w:val="24"/>
        </w:rPr>
        <w:t xml:space="preserve">wyjątkiem przypadków, gdy zawarł umowę o odroczeniu terminu płatności albo umowę o rozłożeniu na raty należności z tytułu składek </w:t>
      </w:r>
      <w:r w:rsidR="00DA312B" w:rsidRPr="00EF6169">
        <w:rPr>
          <w:rFonts w:ascii="Arial" w:hAnsi="Arial" w:cs="Arial"/>
          <w:color w:val="000000"/>
          <w:sz w:val="24"/>
          <w:szCs w:val="24"/>
        </w:rPr>
        <w:br/>
      </w:r>
      <w:r w:rsidRPr="00EF6169">
        <w:rPr>
          <w:rFonts w:ascii="Arial" w:hAnsi="Arial" w:cs="Arial"/>
          <w:color w:val="000000"/>
          <w:sz w:val="24"/>
          <w:szCs w:val="24"/>
        </w:rPr>
        <w:t>na ubezpieczenia społeczne</w:t>
      </w:r>
      <w:r w:rsidR="00053405" w:rsidRPr="00EF6169">
        <w:rPr>
          <w:rFonts w:ascii="Arial" w:hAnsi="Arial" w:cs="Arial"/>
          <w:color w:val="000000"/>
          <w:sz w:val="24"/>
          <w:szCs w:val="24"/>
        </w:rPr>
        <w:t>;</w:t>
      </w:r>
    </w:p>
    <w:p w14:paraId="11238BA7" w14:textId="35CA4785" w:rsidR="00D34EAB" w:rsidRPr="00EF6169" w:rsidRDefault="00536197" w:rsidP="004052A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F6169">
        <w:rPr>
          <w:rFonts w:ascii="Arial" w:hAnsi="Arial" w:cs="Arial"/>
          <w:color w:val="000000"/>
          <w:sz w:val="24"/>
          <w:szCs w:val="24"/>
        </w:rPr>
        <w:t>f</w:t>
      </w:r>
      <w:r w:rsidR="004104BF" w:rsidRPr="00EF6169">
        <w:rPr>
          <w:rFonts w:ascii="Arial" w:hAnsi="Arial" w:cs="Arial"/>
          <w:color w:val="000000"/>
          <w:sz w:val="24"/>
          <w:szCs w:val="24"/>
        </w:rPr>
        <w:t>ormularz informacji przedstawianych przy ubieganiu się o pomoc inną niż pomoc w rolnictwie lub rybołówstwie, pomoc de minimis lub pomoc de minimis w rolnictwie lub rybołówstwie</w:t>
      </w:r>
      <w:r w:rsidR="0044734B" w:rsidRPr="00EF6169">
        <w:rPr>
          <w:rFonts w:ascii="Arial" w:hAnsi="Arial" w:cs="Arial"/>
          <w:color w:val="000000"/>
          <w:sz w:val="24"/>
          <w:szCs w:val="24"/>
        </w:rPr>
        <w:t>.</w:t>
      </w:r>
    </w:p>
    <w:p w14:paraId="0577032C" w14:textId="77777777" w:rsidR="00BA392A" w:rsidRPr="00EF6169" w:rsidRDefault="00BA392A" w:rsidP="004052AF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1C155A6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F6169">
        <w:rPr>
          <w:rFonts w:ascii="Arial" w:hAnsi="Arial" w:cs="Arial"/>
          <w:b/>
          <w:sz w:val="24"/>
          <w:szCs w:val="24"/>
        </w:rPr>
        <w:t>Termin i sposób składania Wniosku</w:t>
      </w:r>
    </w:p>
    <w:p w14:paraId="30FF90A8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>Wniosek jest składany w postaci elektronicznej poprzez wypełnienie formularza Wniosku udostępnionego przez Operatora Programu w dedykowanej aplikacji (GWD), do której łącze znajduje się na stronie internetowej Operatora Programu.</w:t>
      </w:r>
    </w:p>
    <w:p w14:paraId="575D3E38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 xml:space="preserve">Wniosek obejmuje cały Okres kwalifikowany, przy czym koszty kwalifikowane wskazane za grudzień 2022 r. są danymi szacunkowymi. </w:t>
      </w:r>
    </w:p>
    <w:p w14:paraId="2F28C53C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>Wniosek jest podpisywany kwalifikowanym podpisem elektronicznym przez osobę/osoby upoważnioną/e do reprezentowania Wnioskodawcy. Do Wniosku dołączone są wymagane załączniki podpisane kwalifikowanym podpisem elektronicznym przez osobę/osoby upoważnioną/e.</w:t>
      </w:r>
    </w:p>
    <w:p w14:paraId="4A234EEF" w14:textId="77777777" w:rsidR="00BA392A" w:rsidRPr="00EF6169" w:rsidRDefault="00BA392A" w:rsidP="00BA392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EF6169">
        <w:rPr>
          <w:rFonts w:ascii="Arial" w:hAnsi="Arial" w:cs="Arial"/>
          <w:sz w:val="24"/>
          <w:szCs w:val="24"/>
        </w:rPr>
        <w:t>Wniosek jest składany w okresie 7 dni od dnia opublikowania przez Operatora Programu i ministra właściwego do spraw gospodarki informacji o możliwości składania Wniosków.</w:t>
      </w:r>
    </w:p>
    <w:p w14:paraId="0C49C203" w14:textId="77777777" w:rsidR="00BF2F5D" w:rsidRPr="00EF6169" w:rsidRDefault="00BF2F5D" w:rsidP="004052AF">
      <w:p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</w:p>
    <w:p w14:paraId="4A4AFBA1" w14:textId="12176825" w:rsidR="00DE23FA" w:rsidRPr="00EF6169" w:rsidRDefault="00DE23FA" w:rsidP="004052AF">
      <w:p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t xml:space="preserve">Rozliczenie </w:t>
      </w:r>
      <w:r w:rsidR="00BE76D5" w:rsidRPr="00EF6169">
        <w:rPr>
          <w:rFonts w:ascii="Arial" w:eastAsiaTheme="minorEastAsia" w:hAnsi="Arial" w:cs="Arial"/>
          <w:b/>
          <w:bCs/>
          <w:sz w:val="24"/>
          <w:szCs w:val="24"/>
        </w:rPr>
        <w:t>P</w:t>
      </w:r>
      <w:r w:rsidRPr="00EF6169">
        <w:rPr>
          <w:rFonts w:ascii="Arial" w:eastAsiaTheme="minorEastAsia" w:hAnsi="Arial" w:cs="Arial"/>
          <w:b/>
          <w:bCs/>
          <w:sz w:val="24"/>
          <w:szCs w:val="24"/>
        </w:rPr>
        <w:t>omocy</w:t>
      </w:r>
    </w:p>
    <w:p w14:paraId="39A42ACA" w14:textId="0AA7D59F" w:rsidR="000046E4" w:rsidRPr="00EF6169" w:rsidRDefault="00DE23FA" w:rsidP="44F50D6C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Pomoc podlega rozliczeniu do </w:t>
      </w:r>
      <w:r w:rsidR="00300606" w:rsidRPr="00EF6169">
        <w:rPr>
          <w:rFonts w:ascii="Arial" w:eastAsiaTheme="minorEastAsia" w:hAnsi="Arial" w:cs="Arial"/>
          <w:sz w:val="24"/>
          <w:szCs w:val="24"/>
        </w:rPr>
        <w:t xml:space="preserve">30 czerwca </w:t>
      </w:r>
      <w:r w:rsidRPr="00EF6169">
        <w:rPr>
          <w:rFonts w:ascii="Arial" w:eastAsiaTheme="minorEastAsia" w:hAnsi="Arial" w:cs="Arial"/>
          <w:sz w:val="24"/>
          <w:szCs w:val="24"/>
        </w:rPr>
        <w:t xml:space="preserve">2023 r. W ramach rozliczenia </w:t>
      </w:r>
      <w:r w:rsidR="00403867" w:rsidRPr="00EF6169">
        <w:rPr>
          <w:rFonts w:ascii="Arial" w:eastAsiaTheme="minorEastAsia" w:hAnsi="Arial" w:cs="Arial"/>
          <w:sz w:val="24"/>
          <w:szCs w:val="24"/>
        </w:rPr>
        <w:t xml:space="preserve">Beneficjent </w:t>
      </w:r>
      <w:r w:rsidR="00300606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Pr="00EF6169">
        <w:rPr>
          <w:rFonts w:ascii="Arial" w:eastAsiaTheme="minorEastAsia" w:hAnsi="Arial" w:cs="Arial"/>
          <w:sz w:val="24"/>
          <w:szCs w:val="24"/>
        </w:rPr>
        <w:t>przedstawia Operatorowi</w:t>
      </w:r>
      <w:r w:rsidR="00300606" w:rsidRPr="00EF6169">
        <w:rPr>
          <w:rFonts w:ascii="Arial" w:eastAsiaTheme="minorEastAsia" w:hAnsi="Arial" w:cs="Arial"/>
          <w:sz w:val="24"/>
          <w:szCs w:val="24"/>
        </w:rPr>
        <w:t xml:space="preserve"> w terminie do 31 marca 2023 r.</w:t>
      </w:r>
      <w:r w:rsidR="000046E4" w:rsidRPr="00EF6169">
        <w:rPr>
          <w:rFonts w:ascii="Arial" w:eastAsiaTheme="minorEastAsia" w:hAnsi="Arial" w:cs="Arial"/>
          <w:sz w:val="24"/>
          <w:szCs w:val="24"/>
        </w:rPr>
        <w:t>:</w:t>
      </w:r>
    </w:p>
    <w:p w14:paraId="30C7CDA2" w14:textId="549B269F" w:rsidR="0057173F" w:rsidRPr="00EF6169" w:rsidRDefault="009264C0" w:rsidP="0057173F">
      <w:pPr>
        <w:pStyle w:val="Akapitzlist"/>
        <w:numPr>
          <w:ilvl w:val="0"/>
          <w:numId w:val="17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formularz </w:t>
      </w:r>
      <w:r w:rsidR="00F7357D" w:rsidRPr="00EF6169">
        <w:rPr>
          <w:rFonts w:ascii="Arial" w:eastAsiaTheme="minorEastAsia" w:hAnsi="Arial" w:cs="Arial"/>
          <w:sz w:val="24"/>
          <w:szCs w:val="24"/>
        </w:rPr>
        <w:t xml:space="preserve">rozliczenia </w:t>
      </w:r>
      <w:r w:rsidR="0057173F" w:rsidRPr="00EF6169">
        <w:rPr>
          <w:rFonts w:ascii="Arial" w:eastAsiaTheme="minorEastAsia" w:hAnsi="Arial" w:cs="Arial"/>
          <w:sz w:val="24"/>
          <w:szCs w:val="24"/>
        </w:rPr>
        <w:t xml:space="preserve">Pomocy </w:t>
      </w:r>
      <w:r w:rsidR="00F7357D" w:rsidRPr="00EF6169">
        <w:rPr>
          <w:rFonts w:ascii="Arial" w:eastAsiaTheme="minorEastAsia" w:hAnsi="Arial" w:cs="Arial"/>
          <w:sz w:val="24"/>
          <w:szCs w:val="24"/>
        </w:rPr>
        <w:t xml:space="preserve">zawierający </w:t>
      </w:r>
      <w:r w:rsidR="00300606" w:rsidRPr="00EF6169">
        <w:rPr>
          <w:rFonts w:ascii="Arial" w:eastAsiaTheme="minorEastAsia" w:hAnsi="Arial" w:cs="Arial"/>
          <w:sz w:val="24"/>
          <w:szCs w:val="24"/>
        </w:rPr>
        <w:t>dane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 dotyczące rzeczywiście poniesion</w:t>
      </w:r>
      <w:r w:rsidR="00427D40" w:rsidRPr="00EF6169">
        <w:rPr>
          <w:rFonts w:ascii="Arial" w:eastAsiaTheme="minorEastAsia" w:hAnsi="Arial" w:cs="Arial"/>
          <w:sz w:val="24"/>
          <w:szCs w:val="24"/>
        </w:rPr>
        <w:t>ych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 koszt</w:t>
      </w:r>
      <w:r w:rsidR="00427D40" w:rsidRPr="00EF6169">
        <w:rPr>
          <w:rFonts w:ascii="Arial" w:eastAsiaTheme="minorEastAsia" w:hAnsi="Arial" w:cs="Arial"/>
          <w:sz w:val="24"/>
          <w:szCs w:val="24"/>
        </w:rPr>
        <w:t>ów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 zakupu energii elektrycznej lub gazu ziemnego oraz </w:t>
      </w:r>
      <w:r w:rsidR="00DC3E5B" w:rsidRPr="00EF6169">
        <w:rPr>
          <w:rFonts w:ascii="Arial" w:eastAsiaTheme="minorEastAsia" w:hAnsi="Arial" w:cs="Arial"/>
          <w:sz w:val="24"/>
          <w:szCs w:val="24"/>
        </w:rPr>
        <w:lastRenderedPageBreak/>
        <w:t>wykazane</w:t>
      </w:r>
      <w:r w:rsidR="00811E11" w:rsidRPr="00EF6169">
        <w:rPr>
          <w:rFonts w:ascii="Arial" w:eastAsiaTheme="minorEastAsia" w:hAnsi="Arial" w:cs="Arial"/>
          <w:sz w:val="24"/>
          <w:szCs w:val="24"/>
        </w:rPr>
        <w:t xml:space="preserve">go spadku wskaźnika EBITDA 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w </w:t>
      </w:r>
      <w:r w:rsidR="006748C7" w:rsidRPr="00EF6169">
        <w:rPr>
          <w:rFonts w:ascii="Arial" w:eastAsiaTheme="minorEastAsia" w:hAnsi="Arial" w:cs="Arial"/>
          <w:sz w:val="24"/>
          <w:szCs w:val="24"/>
        </w:rPr>
        <w:t>O</w:t>
      </w:r>
      <w:r w:rsidR="00DC3E5B" w:rsidRPr="00EF6169">
        <w:rPr>
          <w:rFonts w:ascii="Arial" w:eastAsiaTheme="minorEastAsia" w:hAnsi="Arial" w:cs="Arial"/>
          <w:sz w:val="24"/>
          <w:szCs w:val="24"/>
        </w:rPr>
        <w:t>kresie kwalifikowanym</w:t>
      </w:r>
      <w:r w:rsidR="00EA0160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w przypadku złożenia </w:t>
      </w:r>
      <w:r w:rsidR="006748C7" w:rsidRPr="00EF6169">
        <w:rPr>
          <w:rFonts w:ascii="Arial" w:eastAsiaTheme="minorEastAsia" w:hAnsi="Arial" w:cs="Arial"/>
          <w:sz w:val="24"/>
          <w:szCs w:val="24"/>
        </w:rPr>
        <w:t>W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niosku ze zwiększonym limitem </w:t>
      </w:r>
      <w:r w:rsidR="00300606" w:rsidRPr="00EF6169">
        <w:rPr>
          <w:rFonts w:ascii="Arial" w:eastAsiaTheme="minorEastAsia" w:hAnsi="Arial" w:cs="Arial"/>
          <w:sz w:val="24"/>
          <w:szCs w:val="24"/>
        </w:rPr>
        <w:t>(jeśli dotyczy)</w:t>
      </w:r>
      <w:r w:rsidR="0057173F" w:rsidRPr="00EF6169">
        <w:rPr>
          <w:rFonts w:ascii="Arial" w:eastAsiaTheme="minorEastAsia" w:hAnsi="Arial" w:cs="Arial"/>
          <w:sz w:val="24"/>
          <w:szCs w:val="24"/>
        </w:rPr>
        <w:t xml:space="preserve"> wraz z:</w:t>
      </w:r>
    </w:p>
    <w:p w14:paraId="7C2893B1" w14:textId="6870781C" w:rsidR="0057173F" w:rsidRPr="00EF6169" w:rsidRDefault="0057173F" w:rsidP="00FF08BA">
      <w:pPr>
        <w:pStyle w:val="Akapitzlist"/>
        <w:numPr>
          <w:ilvl w:val="0"/>
          <w:numId w:val="29"/>
        </w:numPr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zestawieniem dowodów księgowych potwierdzających poniesienie kosztów </w:t>
      </w:r>
      <w:r w:rsidR="006748C7" w:rsidRPr="00EF6169">
        <w:rPr>
          <w:rFonts w:ascii="Arial" w:eastAsiaTheme="minorEastAsia" w:hAnsi="Arial" w:cs="Arial"/>
          <w:sz w:val="24"/>
          <w:szCs w:val="24"/>
        </w:rPr>
        <w:t>w O</w:t>
      </w:r>
      <w:r w:rsidRPr="00EF6169">
        <w:rPr>
          <w:rFonts w:ascii="Arial" w:eastAsiaTheme="minorEastAsia" w:hAnsi="Arial" w:cs="Arial"/>
          <w:sz w:val="24"/>
          <w:szCs w:val="24"/>
        </w:rPr>
        <w:t>kres</w:t>
      </w:r>
      <w:r w:rsidR="006748C7" w:rsidRPr="00EF6169">
        <w:rPr>
          <w:rFonts w:ascii="Arial" w:eastAsiaTheme="minorEastAsia" w:hAnsi="Arial" w:cs="Arial"/>
          <w:sz w:val="24"/>
          <w:szCs w:val="24"/>
        </w:rPr>
        <w:t>ie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FF08BA" w:rsidRPr="00EF6169">
        <w:rPr>
          <w:rFonts w:ascii="Arial" w:eastAsiaTheme="minorEastAsia" w:hAnsi="Arial" w:cs="Arial"/>
          <w:sz w:val="24"/>
          <w:szCs w:val="24"/>
        </w:rPr>
        <w:t>wnioskowanym</w:t>
      </w:r>
      <w:r w:rsidRPr="00EF6169">
        <w:rPr>
          <w:rFonts w:ascii="Arial" w:eastAsiaTheme="minorEastAsia" w:hAnsi="Arial" w:cs="Arial"/>
          <w:sz w:val="24"/>
          <w:szCs w:val="24"/>
        </w:rPr>
        <w:t>;</w:t>
      </w:r>
    </w:p>
    <w:p w14:paraId="3BB6F752" w14:textId="68A45BC0" w:rsidR="0057173F" w:rsidRPr="00EF6169" w:rsidRDefault="0057173F" w:rsidP="00FF08BA">
      <w:pPr>
        <w:pStyle w:val="Akapitzlist"/>
        <w:numPr>
          <w:ilvl w:val="0"/>
          <w:numId w:val="29"/>
        </w:numPr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skanami dowodów księgowych wykazanych w zestawieniu, o którym mowa w lit. a );</w:t>
      </w:r>
    </w:p>
    <w:p w14:paraId="2D9A884C" w14:textId="54CF47CA" w:rsidR="00F7357D" w:rsidRPr="00EF6169" w:rsidRDefault="00FE24CD" w:rsidP="001A3A3D">
      <w:pPr>
        <w:pStyle w:val="Akapitzlist"/>
        <w:numPr>
          <w:ilvl w:val="0"/>
          <w:numId w:val="17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sprawozdanie </w:t>
      </w:r>
      <w:r w:rsidR="006748C7" w:rsidRPr="00EF6169">
        <w:rPr>
          <w:rFonts w:ascii="Arial" w:eastAsiaTheme="minorEastAsia" w:hAnsi="Arial" w:cs="Arial"/>
          <w:sz w:val="24"/>
          <w:szCs w:val="24"/>
        </w:rPr>
        <w:t>Beneficjenta</w:t>
      </w:r>
      <w:r w:rsidR="00F7357D" w:rsidRPr="00EF6169">
        <w:rPr>
          <w:rFonts w:ascii="Arial" w:eastAsiaTheme="minorEastAsia" w:hAnsi="Arial" w:cs="Arial"/>
          <w:sz w:val="24"/>
          <w:szCs w:val="24"/>
        </w:rPr>
        <w:t xml:space="preserve"> przedstawiające </w:t>
      </w:r>
      <w:r w:rsidR="00427D40" w:rsidRPr="00EF6169">
        <w:rPr>
          <w:rFonts w:ascii="Arial" w:eastAsiaTheme="minorEastAsia" w:hAnsi="Arial" w:cs="Arial"/>
          <w:sz w:val="24"/>
          <w:szCs w:val="24"/>
        </w:rPr>
        <w:t>przyjęte założenia, wykorzystane dowody oraz dokonane obliczenia</w:t>
      </w:r>
      <w:r w:rsidR="00DC3E5B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427D40" w:rsidRPr="00EF6169">
        <w:rPr>
          <w:rFonts w:ascii="Arial" w:eastAsiaTheme="minorEastAsia" w:hAnsi="Arial" w:cs="Arial"/>
          <w:sz w:val="24"/>
          <w:szCs w:val="24"/>
        </w:rPr>
        <w:t>w zakresie poniesionych kosztów zakupu energii elektrycznej lub gazu ziemnego oraz wykazane</w:t>
      </w:r>
      <w:r w:rsidR="00586AD5" w:rsidRPr="00EF6169">
        <w:rPr>
          <w:rFonts w:ascii="Arial" w:eastAsiaTheme="minorEastAsia" w:hAnsi="Arial" w:cs="Arial"/>
          <w:sz w:val="24"/>
          <w:szCs w:val="24"/>
        </w:rPr>
        <w:t>go spadku wskaźnika EBITDA</w:t>
      </w:r>
      <w:r w:rsidR="00427D40" w:rsidRPr="00EF6169">
        <w:rPr>
          <w:rFonts w:ascii="Arial" w:eastAsiaTheme="minorEastAsia" w:hAnsi="Arial" w:cs="Arial"/>
          <w:sz w:val="24"/>
          <w:szCs w:val="24"/>
        </w:rPr>
        <w:t xml:space="preserve"> w </w:t>
      </w:r>
      <w:r w:rsidR="006748C7" w:rsidRPr="00EF6169">
        <w:rPr>
          <w:rFonts w:ascii="Arial" w:eastAsiaTheme="minorEastAsia" w:hAnsi="Arial" w:cs="Arial"/>
          <w:sz w:val="24"/>
          <w:szCs w:val="24"/>
        </w:rPr>
        <w:t>O</w:t>
      </w:r>
      <w:r w:rsidR="00427D40" w:rsidRPr="00EF6169">
        <w:rPr>
          <w:rFonts w:ascii="Arial" w:eastAsiaTheme="minorEastAsia" w:hAnsi="Arial" w:cs="Arial"/>
          <w:sz w:val="24"/>
          <w:szCs w:val="24"/>
        </w:rPr>
        <w:t>kresie kwalifikowanym w</w:t>
      </w:r>
      <w:r w:rsidR="004E4FDE" w:rsidRPr="00EF6169">
        <w:rPr>
          <w:rFonts w:ascii="Arial" w:eastAsiaTheme="minorEastAsia" w:hAnsi="Arial" w:cs="Arial"/>
          <w:sz w:val="24"/>
          <w:szCs w:val="24"/>
        </w:rPr>
        <w:t> </w:t>
      </w:r>
      <w:r w:rsidR="00427D40" w:rsidRPr="00EF6169">
        <w:rPr>
          <w:rFonts w:ascii="Arial" w:eastAsiaTheme="minorEastAsia" w:hAnsi="Arial" w:cs="Arial"/>
          <w:sz w:val="24"/>
          <w:szCs w:val="24"/>
        </w:rPr>
        <w:t>przypadku złożenia wniosku ze zwiększonym limitem  (jeśli dotyczy)</w:t>
      </w:r>
      <w:r w:rsidR="00CC18C2" w:rsidRPr="00EF6169">
        <w:rPr>
          <w:rFonts w:ascii="Arial" w:eastAsiaTheme="minorEastAsia" w:hAnsi="Arial" w:cs="Arial"/>
          <w:sz w:val="24"/>
          <w:szCs w:val="24"/>
        </w:rPr>
        <w:t xml:space="preserve">, a także dowody osiągnięcia w Okresie kwalifikowanym i Okresie referencyjnym większości przychodów z działalności w podklasach PKD </w:t>
      </w:r>
      <w:r w:rsidR="00191F94" w:rsidRPr="00EF6169">
        <w:rPr>
          <w:rFonts w:ascii="Arial" w:eastAsiaTheme="minorEastAsia" w:hAnsi="Arial" w:cs="Arial"/>
          <w:sz w:val="24"/>
          <w:szCs w:val="24"/>
        </w:rPr>
        <w:t>lub z produkcji o kodach PRODCOM wymienionych w Załączniku</w:t>
      </w:r>
      <w:r w:rsidR="00F7357D" w:rsidRPr="00EF6169">
        <w:rPr>
          <w:rFonts w:ascii="Arial" w:eastAsiaTheme="minorEastAsia" w:hAnsi="Arial" w:cs="Arial"/>
          <w:sz w:val="24"/>
          <w:szCs w:val="24"/>
        </w:rPr>
        <w:t xml:space="preserve">;   </w:t>
      </w:r>
    </w:p>
    <w:p w14:paraId="10E35AB6" w14:textId="01FF9F2D" w:rsidR="00BE4D15" w:rsidRPr="00EF6169" w:rsidRDefault="00F7357D" w:rsidP="001A3A3D">
      <w:pPr>
        <w:pStyle w:val="Akapitzlist"/>
        <w:numPr>
          <w:ilvl w:val="0"/>
          <w:numId w:val="17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raport</w:t>
      </w:r>
      <w:r w:rsidR="00DE23FA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427D40" w:rsidRPr="00EF6169">
        <w:rPr>
          <w:rFonts w:ascii="Arial" w:eastAsiaTheme="minorEastAsia" w:hAnsi="Arial" w:cs="Arial"/>
          <w:sz w:val="24"/>
          <w:szCs w:val="24"/>
        </w:rPr>
        <w:t xml:space="preserve">niezależnego biegłego rewidenta </w:t>
      </w:r>
      <w:r w:rsidR="00BE4D15" w:rsidRPr="00EF6169">
        <w:rPr>
          <w:rFonts w:ascii="Arial" w:eastAsiaTheme="minorEastAsia" w:hAnsi="Arial" w:cs="Arial"/>
          <w:sz w:val="24"/>
          <w:szCs w:val="24"/>
        </w:rPr>
        <w:t xml:space="preserve">z </w:t>
      </w:r>
      <w:r w:rsidR="00427D40" w:rsidRPr="00EF6169">
        <w:rPr>
          <w:rFonts w:ascii="Arial" w:eastAsiaTheme="minorEastAsia" w:hAnsi="Arial" w:cs="Arial"/>
          <w:sz w:val="24"/>
          <w:szCs w:val="24"/>
        </w:rPr>
        <w:t>wykonania usługi atestacyjnej</w:t>
      </w:r>
      <w:r w:rsidR="00BE4D15" w:rsidRPr="00EF6169">
        <w:rPr>
          <w:rFonts w:ascii="Arial" w:eastAsiaTheme="minorEastAsia" w:hAnsi="Arial" w:cs="Arial"/>
          <w:sz w:val="24"/>
          <w:szCs w:val="24"/>
        </w:rPr>
        <w:t xml:space="preserve">, </w:t>
      </w:r>
      <w:r w:rsidR="00427D40" w:rsidRPr="00EF6169">
        <w:rPr>
          <w:rFonts w:ascii="Arial" w:eastAsiaTheme="minorEastAsia" w:hAnsi="Arial" w:cs="Arial"/>
          <w:sz w:val="24"/>
          <w:szCs w:val="24"/>
        </w:rPr>
        <w:t>o której mowa w art. 2 pkt 5</w:t>
      </w:r>
      <w:r w:rsidR="00BE4D15" w:rsidRPr="00EF6169">
        <w:rPr>
          <w:rFonts w:ascii="Arial" w:eastAsiaTheme="minorEastAsia" w:hAnsi="Arial" w:cs="Arial"/>
          <w:sz w:val="24"/>
          <w:szCs w:val="24"/>
        </w:rPr>
        <w:t xml:space="preserve"> ustawy z dnia 11 maja 2017 r. </w:t>
      </w:r>
      <w:r w:rsidR="00427D40" w:rsidRPr="00EF6169">
        <w:rPr>
          <w:rFonts w:ascii="Arial" w:eastAsiaTheme="minorEastAsia" w:hAnsi="Arial" w:cs="Arial"/>
          <w:sz w:val="24"/>
          <w:szCs w:val="24"/>
        </w:rPr>
        <w:t>o biegłych rewidentach, firmach audytorskich oraz nadzorze publicznym, opracowan</w:t>
      </w:r>
      <w:r w:rsidR="00BE4D15" w:rsidRPr="00EF6169">
        <w:rPr>
          <w:rFonts w:ascii="Arial" w:eastAsiaTheme="minorEastAsia" w:hAnsi="Arial" w:cs="Arial"/>
          <w:sz w:val="24"/>
          <w:szCs w:val="24"/>
        </w:rPr>
        <w:t>ej</w:t>
      </w:r>
      <w:r w:rsidR="00427D40" w:rsidRPr="00EF6169">
        <w:rPr>
          <w:rFonts w:ascii="Arial" w:eastAsiaTheme="minorEastAsia" w:hAnsi="Arial" w:cs="Arial"/>
          <w:sz w:val="24"/>
          <w:szCs w:val="24"/>
        </w:rPr>
        <w:t xml:space="preserve"> zgodnie z regulacjami Krajowego Standardu Usług Atestacyjnych Innych niż Badanie i Przegląd 3000 (Z) w brzmieniu Międzynarodowego Standardu Usług Atestacyjnych 3000 (zmienionego) – „Usługi atestacyjne inne niż badania lub przeglądy historycznych informacji finansowych”, przyjętego uchwałą nr 3436/52e/2019 Krajowej Rady Biegłych Rewidentów z dnia 8 kw</w:t>
      </w:r>
      <w:r w:rsidR="00FE24CD" w:rsidRPr="00EF6169">
        <w:rPr>
          <w:rFonts w:ascii="Arial" w:eastAsiaTheme="minorEastAsia" w:hAnsi="Arial" w:cs="Arial"/>
          <w:sz w:val="24"/>
          <w:szCs w:val="24"/>
        </w:rPr>
        <w:t>ietnia 2019 r., z późn</w:t>
      </w:r>
      <w:r w:rsidR="00427D40" w:rsidRPr="00EF6169">
        <w:rPr>
          <w:rFonts w:ascii="Arial" w:eastAsiaTheme="minorEastAsia" w:hAnsi="Arial" w:cs="Arial"/>
          <w:sz w:val="24"/>
          <w:szCs w:val="24"/>
        </w:rPr>
        <w:t xml:space="preserve"> z</w:t>
      </w:r>
      <w:r w:rsidR="00FE24CD" w:rsidRPr="00EF6169">
        <w:rPr>
          <w:rFonts w:ascii="Arial" w:eastAsiaTheme="minorEastAsia" w:hAnsi="Arial" w:cs="Arial"/>
          <w:sz w:val="24"/>
          <w:szCs w:val="24"/>
        </w:rPr>
        <w:t>m., w zakresie oceny sprawozdania</w:t>
      </w:r>
      <w:r w:rsidR="00D34EAB" w:rsidRPr="00EF6169">
        <w:rPr>
          <w:rFonts w:ascii="Arial" w:eastAsiaTheme="minorEastAsia" w:hAnsi="Arial" w:cs="Arial"/>
          <w:sz w:val="24"/>
          <w:szCs w:val="24"/>
        </w:rPr>
        <w:t>, o którym mowa w pkt 2</w:t>
      </w:r>
      <w:r w:rsidR="00FE24CD" w:rsidRPr="00EF6169">
        <w:rPr>
          <w:rFonts w:ascii="Arial" w:eastAsiaTheme="minorEastAsia" w:hAnsi="Arial" w:cs="Arial"/>
          <w:sz w:val="24"/>
          <w:szCs w:val="24"/>
        </w:rPr>
        <w:t>.</w:t>
      </w:r>
    </w:p>
    <w:p w14:paraId="5B98670C" w14:textId="77777777" w:rsidR="00E908B3" w:rsidRPr="00EF6169" w:rsidRDefault="00E908B3" w:rsidP="001A3A3D">
      <w:pPr>
        <w:pStyle w:val="Akapitzlist"/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01ADE51A" w14:textId="26EBAC37" w:rsidR="00237289" w:rsidRPr="00EF6169" w:rsidRDefault="00E908B3" w:rsidP="001A3A3D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Z</w:t>
      </w:r>
      <w:r w:rsidR="00605E5D" w:rsidRPr="00EF6169">
        <w:rPr>
          <w:rFonts w:ascii="Arial" w:eastAsiaTheme="minorEastAsia" w:hAnsi="Arial" w:cs="Arial"/>
          <w:sz w:val="24"/>
          <w:szCs w:val="24"/>
        </w:rPr>
        <w:t xml:space="preserve">łożone rozliczenie </w:t>
      </w:r>
      <w:r w:rsidR="008A5613" w:rsidRPr="00EF6169">
        <w:rPr>
          <w:rFonts w:ascii="Arial" w:eastAsiaTheme="minorEastAsia" w:hAnsi="Arial" w:cs="Arial"/>
          <w:sz w:val="24"/>
          <w:szCs w:val="24"/>
        </w:rPr>
        <w:t xml:space="preserve">Pomocy </w:t>
      </w:r>
      <w:r w:rsidR="00605E5D" w:rsidRPr="00EF6169">
        <w:rPr>
          <w:rFonts w:ascii="Arial" w:eastAsiaTheme="minorEastAsia" w:hAnsi="Arial" w:cs="Arial"/>
          <w:sz w:val="24"/>
          <w:szCs w:val="24"/>
        </w:rPr>
        <w:t>podlega weryfikacji przez Operatora</w:t>
      </w:r>
      <w:r w:rsidR="00B122AF" w:rsidRPr="00EF6169">
        <w:rPr>
          <w:rFonts w:ascii="Arial" w:eastAsiaTheme="minorEastAsia" w:hAnsi="Arial" w:cs="Arial"/>
          <w:sz w:val="24"/>
          <w:szCs w:val="24"/>
        </w:rPr>
        <w:t xml:space="preserve"> Programu</w:t>
      </w:r>
      <w:r w:rsidRPr="00EF6169">
        <w:rPr>
          <w:rFonts w:ascii="Arial" w:eastAsiaTheme="minorEastAsia" w:hAnsi="Arial" w:cs="Arial"/>
          <w:sz w:val="24"/>
          <w:szCs w:val="24"/>
        </w:rPr>
        <w:t>.</w:t>
      </w:r>
    </w:p>
    <w:p w14:paraId="1B5DF5C9" w14:textId="755C2546" w:rsidR="00605E5D" w:rsidRPr="00EF6169" w:rsidRDefault="00B122AF" w:rsidP="004052AF">
      <w:pPr>
        <w:spacing w:before="120" w:after="0" w:line="240" w:lineRule="aut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t xml:space="preserve">Zasady </w:t>
      </w:r>
      <w:r w:rsidR="00A55BA5" w:rsidRPr="00EF6169">
        <w:rPr>
          <w:rFonts w:ascii="Arial" w:eastAsiaTheme="minorEastAsia" w:hAnsi="Arial" w:cs="Arial"/>
          <w:b/>
          <w:bCs/>
          <w:sz w:val="24"/>
          <w:szCs w:val="24"/>
        </w:rPr>
        <w:t xml:space="preserve">zwrotu </w:t>
      </w:r>
      <w:r w:rsidR="00605E5D" w:rsidRPr="00EF6169">
        <w:rPr>
          <w:rFonts w:ascii="Arial" w:eastAsiaTheme="minorEastAsia" w:hAnsi="Arial" w:cs="Arial"/>
          <w:b/>
          <w:bCs/>
          <w:sz w:val="24"/>
          <w:szCs w:val="24"/>
        </w:rPr>
        <w:t>Pomocy</w:t>
      </w:r>
    </w:p>
    <w:p w14:paraId="053143AE" w14:textId="414F4F68" w:rsidR="00811E11" w:rsidRPr="00EF6169" w:rsidRDefault="00811E11" w:rsidP="00811E11">
      <w:p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 xml:space="preserve">Pomoc uznaje się za przyznaną nienależnie w przypadku, gdy Beneficjent: </w:t>
      </w:r>
    </w:p>
    <w:p w14:paraId="6A78520D" w14:textId="77777777" w:rsidR="00811E11" w:rsidRPr="00EF6169" w:rsidRDefault="00811E11" w:rsidP="00811E11">
      <w:pPr>
        <w:numPr>
          <w:ilvl w:val="0"/>
          <w:numId w:val="21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nie spełniał kryteriów lub warunków do przyznania Pomocy;</w:t>
      </w:r>
    </w:p>
    <w:p w14:paraId="24F0AA58" w14:textId="77777777" w:rsidR="00811E11" w:rsidRPr="00EF6169" w:rsidRDefault="00811E11" w:rsidP="00811E11">
      <w:pPr>
        <w:numPr>
          <w:ilvl w:val="0"/>
          <w:numId w:val="21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złożył przynajmniej jedno oświadczenie we Wniosku, niezgodne ze stanem faktycznym;</w:t>
      </w:r>
    </w:p>
    <w:p w14:paraId="3FC3C1D8" w14:textId="77777777" w:rsidR="00811E11" w:rsidRPr="00EF6169" w:rsidRDefault="00811E11" w:rsidP="00811E11">
      <w:pPr>
        <w:numPr>
          <w:ilvl w:val="0"/>
          <w:numId w:val="21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nie złożył w wymaganym terminie formularza rozliczenia Pomocy wraz z wymaganymi załącznikami;</w:t>
      </w:r>
    </w:p>
    <w:p w14:paraId="53F04712" w14:textId="1D3EA431" w:rsidR="00811E11" w:rsidRPr="00EF6169" w:rsidRDefault="00811E11" w:rsidP="00811E11">
      <w:pPr>
        <w:numPr>
          <w:ilvl w:val="0"/>
          <w:numId w:val="21"/>
        </w:num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nie poddał się kontroli, o której mowa w art. 4 ust. 2 Ustawy</w:t>
      </w:r>
      <w:r w:rsidR="00BE76D5" w:rsidRPr="00EF6169">
        <w:rPr>
          <w:rFonts w:ascii="Arial" w:eastAsiaTheme="minorEastAsia" w:hAnsi="Arial" w:cs="Arial"/>
          <w:sz w:val="24"/>
          <w:szCs w:val="24"/>
        </w:rPr>
        <w:t xml:space="preserve"> lub uniemożliwił jej przeprowadzenie</w:t>
      </w:r>
      <w:r w:rsidRPr="00EF6169">
        <w:rPr>
          <w:rFonts w:ascii="Arial" w:eastAsiaTheme="minorEastAsia" w:hAnsi="Arial" w:cs="Arial"/>
          <w:sz w:val="24"/>
          <w:szCs w:val="24"/>
        </w:rPr>
        <w:t>;</w:t>
      </w:r>
    </w:p>
    <w:p w14:paraId="5D2D5425" w14:textId="0735C60C" w:rsidR="00811E11" w:rsidRPr="00EF6169" w:rsidRDefault="00811E11" w:rsidP="00811E11">
      <w:p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>Pomoc uznaje się za przyznaną w wysokości wyższej niż należna, gdy Beneficjent:</w:t>
      </w:r>
    </w:p>
    <w:p w14:paraId="0AA79FDA" w14:textId="77777777" w:rsidR="00811E11" w:rsidRPr="00EF6169" w:rsidRDefault="00811E11" w:rsidP="00811E11">
      <w:pPr>
        <w:pStyle w:val="Akapitzlist"/>
        <w:numPr>
          <w:ilvl w:val="0"/>
          <w:numId w:val="27"/>
        </w:num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>przedstawił błędne wyliczenia kosztów kwalifikowanych;</w:t>
      </w:r>
    </w:p>
    <w:p w14:paraId="44484C48" w14:textId="06C2AF8E" w:rsidR="00D26239" w:rsidRPr="00EF6169" w:rsidRDefault="00811E11" w:rsidP="00811E11">
      <w:pPr>
        <w:pStyle w:val="Akapitzlist"/>
        <w:numPr>
          <w:ilvl w:val="0"/>
          <w:numId w:val="27"/>
        </w:num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>przedstawił szacunki kosztów kwalifikowanych</w:t>
      </w:r>
      <w:r w:rsidR="00D26239" w:rsidRPr="00EF6169">
        <w:rPr>
          <w:rFonts w:ascii="Arial" w:eastAsiaTheme="minorEastAsia" w:hAnsi="Arial" w:cs="Arial"/>
          <w:bCs/>
          <w:sz w:val="24"/>
          <w:szCs w:val="24"/>
        </w:rPr>
        <w:t xml:space="preserve"> wyższe niż faktycznie poniesione;</w:t>
      </w:r>
    </w:p>
    <w:p w14:paraId="34FB7B06" w14:textId="500E0117" w:rsidR="00811E11" w:rsidRPr="00EF6169" w:rsidRDefault="00D26239" w:rsidP="00D26239">
      <w:pPr>
        <w:pStyle w:val="Akapitzlist"/>
        <w:numPr>
          <w:ilvl w:val="0"/>
          <w:numId w:val="27"/>
        </w:numPr>
        <w:spacing w:before="120"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EF6169">
        <w:rPr>
          <w:rFonts w:ascii="Arial" w:eastAsiaTheme="minorEastAsia" w:hAnsi="Arial" w:cs="Arial"/>
          <w:bCs/>
          <w:sz w:val="24"/>
          <w:szCs w:val="24"/>
        </w:rPr>
        <w:t xml:space="preserve">przedstawił szacunki </w:t>
      </w:r>
      <w:r w:rsidR="00811E11" w:rsidRPr="00EF6169">
        <w:rPr>
          <w:rFonts w:ascii="Arial" w:eastAsiaTheme="minorEastAsia" w:hAnsi="Arial" w:cs="Arial"/>
          <w:bCs/>
          <w:sz w:val="24"/>
          <w:szCs w:val="24"/>
        </w:rPr>
        <w:t>wskaźnika EBITDA</w:t>
      </w:r>
      <w:r w:rsidRPr="00EF6169">
        <w:rPr>
          <w:rFonts w:ascii="Arial" w:eastAsiaTheme="minorEastAsia" w:hAnsi="Arial" w:cs="Arial"/>
          <w:bCs/>
          <w:sz w:val="24"/>
          <w:szCs w:val="24"/>
        </w:rPr>
        <w:t>, kwalifikujące do wyższego limitu kwoty Pomocy, podczas gdy w rzeczywistości warunek ten nie został spełniony.</w:t>
      </w:r>
    </w:p>
    <w:p w14:paraId="7EAAF343" w14:textId="7FED3550" w:rsidR="00605E5D" w:rsidRPr="00EF6169" w:rsidRDefault="0095205C" w:rsidP="004052AF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W przypadku</w:t>
      </w:r>
      <w:r w:rsidR="00B122AF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Pr="00EF6169">
        <w:rPr>
          <w:rFonts w:ascii="Arial" w:eastAsiaTheme="minorEastAsia" w:hAnsi="Arial" w:cs="Arial"/>
          <w:sz w:val="24"/>
          <w:szCs w:val="24"/>
        </w:rPr>
        <w:t xml:space="preserve">stwierdzenia przez </w:t>
      </w:r>
      <w:r w:rsidR="00964710" w:rsidRPr="00EF6169">
        <w:rPr>
          <w:rFonts w:ascii="Arial" w:eastAsiaTheme="minorEastAsia" w:hAnsi="Arial" w:cs="Arial"/>
          <w:sz w:val="24"/>
          <w:szCs w:val="24"/>
        </w:rPr>
        <w:t>Beneficjenta</w:t>
      </w:r>
      <w:r w:rsidRPr="00EF6169">
        <w:rPr>
          <w:rFonts w:ascii="Arial" w:eastAsiaTheme="minorEastAsia" w:hAnsi="Arial" w:cs="Arial"/>
          <w:sz w:val="24"/>
          <w:szCs w:val="24"/>
        </w:rPr>
        <w:t xml:space="preserve">, że </w:t>
      </w:r>
      <w:r w:rsidR="00B122AF" w:rsidRPr="00EF6169">
        <w:rPr>
          <w:rFonts w:ascii="Arial" w:eastAsiaTheme="minorEastAsia" w:hAnsi="Arial" w:cs="Arial"/>
          <w:sz w:val="24"/>
          <w:szCs w:val="24"/>
        </w:rPr>
        <w:t>P</w:t>
      </w:r>
      <w:r w:rsidRPr="00EF6169">
        <w:rPr>
          <w:rFonts w:ascii="Arial" w:eastAsiaTheme="minorEastAsia" w:hAnsi="Arial" w:cs="Arial"/>
          <w:sz w:val="24"/>
          <w:szCs w:val="24"/>
        </w:rPr>
        <w:t xml:space="preserve">omoc została przyznana </w:t>
      </w:r>
      <w:r w:rsidR="00B122AF" w:rsidRPr="00EF6169">
        <w:rPr>
          <w:rFonts w:ascii="Arial" w:eastAsiaTheme="minorEastAsia" w:hAnsi="Arial" w:cs="Arial"/>
          <w:sz w:val="24"/>
          <w:szCs w:val="24"/>
        </w:rPr>
        <w:t xml:space="preserve">nienależnie lub </w:t>
      </w:r>
      <w:r w:rsidRPr="00EF6169">
        <w:rPr>
          <w:rFonts w:ascii="Arial" w:eastAsiaTheme="minorEastAsia" w:hAnsi="Arial" w:cs="Arial"/>
          <w:sz w:val="24"/>
          <w:szCs w:val="24"/>
        </w:rPr>
        <w:t xml:space="preserve">w wysokości wyższej niż należna, </w:t>
      </w:r>
      <w:r w:rsidR="004252FD" w:rsidRPr="00EF6169">
        <w:rPr>
          <w:rFonts w:ascii="Arial" w:eastAsiaTheme="minorEastAsia" w:hAnsi="Arial" w:cs="Arial"/>
          <w:sz w:val="24"/>
          <w:szCs w:val="24"/>
        </w:rPr>
        <w:t xml:space="preserve">Beneficjent </w:t>
      </w:r>
      <w:r w:rsidR="00964710" w:rsidRPr="00EF6169">
        <w:rPr>
          <w:rFonts w:ascii="Arial" w:eastAsiaTheme="minorEastAsia" w:hAnsi="Arial" w:cs="Arial"/>
          <w:sz w:val="24"/>
          <w:szCs w:val="24"/>
        </w:rPr>
        <w:t xml:space="preserve">może </w:t>
      </w:r>
      <w:r w:rsidRPr="00EF6169">
        <w:rPr>
          <w:rFonts w:ascii="Arial" w:eastAsiaTheme="minorEastAsia" w:hAnsi="Arial" w:cs="Arial"/>
          <w:sz w:val="24"/>
          <w:szCs w:val="24"/>
        </w:rPr>
        <w:t>dokon</w:t>
      </w:r>
      <w:r w:rsidR="00964710" w:rsidRPr="00EF6169">
        <w:rPr>
          <w:rFonts w:ascii="Arial" w:eastAsiaTheme="minorEastAsia" w:hAnsi="Arial" w:cs="Arial"/>
          <w:sz w:val="24"/>
          <w:szCs w:val="24"/>
        </w:rPr>
        <w:t>ać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zwrotu środków </w:t>
      </w:r>
      <w:r w:rsidR="00B122AF" w:rsidRPr="00EF6169">
        <w:rPr>
          <w:rFonts w:ascii="Arial" w:eastAsiaTheme="minorEastAsia" w:hAnsi="Arial" w:cs="Arial"/>
          <w:sz w:val="24"/>
          <w:szCs w:val="24"/>
        </w:rPr>
        <w:t>pobranych nienależnie albo</w:t>
      </w:r>
      <w:r w:rsidR="00A55BA5" w:rsidRPr="00EF6169">
        <w:rPr>
          <w:rFonts w:ascii="Arial" w:eastAsiaTheme="minorEastAsia" w:hAnsi="Arial" w:cs="Arial"/>
          <w:sz w:val="24"/>
          <w:szCs w:val="24"/>
        </w:rPr>
        <w:t xml:space="preserve"> w </w:t>
      </w:r>
      <w:r w:rsidRPr="00EF6169">
        <w:rPr>
          <w:rFonts w:ascii="Arial" w:eastAsiaTheme="minorEastAsia" w:hAnsi="Arial" w:cs="Arial"/>
          <w:sz w:val="24"/>
          <w:szCs w:val="24"/>
        </w:rPr>
        <w:t xml:space="preserve">wysokości wyższej niż należna wraz z </w:t>
      </w:r>
      <w:r w:rsidR="006443A4" w:rsidRPr="00EF6169">
        <w:rPr>
          <w:rFonts w:ascii="Arial" w:eastAsiaTheme="minorEastAsia" w:hAnsi="Arial" w:cs="Arial"/>
          <w:sz w:val="24"/>
          <w:szCs w:val="24"/>
        </w:rPr>
        <w:t>odsetkami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obliczonym z zastosowaniem stopy oprocentowania stosowanej do celów zwrotu pomocy określonej zgodnie z rozdziałem V rozporządzenia Komisji (WE) nr 794/2004 z dnia 21 kwietnia 2004 r. w sprawie wykonania rozporządzenia Rady (UE) nr 2015/1589 ustanawiającego szczegółowe zasady stosowania art. 108 Traktatu o </w:t>
      </w:r>
      <w:r w:rsidRPr="00EF6169">
        <w:rPr>
          <w:rFonts w:ascii="Arial" w:eastAsiaTheme="minorEastAsia" w:hAnsi="Arial" w:cs="Arial"/>
          <w:sz w:val="24"/>
          <w:szCs w:val="24"/>
        </w:rPr>
        <w:lastRenderedPageBreak/>
        <w:t xml:space="preserve">funkcjonowaniu Unii Europejskiej (Dz. Urz. UE L 140 z 30.04.2004, str. 1, z późn. zm.; Dz. Urz. UE Polskie wydanie specjalne, rozdz. 8, t. 4, str. 3) począwszy od dnia przekazania </w:t>
      </w:r>
      <w:r w:rsidR="00BE76D5" w:rsidRPr="00EF6169">
        <w:rPr>
          <w:rFonts w:ascii="Arial" w:eastAsiaTheme="minorEastAsia" w:hAnsi="Arial" w:cs="Arial"/>
          <w:sz w:val="24"/>
          <w:szCs w:val="24"/>
        </w:rPr>
        <w:t>P</w:t>
      </w:r>
      <w:r w:rsidRPr="00EF6169">
        <w:rPr>
          <w:rFonts w:ascii="Arial" w:eastAsiaTheme="minorEastAsia" w:hAnsi="Arial" w:cs="Arial"/>
          <w:sz w:val="24"/>
          <w:szCs w:val="24"/>
        </w:rPr>
        <w:t xml:space="preserve">omocy na rachunek </w:t>
      </w:r>
      <w:r w:rsidR="008A40DD" w:rsidRPr="00EF6169">
        <w:rPr>
          <w:rFonts w:ascii="Arial" w:eastAsiaTheme="minorEastAsia" w:hAnsi="Arial" w:cs="Arial"/>
          <w:sz w:val="24"/>
          <w:szCs w:val="24"/>
        </w:rPr>
        <w:t xml:space="preserve"> Beneficjenta</w:t>
      </w:r>
      <w:r w:rsidR="00C97E77" w:rsidRPr="00EF6169">
        <w:rPr>
          <w:rFonts w:ascii="Arial" w:eastAsiaTheme="minorEastAsia" w:hAnsi="Arial" w:cs="Arial"/>
          <w:sz w:val="24"/>
          <w:szCs w:val="24"/>
        </w:rPr>
        <w:t>.</w:t>
      </w:r>
    </w:p>
    <w:p w14:paraId="422BED7E" w14:textId="7778500F" w:rsidR="006443A4" w:rsidRPr="00EF6169" w:rsidRDefault="00C97E77" w:rsidP="006443A4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>W</w:t>
      </w:r>
      <w:r w:rsidR="00964710" w:rsidRPr="00EF6169">
        <w:rPr>
          <w:rFonts w:ascii="Arial" w:eastAsiaTheme="minorEastAsia" w:hAnsi="Arial" w:cs="Arial"/>
          <w:sz w:val="24"/>
          <w:szCs w:val="24"/>
        </w:rPr>
        <w:t xml:space="preserve"> przypadku, powzięcia przez </w:t>
      </w:r>
      <w:r w:rsidR="00B122AF" w:rsidRPr="00EF6169">
        <w:rPr>
          <w:rFonts w:ascii="Arial" w:eastAsiaTheme="minorEastAsia" w:hAnsi="Arial" w:cs="Arial"/>
          <w:sz w:val="24"/>
          <w:szCs w:val="24"/>
        </w:rPr>
        <w:t>Operator</w:t>
      </w:r>
      <w:r w:rsidR="00964710" w:rsidRPr="00EF6169">
        <w:rPr>
          <w:rFonts w:ascii="Arial" w:eastAsiaTheme="minorEastAsia" w:hAnsi="Arial" w:cs="Arial"/>
          <w:sz w:val="24"/>
          <w:szCs w:val="24"/>
        </w:rPr>
        <w:t>a</w:t>
      </w:r>
      <w:r w:rsidR="00B122AF" w:rsidRPr="00EF6169">
        <w:rPr>
          <w:rFonts w:ascii="Arial" w:eastAsiaTheme="minorEastAsia" w:hAnsi="Arial" w:cs="Arial"/>
          <w:sz w:val="24"/>
          <w:szCs w:val="24"/>
        </w:rPr>
        <w:t xml:space="preserve"> Programu informacji, że </w:t>
      </w:r>
      <w:r w:rsidR="00D26239" w:rsidRPr="00EF6169">
        <w:rPr>
          <w:rFonts w:ascii="Arial" w:eastAsiaTheme="minorEastAsia" w:hAnsi="Arial" w:cs="Arial"/>
          <w:sz w:val="24"/>
          <w:szCs w:val="24"/>
        </w:rPr>
        <w:t xml:space="preserve">Pomoc została przyznana nienależnie lub w wysokości wyższej niż należna, </w:t>
      </w:r>
      <w:r w:rsidR="001C092E" w:rsidRPr="00EF6169">
        <w:rPr>
          <w:rFonts w:ascii="Arial" w:eastAsiaTheme="minorEastAsia" w:hAnsi="Arial" w:cs="Arial"/>
          <w:sz w:val="24"/>
          <w:szCs w:val="24"/>
        </w:rPr>
        <w:t>Operator Programu wzywa w terminie 20 dni od dnia powzięcia informacji</w:t>
      </w:r>
      <w:r w:rsidR="00D26239" w:rsidRPr="00EF6169">
        <w:rPr>
          <w:rFonts w:ascii="Arial" w:eastAsiaTheme="minorEastAsia" w:hAnsi="Arial" w:cs="Arial"/>
          <w:sz w:val="24"/>
          <w:szCs w:val="24"/>
        </w:rPr>
        <w:t>,</w:t>
      </w:r>
      <w:r w:rsidR="001C092E" w:rsidRPr="00EF6169">
        <w:rPr>
          <w:rFonts w:ascii="Arial" w:eastAsiaTheme="minorEastAsia" w:hAnsi="Arial" w:cs="Arial"/>
          <w:sz w:val="24"/>
          <w:szCs w:val="24"/>
        </w:rPr>
        <w:t xml:space="preserve"> Beneficjenta do zwrotu Pomocy</w:t>
      </w:r>
      <w:r w:rsidR="00DC6A41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6443A4" w:rsidRPr="00EF6169">
        <w:rPr>
          <w:rFonts w:ascii="Arial" w:eastAsiaTheme="minorEastAsia" w:hAnsi="Arial" w:cs="Arial"/>
          <w:sz w:val="24"/>
          <w:szCs w:val="24"/>
        </w:rPr>
        <w:t>zgodnie z art. 8 Ustawy.</w:t>
      </w:r>
    </w:p>
    <w:p w14:paraId="5FBD5C81" w14:textId="77777777" w:rsidR="006443A4" w:rsidRPr="00EF6169" w:rsidRDefault="006443A4" w:rsidP="006443A4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70313E42" w14:textId="3EAB06AD" w:rsidR="004173FA" w:rsidRPr="00EF6169" w:rsidRDefault="004173FA" w:rsidP="004173FA">
      <w:pPr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b/>
          <w:bCs/>
          <w:sz w:val="24"/>
          <w:szCs w:val="24"/>
        </w:rPr>
        <w:t>Kontrola</w:t>
      </w:r>
    </w:p>
    <w:p w14:paraId="2C2E666F" w14:textId="39043886" w:rsidR="004173FA" w:rsidRPr="00EF6169" w:rsidRDefault="00062119" w:rsidP="004173FA">
      <w:pPr>
        <w:jc w:val="both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t xml:space="preserve">W przypadku podejrzenia przez Operatora </w:t>
      </w:r>
      <w:r w:rsidR="00B122AF" w:rsidRPr="00EF6169">
        <w:rPr>
          <w:rFonts w:ascii="Arial" w:eastAsiaTheme="minorEastAsia" w:hAnsi="Arial" w:cs="Arial"/>
          <w:sz w:val="24"/>
          <w:szCs w:val="24"/>
        </w:rPr>
        <w:t xml:space="preserve">Programu </w:t>
      </w:r>
      <w:r w:rsidRPr="00EF6169">
        <w:rPr>
          <w:rFonts w:ascii="Arial" w:eastAsiaTheme="minorEastAsia" w:hAnsi="Arial" w:cs="Arial"/>
          <w:sz w:val="24"/>
          <w:szCs w:val="24"/>
        </w:rPr>
        <w:t>złożenia przez Beneficjenta niepraw</w:t>
      </w:r>
      <w:r w:rsidR="00796915" w:rsidRPr="00EF6169">
        <w:rPr>
          <w:rFonts w:ascii="Arial" w:eastAsiaTheme="minorEastAsia" w:hAnsi="Arial" w:cs="Arial"/>
          <w:sz w:val="24"/>
          <w:szCs w:val="24"/>
        </w:rPr>
        <w:t>dziwych</w:t>
      </w:r>
      <w:r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796915" w:rsidRPr="00EF6169">
        <w:rPr>
          <w:rFonts w:ascii="Arial" w:eastAsiaTheme="minorEastAsia" w:hAnsi="Arial" w:cs="Arial"/>
          <w:sz w:val="24"/>
          <w:szCs w:val="24"/>
        </w:rPr>
        <w:t>informacji</w:t>
      </w:r>
      <w:r w:rsidRPr="00EF6169">
        <w:rPr>
          <w:rFonts w:ascii="Arial" w:eastAsiaTheme="minorEastAsia" w:hAnsi="Arial" w:cs="Arial"/>
          <w:sz w:val="24"/>
          <w:szCs w:val="24"/>
        </w:rPr>
        <w:t xml:space="preserve">, w szczególności w przypadku, gdy wykonana usługa atestacyjna nie potwierdzi z racjonalną pewnością, że sprawozdanie </w:t>
      </w:r>
      <w:r w:rsidR="00796915" w:rsidRPr="00EF6169">
        <w:rPr>
          <w:rFonts w:ascii="Arial" w:eastAsiaTheme="minorEastAsia" w:hAnsi="Arial" w:cs="Arial"/>
          <w:sz w:val="24"/>
          <w:szCs w:val="24"/>
        </w:rPr>
        <w:t xml:space="preserve">Beneficjenta </w:t>
      </w:r>
      <w:r w:rsidRPr="00EF6169">
        <w:rPr>
          <w:rFonts w:ascii="Arial" w:eastAsiaTheme="minorEastAsia" w:hAnsi="Arial" w:cs="Arial"/>
          <w:sz w:val="24"/>
          <w:szCs w:val="24"/>
        </w:rPr>
        <w:t xml:space="preserve">zostało sporządzone kompletnie, zgodnie z procedurami, na podstawie dowodów, </w:t>
      </w:r>
      <w:r w:rsidRPr="00EF6169">
        <w:rPr>
          <w:rFonts w:ascii="Arial" w:eastAsiaTheme="minorEastAsia" w:hAnsi="Arial" w:cs="Arial"/>
          <w:sz w:val="24"/>
          <w:szCs w:val="24"/>
        </w:rPr>
        <w:br/>
        <w:t>z wymaganą szczegółowością - rozpoczyna on kontrolę</w:t>
      </w:r>
      <w:r w:rsidR="003E541A" w:rsidRPr="00EF6169">
        <w:rPr>
          <w:rFonts w:ascii="Arial" w:eastAsiaTheme="minorEastAsia" w:hAnsi="Arial" w:cs="Arial"/>
          <w:sz w:val="24"/>
          <w:szCs w:val="24"/>
        </w:rPr>
        <w:t xml:space="preserve"> </w:t>
      </w:r>
      <w:r w:rsidR="004173FA" w:rsidRPr="00EF6169">
        <w:rPr>
          <w:rFonts w:ascii="Arial" w:eastAsiaTheme="minorEastAsia" w:hAnsi="Arial" w:cs="Arial"/>
          <w:sz w:val="24"/>
          <w:szCs w:val="24"/>
        </w:rPr>
        <w:t>na zasadach i w trybie określonym w procedurach Operatora Program</w:t>
      </w:r>
      <w:r w:rsidRPr="00EF6169">
        <w:rPr>
          <w:rFonts w:ascii="Arial" w:eastAsiaTheme="minorEastAsia" w:hAnsi="Arial" w:cs="Arial"/>
          <w:sz w:val="24"/>
          <w:szCs w:val="24"/>
        </w:rPr>
        <w:t>u z uwzględnieniem  przepisów</w:t>
      </w:r>
      <w:r w:rsidR="004173FA" w:rsidRPr="00EF6169">
        <w:rPr>
          <w:rFonts w:ascii="Arial" w:eastAsiaTheme="minorEastAsia" w:hAnsi="Arial" w:cs="Arial"/>
          <w:sz w:val="24"/>
          <w:szCs w:val="24"/>
        </w:rPr>
        <w:t xml:space="preserve"> ustawy z dnia 6 marca 2018 r. – Prawo przedsiębiorców (Dz. U. z 2021 r. poz. 162, z późn. zm.).</w:t>
      </w:r>
    </w:p>
    <w:p w14:paraId="00D62AE0" w14:textId="3A72AF7A" w:rsidR="007C1F1A" w:rsidRPr="00EF6169" w:rsidRDefault="00D42351" w:rsidP="00621EEE">
      <w:pPr>
        <w:jc w:val="center"/>
        <w:rPr>
          <w:rFonts w:ascii="Arial" w:eastAsiaTheme="minorEastAsia" w:hAnsi="Arial" w:cs="Arial"/>
          <w:sz w:val="24"/>
          <w:szCs w:val="24"/>
        </w:rPr>
      </w:pPr>
      <w:r w:rsidRPr="00EF6169">
        <w:rPr>
          <w:rFonts w:ascii="Arial" w:eastAsiaTheme="minorEastAsia" w:hAnsi="Arial" w:cs="Arial"/>
          <w:sz w:val="24"/>
          <w:szCs w:val="24"/>
        </w:rPr>
        <w:br w:type="page"/>
      </w:r>
      <w:r w:rsidR="007C1F1A" w:rsidRPr="00EF6169">
        <w:rPr>
          <w:rFonts w:ascii="Arial" w:eastAsiaTheme="minorEastAsia" w:hAnsi="Arial" w:cs="Arial"/>
          <w:sz w:val="24"/>
          <w:szCs w:val="24"/>
        </w:rPr>
        <w:lastRenderedPageBreak/>
        <w:t>Załącznik</w:t>
      </w:r>
    </w:p>
    <w:p w14:paraId="33377A7D" w14:textId="2FAEBEF4" w:rsidR="007C1F1A" w:rsidRPr="00EF6169" w:rsidRDefault="007C1F1A" w:rsidP="004052AF">
      <w:pPr>
        <w:spacing w:before="120"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F6169">
        <w:rPr>
          <w:rFonts w:ascii="Arial" w:hAnsi="Arial" w:cs="Arial"/>
          <w:b/>
          <w:bCs/>
          <w:sz w:val="24"/>
          <w:szCs w:val="24"/>
        </w:rPr>
        <w:t>Lista kodów PKD</w:t>
      </w:r>
    </w:p>
    <w:tbl>
      <w:tblPr>
        <w:tblW w:w="9366" w:type="dxa"/>
        <w:jc w:val="center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134"/>
        <w:gridCol w:w="7664"/>
      </w:tblGrid>
      <w:tr w:rsidR="00FC3BDA" w:rsidRPr="00EF6169" w14:paraId="4AB60543" w14:textId="77777777" w:rsidTr="00FE2D89">
        <w:trPr>
          <w:trHeight w:val="372"/>
          <w:jc w:val="center"/>
        </w:trPr>
        <w:tc>
          <w:tcPr>
            <w:tcW w:w="568" w:type="dxa"/>
          </w:tcPr>
          <w:p w14:paraId="5FA4B473" w14:textId="44E976D8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L.p.</w:t>
            </w:r>
          </w:p>
        </w:tc>
        <w:tc>
          <w:tcPr>
            <w:tcW w:w="1134" w:type="dxa"/>
          </w:tcPr>
          <w:p w14:paraId="67378FA4" w14:textId="4C3A8D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Kod </w:t>
            </w:r>
            <w:r w:rsidR="00BF2F5D" w:rsidRPr="00EF616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PKD</w:t>
            </w:r>
          </w:p>
        </w:tc>
        <w:tc>
          <w:tcPr>
            <w:tcW w:w="7664" w:type="dxa"/>
          </w:tcPr>
          <w:p w14:paraId="598E7F49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Opis </w:t>
            </w:r>
          </w:p>
        </w:tc>
      </w:tr>
      <w:tr w:rsidR="00FC3BDA" w:rsidRPr="00EF6169" w14:paraId="0D477985" w14:textId="77777777" w:rsidTr="00FE2D89">
        <w:trPr>
          <w:trHeight w:val="109"/>
          <w:jc w:val="center"/>
        </w:trPr>
        <w:tc>
          <w:tcPr>
            <w:tcW w:w="568" w:type="dxa"/>
          </w:tcPr>
          <w:p w14:paraId="43F4AAD7" w14:textId="3696B365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134" w:type="dxa"/>
          </w:tcPr>
          <w:p w14:paraId="1C4AC93B" w14:textId="5C624948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05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.Z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7664" w:type="dxa"/>
          </w:tcPr>
          <w:p w14:paraId="7C16AF13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Wydobywanie węgla kamiennego </w:t>
            </w:r>
          </w:p>
        </w:tc>
      </w:tr>
      <w:tr w:rsidR="00FC3BDA" w:rsidRPr="00EF6169" w14:paraId="7611A532" w14:textId="77777777" w:rsidTr="00FE2D89">
        <w:trPr>
          <w:trHeight w:val="109"/>
          <w:jc w:val="center"/>
        </w:trPr>
        <w:tc>
          <w:tcPr>
            <w:tcW w:w="568" w:type="dxa"/>
          </w:tcPr>
          <w:p w14:paraId="0A0DA27C" w14:textId="43A3D2D1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1134" w:type="dxa"/>
          </w:tcPr>
          <w:p w14:paraId="481F273E" w14:textId="4085D341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06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.Z</w:t>
            </w:r>
          </w:p>
        </w:tc>
        <w:tc>
          <w:tcPr>
            <w:tcW w:w="7664" w:type="dxa"/>
          </w:tcPr>
          <w:p w14:paraId="6E315834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Górnictwo ropy naftowej </w:t>
            </w:r>
          </w:p>
        </w:tc>
      </w:tr>
      <w:tr w:rsidR="00FC3BDA" w:rsidRPr="00EF6169" w14:paraId="72E9FAF3" w14:textId="77777777" w:rsidTr="00FE2D89">
        <w:trPr>
          <w:trHeight w:val="109"/>
          <w:jc w:val="center"/>
        </w:trPr>
        <w:tc>
          <w:tcPr>
            <w:tcW w:w="568" w:type="dxa"/>
          </w:tcPr>
          <w:p w14:paraId="1DFB54FE" w14:textId="4341DD63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1134" w:type="dxa"/>
          </w:tcPr>
          <w:p w14:paraId="4DF8686B" w14:textId="40DCBD2D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07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.Z</w:t>
            </w:r>
          </w:p>
        </w:tc>
        <w:tc>
          <w:tcPr>
            <w:tcW w:w="7664" w:type="dxa"/>
          </w:tcPr>
          <w:p w14:paraId="4DCAAA09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Górnictwo rud żelaza </w:t>
            </w:r>
          </w:p>
        </w:tc>
      </w:tr>
      <w:tr w:rsidR="00FC3BDA" w:rsidRPr="00EF6169" w14:paraId="69754D56" w14:textId="77777777" w:rsidTr="00FE2D89">
        <w:trPr>
          <w:trHeight w:val="109"/>
          <w:jc w:val="center"/>
        </w:trPr>
        <w:tc>
          <w:tcPr>
            <w:tcW w:w="568" w:type="dxa"/>
          </w:tcPr>
          <w:p w14:paraId="154D3AC2" w14:textId="5F7EA640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1134" w:type="dxa"/>
          </w:tcPr>
          <w:p w14:paraId="4ED3EF54" w14:textId="05B6AE55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07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29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.Z</w:t>
            </w:r>
          </w:p>
        </w:tc>
        <w:tc>
          <w:tcPr>
            <w:tcW w:w="7664" w:type="dxa"/>
          </w:tcPr>
          <w:p w14:paraId="339154F7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Górnictwo pozostałych rud metali nieżelaznych </w:t>
            </w:r>
          </w:p>
        </w:tc>
      </w:tr>
      <w:tr w:rsidR="00FC3BDA" w:rsidRPr="00EF6169" w14:paraId="21078F44" w14:textId="77777777" w:rsidTr="00FE2D89">
        <w:trPr>
          <w:trHeight w:val="372"/>
          <w:jc w:val="center"/>
        </w:trPr>
        <w:tc>
          <w:tcPr>
            <w:tcW w:w="568" w:type="dxa"/>
          </w:tcPr>
          <w:p w14:paraId="5424D2A1" w14:textId="1FFAF8FD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1134" w:type="dxa"/>
          </w:tcPr>
          <w:p w14:paraId="23B14408" w14:textId="349BBD8E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08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91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.Z</w:t>
            </w:r>
          </w:p>
        </w:tc>
        <w:tc>
          <w:tcPr>
            <w:tcW w:w="7664" w:type="dxa"/>
          </w:tcPr>
          <w:p w14:paraId="628B9CB4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Wydobywanie minerałów dla przemysłu chemicznego oraz do produkcji nawozów </w:t>
            </w:r>
          </w:p>
        </w:tc>
      </w:tr>
      <w:tr w:rsidR="00FC3BDA" w:rsidRPr="00EF6169" w14:paraId="32F7F3D5" w14:textId="77777777" w:rsidTr="00FE2D89">
        <w:trPr>
          <w:trHeight w:val="109"/>
          <w:jc w:val="center"/>
        </w:trPr>
        <w:tc>
          <w:tcPr>
            <w:tcW w:w="568" w:type="dxa"/>
          </w:tcPr>
          <w:p w14:paraId="3A0FF06E" w14:textId="713B773B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1134" w:type="dxa"/>
          </w:tcPr>
          <w:p w14:paraId="108785CE" w14:textId="62A267E0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08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93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.Z</w:t>
            </w:r>
          </w:p>
        </w:tc>
        <w:tc>
          <w:tcPr>
            <w:tcW w:w="7664" w:type="dxa"/>
          </w:tcPr>
          <w:p w14:paraId="3A24DB25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Wydobywanie soli </w:t>
            </w:r>
          </w:p>
        </w:tc>
      </w:tr>
      <w:tr w:rsidR="00FC3BDA" w:rsidRPr="00EF6169" w14:paraId="45498936" w14:textId="77777777" w:rsidTr="00FE2D89">
        <w:trPr>
          <w:trHeight w:val="109"/>
          <w:jc w:val="center"/>
        </w:trPr>
        <w:tc>
          <w:tcPr>
            <w:tcW w:w="568" w:type="dxa"/>
          </w:tcPr>
          <w:p w14:paraId="6D52009A" w14:textId="4744CC11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1134" w:type="dxa"/>
          </w:tcPr>
          <w:p w14:paraId="7DEE060F" w14:textId="557F646C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08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99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.Z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7664" w:type="dxa"/>
          </w:tcPr>
          <w:p w14:paraId="2F6B5FDE" w14:textId="3F4C27BD" w:rsidR="00FC3BDA" w:rsidRPr="00EF6169" w:rsidRDefault="009C09CB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Pozostałe g</w:t>
            </w:r>
            <w:r w:rsidR="00FC3BDA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órnictwo i wydobywanie, gdzie indziej niesklasyfikowane </w:t>
            </w:r>
          </w:p>
        </w:tc>
      </w:tr>
      <w:tr w:rsidR="00FC3BDA" w:rsidRPr="00EF6169" w14:paraId="13F9DD32" w14:textId="77777777" w:rsidTr="00FE2D89">
        <w:trPr>
          <w:trHeight w:val="109"/>
          <w:jc w:val="center"/>
        </w:trPr>
        <w:tc>
          <w:tcPr>
            <w:tcW w:w="568" w:type="dxa"/>
          </w:tcPr>
          <w:p w14:paraId="3121B3FC" w14:textId="2AF6D5CF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1134" w:type="dxa"/>
          </w:tcPr>
          <w:p w14:paraId="75029C71" w14:textId="5728E1CD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41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.Z</w:t>
            </w:r>
          </w:p>
        </w:tc>
        <w:tc>
          <w:tcPr>
            <w:tcW w:w="7664" w:type="dxa"/>
          </w:tcPr>
          <w:p w14:paraId="00388959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olejów i pozostałych tłuszczów płynnych </w:t>
            </w:r>
          </w:p>
        </w:tc>
      </w:tr>
      <w:tr w:rsidR="00FC3BDA" w:rsidRPr="00EF6169" w14:paraId="2CBB7E1F" w14:textId="77777777" w:rsidTr="00FE2D89">
        <w:trPr>
          <w:trHeight w:val="109"/>
          <w:jc w:val="center"/>
        </w:trPr>
        <w:tc>
          <w:tcPr>
            <w:tcW w:w="568" w:type="dxa"/>
          </w:tcPr>
          <w:p w14:paraId="73A7940A" w14:textId="5E437B85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1134" w:type="dxa"/>
          </w:tcPr>
          <w:p w14:paraId="7EE739C6" w14:textId="5387BD70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62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.Z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7664" w:type="dxa"/>
          </w:tcPr>
          <w:p w14:paraId="07A053CC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Wytwarzanie skrobi i wyrobów skrobiowych </w:t>
            </w:r>
          </w:p>
        </w:tc>
      </w:tr>
      <w:tr w:rsidR="00FC3BDA" w:rsidRPr="00EF6169" w14:paraId="0ACD2B82" w14:textId="77777777" w:rsidTr="00FE2D89">
        <w:trPr>
          <w:trHeight w:val="109"/>
          <w:jc w:val="center"/>
        </w:trPr>
        <w:tc>
          <w:tcPr>
            <w:tcW w:w="568" w:type="dxa"/>
          </w:tcPr>
          <w:p w14:paraId="2FE229E7" w14:textId="70308BC6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 </w:t>
            </w:r>
          </w:p>
        </w:tc>
        <w:tc>
          <w:tcPr>
            <w:tcW w:w="1134" w:type="dxa"/>
          </w:tcPr>
          <w:p w14:paraId="126E5711" w14:textId="587F1EAC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81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.Z</w:t>
            </w:r>
          </w:p>
        </w:tc>
        <w:tc>
          <w:tcPr>
            <w:tcW w:w="7664" w:type="dxa"/>
          </w:tcPr>
          <w:p w14:paraId="2E0ED9FB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cukru </w:t>
            </w:r>
          </w:p>
        </w:tc>
      </w:tr>
      <w:tr w:rsidR="00FC3BDA" w:rsidRPr="00EF6169" w14:paraId="629B8B52" w14:textId="77777777" w:rsidTr="00FE2D89">
        <w:trPr>
          <w:trHeight w:val="109"/>
          <w:jc w:val="center"/>
        </w:trPr>
        <w:tc>
          <w:tcPr>
            <w:tcW w:w="568" w:type="dxa"/>
          </w:tcPr>
          <w:p w14:paraId="7C0ACBFA" w14:textId="702CF0A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 </w:t>
            </w:r>
          </w:p>
        </w:tc>
        <w:tc>
          <w:tcPr>
            <w:tcW w:w="1134" w:type="dxa"/>
          </w:tcPr>
          <w:p w14:paraId="45402709" w14:textId="0056A5B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06</w:t>
            </w:r>
            <w:r w:rsidR="009C09CB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.Z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7664" w:type="dxa"/>
          </w:tcPr>
          <w:p w14:paraId="49266FCB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słodu </w:t>
            </w:r>
          </w:p>
        </w:tc>
      </w:tr>
      <w:tr w:rsidR="00FC3BDA" w:rsidRPr="00EF6169" w14:paraId="144B52D9" w14:textId="77777777" w:rsidTr="00FE2D89">
        <w:trPr>
          <w:trHeight w:val="109"/>
          <w:jc w:val="center"/>
        </w:trPr>
        <w:tc>
          <w:tcPr>
            <w:tcW w:w="568" w:type="dxa"/>
          </w:tcPr>
          <w:p w14:paraId="043CBB0F" w14:textId="697B2773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 </w:t>
            </w:r>
          </w:p>
        </w:tc>
        <w:tc>
          <w:tcPr>
            <w:tcW w:w="1134" w:type="dxa"/>
          </w:tcPr>
          <w:p w14:paraId="28E0E200" w14:textId="16ED55B2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</w:t>
            </w:r>
            <w:r w:rsidR="00BE76D5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  <w:r w:rsidR="00BE76D5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.A</w:t>
            </w: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7664" w:type="dxa"/>
          </w:tcPr>
          <w:p w14:paraId="564AF2A4" w14:textId="7C0D9AB3" w:rsidR="00FC3BDA" w:rsidRPr="00EF6169" w:rsidRDefault="00BE76D5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Produkcja przędzy bawełnianej</w:t>
            </w:r>
            <w:r w:rsidR="00FC3BDA"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FE2D89" w:rsidRPr="00EF6169" w14:paraId="5402E6D9" w14:textId="77777777" w:rsidTr="00FE2D89">
        <w:trPr>
          <w:trHeight w:val="109"/>
          <w:jc w:val="center"/>
        </w:trPr>
        <w:tc>
          <w:tcPr>
            <w:tcW w:w="568" w:type="dxa"/>
          </w:tcPr>
          <w:p w14:paraId="289F2331" w14:textId="306D38A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 </w:t>
            </w:r>
          </w:p>
        </w:tc>
        <w:tc>
          <w:tcPr>
            <w:tcW w:w="1134" w:type="dxa"/>
          </w:tcPr>
          <w:p w14:paraId="7C15DB86" w14:textId="538FFDB6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13.10.B</w:t>
            </w:r>
          </w:p>
        </w:tc>
        <w:tc>
          <w:tcPr>
            <w:tcW w:w="7664" w:type="dxa"/>
          </w:tcPr>
          <w:p w14:paraId="6D93A3E1" w14:textId="5FDFFC78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Produkcja przędzy wełnianej</w:t>
            </w:r>
          </w:p>
        </w:tc>
      </w:tr>
      <w:tr w:rsidR="00FE2D89" w:rsidRPr="00EF6169" w14:paraId="42362FD4" w14:textId="77777777" w:rsidTr="00FE2D89">
        <w:trPr>
          <w:trHeight w:val="109"/>
          <w:jc w:val="center"/>
        </w:trPr>
        <w:tc>
          <w:tcPr>
            <w:tcW w:w="568" w:type="dxa"/>
          </w:tcPr>
          <w:p w14:paraId="4820CEB2" w14:textId="69231B82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 </w:t>
            </w:r>
          </w:p>
        </w:tc>
        <w:tc>
          <w:tcPr>
            <w:tcW w:w="1134" w:type="dxa"/>
          </w:tcPr>
          <w:p w14:paraId="2DA657EF" w14:textId="47315ED0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13.10.C</w:t>
            </w:r>
          </w:p>
        </w:tc>
        <w:tc>
          <w:tcPr>
            <w:tcW w:w="7664" w:type="dxa"/>
          </w:tcPr>
          <w:p w14:paraId="61883A6C" w14:textId="54C48826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Produkcja przędzy z włókien chemicznych</w:t>
            </w:r>
          </w:p>
        </w:tc>
      </w:tr>
      <w:tr w:rsidR="00FE2D89" w:rsidRPr="00EF6169" w14:paraId="0B02CF62" w14:textId="77777777" w:rsidTr="00FE2D89">
        <w:trPr>
          <w:trHeight w:val="109"/>
          <w:jc w:val="center"/>
        </w:trPr>
        <w:tc>
          <w:tcPr>
            <w:tcW w:w="568" w:type="dxa"/>
          </w:tcPr>
          <w:p w14:paraId="22C22F9D" w14:textId="02E336F4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15 </w:t>
            </w:r>
          </w:p>
        </w:tc>
        <w:tc>
          <w:tcPr>
            <w:tcW w:w="1134" w:type="dxa"/>
          </w:tcPr>
          <w:p w14:paraId="0EA95F92" w14:textId="409B743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13.10.D</w:t>
            </w:r>
          </w:p>
        </w:tc>
        <w:tc>
          <w:tcPr>
            <w:tcW w:w="7664" w:type="dxa"/>
          </w:tcPr>
          <w:p w14:paraId="12C42D19" w14:textId="0E6A4565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Produkcja przędzy z pozostałych włókien tekstylnych, włączając produkcję nici</w:t>
            </w:r>
          </w:p>
        </w:tc>
      </w:tr>
      <w:tr w:rsidR="00FE2D89" w:rsidRPr="00EF6169" w14:paraId="188F689F" w14:textId="77777777" w:rsidTr="00FE2D89">
        <w:trPr>
          <w:trHeight w:val="109"/>
          <w:jc w:val="center"/>
        </w:trPr>
        <w:tc>
          <w:tcPr>
            <w:tcW w:w="568" w:type="dxa"/>
          </w:tcPr>
          <w:p w14:paraId="28B61D6F" w14:textId="16CBA7AC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16 </w:t>
            </w:r>
          </w:p>
        </w:tc>
        <w:tc>
          <w:tcPr>
            <w:tcW w:w="1134" w:type="dxa"/>
          </w:tcPr>
          <w:p w14:paraId="6D93F38D" w14:textId="13041044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13.30.Z </w:t>
            </w:r>
          </w:p>
        </w:tc>
        <w:tc>
          <w:tcPr>
            <w:tcW w:w="7664" w:type="dxa"/>
          </w:tcPr>
          <w:p w14:paraId="5FF36C52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Wykończanie wyrobów włókienniczych </w:t>
            </w:r>
          </w:p>
        </w:tc>
      </w:tr>
      <w:tr w:rsidR="00FE2D89" w:rsidRPr="00EF6169" w14:paraId="54E01C6B" w14:textId="77777777" w:rsidTr="00FE2D89">
        <w:trPr>
          <w:trHeight w:val="372"/>
          <w:jc w:val="center"/>
        </w:trPr>
        <w:tc>
          <w:tcPr>
            <w:tcW w:w="568" w:type="dxa"/>
          </w:tcPr>
          <w:p w14:paraId="50AD65A4" w14:textId="0BAE10DD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17 </w:t>
            </w:r>
          </w:p>
        </w:tc>
        <w:tc>
          <w:tcPr>
            <w:tcW w:w="1134" w:type="dxa"/>
          </w:tcPr>
          <w:p w14:paraId="2721222A" w14:textId="1DF0B4DB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13.95.Z </w:t>
            </w:r>
          </w:p>
        </w:tc>
        <w:tc>
          <w:tcPr>
            <w:tcW w:w="7664" w:type="dxa"/>
          </w:tcPr>
          <w:p w14:paraId="3D287A14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włóknin i wyrobów wykonanych z włóknin, z wyłączeniem odzieży </w:t>
            </w:r>
          </w:p>
        </w:tc>
      </w:tr>
      <w:tr w:rsidR="00FE2D89" w:rsidRPr="00EF6169" w14:paraId="026A786C" w14:textId="77777777" w:rsidTr="00FE2D89">
        <w:trPr>
          <w:trHeight w:val="109"/>
          <w:jc w:val="center"/>
        </w:trPr>
        <w:tc>
          <w:tcPr>
            <w:tcW w:w="568" w:type="dxa"/>
          </w:tcPr>
          <w:p w14:paraId="34AF15D4" w14:textId="6715B313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 </w:t>
            </w:r>
          </w:p>
        </w:tc>
        <w:tc>
          <w:tcPr>
            <w:tcW w:w="1134" w:type="dxa"/>
          </w:tcPr>
          <w:p w14:paraId="3BE54181" w14:textId="12BD7C94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14.11.Z</w:t>
            </w:r>
          </w:p>
        </w:tc>
        <w:tc>
          <w:tcPr>
            <w:tcW w:w="7664" w:type="dxa"/>
          </w:tcPr>
          <w:p w14:paraId="650EC362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odzieży skórzanej </w:t>
            </w:r>
          </w:p>
        </w:tc>
      </w:tr>
      <w:tr w:rsidR="00FE2D89" w:rsidRPr="00EF6169" w14:paraId="111A3055" w14:textId="77777777" w:rsidTr="00FE2D89">
        <w:trPr>
          <w:trHeight w:val="109"/>
          <w:jc w:val="center"/>
        </w:trPr>
        <w:tc>
          <w:tcPr>
            <w:tcW w:w="568" w:type="dxa"/>
          </w:tcPr>
          <w:p w14:paraId="499A7757" w14:textId="4C503C72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19 </w:t>
            </w:r>
          </w:p>
        </w:tc>
        <w:tc>
          <w:tcPr>
            <w:tcW w:w="1134" w:type="dxa"/>
          </w:tcPr>
          <w:p w14:paraId="45E10F9C" w14:textId="2ED63B7D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16.21.Z </w:t>
            </w:r>
          </w:p>
        </w:tc>
        <w:tc>
          <w:tcPr>
            <w:tcW w:w="7664" w:type="dxa"/>
          </w:tcPr>
          <w:p w14:paraId="6620BDB2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arkuszy fornirowych i płyt wykonanych na bazie drewna </w:t>
            </w:r>
          </w:p>
        </w:tc>
      </w:tr>
      <w:tr w:rsidR="00FE2D89" w:rsidRPr="00EF6169" w14:paraId="315B3F13" w14:textId="77777777" w:rsidTr="00FE2D89">
        <w:trPr>
          <w:trHeight w:val="109"/>
          <w:jc w:val="center"/>
        </w:trPr>
        <w:tc>
          <w:tcPr>
            <w:tcW w:w="568" w:type="dxa"/>
          </w:tcPr>
          <w:p w14:paraId="34BCD81D" w14:textId="527935C0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 </w:t>
            </w:r>
          </w:p>
        </w:tc>
        <w:tc>
          <w:tcPr>
            <w:tcW w:w="1134" w:type="dxa"/>
          </w:tcPr>
          <w:p w14:paraId="4BBBA2F5" w14:textId="052A63BB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17.11.Z</w:t>
            </w:r>
          </w:p>
        </w:tc>
        <w:tc>
          <w:tcPr>
            <w:tcW w:w="7664" w:type="dxa"/>
          </w:tcPr>
          <w:p w14:paraId="78676359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masy włóknistej </w:t>
            </w:r>
          </w:p>
        </w:tc>
      </w:tr>
      <w:tr w:rsidR="00FE2D89" w:rsidRPr="00EF6169" w14:paraId="7D06FCBB" w14:textId="77777777" w:rsidTr="00FE2D89">
        <w:trPr>
          <w:trHeight w:val="109"/>
          <w:jc w:val="center"/>
        </w:trPr>
        <w:tc>
          <w:tcPr>
            <w:tcW w:w="568" w:type="dxa"/>
          </w:tcPr>
          <w:p w14:paraId="148F8B8E" w14:textId="6E925940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 </w:t>
            </w:r>
          </w:p>
        </w:tc>
        <w:tc>
          <w:tcPr>
            <w:tcW w:w="1134" w:type="dxa"/>
          </w:tcPr>
          <w:p w14:paraId="61E97D48" w14:textId="3F3DF3C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17.12.Z </w:t>
            </w:r>
          </w:p>
        </w:tc>
        <w:tc>
          <w:tcPr>
            <w:tcW w:w="7664" w:type="dxa"/>
          </w:tcPr>
          <w:p w14:paraId="557823EC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papieru i tektury </w:t>
            </w:r>
          </w:p>
        </w:tc>
      </w:tr>
      <w:tr w:rsidR="00FE2D89" w:rsidRPr="00EF6169" w14:paraId="33DFA457" w14:textId="77777777" w:rsidTr="00FE2D89">
        <w:trPr>
          <w:trHeight w:val="109"/>
          <w:jc w:val="center"/>
        </w:trPr>
        <w:tc>
          <w:tcPr>
            <w:tcW w:w="568" w:type="dxa"/>
          </w:tcPr>
          <w:p w14:paraId="101A96A3" w14:textId="0DE74C15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 </w:t>
            </w:r>
          </w:p>
        </w:tc>
        <w:tc>
          <w:tcPr>
            <w:tcW w:w="1134" w:type="dxa"/>
          </w:tcPr>
          <w:p w14:paraId="671192B3" w14:textId="719F64A6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19.10.Z</w:t>
            </w:r>
          </w:p>
        </w:tc>
        <w:tc>
          <w:tcPr>
            <w:tcW w:w="7664" w:type="dxa"/>
          </w:tcPr>
          <w:p w14:paraId="2835D2AB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Wytwarzanie i przetwarzanie koksu </w:t>
            </w:r>
          </w:p>
        </w:tc>
      </w:tr>
      <w:tr w:rsidR="00FE2D89" w:rsidRPr="00EF6169" w14:paraId="772FB06E" w14:textId="77777777" w:rsidTr="00FE2D89">
        <w:trPr>
          <w:trHeight w:val="109"/>
          <w:jc w:val="center"/>
        </w:trPr>
        <w:tc>
          <w:tcPr>
            <w:tcW w:w="568" w:type="dxa"/>
          </w:tcPr>
          <w:p w14:paraId="0F88D979" w14:textId="2F23776D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 </w:t>
            </w:r>
          </w:p>
        </w:tc>
        <w:tc>
          <w:tcPr>
            <w:tcW w:w="1134" w:type="dxa"/>
          </w:tcPr>
          <w:p w14:paraId="100BAD95" w14:textId="139F5016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19.20.Z </w:t>
            </w:r>
          </w:p>
        </w:tc>
        <w:tc>
          <w:tcPr>
            <w:tcW w:w="7664" w:type="dxa"/>
          </w:tcPr>
          <w:p w14:paraId="2B0EF091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Wytwarzanie i przetwarzanie produktów rafinacji ropy naftowej </w:t>
            </w:r>
          </w:p>
        </w:tc>
      </w:tr>
      <w:tr w:rsidR="00FE2D89" w:rsidRPr="00EF6169" w14:paraId="4513174D" w14:textId="77777777" w:rsidTr="00FE2D89">
        <w:trPr>
          <w:trHeight w:val="109"/>
          <w:jc w:val="center"/>
        </w:trPr>
        <w:tc>
          <w:tcPr>
            <w:tcW w:w="568" w:type="dxa"/>
          </w:tcPr>
          <w:p w14:paraId="7B907048" w14:textId="41CA3A5D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 </w:t>
            </w:r>
          </w:p>
        </w:tc>
        <w:tc>
          <w:tcPr>
            <w:tcW w:w="1134" w:type="dxa"/>
          </w:tcPr>
          <w:p w14:paraId="6F3071F7" w14:textId="3D9981AF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20.11.Z</w:t>
            </w:r>
          </w:p>
        </w:tc>
        <w:tc>
          <w:tcPr>
            <w:tcW w:w="7664" w:type="dxa"/>
          </w:tcPr>
          <w:p w14:paraId="3090FBA8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gazów technicznych </w:t>
            </w:r>
          </w:p>
        </w:tc>
      </w:tr>
      <w:tr w:rsidR="00FE2D89" w:rsidRPr="00EF6169" w14:paraId="42B8C435" w14:textId="77777777" w:rsidTr="00FE2D89">
        <w:trPr>
          <w:trHeight w:val="109"/>
          <w:jc w:val="center"/>
        </w:trPr>
        <w:tc>
          <w:tcPr>
            <w:tcW w:w="568" w:type="dxa"/>
          </w:tcPr>
          <w:p w14:paraId="0871B274" w14:textId="27D0E07D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25 </w:t>
            </w:r>
          </w:p>
        </w:tc>
        <w:tc>
          <w:tcPr>
            <w:tcW w:w="1134" w:type="dxa"/>
          </w:tcPr>
          <w:p w14:paraId="0CD7B894" w14:textId="4E3FE2DE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20.12.Z</w:t>
            </w:r>
          </w:p>
        </w:tc>
        <w:tc>
          <w:tcPr>
            <w:tcW w:w="7664" w:type="dxa"/>
          </w:tcPr>
          <w:p w14:paraId="4AD0AE3A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barwników i pigmentów </w:t>
            </w:r>
          </w:p>
        </w:tc>
      </w:tr>
      <w:tr w:rsidR="00FE2D89" w:rsidRPr="00EF6169" w14:paraId="7C0C9027" w14:textId="77777777" w:rsidTr="00FE2D89">
        <w:trPr>
          <w:trHeight w:val="109"/>
          <w:jc w:val="center"/>
        </w:trPr>
        <w:tc>
          <w:tcPr>
            <w:tcW w:w="568" w:type="dxa"/>
          </w:tcPr>
          <w:p w14:paraId="454BF6A0" w14:textId="3C69BCCE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26 </w:t>
            </w:r>
          </w:p>
        </w:tc>
        <w:tc>
          <w:tcPr>
            <w:tcW w:w="1134" w:type="dxa"/>
          </w:tcPr>
          <w:p w14:paraId="0E413C02" w14:textId="1F60F5CF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20.13.Z </w:t>
            </w:r>
          </w:p>
        </w:tc>
        <w:tc>
          <w:tcPr>
            <w:tcW w:w="7664" w:type="dxa"/>
          </w:tcPr>
          <w:p w14:paraId="77A7D112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pozostałych podstawowych chemikaliów nieorganicznych </w:t>
            </w:r>
          </w:p>
        </w:tc>
      </w:tr>
      <w:tr w:rsidR="00FE2D89" w:rsidRPr="00EF6169" w14:paraId="308BE829" w14:textId="77777777" w:rsidTr="00FE2D89">
        <w:trPr>
          <w:trHeight w:val="109"/>
          <w:jc w:val="center"/>
        </w:trPr>
        <w:tc>
          <w:tcPr>
            <w:tcW w:w="568" w:type="dxa"/>
          </w:tcPr>
          <w:p w14:paraId="090328AC" w14:textId="3846483F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27 </w:t>
            </w:r>
          </w:p>
        </w:tc>
        <w:tc>
          <w:tcPr>
            <w:tcW w:w="1134" w:type="dxa"/>
          </w:tcPr>
          <w:p w14:paraId="593C15BD" w14:textId="15330691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20.14.Z </w:t>
            </w:r>
          </w:p>
        </w:tc>
        <w:tc>
          <w:tcPr>
            <w:tcW w:w="7664" w:type="dxa"/>
          </w:tcPr>
          <w:p w14:paraId="711AE9E5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pozostałych podstawowych chemikaliów organicznych </w:t>
            </w:r>
          </w:p>
        </w:tc>
      </w:tr>
      <w:tr w:rsidR="00FE2D89" w:rsidRPr="00EF6169" w14:paraId="21C7A941" w14:textId="77777777" w:rsidTr="00FE2D89">
        <w:trPr>
          <w:trHeight w:val="109"/>
          <w:jc w:val="center"/>
        </w:trPr>
        <w:tc>
          <w:tcPr>
            <w:tcW w:w="568" w:type="dxa"/>
          </w:tcPr>
          <w:p w14:paraId="02562B04" w14:textId="0BC7D8EB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28 </w:t>
            </w:r>
          </w:p>
        </w:tc>
        <w:tc>
          <w:tcPr>
            <w:tcW w:w="1134" w:type="dxa"/>
          </w:tcPr>
          <w:p w14:paraId="3EBCDBD2" w14:textId="64C874C1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20.15.Z </w:t>
            </w:r>
          </w:p>
        </w:tc>
        <w:tc>
          <w:tcPr>
            <w:tcW w:w="7664" w:type="dxa"/>
          </w:tcPr>
          <w:p w14:paraId="6E49D6F0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nawozów i związków azotowych </w:t>
            </w:r>
          </w:p>
        </w:tc>
      </w:tr>
      <w:tr w:rsidR="00FE2D89" w:rsidRPr="00EF6169" w14:paraId="1E5EA7C4" w14:textId="77777777" w:rsidTr="00FE2D89">
        <w:trPr>
          <w:trHeight w:val="109"/>
          <w:jc w:val="center"/>
        </w:trPr>
        <w:tc>
          <w:tcPr>
            <w:tcW w:w="568" w:type="dxa"/>
          </w:tcPr>
          <w:p w14:paraId="03B4E408" w14:textId="0B026CE3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29 </w:t>
            </w:r>
          </w:p>
        </w:tc>
        <w:tc>
          <w:tcPr>
            <w:tcW w:w="1134" w:type="dxa"/>
          </w:tcPr>
          <w:p w14:paraId="4D9CA9F9" w14:textId="1C253FBD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20.16.Z </w:t>
            </w:r>
          </w:p>
        </w:tc>
        <w:tc>
          <w:tcPr>
            <w:tcW w:w="7664" w:type="dxa"/>
          </w:tcPr>
          <w:p w14:paraId="0E318F99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tworzyw sztucznych w formach podstawowych </w:t>
            </w:r>
          </w:p>
        </w:tc>
      </w:tr>
      <w:tr w:rsidR="00FE2D89" w:rsidRPr="00EF6169" w14:paraId="39BA79FE" w14:textId="77777777" w:rsidTr="00FE2D89">
        <w:trPr>
          <w:trHeight w:val="109"/>
          <w:jc w:val="center"/>
        </w:trPr>
        <w:tc>
          <w:tcPr>
            <w:tcW w:w="568" w:type="dxa"/>
          </w:tcPr>
          <w:p w14:paraId="3056D31C" w14:textId="6CD97783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30 </w:t>
            </w:r>
          </w:p>
        </w:tc>
        <w:tc>
          <w:tcPr>
            <w:tcW w:w="1134" w:type="dxa"/>
          </w:tcPr>
          <w:p w14:paraId="0DEDA8E6" w14:textId="5DAC5A2A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20.17.Z </w:t>
            </w:r>
          </w:p>
        </w:tc>
        <w:tc>
          <w:tcPr>
            <w:tcW w:w="7664" w:type="dxa"/>
          </w:tcPr>
          <w:p w14:paraId="71753D38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kauczuku syntetycznego w formach podstawowych </w:t>
            </w:r>
          </w:p>
        </w:tc>
      </w:tr>
      <w:tr w:rsidR="00FE2D89" w:rsidRPr="00EF6169" w14:paraId="2CB23F18" w14:textId="77777777" w:rsidTr="00FE2D89">
        <w:trPr>
          <w:trHeight w:val="109"/>
          <w:jc w:val="center"/>
        </w:trPr>
        <w:tc>
          <w:tcPr>
            <w:tcW w:w="568" w:type="dxa"/>
          </w:tcPr>
          <w:p w14:paraId="41E6C76F" w14:textId="1AE1255B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31 </w:t>
            </w:r>
          </w:p>
        </w:tc>
        <w:tc>
          <w:tcPr>
            <w:tcW w:w="1134" w:type="dxa"/>
          </w:tcPr>
          <w:p w14:paraId="4D7DD613" w14:textId="7E8BAFD2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20.60.Z </w:t>
            </w:r>
          </w:p>
        </w:tc>
        <w:tc>
          <w:tcPr>
            <w:tcW w:w="7664" w:type="dxa"/>
          </w:tcPr>
          <w:p w14:paraId="6F8A6E31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włókien chemicznych </w:t>
            </w:r>
          </w:p>
        </w:tc>
      </w:tr>
      <w:tr w:rsidR="00FE2D89" w:rsidRPr="00EF6169" w14:paraId="0CE0FA16" w14:textId="77777777" w:rsidTr="00FE2D89">
        <w:trPr>
          <w:trHeight w:val="109"/>
          <w:jc w:val="center"/>
        </w:trPr>
        <w:tc>
          <w:tcPr>
            <w:tcW w:w="568" w:type="dxa"/>
          </w:tcPr>
          <w:p w14:paraId="4D2B47C5" w14:textId="4EC673D0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32 </w:t>
            </w:r>
          </w:p>
        </w:tc>
        <w:tc>
          <w:tcPr>
            <w:tcW w:w="1134" w:type="dxa"/>
          </w:tcPr>
          <w:p w14:paraId="106D386C" w14:textId="199AF7F8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21.10.Z </w:t>
            </w:r>
          </w:p>
        </w:tc>
        <w:tc>
          <w:tcPr>
            <w:tcW w:w="7664" w:type="dxa"/>
          </w:tcPr>
          <w:p w14:paraId="491A3145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podstawowych substancji farmaceutycznych </w:t>
            </w:r>
          </w:p>
        </w:tc>
      </w:tr>
      <w:tr w:rsidR="00FE2D89" w:rsidRPr="00EF6169" w14:paraId="49210949" w14:textId="77777777" w:rsidTr="00FE2D89">
        <w:trPr>
          <w:trHeight w:val="109"/>
          <w:jc w:val="center"/>
        </w:trPr>
        <w:tc>
          <w:tcPr>
            <w:tcW w:w="568" w:type="dxa"/>
          </w:tcPr>
          <w:p w14:paraId="2DE6E58D" w14:textId="2FFEF584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33 </w:t>
            </w:r>
          </w:p>
        </w:tc>
        <w:tc>
          <w:tcPr>
            <w:tcW w:w="1134" w:type="dxa"/>
          </w:tcPr>
          <w:p w14:paraId="0E01179C" w14:textId="368C699C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23.11.Z </w:t>
            </w:r>
          </w:p>
        </w:tc>
        <w:tc>
          <w:tcPr>
            <w:tcW w:w="7664" w:type="dxa"/>
          </w:tcPr>
          <w:p w14:paraId="5AF376CA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szkła płaskiego </w:t>
            </w:r>
          </w:p>
        </w:tc>
      </w:tr>
      <w:tr w:rsidR="00FE2D89" w:rsidRPr="00EF6169" w14:paraId="60EC6BA4" w14:textId="77777777" w:rsidTr="00FE2D89">
        <w:trPr>
          <w:trHeight w:val="109"/>
          <w:jc w:val="center"/>
        </w:trPr>
        <w:tc>
          <w:tcPr>
            <w:tcW w:w="568" w:type="dxa"/>
          </w:tcPr>
          <w:p w14:paraId="136E108F" w14:textId="03A78FAA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34 </w:t>
            </w:r>
          </w:p>
        </w:tc>
        <w:tc>
          <w:tcPr>
            <w:tcW w:w="1134" w:type="dxa"/>
          </w:tcPr>
          <w:p w14:paraId="007E0C07" w14:textId="08FEFD25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23.13.Z </w:t>
            </w:r>
          </w:p>
        </w:tc>
        <w:tc>
          <w:tcPr>
            <w:tcW w:w="7664" w:type="dxa"/>
          </w:tcPr>
          <w:p w14:paraId="7EA0265B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szkła gospodarczego </w:t>
            </w:r>
          </w:p>
        </w:tc>
      </w:tr>
      <w:tr w:rsidR="00FE2D89" w:rsidRPr="00EF6169" w14:paraId="7F97E1F2" w14:textId="77777777" w:rsidTr="00FE2D89">
        <w:trPr>
          <w:trHeight w:val="109"/>
          <w:jc w:val="center"/>
        </w:trPr>
        <w:tc>
          <w:tcPr>
            <w:tcW w:w="568" w:type="dxa"/>
          </w:tcPr>
          <w:p w14:paraId="68EA5E3F" w14:textId="6423CDBB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35 </w:t>
            </w:r>
          </w:p>
        </w:tc>
        <w:tc>
          <w:tcPr>
            <w:tcW w:w="1134" w:type="dxa"/>
          </w:tcPr>
          <w:p w14:paraId="022E97C4" w14:textId="037A4774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23.14.Z </w:t>
            </w:r>
          </w:p>
        </w:tc>
        <w:tc>
          <w:tcPr>
            <w:tcW w:w="7664" w:type="dxa"/>
          </w:tcPr>
          <w:p w14:paraId="5080FDDD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włókien szklanych </w:t>
            </w:r>
          </w:p>
        </w:tc>
      </w:tr>
      <w:tr w:rsidR="00FE2D89" w:rsidRPr="00EF6169" w14:paraId="585474AB" w14:textId="77777777" w:rsidTr="00FE2D89">
        <w:trPr>
          <w:trHeight w:val="109"/>
          <w:jc w:val="center"/>
        </w:trPr>
        <w:tc>
          <w:tcPr>
            <w:tcW w:w="568" w:type="dxa"/>
          </w:tcPr>
          <w:p w14:paraId="00C40FE2" w14:textId="0C4A6D54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36 </w:t>
            </w:r>
          </w:p>
        </w:tc>
        <w:tc>
          <w:tcPr>
            <w:tcW w:w="1134" w:type="dxa"/>
          </w:tcPr>
          <w:p w14:paraId="7CA1F417" w14:textId="7006E631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23.19.Z </w:t>
            </w:r>
          </w:p>
        </w:tc>
        <w:tc>
          <w:tcPr>
            <w:tcW w:w="7664" w:type="dxa"/>
          </w:tcPr>
          <w:p w14:paraId="6C1E0FE3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i obróbka pozostałego szkła, włączając szkło techniczne </w:t>
            </w:r>
          </w:p>
        </w:tc>
      </w:tr>
      <w:tr w:rsidR="00FE2D89" w:rsidRPr="00EF6169" w14:paraId="067A77D3" w14:textId="77777777" w:rsidTr="00FE2D89">
        <w:trPr>
          <w:trHeight w:val="109"/>
          <w:jc w:val="center"/>
        </w:trPr>
        <w:tc>
          <w:tcPr>
            <w:tcW w:w="568" w:type="dxa"/>
          </w:tcPr>
          <w:p w14:paraId="3B0CB20B" w14:textId="20C7B472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37 </w:t>
            </w:r>
          </w:p>
        </w:tc>
        <w:tc>
          <w:tcPr>
            <w:tcW w:w="1134" w:type="dxa"/>
          </w:tcPr>
          <w:p w14:paraId="71171561" w14:textId="051A57D0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23.20.Z </w:t>
            </w:r>
          </w:p>
        </w:tc>
        <w:tc>
          <w:tcPr>
            <w:tcW w:w="7664" w:type="dxa"/>
          </w:tcPr>
          <w:p w14:paraId="1D9C0BB9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wyrobów ogniotrwałych </w:t>
            </w:r>
          </w:p>
        </w:tc>
      </w:tr>
      <w:tr w:rsidR="00FE2D89" w:rsidRPr="00EF6169" w14:paraId="12C1EB59" w14:textId="77777777" w:rsidTr="00FE2D89">
        <w:trPr>
          <w:trHeight w:val="109"/>
          <w:jc w:val="center"/>
        </w:trPr>
        <w:tc>
          <w:tcPr>
            <w:tcW w:w="568" w:type="dxa"/>
          </w:tcPr>
          <w:p w14:paraId="2353954C" w14:textId="5DBC4652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38 </w:t>
            </w:r>
          </w:p>
        </w:tc>
        <w:tc>
          <w:tcPr>
            <w:tcW w:w="1134" w:type="dxa"/>
          </w:tcPr>
          <w:p w14:paraId="58934E90" w14:textId="0A580C9F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23.31.Z</w:t>
            </w:r>
          </w:p>
        </w:tc>
        <w:tc>
          <w:tcPr>
            <w:tcW w:w="7664" w:type="dxa"/>
          </w:tcPr>
          <w:p w14:paraId="2639CEDE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ceramicznych kafli i płytek </w:t>
            </w:r>
          </w:p>
        </w:tc>
      </w:tr>
      <w:tr w:rsidR="00FE2D89" w:rsidRPr="00EF6169" w14:paraId="578490BB" w14:textId="77777777" w:rsidTr="00FE2D89">
        <w:trPr>
          <w:trHeight w:val="109"/>
          <w:jc w:val="center"/>
        </w:trPr>
        <w:tc>
          <w:tcPr>
            <w:tcW w:w="568" w:type="dxa"/>
          </w:tcPr>
          <w:p w14:paraId="346E80DC" w14:textId="02BFCABB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39 </w:t>
            </w:r>
          </w:p>
        </w:tc>
        <w:tc>
          <w:tcPr>
            <w:tcW w:w="1134" w:type="dxa"/>
          </w:tcPr>
          <w:p w14:paraId="0E52555C" w14:textId="7CAAB25A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23.32.Z</w:t>
            </w:r>
          </w:p>
        </w:tc>
        <w:tc>
          <w:tcPr>
            <w:tcW w:w="7664" w:type="dxa"/>
          </w:tcPr>
          <w:p w14:paraId="07A1714F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cegieł, dachówek i materiałów budowlanych, z wypalanej gliny </w:t>
            </w:r>
          </w:p>
        </w:tc>
      </w:tr>
      <w:tr w:rsidR="00FE2D89" w:rsidRPr="00EF6169" w14:paraId="667E7BB3" w14:textId="77777777" w:rsidTr="00FE2D89">
        <w:trPr>
          <w:trHeight w:val="109"/>
          <w:jc w:val="center"/>
        </w:trPr>
        <w:tc>
          <w:tcPr>
            <w:tcW w:w="568" w:type="dxa"/>
          </w:tcPr>
          <w:p w14:paraId="13B13625" w14:textId="7B2C5BC8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40 </w:t>
            </w:r>
          </w:p>
        </w:tc>
        <w:tc>
          <w:tcPr>
            <w:tcW w:w="1134" w:type="dxa"/>
          </w:tcPr>
          <w:p w14:paraId="1076E59D" w14:textId="3E6BD9BB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23.41.Z</w:t>
            </w:r>
          </w:p>
        </w:tc>
        <w:tc>
          <w:tcPr>
            <w:tcW w:w="7664" w:type="dxa"/>
          </w:tcPr>
          <w:p w14:paraId="3C53660B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ceramicznych wyrobów stołowych i ozdobnych </w:t>
            </w:r>
          </w:p>
        </w:tc>
      </w:tr>
      <w:tr w:rsidR="00FE2D89" w:rsidRPr="00EF6169" w14:paraId="2A6B9D1D" w14:textId="77777777" w:rsidTr="00FE2D89">
        <w:trPr>
          <w:trHeight w:val="109"/>
          <w:jc w:val="center"/>
        </w:trPr>
        <w:tc>
          <w:tcPr>
            <w:tcW w:w="568" w:type="dxa"/>
          </w:tcPr>
          <w:p w14:paraId="1D5C7BB7" w14:textId="330CC692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41 </w:t>
            </w:r>
          </w:p>
        </w:tc>
        <w:tc>
          <w:tcPr>
            <w:tcW w:w="1134" w:type="dxa"/>
          </w:tcPr>
          <w:p w14:paraId="0002CE5C" w14:textId="1372DC6E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23.42.Z </w:t>
            </w:r>
          </w:p>
        </w:tc>
        <w:tc>
          <w:tcPr>
            <w:tcW w:w="7664" w:type="dxa"/>
          </w:tcPr>
          <w:p w14:paraId="06B35FB7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ceramicznych wyrobów sanitarnych </w:t>
            </w:r>
          </w:p>
        </w:tc>
      </w:tr>
      <w:tr w:rsidR="00FE2D89" w:rsidRPr="00EF6169" w14:paraId="4006B702" w14:textId="77777777" w:rsidTr="00FE2D89">
        <w:trPr>
          <w:trHeight w:val="109"/>
          <w:jc w:val="center"/>
        </w:trPr>
        <w:tc>
          <w:tcPr>
            <w:tcW w:w="568" w:type="dxa"/>
          </w:tcPr>
          <w:p w14:paraId="7D773A98" w14:textId="5B2A9695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42 </w:t>
            </w:r>
          </w:p>
        </w:tc>
        <w:tc>
          <w:tcPr>
            <w:tcW w:w="1134" w:type="dxa"/>
          </w:tcPr>
          <w:p w14:paraId="620FD0E1" w14:textId="0345FB95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23.51.Z </w:t>
            </w:r>
          </w:p>
        </w:tc>
        <w:tc>
          <w:tcPr>
            <w:tcW w:w="7664" w:type="dxa"/>
          </w:tcPr>
          <w:p w14:paraId="13CD24BA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cementu </w:t>
            </w:r>
          </w:p>
        </w:tc>
      </w:tr>
      <w:tr w:rsidR="00FE2D89" w:rsidRPr="00EF6169" w14:paraId="1E4BB518" w14:textId="77777777" w:rsidTr="00FE2D89">
        <w:trPr>
          <w:trHeight w:val="109"/>
          <w:jc w:val="center"/>
        </w:trPr>
        <w:tc>
          <w:tcPr>
            <w:tcW w:w="568" w:type="dxa"/>
          </w:tcPr>
          <w:p w14:paraId="5CA78D7C" w14:textId="2078C7E3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43 </w:t>
            </w:r>
          </w:p>
        </w:tc>
        <w:tc>
          <w:tcPr>
            <w:tcW w:w="1134" w:type="dxa"/>
          </w:tcPr>
          <w:p w14:paraId="22EBAC02" w14:textId="2AEF2C92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23.52.Z </w:t>
            </w:r>
          </w:p>
        </w:tc>
        <w:tc>
          <w:tcPr>
            <w:tcW w:w="7664" w:type="dxa"/>
          </w:tcPr>
          <w:p w14:paraId="46329A06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wapna i gipsu </w:t>
            </w:r>
          </w:p>
        </w:tc>
      </w:tr>
      <w:tr w:rsidR="00FE2D89" w:rsidRPr="00EF6169" w14:paraId="1BA325E9" w14:textId="77777777" w:rsidTr="00FE2D89">
        <w:trPr>
          <w:trHeight w:val="109"/>
          <w:jc w:val="center"/>
        </w:trPr>
        <w:tc>
          <w:tcPr>
            <w:tcW w:w="568" w:type="dxa"/>
          </w:tcPr>
          <w:p w14:paraId="596F162F" w14:textId="0ED3150D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44 </w:t>
            </w:r>
          </w:p>
        </w:tc>
        <w:tc>
          <w:tcPr>
            <w:tcW w:w="1134" w:type="dxa"/>
          </w:tcPr>
          <w:p w14:paraId="15B2F952" w14:textId="68DA694B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23.99.Z</w:t>
            </w:r>
          </w:p>
        </w:tc>
        <w:tc>
          <w:tcPr>
            <w:tcW w:w="7664" w:type="dxa"/>
          </w:tcPr>
          <w:p w14:paraId="0E137604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wyrobów z pozostałych mineralnych surowców niemetalicznych, gdzie indziej niesklasyfikowana </w:t>
            </w:r>
          </w:p>
        </w:tc>
      </w:tr>
      <w:tr w:rsidR="00FE2D89" w:rsidRPr="00EF6169" w14:paraId="3F77BF48" w14:textId="77777777" w:rsidTr="00FE2D89">
        <w:trPr>
          <w:trHeight w:val="109"/>
          <w:jc w:val="center"/>
        </w:trPr>
        <w:tc>
          <w:tcPr>
            <w:tcW w:w="568" w:type="dxa"/>
          </w:tcPr>
          <w:p w14:paraId="5CF226CC" w14:textId="429A71F0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45 </w:t>
            </w:r>
          </w:p>
        </w:tc>
        <w:tc>
          <w:tcPr>
            <w:tcW w:w="1134" w:type="dxa"/>
          </w:tcPr>
          <w:p w14:paraId="50C74111" w14:textId="72699092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24.10.Z </w:t>
            </w:r>
          </w:p>
        </w:tc>
        <w:tc>
          <w:tcPr>
            <w:tcW w:w="7664" w:type="dxa"/>
          </w:tcPr>
          <w:p w14:paraId="071804AB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surówki żelazostopów, żeliwa i stali oraz wyrobów hutniczych </w:t>
            </w:r>
          </w:p>
        </w:tc>
      </w:tr>
      <w:tr w:rsidR="00FE2D89" w:rsidRPr="00EF6169" w14:paraId="5A552F64" w14:textId="77777777" w:rsidTr="00FE2D89">
        <w:trPr>
          <w:trHeight w:val="109"/>
          <w:jc w:val="center"/>
        </w:trPr>
        <w:tc>
          <w:tcPr>
            <w:tcW w:w="568" w:type="dxa"/>
          </w:tcPr>
          <w:p w14:paraId="6FF1F89B" w14:textId="27BE91DF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46 </w:t>
            </w:r>
          </w:p>
        </w:tc>
        <w:tc>
          <w:tcPr>
            <w:tcW w:w="1134" w:type="dxa"/>
          </w:tcPr>
          <w:p w14:paraId="30DB4F24" w14:textId="59345F71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24.20.Z </w:t>
            </w:r>
          </w:p>
        </w:tc>
        <w:tc>
          <w:tcPr>
            <w:tcW w:w="7664" w:type="dxa"/>
          </w:tcPr>
          <w:p w14:paraId="6877E33B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rur, przewodów, kształtowników zamkniętych i łączników, ze stali </w:t>
            </w:r>
          </w:p>
        </w:tc>
      </w:tr>
      <w:tr w:rsidR="00FE2D89" w:rsidRPr="00EF6169" w14:paraId="547E45FA" w14:textId="77777777" w:rsidTr="00FE2D89">
        <w:trPr>
          <w:trHeight w:val="109"/>
          <w:jc w:val="center"/>
        </w:trPr>
        <w:tc>
          <w:tcPr>
            <w:tcW w:w="568" w:type="dxa"/>
          </w:tcPr>
          <w:p w14:paraId="1107EAD2" w14:textId="6DBB4A20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47 </w:t>
            </w:r>
          </w:p>
        </w:tc>
        <w:tc>
          <w:tcPr>
            <w:tcW w:w="1134" w:type="dxa"/>
          </w:tcPr>
          <w:p w14:paraId="77C82572" w14:textId="75FADB1C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24.31.Z </w:t>
            </w:r>
          </w:p>
        </w:tc>
        <w:tc>
          <w:tcPr>
            <w:tcW w:w="7664" w:type="dxa"/>
          </w:tcPr>
          <w:p w14:paraId="5451783B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prętów ciągnionych na zimno </w:t>
            </w:r>
          </w:p>
        </w:tc>
      </w:tr>
      <w:tr w:rsidR="00FE2D89" w:rsidRPr="00EF6169" w14:paraId="5E8D4B76" w14:textId="77777777" w:rsidTr="00FE2D89">
        <w:trPr>
          <w:trHeight w:val="109"/>
          <w:jc w:val="center"/>
        </w:trPr>
        <w:tc>
          <w:tcPr>
            <w:tcW w:w="568" w:type="dxa"/>
          </w:tcPr>
          <w:p w14:paraId="2605D755" w14:textId="33DFA48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48 </w:t>
            </w:r>
          </w:p>
        </w:tc>
        <w:tc>
          <w:tcPr>
            <w:tcW w:w="1134" w:type="dxa"/>
          </w:tcPr>
          <w:p w14:paraId="4922A8BA" w14:textId="5F1B85F2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24.42.A </w:t>
            </w:r>
          </w:p>
        </w:tc>
        <w:tc>
          <w:tcPr>
            <w:tcW w:w="7664" w:type="dxa"/>
          </w:tcPr>
          <w:p w14:paraId="51AFC109" w14:textId="71217C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Produkcja aluminium hutniczego</w:t>
            </w:r>
          </w:p>
        </w:tc>
      </w:tr>
      <w:tr w:rsidR="00FE2D89" w:rsidRPr="00EF6169" w14:paraId="4334D868" w14:textId="77777777" w:rsidTr="00FE2D89">
        <w:trPr>
          <w:trHeight w:val="109"/>
          <w:jc w:val="center"/>
        </w:trPr>
        <w:tc>
          <w:tcPr>
            <w:tcW w:w="568" w:type="dxa"/>
          </w:tcPr>
          <w:p w14:paraId="6E60FBED" w14:textId="11D3D7E8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49 </w:t>
            </w:r>
          </w:p>
        </w:tc>
        <w:tc>
          <w:tcPr>
            <w:tcW w:w="1134" w:type="dxa"/>
          </w:tcPr>
          <w:p w14:paraId="19ADAD15" w14:textId="0D304DD1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24.42.B</w:t>
            </w:r>
          </w:p>
        </w:tc>
        <w:tc>
          <w:tcPr>
            <w:tcW w:w="7664" w:type="dxa"/>
          </w:tcPr>
          <w:p w14:paraId="36D5CD61" w14:textId="4F5BF19F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Produkcja wyrobów z aluminium i stopów aluminium</w:t>
            </w:r>
          </w:p>
        </w:tc>
      </w:tr>
      <w:tr w:rsidR="00FE2D89" w:rsidRPr="00EF6169" w14:paraId="437CB08D" w14:textId="77777777" w:rsidTr="00FE2D89">
        <w:trPr>
          <w:trHeight w:val="109"/>
          <w:jc w:val="center"/>
        </w:trPr>
        <w:tc>
          <w:tcPr>
            <w:tcW w:w="568" w:type="dxa"/>
          </w:tcPr>
          <w:p w14:paraId="6D94DBDC" w14:textId="55ADC7CF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50 </w:t>
            </w:r>
          </w:p>
        </w:tc>
        <w:tc>
          <w:tcPr>
            <w:tcW w:w="1134" w:type="dxa"/>
          </w:tcPr>
          <w:p w14:paraId="02C379A4" w14:textId="68059A55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24.43.Z </w:t>
            </w:r>
          </w:p>
        </w:tc>
        <w:tc>
          <w:tcPr>
            <w:tcW w:w="7664" w:type="dxa"/>
          </w:tcPr>
          <w:p w14:paraId="201E3FA7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ołowiu, cynku i cyny </w:t>
            </w:r>
          </w:p>
        </w:tc>
      </w:tr>
      <w:tr w:rsidR="00FE2D89" w:rsidRPr="00EF6169" w14:paraId="34A88FBA" w14:textId="77777777" w:rsidTr="00FE2D89">
        <w:trPr>
          <w:trHeight w:val="109"/>
          <w:jc w:val="center"/>
        </w:trPr>
        <w:tc>
          <w:tcPr>
            <w:tcW w:w="568" w:type="dxa"/>
          </w:tcPr>
          <w:p w14:paraId="218DFB9F" w14:textId="1CA23A3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51 </w:t>
            </w:r>
          </w:p>
        </w:tc>
        <w:tc>
          <w:tcPr>
            <w:tcW w:w="1134" w:type="dxa"/>
          </w:tcPr>
          <w:p w14:paraId="5EFAD9E7" w14:textId="76371C59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24.44.Z </w:t>
            </w:r>
          </w:p>
        </w:tc>
        <w:tc>
          <w:tcPr>
            <w:tcW w:w="7664" w:type="dxa"/>
          </w:tcPr>
          <w:p w14:paraId="58865646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miedzi </w:t>
            </w:r>
          </w:p>
        </w:tc>
      </w:tr>
      <w:tr w:rsidR="00FE2D89" w:rsidRPr="00EF6169" w14:paraId="4AA6ADE0" w14:textId="77777777" w:rsidTr="00FE2D89">
        <w:trPr>
          <w:trHeight w:val="109"/>
          <w:jc w:val="center"/>
        </w:trPr>
        <w:tc>
          <w:tcPr>
            <w:tcW w:w="568" w:type="dxa"/>
          </w:tcPr>
          <w:p w14:paraId="419E934F" w14:textId="1554AB75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52 </w:t>
            </w:r>
          </w:p>
        </w:tc>
        <w:tc>
          <w:tcPr>
            <w:tcW w:w="1134" w:type="dxa"/>
          </w:tcPr>
          <w:p w14:paraId="7B861523" w14:textId="3EE0D0B1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24.45.Z </w:t>
            </w:r>
          </w:p>
        </w:tc>
        <w:tc>
          <w:tcPr>
            <w:tcW w:w="7664" w:type="dxa"/>
          </w:tcPr>
          <w:p w14:paraId="61E5DEF1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Produkcja pozostałych metali nieżelaznych </w:t>
            </w:r>
          </w:p>
        </w:tc>
      </w:tr>
      <w:tr w:rsidR="00FE2D89" w:rsidRPr="00EF6169" w14:paraId="0C69FE64" w14:textId="77777777" w:rsidTr="00FE2D89">
        <w:trPr>
          <w:trHeight w:val="109"/>
          <w:jc w:val="center"/>
        </w:trPr>
        <w:tc>
          <w:tcPr>
            <w:tcW w:w="568" w:type="dxa"/>
          </w:tcPr>
          <w:p w14:paraId="77693A8C" w14:textId="565865AC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53 </w:t>
            </w:r>
          </w:p>
        </w:tc>
        <w:tc>
          <w:tcPr>
            <w:tcW w:w="1134" w:type="dxa"/>
          </w:tcPr>
          <w:p w14:paraId="1AF7F457" w14:textId="55F3266F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24.46.Z </w:t>
            </w:r>
          </w:p>
        </w:tc>
        <w:tc>
          <w:tcPr>
            <w:tcW w:w="7664" w:type="dxa"/>
          </w:tcPr>
          <w:p w14:paraId="35655B3D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Wytwarzanie paliw jądrowych </w:t>
            </w:r>
          </w:p>
        </w:tc>
      </w:tr>
      <w:tr w:rsidR="00FE2D89" w:rsidRPr="00EF6169" w14:paraId="019FDEBF" w14:textId="77777777" w:rsidTr="00FE2D89">
        <w:trPr>
          <w:trHeight w:val="109"/>
          <w:jc w:val="center"/>
        </w:trPr>
        <w:tc>
          <w:tcPr>
            <w:tcW w:w="568" w:type="dxa"/>
          </w:tcPr>
          <w:p w14:paraId="595103E4" w14:textId="0988E635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54 </w:t>
            </w:r>
          </w:p>
        </w:tc>
        <w:tc>
          <w:tcPr>
            <w:tcW w:w="1134" w:type="dxa"/>
          </w:tcPr>
          <w:p w14:paraId="140F1933" w14:textId="2FEB4AA0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24.51.Z </w:t>
            </w:r>
          </w:p>
        </w:tc>
        <w:tc>
          <w:tcPr>
            <w:tcW w:w="7664" w:type="dxa"/>
          </w:tcPr>
          <w:p w14:paraId="22466510" w14:textId="77777777" w:rsidR="00FE2D89" w:rsidRPr="00EF6169" w:rsidRDefault="00FE2D89" w:rsidP="00FE2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Odlewnictwo żeliwa </w:t>
            </w:r>
          </w:p>
        </w:tc>
      </w:tr>
    </w:tbl>
    <w:p w14:paraId="612B536A" w14:textId="5A8776B2" w:rsidR="007C1F1A" w:rsidRPr="00EF6169" w:rsidRDefault="00BF2F5D" w:rsidP="00BF2F5D">
      <w:pPr>
        <w:spacing w:before="120"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F6169">
        <w:rPr>
          <w:rFonts w:ascii="Arial" w:hAnsi="Arial" w:cs="Arial"/>
          <w:b/>
          <w:bCs/>
          <w:sz w:val="24"/>
          <w:szCs w:val="24"/>
        </w:rPr>
        <w:t>Lista kodów Prodcom</w:t>
      </w:r>
    </w:p>
    <w:tbl>
      <w:tblPr>
        <w:tblW w:w="0" w:type="auto"/>
        <w:tblInd w:w="-176" w:type="dxa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134"/>
        <w:gridCol w:w="7660"/>
      </w:tblGrid>
      <w:tr w:rsidR="00FC3BDA" w:rsidRPr="00EF6169" w14:paraId="0FBF17D7" w14:textId="77777777" w:rsidTr="00FE2D89">
        <w:trPr>
          <w:trHeight w:val="372"/>
        </w:trPr>
        <w:tc>
          <w:tcPr>
            <w:tcW w:w="568" w:type="dxa"/>
          </w:tcPr>
          <w:p w14:paraId="2BFCF1E6" w14:textId="7E855DCA" w:rsidR="00FC3BDA" w:rsidRPr="00EF6169" w:rsidRDefault="00BF2F5D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L.p.</w:t>
            </w:r>
          </w:p>
        </w:tc>
        <w:tc>
          <w:tcPr>
            <w:tcW w:w="1134" w:type="dxa"/>
          </w:tcPr>
          <w:p w14:paraId="11382682" w14:textId="7BE0BED2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Kod Prodcom</w:t>
            </w:r>
          </w:p>
        </w:tc>
        <w:tc>
          <w:tcPr>
            <w:tcW w:w="7660" w:type="dxa"/>
          </w:tcPr>
          <w:p w14:paraId="3229FC41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Opis </w:t>
            </w:r>
          </w:p>
        </w:tc>
      </w:tr>
      <w:tr w:rsidR="00FC3BDA" w:rsidRPr="00EF6169" w14:paraId="67C18634" w14:textId="77777777" w:rsidTr="00FE2D89">
        <w:trPr>
          <w:trHeight w:val="109"/>
        </w:trPr>
        <w:tc>
          <w:tcPr>
            <w:tcW w:w="568" w:type="dxa"/>
          </w:tcPr>
          <w:p w14:paraId="31025EDC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134" w:type="dxa"/>
          </w:tcPr>
          <w:p w14:paraId="42FDE9E6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81221 </w:t>
            </w:r>
          </w:p>
        </w:tc>
        <w:tc>
          <w:tcPr>
            <w:tcW w:w="7660" w:type="dxa"/>
          </w:tcPr>
          <w:p w14:paraId="2202FD70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Kaolin i pozostałe gliny kaolinowe </w:t>
            </w:r>
          </w:p>
        </w:tc>
      </w:tr>
      <w:tr w:rsidR="00FC3BDA" w:rsidRPr="00EF6169" w14:paraId="3A3ECDB7" w14:textId="77777777" w:rsidTr="00FE2D89">
        <w:trPr>
          <w:trHeight w:val="523"/>
        </w:trPr>
        <w:tc>
          <w:tcPr>
            <w:tcW w:w="568" w:type="dxa"/>
          </w:tcPr>
          <w:p w14:paraId="064674E7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1134" w:type="dxa"/>
          </w:tcPr>
          <w:p w14:paraId="57FF66A2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10311130 </w:t>
            </w:r>
          </w:p>
        </w:tc>
        <w:tc>
          <w:tcPr>
            <w:tcW w:w="7660" w:type="dxa"/>
          </w:tcPr>
          <w:p w14:paraId="7C112ED6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Ziemniaki zamrożone, przetworzone lub zakonserwowane (włączając ziemniaki ugotowane lub częściowo ugotowane w oleju, a następnie zamrożone; z wyłączeniem zakonserwowanych octem lub kwasem octowym) </w:t>
            </w:r>
          </w:p>
        </w:tc>
      </w:tr>
      <w:tr w:rsidR="00FC3BDA" w:rsidRPr="00EF6169" w14:paraId="15A8B0C2" w14:textId="77777777" w:rsidTr="00FE2D89">
        <w:trPr>
          <w:trHeight w:val="247"/>
        </w:trPr>
        <w:tc>
          <w:tcPr>
            <w:tcW w:w="568" w:type="dxa"/>
          </w:tcPr>
          <w:p w14:paraId="1666B6A1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1134" w:type="dxa"/>
          </w:tcPr>
          <w:p w14:paraId="7D790D76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10311300 </w:t>
            </w:r>
          </w:p>
        </w:tc>
        <w:tc>
          <w:tcPr>
            <w:tcW w:w="7660" w:type="dxa"/>
          </w:tcPr>
          <w:p w14:paraId="280652F1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Ziemniaki suszone w postaci mąki, mączki, płatków, granulek i pelletów </w:t>
            </w:r>
          </w:p>
        </w:tc>
      </w:tr>
      <w:tr w:rsidR="00FC3BDA" w:rsidRPr="00EF6169" w14:paraId="33EEA96C" w14:textId="77777777" w:rsidTr="00FE2D89">
        <w:trPr>
          <w:trHeight w:val="109"/>
        </w:trPr>
        <w:tc>
          <w:tcPr>
            <w:tcW w:w="568" w:type="dxa"/>
          </w:tcPr>
          <w:p w14:paraId="0391C7B7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1134" w:type="dxa"/>
          </w:tcPr>
          <w:p w14:paraId="0AA764AA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10391725 </w:t>
            </w:r>
          </w:p>
        </w:tc>
        <w:tc>
          <w:tcPr>
            <w:tcW w:w="7660" w:type="dxa"/>
          </w:tcPr>
          <w:p w14:paraId="52CD958A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Przecier pomidorowy i pasta, zagęszczone </w:t>
            </w:r>
          </w:p>
        </w:tc>
      </w:tr>
      <w:tr w:rsidR="00FC3BDA" w:rsidRPr="00EF6169" w14:paraId="278D7D33" w14:textId="77777777" w:rsidTr="00FE2D89">
        <w:trPr>
          <w:trHeight w:val="109"/>
        </w:trPr>
        <w:tc>
          <w:tcPr>
            <w:tcW w:w="568" w:type="dxa"/>
          </w:tcPr>
          <w:p w14:paraId="65E6695A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1134" w:type="dxa"/>
          </w:tcPr>
          <w:p w14:paraId="536488B9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105122 </w:t>
            </w:r>
          </w:p>
        </w:tc>
        <w:tc>
          <w:tcPr>
            <w:tcW w:w="7660" w:type="dxa"/>
          </w:tcPr>
          <w:p w14:paraId="52DDF1AE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Mleko pełne w proszku </w:t>
            </w:r>
          </w:p>
        </w:tc>
      </w:tr>
      <w:tr w:rsidR="00FC3BDA" w:rsidRPr="00EF6169" w14:paraId="6D7663AD" w14:textId="77777777" w:rsidTr="00FE2D89">
        <w:trPr>
          <w:trHeight w:val="109"/>
        </w:trPr>
        <w:tc>
          <w:tcPr>
            <w:tcW w:w="568" w:type="dxa"/>
          </w:tcPr>
          <w:p w14:paraId="7A08D0F6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1134" w:type="dxa"/>
          </w:tcPr>
          <w:p w14:paraId="3F45597D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105121 </w:t>
            </w:r>
          </w:p>
        </w:tc>
        <w:tc>
          <w:tcPr>
            <w:tcW w:w="7660" w:type="dxa"/>
          </w:tcPr>
          <w:p w14:paraId="6286EE72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Odtłuszczone mleko w proszku </w:t>
            </w:r>
          </w:p>
        </w:tc>
      </w:tr>
      <w:tr w:rsidR="00FC3BDA" w:rsidRPr="00EF6169" w14:paraId="6471BEDA" w14:textId="77777777" w:rsidTr="00FE2D89">
        <w:trPr>
          <w:trHeight w:val="109"/>
        </w:trPr>
        <w:tc>
          <w:tcPr>
            <w:tcW w:w="568" w:type="dxa"/>
          </w:tcPr>
          <w:p w14:paraId="71DAE300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1134" w:type="dxa"/>
          </w:tcPr>
          <w:p w14:paraId="75435A47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105153 </w:t>
            </w:r>
          </w:p>
        </w:tc>
        <w:tc>
          <w:tcPr>
            <w:tcW w:w="7660" w:type="dxa"/>
          </w:tcPr>
          <w:p w14:paraId="33EB498F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Kazeina </w:t>
            </w:r>
          </w:p>
        </w:tc>
      </w:tr>
      <w:tr w:rsidR="00FC3BDA" w:rsidRPr="00EF6169" w14:paraId="08082ADA" w14:textId="77777777" w:rsidTr="00FE2D89">
        <w:trPr>
          <w:trHeight w:val="109"/>
        </w:trPr>
        <w:tc>
          <w:tcPr>
            <w:tcW w:w="568" w:type="dxa"/>
          </w:tcPr>
          <w:p w14:paraId="7AB38B1B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1134" w:type="dxa"/>
          </w:tcPr>
          <w:p w14:paraId="54EC89D0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105154 </w:t>
            </w:r>
          </w:p>
        </w:tc>
        <w:tc>
          <w:tcPr>
            <w:tcW w:w="7660" w:type="dxa"/>
          </w:tcPr>
          <w:p w14:paraId="116FC5E9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Laktoza i syrop laktozowy </w:t>
            </w:r>
          </w:p>
        </w:tc>
      </w:tr>
      <w:tr w:rsidR="00FC3BDA" w:rsidRPr="00EF6169" w14:paraId="5B884BF9" w14:textId="77777777" w:rsidTr="00FE2D89">
        <w:trPr>
          <w:trHeight w:val="385"/>
        </w:trPr>
        <w:tc>
          <w:tcPr>
            <w:tcW w:w="568" w:type="dxa"/>
          </w:tcPr>
          <w:p w14:paraId="3C60B14E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 </w:t>
            </w:r>
          </w:p>
        </w:tc>
        <w:tc>
          <w:tcPr>
            <w:tcW w:w="1134" w:type="dxa"/>
          </w:tcPr>
          <w:p w14:paraId="647EDB72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10515530 </w:t>
            </w:r>
          </w:p>
        </w:tc>
        <w:tc>
          <w:tcPr>
            <w:tcW w:w="7660" w:type="dxa"/>
          </w:tcPr>
          <w:p w14:paraId="71B583A5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Serwatka i serwatka zmodyfikowana, w proszku, w granulkach lub w innej stałej postaci, nawet zagęszczona lub zawierająca dodatek środka słodzącego </w:t>
            </w:r>
          </w:p>
        </w:tc>
      </w:tr>
      <w:tr w:rsidR="00FC3BDA" w:rsidRPr="00EF6169" w14:paraId="1FA304DA" w14:textId="77777777" w:rsidTr="00FE2D89">
        <w:trPr>
          <w:trHeight w:val="109"/>
        </w:trPr>
        <w:tc>
          <w:tcPr>
            <w:tcW w:w="568" w:type="dxa"/>
          </w:tcPr>
          <w:p w14:paraId="16D77330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 </w:t>
            </w:r>
          </w:p>
        </w:tc>
        <w:tc>
          <w:tcPr>
            <w:tcW w:w="1134" w:type="dxa"/>
          </w:tcPr>
          <w:p w14:paraId="626AC935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10891334 </w:t>
            </w:r>
          </w:p>
        </w:tc>
        <w:tc>
          <w:tcPr>
            <w:tcW w:w="7660" w:type="dxa"/>
          </w:tcPr>
          <w:p w14:paraId="35B5EF1D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Drożdże piekarnicze </w:t>
            </w:r>
          </w:p>
        </w:tc>
      </w:tr>
      <w:tr w:rsidR="00FC3BDA" w:rsidRPr="00EF6169" w14:paraId="392F6E7E" w14:textId="77777777" w:rsidTr="00FE2D89">
        <w:trPr>
          <w:trHeight w:val="385"/>
        </w:trPr>
        <w:tc>
          <w:tcPr>
            <w:tcW w:w="568" w:type="dxa"/>
          </w:tcPr>
          <w:p w14:paraId="4BFDE674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 </w:t>
            </w:r>
          </w:p>
        </w:tc>
        <w:tc>
          <w:tcPr>
            <w:tcW w:w="1134" w:type="dxa"/>
          </w:tcPr>
          <w:p w14:paraId="667EC003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20302150 </w:t>
            </w:r>
          </w:p>
        </w:tc>
        <w:tc>
          <w:tcPr>
            <w:tcW w:w="7660" w:type="dxa"/>
          </w:tcPr>
          <w:p w14:paraId="2799250F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Szkliste emalie i glazury, pobiałki (masy lejne) i podobne preparaty, w rodzaju stosowanych w przemyśle ceramicznym, emalierskim i szklarskim </w:t>
            </w:r>
          </w:p>
        </w:tc>
      </w:tr>
      <w:tr w:rsidR="00FC3BDA" w:rsidRPr="00EF6169" w14:paraId="33F59CF5" w14:textId="77777777" w:rsidTr="00FE2D89">
        <w:trPr>
          <w:trHeight w:val="247"/>
        </w:trPr>
        <w:tc>
          <w:tcPr>
            <w:tcW w:w="568" w:type="dxa"/>
          </w:tcPr>
          <w:p w14:paraId="6BAE9A88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 </w:t>
            </w:r>
          </w:p>
        </w:tc>
        <w:tc>
          <w:tcPr>
            <w:tcW w:w="1134" w:type="dxa"/>
          </w:tcPr>
          <w:p w14:paraId="246B4D8B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20302170 </w:t>
            </w:r>
          </w:p>
        </w:tc>
        <w:tc>
          <w:tcPr>
            <w:tcW w:w="7660" w:type="dxa"/>
          </w:tcPr>
          <w:p w14:paraId="438A83F8" w14:textId="77777777" w:rsidR="00FC3BDA" w:rsidRPr="00EF6169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Ciekłe materiały do wytwarzania połysku i podobne preparaty, fryta szklana i pozostałe szkło w postaci proszku, granulek lub płatków </w:t>
            </w:r>
          </w:p>
        </w:tc>
      </w:tr>
      <w:tr w:rsidR="00FC3BDA" w:rsidRPr="00FC3BDA" w14:paraId="4D84ABC8" w14:textId="77777777" w:rsidTr="00FE2D89">
        <w:trPr>
          <w:trHeight w:val="247"/>
        </w:trPr>
        <w:tc>
          <w:tcPr>
            <w:tcW w:w="568" w:type="dxa"/>
          </w:tcPr>
          <w:p w14:paraId="70933100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 </w:t>
            </w:r>
          </w:p>
        </w:tc>
        <w:tc>
          <w:tcPr>
            <w:tcW w:w="1134" w:type="dxa"/>
          </w:tcPr>
          <w:p w14:paraId="59CBD093" w14:textId="77777777" w:rsidR="00FC3BDA" w:rsidRPr="00EF6169" w:rsidRDefault="00FC3BDA" w:rsidP="00BF2F5D">
            <w:pPr>
              <w:autoSpaceDE w:val="0"/>
              <w:autoSpaceDN w:val="0"/>
              <w:adjustRightInd w:val="0"/>
              <w:spacing w:after="0" w:line="240" w:lineRule="auto"/>
              <w:ind w:left="-113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25501134 </w:t>
            </w:r>
          </w:p>
        </w:tc>
        <w:tc>
          <w:tcPr>
            <w:tcW w:w="7660" w:type="dxa"/>
          </w:tcPr>
          <w:p w14:paraId="7B0D6FBD" w14:textId="77777777" w:rsidR="00FC3BDA" w:rsidRPr="00FC3BDA" w:rsidRDefault="00FC3BDA" w:rsidP="00FC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F6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Części z żelaza kutego swobodnie do wałów napędowych, wałów krzywkowych, wałów wykorbionych i do korb itp.</w:t>
            </w:r>
            <w:r w:rsidRPr="00FC3BD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</w:tbl>
    <w:p w14:paraId="2F16EC25" w14:textId="77777777" w:rsidR="00FC3BDA" w:rsidRPr="00634431" w:rsidRDefault="00FC3BDA" w:rsidP="004052AF">
      <w:pPr>
        <w:spacing w:before="120"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sectPr w:rsidR="00FC3BDA" w:rsidRPr="0063443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43CBD" w14:textId="77777777" w:rsidR="00C36F01" w:rsidRDefault="00C36F01" w:rsidP="00AC4108">
      <w:pPr>
        <w:spacing w:after="0" w:line="240" w:lineRule="auto"/>
      </w:pPr>
      <w:r>
        <w:separator/>
      </w:r>
    </w:p>
  </w:endnote>
  <w:endnote w:type="continuationSeparator" w:id="0">
    <w:p w14:paraId="679167D6" w14:textId="77777777" w:rsidR="00C36F01" w:rsidRDefault="00C36F01" w:rsidP="00AC4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7979029"/>
      <w:docPartObj>
        <w:docPartGallery w:val="Page Numbers (Bottom of Page)"/>
        <w:docPartUnique/>
      </w:docPartObj>
    </w:sdtPr>
    <w:sdtContent>
      <w:p w14:paraId="596EF415" w14:textId="3D5933C0" w:rsidR="00C97E77" w:rsidRDefault="00C97E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14F9ED" w14:textId="77777777" w:rsidR="006748C7" w:rsidRDefault="006748C7" w:rsidP="00A32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16F11" w14:textId="77777777" w:rsidR="00C36F01" w:rsidRDefault="00C36F01" w:rsidP="00AC4108">
      <w:pPr>
        <w:spacing w:after="0" w:line="240" w:lineRule="auto"/>
      </w:pPr>
      <w:r>
        <w:separator/>
      </w:r>
    </w:p>
  </w:footnote>
  <w:footnote w:type="continuationSeparator" w:id="0">
    <w:p w14:paraId="10161D8B" w14:textId="77777777" w:rsidR="00C36F01" w:rsidRDefault="00C36F01" w:rsidP="00AC4108">
      <w:pPr>
        <w:spacing w:after="0" w:line="240" w:lineRule="auto"/>
      </w:pPr>
      <w:r>
        <w:continuationSeparator/>
      </w:r>
    </w:p>
  </w:footnote>
  <w:footnote w:id="1">
    <w:p w14:paraId="29091963" w14:textId="77777777" w:rsidR="00BA392A" w:rsidRPr="00B077C2" w:rsidRDefault="00BA392A" w:rsidP="00BA392A">
      <w:pPr>
        <w:pStyle w:val="Tekstprzypisudolnego"/>
        <w:jc w:val="both"/>
        <w:rPr>
          <w:sz w:val="16"/>
          <w:szCs w:val="16"/>
        </w:rPr>
      </w:pPr>
      <w:r w:rsidRPr="00B077C2">
        <w:rPr>
          <w:rStyle w:val="Odwoanieprzypisudolnego"/>
          <w:sz w:val="16"/>
          <w:szCs w:val="16"/>
        </w:rPr>
        <w:footnoteRef/>
      </w:r>
      <w:r w:rsidRPr="00B077C2">
        <w:rPr>
          <w:sz w:val="16"/>
          <w:szCs w:val="16"/>
        </w:rPr>
        <w:t xml:space="preserve"> Rozporządzenie Komisji (UE) nr 1407/2013 z dnia 18 grudnia 2013 r. w sprawie stosowania art. 107 i 108 Traktatu o funkcjonowaniu Unii Europejskiej do pomocy de minimis (Dz.U. L 352 z 24.12.2013, s. 1</w:t>
      </w:r>
      <w:r>
        <w:rPr>
          <w:sz w:val="16"/>
          <w:szCs w:val="16"/>
        </w:rPr>
        <w:t xml:space="preserve"> z późn. zm.</w:t>
      </w:r>
      <w:r w:rsidRPr="00B077C2">
        <w:rPr>
          <w:sz w:val="16"/>
          <w:szCs w:val="16"/>
        </w:rPr>
        <w:t>); rozporządzenie Komisji (UE) nr 1408/2013 z dnia 18 grudnia 2013 r. w sprawie stosowania art. 107 i 108 Traktatu o funkcjonowaniu Unii Europejskiej do pomocy de minimis w sektorze rolnym (Dz.U. L 352 z 24.12.2013, s. 9</w:t>
      </w:r>
      <w:r>
        <w:rPr>
          <w:sz w:val="16"/>
          <w:szCs w:val="16"/>
        </w:rPr>
        <w:t xml:space="preserve"> z późn. zm.</w:t>
      </w:r>
      <w:r w:rsidRPr="00B077C2">
        <w:rPr>
          <w:sz w:val="16"/>
          <w:szCs w:val="16"/>
        </w:rPr>
        <w:t>); rozporządzenie Komisji (UE) nr 717/2014 z dnia 27 czerwca 2014 r. w sprawie stosowania art. 107 i 108 Traktatu o funkcjonowaniu Unii Europejskiej do pomocy de minimis w sektorze rybołówstwa i akwakultury (Dz.U. L 190 z 28.6.2014, s. 45</w:t>
      </w:r>
      <w:r>
        <w:rPr>
          <w:sz w:val="16"/>
          <w:szCs w:val="16"/>
        </w:rPr>
        <w:t xml:space="preserve"> z późn. zm.</w:t>
      </w:r>
      <w:r w:rsidRPr="00B077C2">
        <w:rPr>
          <w:sz w:val="16"/>
          <w:szCs w:val="16"/>
        </w:rPr>
        <w:t>) oraz rozporządzenie Komisji (UE) nr 360/2012 z dnia 25 kwietnia 2012 r. w sprawie stosowania art. 107 i 108 Traktatu o funkcjonowaniu Unii Europejskiej do pomocy de minimis przyznawanej przedsiębiorstwom wykonującym usługi świadczone w ogólnym interesie gospodarczym (Dz.U. L 114 z 26.4.2012, s. 8</w:t>
      </w:r>
      <w:r>
        <w:rPr>
          <w:sz w:val="16"/>
          <w:szCs w:val="16"/>
        </w:rPr>
        <w:t xml:space="preserve"> z późn. zm.</w:t>
      </w:r>
      <w:r w:rsidRPr="00B077C2">
        <w:rPr>
          <w:sz w:val="16"/>
          <w:szCs w:val="16"/>
        </w:rPr>
        <w:t>).</w:t>
      </w:r>
    </w:p>
  </w:footnote>
  <w:footnote w:id="2">
    <w:p w14:paraId="5D1FBA50" w14:textId="77777777" w:rsidR="00BA392A" w:rsidRDefault="00BA392A" w:rsidP="00BA392A">
      <w:pPr>
        <w:pStyle w:val="Tekstprzypisudolnego"/>
        <w:jc w:val="both"/>
      </w:pPr>
      <w:r w:rsidRPr="00B077C2">
        <w:rPr>
          <w:rStyle w:val="Odwoanieprzypisudolnego"/>
          <w:sz w:val="16"/>
          <w:szCs w:val="16"/>
        </w:rPr>
        <w:footnoteRef/>
      </w:r>
      <w:r w:rsidRPr="00B077C2">
        <w:rPr>
          <w:sz w:val="16"/>
          <w:szCs w:val="16"/>
        </w:rPr>
        <w:t xml:space="preserve"> Rozporządzenie Komisji (UE) nr 651/2014 z dnia 17 czerwca 2014 r. uznające niektóre rodzaje pomocy za zgodne z rynkiem wewnętrznym w zastosowaniu art. 107 i 108 Traktatu (ogólne rozporządzenie w sprawie wyłączeń blokowych); rozporządzenie Komisji (UE) nr 702/2014 z dnia 25 czerwca 2014 r. uznające niektóre kategorie pomocy w sektorach rolnym i leśnym oraz na obszarach wiejskich za zgodne z rynkiem wewnętrznym w zastosowaniu art. 107 i 108 Traktatu o funkcjonowaniu Unii Europejskiej (Dz.U. L 193 z 1.7.2014, s. 1) oraz rozporządzenie Komisji (UE) nr 1388/2014 z dnia 16 grudnia 2014 r. uznające niektóre kategorie pomocy udzielanej przedsiębiorstwom prowadzącym działalność w zakresie produkcji, przetwórstwa i wprowadzania do obrotu produktów rybołówstwa i akwakultury za zgodne z rynkiem wewnętrznym w zastosowaniu art. 107 i 108 Traktatu o funkcjonowaniu Unii Europejskiej (Dz.U. L 369 z 24.12.2014, s. 37).</w:t>
      </w:r>
    </w:p>
  </w:footnote>
  <w:footnote w:id="3">
    <w:p w14:paraId="253B769E" w14:textId="77777777" w:rsidR="00BA392A" w:rsidRDefault="00BA392A" w:rsidP="00BA392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077C2">
        <w:rPr>
          <w:sz w:val="16"/>
          <w:szCs w:val="16"/>
        </w:rPr>
        <w:t>Komunikat Komisji „Tymczasowe ramy środków pomocy państwa w celu wsparcia gospodarki w kontekście trwającej epidemii COVID-19” (Dz.U. C 91 I z 20.3.2020, s. 1), zmieniony komunikatami Komisji C(2020) 2215 (Dz.U. C 112I z 4.4.2020, s. 1), C(2020) 3156 (Dz.U. C 164 z 13.5.2020, s. 3), C(2020) 4509 (Dz.U. C 218 z 2.7.2020, s. 3), C(2020) 7127 (Dz.U. C 340I z 13.10.2020, s. 1), C(2021) 564 (Dz.U. C 34 z 1.2.2021, s. 6) i C(2021) 8442 (Dz.U. C 473 z 24.11.2021, s. 1).</w:t>
      </w:r>
    </w:p>
  </w:footnote>
  <w:footnote w:id="4">
    <w:p w14:paraId="40FE442E" w14:textId="77777777" w:rsidR="00BA392A" w:rsidRPr="0057173F" w:rsidRDefault="00BA392A" w:rsidP="00BA392A">
      <w:pPr>
        <w:pStyle w:val="Tekstprzypisudolnego"/>
        <w:jc w:val="both"/>
        <w:rPr>
          <w:sz w:val="16"/>
          <w:szCs w:val="16"/>
        </w:rPr>
      </w:pPr>
      <w:r w:rsidRPr="0057173F">
        <w:rPr>
          <w:rStyle w:val="Odwoanieprzypisudolnego"/>
          <w:sz w:val="16"/>
          <w:szCs w:val="16"/>
        </w:rPr>
        <w:footnoteRef/>
      </w:r>
      <w:r w:rsidRPr="0057173F">
        <w:rPr>
          <w:sz w:val="16"/>
          <w:szCs w:val="16"/>
        </w:rPr>
        <w:t xml:space="preserve"> Przez grupę kapitałową rozumie się grupę przedsiębiorstw powiązanych w rozumieniu art. 3 ust. 3 załącznika I do rozporządzenia Komisji (UE) nr 651/2014 z dnia 17 czerwca 2014 r. uznającego niektóre rodzaje pomocy za zgodne z rynkiem wewnętrznym w zastosowaniu art. 107 i 108 Traktatu (Dz. Urz. UE L 187 z 26.06.2014, str. 1, z późn. zm.).</w:t>
      </w:r>
    </w:p>
  </w:footnote>
  <w:footnote w:id="5">
    <w:p w14:paraId="758A7DF0" w14:textId="77777777" w:rsidR="00BA392A" w:rsidRDefault="00BA392A" w:rsidP="00BA392A">
      <w:pPr>
        <w:pStyle w:val="Tekstprzypisudolnego"/>
      </w:pPr>
      <w:r>
        <w:rPr>
          <w:rStyle w:val="Odwoanieprzypisudolnego"/>
        </w:rPr>
        <w:footnoteRef/>
      </w:r>
      <w:r>
        <w:t xml:space="preserve"> Do obliczania kosztów kwalifikowanych przyjmuje się ceny energii elektrycznej lub gazu ziemnego bez uwzględniania innych opłat. </w:t>
      </w:r>
    </w:p>
  </w:footnote>
  <w:footnote w:id="6">
    <w:p w14:paraId="5D0E493C" w14:textId="77777777" w:rsidR="00BA392A" w:rsidRDefault="00BA392A" w:rsidP="00BA392A">
      <w:pPr>
        <w:pStyle w:val="Tekstprzypisudolnego"/>
      </w:pPr>
      <w:r w:rsidRPr="0099185F">
        <w:rPr>
          <w:rStyle w:val="Odwoanieprzypisudolnego"/>
        </w:rPr>
        <w:footnoteRef/>
      </w:r>
      <w:r w:rsidRPr="0099185F">
        <w:t xml:space="preserve"> Za dostawców zewnętrznych rozumie się również podmioty będące częścią tej samej grupy kapitałowej, co beneficjent.</w:t>
      </w:r>
    </w:p>
  </w:footnote>
  <w:footnote w:id="7">
    <w:p w14:paraId="19A5247F" w14:textId="4A3B566A" w:rsidR="00A90801" w:rsidRDefault="00A9080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9185F" w:rsidRPr="00772573">
        <w:rPr>
          <w:sz w:val="16"/>
          <w:szCs w:val="16"/>
        </w:rPr>
        <w:t>EBITDA oznacza wynik finansowy przed odsetkami, opodatkowaniem, deprecjacją i amortyzacją, z wyłączeniem jednorazowych strat z tytułu utraty wartości.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6748C7" w14:paraId="0B0468DB" w14:textId="77777777" w:rsidTr="00A3231A">
      <w:tc>
        <w:tcPr>
          <w:tcW w:w="3020" w:type="dxa"/>
        </w:tcPr>
        <w:p w14:paraId="737D4EFF" w14:textId="77777777" w:rsidR="006748C7" w:rsidRDefault="006748C7" w:rsidP="00A3231A">
          <w:pPr>
            <w:pStyle w:val="Nagwek"/>
            <w:ind w:left="-115"/>
          </w:pPr>
        </w:p>
      </w:tc>
      <w:tc>
        <w:tcPr>
          <w:tcW w:w="3020" w:type="dxa"/>
        </w:tcPr>
        <w:p w14:paraId="294C73F7" w14:textId="77777777" w:rsidR="006748C7" w:rsidRDefault="006748C7" w:rsidP="00A3231A">
          <w:pPr>
            <w:pStyle w:val="Nagwek"/>
            <w:jc w:val="center"/>
          </w:pPr>
        </w:p>
      </w:tc>
      <w:tc>
        <w:tcPr>
          <w:tcW w:w="3020" w:type="dxa"/>
        </w:tcPr>
        <w:p w14:paraId="750990C9" w14:textId="77777777" w:rsidR="006748C7" w:rsidRDefault="006748C7" w:rsidP="00A3231A">
          <w:pPr>
            <w:pStyle w:val="Nagwek"/>
            <w:ind w:right="-115"/>
            <w:jc w:val="right"/>
          </w:pPr>
        </w:p>
      </w:tc>
    </w:tr>
  </w:tbl>
  <w:p w14:paraId="43375A86" w14:textId="77777777" w:rsidR="006748C7" w:rsidRDefault="006748C7" w:rsidP="00A323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9AC6B34"/>
    <w:lvl w:ilvl="0">
      <w:numFmt w:val="bullet"/>
      <w:lvlText w:val="*"/>
      <w:lvlJc w:val="left"/>
    </w:lvl>
  </w:abstractNum>
  <w:abstractNum w:abstractNumId="1" w15:restartNumberingAfterBreak="0">
    <w:nsid w:val="01097321"/>
    <w:multiLevelType w:val="hybridMultilevel"/>
    <w:tmpl w:val="F99A21F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11E7FF4"/>
    <w:multiLevelType w:val="hybridMultilevel"/>
    <w:tmpl w:val="0FDCDA0C"/>
    <w:lvl w:ilvl="0" w:tplc="C9AC6B34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330EC"/>
    <w:multiLevelType w:val="hybridMultilevel"/>
    <w:tmpl w:val="3258B3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D683C"/>
    <w:multiLevelType w:val="hybridMultilevel"/>
    <w:tmpl w:val="ED6CE880"/>
    <w:lvl w:ilvl="0" w:tplc="1012E38C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C76B1"/>
    <w:multiLevelType w:val="hybridMultilevel"/>
    <w:tmpl w:val="49F83D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619F7"/>
    <w:multiLevelType w:val="hybridMultilevel"/>
    <w:tmpl w:val="71D0D158"/>
    <w:lvl w:ilvl="0" w:tplc="37CA8A9E">
      <w:start w:val="9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64754A8"/>
    <w:multiLevelType w:val="hybridMultilevel"/>
    <w:tmpl w:val="4314B1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47B43"/>
    <w:multiLevelType w:val="hybridMultilevel"/>
    <w:tmpl w:val="694CE4F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1EEDF2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E30103"/>
    <w:multiLevelType w:val="hybridMultilevel"/>
    <w:tmpl w:val="00E83592"/>
    <w:lvl w:ilvl="0" w:tplc="5BF8949E">
      <w:start w:val="1"/>
      <w:numFmt w:val="decimal"/>
      <w:lvlText w:val="%1)"/>
      <w:lvlJc w:val="left"/>
      <w:pPr>
        <w:ind w:left="1069" w:hanging="360"/>
      </w:pPr>
      <w:rPr>
        <w:rFonts w:ascii="Calibri" w:hAnsi="Calibri" w:cs="Calibri" w:hint="default"/>
        <w:color w:val="D13438"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37F7241"/>
    <w:multiLevelType w:val="hybridMultilevel"/>
    <w:tmpl w:val="F6D60B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375283"/>
    <w:multiLevelType w:val="hybridMultilevel"/>
    <w:tmpl w:val="B2F605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B198D"/>
    <w:multiLevelType w:val="hybridMultilevel"/>
    <w:tmpl w:val="CBAC2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580539"/>
    <w:multiLevelType w:val="hybridMultilevel"/>
    <w:tmpl w:val="27486C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5296F"/>
    <w:multiLevelType w:val="hybridMultilevel"/>
    <w:tmpl w:val="7180DD1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6A34395"/>
    <w:multiLevelType w:val="hybridMultilevel"/>
    <w:tmpl w:val="A3102D04"/>
    <w:lvl w:ilvl="0" w:tplc="36EC45D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034F7"/>
    <w:multiLevelType w:val="hybridMultilevel"/>
    <w:tmpl w:val="9224F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3F130E"/>
    <w:multiLevelType w:val="hybridMultilevel"/>
    <w:tmpl w:val="573AE756"/>
    <w:lvl w:ilvl="0" w:tplc="C9AC6B34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75F79"/>
    <w:multiLevelType w:val="hybridMultilevel"/>
    <w:tmpl w:val="24727C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FF054D"/>
    <w:multiLevelType w:val="hybridMultilevel"/>
    <w:tmpl w:val="F7AC2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EF7273"/>
    <w:multiLevelType w:val="hybridMultilevel"/>
    <w:tmpl w:val="95683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2E129E"/>
    <w:multiLevelType w:val="hybridMultilevel"/>
    <w:tmpl w:val="F266BC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0538E"/>
    <w:multiLevelType w:val="hybridMultilevel"/>
    <w:tmpl w:val="2348EAD4"/>
    <w:lvl w:ilvl="0" w:tplc="57D617D8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133FA"/>
    <w:multiLevelType w:val="hybridMultilevel"/>
    <w:tmpl w:val="58C4EBEA"/>
    <w:lvl w:ilvl="0" w:tplc="FC3E7E14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1A7385"/>
    <w:multiLevelType w:val="hybridMultilevel"/>
    <w:tmpl w:val="62D615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CA2F80"/>
    <w:multiLevelType w:val="hybridMultilevel"/>
    <w:tmpl w:val="FFFFFFFF"/>
    <w:lvl w:ilvl="0" w:tplc="1DEAEA8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EECE121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B0C25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A2618E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3B0871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82B4A21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B98C0B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AD4003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A7CA63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2D47780"/>
    <w:multiLevelType w:val="hybridMultilevel"/>
    <w:tmpl w:val="BEA2E4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533ED9C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BC4680F"/>
    <w:multiLevelType w:val="hybridMultilevel"/>
    <w:tmpl w:val="C762777E"/>
    <w:lvl w:ilvl="0" w:tplc="1DEAEA80">
      <w:start w:val="1"/>
      <w:numFmt w:val="bullet"/>
      <w:lvlText w:val=""/>
      <w:lvlJc w:val="left"/>
      <w:rPr>
        <w:rFonts w:ascii="Symbol" w:hAnsi="Symbol" w:hint="default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891544">
    <w:abstractNumId w:val="16"/>
  </w:num>
  <w:num w:numId="2" w16cid:durableId="920673823">
    <w:abstractNumId w:val="25"/>
  </w:num>
  <w:num w:numId="3" w16cid:durableId="159077392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 w16cid:durableId="1689134031">
    <w:abstractNumId w:val="2"/>
  </w:num>
  <w:num w:numId="5" w16cid:durableId="1741291854">
    <w:abstractNumId w:val="17"/>
  </w:num>
  <w:num w:numId="6" w16cid:durableId="124931448">
    <w:abstractNumId w:val="27"/>
  </w:num>
  <w:num w:numId="7" w16cid:durableId="438334139">
    <w:abstractNumId w:val="14"/>
  </w:num>
  <w:num w:numId="8" w16cid:durableId="1231650429">
    <w:abstractNumId w:val="9"/>
  </w:num>
  <w:num w:numId="9" w16cid:durableId="1093353229">
    <w:abstractNumId w:val="18"/>
  </w:num>
  <w:num w:numId="10" w16cid:durableId="1308314042">
    <w:abstractNumId w:val="24"/>
  </w:num>
  <w:num w:numId="11" w16cid:durableId="1476488290">
    <w:abstractNumId w:val="13"/>
  </w:num>
  <w:num w:numId="12" w16cid:durableId="1358508989">
    <w:abstractNumId w:val="20"/>
  </w:num>
  <w:num w:numId="13" w16cid:durableId="2147118499">
    <w:abstractNumId w:val="6"/>
  </w:num>
  <w:num w:numId="14" w16cid:durableId="1342049882">
    <w:abstractNumId w:val="4"/>
  </w:num>
  <w:num w:numId="15" w16cid:durableId="471797269">
    <w:abstractNumId w:val="22"/>
  </w:num>
  <w:num w:numId="16" w16cid:durableId="1533229148">
    <w:abstractNumId w:val="12"/>
  </w:num>
  <w:num w:numId="17" w16cid:durableId="1496074102">
    <w:abstractNumId w:val="26"/>
  </w:num>
  <w:num w:numId="18" w16cid:durableId="1948350504">
    <w:abstractNumId w:val="10"/>
  </w:num>
  <w:num w:numId="19" w16cid:durableId="347490663">
    <w:abstractNumId w:val="7"/>
  </w:num>
  <w:num w:numId="20" w16cid:durableId="1163158702">
    <w:abstractNumId w:val="8"/>
  </w:num>
  <w:num w:numId="21" w16cid:durableId="1692609450">
    <w:abstractNumId w:val="5"/>
  </w:num>
  <w:num w:numId="22" w16cid:durableId="1018042566">
    <w:abstractNumId w:val="11"/>
  </w:num>
  <w:num w:numId="23" w16cid:durableId="1314336944">
    <w:abstractNumId w:val="19"/>
  </w:num>
  <w:num w:numId="24" w16cid:durableId="6780416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3700646">
    <w:abstractNumId w:val="15"/>
  </w:num>
  <w:num w:numId="26" w16cid:durableId="2133866703">
    <w:abstractNumId w:val="23"/>
  </w:num>
  <w:num w:numId="27" w16cid:durableId="866984014">
    <w:abstractNumId w:val="21"/>
  </w:num>
  <w:num w:numId="28" w16cid:durableId="1814714509">
    <w:abstractNumId w:val="3"/>
  </w:num>
  <w:num w:numId="29" w16cid:durableId="1235582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D15"/>
    <w:rsid w:val="000046E4"/>
    <w:rsid w:val="00011965"/>
    <w:rsid w:val="000151AC"/>
    <w:rsid w:val="0001591E"/>
    <w:rsid w:val="000202A6"/>
    <w:rsid w:val="00023390"/>
    <w:rsid w:val="00042416"/>
    <w:rsid w:val="00053405"/>
    <w:rsid w:val="00054D2A"/>
    <w:rsid w:val="00055C12"/>
    <w:rsid w:val="000564FD"/>
    <w:rsid w:val="00062119"/>
    <w:rsid w:val="00075A06"/>
    <w:rsid w:val="00080BB1"/>
    <w:rsid w:val="0009134F"/>
    <w:rsid w:val="00097276"/>
    <w:rsid w:val="000A205B"/>
    <w:rsid w:val="000A3EF3"/>
    <w:rsid w:val="000C43E5"/>
    <w:rsid w:val="000C69CD"/>
    <w:rsid w:val="000E0D34"/>
    <w:rsid w:val="000E27FC"/>
    <w:rsid w:val="000F0571"/>
    <w:rsid w:val="000F4422"/>
    <w:rsid w:val="000F444F"/>
    <w:rsid w:val="00101589"/>
    <w:rsid w:val="00107B28"/>
    <w:rsid w:val="00107C3F"/>
    <w:rsid w:val="00112CB6"/>
    <w:rsid w:val="0011313C"/>
    <w:rsid w:val="001154DD"/>
    <w:rsid w:val="00115DA4"/>
    <w:rsid w:val="00124303"/>
    <w:rsid w:val="00130630"/>
    <w:rsid w:val="00133A56"/>
    <w:rsid w:val="001370BB"/>
    <w:rsid w:val="00137606"/>
    <w:rsid w:val="00137B7E"/>
    <w:rsid w:val="00142D5C"/>
    <w:rsid w:val="00155E6A"/>
    <w:rsid w:val="0016627A"/>
    <w:rsid w:val="00172CA0"/>
    <w:rsid w:val="001779FB"/>
    <w:rsid w:val="00187B2F"/>
    <w:rsid w:val="00191F94"/>
    <w:rsid w:val="001A3A3D"/>
    <w:rsid w:val="001A6301"/>
    <w:rsid w:val="001B2043"/>
    <w:rsid w:val="001C092E"/>
    <w:rsid w:val="001C252D"/>
    <w:rsid w:val="001C64E2"/>
    <w:rsid w:val="001E1DC8"/>
    <w:rsid w:val="00205A6B"/>
    <w:rsid w:val="00212258"/>
    <w:rsid w:val="00212E27"/>
    <w:rsid w:val="00225FA5"/>
    <w:rsid w:val="00235814"/>
    <w:rsid w:val="00237289"/>
    <w:rsid w:val="00247629"/>
    <w:rsid w:val="00263585"/>
    <w:rsid w:val="00273A2D"/>
    <w:rsid w:val="00275791"/>
    <w:rsid w:val="002827B6"/>
    <w:rsid w:val="002A1236"/>
    <w:rsid w:val="002A3105"/>
    <w:rsid w:val="002A7913"/>
    <w:rsid w:val="002D78EC"/>
    <w:rsid w:val="002E3E0A"/>
    <w:rsid w:val="002E6FC3"/>
    <w:rsid w:val="00300606"/>
    <w:rsid w:val="00302BD8"/>
    <w:rsid w:val="00306E3D"/>
    <w:rsid w:val="00311E4A"/>
    <w:rsid w:val="00320CA0"/>
    <w:rsid w:val="00331B6B"/>
    <w:rsid w:val="003360A2"/>
    <w:rsid w:val="003421F3"/>
    <w:rsid w:val="00342E19"/>
    <w:rsid w:val="0035533D"/>
    <w:rsid w:val="00362D6A"/>
    <w:rsid w:val="003643CD"/>
    <w:rsid w:val="00364C58"/>
    <w:rsid w:val="00376B7B"/>
    <w:rsid w:val="00384F17"/>
    <w:rsid w:val="003B21CD"/>
    <w:rsid w:val="003C4F63"/>
    <w:rsid w:val="003D28BF"/>
    <w:rsid w:val="003E541A"/>
    <w:rsid w:val="00403867"/>
    <w:rsid w:val="004052AF"/>
    <w:rsid w:val="00407CDD"/>
    <w:rsid w:val="004104BF"/>
    <w:rsid w:val="004108C1"/>
    <w:rsid w:val="004173FA"/>
    <w:rsid w:val="00422F14"/>
    <w:rsid w:val="004252FD"/>
    <w:rsid w:val="00427D40"/>
    <w:rsid w:val="004316E8"/>
    <w:rsid w:val="00442665"/>
    <w:rsid w:val="0044734B"/>
    <w:rsid w:val="00447F5C"/>
    <w:rsid w:val="00451D7C"/>
    <w:rsid w:val="00454677"/>
    <w:rsid w:val="004610F2"/>
    <w:rsid w:val="004837CD"/>
    <w:rsid w:val="00490ADD"/>
    <w:rsid w:val="004A4DD9"/>
    <w:rsid w:val="004B0202"/>
    <w:rsid w:val="004B314F"/>
    <w:rsid w:val="004C28E4"/>
    <w:rsid w:val="004E4FDE"/>
    <w:rsid w:val="004E5A09"/>
    <w:rsid w:val="004F1287"/>
    <w:rsid w:val="004F6383"/>
    <w:rsid w:val="00526C96"/>
    <w:rsid w:val="00527DFA"/>
    <w:rsid w:val="00536197"/>
    <w:rsid w:val="00543387"/>
    <w:rsid w:val="00570473"/>
    <w:rsid w:val="0057173F"/>
    <w:rsid w:val="00586AD5"/>
    <w:rsid w:val="00596B12"/>
    <w:rsid w:val="005C47AC"/>
    <w:rsid w:val="005D708C"/>
    <w:rsid w:val="005E5206"/>
    <w:rsid w:val="00605E5D"/>
    <w:rsid w:val="0061407F"/>
    <w:rsid w:val="00621EEE"/>
    <w:rsid w:val="00634431"/>
    <w:rsid w:val="00643B6E"/>
    <w:rsid w:val="006443A4"/>
    <w:rsid w:val="00647ED2"/>
    <w:rsid w:val="00650331"/>
    <w:rsid w:val="00656E64"/>
    <w:rsid w:val="00660C3E"/>
    <w:rsid w:val="00660D60"/>
    <w:rsid w:val="0067067F"/>
    <w:rsid w:val="006748C7"/>
    <w:rsid w:val="00682718"/>
    <w:rsid w:val="006902AD"/>
    <w:rsid w:val="00697862"/>
    <w:rsid w:val="006A294D"/>
    <w:rsid w:val="006A67AC"/>
    <w:rsid w:val="006C3F2B"/>
    <w:rsid w:val="006C4E3C"/>
    <w:rsid w:val="006D1F07"/>
    <w:rsid w:val="006D3909"/>
    <w:rsid w:val="006E1CB3"/>
    <w:rsid w:val="00704551"/>
    <w:rsid w:val="00707180"/>
    <w:rsid w:val="007162E2"/>
    <w:rsid w:val="00734141"/>
    <w:rsid w:val="00737E1A"/>
    <w:rsid w:val="0074161B"/>
    <w:rsid w:val="007517BC"/>
    <w:rsid w:val="007605FE"/>
    <w:rsid w:val="00766A4B"/>
    <w:rsid w:val="00773353"/>
    <w:rsid w:val="007820CA"/>
    <w:rsid w:val="00783635"/>
    <w:rsid w:val="0078483B"/>
    <w:rsid w:val="00792E3C"/>
    <w:rsid w:val="00795AAC"/>
    <w:rsid w:val="00796915"/>
    <w:rsid w:val="007C1F1A"/>
    <w:rsid w:val="007C4001"/>
    <w:rsid w:val="007C51F9"/>
    <w:rsid w:val="007D6410"/>
    <w:rsid w:val="007E5D4B"/>
    <w:rsid w:val="007E6F46"/>
    <w:rsid w:val="007E7B39"/>
    <w:rsid w:val="007F0563"/>
    <w:rsid w:val="00804C5A"/>
    <w:rsid w:val="008056C7"/>
    <w:rsid w:val="00807C2C"/>
    <w:rsid w:val="00811E11"/>
    <w:rsid w:val="00815E6E"/>
    <w:rsid w:val="00833B4E"/>
    <w:rsid w:val="00842ED5"/>
    <w:rsid w:val="008466DB"/>
    <w:rsid w:val="0085143C"/>
    <w:rsid w:val="00856C1E"/>
    <w:rsid w:val="008708B3"/>
    <w:rsid w:val="00890368"/>
    <w:rsid w:val="008935CF"/>
    <w:rsid w:val="008A2127"/>
    <w:rsid w:val="008A40DD"/>
    <w:rsid w:val="008A5613"/>
    <w:rsid w:val="008A708B"/>
    <w:rsid w:val="008C6992"/>
    <w:rsid w:val="008D7DBB"/>
    <w:rsid w:val="008E237C"/>
    <w:rsid w:val="009058B5"/>
    <w:rsid w:val="00907009"/>
    <w:rsid w:val="009078D7"/>
    <w:rsid w:val="00907AD9"/>
    <w:rsid w:val="00920C4E"/>
    <w:rsid w:val="009214DB"/>
    <w:rsid w:val="00922CD6"/>
    <w:rsid w:val="009264C0"/>
    <w:rsid w:val="009437F9"/>
    <w:rsid w:val="0094438F"/>
    <w:rsid w:val="0095205C"/>
    <w:rsid w:val="00953D2E"/>
    <w:rsid w:val="00953DAB"/>
    <w:rsid w:val="0095510F"/>
    <w:rsid w:val="009645C8"/>
    <w:rsid w:val="00964710"/>
    <w:rsid w:val="009714CE"/>
    <w:rsid w:val="00984B9B"/>
    <w:rsid w:val="00990327"/>
    <w:rsid w:val="0099185F"/>
    <w:rsid w:val="009950B9"/>
    <w:rsid w:val="009A2386"/>
    <w:rsid w:val="009A532D"/>
    <w:rsid w:val="009B0A3D"/>
    <w:rsid w:val="009B3850"/>
    <w:rsid w:val="009B4DA0"/>
    <w:rsid w:val="009B5953"/>
    <w:rsid w:val="009B5EEA"/>
    <w:rsid w:val="009C09CB"/>
    <w:rsid w:val="009D7764"/>
    <w:rsid w:val="009E48AF"/>
    <w:rsid w:val="009E57C0"/>
    <w:rsid w:val="009E7B29"/>
    <w:rsid w:val="009E7FB3"/>
    <w:rsid w:val="009F09F8"/>
    <w:rsid w:val="009F64EB"/>
    <w:rsid w:val="00A020C9"/>
    <w:rsid w:val="00A23D00"/>
    <w:rsid w:val="00A3231A"/>
    <w:rsid w:val="00A43D0E"/>
    <w:rsid w:val="00A55BA5"/>
    <w:rsid w:val="00A56C03"/>
    <w:rsid w:val="00A57130"/>
    <w:rsid w:val="00A61BA9"/>
    <w:rsid w:val="00A633EF"/>
    <w:rsid w:val="00A64517"/>
    <w:rsid w:val="00A65C81"/>
    <w:rsid w:val="00A701C7"/>
    <w:rsid w:val="00A762D1"/>
    <w:rsid w:val="00A831B9"/>
    <w:rsid w:val="00A86560"/>
    <w:rsid w:val="00A86AED"/>
    <w:rsid w:val="00A90801"/>
    <w:rsid w:val="00AA4AB7"/>
    <w:rsid w:val="00AB2A3C"/>
    <w:rsid w:val="00AC4108"/>
    <w:rsid w:val="00AE09F4"/>
    <w:rsid w:val="00AE37A5"/>
    <w:rsid w:val="00B077C2"/>
    <w:rsid w:val="00B122AF"/>
    <w:rsid w:val="00B448F7"/>
    <w:rsid w:val="00B5520C"/>
    <w:rsid w:val="00B617E5"/>
    <w:rsid w:val="00B63413"/>
    <w:rsid w:val="00B72D8D"/>
    <w:rsid w:val="00B92505"/>
    <w:rsid w:val="00B9360D"/>
    <w:rsid w:val="00BA392A"/>
    <w:rsid w:val="00BC31D5"/>
    <w:rsid w:val="00BD16D8"/>
    <w:rsid w:val="00BD66EA"/>
    <w:rsid w:val="00BE4D15"/>
    <w:rsid w:val="00BE4EB2"/>
    <w:rsid w:val="00BE76D5"/>
    <w:rsid w:val="00BF00D2"/>
    <w:rsid w:val="00BF2F5D"/>
    <w:rsid w:val="00C0117C"/>
    <w:rsid w:val="00C173EB"/>
    <w:rsid w:val="00C2670E"/>
    <w:rsid w:val="00C27B19"/>
    <w:rsid w:val="00C310F7"/>
    <w:rsid w:val="00C31B6F"/>
    <w:rsid w:val="00C3334D"/>
    <w:rsid w:val="00C36F01"/>
    <w:rsid w:val="00C45BC3"/>
    <w:rsid w:val="00C46487"/>
    <w:rsid w:val="00C5027A"/>
    <w:rsid w:val="00C51C27"/>
    <w:rsid w:val="00C62AB3"/>
    <w:rsid w:val="00C80E58"/>
    <w:rsid w:val="00C82445"/>
    <w:rsid w:val="00C96924"/>
    <w:rsid w:val="00C975BC"/>
    <w:rsid w:val="00C97E77"/>
    <w:rsid w:val="00CB2DAC"/>
    <w:rsid w:val="00CB6515"/>
    <w:rsid w:val="00CC18C2"/>
    <w:rsid w:val="00CF304F"/>
    <w:rsid w:val="00D0074D"/>
    <w:rsid w:val="00D12204"/>
    <w:rsid w:val="00D12F00"/>
    <w:rsid w:val="00D2106B"/>
    <w:rsid w:val="00D21306"/>
    <w:rsid w:val="00D26239"/>
    <w:rsid w:val="00D34EAB"/>
    <w:rsid w:val="00D42351"/>
    <w:rsid w:val="00D42905"/>
    <w:rsid w:val="00D62807"/>
    <w:rsid w:val="00D6551F"/>
    <w:rsid w:val="00D72B5E"/>
    <w:rsid w:val="00D73F42"/>
    <w:rsid w:val="00D74CA5"/>
    <w:rsid w:val="00D87F9E"/>
    <w:rsid w:val="00D970A9"/>
    <w:rsid w:val="00DA312B"/>
    <w:rsid w:val="00DA78DA"/>
    <w:rsid w:val="00DB199E"/>
    <w:rsid w:val="00DB7416"/>
    <w:rsid w:val="00DC3E5B"/>
    <w:rsid w:val="00DC4362"/>
    <w:rsid w:val="00DC6A41"/>
    <w:rsid w:val="00DD10E4"/>
    <w:rsid w:val="00DE0B27"/>
    <w:rsid w:val="00DE23FA"/>
    <w:rsid w:val="00DE353A"/>
    <w:rsid w:val="00DF1C54"/>
    <w:rsid w:val="00DF2D15"/>
    <w:rsid w:val="00DF67A2"/>
    <w:rsid w:val="00E019FC"/>
    <w:rsid w:val="00E02337"/>
    <w:rsid w:val="00E16789"/>
    <w:rsid w:val="00E2085E"/>
    <w:rsid w:val="00E23CEF"/>
    <w:rsid w:val="00E3360E"/>
    <w:rsid w:val="00E449C4"/>
    <w:rsid w:val="00E4566F"/>
    <w:rsid w:val="00E53AE8"/>
    <w:rsid w:val="00E60077"/>
    <w:rsid w:val="00E65016"/>
    <w:rsid w:val="00E764D6"/>
    <w:rsid w:val="00E83F84"/>
    <w:rsid w:val="00E84B04"/>
    <w:rsid w:val="00E908B3"/>
    <w:rsid w:val="00E97091"/>
    <w:rsid w:val="00EA0160"/>
    <w:rsid w:val="00EA2B9B"/>
    <w:rsid w:val="00EA7A29"/>
    <w:rsid w:val="00EB1C5D"/>
    <w:rsid w:val="00EC0A0A"/>
    <w:rsid w:val="00EC1175"/>
    <w:rsid w:val="00EC2CF2"/>
    <w:rsid w:val="00EC7AD3"/>
    <w:rsid w:val="00EC7EF4"/>
    <w:rsid w:val="00EE30D7"/>
    <w:rsid w:val="00EF4AEC"/>
    <w:rsid w:val="00EF6169"/>
    <w:rsid w:val="00F024C9"/>
    <w:rsid w:val="00F10A52"/>
    <w:rsid w:val="00F24F6E"/>
    <w:rsid w:val="00F37E04"/>
    <w:rsid w:val="00F41703"/>
    <w:rsid w:val="00F43D93"/>
    <w:rsid w:val="00F46CBE"/>
    <w:rsid w:val="00F6377F"/>
    <w:rsid w:val="00F65913"/>
    <w:rsid w:val="00F70AAB"/>
    <w:rsid w:val="00F7357D"/>
    <w:rsid w:val="00F73DCD"/>
    <w:rsid w:val="00F836D7"/>
    <w:rsid w:val="00F862AD"/>
    <w:rsid w:val="00F87070"/>
    <w:rsid w:val="00F873CD"/>
    <w:rsid w:val="00F94881"/>
    <w:rsid w:val="00FA4D6A"/>
    <w:rsid w:val="00FC3BDA"/>
    <w:rsid w:val="00FD0210"/>
    <w:rsid w:val="00FD0C34"/>
    <w:rsid w:val="00FD4AF4"/>
    <w:rsid w:val="00FE24CD"/>
    <w:rsid w:val="00FE2D89"/>
    <w:rsid w:val="00FE63DE"/>
    <w:rsid w:val="00FF08BA"/>
    <w:rsid w:val="00FF1084"/>
    <w:rsid w:val="00FF1296"/>
    <w:rsid w:val="03CA27F1"/>
    <w:rsid w:val="091A5936"/>
    <w:rsid w:val="09611175"/>
    <w:rsid w:val="0B5907E9"/>
    <w:rsid w:val="0BC99B94"/>
    <w:rsid w:val="0C3FE61F"/>
    <w:rsid w:val="0CF4D84A"/>
    <w:rsid w:val="0F013C56"/>
    <w:rsid w:val="102C790C"/>
    <w:rsid w:val="111513CF"/>
    <w:rsid w:val="11867EC4"/>
    <w:rsid w:val="119945F1"/>
    <w:rsid w:val="11C8496D"/>
    <w:rsid w:val="1238DD18"/>
    <w:rsid w:val="136419CE"/>
    <w:rsid w:val="13D4AD79"/>
    <w:rsid w:val="14CE321A"/>
    <w:rsid w:val="16B81B72"/>
    <w:rsid w:val="182FB191"/>
    <w:rsid w:val="187E92E1"/>
    <w:rsid w:val="1B34C87E"/>
    <w:rsid w:val="1CE10CB1"/>
    <w:rsid w:val="1D688E80"/>
    <w:rsid w:val="23C659A1"/>
    <w:rsid w:val="26AAB1C2"/>
    <w:rsid w:val="29CCFDBB"/>
    <w:rsid w:val="29F16CA2"/>
    <w:rsid w:val="2D7BA675"/>
    <w:rsid w:val="2E67BFB0"/>
    <w:rsid w:val="32C589E4"/>
    <w:rsid w:val="357BBF81"/>
    <w:rsid w:val="360EB9DF"/>
    <w:rsid w:val="37AA8A40"/>
    <w:rsid w:val="392C2048"/>
    <w:rsid w:val="3939B256"/>
    <w:rsid w:val="3C7DFB63"/>
    <w:rsid w:val="3D8E9A18"/>
    <w:rsid w:val="4044CFB5"/>
    <w:rsid w:val="414746F9"/>
    <w:rsid w:val="41AF6399"/>
    <w:rsid w:val="434B33FA"/>
    <w:rsid w:val="4431DB5E"/>
    <w:rsid w:val="44C5931E"/>
    <w:rsid w:val="44F50D6C"/>
    <w:rsid w:val="45745C14"/>
    <w:rsid w:val="46950FCF"/>
    <w:rsid w:val="47583F29"/>
    <w:rsid w:val="48310EE4"/>
    <w:rsid w:val="4C8A0793"/>
    <w:rsid w:val="53C88905"/>
    <w:rsid w:val="5D0F8F1D"/>
    <w:rsid w:val="5F63B504"/>
    <w:rsid w:val="6093BD5D"/>
    <w:rsid w:val="626031A6"/>
    <w:rsid w:val="64FB9F5C"/>
    <w:rsid w:val="65144C2B"/>
    <w:rsid w:val="684BECED"/>
    <w:rsid w:val="6923DEC9"/>
    <w:rsid w:val="6953313A"/>
    <w:rsid w:val="6D4A5F37"/>
    <w:rsid w:val="6E29A0B8"/>
    <w:rsid w:val="6FAB158C"/>
    <w:rsid w:val="76019495"/>
    <w:rsid w:val="77D10579"/>
    <w:rsid w:val="7869FE3D"/>
    <w:rsid w:val="79BEA412"/>
    <w:rsid w:val="7A873B16"/>
    <w:rsid w:val="7BAB8A43"/>
    <w:rsid w:val="7E8704F2"/>
    <w:rsid w:val="7EC46601"/>
    <w:rsid w:val="7EE9B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14B3"/>
  <w15:docId w15:val="{726C96A5-1CCC-43CA-A0E5-479B96579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86A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ODocTxt">
    <w:name w:val="AODocTxt"/>
    <w:basedOn w:val="Normalny"/>
    <w:rsid w:val="00187B2F"/>
    <w:pPr>
      <w:spacing w:before="240" w:after="0" w:line="260" w:lineRule="atLeast"/>
      <w:jc w:val="both"/>
    </w:pPr>
    <w:rPr>
      <w:rFonts w:ascii="Times New Roman" w:hAnsi="Times New Roman" w:cs="Times New Roman"/>
      <w:lang w:val="en-GB"/>
    </w:rPr>
  </w:style>
  <w:style w:type="character" w:styleId="Odwoanieprzypisudolnego">
    <w:name w:val="footnote reference"/>
    <w:uiPriority w:val="99"/>
    <w:semiHidden/>
    <w:rsid w:val="00AC4108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AC410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DNONIKtreodnonika">
    <w:name w:val="ODNOŚNIK – treść odnośnika"/>
    <w:uiPriority w:val="19"/>
    <w:qFormat/>
    <w:rsid w:val="00AC4108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AC4108"/>
    <w:rPr>
      <w:b w:val="0"/>
      <w:i w:val="0"/>
      <w:vanish w:val="0"/>
      <w:spacing w:val="0"/>
      <w:vertAlign w:val="superscript"/>
    </w:rPr>
  </w:style>
  <w:style w:type="paragraph" w:customStyle="1" w:styleId="oj-tbl-txt">
    <w:name w:val="oj-tbl-txt"/>
    <w:basedOn w:val="Normalny"/>
    <w:rsid w:val="007C1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11E4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824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24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24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24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445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07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074D"/>
    <w:rPr>
      <w:sz w:val="20"/>
      <w:szCs w:val="20"/>
    </w:rPr>
  </w:style>
  <w:style w:type="character" w:customStyle="1" w:styleId="markedcontent">
    <w:name w:val="markedcontent"/>
    <w:basedOn w:val="Domylnaczcionkaakapitu"/>
    <w:rsid w:val="00D0074D"/>
  </w:style>
  <w:style w:type="paragraph" w:styleId="Akapitzlist">
    <w:name w:val="List Paragraph"/>
    <w:basedOn w:val="Normalny"/>
    <w:uiPriority w:val="34"/>
    <w:qFormat/>
    <w:rsid w:val="00E84B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05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56C7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ny"/>
    <w:rsid w:val="00971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714CE"/>
  </w:style>
  <w:style w:type="character" w:customStyle="1" w:styleId="eop">
    <w:name w:val="eop"/>
    <w:basedOn w:val="Domylnaczcionkaakapitu"/>
    <w:rsid w:val="009714CE"/>
  </w:style>
  <w:style w:type="character" w:customStyle="1" w:styleId="spellingerror">
    <w:name w:val="spellingerror"/>
    <w:basedOn w:val="Domylnaczcionkaakapitu"/>
    <w:rsid w:val="009714CE"/>
  </w:style>
  <w:style w:type="paragraph" w:styleId="NormalnyWeb">
    <w:name w:val="Normal (Web)"/>
    <w:basedOn w:val="Normalny"/>
    <w:uiPriority w:val="99"/>
    <w:semiHidden/>
    <w:unhideWhenUsed/>
    <w:rsid w:val="00B4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Default">
    <w:name w:val="Default"/>
    <w:rsid w:val="00B617E5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86AE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B5AEB16E1168458F95E2E30F58340B" ma:contentTypeVersion="4" ma:contentTypeDescription="Utwórz nowy dokument." ma:contentTypeScope="" ma:versionID="3b5596706a9cd2376e9a64e9af176ff7">
  <xsd:schema xmlns:xsd="http://www.w3.org/2001/XMLSchema" xmlns:xs="http://www.w3.org/2001/XMLSchema" xmlns:p="http://schemas.microsoft.com/office/2006/metadata/properties" xmlns:ns2="11111209-2182-4723-adef-2397a9017bc4" xmlns:ns3="d0c463f3-a64e-448d-b6e6-5ff6705f042f" targetNamespace="http://schemas.microsoft.com/office/2006/metadata/properties" ma:root="true" ma:fieldsID="b30be04d6427f638cf92a0f812728ba4" ns2:_="" ns3:_="">
    <xsd:import namespace="11111209-2182-4723-adef-2397a9017bc4"/>
    <xsd:import namespace="d0c463f3-a64e-448d-b6e6-5ff6705f0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11209-2182-4723-adef-2397a9017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463f3-a64e-448d-b6e6-5ff6705f0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C9F39-0F5F-415B-A9DA-07D16160CA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F0591A-9AC2-484C-B29A-755031054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3D3D7C-2283-4D53-B998-D193146281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2C550B-B864-4249-8898-5AF2E11AA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11209-2182-4723-adef-2397a9017bc4"/>
    <ds:schemaRef ds:uri="d0c463f3-a64e-448d-b6e6-5ff6705f0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3108</Words>
  <Characters>18650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Ciesielski Michał</dc:creator>
  <cp:lastModifiedBy>Król Karolina</cp:lastModifiedBy>
  <cp:revision>2</cp:revision>
  <dcterms:created xsi:type="dcterms:W3CDTF">2022-11-21T15:36:00Z</dcterms:created>
  <dcterms:modified xsi:type="dcterms:W3CDTF">2022-11-21T15:36:00Z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0x0101005BB5AEB16E1168458F95E2E30F58340B</vt:lpwstr>
  </property>
</Properties>
</file>