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7F33533D" w:rsidR="001A15A8" w:rsidRPr="00680A57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680A57">
        <w:rPr>
          <w:rFonts w:ascii="Lato" w:hAnsi="Lato"/>
          <w:sz w:val="20"/>
          <w:szCs w:val="20"/>
        </w:rPr>
        <w:t xml:space="preserve">Znak sprawy: </w:t>
      </w:r>
      <w:r w:rsidR="00DE1109" w:rsidRPr="00680A57">
        <w:rPr>
          <w:rFonts w:ascii="Lato" w:hAnsi="Lato"/>
          <w:sz w:val="20"/>
          <w:szCs w:val="20"/>
        </w:rPr>
        <w:t>DLI-II.762</w:t>
      </w:r>
      <w:r w:rsidR="00A8317A">
        <w:rPr>
          <w:rFonts w:ascii="Lato" w:hAnsi="Lato"/>
          <w:sz w:val="20"/>
          <w:szCs w:val="20"/>
        </w:rPr>
        <w:t>0</w:t>
      </w:r>
      <w:r w:rsidR="00DE1109" w:rsidRPr="00680A57">
        <w:rPr>
          <w:rFonts w:ascii="Lato" w:hAnsi="Lato"/>
          <w:sz w:val="20"/>
          <w:szCs w:val="20"/>
        </w:rPr>
        <w:t>.</w:t>
      </w:r>
      <w:r w:rsidR="00441155">
        <w:rPr>
          <w:rFonts w:ascii="Lato" w:hAnsi="Lato"/>
          <w:sz w:val="20"/>
          <w:szCs w:val="20"/>
        </w:rPr>
        <w:t>10</w:t>
      </w:r>
      <w:r w:rsidR="00DE1109" w:rsidRPr="00680A57">
        <w:rPr>
          <w:rFonts w:ascii="Lato" w:hAnsi="Lato"/>
          <w:sz w:val="20"/>
          <w:szCs w:val="20"/>
        </w:rPr>
        <w:t>.202</w:t>
      </w:r>
      <w:r w:rsidR="00441155">
        <w:rPr>
          <w:rFonts w:ascii="Lato" w:hAnsi="Lato"/>
          <w:sz w:val="20"/>
          <w:szCs w:val="20"/>
        </w:rPr>
        <w:t>2</w:t>
      </w:r>
      <w:r w:rsidR="00DE1109" w:rsidRPr="00680A57">
        <w:rPr>
          <w:rFonts w:ascii="Lato" w:hAnsi="Lato"/>
          <w:sz w:val="20"/>
          <w:szCs w:val="20"/>
        </w:rPr>
        <w:t>.</w:t>
      </w:r>
      <w:r w:rsidR="00533BA2" w:rsidRPr="00680A57">
        <w:rPr>
          <w:rFonts w:ascii="Lato" w:hAnsi="Lato"/>
          <w:sz w:val="20"/>
          <w:szCs w:val="20"/>
        </w:rPr>
        <w:t>BW</w:t>
      </w:r>
      <w:r w:rsidR="00DE1109" w:rsidRPr="00680A57">
        <w:rPr>
          <w:rFonts w:ascii="Lato" w:hAnsi="Lato"/>
          <w:sz w:val="20"/>
          <w:szCs w:val="20"/>
        </w:rPr>
        <w:t>.</w:t>
      </w:r>
      <w:r w:rsidR="00441155">
        <w:rPr>
          <w:rFonts w:ascii="Lato" w:hAnsi="Lato"/>
          <w:sz w:val="20"/>
          <w:szCs w:val="20"/>
        </w:rPr>
        <w:t>20</w:t>
      </w:r>
      <w:r w:rsidR="00533BA2" w:rsidRPr="00680A57">
        <w:rPr>
          <w:rFonts w:ascii="Lato" w:hAnsi="Lato"/>
          <w:sz w:val="20"/>
          <w:szCs w:val="20"/>
        </w:rPr>
        <w:t xml:space="preserve"> (DLI-III)</w:t>
      </w:r>
    </w:p>
    <w:p w14:paraId="469300C1" w14:textId="77777777" w:rsidR="00A00835" w:rsidRPr="00680A57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680A57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E6C9006" w14:textId="4FD873E7" w:rsidR="0062710A" w:rsidRPr="0062710A" w:rsidRDefault="0062710A" w:rsidP="0062710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</w:t>
      </w:r>
      <w:r w:rsidR="002065B0">
        <w:rPr>
          <w:rFonts w:ascii="Lato" w:hAnsi="Lato" w:cstheme="minorHAnsi"/>
          <w:sz w:val="20"/>
          <w:szCs w:val="20"/>
        </w:rPr>
        <w:t>10</w:t>
      </w:r>
      <w:r w:rsidRPr="0062710A">
        <w:rPr>
          <w:rFonts w:ascii="Lato" w:hAnsi="Lato" w:cstheme="minorHAnsi"/>
          <w:sz w:val="20"/>
          <w:szCs w:val="20"/>
        </w:rPr>
        <w:t xml:space="preserve"> ust. 1 i </w:t>
      </w:r>
      <w:r w:rsidR="002065B0"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ustawy </w:t>
      </w:r>
      <w:r w:rsidR="002065B0" w:rsidRPr="002065B0">
        <w:rPr>
          <w:rFonts w:ascii="Lato" w:hAnsi="Lato" w:cstheme="minorHAnsi"/>
          <w:sz w:val="20"/>
          <w:szCs w:val="20"/>
        </w:rPr>
        <w:t>z dnia 22 lutego 2019 r. o przygotowaniu i realizacji strategicznych inwestycji w sektorze naftowym (t.j. Dz. U. z 2024 r. poz. 405),</w:t>
      </w:r>
      <w:r w:rsidRPr="0062710A">
        <w:rPr>
          <w:rFonts w:ascii="Lato" w:hAnsi="Lato" w:cstheme="minorHAnsi"/>
          <w:sz w:val="20"/>
          <w:szCs w:val="20"/>
        </w:rPr>
        <w:t xml:space="preserve"> oraz art. 49 § 1 i 2 ustawy z dnia 14 czerwca 1960 r. – Kodeks postępowania administracyjnego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>(t.j.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>
        <w:rPr>
          <w:rFonts w:ascii="Lato" w:hAnsi="Lato" w:cstheme="minorHAnsi"/>
          <w:sz w:val="20"/>
          <w:szCs w:val="20"/>
        </w:rPr>
        <w:t>752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</w:t>
      </w:r>
      <w:r w:rsidR="00121110">
        <w:rPr>
          <w:rFonts w:ascii="Lato" w:hAnsi="Lato" w:cstheme="minorHAnsi"/>
          <w:sz w:val="20"/>
          <w:szCs w:val="20"/>
        </w:rPr>
        <w:t>25</w:t>
      </w:r>
      <w:r w:rsidRPr="0062710A">
        <w:rPr>
          <w:rFonts w:ascii="Lato" w:hAnsi="Lato" w:cstheme="minorHAnsi"/>
          <w:sz w:val="20"/>
          <w:szCs w:val="20"/>
        </w:rPr>
        <w:t xml:space="preserve"> ustawy z dnia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3 października 2008 r. </w:t>
      </w:r>
      <w:r w:rsidRPr="0062710A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(t.j. Dz. U. z 202</w:t>
      </w:r>
      <w:r>
        <w:rPr>
          <w:rFonts w:ascii="Lato" w:hAnsi="Lato" w:cstheme="minorHAnsi"/>
          <w:bCs/>
          <w:sz w:val="20"/>
          <w:szCs w:val="20"/>
        </w:rPr>
        <w:t>3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>
        <w:rPr>
          <w:rFonts w:ascii="Lato" w:hAnsi="Lato" w:cstheme="minorHAnsi"/>
          <w:bCs/>
          <w:sz w:val="20"/>
          <w:szCs w:val="20"/>
        </w:rPr>
        <w:t xml:space="preserve">1094 </w:t>
      </w:r>
      <w:r w:rsidRPr="0062710A">
        <w:rPr>
          <w:rFonts w:ascii="Lato" w:hAnsi="Lato" w:cstheme="minorHAnsi"/>
          <w:bCs/>
          <w:sz w:val="20"/>
          <w:szCs w:val="20"/>
        </w:rPr>
        <w:t>z późn. zm.),</w:t>
      </w:r>
    </w:p>
    <w:p w14:paraId="7330D0C9" w14:textId="77777777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62C57CA4" w14:textId="38E3BB5D" w:rsidR="002065B0" w:rsidRDefault="00BC1D6F" w:rsidP="00033089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2065B0">
        <w:rPr>
          <w:rFonts w:ascii="Lato" w:hAnsi="Lato" w:cstheme="minorHAnsi"/>
          <w:sz w:val="20"/>
          <w:szCs w:val="20"/>
        </w:rPr>
        <w:t>20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czerwca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r., znak: DLI-II.762</w:t>
      </w:r>
      <w:r w:rsidR="0062710A"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 w:rsidR="002065B0">
        <w:rPr>
          <w:rFonts w:ascii="Lato" w:hAnsi="Lato" w:cstheme="minorHAnsi"/>
          <w:sz w:val="20"/>
          <w:szCs w:val="20"/>
        </w:rPr>
        <w:t>10</w:t>
      </w:r>
      <w:r w:rsidRPr="00680A57">
        <w:rPr>
          <w:rFonts w:ascii="Lato" w:hAnsi="Lato" w:cstheme="minorHAnsi"/>
          <w:sz w:val="20"/>
          <w:szCs w:val="20"/>
        </w:rPr>
        <w:t>.202</w:t>
      </w:r>
      <w:r w:rsidR="002065B0">
        <w:rPr>
          <w:rFonts w:ascii="Lato" w:hAnsi="Lato" w:cstheme="minorHAnsi"/>
          <w:sz w:val="20"/>
          <w:szCs w:val="20"/>
        </w:rPr>
        <w:t>2</w:t>
      </w:r>
      <w:r w:rsidRPr="00680A57">
        <w:rPr>
          <w:rFonts w:ascii="Lato" w:hAnsi="Lato" w:cstheme="minorHAnsi"/>
          <w:sz w:val="20"/>
          <w:szCs w:val="20"/>
        </w:rPr>
        <w:t>.BW.</w:t>
      </w:r>
      <w:r w:rsidR="002065B0">
        <w:rPr>
          <w:rFonts w:ascii="Lato" w:hAnsi="Lato" w:cstheme="minorHAnsi"/>
          <w:sz w:val="20"/>
          <w:szCs w:val="20"/>
        </w:rPr>
        <w:t>19</w:t>
      </w:r>
      <w:r w:rsidRPr="00680A57">
        <w:rPr>
          <w:rFonts w:ascii="Lato" w:hAnsi="Lato" w:cstheme="minorHAnsi"/>
          <w:sz w:val="20"/>
          <w:szCs w:val="20"/>
        </w:rPr>
        <w:t xml:space="preserve"> (DLI-III), uchylającą </w:t>
      </w:r>
      <w:r w:rsidR="00D20787" w:rsidRPr="00680A57">
        <w:rPr>
          <w:rFonts w:ascii="Lato" w:hAnsi="Lato" w:cstheme="minorHAnsi"/>
          <w:sz w:val="20"/>
          <w:szCs w:val="20"/>
        </w:rPr>
        <w:t xml:space="preserve">w części </w:t>
      </w:r>
      <w:r w:rsidR="000D799D" w:rsidRPr="00680A57">
        <w:rPr>
          <w:rFonts w:ascii="Lato" w:hAnsi="Lato" w:cstheme="minorHAnsi"/>
          <w:sz w:val="20"/>
          <w:szCs w:val="20"/>
        </w:rPr>
        <w:t xml:space="preserve">i orzekającą w tym zakresie co do istoty sprawy, a w pozostałej części utrzymującą w mocy </w:t>
      </w:r>
      <w:r w:rsidR="00D20787" w:rsidRPr="00680A57">
        <w:rPr>
          <w:rFonts w:ascii="Lato" w:hAnsi="Lato" w:cstheme="minorHAnsi"/>
          <w:sz w:val="20"/>
          <w:szCs w:val="20"/>
        </w:rPr>
        <w:t xml:space="preserve">decyzję </w:t>
      </w:r>
      <w:r w:rsidR="0050790D" w:rsidRPr="0050790D">
        <w:rPr>
          <w:rFonts w:ascii="Lato" w:hAnsi="Lato" w:cstheme="minorHAnsi"/>
          <w:sz w:val="20"/>
          <w:szCs w:val="20"/>
        </w:rPr>
        <w:t xml:space="preserve">Wojewody </w:t>
      </w:r>
      <w:r w:rsidR="002065B0" w:rsidRPr="002065B0">
        <w:rPr>
          <w:rFonts w:ascii="Lato" w:hAnsi="Lato" w:cstheme="minorHAnsi"/>
          <w:sz w:val="20"/>
          <w:szCs w:val="20"/>
        </w:rPr>
        <w:t xml:space="preserve">Kujawsko-Pomorskiego Nr 1/2022 z dnia 31 stycznia 2022 r., znak: WIR.II.747.3.1.2021.EP, o ustaleniu lokalizacji strategicznej inwestycji w sektorze naftowym </w:t>
      </w:r>
      <w:r w:rsidR="002065B0">
        <w:rPr>
          <w:rFonts w:ascii="Lato" w:hAnsi="Lato" w:cstheme="minorHAnsi"/>
          <w:sz w:val="20"/>
          <w:szCs w:val="20"/>
        </w:rPr>
        <w:br/>
      </w:r>
      <w:r w:rsidR="002065B0" w:rsidRPr="002065B0">
        <w:rPr>
          <w:rFonts w:ascii="Lato" w:hAnsi="Lato" w:cstheme="minorHAnsi"/>
          <w:sz w:val="20"/>
          <w:szCs w:val="20"/>
        </w:rPr>
        <w:t>pn.: „Budowa rurociągu ropy naftowej Gdańsk-Płock wraz z infrastrukturą niezbędną do jego obsługi”</w:t>
      </w:r>
      <w:r w:rsidR="002065B0">
        <w:rPr>
          <w:rFonts w:ascii="Lato" w:hAnsi="Lato" w:cstheme="minorHAnsi"/>
          <w:sz w:val="20"/>
          <w:szCs w:val="20"/>
        </w:rPr>
        <w:t>.</w:t>
      </w:r>
    </w:p>
    <w:p w14:paraId="08F569A3" w14:textId="581C69C1" w:rsidR="001A15A8" w:rsidRPr="00C75E22" w:rsidRDefault="001A15A8" w:rsidP="00033089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2065B0">
        <w:rPr>
          <w:rFonts w:ascii="Lato" w:hAnsi="Lato" w:cstheme="minorHAnsi"/>
          <w:sz w:val="20"/>
          <w:szCs w:val="20"/>
        </w:rPr>
        <w:t>20</w:t>
      </w:r>
      <w:r w:rsidR="00371EB2"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czerwca</w:t>
      </w:r>
      <w:r w:rsidR="0084769A"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</w:t>
      </w:r>
      <w:r w:rsidR="002065B0">
        <w:rPr>
          <w:rFonts w:ascii="Lato" w:hAnsi="Lato" w:cstheme="minorHAnsi"/>
          <w:sz w:val="20"/>
          <w:szCs w:val="20"/>
        </w:rPr>
        <w:t xml:space="preserve"> wraz z załącznikami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</w:t>
      </w:r>
      <w:r w:rsidR="002065B0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ul. Chałubińskiego 4/6, we wtorki, czwartki i piątki, w godzinach od 9.00 do 15.30, </w:t>
      </w:r>
      <w:r w:rsidRPr="00680A5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jak również z treścią ww. decyzji</w:t>
      </w:r>
      <w:r w:rsidR="002065B0">
        <w:rPr>
          <w:rFonts w:ascii="Lato" w:hAnsi="Lato" w:cstheme="minorHAnsi"/>
          <w:sz w:val="20"/>
          <w:szCs w:val="20"/>
        </w:rPr>
        <w:t xml:space="preserve"> bez załączników</w:t>
      </w:r>
      <w:r w:rsidR="00E55BEE" w:rsidRPr="00680A57">
        <w:rPr>
          <w:rFonts w:ascii="Lato" w:hAnsi="Lato" w:cstheme="minorHAnsi"/>
          <w:sz w:val="20"/>
          <w:szCs w:val="20"/>
        </w:rPr>
        <w:t xml:space="preserve"> 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w Biuletynie Informacji Publicznej Ministerstwa Rozwoju i Technologii pod adresem: https://www.gov.pl/web/rozwoj-technologia/obwieszczenia-decyzje-komunikaty (od dnia </w:t>
      </w:r>
      <w:r w:rsidR="002065B0">
        <w:rPr>
          <w:rFonts w:ascii="Lato" w:hAnsi="Lato" w:cstheme="minorHAnsi"/>
          <w:sz w:val="20"/>
          <w:szCs w:val="20"/>
        </w:rPr>
        <w:t>30</w:t>
      </w:r>
      <w:r w:rsidR="00E55BEE" w:rsidRPr="00680A57">
        <w:rPr>
          <w:rFonts w:ascii="Lato" w:hAnsi="Lato" w:cstheme="minorHAnsi"/>
          <w:sz w:val="20"/>
          <w:szCs w:val="20"/>
        </w:rPr>
        <w:t xml:space="preserve"> </w:t>
      </w:r>
      <w:r w:rsidR="00BE522A">
        <w:rPr>
          <w:rFonts w:ascii="Lato" w:hAnsi="Lato" w:cstheme="minorHAnsi"/>
          <w:sz w:val="20"/>
          <w:szCs w:val="20"/>
        </w:rPr>
        <w:t>lipca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427C1C">
        <w:rPr>
          <w:rFonts w:ascii="Lato" w:hAnsi="Lato" w:cstheme="minorHAnsi"/>
          <w:sz w:val="20"/>
          <w:szCs w:val="20"/>
        </w:rPr>
        <w:t>4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</w:t>
      </w:r>
      <w:r w:rsidR="00F02AFB" w:rsidRPr="00F02AFB">
        <w:rPr>
          <w:rFonts w:ascii="Lato" w:hAnsi="Lato" w:cstheme="minorHAnsi"/>
          <w:bCs/>
          <w:iCs/>
          <w:sz w:val="20"/>
          <w:szCs w:val="20"/>
        </w:rPr>
        <w:t>na lokalizację inwestycji</w:t>
      </w:r>
      <w:r w:rsidR="00F02AFB">
        <w:rPr>
          <w:rFonts w:ascii="Lato" w:hAnsi="Lato" w:cstheme="minorHAnsi"/>
          <w:bCs/>
          <w:iCs/>
          <w:sz w:val="20"/>
          <w:szCs w:val="20"/>
        </w:rPr>
        <w:t xml:space="preserve">, </w:t>
      </w:r>
      <w:r w:rsidRPr="00680A57">
        <w:rPr>
          <w:rFonts w:ascii="Lato" w:hAnsi="Lato" w:cstheme="minorHAnsi"/>
          <w:sz w:val="20"/>
          <w:szCs w:val="20"/>
        </w:rPr>
        <w:t>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Gminy</w:t>
      </w:r>
      <w:r w:rsidR="0082784A">
        <w:rPr>
          <w:rFonts w:ascii="Lato" w:hAnsi="Lato" w:cstheme="minorHAnsi"/>
          <w:sz w:val="20"/>
          <w:szCs w:val="20"/>
        </w:rPr>
        <w:br/>
      </w:r>
      <w:r w:rsidR="002065B0">
        <w:rPr>
          <w:rFonts w:ascii="Lato" w:hAnsi="Lato" w:cstheme="minorHAnsi"/>
          <w:sz w:val="20"/>
          <w:szCs w:val="20"/>
        </w:rPr>
        <w:t xml:space="preserve">Rogowo, Urzędzie Gminy Rypin, Urzędzie Gminy Brodnica, Urzędzie Gminy Bobrowo, Urzędzie </w:t>
      </w:r>
      <w:r w:rsidR="0083254C">
        <w:rPr>
          <w:rFonts w:ascii="Lato" w:hAnsi="Lato" w:cstheme="minorHAnsi"/>
          <w:sz w:val="20"/>
          <w:szCs w:val="20"/>
        </w:rPr>
        <w:t xml:space="preserve">Miasta i Gminy Jabłonowo Pomorskie, Urzędzie </w:t>
      </w:r>
      <w:r w:rsidR="002065B0">
        <w:rPr>
          <w:rFonts w:ascii="Lato" w:hAnsi="Lato" w:cstheme="minorHAnsi"/>
          <w:sz w:val="20"/>
          <w:szCs w:val="20"/>
        </w:rPr>
        <w:t>Gminy Świecie nad Osą i Urzędzie Miasta i Gminy Łasin oraz Urzędzie Gminy Kamienica Polska</w:t>
      </w:r>
      <w:r w:rsidR="0062710A">
        <w:rPr>
          <w:rFonts w:ascii="Lato" w:hAnsi="Lato" w:cstheme="minorHAnsi"/>
          <w:sz w:val="20"/>
          <w:szCs w:val="20"/>
        </w:rPr>
        <w:t>.</w:t>
      </w:r>
      <w:r w:rsidR="00253841" w:rsidRPr="00680A57">
        <w:rPr>
          <w:rFonts w:ascii="Lato" w:hAnsi="Lato" w:cstheme="minorHAnsi"/>
          <w:sz w:val="20"/>
          <w:szCs w:val="20"/>
        </w:rPr>
        <w:t xml:space="preserve"> </w:t>
      </w:r>
    </w:p>
    <w:p w14:paraId="78A74EC6" w14:textId="51B9B8A2" w:rsidR="00421744" w:rsidRPr="00421744" w:rsidRDefault="00421744" w:rsidP="00421744">
      <w:pPr>
        <w:spacing w:after="0" w:line="240" w:lineRule="auto"/>
        <w:jc w:val="both"/>
        <w:rPr>
          <w:rFonts w:ascii="Lato" w:eastAsia="Aptos" w:hAnsi="Lato" w:cs="Aptos"/>
          <w:sz w:val="20"/>
          <w:szCs w:val="20"/>
          <w14:ligatures w14:val="standardContextual"/>
        </w:rPr>
      </w:pP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Na ww. decyzję Ministra Rozwoju i Technologii z dnia 20 czerwca 2024 r.</w:t>
      </w:r>
      <w:r w:rsidR="00F116CE">
        <w:rPr>
          <w:rFonts w:ascii="Lato" w:eastAsia="Aptos" w:hAnsi="Lato" w:cs="Aptos"/>
          <w:sz w:val="20"/>
          <w:szCs w:val="20"/>
          <w14:ligatures w14:val="standardContextual"/>
        </w:rPr>
        <w:t xml:space="preserve">, </w:t>
      </w:r>
      <w:r w:rsidR="00F116CE" w:rsidRPr="00F116CE">
        <w:rPr>
          <w:rFonts w:ascii="Lato" w:eastAsia="Aptos" w:hAnsi="Lato" w:cs="Aptos"/>
          <w:sz w:val="20"/>
          <w:szCs w:val="20"/>
          <w14:ligatures w14:val="standardContextual"/>
        </w:rPr>
        <w:t xml:space="preserve">znak: </w:t>
      </w:r>
      <w:r w:rsidR="00F116CE">
        <w:rPr>
          <w:rFonts w:ascii="Lato" w:eastAsia="Aptos" w:hAnsi="Lato" w:cs="Aptos"/>
          <w:sz w:val="20"/>
          <w:szCs w:val="20"/>
          <w14:ligatures w14:val="standardContextual"/>
        </w:rPr>
        <w:br/>
      </w:r>
      <w:r w:rsidR="00F116CE" w:rsidRPr="00F116CE">
        <w:rPr>
          <w:rFonts w:ascii="Lato" w:eastAsia="Aptos" w:hAnsi="Lato" w:cs="Aptos"/>
          <w:sz w:val="20"/>
          <w:szCs w:val="20"/>
          <w14:ligatures w14:val="standardContextual"/>
        </w:rPr>
        <w:t xml:space="preserve">DLI-II.7620.10.2022.BW.19 (DLI-III),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 xml:space="preserve"> przysługuje skarga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do Wojewódzkiego Sądu Administracyjnego w Warszawie, wnoszona za pośrednictwem Ministra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Rozwoju i Technologii, w terminie 30 dni od dnia, w którym zawiadomienie o wydaniu tej decyzji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uważa się za dokonane. Zawiadomienie o wydaniu ww. decyzji Ministra Rozwoju i Technologii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 xml:space="preserve">z dnia </w:t>
      </w:r>
      <w:r>
        <w:rPr>
          <w:rFonts w:ascii="Lato" w:eastAsia="Aptos" w:hAnsi="Lato" w:cs="Aptos"/>
          <w:sz w:val="20"/>
          <w:szCs w:val="20"/>
          <w14:ligatures w14:val="standardContextual"/>
        </w:rPr>
        <w:t>20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>
        <w:rPr>
          <w:rFonts w:ascii="Lato" w:eastAsia="Aptos" w:hAnsi="Lato" w:cs="Aptos"/>
          <w:sz w:val="20"/>
          <w:szCs w:val="20"/>
          <w14:ligatures w14:val="standardContextual"/>
        </w:rPr>
        <w:t>czerwca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 xml:space="preserve"> 2024 r. uważa się za dokonane </w:t>
      </w:r>
      <w:r w:rsidR="00F116CE">
        <w:rPr>
          <w:rFonts w:ascii="Lato" w:eastAsia="Aptos" w:hAnsi="Lato" w:cs="Aptos"/>
          <w:sz w:val="20"/>
          <w:szCs w:val="20"/>
          <w14:ligatures w14:val="standardContextual"/>
        </w:rPr>
        <w:br/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po upływie 14 dni od dnia publikacji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w Ministerstwie Rozwoju i Technologii obwieszczenia informującego o wydaniu ww. decyzji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Pr="00421744">
        <w:rPr>
          <w:rFonts w:ascii="Lato" w:eastAsia="Aptos" w:hAnsi="Lato" w:cs="Aptos"/>
          <w:sz w:val="20"/>
          <w:szCs w:val="20"/>
          <w14:ligatures w14:val="standardContextual"/>
        </w:rPr>
        <w:t>Ministra Rozwoju i Technologii z dnia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20 czerwca 2024 r. </w:t>
      </w:r>
    </w:p>
    <w:p w14:paraId="7CE0BE97" w14:textId="77777777" w:rsidR="00C75E22" w:rsidRDefault="00C75E22" w:rsidP="00033089">
      <w:pPr>
        <w:spacing w:after="240" w:line="240" w:lineRule="exact"/>
        <w:jc w:val="both"/>
        <w:rPr>
          <w:rFonts w:ascii="Lato" w:hAnsi="Lato" w:cstheme="minorHAnsi"/>
          <w:sz w:val="20"/>
          <w:szCs w:val="20"/>
          <w:u w:val="single"/>
        </w:rPr>
      </w:pPr>
    </w:p>
    <w:p w14:paraId="49E23DD3" w14:textId="0646DD90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83254C">
        <w:rPr>
          <w:rFonts w:ascii="Lato" w:hAnsi="Lato" w:cstheme="minorHAnsi"/>
          <w:sz w:val="20"/>
          <w:szCs w:val="20"/>
          <w:u w:val="single"/>
        </w:rPr>
        <w:t>30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BE522A">
        <w:rPr>
          <w:rFonts w:ascii="Lato" w:hAnsi="Lato" w:cstheme="minorHAnsi"/>
          <w:sz w:val="20"/>
          <w:szCs w:val="20"/>
          <w:u w:val="single"/>
        </w:rPr>
        <w:t>lipca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427C1C">
        <w:rPr>
          <w:rFonts w:ascii="Lato" w:hAnsi="Lato" w:cstheme="minorHAnsi"/>
          <w:sz w:val="20"/>
          <w:szCs w:val="20"/>
          <w:u w:val="single"/>
        </w:rPr>
        <w:t>4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50E64A3D" w14:textId="6A188D0C" w:rsidR="00033089" w:rsidRPr="00680A57" w:rsidRDefault="00033089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10F2000B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4772DD58" w14:textId="77777777" w:rsidR="00C75E22" w:rsidRDefault="00C75E2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EEE3175" w14:textId="77777777" w:rsidR="00C02531" w:rsidRDefault="00C02531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D2F7FC4" w14:textId="77777777" w:rsidR="00C75E22" w:rsidRPr="00680A57" w:rsidRDefault="00C75E2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4F80068" w14:textId="42454869" w:rsidR="00007301" w:rsidRPr="00680A57" w:rsidRDefault="001A15A8" w:rsidP="00C75E22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28F54D5A" w:rsidR="001A15A8" w:rsidRPr="00680A57" w:rsidRDefault="001A15A8" w:rsidP="00C75E2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139DF49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680A57">
        <w:rPr>
          <w:rFonts w:ascii="Lato" w:hAnsi="Lato" w:cstheme="minorHAnsi"/>
          <w:bCs/>
          <w:sz w:val="20"/>
          <w:szCs w:val="20"/>
        </w:rPr>
        <w:t>+48 222 500 123</w:t>
      </w:r>
      <w:r w:rsidRPr="00680A57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680A57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6B068FB0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75E22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C75E22">
        <w:rPr>
          <w:rFonts w:ascii="Lato" w:hAnsi="Lato" w:cstheme="minorHAnsi"/>
          <w:sz w:val="20"/>
          <w:szCs w:val="20"/>
        </w:rPr>
        <w:t>752</w:t>
      </w:r>
      <w:r w:rsidRPr="00680A57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C75E2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z ustawą </w:t>
      </w:r>
      <w:r w:rsidR="0083254C" w:rsidRPr="0083254C">
        <w:rPr>
          <w:rFonts w:ascii="Lato" w:hAnsi="Lato" w:cstheme="minorHAnsi"/>
          <w:sz w:val="20"/>
          <w:szCs w:val="20"/>
        </w:rPr>
        <w:t xml:space="preserve">z dnia 22 lutego 2019 r. o przygotowaniu i realizacji strategicznych inwestycji w sektorze naftowym </w:t>
      </w:r>
      <w:r w:rsidRPr="00680A57">
        <w:rPr>
          <w:rFonts w:ascii="Lato" w:hAnsi="Lato" w:cstheme="minorHAnsi"/>
          <w:sz w:val="20"/>
          <w:szCs w:val="20"/>
        </w:rPr>
        <w:t>(t.j. Dz.U. z 202</w:t>
      </w:r>
      <w:r w:rsidR="00CD03DB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83254C">
        <w:rPr>
          <w:rFonts w:ascii="Lato" w:hAnsi="Lato" w:cstheme="minorHAnsi"/>
          <w:sz w:val="20"/>
          <w:szCs w:val="20"/>
        </w:rPr>
        <w:t>405</w:t>
      </w:r>
      <w:r w:rsidRPr="00680A57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6FEE1170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83254C">
        <w:rPr>
          <w:rFonts w:ascii="Lato" w:hAnsi="Lato" w:cstheme="minorHAnsi"/>
          <w:sz w:val="20"/>
          <w:szCs w:val="20"/>
        </w:rPr>
        <w:t>Kujawsko-Pomorski</w:t>
      </w:r>
      <w:r w:rsidRPr="00680A57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14E4C34F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680A57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680A57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(t.j. Dz. U. z 2020 r. </w:t>
      </w:r>
      <w:r w:rsidR="00427C1C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poz. 164 z późn. zm.).</w:t>
      </w:r>
    </w:p>
    <w:p w14:paraId="7A800A6E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72559C2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680A57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6BDFA" w14:textId="77777777" w:rsidR="00AD5BBA" w:rsidRDefault="00AD5BBA" w:rsidP="009276B2">
      <w:pPr>
        <w:spacing w:after="0" w:line="240" w:lineRule="auto"/>
      </w:pPr>
      <w:r>
        <w:separator/>
      </w:r>
    </w:p>
  </w:endnote>
  <w:endnote w:type="continuationSeparator" w:id="0">
    <w:p w14:paraId="03A5C8A1" w14:textId="77777777" w:rsidR="00AD5BBA" w:rsidRDefault="00AD5BB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3092EA-5809-4E99-AC2B-D217BF8DD25A}"/>
    <w:embedBold r:id="rId2" w:fontKey="{F07176A3-3436-4ACD-A486-33112DDBCC7A}"/>
    <w:embedItalic r:id="rId3" w:fontKey="{4BE04DC7-92BF-4B68-B3D8-E8EEED6E8BEE}"/>
    <w:embedBoldItalic r:id="rId4" w:fontKey="{CF149946-0274-4B40-A8F0-88598523DF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82B55FA-585F-4AC0-9807-4B2CFC0A583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4A6F26C-8386-4DBF-B2C7-6574BF496BD6}"/>
    <w:embedBold r:id="rId7" w:fontKey="{FF7398D7-3116-42C6-81C7-28AE66DAD045}"/>
    <w:embedItalic r:id="rId8" w:fontKey="{ABD9DB21-6AF3-4BB5-A1A8-DFD20B9DDF1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2FFE1859-D677-4172-A8A5-1A56FDEF8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92157" w14:textId="77777777" w:rsidR="00AD5BBA" w:rsidRDefault="00AD5BBA" w:rsidP="009276B2">
      <w:pPr>
        <w:spacing w:after="0" w:line="240" w:lineRule="auto"/>
      </w:pPr>
      <w:r>
        <w:separator/>
      </w:r>
    </w:p>
  </w:footnote>
  <w:footnote w:type="continuationSeparator" w:id="0">
    <w:p w14:paraId="4E78E59B" w14:textId="77777777" w:rsidR="00AD5BBA" w:rsidRDefault="00AD5BB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7740668B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DLI-II.7621.</w:t>
    </w:r>
    <w:r w:rsidR="0083254C">
      <w:rPr>
        <w:sz w:val="18"/>
        <w:szCs w:val="18"/>
      </w:rPr>
      <w:t>10</w:t>
    </w:r>
    <w:r w:rsidRPr="00253841">
      <w:rPr>
        <w:sz w:val="18"/>
        <w:szCs w:val="18"/>
      </w:rPr>
      <w:t>.202</w:t>
    </w:r>
    <w:r w:rsidR="0083254C">
      <w:rPr>
        <w:sz w:val="18"/>
        <w:szCs w:val="18"/>
      </w:rPr>
      <w:t>2</w:t>
    </w:r>
    <w:r w:rsidRPr="00253841">
      <w:rPr>
        <w:sz w:val="18"/>
        <w:szCs w:val="18"/>
      </w:rPr>
      <w:t>.BW.</w:t>
    </w:r>
    <w:r w:rsidR="0083254C">
      <w:rPr>
        <w:sz w:val="18"/>
        <w:szCs w:val="18"/>
      </w:rPr>
      <w:t>20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20CA"/>
    <w:rsid w:val="000E5528"/>
    <w:rsid w:val="00100315"/>
    <w:rsid w:val="00113528"/>
    <w:rsid w:val="00121110"/>
    <w:rsid w:val="001236B0"/>
    <w:rsid w:val="00133ED2"/>
    <w:rsid w:val="0013768B"/>
    <w:rsid w:val="00166A88"/>
    <w:rsid w:val="00183B62"/>
    <w:rsid w:val="001A15A8"/>
    <w:rsid w:val="001B70EB"/>
    <w:rsid w:val="001F12CC"/>
    <w:rsid w:val="002065B0"/>
    <w:rsid w:val="00210498"/>
    <w:rsid w:val="00253841"/>
    <w:rsid w:val="00274D44"/>
    <w:rsid w:val="002830CF"/>
    <w:rsid w:val="002858BD"/>
    <w:rsid w:val="002C3BC1"/>
    <w:rsid w:val="002E0C9D"/>
    <w:rsid w:val="00327064"/>
    <w:rsid w:val="00343A14"/>
    <w:rsid w:val="00347360"/>
    <w:rsid w:val="00362CAD"/>
    <w:rsid w:val="00371EB2"/>
    <w:rsid w:val="00397E9E"/>
    <w:rsid w:val="003A1976"/>
    <w:rsid w:val="003B56D5"/>
    <w:rsid w:val="003C123B"/>
    <w:rsid w:val="003D2AD6"/>
    <w:rsid w:val="003F0446"/>
    <w:rsid w:val="004025B3"/>
    <w:rsid w:val="004116FD"/>
    <w:rsid w:val="00421744"/>
    <w:rsid w:val="00427C1C"/>
    <w:rsid w:val="00430DA7"/>
    <w:rsid w:val="00441155"/>
    <w:rsid w:val="00475A9A"/>
    <w:rsid w:val="00486166"/>
    <w:rsid w:val="004A2223"/>
    <w:rsid w:val="004B4C9F"/>
    <w:rsid w:val="004C3710"/>
    <w:rsid w:val="004D05B2"/>
    <w:rsid w:val="004D69F2"/>
    <w:rsid w:val="004F5D02"/>
    <w:rsid w:val="0050790D"/>
    <w:rsid w:val="00533BA2"/>
    <w:rsid w:val="005478D2"/>
    <w:rsid w:val="0055213C"/>
    <w:rsid w:val="00557D28"/>
    <w:rsid w:val="00565D32"/>
    <w:rsid w:val="00571593"/>
    <w:rsid w:val="00574344"/>
    <w:rsid w:val="00584CC7"/>
    <w:rsid w:val="00590C4E"/>
    <w:rsid w:val="0059434A"/>
    <w:rsid w:val="005D01A8"/>
    <w:rsid w:val="005E56C6"/>
    <w:rsid w:val="005F0C35"/>
    <w:rsid w:val="00601DE0"/>
    <w:rsid w:val="00621ACA"/>
    <w:rsid w:val="00625B62"/>
    <w:rsid w:val="0062710A"/>
    <w:rsid w:val="006410DE"/>
    <w:rsid w:val="00647AF4"/>
    <w:rsid w:val="00673E82"/>
    <w:rsid w:val="00680A57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23C1F"/>
    <w:rsid w:val="0082784A"/>
    <w:rsid w:val="008307A9"/>
    <w:rsid w:val="0083254C"/>
    <w:rsid w:val="0084769A"/>
    <w:rsid w:val="008536E7"/>
    <w:rsid w:val="00871E47"/>
    <w:rsid w:val="00884317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96C47"/>
    <w:rsid w:val="00A00835"/>
    <w:rsid w:val="00A22D75"/>
    <w:rsid w:val="00A25FC9"/>
    <w:rsid w:val="00A549AE"/>
    <w:rsid w:val="00A570D3"/>
    <w:rsid w:val="00A8317A"/>
    <w:rsid w:val="00AD5BBA"/>
    <w:rsid w:val="00AD6984"/>
    <w:rsid w:val="00AE3BC3"/>
    <w:rsid w:val="00AE6415"/>
    <w:rsid w:val="00B01F6C"/>
    <w:rsid w:val="00B06E81"/>
    <w:rsid w:val="00B20AD8"/>
    <w:rsid w:val="00B36262"/>
    <w:rsid w:val="00B726EE"/>
    <w:rsid w:val="00B74F9A"/>
    <w:rsid w:val="00B84D3E"/>
    <w:rsid w:val="00B87744"/>
    <w:rsid w:val="00B87DB2"/>
    <w:rsid w:val="00BA0B52"/>
    <w:rsid w:val="00BA0BEF"/>
    <w:rsid w:val="00BC1D6F"/>
    <w:rsid w:val="00BD1152"/>
    <w:rsid w:val="00BE522A"/>
    <w:rsid w:val="00BE6444"/>
    <w:rsid w:val="00BF1603"/>
    <w:rsid w:val="00C02531"/>
    <w:rsid w:val="00C201BF"/>
    <w:rsid w:val="00C27A76"/>
    <w:rsid w:val="00C33E46"/>
    <w:rsid w:val="00C44F50"/>
    <w:rsid w:val="00C52239"/>
    <w:rsid w:val="00C53987"/>
    <w:rsid w:val="00C75E22"/>
    <w:rsid w:val="00C8064A"/>
    <w:rsid w:val="00C85D56"/>
    <w:rsid w:val="00CD03DB"/>
    <w:rsid w:val="00CD0AA1"/>
    <w:rsid w:val="00CF1D4C"/>
    <w:rsid w:val="00CF21C3"/>
    <w:rsid w:val="00CF3E35"/>
    <w:rsid w:val="00D132C0"/>
    <w:rsid w:val="00D20787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A0334"/>
    <w:rsid w:val="00EB4EA7"/>
    <w:rsid w:val="00EE34A9"/>
    <w:rsid w:val="00F02AFB"/>
    <w:rsid w:val="00F05F16"/>
    <w:rsid w:val="00F116CE"/>
    <w:rsid w:val="00F13890"/>
    <w:rsid w:val="00F14E7B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892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7</cp:revision>
  <cp:lastPrinted>2023-11-03T09:31:00Z</cp:lastPrinted>
  <dcterms:created xsi:type="dcterms:W3CDTF">2024-07-24T09:10:00Z</dcterms:created>
  <dcterms:modified xsi:type="dcterms:W3CDTF">2024-07-24T12:33:00Z</dcterms:modified>
</cp:coreProperties>
</file>