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E37C" w14:textId="77777777" w:rsidR="004B219F" w:rsidRDefault="004B219F">
      <w:pPr>
        <w:spacing w:line="240" w:lineRule="exact"/>
        <w:rPr>
          <w:sz w:val="19"/>
          <w:szCs w:val="19"/>
        </w:rPr>
      </w:pPr>
    </w:p>
    <w:p w14:paraId="385AE6A3" w14:textId="77777777" w:rsidR="004B219F" w:rsidRDefault="004B219F">
      <w:pPr>
        <w:spacing w:before="79" w:after="79" w:line="240" w:lineRule="exact"/>
        <w:rPr>
          <w:sz w:val="19"/>
          <w:szCs w:val="19"/>
        </w:rPr>
      </w:pPr>
    </w:p>
    <w:p w14:paraId="124EC5D9" w14:textId="77777777" w:rsidR="004B219F" w:rsidRDefault="004B219F">
      <w:pPr>
        <w:spacing w:line="1" w:lineRule="exact"/>
        <w:sectPr w:rsidR="004B219F">
          <w:pgSz w:w="11900" w:h="16840"/>
          <w:pgMar w:top="1407" w:right="1399" w:bottom="2028" w:left="1381" w:header="0" w:footer="3" w:gutter="0"/>
          <w:pgNumType w:start="1"/>
          <w:cols w:space="720"/>
          <w:noEndnote/>
          <w:docGrid w:linePitch="360"/>
        </w:sectPr>
      </w:pPr>
    </w:p>
    <w:p w14:paraId="7308C602" w14:textId="77777777" w:rsidR="004B219F" w:rsidRDefault="00474678">
      <w:pPr>
        <w:pStyle w:val="Tekstpodstawowy"/>
        <w:spacing w:line="240" w:lineRule="auto"/>
        <w:jc w:val="right"/>
      </w:pPr>
      <w:r>
        <w:rPr>
          <w:rStyle w:val="TekstpodstawowyZnak"/>
        </w:rPr>
        <w:t>Wodzisław Śląski, 15 czerwca 2026 r</w:t>
      </w:r>
    </w:p>
    <w:p w14:paraId="32A13310" w14:textId="77777777" w:rsidR="004B219F" w:rsidRDefault="00474678">
      <w:pPr>
        <w:pStyle w:val="Tekstpodstawowy"/>
      </w:pPr>
      <w:r>
        <w:rPr>
          <w:rStyle w:val="TekstpodstawowyZnak"/>
        </w:rPr>
        <w:t>WOS.6150.4.2025</w:t>
      </w:r>
    </w:p>
    <w:p w14:paraId="6D30BBDC" w14:textId="77777777" w:rsidR="004B219F" w:rsidRDefault="00474678">
      <w:pPr>
        <w:pStyle w:val="Tekstpodstawowy"/>
        <w:spacing w:after="0"/>
        <w:jc w:val="center"/>
      </w:pPr>
      <w:r>
        <w:rPr>
          <w:rStyle w:val="TekstpodstawowyZnak"/>
          <w:b/>
          <w:bCs/>
        </w:rPr>
        <w:t>Szanowna Pani</w:t>
      </w:r>
    </w:p>
    <w:p w14:paraId="01A3D8F8" w14:textId="77777777" w:rsidR="004B219F" w:rsidRDefault="00474678">
      <w:pPr>
        <w:pStyle w:val="Tekstpodstawowy"/>
        <w:jc w:val="center"/>
      </w:pPr>
      <w:r>
        <w:rPr>
          <w:rStyle w:val="TekstpodstawowyZnak"/>
          <w:b/>
          <w:bCs/>
        </w:rPr>
        <w:t xml:space="preserve">Paulina </w:t>
      </w:r>
      <w:proofErr w:type="spellStart"/>
      <w:r>
        <w:rPr>
          <w:rStyle w:val="TekstpodstawowyZnak"/>
          <w:b/>
          <w:bCs/>
        </w:rPr>
        <w:t>Hennig</w:t>
      </w:r>
      <w:proofErr w:type="spellEnd"/>
      <w:r>
        <w:rPr>
          <w:rStyle w:val="TekstpodstawowyZnak"/>
          <w:b/>
          <w:bCs/>
        </w:rPr>
        <w:t xml:space="preserve"> – Kloska</w:t>
      </w:r>
      <w:r>
        <w:rPr>
          <w:rStyle w:val="TekstpodstawowyZnak"/>
          <w:b/>
          <w:bCs/>
        </w:rPr>
        <w:br/>
        <w:t>Minister Klimatu i Środowiska</w:t>
      </w:r>
      <w:r>
        <w:rPr>
          <w:rStyle w:val="TekstpodstawowyZnak"/>
          <w:b/>
          <w:bCs/>
        </w:rPr>
        <w:br/>
        <w:t>ul. Wawelska 52/54</w:t>
      </w:r>
      <w:r>
        <w:rPr>
          <w:rStyle w:val="TekstpodstawowyZnak"/>
          <w:b/>
          <w:bCs/>
        </w:rPr>
        <w:br/>
        <w:t>00 – 922 Warszawa</w:t>
      </w:r>
    </w:p>
    <w:p w14:paraId="05C740E5" w14:textId="77777777" w:rsidR="004B219F" w:rsidRDefault="00474678">
      <w:pPr>
        <w:pStyle w:val="Tekstpodstawowy"/>
      </w:pPr>
      <w:r>
        <w:rPr>
          <w:rStyle w:val="TekstpodstawowyZnak"/>
        </w:rPr>
        <w:t>W Powiecie Wodzisławskim istnieje narastający problem związany z bytowaniem zwierzyny dzikiej, zwłaszcza z gatunku dzik (</w:t>
      </w:r>
      <w:r>
        <w:rPr>
          <w:rStyle w:val="TekstpodstawowyZnak"/>
          <w:i/>
          <w:iCs/>
        </w:rPr>
        <w:t xml:space="preserve">Sus </w:t>
      </w:r>
      <w:proofErr w:type="spellStart"/>
      <w:r>
        <w:rPr>
          <w:rStyle w:val="TekstpodstawowyZnak"/>
          <w:i/>
          <w:iCs/>
        </w:rPr>
        <w:t>scrofa</w:t>
      </w:r>
      <w:proofErr w:type="spellEnd"/>
      <w:r>
        <w:rPr>
          <w:rStyle w:val="TekstpodstawowyZnak"/>
        </w:rPr>
        <w:t>) w najbliższym sąsiedztwie siedzib ludzkich. Mieszkańcy kolejnych miast i gmin (Miasto Wodzisław Śląski, Miasto Pszów, Miasto Radlin, Miasto Rydułtowy, Gmina Mszana) oraz włodarze tych jednostek samorządu kierują do Starosty Wodzisławskiego wystąpienia, wskazując na przepis art. 45 ust. 3 ustawy z dnia 13 października 1995 r. Prawo łowieckie (t. j. Dz. U. z 2025 r., poz. 539, dalej: PŁ), jako właściwy i możliwy do zastosowania sposób reakcji organu samorządu.</w:t>
      </w:r>
    </w:p>
    <w:p w14:paraId="48113768" w14:textId="77777777" w:rsidR="004B219F" w:rsidRDefault="00474678">
      <w:pPr>
        <w:pStyle w:val="Tekstpodstawowy"/>
      </w:pPr>
      <w:r>
        <w:rPr>
          <w:rStyle w:val="TekstpodstawowyZnak"/>
        </w:rPr>
        <w:t>Tymczasem decyzja o odstrzale redukcyjnym nie stanowi (wbrew wielu opiniom) uniwersalnego remedium na problem bytowania dzikiej zwierzyny w obrębie siedzib ludzkich Przede wszystkim zwrócić trzeba uwagę, że możliwość zastosowania ww. normy PŁ zaistnieje jedynie w określonej, kwalifikowanej sytuacji (</w:t>
      </w:r>
      <w:r>
        <w:rPr>
          <w:rStyle w:val="TekstpodstawowyZnak"/>
          <w:i/>
          <w:iCs/>
        </w:rPr>
        <w:t>w przypadku szczególnego zagrożenia w prawidłowym funkcjonowaniu obiektów produkcyjnych i użyteczności publicznej przez zwierzynę</w:t>
      </w:r>
      <w:r>
        <w:rPr>
          <w:rStyle w:val="TekstpodstawowyZnak"/>
        </w:rPr>
        <w:t xml:space="preserve">). Po drugie starosta nie jest zobowiązany do wydania decyzji. Jej wydanie ma charakter fakultatywny. Po trzecie dla mieszkańców zgłaszających problem kluczowym jest </w:t>
      </w:r>
      <w:r>
        <w:rPr>
          <w:rStyle w:val="TekstpodstawowyZnak"/>
          <w:b/>
          <w:bCs/>
        </w:rPr>
        <w:t xml:space="preserve">zagrożenie dla bezpieczeństwa osób </w:t>
      </w:r>
      <w:r>
        <w:rPr>
          <w:rStyle w:val="TekstpodstawowyZnak"/>
        </w:rPr>
        <w:t xml:space="preserve">(w tym seniorów i dzieci). Właśnie owo poczucie zagrożenia, skutkujące obawą o życie i zdrowie </w:t>
      </w:r>
      <w:proofErr w:type="gramStart"/>
      <w:r>
        <w:rPr>
          <w:rStyle w:val="TekstpodstawowyZnak"/>
        </w:rPr>
        <w:t>przejawia</w:t>
      </w:r>
      <w:proofErr w:type="gramEnd"/>
      <w:r>
        <w:rPr>
          <w:rStyle w:val="TekstpodstawowyZnak"/>
        </w:rPr>
        <w:t xml:space="preserve"> się jako motyw wiodący zarówno zgłoszeń mieszkańców miast i wsi, jak również </w:t>
      </w:r>
      <w:r>
        <w:rPr>
          <w:rStyle w:val="TekstpodstawowyZnak"/>
        </w:rPr>
        <w:t xml:space="preserve">wystąpień włodarzy jednostek samorządu terytorialnego. Z kolei takie podejście sugerowałby rozwiązywanie problemu w ramach normy zawartej w przepisie art. 7 ust. 1 pkt 14) ustawy z dnia 8 marca 1990 </w:t>
      </w:r>
      <w:proofErr w:type="spellStart"/>
      <w:r>
        <w:rPr>
          <w:rStyle w:val="TekstpodstawowyZnak"/>
        </w:rPr>
        <w:t>r.o</w:t>
      </w:r>
      <w:proofErr w:type="spellEnd"/>
      <w:r>
        <w:rPr>
          <w:rStyle w:val="TekstpodstawowyZnak"/>
        </w:rPr>
        <w:t xml:space="preserve"> samorządzie gminnym (t. j. Dz. U. z 2025 r., poz. 1153 ze zm.).</w:t>
      </w:r>
    </w:p>
    <w:p w14:paraId="5787682E" w14:textId="77777777" w:rsidR="004B219F" w:rsidRDefault="00474678">
      <w:pPr>
        <w:pStyle w:val="Tekstpodstawowy"/>
      </w:pPr>
      <w:r>
        <w:rPr>
          <w:rStyle w:val="TekstpodstawowyZnak"/>
        </w:rPr>
        <w:t xml:space="preserve">Nie budzi wątpliwości zakres kompetencji do wydania decyzji wskazanej w ww. przepis PŁ. Jednakże Starosta Wodzisławski stoi na stanowisku, że prowadzenie postępowania w oparciu o przepis art. 45 ust. 3 ustawy z dnia 13 października 1995 r. Prawo łowieckie (t. j. Dz. U. z 2025 r., poz. 539) </w:t>
      </w:r>
      <w:r>
        <w:rPr>
          <w:rStyle w:val="TekstpodstawowyZnak"/>
          <w:b/>
          <w:bCs/>
        </w:rPr>
        <w:t xml:space="preserve">nie jest zadaniem własnym powiatu </w:t>
      </w:r>
      <w:r>
        <w:rPr>
          <w:rStyle w:val="TekstpodstawowyZnak"/>
        </w:rPr>
        <w:t>jako jednostki samorządu terytorialnego. Zadania te określa przepis art. 4 ust. 1 ustawy z dnia 5 czerwca 1998 r. o samorządzie powiatowym (t. j. Dz. U. z 2025 r., poz. 1648) precyzyjnie i szeroko wskazując na obszary i dziedziny, w których powiat posiada swe kompetencje. Podkreślenia wymaga, że powyżej wskazana regulacja jest mocno rozbudowana. Gdyby zamysłem racjonalnego ustawodawcy było wskazanie na zadania z zakresu łowiectwa jako własne powiatu, to znalazłoby to swe od</w:t>
      </w:r>
      <w:r>
        <w:rPr>
          <w:rStyle w:val="TekstpodstawowyZnak"/>
        </w:rPr>
        <w:t>zwierciedlenie w przepisie art. 4 ust. 1 ww. ustawy. Wobec czego</w:t>
      </w:r>
    </w:p>
    <w:p w14:paraId="29ABB49C" w14:textId="77777777" w:rsidR="004B219F" w:rsidRDefault="00474678">
      <w:pPr>
        <w:pStyle w:val="Tekstpodstawowy"/>
      </w:pPr>
      <w:r>
        <w:rPr>
          <w:rStyle w:val="TekstpodstawowyZnak"/>
        </w:rPr>
        <w:t xml:space="preserve">sfinansowanie przez Starostę przeprowadzenia odłowu, odłowu wraz z uśmierceniem lub odstrzału redukcyjnego zwierzyny </w:t>
      </w:r>
      <w:r>
        <w:rPr>
          <w:rStyle w:val="TekstpodstawowyZnak"/>
          <w:b/>
          <w:bCs/>
        </w:rPr>
        <w:t xml:space="preserve">stanowiłoby w świetle aktualnie obowiązujących </w:t>
      </w:r>
      <w:r>
        <w:rPr>
          <w:rStyle w:val="TekstpodstawowyZnak"/>
          <w:b/>
          <w:bCs/>
        </w:rPr>
        <w:lastRenderedPageBreak/>
        <w:t>przepisów naruszenie i przekroczenie dyscypliny finansów publicznych</w:t>
      </w:r>
      <w:r>
        <w:rPr>
          <w:rStyle w:val="TekstpodstawowyZnak"/>
        </w:rPr>
        <w:t>, co zostało potwierdzone stanowiskiem regionalnych izb obrachunkowych (w Katowicach, w Krakowie, w Warszawie), które sprawując nadzór oraz kontrolę nad finansami jednostek samorządu terytorialnego uchylają uchwały finansowe jednostek samorządu terytorialnego, w których przeznacza się środki samorządów na realizację decyzji z art. 45 ust. 3 PŁ. Przemawiają za tym także orzeczenia sądów administ</w:t>
      </w:r>
      <w:r>
        <w:rPr>
          <w:rStyle w:val="TekstpodstawowyZnak"/>
        </w:rPr>
        <w:t>racyjnych, w tym Naczelnego Sądu Administracyjnego (</w:t>
      </w:r>
      <w:r>
        <w:rPr>
          <w:rStyle w:val="TekstpodstawowyZnak"/>
          <w:i/>
          <w:iCs/>
        </w:rPr>
        <w:t>vide</w:t>
      </w:r>
      <w:r>
        <w:rPr>
          <w:rStyle w:val="TekstpodstawowyZnak"/>
        </w:rPr>
        <w:t xml:space="preserve"> np.: postanowienie Naczelnego Sądu Administracyjnego z dnia 20 listopada 2020 r., sygn. akt OW 90/20, LEX nr 3089516; wyrok Naczelnego Sądu Administracyjnego z dnia 15 czerwca 2016 r., sygn. akt GSK 2198/14, LEX nr 2207289 czy wyrok Wojewódzkiego Sądu Administracyjnego w Krakowie z dnia 16 października 2025 r., sygn. akt SA/Kr 968/25, LEX nr 3940002).</w:t>
      </w:r>
    </w:p>
    <w:p w14:paraId="3B3C9632" w14:textId="77777777" w:rsidR="004B219F" w:rsidRDefault="00474678">
      <w:pPr>
        <w:pStyle w:val="Tekstpodstawowy"/>
      </w:pPr>
      <w:r>
        <w:rPr>
          <w:rStyle w:val="TekstpodstawowyZnak"/>
        </w:rPr>
        <w:t xml:space="preserve">Skoro żaden z przepisów PŁ nie wskazuje, że zadanie określone w przepisie art. 45 ust. 3 ww. ustawy jest zadaniem własnym powiatu, nie sposób w prawidłowy i logicznie poprawny sposób wywieść takiego wniosku. Co więcej, zgodnie z przepisem art. 2 PŁ zwierzęta łowne w stanie </w:t>
      </w:r>
      <w:proofErr w:type="gramStart"/>
      <w:r>
        <w:rPr>
          <w:rStyle w:val="TekstpodstawowyZnak"/>
        </w:rPr>
        <w:t>wolnym,</w:t>
      </w:r>
      <w:proofErr w:type="gramEnd"/>
      <w:r>
        <w:rPr>
          <w:rStyle w:val="TekstpodstawowyZnak"/>
        </w:rPr>
        <w:t xml:space="preserve"> jako dobro ogólnonarodowe, stanowią własność Skarbu Państwa. Wobec czego źródeł odpowiedzialności finansowanej tego ostatniego można by z powodzeniem poszukiwać nawet w ogólnych zasadach ustawy z dnia 23 kwietnia 1964 r. Kodeks cywilny (t. j. z </w:t>
      </w:r>
      <w:proofErr w:type="gramStart"/>
      <w:r>
        <w:rPr>
          <w:rStyle w:val="TekstpodstawowyZnak"/>
        </w:rPr>
        <w:t>2025r.</w:t>
      </w:r>
      <w:proofErr w:type="gramEnd"/>
      <w:r>
        <w:rPr>
          <w:rStyle w:val="TekstpodstawowyZnak"/>
        </w:rPr>
        <w:t xml:space="preserve"> poz. 1071 ze zm.). Nie bez znaczenia pozostaje także, że dochody uzyskane ze sprzedaży tusz zwierzęcych pozyskanych w wyniku odstrzału redukcyjnego należne są w całości Skarbowi Państwa. Z jednej strony jest to logiczna i słuszna konsekwencja normy art</w:t>
      </w:r>
      <w:r>
        <w:rPr>
          <w:rStyle w:val="TekstpodstawowyZnak"/>
        </w:rPr>
        <w:t>. 2 PŁ. Z drugiej zaś jest jasnym, że skoro Skarb Państwa uzyskuje dochód z przeprowadzenia odstrzału, to również finansowanie takiego odstrzału jest niezaprzeczalnym obowiązkiem Skarbu Państwa.</w:t>
      </w:r>
    </w:p>
    <w:p w14:paraId="1D620B0E" w14:textId="2A5F9920" w:rsidR="004B219F" w:rsidRDefault="00474678" w:rsidP="00ED0F45">
      <w:pPr>
        <w:pStyle w:val="Tekstpodstawowy"/>
        <w:tabs>
          <w:tab w:val="left" w:pos="6480"/>
        </w:tabs>
        <w:spacing w:after="0"/>
        <w:rPr>
          <w:rStyle w:val="TekstpodstawowyZnak"/>
        </w:rPr>
      </w:pPr>
      <w:r>
        <w:rPr>
          <w:rStyle w:val="TekstpodstawowyZnak"/>
        </w:rPr>
        <w:t>Naczelnym organem administracji rządowej w zakresie łowiectwa jest minister właściwy do spraw środowiska (art. 6 PŁ). Mając zatem na uwadze powyższe oraz działając w imieniu i na rzecz lokalnej wspólnoty samorządowej</w:t>
      </w:r>
      <w:r w:rsidR="00ED0F45">
        <w:rPr>
          <w:rStyle w:val="TekstpodstawowyZnak"/>
        </w:rPr>
        <w:t xml:space="preserve">             </w:t>
      </w:r>
      <w:r>
        <w:rPr>
          <w:rStyle w:val="TekstpodstawowyZnak"/>
        </w:rPr>
        <w:t xml:space="preserve">przedkłada </w:t>
      </w:r>
      <w:r>
        <w:rPr>
          <w:rStyle w:val="TekstpodstawowyZnak"/>
          <w:b/>
          <w:bCs/>
        </w:rPr>
        <w:t>wniosek</w:t>
      </w:r>
      <w:r w:rsidR="00ED0F45">
        <w:t xml:space="preserve"> </w:t>
      </w:r>
      <w:r>
        <w:rPr>
          <w:rStyle w:val="TekstpodstawowyZnak"/>
          <w:b/>
          <w:bCs/>
        </w:rPr>
        <w:t xml:space="preserve">legislacyjny </w:t>
      </w:r>
      <w:r>
        <w:rPr>
          <w:rStyle w:val="TekstpodstawowyZnak"/>
        </w:rPr>
        <w:t xml:space="preserve">zmierzający do takiej zmiany w relewantnych normach PŁ, która w sposób jednoznaczny wskaże charakter zadania przewidzianego w przepisie art. 45 ust. ww. ustawy, a co za tym idzie jednoznacznie rozstrzygnie zagadnienie podmiotu zobowiązanego, ale przede wszystkim uprawnionego do finasowania odłowu, odłowu wraz z uśmierceniem lub odstrzału redukcyjnego zwierzyny. Rozwiązanie funkcjonujące </w:t>
      </w:r>
      <w:r>
        <w:rPr>
          <w:rStyle w:val="TekstpodstawowyZnak"/>
          <w:i/>
          <w:iCs/>
        </w:rPr>
        <w:t>de lege lata</w:t>
      </w:r>
      <w:r>
        <w:rPr>
          <w:rStyle w:val="TekstpodstawowyZnak"/>
        </w:rPr>
        <w:t xml:space="preserve"> uniemożliwia prawidłową i szybką reakcję na zgłaszane przez mieszkańców problemy i stać się może</w:t>
      </w:r>
      <w:r>
        <w:rPr>
          <w:rStyle w:val="TekstpodstawowyZnak"/>
        </w:rPr>
        <w:t xml:space="preserve"> przyczyną poważnych zdarzeń i szkód.</w:t>
      </w:r>
    </w:p>
    <w:p w14:paraId="0DCD8722" w14:textId="77777777" w:rsidR="00ED0F45" w:rsidRDefault="00ED0F45" w:rsidP="00ED0F45">
      <w:pPr>
        <w:pStyle w:val="Tekstpodstawowy"/>
        <w:tabs>
          <w:tab w:val="left" w:pos="6480"/>
        </w:tabs>
        <w:spacing w:after="0"/>
        <w:rPr>
          <w:rStyle w:val="TekstpodstawowyZnak"/>
        </w:rPr>
      </w:pPr>
    </w:p>
    <w:p w14:paraId="5FAFE19E" w14:textId="77777777" w:rsidR="00ED0F45" w:rsidRDefault="00ED0F45" w:rsidP="00ED0F45">
      <w:pPr>
        <w:pStyle w:val="Tekstpodstawowy"/>
        <w:tabs>
          <w:tab w:val="left" w:pos="6480"/>
        </w:tabs>
        <w:spacing w:after="0"/>
      </w:pPr>
    </w:p>
    <w:p w14:paraId="554ED3CE" w14:textId="77777777" w:rsidR="004B219F" w:rsidRDefault="00474678">
      <w:pPr>
        <w:pStyle w:val="Tekstpodstawowy"/>
        <w:spacing w:after="0" w:line="240" w:lineRule="auto"/>
      </w:pPr>
      <w:r>
        <w:rPr>
          <w:rStyle w:val="TekstpodstawowyZnak"/>
        </w:rPr>
        <w:t>Otrzymują:</w:t>
      </w:r>
    </w:p>
    <w:p w14:paraId="4C2056C2" w14:textId="77777777" w:rsidR="004B219F" w:rsidRDefault="00474678">
      <w:pPr>
        <w:pStyle w:val="Tekstpodstawowy"/>
        <w:numPr>
          <w:ilvl w:val="0"/>
          <w:numId w:val="1"/>
        </w:numPr>
        <w:tabs>
          <w:tab w:val="left" w:pos="730"/>
        </w:tabs>
        <w:spacing w:after="0" w:line="240" w:lineRule="auto"/>
        <w:ind w:firstLine="380"/>
      </w:pPr>
      <w:r>
        <w:rPr>
          <w:rStyle w:val="TekstpodstawowyZnak"/>
        </w:rPr>
        <w:t>Adresat (</w:t>
      </w:r>
      <w:proofErr w:type="spellStart"/>
      <w:r>
        <w:rPr>
          <w:rStyle w:val="TekstpodstawowyZnak"/>
        </w:rPr>
        <w:t>eDoręczenia</w:t>
      </w:r>
      <w:proofErr w:type="spellEnd"/>
      <w:r>
        <w:rPr>
          <w:rStyle w:val="TekstpodstawowyZnak"/>
        </w:rPr>
        <w:t>)</w:t>
      </w:r>
    </w:p>
    <w:p w14:paraId="0FAD30EA" w14:textId="77777777" w:rsidR="004B219F" w:rsidRDefault="00474678">
      <w:pPr>
        <w:pStyle w:val="Tekstpodstawowy"/>
        <w:numPr>
          <w:ilvl w:val="0"/>
          <w:numId w:val="1"/>
        </w:numPr>
        <w:tabs>
          <w:tab w:val="left" w:pos="730"/>
        </w:tabs>
        <w:spacing w:line="240" w:lineRule="auto"/>
        <w:ind w:firstLine="380"/>
      </w:pPr>
      <w:r>
        <w:rPr>
          <w:rStyle w:val="TekstpodstawowyZnak"/>
        </w:rPr>
        <w:t>aa</w:t>
      </w:r>
    </w:p>
    <w:sectPr w:rsidR="004B219F">
      <w:type w:val="continuous"/>
      <w:pgSz w:w="11900" w:h="16840"/>
      <w:pgMar w:top="1407" w:right="1399" w:bottom="2028" w:left="1381" w:header="979" w:footer="16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6058" w14:textId="77777777" w:rsidR="00474678" w:rsidRDefault="00474678">
      <w:r>
        <w:separator/>
      </w:r>
    </w:p>
  </w:endnote>
  <w:endnote w:type="continuationSeparator" w:id="0">
    <w:p w14:paraId="60CC7492" w14:textId="77777777" w:rsidR="00474678" w:rsidRDefault="0047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8BA2" w14:textId="77777777" w:rsidR="00474678" w:rsidRDefault="00474678"/>
  </w:footnote>
  <w:footnote w:type="continuationSeparator" w:id="0">
    <w:p w14:paraId="5A78AF17" w14:textId="77777777" w:rsidR="00474678" w:rsidRDefault="004746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3481E"/>
    <w:multiLevelType w:val="multilevel"/>
    <w:tmpl w:val="081EAD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002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9F"/>
    <w:rsid w:val="00264B5C"/>
    <w:rsid w:val="00474678"/>
    <w:rsid w:val="004B219F"/>
    <w:rsid w:val="00ED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CA6D"/>
  <w15:docId w15:val="{B318D977-C798-4D3C-8C23-6DA9E74C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">
    <w:name w:val="Picture caption_"/>
    <w:basedOn w:val="Domylnaczcionkaakapitu"/>
    <w:link w:val="Picturecaptio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13130"/>
      <w:sz w:val="16"/>
      <w:szCs w:val="16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13130"/>
      <w:sz w:val="16"/>
      <w:szCs w:val="16"/>
      <w:u w:val="none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icturecaption0">
    <w:name w:val="Picture caption"/>
    <w:basedOn w:val="Normalny"/>
    <w:link w:val="Picturecaption"/>
    <w:pPr>
      <w:jc w:val="center"/>
    </w:pPr>
    <w:rPr>
      <w:rFonts w:ascii="Calibri" w:eastAsia="Calibri" w:hAnsi="Calibri" w:cs="Calibri"/>
      <w:color w:val="313130"/>
      <w:sz w:val="16"/>
      <w:szCs w:val="16"/>
    </w:rPr>
  </w:style>
  <w:style w:type="paragraph" w:customStyle="1" w:styleId="Bodytext20">
    <w:name w:val="Body text (2)"/>
    <w:basedOn w:val="Normalny"/>
    <w:link w:val="Bodytext2"/>
    <w:rPr>
      <w:rFonts w:ascii="Calibri" w:eastAsia="Calibri" w:hAnsi="Calibri" w:cs="Calibri"/>
      <w:color w:val="313130"/>
      <w:sz w:val="16"/>
      <w:szCs w:val="16"/>
      <w:lang w:val="en-US" w:eastAsia="en-US"/>
    </w:rPr>
  </w:style>
  <w:style w:type="paragraph" w:styleId="Tekstpodstawowy">
    <w:name w:val="Body Text"/>
    <w:basedOn w:val="Normalny"/>
    <w:link w:val="TekstpodstawowyZnak"/>
    <w:qFormat/>
    <w:pPr>
      <w:spacing w:after="22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Rozalia Kozioł</dc:creator>
  <cp:keywords/>
  <cp:lastModifiedBy>Zygadlewicz Małgorzata</cp:lastModifiedBy>
  <cp:revision>2</cp:revision>
  <dcterms:created xsi:type="dcterms:W3CDTF">2026-06-16T10:33:00Z</dcterms:created>
  <dcterms:modified xsi:type="dcterms:W3CDTF">2026-06-16T10:34:00Z</dcterms:modified>
</cp:coreProperties>
</file>