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0F32" w14:textId="77777777" w:rsidR="002178E4" w:rsidRDefault="00BB3C0A">
      <w:pPr>
        <w:spacing w:after="129" w:line="259" w:lineRule="auto"/>
        <w:ind w:left="-1394" w:firstLine="0"/>
        <w:jc w:val="left"/>
      </w:pPr>
      <w:r>
        <w:rPr>
          <w:noProof/>
        </w:rPr>
        <w:drawing>
          <wp:inline distT="0" distB="0" distL="0" distR="0" wp14:anchorId="325EB080" wp14:editId="75A5FB68">
            <wp:extent cx="3146425" cy="106172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7A40A" w14:textId="77777777" w:rsidR="002178E4" w:rsidRDefault="00BB3C0A">
      <w:pPr>
        <w:spacing w:after="17" w:line="238" w:lineRule="auto"/>
        <w:ind w:left="71" w:right="3054"/>
        <w:jc w:val="left"/>
      </w:pPr>
      <w:r>
        <w:t xml:space="preserve">DGO-SGO.053.7.2025.MM </w:t>
      </w:r>
      <w:r>
        <w:rPr>
          <w:sz w:val="18"/>
        </w:rPr>
        <w:t>3880111.16021645.12974855</w:t>
      </w:r>
    </w:p>
    <w:p w14:paraId="67ACFA48" w14:textId="77777777" w:rsidR="002178E4" w:rsidRDefault="00BB3C0A">
      <w:pPr>
        <w:spacing w:after="317" w:line="259" w:lineRule="auto"/>
        <w:ind w:left="71"/>
      </w:pPr>
      <w:r>
        <w:t>Warszawa, 03-10-2025</w:t>
      </w:r>
    </w:p>
    <w:p w14:paraId="720A9683" w14:textId="77777777" w:rsidR="002178E4" w:rsidRDefault="00BB3C0A">
      <w:pPr>
        <w:spacing w:after="378" w:line="238" w:lineRule="auto"/>
        <w:ind w:left="71" w:right="-8"/>
        <w:jc w:val="left"/>
      </w:pPr>
      <w:r>
        <w:rPr>
          <w:b/>
          <w:sz w:val="18"/>
        </w:rPr>
        <w:t>Dotyczy:</w:t>
      </w:r>
      <w:r>
        <w:rPr>
          <w:sz w:val="18"/>
        </w:rPr>
        <w:t xml:space="preserve"> Zawiadomienie o sposobie </w:t>
      </w:r>
      <w:r>
        <w:rPr>
          <w:sz w:val="18"/>
        </w:rPr>
        <w:t>załatwienia</w:t>
      </w:r>
      <w:r>
        <w:rPr>
          <w:sz w:val="18"/>
        </w:rPr>
        <w:t xml:space="preserve"> petycji w sprawie deregulacji w zakresie </w:t>
      </w:r>
      <w:r>
        <w:rPr>
          <w:sz w:val="18"/>
        </w:rPr>
        <w:t>ułatwień</w:t>
      </w:r>
      <w:r>
        <w:rPr>
          <w:sz w:val="18"/>
        </w:rPr>
        <w:t xml:space="preserve"> dla </w:t>
      </w:r>
      <w:r>
        <w:rPr>
          <w:sz w:val="18"/>
        </w:rPr>
        <w:t>przedsiębiorców</w:t>
      </w:r>
      <w:r>
        <w:rPr>
          <w:sz w:val="18"/>
        </w:rPr>
        <w:t xml:space="preserve"> i uproszczenia przepisów gospodarczych.</w:t>
      </w:r>
    </w:p>
    <w:p w14:paraId="1B3D112F" w14:textId="77777777" w:rsidR="002178E4" w:rsidRDefault="00BB3C0A">
      <w:pPr>
        <w:spacing w:after="112" w:line="259" w:lineRule="auto"/>
        <w:ind w:left="76" w:firstLine="0"/>
        <w:jc w:val="left"/>
      </w:pPr>
      <w:r>
        <w:rPr>
          <w:rFonts w:ascii="Arial" w:eastAsia="Arial" w:hAnsi="Arial" w:cs="Arial"/>
          <w:b/>
        </w:rPr>
        <w:t xml:space="preserve">   </w:t>
      </w:r>
    </w:p>
    <w:p w14:paraId="10C8F9A4" w14:textId="77777777" w:rsidR="002178E4" w:rsidRDefault="00BB3C0A">
      <w:pPr>
        <w:spacing w:after="112" w:line="259" w:lineRule="auto"/>
        <w:ind w:left="76" w:firstLine="0"/>
        <w:jc w:val="left"/>
      </w:pPr>
      <w:r>
        <w:rPr>
          <w:rFonts w:ascii="Arial" w:eastAsia="Arial" w:hAnsi="Arial" w:cs="Arial"/>
          <w:b/>
        </w:rPr>
        <w:t xml:space="preserve">               </w:t>
      </w:r>
    </w:p>
    <w:p w14:paraId="091DB996" w14:textId="77777777" w:rsidR="002178E4" w:rsidRDefault="00BB3C0A">
      <w:pPr>
        <w:spacing w:after="472" w:line="259" w:lineRule="auto"/>
        <w:ind w:left="76" w:firstLine="0"/>
        <w:jc w:val="left"/>
      </w:pPr>
      <w:r>
        <w:rPr>
          <w:rFonts w:ascii="Arial" w:eastAsia="Arial" w:hAnsi="Arial" w:cs="Arial"/>
          <w:b/>
        </w:rPr>
        <w:t xml:space="preserve">                   </w:t>
      </w:r>
    </w:p>
    <w:p w14:paraId="54655B06" w14:textId="77777777" w:rsidR="002178E4" w:rsidRDefault="00BB3C0A">
      <w:pPr>
        <w:spacing w:after="96" w:line="259" w:lineRule="auto"/>
        <w:ind w:left="76" w:firstLine="0"/>
        <w:jc w:val="left"/>
      </w:pPr>
      <w:r>
        <w:rPr>
          <w:i/>
        </w:rPr>
        <w:t>Szanowny Panie,</w:t>
      </w:r>
    </w:p>
    <w:p w14:paraId="4F61E379" w14:textId="77777777" w:rsidR="002178E4" w:rsidRDefault="00BB3C0A">
      <w:pPr>
        <w:ind w:left="71"/>
      </w:pPr>
      <w:r>
        <w:t xml:space="preserve">W </w:t>
      </w:r>
      <w:r>
        <w:t>nawiązaniu</w:t>
      </w:r>
      <w:r>
        <w:t xml:space="preserve"> do pisma z dnia 27 marca 2025 r. (otrzymanego z Ministerstwa Rozwoju i Technologii w dniu 2 lipca 2025 r.) w pierwszej </w:t>
      </w:r>
      <w:r>
        <w:t>kolejności</w:t>
      </w:r>
      <w:r>
        <w:t xml:space="preserve"> </w:t>
      </w:r>
      <w:r>
        <w:t>pragnę</w:t>
      </w:r>
      <w:r>
        <w:t xml:space="preserve"> </w:t>
      </w:r>
      <w:r>
        <w:t>podziękować</w:t>
      </w:r>
      <w:r>
        <w:t xml:space="preserve"> za </w:t>
      </w:r>
      <w:r>
        <w:t>przesłanie</w:t>
      </w:r>
      <w:r>
        <w:t xml:space="preserve"> postulatów. </w:t>
      </w:r>
    </w:p>
    <w:p w14:paraId="7960812E" w14:textId="77777777" w:rsidR="002178E4" w:rsidRDefault="00BB3C0A">
      <w:pPr>
        <w:spacing w:after="219" w:line="259" w:lineRule="auto"/>
        <w:ind w:right="-15"/>
        <w:jc w:val="left"/>
      </w:pPr>
      <w:r>
        <w:rPr>
          <w:u w:val="single" w:color="000000"/>
        </w:rPr>
        <w:t>Jednocześnie</w:t>
      </w:r>
      <w:r>
        <w:rPr>
          <w:u w:val="single" w:color="000000"/>
        </w:rPr>
        <w:t xml:space="preserve"> </w:t>
      </w:r>
      <w:r>
        <w:rPr>
          <w:u w:val="single" w:color="000000"/>
        </w:rPr>
        <w:t>odnosząc</w:t>
      </w:r>
      <w:r>
        <w:rPr>
          <w:u w:val="single" w:color="000000"/>
        </w:rPr>
        <w:t xml:space="preserve"> </w:t>
      </w:r>
      <w:r>
        <w:rPr>
          <w:u w:val="single" w:color="000000"/>
        </w:rPr>
        <w:t>się</w:t>
      </w:r>
      <w:r>
        <w:rPr>
          <w:u w:val="single" w:color="000000"/>
        </w:rPr>
        <w:t xml:space="preserve"> do postulatów zamieszczonych w tabeli </w:t>
      </w:r>
      <w:r>
        <w:rPr>
          <w:u w:val="single" w:color="000000"/>
        </w:rPr>
        <w:t>informuję,</w:t>
      </w:r>
      <w:r>
        <w:rPr>
          <w:u w:val="single" w:color="000000"/>
        </w:rPr>
        <w:t xml:space="preserve"> </w:t>
      </w:r>
      <w:r>
        <w:rPr>
          <w:u w:val="single" w:color="000000"/>
        </w:rPr>
        <w:t>że</w:t>
      </w:r>
      <w:r>
        <w:rPr>
          <w:u w:val="single" w:color="000000"/>
        </w:rPr>
        <w:t xml:space="preserve"> w zakresie:</w:t>
      </w:r>
    </w:p>
    <w:p w14:paraId="0648B4F4" w14:textId="77777777" w:rsidR="002178E4" w:rsidRDefault="00BB3C0A">
      <w:pPr>
        <w:pStyle w:val="Nagwek1"/>
        <w:spacing w:after="176" w:line="334" w:lineRule="auto"/>
        <w:ind w:left="360" w:hanging="360"/>
      </w:pPr>
      <w:r>
        <w:t>Pkt 9 w zakresie zmiany art. 42 ust. 3a pkt 4 ustawy z dnia 14 grudnia 2012 r. o odpadach</w:t>
      </w:r>
      <w:r>
        <w:rPr>
          <w:vertAlign w:val="superscript"/>
        </w:rPr>
        <w:t>1</w:t>
      </w:r>
    </w:p>
    <w:p w14:paraId="2E52B634" w14:textId="77777777" w:rsidR="002178E4" w:rsidRDefault="00BB3C0A">
      <w:pPr>
        <w:ind w:left="71"/>
      </w:pPr>
      <w:r>
        <w:t xml:space="preserve">Zmiana w ww. przepisu w </w:t>
      </w:r>
      <w:r>
        <w:t>kontekście</w:t>
      </w:r>
      <w:r>
        <w:t xml:space="preserve"> zmiany kwoty </w:t>
      </w:r>
      <w:r>
        <w:t>warunkującej</w:t>
      </w:r>
      <w:r>
        <w:t xml:space="preserve"> </w:t>
      </w:r>
      <w:r>
        <w:t>możliwość</w:t>
      </w:r>
      <w:r>
        <w:t xml:space="preserve"> uzyskania zezwolenia na zbieranie odpadów lub zezwolenia na przetwarzanie odpadów </w:t>
      </w:r>
      <w:r>
        <w:t>rozważana</w:t>
      </w:r>
      <w:r>
        <w:t xml:space="preserve"> jest w ramach przygotowywanego </w:t>
      </w:r>
      <w:r>
        <w:t>już</w:t>
      </w:r>
      <w:r>
        <w:t xml:space="preserve"> projektu ustawy </w:t>
      </w:r>
      <w:r>
        <w:t>mającego</w:t>
      </w:r>
      <w:r>
        <w:t xml:space="preserve"> na celu usprawnienie </w:t>
      </w:r>
      <w:r>
        <w:t>działań</w:t>
      </w:r>
      <w:r>
        <w:t xml:space="preserve"> Inspekcji Ochrony </w:t>
      </w:r>
      <w:r>
        <w:t>Środowiska.</w:t>
      </w:r>
    </w:p>
    <w:p w14:paraId="3624C042" w14:textId="77777777" w:rsidR="002178E4" w:rsidRDefault="00BB3C0A">
      <w:pPr>
        <w:pStyle w:val="Nagwek1"/>
        <w:spacing w:line="360" w:lineRule="auto"/>
        <w:ind w:left="360" w:hanging="360"/>
      </w:pPr>
      <w:r>
        <w:t>Pkt 22 w zakresie wykorzystania wynajmu i leasingu w programach dotacyjnych na pojazdy elektryczne</w:t>
      </w:r>
    </w:p>
    <w:p w14:paraId="3AF075E0" w14:textId="77777777" w:rsidR="002178E4" w:rsidRDefault="00BB3C0A">
      <w:pPr>
        <w:ind w:left="71"/>
      </w:pPr>
      <w:r>
        <w:t xml:space="preserve">Doceniamy znaczenie i </w:t>
      </w:r>
      <w:r>
        <w:t>rolę</w:t>
      </w:r>
      <w:r>
        <w:t xml:space="preserve"> firm leasingowych oraz wynajmu </w:t>
      </w:r>
      <w:r>
        <w:t>długoterminowego</w:t>
      </w:r>
      <w:r>
        <w:t xml:space="preserve"> w procesie transformacji rynku motoryzacyjnego oraz dotychczasowe </w:t>
      </w:r>
      <w:r>
        <w:t>doświadczenia</w:t>
      </w:r>
      <w:r>
        <w:t xml:space="preserve"> w realizacji programów wsparcia – w tym </w:t>
      </w:r>
      <w:r>
        <w:t>zwłaszcza</w:t>
      </w:r>
      <w:r>
        <w:t xml:space="preserve"> programu „Mój Elektryk”, w ramach którego ta </w:t>
      </w:r>
      <w:r>
        <w:t>branża</w:t>
      </w:r>
      <w:r>
        <w:t xml:space="preserve"> </w:t>
      </w:r>
      <w:r>
        <w:t>odpowiadała</w:t>
      </w:r>
      <w:r>
        <w:t xml:space="preserve"> za </w:t>
      </w:r>
      <w:r>
        <w:t>istotną</w:t>
      </w:r>
      <w:r>
        <w:t xml:space="preserve"> </w:t>
      </w:r>
      <w:r>
        <w:t>część</w:t>
      </w:r>
      <w:r>
        <w:t xml:space="preserve"> wykorzystanych funduszy. Zgadzamy </w:t>
      </w:r>
      <w:r>
        <w:t>się,</w:t>
      </w:r>
      <w:r>
        <w:t xml:space="preserve"> </w:t>
      </w:r>
      <w:r>
        <w:t>że</w:t>
      </w:r>
      <w:r>
        <w:t xml:space="preserve"> leasing i wynajem </w:t>
      </w:r>
      <w:r>
        <w:t>stanowią</w:t>
      </w:r>
      <w:r>
        <w:t xml:space="preserve"> </w:t>
      </w:r>
      <w:r>
        <w:t>ważny</w:t>
      </w:r>
      <w:r>
        <w:t xml:space="preserve"> </w:t>
      </w:r>
      <w:r>
        <w:t>kanał</w:t>
      </w:r>
      <w:r>
        <w:t xml:space="preserve"> </w:t>
      </w:r>
      <w:r>
        <w:t>dostępu</w:t>
      </w:r>
      <w:r>
        <w:t xml:space="preserve"> </w:t>
      </w:r>
      <w:r>
        <w:t>przedsiębiorców</w:t>
      </w:r>
      <w:r>
        <w:t xml:space="preserve"> do pojazdów zeroemisyjnych i tym samym istotnie </w:t>
      </w:r>
      <w:r>
        <w:t>wpływają</w:t>
      </w:r>
      <w:r>
        <w:t xml:space="preserve"> na </w:t>
      </w:r>
      <w:r>
        <w:t>dynamikę</w:t>
      </w:r>
      <w:r>
        <w:t xml:space="preserve"> rozwoju </w:t>
      </w:r>
      <w:proofErr w:type="spellStart"/>
      <w:r>
        <w:t>elektromobilności</w:t>
      </w:r>
      <w:proofErr w:type="spellEnd"/>
      <w:r>
        <w:t xml:space="preserve"> w Polsce.</w:t>
      </w:r>
    </w:p>
    <w:p w14:paraId="35E6DA4F" w14:textId="77777777" w:rsidR="002178E4" w:rsidRDefault="00BB3C0A">
      <w:pPr>
        <w:spacing w:after="0"/>
        <w:ind w:left="71"/>
      </w:pPr>
      <w:r>
        <w:t>Jednocześnie</w:t>
      </w:r>
      <w:r>
        <w:t xml:space="preserve">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w wyniku negocjacji z </w:t>
      </w:r>
      <w:r>
        <w:t>Komisją</w:t>
      </w:r>
      <w:r>
        <w:t xml:space="preserve"> </w:t>
      </w:r>
      <w:r>
        <w:t>Europejską</w:t>
      </w:r>
      <w:r>
        <w:t xml:space="preserve"> oraz rewizji Krajowego Planu Odbudowy i </w:t>
      </w:r>
      <w:r>
        <w:t>Załącznika</w:t>
      </w:r>
      <w:r>
        <w:t xml:space="preserve"> CID, do systemu wsparcia wprowadzono </w:t>
      </w:r>
      <w:r>
        <w:t>rozwiązania,</w:t>
      </w:r>
      <w:r>
        <w:t xml:space="preserve"> które wprost </w:t>
      </w:r>
      <w:r>
        <w:t>przewidują</w:t>
      </w:r>
      <w:r>
        <w:t xml:space="preserve"> </w:t>
      </w:r>
      <w:r>
        <w:t>możliwość</w:t>
      </w:r>
      <w:r>
        <w:t xml:space="preserve"> zakupu, leasingu oraz wynajmu </w:t>
      </w:r>
    </w:p>
    <w:p w14:paraId="7451CA8F" w14:textId="77777777" w:rsidR="002178E4" w:rsidRDefault="00BB3C0A">
      <w:pPr>
        <w:spacing w:after="148" w:line="259" w:lineRule="auto"/>
        <w:ind w:left="7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AACDF9" wp14:editId="62ACB9C6">
                <wp:extent cx="1822450" cy="12700"/>
                <wp:effectExtent l="0" t="0" r="0" b="0"/>
                <wp:docPr id="10353" name="Group 10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53" style="width:143.5pt;height:1pt;mso-position-horizontal-relative:char;mso-position-vertical-relative:line" coordsize="18224,127">
                <v:shape id="Shape 219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D4C331" w14:textId="77777777" w:rsidR="002178E4" w:rsidRDefault="00BB3C0A">
      <w:pPr>
        <w:spacing w:after="93" w:line="259" w:lineRule="auto"/>
        <w:ind w:left="76" w:firstLine="0"/>
        <w:jc w:val="left"/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Dz. U. z 2023 r., poz. 1587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>. zm.</w:t>
      </w:r>
    </w:p>
    <w:p w14:paraId="7D50F05C" w14:textId="77777777" w:rsidR="002178E4" w:rsidRDefault="00BB3C0A">
      <w:pPr>
        <w:spacing w:after="219" w:line="259" w:lineRule="auto"/>
        <w:ind w:left="76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75FC590" wp14:editId="502AD69D">
                <wp:extent cx="5040000" cy="6350"/>
                <wp:effectExtent l="0" t="0" r="0" b="0"/>
                <wp:docPr id="10351" name="Group 10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51" style="width:396.85pt;height:0.5pt;mso-position-horizontal-relative:char;mso-position-vertical-relative:line" coordsize="50400,63">
                <v:shape id="Shape 49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21F728" w14:textId="77777777" w:rsidR="002178E4" w:rsidRDefault="00BB3C0A">
      <w:pPr>
        <w:spacing w:after="0" w:line="243" w:lineRule="auto"/>
        <w:ind w:left="76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2313709B" w14:textId="77777777" w:rsidR="002178E4" w:rsidRDefault="00BB3C0A">
      <w:pPr>
        <w:spacing w:after="0" w:line="259" w:lineRule="auto"/>
        <w:ind w:left="76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3BD3B131" w14:textId="77777777" w:rsidR="002178E4" w:rsidRDefault="00BB3C0A">
      <w:pPr>
        <w:ind w:left="71"/>
      </w:pPr>
      <w:proofErr w:type="spellStart"/>
      <w:r>
        <w:lastRenderedPageBreak/>
        <w:t>bezemisyjnych</w:t>
      </w:r>
      <w:proofErr w:type="spellEnd"/>
      <w:r>
        <w:t xml:space="preserve"> pojazdów elektrycznych kategorii M1, M2 i N1, z </w:t>
      </w:r>
      <w:r>
        <w:t>budżetem</w:t>
      </w:r>
      <w:r>
        <w:t xml:space="preserve"> w </w:t>
      </w:r>
      <w:r>
        <w:t>wysokości</w:t>
      </w:r>
      <w:r>
        <w:t xml:space="preserve"> 273 750 000 EUR. </w:t>
      </w:r>
    </w:p>
    <w:p w14:paraId="43417832" w14:textId="77777777" w:rsidR="002178E4" w:rsidRDefault="00BB3C0A">
      <w:pPr>
        <w:ind w:left="71"/>
      </w:pPr>
      <w:r>
        <w:t xml:space="preserve">Na podstawie tych </w:t>
      </w:r>
      <w:r>
        <w:t>obowiązujących</w:t>
      </w:r>
      <w:r>
        <w:t xml:space="preserve"> zapisów kamienia milowego KPO E4aG </w:t>
      </w:r>
      <w:r>
        <w:t>powstał</w:t>
      </w:r>
      <w:r>
        <w:t xml:space="preserve"> projekt nowego </w:t>
      </w:r>
      <w:r>
        <w:t>kształtu</w:t>
      </w:r>
      <w:r>
        <w:t xml:space="preserve"> Programu „</w:t>
      </w:r>
      <w:proofErr w:type="spellStart"/>
      <w:r>
        <w:t>NaszEauto</w:t>
      </w:r>
      <w:proofErr w:type="spellEnd"/>
      <w:r>
        <w:t xml:space="preserve">”, który </w:t>
      </w:r>
      <w:r>
        <w:t>wdrażany</w:t>
      </w:r>
      <w:r>
        <w:t xml:space="preserve"> </w:t>
      </w:r>
      <w:r>
        <w:t>będzie</w:t>
      </w:r>
      <w:r>
        <w:t xml:space="preserve"> tak jak inne programy dotychczas przez </w:t>
      </w:r>
      <w:r>
        <w:t>NFOŚiGW.</w:t>
      </w:r>
      <w:r>
        <w:t xml:space="preserve"> </w:t>
      </w:r>
      <w:r>
        <w:t>Szczegółowe</w:t>
      </w:r>
      <w:r>
        <w:t xml:space="preserve"> zasady po zmianach </w:t>
      </w:r>
      <w:r>
        <w:t>zostały</w:t>
      </w:r>
      <w:r>
        <w:t xml:space="preserve"> odzwierciedlone w projekcie priorytetowego programu „</w:t>
      </w:r>
      <w:proofErr w:type="spellStart"/>
      <w:r>
        <w:t>NaszEauto</w:t>
      </w:r>
      <w:proofErr w:type="spellEnd"/>
      <w:r>
        <w:t xml:space="preserve">”, który w swym nowym </w:t>
      </w:r>
      <w:r>
        <w:t>kształcie</w:t>
      </w:r>
      <w:r>
        <w:t xml:space="preserve"> </w:t>
      </w:r>
      <w:r>
        <w:t>został</w:t>
      </w:r>
      <w:r>
        <w:t xml:space="preserve"> poddany konsultacjom </w:t>
      </w:r>
      <w:r>
        <w:t>społecznym</w:t>
      </w:r>
      <w:r>
        <w:t xml:space="preserve"> w dniach 05–12 </w:t>
      </w:r>
      <w:r>
        <w:t>września</w:t>
      </w:r>
      <w:r>
        <w:t xml:space="preserve"> 2025 r.</w:t>
      </w:r>
    </w:p>
    <w:p w14:paraId="41ACF65F" w14:textId="77777777" w:rsidR="002178E4" w:rsidRDefault="00BB3C0A">
      <w:pPr>
        <w:ind w:left="71"/>
      </w:pPr>
      <w:r>
        <w:t xml:space="preserve">Na 713 </w:t>
      </w:r>
      <w:r>
        <w:t>zgłoszonych</w:t>
      </w:r>
      <w:r>
        <w:t xml:space="preserve"> uwag do projektu, zaledwie tylko kilka </w:t>
      </w:r>
      <w:r>
        <w:t>odnosiło</w:t>
      </w:r>
      <w:r>
        <w:t xml:space="preserve"> </w:t>
      </w:r>
      <w:r>
        <w:t>się</w:t>
      </w:r>
      <w:r>
        <w:t xml:space="preserve"> do postulatu rozszerzenia listy odbiorców Programu o </w:t>
      </w:r>
      <w:r>
        <w:t>przedsiębiorców.</w:t>
      </w:r>
    </w:p>
    <w:p w14:paraId="23747D0B" w14:textId="77777777" w:rsidR="002178E4" w:rsidRDefault="00BB3C0A">
      <w:pPr>
        <w:ind w:left="71"/>
      </w:pPr>
      <w:r>
        <w:t xml:space="preserve">Zmiany wprowadzone do KPO </w:t>
      </w:r>
      <w:r>
        <w:t>były</w:t>
      </w:r>
      <w:r>
        <w:t xml:space="preserve"> </w:t>
      </w:r>
      <w:r>
        <w:t>odpowiedzią</w:t>
      </w:r>
      <w:r>
        <w:t xml:space="preserve"> na szerokie postulaty </w:t>
      </w:r>
      <w:r>
        <w:t>społeczne</w:t>
      </w:r>
      <w:r>
        <w:t xml:space="preserve"> i – obok rozszerzenia katalogu pojazdów – </w:t>
      </w:r>
      <w:r>
        <w:t>uwzględniają</w:t>
      </w:r>
      <w:r>
        <w:t xml:space="preserve"> </w:t>
      </w:r>
      <w:r>
        <w:t>także</w:t>
      </w:r>
      <w:r>
        <w:t xml:space="preserve"> wiele nowych podmiotów, które do tej pory nie </w:t>
      </w:r>
      <w:r>
        <w:t>miały</w:t>
      </w:r>
      <w:r>
        <w:t xml:space="preserve"> </w:t>
      </w:r>
      <w:r>
        <w:t>dostępu</w:t>
      </w:r>
      <w:r>
        <w:t xml:space="preserve"> do dotacji. Ostatecznymi odbiorcami wsparcia zgodnie z brzmieniem kamienia milowego E4aG KPO </w:t>
      </w:r>
      <w:r>
        <w:t>będą</w:t>
      </w:r>
      <w:r>
        <w:t xml:space="preserve"> m.in.:</w:t>
      </w:r>
    </w:p>
    <w:p w14:paraId="46EDE35E" w14:textId="77777777" w:rsidR="002178E4" w:rsidRDefault="00BB3C0A">
      <w:pPr>
        <w:numPr>
          <w:ilvl w:val="0"/>
          <w:numId w:val="1"/>
        </w:numPr>
        <w:spacing w:after="85" w:line="259" w:lineRule="auto"/>
        <w:ind w:hanging="357"/>
      </w:pPr>
      <w:r>
        <w:t>osoby fizyczne,</w:t>
      </w:r>
    </w:p>
    <w:p w14:paraId="2F3854DB" w14:textId="77777777" w:rsidR="002178E4" w:rsidRDefault="00BB3C0A">
      <w:pPr>
        <w:numPr>
          <w:ilvl w:val="0"/>
          <w:numId w:val="1"/>
        </w:numPr>
        <w:spacing w:after="86" w:line="259" w:lineRule="auto"/>
        <w:ind w:hanging="357"/>
      </w:pPr>
      <w:r>
        <w:t xml:space="preserve">osoby fizyczne </w:t>
      </w:r>
      <w:r>
        <w:t>prowadzące</w:t>
      </w:r>
      <w:r>
        <w:t xml:space="preserve"> </w:t>
      </w:r>
      <w:r>
        <w:t>działalność</w:t>
      </w:r>
      <w:r>
        <w:t xml:space="preserve"> </w:t>
      </w:r>
      <w:r>
        <w:t>gospodarczą</w:t>
      </w:r>
      <w:r>
        <w:t xml:space="preserve"> (JDG),</w:t>
      </w:r>
    </w:p>
    <w:p w14:paraId="1F1C28E2" w14:textId="77777777" w:rsidR="002178E4" w:rsidRDefault="00BB3C0A">
      <w:pPr>
        <w:numPr>
          <w:ilvl w:val="0"/>
          <w:numId w:val="1"/>
        </w:numPr>
        <w:spacing w:after="86" w:line="259" w:lineRule="auto"/>
        <w:ind w:hanging="357"/>
      </w:pPr>
      <w:r>
        <w:t xml:space="preserve">organizacje </w:t>
      </w:r>
      <w:r>
        <w:t>pozarządowe,</w:t>
      </w:r>
    </w:p>
    <w:p w14:paraId="165918FB" w14:textId="77777777" w:rsidR="002178E4" w:rsidRDefault="00BB3C0A">
      <w:pPr>
        <w:numPr>
          <w:ilvl w:val="0"/>
          <w:numId w:val="1"/>
        </w:numPr>
        <w:spacing w:after="85" w:line="259" w:lineRule="auto"/>
        <w:ind w:hanging="357"/>
      </w:pPr>
      <w:r>
        <w:t>parki narodowe,</w:t>
      </w:r>
    </w:p>
    <w:p w14:paraId="73201578" w14:textId="77777777" w:rsidR="002178E4" w:rsidRDefault="00BB3C0A">
      <w:pPr>
        <w:numPr>
          <w:ilvl w:val="0"/>
          <w:numId w:val="1"/>
        </w:numPr>
        <w:spacing w:after="199" w:line="259" w:lineRule="auto"/>
        <w:ind w:hanging="357"/>
      </w:pPr>
      <w:r>
        <w:t xml:space="preserve">jednostki </w:t>
      </w:r>
      <w:r>
        <w:t>samorządu</w:t>
      </w:r>
      <w:r>
        <w:t xml:space="preserve"> terytorialnego i inne podmioty wskazane w Programie.</w:t>
      </w:r>
    </w:p>
    <w:p w14:paraId="30E496F4" w14:textId="77777777" w:rsidR="002178E4" w:rsidRDefault="00BB3C0A">
      <w:pPr>
        <w:ind w:left="71"/>
      </w:pPr>
      <w:r>
        <w:t xml:space="preserve">Nowe brzmienie kamienia milowego E4aG po rewizji KPO otwiera </w:t>
      </w:r>
      <w:r>
        <w:t>możliwość</w:t>
      </w:r>
      <w:r>
        <w:t xml:space="preserve"> skorzystania z dofinansowania nowym podmiotom m.in. organizacjom </w:t>
      </w:r>
      <w:r>
        <w:t>pozarządowym,</w:t>
      </w:r>
      <w:r>
        <w:t xml:space="preserve"> </w:t>
      </w:r>
      <w:r>
        <w:t>państwowym</w:t>
      </w:r>
      <w:r>
        <w:t xml:space="preserve"> jednostkom </w:t>
      </w:r>
      <w:r>
        <w:t>budżetowych</w:t>
      </w:r>
      <w:r>
        <w:t xml:space="preserve"> </w:t>
      </w:r>
      <w:r>
        <w:t>realizującym</w:t>
      </w:r>
      <w:r>
        <w:t xml:space="preserve"> zadania </w:t>
      </w:r>
      <w:r>
        <w:t>opiekuńczo-wychowawcze</w:t>
      </w:r>
      <w:r>
        <w:t xml:space="preserve"> lub </w:t>
      </w:r>
      <w:r>
        <w:t>działalność</w:t>
      </w:r>
      <w:r>
        <w:t xml:space="preserve"> </w:t>
      </w:r>
      <w:r>
        <w:t>edukacyjną,</w:t>
      </w:r>
      <w:r>
        <w:t xml:space="preserve"> </w:t>
      </w:r>
      <w:r>
        <w:t>państwowym</w:t>
      </w:r>
      <w:r>
        <w:t xml:space="preserve"> osobom prawnym </w:t>
      </w:r>
      <w:r>
        <w:t>realizującym</w:t>
      </w:r>
      <w:r>
        <w:t xml:space="preserve"> zadania </w:t>
      </w:r>
      <w:proofErr w:type="spellStart"/>
      <w:r>
        <w:t>opiekuńczo</w:t>
      </w:r>
      <w:r>
        <w:t>wychowawcze</w:t>
      </w:r>
      <w:proofErr w:type="spellEnd"/>
      <w:r>
        <w:t xml:space="preserve"> lub </w:t>
      </w:r>
      <w:r>
        <w:t>działalność</w:t>
      </w:r>
      <w:r>
        <w:t xml:space="preserve"> </w:t>
      </w:r>
      <w:r>
        <w:t>edukacyjną,</w:t>
      </w:r>
      <w:r>
        <w:t xml:space="preserve"> jednostkom </w:t>
      </w:r>
      <w:r>
        <w:t>samorządu</w:t>
      </w:r>
      <w:r>
        <w:t xml:space="preserve"> terytorialnego oraz ich </w:t>
      </w:r>
      <w:r>
        <w:t>związkom</w:t>
      </w:r>
      <w:r>
        <w:t xml:space="preserve"> w zakresie placówek </w:t>
      </w:r>
      <w:r>
        <w:t>opiekuńczo</w:t>
      </w:r>
      <w:r>
        <w:t xml:space="preserve"> wychowawczych lub </w:t>
      </w:r>
      <w:r>
        <w:t>prowadzących</w:t>
      </w:r>
      <w:r>
        <w:t xml:space="preserve"> </w:t>
      </w:r>
      <w:r>
        <w:t>działalność</w:t>
      </w:r>
      <w:r>
        <w:t xml:space="preserve"> </w:t>
      </w:r>
      <w:r>
        <w:t>edukacyjną,</w:t>
      </w:r>
      <w:r>
        <w:t xml:space="preserve"> w ramach kontraktu z NFZ, na szerzej </w:t>
      </w:r>
      <w:r>
        <w:t>określonych</w:t>
      </w:r>
      <w:r>
        <w:t xml:space="preserve"> w Programie </w:t>
      </w:r>
      <w:r>
        <w:t>szczegółowych</w:t>
      </w:r>
      <w:r>
        <w:t xml:space="preserve"> warunkach wsparcia. </w:t>
      </w:r>
    </w:p>
    <w:p w14:paraId="4C7FD9F1" w14:textId="77777777" w:rsidR="002178E4" w:rsidRDefault="00BB3C0A">
      <w:pPr>
        <w:ind w:left="71"/>
      </w:pPr>
      <w:r>
        <w:t>Podkreślamy</w:t>
      </w:r>
      <w:r>
        <w:t xml:space="preserve"> </w:t>
      </w:r>
      <w:r>
        <w:t>też,</w:t>
      </w:r>
      <w:r>
        <w:t xml:space="preserve"> </w:t>
      </w:r>
      <w:r>
        <w:t>że</w:t>
      </w:r>
      <w:r>
        <w:t xml:space="preserve"> w projekcie programu „</w:t>
      </w:r>
      <w:proofErr w:type="spellStart"/>
      <w:r>
        <w:t>NaszEauto</w:t>
      </w:r>
      <w:proofErr w:type="spellEnd"/>
      <w:r>
        <w:t xml:space="preserve">”, leasing i wynajem </w:t>
      </w:r>
      <w:r>
        <w:t>długoterminowy</w:t>
      </w:r>
      <w:r>
        <w:t xml:space="preserve"> </w:t>
      </w:r>
      <w:r>
        <w:t>zostały</w:t>
      </w:r>
      <w:r>
        <w:t xml:space="preserve"> </w:t>
      </w:r>
      <w:r>
        <w:t>ujęte</w:t>
      </w:r>
      <w:r>
        <w:t xml:space="preserve"> jako </w:t>
      </w:r>
      <w:r>
        <w:t>pełnoprawne</w:t>
      </w:r>
      <w:r>
        <w:t xml:space="preserve"> formy wsparcia. </w:t>
      </w:r>
    </w:p>
    <w:p w14:paraId="5FD8E171" w14:textId="77777777" w:rsidR="002178E4" w:rsidRDefault="00BB3C0A">
      <w:pPr>
        <w:ind w:left="71"/>
      </w:pPr>
      <w:r>
        <w:t xml:space="preserve">Program przewiduje </w:t>
      </w:r>
      <w:r>
        <w:t>dopłaty</w:t>
      </w:r>
      <w:r>
        <w:t xml:space="preserve"> zarówno do zakupu, jak i leasingu/wynajmu </w:t>
      </w:r>
      <w:r>
        <w:t>długoterminowego,</w:t>
      </w:r>
      <w:r>
        <w:t xml:space="preserve"> </w:t>
      </w:r>
      <w:r>
        <w:t>obejmujące</w:t>
      </w:r>
      <w:r>
        <w:t xml:space="preserve"> </w:t>
      </w:r>
      <w:r>
        <w:t>różne</w:t>
      </w:r>
      <w:r>
        <w:t xml:space="preserve"> poziomy wsparcia w </w:t>
      </w:r>
      <w:r>
        <w:t>zależności</w:t>
      </w:r>
      <w:r>
        <w:t xml:space="preserve"> od kategorii pojazdu (M1, M2, N1). Ponadto, zgodnie z </w:t>
      </w:r>
      <w:r>
        <w:t>założeniami,</w:t>
      </w:r>
      <w:r>
        <w:t xml:space="preserve"> przewidziano </w:t>
      </w:r>
      <w:r>
        <w:t>możliwość</w:t>
      </w:r>
      <w:r>
        <w:t xml:space="preserve"> wsparcia w postaci refundacji </w:t>
      </w:r>
      <w:r>
        <w:t>opłaty</w:t>
      </w:r>
      <w:r>
        <w:t xml:space="preserve"> </w:t>
      </w:r>
      <w:r>
        <w:t>wstępnej</w:t>
      </w:r>
      <w:r>
        <w:t xml:space="preserve"> w leasingu/wynajmie.</w:t>
      </w:r>
    </w:p>
    <w:p w14:paraId="1E4DA5A9" w14:textId="77777777" w:rsidR="002178E4" w:rsidRDefault="00BB3C0A">
      <w:pPr>
        <w:ind w:left="71"/>
      </w:pPr>
      <w:r>
        <w:t xml:space="preserve">Aktualnie Program jest w </w:t>
      </w:r>
      <w:r>
        <w:t>końcowej</w:t>
      </w:r>
      <w:r>
        <w:t xml:space="preserve"> fazie </w:t>
      </w:r>
      <w:r>
        <w:t>wewnętrznych</w:t>
      </w:r>
      <w:r>
        <w:t xml:space="preserve"> prac i procesu zatwierdzania i zostanie wkrótce opublikowany na stronie </w:t>
      </w:r>
      <w:r>
        <w:t>NFOŚiGW.</w:t>
      </w:r>
      <w:r>
        <w:t xml:space="preserve"> </w:t>
      </w:r>
    </w:p>
    <w:p w14:paraId="23D916AB" w14:textId="77777777" w:rsidR="002178E4" w:rsidRDefault="00BB3C0A">
      <w:pPr>
        <w:ind w:left="71"/>
      </w:pPr>
      <w:r>
        <w:t xml:space="preserve">Zgodnie z planem, </w:t>
      </w:r>
      <w:r>
        <w:t>będzie</w:t>
      </w:r>
      <w:r>
        <w:t xml:space="preserve"> on </w:t>
      </w:r>
      <w:r>
        <w:t>wdrażany</w:t>
      </w:r>
      <w:r>
        <w:t xml:space="preserve"> w latach 2025–2026, a nabór wniosków </w:t>
      </w:r>
      <w:r>
        <w:t>będzie</w:t>
      </w:r>
      <w:r>
        <w:t xml:space="preserve"> prowadzony w trybie </w:t>
      </w:r>
      <w:r>
        <w:t>ciągłym</w:t>
      </w:r>
      <w:r>
        <w:t xml:space="preserve"> </w:t>
      </w:r>
      <w:r>
        <w:t>aż</w:t>
      </w:r>
      <w:r>
        <w:t xml:space="preserve"> do wyczerpania alokacji.</w:t>
      </w:r>
    </w:p>
    <w:p w14:paraId="5A476288" w14:textId="77777777" w:rsidR="002178E4" w:rsidRDefault="00BB3C0A">
      <w:pPr>
        <w:ind w:left="71"/>
      </w:pPr>
      <w:r>
        <w:t xml:space="preserve">W </w:t>
      </w:r>
      <w:r>
        <w:t>zależności</w:t>
      </w:r>
      <w:r>
        <w:t xml:space="preserve"> od wyników monitoringu oraz ewaluacji Programu, w przypadku </w:t>
      </w:r>
      <w:r>
        <w:t>przyszłych</w:t>
      </w:r>
      <w:r>
        <w:t xml:space="preserve"> podobnych </w:t>
      </w:r>
      <w:r>
        <w:t>działań</w:t>
      </w:r>
      <w:r>
        <w:t xml:space="preserve"> i form wsparcia, analizowane </w:t>
      </w:r>
      <w:r>
        <w:t>będą</w:t>
      </w:r>
      <w:r>
        <w:t xml:space="preserve"> dalsze ewentualne zmiany – zarówno w zakresie grup odbiorców OOW, jak i </w:t>
      </w:r>
      <w:r>
        <w:t>szczegółowych</w:t>
      </w:r>
      <w:r>
        <w:t xml:space="preserve"> warunków wsparcia.</w:t>
      </w:r>
    </w:p>
    <w:p w14:paraId="7F9BCF06" w14:textId="77777777" w:rsidR="002178E4" w:rsidRDefault="00BB3C0A">
      <w:pPr>
        <w:ind w:left="71"/>
      </w:pPr>
      <w:r>
        <w:lastRenderedPageBreak/>
        <w:t xml:space="preserve">Naszym celem jest takie dostosowywanie programów dotacyjnych, aby jak najlepiej </w:t>
      </w:r>
      <w:r>
        <w:t>odpowiadały</w:t>
      </w:r>
      <w:r>
        <w:t xml:space="preserve"> na potrzeby rynku i </w:t>
      </w:r>
      <w:r>
        <w:t>jednocześnie</w:t>
      </w:r>
      <w:r>
        <w:t xml:space="preserve"> </w:t>
      </w:r>
      <w:r>
        <w:t>zapewniały</w:t>
      </w:r>
      <w:r>
        <w:t xml:space="preserve"> optymalne wykorzystanie </w:t>
      </w:r>
      <w:r>
        <w:t>środków</w:t>
      </w:r>
      <w:r>
        <w:t xml:space="preserve"> publicznych, </w:t>
      </w:r>
      <w:r>
        <w:t>przyczyniając</w:t>
      </w:r>
      <w:r>
        <w:t xml:space="preserve"> </w:t>
      </w:r>
      <w:r>
        <w:t>się</w:t>
      </w:r>
      <w:r>
        <w:t xml:space="preserve"> do realizacji krajowych i unijnych </w:t>
      </w:r>
      <w:r>
        <w:t>zobowiązań</w:t>
      </w:r>
      <w:r>
        <w:t xml:space="preserve"> klimatycznych oraz do systematycznego wzrostu </w:t>
      </w:r>
      <w:r>
        <w:t>udziału</w:t>
      </w:r>
      <w:r>
        <w:t xml:space="preserve"> transportu przyjaznego dla </w:t>
      </w:r>
      <w:r>
        <w:t>środowiska</w:t>
      </w:r>
      <w:r>
        <w:t xml:space="preserve"> w Polsce.</w:t>
      </w:r>
    </w:p>
    <w:p w14:paraId="17620E4C" w14:textId="77777777" w:rsidR="002178E4" w:rsidRDefault="00BB3C0A">
      <w:pPr>
        <w:pStyle w:val="Nagwek1"/>
        <w:spacing w:line="360" w:lineRule="auto"/>
        <w:ind w:left="360" w:hanging="360"/>
      </w:pPr>
      <w:r>
        <w:t xml:space="preserve">Pkt 23 </w:t>
      </w:r>
      <w:r>
        <w:t>uwzględnienie</w:t>
      </w:r>
      <w:r>
        <w:t xml:space="preserve"> postulatów </w:t>
      </w:r>
      <w:r>
        <w:t>branży</w:t>
      </w:r>
      <w:r>
        <w:t xml:space="preserve"> programu priorytetowego: „Mój rower elektryczny” realizowanego przez </w:t>
      </w:r>
      <w:r>
        <w:t>NFOŚiGW</w:t>
      </w:r>
    </w:p>
    <w:p w14:paraId="27CB297E" w14:textId="77777777" w:rsidR="002178E4" w:rsidRDefault="00BB3C0A">
      <w:pPr>
        <w:ind w:left="71"/>
      </w:pPr>
      <w:r>
        <w:t xml:space="preserve">Uprzejmie </w:t>
      </w:r>
      <w:r>
        <w:t>informuję,</w:t>
      </w:r>
      <w:r>
        <w:t xml:space="preserve"> </w:t>
      </w:r>
      <w:r>
        <w:t>że</w:t>
      </w:r>
      <w:r>
        <w:t xml:space="preserve"> prace nad programem </w:t>
      </w:r>
      <w:r>
        <w:t>dopłat</w:t>
      </w:r>
      <w:r>
        <w:t xml:space="preserve"> do zakupu rowerów elektrycznych </w:t>
      </w:r>
      <w:r>
        <w:t>zostały</w:t>
      </w:r>
      <w:r>
        <w:t xml:space="preserve"> </w:t>
      </w:r>
      <w:r>
        <w:t>zakończone.</w:t>
      </w:r>
      <w:r>
        <w:t xml:space="preserve"> W dnu 17 </w:t>
      </w:r>
      <w:r>
        <w:t>września</w:t>
      </w:r>
      <w:r>
        <w:t xml:space="preserve"> 2025 r. po przeprowadzonych konsultacjach i analizach </w:t>
      </w:r>
      <w:r>
        <w:t>NFOŚiGW</w:t>
      </w:r>
      <w:r>
        <w:t xml:space="preserve"> </w:t>
      </w:r>
      <w:r>
        <w:t>poinformował</w:t>
      </w:r>
      <w:r>
        <w:t xml:space="preserve"> ostatecznie o nierozpoczynaniu naboru wniosków. Decyzja </w:t>
      </w:r>
      <w:r>
        <w:t>była</w:t>
      </w:r>
      <w:r>
        <w:t xml:space="preserve"> </w:t>
      </w:r>
      <w:r>
        <w:t>głównie</w:t>
      </w:r>
      <w:r>
        <w:t xml:space="preserve"> spowodowana </w:t>
      </w:r>
      <w:r>
        <w:t>obowiązującą</w:t>
      </w:r>
      <w:r>
        <w:t xml:space="preserve"> </w:t>
      </w:r>
      <w:r>
        <w:t>regułę</w:t>
      </w:r>
      <w:r>
        <w:t xml:space="preserve"> </w:t>
      </w:r>
      <w:r>
        <w:t>wydatkową</w:t>
      </w:r>
      <w:r>
        <w:t xml:space="preserve"> </w:t>
      </w:r>
      <w:r>
        <w:t>NFOŚiGW,</w:t>
      </w:r>
      <w:r>
        <w:t xml:space="preserve"> która ogranicza </w:t>
      </w:r>
      <w:r>
        <w:t>możliwość</w:t>
      </w:r>
      <w:r>
        <w:t xml:space="preserve"> finansowania nowych programów. W </w:t>
      </w:r>
      <w:r>
        <w:t>związku</w:t>
      </w:r>
      <w:r>
        <w:t xml:space="preserve"> z tym w </w:t>
      </w:r>
      <w:r>
        <w:t>najbliższym</w:t>
      </w:r>
      <w:r>
        <w:t xml:space="preserve"> czasie wsparcie finansowe w tej formie nie jest przewidziane. </w:t>
      </w:r>
    </w:p>
    <w:p w14:paraId="38037CDF" w14:textId="77777777" w:rsidR="002178E4" w:rsidRDefault="00BB3C0A">
      <w:pPr>
        <w:ind w:left="71"/>
      </w:pPr>
      <w:r>
        <w:t>Jeśli</w:t>
      </w:r>
      <w:r>
        <w:t xml:space="preserve"> jednak zostanie </w:t>
      </w:r>
      <w:r>
        <w:t>podjęta</w:t>
      </w:r>
      <w:r>
        <w:t xml:space="preserve"> decyzja o wznowieniu prac nad Programem, zapewniamy, </w:t>
      </w:r>
      <w:r>
        <w:t>że</w:t>
      </w:r>
      <w:r>
        <w:t xml:space="preserve"> postulaty </w:t>
      </w:r>
      <w:r>
        <w:t>branży</w:t>
      </w:r>
      <w:r>
        <w:t xml:space="preserve"> rowerowej </w:t>
      </w:r>
      <w:r>
        <w:t>zostaną</w:t>
      </w:r>
      <w:r>
        <w:t xml:space="preserve"> wnikliwie przeanalizowane.</w:t>
      </w:r>
    </w:p>
    <w:p w14:paraId="78DA5664" w14:textId="77777777" w:rsidR="002178E4" w:rsidRDefault="00BB3C0A">
      <w:pPr>
        <w:ind w:left="71"/>
      </w:pPr>
      <w:r>
        <w:t xml:space="preserve">Naszym celem jest takie dostosowywanie programów dotacyjnych, aby jak najlepiej </w:t>
      </w:r>
      <w:r>
        <w:t>odpowiadały</w:t>
      </w:r>
      <w:r>
        <w:t xml:space="preserve"> na potrzeby rynku i </w:t>
      </w:r>
      <w:r>
        <w:t>jednocześnie</w:t>
      </w:r>
      <w:r>
        <w:t xml:space="preserve"> </w:t>
      </w:r>
      <w:r>
        <w:t>zapewniały</w:t>
      </w:r>
      <w:r>
        <w:t xml:space="preserve"> optymalne wykorzystanie </w:t>
      </w:r>
      <w:r>
        <w:t>środków</w:t>
      </w:r>
      <w:r>
        <w:t xml:space="preserve"> publicznych, </w:t>
      </w:r>
      <w:r>
        <w:t>przyczyniając</w:t>
      </w:r>
      <w:r>
        <w:t xml:space="preserve"> </w:t>
      </w:r>
      <w:r>
        <w:t>się</w:t>
      </w:r>
      <w:r>
        <w:t xml:space="preserve"> do realizacji krajowych i unijnych </w:t>
      </w:r>
      <w:r>
        <w:t>zobowiązań</w:t>
      </w:r>
      <w:r>
        <w:t xml:space="preserve"> </w:t>
      </w:r>
      <w:r>
        <w:t xml:space="preserve">klimatycznych oraz do systematycznego wzrostu </w:t>
      </w:r>
      <w:r>
        <w:t>udziału</w:t>
      </w:r>
      <w:r>
        <w:t xml:space="preserve"> transportu przyjaznego dla </w:t>
      </w:r>
      <w:r>
        <w:t>środowiska</w:t>
      </w:r>
      <w:r>
        <w:t xml:space="preserve"> w Polsce.</w:t>
      </w:r>
    </w:p>
    <w:p w14:paraId="6B31434B" w14:textId="77777777" w:rsidR="002178E4" w:rsidRDefault="00BB3C0A">
      <w:pPr>
        <w:pStyle w:val="Nagwek1"/>
        <w:spacing w:line="357" w:lineRule="auto"/>
        <w:ind w:left="360" w:hanging="360"/>
      </w:pPr>
      <w:r>
        <w:t xml:space="preserve">Pkt 47 w zakresie rozszerzenie przewidzianej w art. 152 ust. 4c ustawy z dnia 27 kwietnia 2001 r. - Prawo ochrony </w:t>
      </w:r>
      <w:r>
        <w:t>środowiska</w:t>
      </w:r>
      <w:r>
        <w:rPr>
          <w:vertAlign w:val="superscript"/>
        </w:rPr>
        <w:footnoteReference w:id="1"/>
      </w:r>
      <w:r>
        <w:t xml:space="preserve"> </w:t>
      </w:r>
      <w:r>
        <w:t>możliwości</w:t>
      </w:r>
      <w:r>
        <w:t xml:space="preserve"> </w:t>
      </w:r>
      <w:r>
        <w:t>rozpoczęcia</w:t>
      </w:r>
      <w:r>
        <w:t xml:space="preserve"> eksploatacji instalacji </w:t>
      </w:r>
      <w:r>
        <w:t>emitującej</w:t>
      </w:r>
      <w:r>
        <w:t xml:space="preserve"> pole elektromagnetyczne infrastruktury sieci szerokopasmowych </w:t>
      </w:r>
      <w:r>
        <w:t>bezpośrednio</w:t>
      </w:r>
      <w:r>
        <w:t xml:space="preserve"> po </w:t>
      </w:r>
      <w:r>
        <w:t>doręczeniu</w:t>
      </w:r>
      <w:r>
        <w:t xml:space="preserve"> </w:t>
      </w:r>
      <w:r>
        <w:t>zgłoszenia</w:t>
      </w:r>
      <w:r>
        <w:t xml:space="preserve"> </w:t>
      </w:r>
      <w:r>
        <w:t>również</w:t>
      </w:r>
      <w:r>
        <w:t xml:space="preserve"> na wszystkie instalacje   </w:t>
      </w:r>
    </w:p>
    <w:p w14:paraId="5BEF95F2" w14:textId="77777777" w:rsidR="002178E4" w:rsidRDefault="00BB3C0A">
      <w:pPr>
        <w:ind w:left="71"/>
      </w:pPr>
      <w:r>
        <w:t xml:space="preserve">Propozycja zmiany art. 152 ust. 4c ustawy Prawo ochrony </w:t>
      </w:r>
      <w:r>
        <w:t>środowiska</w:t>
      </w:r>
      <w:r>
        <w:t xml:space="preserve"> nie </w:t>
      </w:r>
      <w:r>
        <w:t>zasługuje</w:t>
      </w:r>
      <w:r>
        <w:t xml:space="preserve"> na </w:t>
      </w:r>
      <w:r>
        <w:t>uwzględnienie.</w:t>
      </w:r>
      <w:r>
        <w:t xml:space="preserve"> </w:t>
      </w:r>
      <w:r>
        <w:t>Głównym</w:t>
      </w:r>
      <w:r>
        <w:t xml:space="preserve"> argumentem </w:t>
      </w:r>
      <w:r>
        <w:t>przemawiającym</w:t>
      </w:r>
      <w:r>
        <w:t xml:space="preserve"> za pozostawieniem </w:t>
      </w:r>
      <w:r>
        <w:t>powyższego</w:t>
      </w:r>
      <w:r>
        <w:t xml:space="preserve"> przepisu w </w:t>
      </w:r>
      <w:r>
        <w:t>obowiązującym</w:t>
      </w:r>
      <w:r>
        <w:t xml:space="preserve"> brzmieniu </w:t>
      </w:r>
      <w:r>
        <w:t>są</w:t>
      </w:r>
      <w:r>
        <w:t xml:space="preserve"> liczne interwencje </w:t>
      </w:r>
      <w:r>
        <w:t>społeczeństwa</w:t>
      </w:r>
      <w:r>
        <w:t xml:space="preserve"> </w:t>
      </w:r>
      <w:r>
        <w:t>napływające</w:t>
      </w:r>
      <w:r>
        <w:t xml:space="preserve"> do Ministerstwa. </w:t>
      </w:r>
      <w:r>
        <w:t>Jednocześnie</w:t>
      </w:r>
      <w:r>
        <w:t xml:space="preserve"> </w:t>
      </w:r>
      <w:r>
        <w:t>należy</w:t>
      </w:r>
      <w:r>
        <w:t xml:space="preserve">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</w:t>
      </w:r>
      <w:r>
        <w:t>największe</w:t>
      </w:r>
      <w:r>
        <w:t xml:space="preserve"> </w:t>
      </w:r>
      <w:r>
        <w:t>wątpliwości</w:t>
      </w:r>
      <w:r>
        <w:t xml:space="preserve"> i kontrowersje </w:t>
      </w:r>
      <w:r>
        <w:t>związane</w:t>
      </w:r>
      <w:r>
        <w:t xml:space="preserve"> </w:t>
      </w:r>
      <w:r>
        <w:t>są</w:t>
      </w:r>
      <w:r>
        <w:t xml:space="preserve"> z </w:t>
      </w:r>
      <w:r>
        <w:t>lokalizacją</w:t>
      </w:r>
      <w:r>
        <w:t xml:space="preserve"> nowych instalacji. Niepokój strony </w:t>
      </w:r>
      <w:r>
        <w:t>społecznej</w:t>
      </w:r>
      <w:r>
        <w:t xml:space="preserve"> dodatkowo </w:t>
      </w:r>
      <w:r>
        <w:t>potęgują</w:t>
      </w:r>
      <w:r>
        <w:t xml:space="preserve"> ostatnie zmiany prawodawstwa w zakresie ochrony przed polami elektromagnetycznymi, </w:t>
      </w:r>
      <w:r>
        <w:t>odnoszące</w:t>
      </w:r>
      <w:r>
        <w:t xml:space="preserve"> </w:t>
      </w:r>
      <w:r>
        <w:t>się</w:t>
      </w:r>
      <w:r>
        <w:t xml:space="preserve"> do:</w:t>
      </w:r>
    </w:p>
    <w:p w14:paraId="11584EF1" w14:textId="77777777" w:rsidR="002178E4" w:rsidRDefault="00BB3C0A">
      <w:pPr>
        <w:numPr>
          <w:ilvl w:val="0"/>
          <w:numId w:val="2"/>
        </w:numPr>
        <w:spacing w:after="3" w:line="358" w:lineRule="auto"/>
        <w:ind w:hanging="357"/>
      </w:pPr>
      <w:r>
        <w:t>rozporządzenia</w:t>
      </w:r>
      <w:r>
        <w:t xml:space="preserve"> Rady Ministrów z dnia 5 maja 2022 r. </w:t>
      </w:r>
      <w:r>
        <w:t>zmieniającego</w:t>
      </w:r>
      <w:r>
        <w:t xml:space="preserve"> </w:t>
      </w:r>
      <w:r>
        <w:t>rozporządzenie</w:t>
      </w:r>
      <w:r>
        <w:t xml:space="preserve"> w sprawie </w:t>
      </w:r>
      <w:r>
        <w:t>przedsięwzięć</w:t>
      </w:r>
      <w:r>
        <w:t xml:space="preserve"> </w:t>
      </w:r>
      <w:r>
        <w:t>mogących</w:t>
      </w:r>
      <w:r>
        <w:t xml:space="preserve"> </w:t>
      </w:r>
      <w:r>
        <w:t>znacząco</w:t>
      </w:r>
      <w:r>
        <w:t xml:space="preserve"> </w:t>
      </w:r>
      <w:r>
        <w:t>oddziaływać</w:t>
      </w:r>
      <w:r>
        <w:t xml:space="preserve"> na </w:t>
      </w:r>
      <w:r>
        <w:t>środowisko</w:t>
      </w:r>
      <w:r>
        <w:rPr>
          <w:vertAlign w:val="superscript"/>
        </w:rPr>
        <w:footnoteReference w:id="2"/>
      </w:r>
      <w:r>
        <w:t xml:space="preserve"> – </w:t>
      </w:r>
      <w:r>
        <w:t>wyłączającego</w:t>
      </w:r>
      <w:r>
        <w:t xml:space="preserve"> instalacje SBTK z katalogu inwestycji </w:t>
      </w:r>
      <w:r>
        <w:t>mogących</w:t>
      </w:r>
      <w:r>
        <w:t xml:space="preserve"> potencjalnie </w:t>
      </w:r>
      <w:r>
        <w:t>znacząco</w:t>
      </w:r>
      <w:r>
        <w:t xml:space="preserve"> </w:t>
      </w:r>
      <w:r>
        <w:t>oddziaływać</w:t>
      </w:r>
      <w:r>
        <w:t xml:space="preserve"> na </w:t>
      </w:r>
      <w:r>
        <w:t>środowisko,</w:t>
      </w:r>
    </w:p>
    <w:p w14:paraId="03D927DB" w14:textId="77777777" w:rsidR="002178E4" w:rsidRDefault="00BB3C0A">
      <w:pPr>
        <w:numPr>
          <w:ilvl w:val="0"/>
          <w:numId w:val="2"/>
        </w:numPr>
        <w:ind w:hanging="357"/>
      </w:pPr>
      <w:r>
        <w:t>rozporządzenia</w:t>
      </w:r>
      <w:r>
        <w:t xml:space="preserve"> Ministra Zdrowia z dnia 17 grudnia 2019 r. w sprawie dopuszczalnych poziomów pól elektromagnetycznych w </w:t>
      </w:r>
      <w:r>
        <w:t>środowisku</w:t>
      </w:r>
      <w:r>
        <w:rPr>
          <w:vertAlign w:val="superscript"/>
        </w:rPr>
        <w:footnoteReference w:id="3"/>
      </w:r>
      <w:r>
        <w:t xml:space="preserve"> – </w:t>
      </w:r>
      <w:r>
        <w:t>podwyższającego</w:t>
      </w:r>
      <w:r>
        <w:t xml:space="preserve"> dopuszczalne poziomy PEM w </w:t>
      </w:r>
      <w:r>
        <w:t>środowisku.</w:t>
      </w:r>
    </w:p>
    <w:p w14:paraId="3CDAA7CB" w14:textId="77777777" w:rsidR="002178E4" w:rsidRDefault="00BB3C0A">
      <w:pPr>
        <w:ind w:left="71"/>
      </w:pPr>
      <w:r>
        <w:lastRenderedPageBreak/>
        <w:t>Dużą</w:t>
      </w:r>
      <w:r>
        <w:t xml:space="preserve"> </w:t>
      </w:r>
      <w:r>
        <w:t>nieufność</w:t>
      </w:r>
      <w:r>
        <w:t xml:space="preserve"> </w:t>
      </w:r>
      <w:r>
        <w:t>społeczną</w:t>
      </w:r>
      <w:r>
        <w:t xml:space="preserve"> </w:t>
      </w:r>
      <w:r>
        <w:t>można</w:t>
      </w:r>
      <w:r>
        <w:t xml:space="preserve"> </w:t>
      </w:r>
      <w:r>
        <w:t>zaobserwować</w:t>
      </w:r>
      <w:r>
        <w:t xml:space="preserve"> </w:t>
      </w:r>
      <w:r>
        <w:t>już</w:t>
      </w:r>
      <w:r>
        <w:t xml:space="preserve"> na etapie udzielania </w:t>
      </w:r>
      <w:r>
        <w:t>zezwoleń</w:t>
      </w:r>
      <w:r>
        <w:t xml:space="preserve"> na </w:t>
      </w:r>
      <w:r>
        <w:t>lokalizację</w:t>
      </w:r>
      <w:r>
        <w:t xml:space="preserve"> tego typu inwestycji. Strona </w:t>
      </w:r>
      <w:r>
        <w:t>społeczna</w:t>
      </w:r>
      <w:r>
        <w:t xml:space="preserve"> wskazuje na </w:t>
      </w:r>
      <w:r>
        <w:t>bezskuteczność</w:t>
      </w:r>
      <w:r>
        <w:t xml:space="preserve"> sprzeciwów/protestów w sytuacji, gdy planowana inwestycja </w:t>
      </w:r>
      <w:r>
        <w:t>spełnia</w:t>
      </w:r>
      <w:r>
        <w:t xml:space="preserve"> warunki </w:t>
      </w:r>
      <w:r>
        <w:t>wynikające</w:t>
      </w:r>
      <w:r>
        <w:t xml:space="preserve"> z przepisów </w:t>
      </w:r>
      <w:r>
        <w:t>odrębnych.</w:t>
      </w:r>
      <w:r>
        <w:t xml:space="preserve"> Niepokój </w:t>
      </w:r>
      <w:r>
        <w:t>związany</w:t>
      </w:r>
      <w:r>
        <w:t xml:space="preserve"> jest z </w:t>
      </w:r>
      <w:r>
        <w:t>możliwością</w:t>
      </w:r>
      <w:r>
        <w:t xml:space="preserve"> negatywnego </w:t>
      </w:r>
      <w:r>
        <w:t>oddziaływania</w:t>
      </w:r>
      <w:r>
        <w:t xml:space="preserve"> na zdrowie. Z tego </w:t>
      </w:r>
      <w:r>
        <w:t>też</w:t>
      </w:r>
      <w:r>
        <w:t xml:space="preserve"> powodu, przepis art. 152 ust. 4 ustawy Prawo ochrony </w:t>
      </w:r>
      <w:r>
        <w:t>środowiska,</w:t>
      </w:r>
      <w:r>
        <w:t xml:space="preserve"> ma za zadanie sprawdzenie </w:t>
      </w:r>
      <w:r>
        <w:t>zgodności</w:t>
      </w:r>
      <w:r>
        <w:t xml:space="preserve"> zrealizowanej inwestycji z przepisami ochrony </w:t>
      </w:r>
      <w:r>
        <w:t>środowiska.</w:t>
      </w:r>
      <w:r>
        <w:t xml:space="preserve"> Dopu</w:t>
      </w:r>
      <w:r>
        <w:t xml:space="preserve">szczenie </w:t>
      </w:r>
      <w:r>
        <w:t>możliwości</w:t>
      </w:r>
      <w:r>
        <w:t xml:space="preserve"> </w:t>
      </w:r>
      <w:r>
        <w:t>wcześniejszej</w:t>
      </w:r>
      <w:r>
        <w:t xml:space="preserve"> eksploatacji instalacji </w:t>
      </w:r>
      <w:r>
        <w:t>może</w:t>
      </w:r>
      <w:r>
        <w:t xml:space="preserve"> </w:t>
      </w:r>
      <w:r>
        <w:t>stwarzać</w:t>
      </w:r>
      <w:r>
        <w:t xml:space="preserve"> ryzyko </w:t>
      </w:r>
      <w:r>
        <w:t>narażenia</w:t>
      </w:r>
      <w:r>
        <w:t xml:space="preserve"> </w:t>
      </w:r>
      <w:r>
        <w:t>ludności</w:t>
      </w:r>
      <w:r>
        <w:t xml:space="preserve"> na ponadnormatywne poziomy pól elektromagnetycznych w </w:t>
      </w:r>
      <w:r>
        <w:t>środowisku.</w:t>
      </w:r>
      <w:r>
        <w:t xml:space="preserve"> </w:t>
      </w:r>
    </w:p>
    <w:p w14:paraId="2B63E92B" w14:textId="77777777" w:rsidR="002178E4" w:rsidRDefault="00BB3C0A">
      <w:pPr>
        <w:ind w:left="71"/>
      </w:pPr>
      <w:r>
        <w:t xml:space="preserve">Ponadto okres 30 dni na wniesienie sprzeciwu organu jest </w:t>
      </w:r>
      <w:r>
        <w:t>niezbędny</w:t>
      </w:r>
      <w:r>
        <w:t xml:space="preserve"> w celu rzetelnej i kompleksowej weryfikacji dokumentacji zawartej w </w:t>
      </w:r>
      <w:r>
        <w:t>zgłoszeniu.</w:t>
      </w:r>
      <w:r>
        <w:t xml:space="preserve"> </w:t>
      </w:r>
      <w:r>
        <w:t>Jednocześnie,</w:t>
      </w:r>
      <w:r>
        <w:t xml:space="preserve"> </w:t>
      </w:r>
      <w:r>
        <w:t>należy</w:t>
      </w:r>
      <w:r>
        <w:t xml:space="preserve">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</w:t>
      </w:r>
      <w:r>
        <w:t>obowiązujące</w:t>
      </w:r>
      <w:r>
        <w:t xml:space="preserve"> przepisy </w:t>
      </w:r>
      <w:r>
        <w:t>dopuszczają</w:t>
      </w:r>
      <w:r>
        <w:t xml:space="preserve"> </w:t>
      </w:r>
      <w:r>
        <w:t>możliwość</w:t>
      </w:r>
      <w:r>
        <w:t xml:space="preserve"> jego skrócenia. Zgodnie z art. 152 ust. 4b ustawy Prawo ochrony </w:t>
      </w:r>
      <w:r>
        <w:t>środowiska</w:t>
      </w:r>
      <w:r>
        <w:t xml:space="preserve"> organ </w:t>
      </w:r>
      <w:r>
        <w:t>właściwy</w:t>
      </w:r>
      <w:r>
        <w:t xml:space="preserve"> do </w:t>
      </w:r>
      <w:r>
        <w:t>przyjęcia</w:t>
      </w:r>
      <w:r>
        <w:t xml:space="preserve"> </w:t>
      </w:r>
      <w:r>
        <w:t>zgłoszenia</w:t>
      </w:r>
      <w:r>
        <w:t xml:space="preserve"> </w:t>
      </w:r>
      <w:r>
        <w:t>może</w:t>
      </w:r>
      <w:r>
        <w:t xml:space="preserve"> z </w:t>
      </w:r>
      <w:r>
        <w:t>urzędu,</w:t>
      </w:r>
      <w:r>
        <w:t xml:space="preserve"> przed </w:t>
      </w:r>
      <w:r>
        <w:t>upływem</w:t>
      </w:r>
      <w:r>
        <w:t xml:space="preserve"> terminu, o którym mowa w ust. 4, </w:t>
      </w:r>
      <w:r>
        <w:t>wydać</w:t>
      </w:r>
      <w:r>
        <w:t xml:space="preserve"> </w:t>
      </w:r>
      <w:r>
        <w:t>zaświadczenie</w:t>
      </w:r>
      <w:r>
        <w:t xml:space="preserve"> o braku podstaw do wniesienia sprzeciwu. Wydanie </w:t>
      </w:r>
      <w:r>
        <w:t>zaświadczenia</w:t>
      </w:r>
      <w:r>
        <w:t xml:space="preserve"> </w:t>
      </w:r>
      <w:r>
        <w:t>wyłącza</w:t>
      </w:r>
      <w:r>
        <w:t xml:space="preserve"> </w:t>
      </w:r>
      <w:r>
        <w:t>możliwość</w:t>
      </w:r>
      <w:r>
        <w:t xml:space="preserve"> wniesienia sprzeciwu, o którym mowa w ust. 4, oraz uprawnia </w:t>
      </w:r>
      <w:r>
        <w:t>zgłaszającego</w:t>
      </w:r>
      <w:r>
        <w:t xml:space="preserve"> do </w:t>
      </w:r>
      <w:r>
        <w:t>rozpoczęcia</w:t>
      </w:r>
      <w:r>
        <w:t xml:space="preserve"> eksploatacji instalacji.</w:t>
      </w:r>
    </w:p>
    <w:p w14:paraId="32F4E8F8" w14:textId="77777777" w:rsidR="002178E4" w:rsidRDefault="00BB3C0A">
      <w:pPr>
        <w:spacing w:after="598"/>
        <w:ind w:left="71"/>
      </w:pPr>
      <w:r>
        <w:t>Jednocześnie</w:t>
      </w:r>
      <w:r>
        <w:t xml:space="preserve"> w ocenie Ministerstwa, czas oczekiwania na uzyskanie akceptacji </w:t>
      </w:r>
      <w:r>
        <w:t>spełniania</w:t>
      </w:r>
      <w:r>
        <w:t xml:space="preserve"> wszelkich wymogów </w:t>
      </w:r>
      <w:r>
        <w:t>umożliwiających</w:t>
      </w:r>
      <w:r>
        <w:t xml:space="preserve"> </w:t>
      </w:r>
      <w:r>
        <w:t>eksploatację</w:t>
      </w:r>
      <w:r>
        <w:t xml:space="preserve"> instalacji powinien </w:t>
      </w:r>
      <w:r>
        <w:t>być</w:t>
      </w:r>
      <w:r>
        <w:t xml:space="preserve"> </w:t>
      </w:r>
      <w:r>
        <w:t>uwzględniony</w:t>
      </w:r>
      <w:r>
        <w:t xml:space="preserve"> w procesie inwestycyjnym i jest </w:t>
      </w:r>
      <w:r>
        <w:t>całkowicie</w:t>
      </w:r>
      <w:r>
        <w:t xml:space="preserve"> uzasadniony </w:t>
      </w:r>
      <w:r>
        <w:t>biorąc</w:t>
      </w:r>
      <w:r>
        <w:t xml:space="preserve"> pod </w:t>
      </w:r>
      <w:r>
        <w:t>uwagę</w:t>
      </w:r>
      <w:r>
        <w:t xml:space="preserve"> </w:t>
      </w:r>
      <w:r>
        <w:t>konieczność</w:t>
      </w:r>
      <w:r>
        <w:t xml:space="preserve"> zachowania bezpiecznych dla zdrowia warunków </w:t>
      </w:r>
      <w:r>
        <w:t>środowiska.</w:t>
      </w:r>
      <w:r>
        <w:t xml:space="preserve"> </w:t>
      </w:r>
    </w:p>
    <w:p w14:paraId="789A3D78" w14:textId="77777777" w:rsidR="002178E4" w:rsidRDefault="00BB3C0A">
      <w:pPr>
        <w:spacing w:after="122" w:line="354" w:lineRule="auto"/>
        <w:ind w:left="-5" w:right="-15"/>
        <w:jc w:val="left"/>
      </w:pPr>
      <w:r>
        <w:rPr>
          <w:u w:val="single" w:color="000000"/>
        </w:rPr>
        <w:t>Odnosząc</w:t>
      </w:r>
      <w:r>
        <w:rPr>
          <w:u w:val="single" w:color="000000"/>
        </w:rPr>
        <w:t xml:space="preserve"> </w:t>
      </w:r>
      <w:r>
        <w:rPr>
          <w:u w:val="single" w:color="000000"/>
        </w:rPr>
        <w:t>się</w:t>
      </w:r>
      <w:r>
        <w:rPr>
          <w:u w:val="single" w:color="000000"/>
        </w:rPr>
        <w:t xml:space="preserve"> do postulatów, jako </w:t>
      </w:r>
      <w:r>
        <w:rPr>
          <w:u w:val="single" w:color="000000"/>
        </w:rPr>
        <w:t>pozostałych</w:t>
      </w:r>
      <w:r>
        <w:rPr>
          <w:u w:val="single" w:color="000000"/>
        </w:rPr>
        <w:t xml:space="preserve"> problemów </w:t>
      </w:r>
      <w:r>
        <w:rPr>
          <w:u w:val="single" w:color="000000"/>
        </w:rPr>
        <w:t>zgłaszanych</w:t>
      </w:r>
      <w:r>
        <w:rPr>
          <w:u w:val="single" w:color="000000"/>
        </w:rPr>
        <w:t xml:space="preserve"> w ramach dyskusji</w:t>
      </w:r>
      <w:r>
        <w:t xml:space="preserve"> </w:t>
      </w:r>
      <w:r>
        <w:rPr>
          <w:u w:val="single" w:color="000000"/>
        </w:rPr>
        <w:t xml:space="preserve">z przedstawicielami </w:t>
      </w:r>
      <w:r>
        <w:rPr>
          <w:u w:val="single" w:color="000000"/>
        </w:rPr>
        <w:t>różnych</w:t>
      </w:r>
      <w:r>
        <w:rPr>
          <w:u w:val="single" w:color="000000"/>
        </w:rPr>
        <w:t xml:space="preserve"> </w:t>
      </w:r>
      <w:r>
        <w:rPr>
          <w:u w:val="single" w:color="000000"/>
        </w:rPr>
        <w:t>branż</w:t>
      </w:r>
      <w:r>
        <w:rPr>
          <w:u w:val="single" w:color="000000"/>
        </w:rPr>
        <w:t xml:space="preserve"> </w:t>
      </w:r>
      <w:r>
        <w:rPr>
          <w:u w:val="single" w:color="000000"/>
        </w:rPr>
        <w:t>informuję,</w:t>
      </w:r>
      <w:r>
        <w:rPr>
          <w:u w:val="single" w:color="000000"/>
        </w:rPr>
        <w:t xml:space="preserve"> </w:t>
      </w:r>
      <w:r>
        <w:rPr>
          <w:u w:val="single" w:color="000000"/>
        </w:rPr>
        <w:t>że</w:t>
      </w:r>
      <w:r>
        <w:rPr>
          <w:u w:val="single" w:color="000000"/>
        </w:rPr>
        <w:t xml:space="preserve"> w zakresie:</w:t>
      </w:r>
    </w:p>
    <w:p w14:paraId="50351A75" w14:textId="77777777" w:rsidR="002178E4" w:rsidRDefault="00BB3C0A">
      <w:pPr>
        <w:pStyle w:val="Nagwek1"/>
        <w:spacing w:line="360" w:lineRule="auto"/>
        <w:ind w:left="360" w:hanging="360"/>
      </w:pPr>
      <w:r>
        <w:t xml:space="preserve">Pkt 2 (str. 24) </w:t>
      </w:r>
      <w:r>
        <w:t>obowiązku</w:t>
      </w:r>
      <w:r>
        <w:t xml:space="preserve"> cokwartalnego raportowania </w:t>
      </w:r>
      <w:r>
        <w:t>ilości</w:t>
      </w:r>
      <w:r>
        <w:t xml:space="preserve"> wprowadzonych do obrotu torebek z tworzyw sztucznych</w:t>
      </w:r>
    </w:p>
    <w:p w14:paraId="2044C9B5" w14:textId="77777777" w:rsidR="002178E4" w:rsidRDefault="00BB3C0A">
      <w:pPr>
        <w:spacing w:after="1080"/>
        <w:ind w:left="71"/>
      </w:pPr>
      <w:r>
        <w:t>Informuję,</w:t>
      </w:r>
      <w:r>
        <w:t xml:space="preserve"> </w:t>
      </w:r>
      <w:r>
        <w:t>że</w:t>
      </w:r>
      <w:r>
        <w:t xml:space="preserve"> w odniesieniu do toreb na zakupy z tworzyw sztucznych nie istnieje </w:t>
      </w:r>
      <w:r>
        <w:t>obowiązek</w:t>
      </w:r>
      <w:r>
        <w:t xml:space="preserve"> </w:t>
      </w:r>
      <w:r>
        <w:t>składania</w:t>
      </w:r>
      <w:r>
        <w:t xml:space="preserve"> raportów co </w:t>
      </w:r>
      <w:r>
        <w:t>kwartał.</w:t>
      </w:r>
      <w:r>
        <w:t xml:space="preserve"> Zgodnie z art. 73 ust. 1 pkt 2a ustawy o odpadach roczne sprawozdania o produktach, opakowaniach i o gospodarowaniu odpadami z nich </w:t>
      </w:r>
      <w:r>
        <w:t>powstającymi</w:t>
      </w:r>
      <w:r>
        <w:t xml:space="preserve"> </w:t>
      </w:r>
      <w:r>
        <w:t>sporządza</w:t>
      </w:r>
      <w:r>
        <w:t xml:space="preserve"> </w:t>
      </w:r>
      <w:r>
        <w:t>przedsiębiorca</w:t>
      </w:r>
      <w:r>
        <w:t xml:space="preserve"> </w:t>
      </w:r>
      <w:r>
        <w:t>prowadzący</w:t>
      </w:r>
      <w:r>
        <w:t xml:space="preserve"> </w:t>
      </w:r>
      <w:r>
        <w:t>jednostkę</w:t>
      </w:r>
      <w:r>
        <w:t xml:space="preserve"> handlu detalicznego lub hurtowego, w której </w:t>
      </w:r>
      <w:r>
        <w:t>są</w:t>
      </w:r>
      <w:r>
        <w:t xml:space="preserve"> oferowane torby na zakupy z tworzywa sztucznego, </w:t>
      </w:r>
      <w:r>
        <w:t>objęte</w:t>
      </w:r>
      <w:r>
        <w:t xml:space="preserve"> </w:t>
      </w:r>
      <w:r>
        <w:t>opłatą</w:t>
      </w:r>
      <w:r>
        <w:t xml:space="preserve"> </w:t>
      </w:r>
      <w:r>
        <w:t>recyklingową,</w:t>
      </w:r>
      <w:r>
        <w:t xml:space="preserve"> o której mowa w art. 40a ustawy z dnia 13 czerwca 2013 r. o gospodarce opakowaniami i odpadami opakowaniowymi</w:t>
      </w:r>
      <w:r>
        <w:rPr>
          <w:vertAlign w:val="superscript"/>
        </w:rPr>
        <w:footnoteReference w:id="4"/>
      </w:r>
      <w:r>
        <w:t xml:space="preserve">. Ww. </w:t>
      </w:r>
      <w:r>
        <w:t>przedsiębiorca</w:t>
      </w:r>
      <w:r>
        <w:t xml:space="preserve"> jest </w:t>
      </w:r>
      <w:r>
        <w:t>obowiązany</w:t>
      </w:r>
      <w:r>
        <w:t xml:space="preserve"> </w:t>
      </w:r>
      <w:r>
        <w:t>złożyć</w:t>
      </w:r>
      <w:r>
        <w:t xml:space="preserve"> przedmiotowe sprawozdanie w terminie do dnia 15 marca za poprzedni rok kalendarzowy za </w:t>
      </w:r>
      <w:r>
        <w:t>pośrednictwem</w:t>
      </w:r>
      <w:r>
        <w:t xml:space="preserve"> indywidualnego konta w Bazie danych o produktach i opakowaniach oraz o gospodarce odpadami. Natomiast zgodnie z art. 40c ustawy o gospodarce opakowaniami i odpadami opakowaniowymi </w:t>
      </w:r>
      <w:r>
        <w:t>przedsiębiorca</w:t>
      </w:r>
      <w:r>
        <w:t xml:space="preserve"> wnosi </w:t>
      </w:r>
      <w:r>
        <w:t>pobraną</w:t>
      </w:r>
      <w:r>
        <w:t xml:space="preserve"> </w:t>
      </w:r>
      <w:r>
        <w:t>opłatę</w:t>
      </w:r>
      <w:r>
        <w:t xml:space="preserve"> </w:t>
      </w:r>
      <w:r>
        <w:t>recyklingową</w:t>
      </w:r>
      <w:r>
        <w:t xml:space="preserve"> na </w:t>
      </w:r>
      <w:r>
        <w:t>odrębny</w:t>
      </w:r>
      <w:r>
        <w:t xml:space="preserve"> rachunek bankowy prowadzony przez </w:t>
      </w:r>
      <w:r>
        <w:t>marszałka</w:t>
      </w:r>
      <w:r>
        <w:t xml:space="preserve"> </w:t>
      </w:r>
      <w:r>
        <w:lastRenderedPageBreak/>
        <w:t xml:space="preserve">województwa w terminie do 15 dnia </w:t>
      </w:r>
      <w:r>
        <w:t>miesiąca</w:t>
      </w:r>
      <w:r>
        <w:t xml:space="preserve"> </w:t>
      </w:r>
      <w:r>
        <w:t>następującego</w:t>
      </w:r>
      <w:r>
        <w:t xml:space="preserve"> po kwartale, w którym </w:t>
      </w:r>
      <w:r>
        <w:t>zost</w:t>
      </w:r>
      <w:r>
        <w:t>ała</w:t>
      </w:r>
      <w:r>
        <w:t xml:space="preserve"> pobrana. </w:t>
      </w:r>
    </w:p>
    <w:p w14:paraId="09FAD802" w14:textId="77777777" w:rsidR="002178E4" w:rsidRDefault="00BB3C0A">
      <w:pPr>
        <w:pStyle w:val="Nagwek1"/>
        <w:spacing w:line="357" w:lineRule="auto"/>
        <w:ind w:left="360" w:hanging="360"/>
      </w:pPr>
      <w:r>
        <w:t xml:space="preserve">Pkt 5 (str. 24) w zakresie </w:t>
      </w:r>
      <w:r>
        <w:t>obowiązku</w:t>
      </w:r>
      <w:r>
        <w:t xml:space="preserve"> rejestrowania </w:t>
      </w:r>
      <w:r>
        <w:t>urządzeń</w:t>
      </w:r>
      <w:r>
        <w:t xml:space="preserve"> </w:t>
      </w:r>
      <w:r>
        <w:t>chłodniczych</w:t>
      </w:r>
      <w:r>
        <w:t xml:space="preserve"> w Centralnym Rejestrze Operatorów (CRO), wszystkich </w:t>
      </w:r>
      <w:r>
        <w:t>przeglądów,</w:t>
      </w:r>
      <w:r>
        <w:t xml:space="preserve"> wymian  </w:t>
      </w:r>
      <w:r>
        <w:t>uzupełnień</w:t>
      </w:r>
      <w:r>
        <w:t xml:space="preserve"> </w:t>
      </w:r>
      <w:r>
        <w:t>płynów</w:t>
      </w:r>
    </w:p>
    <w:p w14:paraId="773D817E" w14:textId="77777777" w:rsidR="002178E4" w:rsidRDefault="00BB3C0A">
      <w:pPr>
        <w:ind w:left="10"/>
      </w:pPr>
      <w:r>
        <w:t xml:space="preserve">Zapis ww. pkt, czyli </w:t>
      </w:r>
      <w:r>
        <w:t>,,Obowiązek</w:t>
      </w:r>
      <w:r>
        <w:t xml:space="preserve"> rejestrowania </w:t>
      </w:r>
      <w:r>
        <w:t>urządzeń</w:t>
      </w:r>
      <w:r>
        <w:t xml:space="preserve"> </w:t>
      </w:r>
      <w:r>
        <w:t>chłodniczych</w:t>
      </w:r>
      <w:r>
        <w:t xml:space="preserve"> w Centralnym Rejestrze Operatorów, wszystkich </w:t>
      </w:r>
      <w:r>
        <w:t>przeglądów,</w:t>
      </w:r>
      <w:r>
        <w:t xml:space="preserve"> wymian i </w:t>
      </w:r>
      <w:r>
        <w:t>uzupełnień</w:t>
      </w:r>
      <w:r>
        <w:t xml:space="preserve"> </w:t>
      </w:r>
      <w:r>
        <w:t>płynów</w:t>
      </w:r>
      <w:r>
        <w:t xml:space="preserve"> </w:t>
      </w:r>
      <w:r>
        <w:t>(hasła,</w:t>
      </w:r>
      <w:r>
        <w:t xml:space="preserve"> </w:t>
      </w:r>
      <w:r>
        <w:t>dokładne</w:t>
      </w:r>
      <w:r>
        <w:t xml:space="preserve"> dane firm </w:t>
      </w:r>
      <w:r>
        <w:t>dokonujących</w:t>
      </w:r>
      <w:r>
        <w:t xml:space="preserve"> </w:t>
      </w:r>
      <w:r>
        <w:t>przeglądy,</w:t>
      </w:r>
      <w:r>
        <w:t xml:space="preserve"> daty itp.)”  jest </w:t>
      </w:r>
      <w:r>
        <w:t>błędny.</w:t>
      </w:r>
    </w:p>
    <w:p w14:paraId="0D9DA488" w14:textId="77777777" w:rsidR="002178E4" w:rsidRDefault="00BB3C0A">
      <w:pPr>
        <w:ind w:left="10"/>
      </w:pPr>
      <w:r>
        <w:t>Wyjaśniam,</w:t>
      </w:r>
      <w:r>
        <w:t xml:space="preserve"> </w:t>
      </w:r>
      <w:r>
        <w:t>iż</w:t>
      </w:r>
      <w:r>
        <w:t xml:space="preserve"> w CRO wymagane </w:t>
      </w:r>
      <w:r>
        <w:t>są</w:t>
      </w:r>
      <w:r>
        <w:t xml:space="preserve"> tylko rejestracje oraz prowadzenie dokumentacji zgodnie w przepisami prawa UE oraz prawa krajowego, ograniczone do konkretnych rodzajów </w:t>
      </w:r>
      <w:r>
        <w:t>urządzeń</w:t>
      </w:r>
      <w:r>
        <w:t xml:space="preserve"> </w:t>
      </w:r>
      <w:r>
        <w:t>(urządzeń</w:t>
      </w:r>
      <w:r>
        <w:t xml:space="preserve"> </w:t>
      </w:r>
      <w:r>
        <w:t>chłodniczych,</w:t>
      </w:r>
      <w:r>
        <w:t xml:space="preserve"> </w:t>
      </w:r>
      <w:r>
        <w:t>urządzeń</w:t>
      </w:r>
      <w:r>
        <w:t xml:space="preserve"> klimatyzacyjnych, pompy </w:t>
      </w:r>
      <w:r>
        <w:t>ciepła,</w:t>
      </w:r>
      <w:r>
        <w:t xml:space="preserve"> </w:t>
      </w:r>
      <w:r>
        <w:t>urządzeń</w:t>
      </w:r>
      <w:r>
        <w:t xml:space="preserve"> ochrony </w:t>
      </w:r>
      <w:r>
        <w:t>przeciwpożarowej,</w:t>
      </w:r>
      <w:r>
        <w:t xml:space="preserve"> organicznych obiegów </w:t>
      </w:r>
      <w:proofErr w:type="spellStart"/>
      <w:r>
        <w:t>Rankine’a</w:t>
      </w:r>
      <w:proofErr w:type="spellEnd"/>
      <w:r>
        <w:t xml:space="preserve"> i rozdzielnic elektrycznych, które </w:t>
      </w:r>
      <w:r>
        <w:t>zawierają</w:t>
      </w:r>
      <w:r>
        <w:t xml:space="preserve"> fluorowane gazy cieplarniane wymienione w </w:t>
      </w:r>
      <w:r>
        <w:t>załączniku</w:t>
      </w:r>
      <w:r>
        <w:t xml:space="preserve"> I do </w:t>
      </w:r>
      <w:r>
        <w:t>rozporządzenia</w:t>
      </w:r>
      <w:r>
        <w:t xml:space="preserve"> F-gazowego, w </w:t>
      </w:r>
      <w:r>
        <w:t>ilości</w:t>
      </w:r>
      <w:r>
        <w:t xml:space="preserve"> co najmniej 5 ton ekwiwalentu CO2 lub fluorowane gazy cieplarniane wymienione w sekcji 1 </w:t>
      </w:r>
      <w:r>
        <w:t>załącznika</w:t>
      </w:r>
      <w:r>
        <w:t xml:space="preserve"> II w </w:t>
      </w:r>
      <w:r>
        <w:t>ilości</w:t>
      </w:r>
      <w:r>
        <w:t xml:space="preserve"> co najmniej 1 kg, które nie </w:t>
      </w:r>
      <w:r>
        <w:t>są</w:t>
      </w:r>
      <w:r>
        <w:t xml:space="preserve"> zawarte w piankach) oraz konkretnych </w:t>
      </w:r>
      <w:r>
        <w:t>czynności</w:t>
      </w:r>
      <w:r>
        <w:t xml:space="preserve"> </w:t>
      </w:r>
      <w:r>
        <w:t>związane</w:t>
      </w:r>
      <w:r>
        <w:t xml:space="preserve"> z czynnikiem </w:t>
      </w:r>
      <w:r>
        <w:t>chłodniczym</w:t>
      </w:r>
      <w:r>
        <w:t xml:space="preserve"> </w:t>
      </w:r>
      <w:r>
        <w:t>(instalację,</w:t>
      </w:r>
      <w:r>
        <w:t xml:space="preserve"> </w:t>
      </w:r>
      <w:r>
        <w:t>konserwację,</w:t>
      </w:r>
      <w:r>
        <w:t xml:space="preserve"> se</w:t>
      </w:r>
      <w:r>
        <w:t xml:space="preserve">rwisowanie, </w:t>
      </w:r>
      <w:r>
        <w:t>kontrolę</w:t>
      </w:r>
      <w:r>
        <w:t xml:space="preserve"> </w:t>
      </w:r>
      <w:r>
        <w:t>szczelności,</w:t>
      </w:r>
      <w:r>
        <w:t xml:space="preserve"> odzysk, </w:t>
      </w:r>
      <w:r>
        <w:t>naprawę,</w:t>
      </w:r>
      <w:r>
        <w:t xml:space="preserve"> </w:t>
      </w:r>
      <w:r>
        <w:t>likwidację</w:t>
      </w:r>
      <w:r>
        <w:t xml:space="preserve"> </w:t>
      </w:r>
      <w:r>
        <w:t>urządzenia).</w:t>
      </w:r>
      <w:r>
        <w:t xml:space="preserve"> </w:t>
      </w:r>
    </w:p>
    <w:p w14:paraId="73BD9C4B" w14:textId="77777777" w:rsidR="002178E4" w:rsidRDefault="00BB3C0A">
      <w:pPr>
        <w:ind w:left="10"/>
      </w:pPr>
      <w:r>
        <w:t xml:space="preserve">Dane firm oraz osób </w:t>
      </w:r>
      <w:r>
        <w:t>dokonujących</w:t>
      </w:r>
      <w:r>
        <w:t xml:space="preserve"> </w:t>
      </w:r>
      <w:r>
        <w:t>przeglądów</w:t>
      </w:r>
      <w:r>
        <w:t xml:space="preserve"> </w:t>
      </w:r>
      <w:r>
        <w:t>są</w:t>
      </w:r>
      <w:r>
        <w:t xml:space="preserve"> publicznie </w:t>
      </w:r>
      <w:r>
        <w:t>dostępne</w:t>
      </w:r>
      <w:r>
        <w:t xml:space="preserve"> w rejestrze firm </w:t>
      </w:r>
      <w:r>
        <w:t>posiadających</w:t>
      </w:r>
      <w:r>
        <w:t xml:space="preserve"> certyfikaty F-gazowe na stronie </w:t>
      </w:r>
      <w:r>
        <w:t>Urzędu</w:t>
      </w:r>
      <w:r>
        <w:t xml:space="preserve"> Dozoru Technicznego. Nie </w:t>
      </w:r>
      <w:r>
        <w:t>udostępnia</w:t>
      </w:r>
      <w:r>
        <w:t xml:space="preserve"> </w:t>
      </w:r>
      <w:r>
        <w:t>się</w:t>
      </w:r>
      <w:r>
        <w:t xml:space="preserve"> </w:t>
      </w:r>
      <w:r>
        <w:t>żadnych</w:t>
      </w:r>
      <w:r>
        <w:t xml:space="preserve"> </w:t>
      </w:r>
      <w:r>
        <w:t>haseł</w:t>
      </w:r>
      <w:r>
        <w:t xml:space="preserve"> ani ukrytych danych, a </w:t>
      </w:r>
      <w:r>
        <w:t>dostęp</w:t>
      </w:r>
      <w:r>
        <w:t xml:space="preserve"> do CRO i danych tam zawartych </w:t>
      </w:r>
      <w:r>
        <w:t>mają</w:t>
      </w:r>
      <w:r>
        <w:t xml:space="preserve"> tylko pracownicy </w:t>
      </w:r>
      <w:r>
        <w:t>obsługujący</w:t>
      </w:r>
      <w:r>
        <w:t xml:space="preserve"> </w:t>
      </w:r>
      <w:r>
        <w:t>bazę,</w:t>
      </w:r>
      <w:r>
        <w:t xml:space="preserve"> a na </w:t>
      </w:r>
      <w:r>
        <w:t>prośbę</w:t>
      </w:r>
      <w:r>
        <w:t xml:space="preserve"> organów kontrolnych informacje takie </w:t>
      </w:r>
      <w:r>
        <w:t>są</w:t>
      </w:r>
      <w:r>
        <w:t xml:space="preserve"> im przekazywane.</w:t>
      </w:r>
    </w:p>
    <w:p w14:paraId="4C21CD80" w14:textId="77777777" w:rsidR="002178E4" w:rsidRDefault="00BB3C0A">
      <w:pPr>
        <w:spacing w:after="495"/>
        <w:ind w:left="10"/>
      </w:pPr>
      <w:r>
        <w:t>Podsumowując:</w:t>
      </w:r>
      <w:r>
        <w:t xml:space="preserve"> nie ma </w:t>
      </w:r>
      <w:r>
        <w:t>możliwości</w:t>
      </w:r>
      <w:r>
        <w:t xml:space="preserve"> ani potrzeby zmiany przepisów krajowych w tym zakresie.</w:t>
      </w:r>
    </w:p>
    <w:p w14:paraId="47D582D6" w14:textId="77777777" w:rsidR="002178E4" w:rsidRDefault="00BB3C0A">
      <w:pPr>
        <w:spacing w:after="96" w:line="259" w:lineRule="auto"/>
        <w:ind w:left="71"/>
      </w:pPr>
      <w:r>
        <w:rPr>
          <w:b/>
        </w:rPr>
        <w:t>Podstawa prawna:</w:t>
      </w:r>
    </w:p>
    <w:p w14:paraId="650935B0" w14:textId="77777777" w:rsidR="002178E4" w:rsidRDefault="00BB3C0A">
      <w:pPr>
        <w:spacing w:after="375"/>
        <w:ind w:left="71"/>
      </w:pPr>
      <w:r>
        <w:t>Art. 12 i 13 ustawy z dnia 11 lipca 2014 r. o petycjach.</w:t>
      </w:r>
    </w:p>
    <w:p w14:paraId="2D5D9AFF" w14:textId="77777777" w:rsidR="002178E4" w:rsidRDefault="00BB3C0A">
      <w:pPr>
        <w:spacing w:after="96" w:line="259" w:lineRule="auto"/>
        <w:ind w:left="71"/>
      </w:pPr>
      <w:r>
        <w:rPr>
          <w:b/>
        </w:rPr>
        <w:t>Pouczenie:</w:t>
      </w:r>
    </w:p>
    <w:p w14:paraId="7B0FFE5A" w14:textId="77777777" w:rsidR="002178E4" w:rsidRDefault="00BB3C0A">
      <w:pPr>
        <w:spacing w:after="0" w:line="354" w:lineRule="auto"/>
        <w:ind w:left="71"/>
        <w:jc w:val="left"/>
      </w:pPr>
      <w:r>
        <w:t>Informuję,</w:t>
      </w:r>
      <w:r>
        <w:t xml:space="preserve"> </w:t>
      </w:r>
      <w:r>
        <w:t>że</w:t>
      </w:r>
      <w:r>
        <w:t xml:space="preserve"> na sposób </w:t>
      </w:r>
      <w:r>
        <w:t>załatwienia</w:t>
      </w:r>
      <w:r>
        <w:t xml:space="preserve"> petycji nie </w:t>
      </w:r>
      <w:r>
        <w:t>służy</w:t>
      </w:r>
      <w:r>
        <w:t xml:space="preserve"> </w:t>
      </w:r>
      <w:r>
        <w:t>Pani/Panu/Państwu</w:t>
      </w:r>
      <w:r>
        <w:t xml:space="preserve"> prawo wniesienia skargi w trybie </w:t>
      </w:r>
      <w:r>
        <w:t>określonym</w:t>
      </w:r>
      <w:r>
        <w:t xml:space="preserve"> w Rozdziale 2 </w:t>
      </w:r>
      <w:r>
        <w:t>Działu</w:t>
      </w:r>
      <w:r>
        <w:t xml:space="preserve"> VIII Kodeksu </w:t>
      </w:r>
      <w:r>
        <w:t>postępowania</w:t>
      </w:r>
      <w:r>
        <w:t xml:space="preserve"> administracyjnego.</w:t>
      </w:r>
    </w:p>
    <w:p w14:paraId="2F9DBB1B" w14:textId="77777777" w:rsidR="002178E4" w:rsidRDefault="00BB3C0A">
      <w:pPr>
        <w:spacing w:after="360" w:line="354" w:lineRule="auto"/>
        <w:ind w:left="71" w:right="223"/>
        <w:jc w:val="left"/>
      </w:pPr>
      <w:r>
        <w:t xml:space="preserve">Minister Klimatu i </w:t>
      </w:r>
      <w:r>
        <w:t>Środowiska</w:t>
      </w:r>
      <w:r>
        <w:t xml:space="preserve"> </w:t>
      </w:r>
      <w:r>
        <w:t>może</w:t>
      </w:r>
      <w:r>
        <w:t xml:space="preserve"> </w:t>
      </w:r>
      <w:r>
        <w:t>pozostawić</w:t>
      </w:r>
      <w:r>
        <w:t xml:space="preserve"> bez rozpatrzenia </w:t>
      </w:r>
      <w:r>
        <w:t>petycję</w:t>
      </w:r>
      <w:r>
        <w:t xml:space="preserve"> </w:t>
      </w:r>
      <w:r>
        <w:t>złożoną</w:t>
      </w:r>
      <w:r>
        <w:t xml:space="preserve"> w sprawie, która </w:t>
      </w:r>
      <w:r>
        <w:t>była</w:t>
      </w:r>
      <w:r>
        <w:t xml:space="preserve"> przedmiotem petycji </w:t>
      </w:r>
      <w:r>
        <w:t>już</w:t>
      </w:r>
      <w:r>
        <w:t xml:space="preserve"> rozpatrzonej, </w:t>
      </w:r>
      <w:r>
        <w:t>jeżeli</w:t>
      </w:r>
      <w:r>
        <w:t xml:space="preserve"> w petycji nie </w:t>
      </w:r>
      <w:r>
        <w:t>powołano</w:t>
      </w:r>
      <w:r>
        <w:t xml:space="preserve"> </w:t>
      </w:r>
      <w:r>
        <w:t>się</w:t>
      </w:r>
      <w:r>
        <w:t xml:space="preserve"> na nowe fakty lub dowody nieznane Ministrowi Klimatu i </w:t>
      </w:r>
      <w:r>
        <w:t>Środowiska.</w:t>
      </w:r>
    </w:p>
    <w:p w14:paraId="511FD0C0" w14:textId="77777777" w:rsidR="002178E4" w:rsidRDefault="00BB3C0A">
      <w:pPr>
        <w:spacing w:after="96" w:line="259" w:lineRule="auto"/>
        <w:ind w:left="71"/>
      </w:pPr>
      <w:r>
        <w:t>Z wyrazami szacunku</w:t>
      </w:r>
    </w:p>
    <w:p w14:paraId="4C983CB3" w14:textId="77777777" w:rsidR="002178E4" w:rsidRDefault="00BB3C0A">
      <w:pPr>
        <w:spacing w:after="176" w:line="259" w:lineRule="auto"/>
        <w:ind w:left="71"/>
      </w:pPr>
      <w:r>
        <w:t>Z up. Ministra</w:t>
      </w:r>
    </w:p>
    <w:p w14:paraId="075D8EE6" w14:textId="77777777" w:rsidR="002178E4" w:rsidRDefault="00BB3C0A">
      <w:pPr>
        <w:spacing w:after="0" w:line="259" w:lineRule="auto"/>
        <w:ind w:left="76" w:firstLine="0"/>
        <w:jc w:val="left"/>
      </w:pPr>
      <w:r>
        <w:rPr>
          <w:rFonts w:ascii="Arial" w:eastAsia="Arial" w:hAnsi="Arial" w:cs="Arial"/>
        </w:rPr>
        <w:t xml:space="preserve">              </w:t>
      </w:r>
    </w:p>
    <w:p w14:paraId="2B3FC84D" w14:textId="77777777" w:rsidR="002178E4" w:rsidRDefault="00BB3C0A">
      <w:pPr>
        <w:spacing w:after="0" w:line="259" w:lineRule="auto"/>
        <w:ind w:left="76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48F3F509" w14:textId="77777777" w:rsidR="002178E4" w:rsidRDefault="00BB3C0A">
      <w:pPr>
        <w:spacing w:after="0" w:line="259" w:lineRule="auto"/>
        <w:ind w:left="76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520C238C" w14:textId="77777777" w:rsidR="002178E4" w:rsidRDefault="00BB3C0A">
      <w:pPr>
        <w:spacing w:after="0" w:line="259" w:lineRule="auto"/>
        <w:ind w:left="76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36BCA46D" w14:textId="77777777" w:rsidR="002178E4" w:rsidRDefault="00BB3C0A">
      <w:pPr>
        <w:spacing w:after="0" w:line="259" w:lineRule="auto"/>
        <w:ind w:left="76" w:firstLine="0"/>
        <w:jc w:val="left"/>
      </w:pPr>
      <w:r>
        <w:rPr>
          <w:rFonts w:ascii="Arial" w:eastAsia="Arial" w:hAnsi="Arial" w:cs="Arial"/>
        </w:rPr>
        <w:lastRenderedPageBreak/>
        <w:t xml:space="preserve">                      </w:t>
      </w:r>
    </w:p>
    <w:p w14:paraId="7DFCB905" w14:textId="77777777" w:rsidR="002178E4" w:rsidRDefault="00BB3C0A">
      <w:pPr>
        <w:spacing w:after="131" w:line="265" w:lineRule="auto"/>
        <w:ind w:left="85" w:right="1"/>
        <w:jc w:val="center"/>
      </w:pPr>
      <w:r>
        <w:rPr>
          <w:b/>
        </w:rPr>
        <w:t>Klauzula informacyjna</w:t>
      </w:r>
    </w:p>
    <w:p w14:paraId="6352E355" w14:textId="77777777" w:rsidR="002178E4" w:rsidRDefault="00BB3C0A">
      <w:pPr>
        <w:spacing w:after="531" w:line="265" w:lineRule="auto"/>
        <w:ind w:left="85"/>
        <w:jc w:val="center"/>
      </w:pPr>
      <w:r>
        <w:rPr>
          <w:b/>
        </w:rPr>
        <w:t>dotycząca przetwarzania danych osobowych osób wnoszących petycję</w:t>
      </w:r>
    </w:p>
    <w:p w14:paraId="7DE83115" w14:textId="77777777" w:rsidR="002178E4" w:rsidRDefault="00BB3C0A">
      <w:pPr>
        <w:spacing w:after="157" w:line="240" w:lineRule="auto"/>
        <w:ind w:left="71"/>
        <w:jc w:val="left"/>
      </w:pPr>
      <w:r>
        <w:t xml:space="preserve">Zgodnie z art. 13 ust. 1 i 2 </w:t>
      </w:r>
      <w:r>
        <w:t>rozporządzenia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(Dz. Urz. UE L 119 z 04.05.2016, str. 1 z </w:t>
      </w:r>
      <w:proofErr w:type="spellStart"/>
      <w:r>
        <w:t>późn</w:t>
      </w:r>
      <w:proofErr w:type="spellEnd"/>
      <w:r>
        <w:t>.</w:t>
      </w:r>
      <w:r>
        <w:t xml:space="preserve"> zm., dalej: RODO) uprzejmie </w:t>
      </w:r>
      <w:r>
        <w:t>informuję,</w:t>
      </w:r>
      <w:r>
        <w:t xml:space="preserve"> </w:t>
      </w:r>
      <w:r>
        <w:t>że:</w:t>
      </w:r>
    </w:p>
    <w:p w14:paraId="4FAFE079" w14:textId="77777777" w:rsidR="002178E4" w:rsidRDefault="00BB3C0A">
      <w:pPr>
        <w:pStyle w:val="Nagwek1"/>
        <w:numPr>
          <w:ilvl w:val="0"/>
          <w:numId w:val="0"/>
        </w:numPr>
        <w:ind w:left="71"/>
      </w:pPr>
      <w:r>
        <w:t>Tożsamość</w:t>
      </w:r>
      <w:r>
        <w:t xml:space="preserve"> administratora</w:t>
      </w:r>
    </w:p>
    <w:p w14:paraId="294366E3" w14:textId="77777777" w:rsidR="002178E4" w:rsidRDefault="00BB3C0A">
      <w:pPr>
        <w:spacing w:after="155" w:line="259" w:lineRule="auto"/>
        <w:ind w:left="71"/>
      </w:pPr>
      <w:r>
        <w:t xml:space="preserve">Administratorem Pani/Pana danych osobowych jest Minister Klimatu i </w:t>
      </w:r>
      <w:r>
        <w:t>Środowiska.</w:t>
      </w:r>
    </w:p>
    <w:p w14:paraId="19CEDFA5" w14:textId="77777777" w:rsidR="002178E4" w:rsidRDefault="00BB3C0A">
      <w:pPr>
        <w:spacing w:after="158" w:line="259" w:lineRule="auto"/>
      </w:pPr>
      <w:r>
        <w:t>Może</w:t>
      </w:r>
      <w:r>
        <w:t xml:space="preserve"> </w:t>
      </w:r>
      <w:r>
        <w:t>się</w:t>
      </w:r>
      <w:r>
        <w:t xml:space="preserve"> Pani/Pan z nami </w:t>
      </w:r>
      <w:r>
        <w:t>kontaktować</w:t>
      </w:r>
      <w:r>
        <w:t xml:space="preserve"> w </w:t>
      </w:r>
      <w:r>
        <w:t>następujący</w:t>
      </w:r>
      <w:r>
        <w:t xml:space="preserve"> sposób:</w:t>
      </w:r>
    </w:p>
    <w:p w14:paraId="306673DD" w14:textId="77777777" w:rsidR="002178E4" w:rsidRDefault="00BB3C0A">
      <w:pPr>
        <w:numPr>
          <w:ilvl w:val="0"/>
          <w:numId w:val="3"/>
        </w:numPr>
        <w:spacing w:after="4" w:line="259" w:lineRule="auto"/>
        <w:ind w:right="1143" w:hanging="360"/>
        <w:jc w:val="left"/>
      </w:pPr>
      <w:r>
        <w:t>listownie na adres: ul. Wawelska 52/54, 00-922 Warszawa</w:t>
      </w:r>
    </w:p>
    <w:p w14:paraId="6577C498" w14:textId="77777777" w:rsidR="002178E4" w:rsidRDefault="00BB3C0A">
      <w:pPr>
        <w:numPr>
          <w:ilvl w:val="0"/>
          <w:numId w:val="3"/>
        </w:numPr>
        <w:spacing w:after="157" w:line="240" w:lineRule="auto"/>
        <w:ind w:right="1143" w:hanging="360"/>
        <w:jc w:val="left"/>
      </w:pPr>
      <w:r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 3)</w:t>
      </w:r>
      <w:r>
        <w:tab/>
        <w:t xml:space="preserve">poprzez e-mail: </w:t>
      </w:r>
      <w:r>
        <w:rPr>
          <w:color w:val="0000FF"/>
          <w:u w:val="single" w:color="0000FF"/>
        </w:rPr>
        <w:t xml:space="preserve">info@klimat.gov.pl </w:t>
      </w:r>
      <w:r>
        <w:t>4)</w:t>
      </w:r>
      <w:r>
        <w:tab/>
        <w:t>telefonicznie: 22 36 92 900.</w:t>
      </w:r>
    </w:p>
    <w:p w14:paraId="3EBDD6DB" w14:textId="77777777" w:rsidR="002178E4" w:rsidRDefault="00BB3C0A">
      <w:pPr>
        <w:pStyle w:val="Nagwek1"/>
        <w:numPr>
          <w:ilvl w:val="0"/>
          <w:numId w:val="0"/>
        </w:numPr>
        <w:ind w:left="71"/>
      </w:pPr>
      <w:r>
        <w:t>Dane kontaktowe inspektora ochrony danych osobowych</w:t>
      </w:r>
    </w:p>
    <w:p w14:paraId="13E86F05" w14:textId="77777777" w:rsidR="002178E4" w:rsidRDefault="00BB3C0A">
      <w:pPr>
        <w:spacing w:after="162" w:line="255" w:lineRule="auto"/>
        <w:ind w:left="71"/>
      </w:pPr>
      <w:r>
        <w:t xml:space="preserve">Nad </w:t>
      </w:r>
      <w:r>
        <w:t>prawidłowością</w:t>
      </w:r>
      <w:r>
        <w:t xml:space="preserve"> przetwarzania </w:t>
      </w:r>
      <w:r>
        <w:t>Państwa</w:t>
      </w:r>
      <w:r>
        <w:t xml:space="preserve"> danych osobowych czuwa wyznaczony przez Administratora inspektor ochrony danych, z którym </w:t>
      </w:r>
      <w:r>
        <w:t>można</w:t>
      </w:r>
      <w:r>
        <w:t xml:space="preserve"> </w:t>
      </w:r>
      <w:r>
        <w:t>się</w:t>
      </w:r>
      <w:r>
        <w:t xml:space="preserve"> </w:t>
      </w:r>
      <w:r>
        <w:t>kontaktować:</w:t>
      </w:r>
      <w:r>
        <w:t xml:space="preserve"> </w:t>
      </w:r>
    </w:p>
    <w:p w14:paraId="56F7D607" w14:textId="77777777" w:rsidR="002178E4" w:rsidRDefault="00BB3C0A">
      <w:pPr>
        <w:spacing w:after="157" w:line="240" w:lineRule="auto"/>
        <w:ind w:left="446" w:right="2111"/>
        <w:jc w:val="left"/>
      </w:pPr>
      <w:r>
        <w:t>1)</w:t>
      </w:r>
      <w:r>
        <w:tab/>
        <w:t>listownie na adres: ul. Wawelska 52/54, 00-922 Warszawa 2)</w:t>
      </w:r>
      <w:r>
        <w:tab/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 3)</w:t>
      </w:r>
      <w:r>
        <w:tab/>
        <w:t>poprzez e-mail: inspektor.ochrony.danych@klimat.gov.pl.</w:t>
      </w:r>
    </w:p>
    <w:p w14:paraId="7CDAA1C2" w14:textId="77777777" w:rsidR="002178E4" w:rsidRDefault="00BB3C0A">
      <w:pPr>
        <w:pStyle w:val="Nagwek1"/>
        <w:numPr>
          <w:ilvl w:val="0"/>
          <w:numId w:val="0"/>
        </w:numPr>
        <w:ind w:left="71"/>
      </w:pPr>
      <w:r>
        <w:t>Cele przetwarzania danych osobowych i podstawa prawna</w:t>
      </w:r>
    </w:p>
    <w:p w14:paraId="6A7C79CC" w14:textId="77777777" w:rsidR="002178E4" w:rsidRDefault="00BB3C0A">
      <w:pPr>
        <w:spacing w:after="157" w:line="240" w:lineRule="auto"/>
        <w:ind w:left="71" w:right="104"/>
        <w:jc w:val="left"/>
      </w:pPr>
      <w:r>
        <w:t xml:space="preserve">Pani/Pana dane osobowe </w:t>
      </w:r>
      <w:r>
        <w:t>będą</w:t>
      </w:r>
      <w:r>
        <w:t xml:space="preserve"> przetwarzane na podstawie art. 6 ust. 1 lit. c RODO (przetwarzanie jest </w:t>
      </w:r>
      <w:r>
        <w:t>niezbędne</w:t>
      </w:r>
      <w:r>
        <w:t xml:space="preserve"> do </w:t>
      </w:r>
      <w:r>
        <w:t>wypełnienia</w:t>
      </w:r>
      <w:r>
        <w:t xml:space="preserve"> </w:t>
      </w:r>
      <w:r>
        <w:t>obowiązku</w:t>
      </w:r>
      <w:r>
        <w:t xml:space="preserve"> prawnego </w:t>
      </w:r>
      <w:r>
        <w:t>ciążącego</w:t>
      </w:r>
      <w:r>
        <w:t xml:space="preserve">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44597DB9" w14:textId="77777777" w:rsidR="002178E4" w:rsidRDefault="00BB3C0A">
      <w:pPr>
        <w:pStyle w:val="Nagwek1"/>
        <w:numPr>
          <w:ilvl w:val="0"/>
          <w:numId w:val="0"/>
        </w:numPr>
        <w:ind w:left="71"/>
      </w:pPr>
      <w:r>
        <w:t>Odbiorcy danych osobowych lub kategorie odbiorców danych osobowych</w:t>
      </w:r>
    </w:p>
    <w:p w14:paraId="3838EA4A" w14:textId="77777777" w:rsidR="002178E4" w:rsidRDefault="00BB3C0A">
      <w:pPr>
        <w:spacing w:after="157" w:line="240" w:lineRule="auto"/>
        <w:ind w:left="71"/>
        <w:jc w:val="left"/>
      </w:pPr>
      <w:r>
        <w:t xml:space="preserve">Pani/Pana dane osobowe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udostępnione</w:t>
      </w:r>
      <w:r>
        <w:t xml:space="preserve"> organom </w:t>
      </w:r>
      <w:r>
        <w:t>upoważnionym</w:t>
      </w:r>
      <w:r>
        <w:t xml:space="preserve"> na podstawie przepisów prawa powszechnie </w:t>
      </w:r>
      <w:r>
        <w:t>obowiązującego,</w:t>
      </w:r>
      <w:r>
        <w:t xml:space="preserve"> nie </w:t>
      </w:r>
      <w:r>
        <w:t>stanowią</w:t>
      </w:r>
      <w:r>
        <w:t xml:space="preserve"> jednak one odbiorców danych w rozumieniu przepisów RODO.</w:t>
      </w:r>
    </w:p>
    <w:p w14:paraId="7A80E8AE" w14:textId="77777777" w:rsidR="002178E4" w:rsidRDefault="00BB3C0A">
      <w:pPr>
        <w:spacing w:after="117" w:line="240" w:lineRule="auto"/>
        <w:ind w:left="71" w:right="405"/>
        <w:jc w:val="left"/>
      </w:pPr>
      <w:r>
        <w:t xml:space="preserve">Pani/Pana dane osobowe, tj. </w:t>
      </w:r>
      <w:r>
        <w:t>imię</w:t>
      </w:r>
      <w:r>
        <w:t xml:space="preserve"> i nazwisko </w:t>
      </w:r>
      <w:r>
        <w:t>mogą</w:t>
      </w:r>
      <w:r>
        <w:t xml:space="preserve"> </w:t>
      </w:r>
      <w:r>
        <w:t>być</w:t>
      </w:r>
      <w:r>
        <w:t xml:space="preserve"> opublikowane na stronie internetowej Ministerstwa Klimatu i </w:t>
      </w:r>
      <w:r>
        <w:t>Środowiska</w:t>
      </w:r>
      <w:r>
        <w:t xml:space="preserve"> </w:t>
      </w:r>
      <w:r>
        <w:t>łącznie</w:t>
      </w:r>
      <w:r>
        <w:t xml:space="preserve"> z </w:t>
      </w:r>
      <w:r>
        <w:t>treścią</w:t>
      </w:r>
      <w:r>
        <w:t xml:space="preserve"> petycji, tylko w przypadku </w:t>
      </w:r>
      <w:r>
        <w:t>wyrażenia</w:t>
      </w:r>
      <w:r>
        <w:t xml:space="preserve"> przez </w:t>
      </w:r>
      <w:r>
        <w:t>Panią/Pana</w:t>
      </w:r>
      <w:r>
        <w:t xml:space="preserve"> zgody. </w:t>
      </w:r>
      <w:r>
        <w:t>Zgodę</w:t>
      </w:r>
      <w:r>
        <w:t xml:space="preserve"> </w:t>
      </w:r>
      <w:r>
        <w:t>można</w:t>
      </w:r>
      <w:r>
        <w:t xml:space="preserve"> w </w:t>
      </w:r>
      <w:r>
        <w:t>każdej</w:t>
      </w:r>
      <w:r>
        <w:t xml:space="preserve"> chwili </w:t>
      </w:r>
      <w:r>
        <w:t>wycofać</w:t>
      </w:r>
      <w:r>
        <w:t xml:space="preserve"> </w:t>
      </w:r>
      <w:r>
        <w:t>wysyłając</w:t>
      </w:r>
      <w:r>
        <w:t xml:space="preserve"> </w:t>
      </w:r>
      <w:r>
        <w:t>wiadomość</w:t>
      </w:r>
      <w:r>
        <w:t xml:space="preserve"> na adres  inspektor.ochrony.danych@klimat.gov.pl.</w:t>
      </w:r>
    </w:p>
    <w:p w14:paraId="3E6B4635" w14:textId="77777777" w:rsidR="002178E4" w:rsidRDefault="00BB3C0A">
      <w:pPr>
        <w:pStyle w:val="Nagwek1"/>
        <w:numPr>
          <w:ilvl w:val="0"/>
          <w:numId w:val="0"/>
        </w:numPr>
        <w:ind w:left="71"/>
      </w:pPr>
      <w:r>
        <w:t>Okres przechowywania danych osobowych</w:t>
      </w:r>
    </w:p>
    <w:p w14:paraId="347147C8" w14:textId="77777777" w:rsidR="002178E4" w:rsidRDefault="00BB3C0A">
      <w:pPr>
        <w:spacing w:after="157" w:line="240" w:lineRule="auto"/>
        <w:ind w:left="71"/>
        <w:jc w:val="left"/>
      </w:pPr>
      <w:r>
        <w:t xml:space="preserve">Pani/Pana dane osobowe </w:t>
      </w:r>
      <w:r>
        <w:t>będą</w:t>
      </w:r>
      <w:r>
        <w:t xml:space="preserve"> przechowywane przez okres </w:t>
      </w:r>
      <w:r>
        <w:t>niezbędny</w:t>
      </w:r>
      <w:r>
        <w:t xml:space="preserve"> do realizacji celu przetwarzania, a </w:t>
      </w:r>
      <w:r>
        <w:t>następnie</w:t>
      </w:r>
      <w:r>
        <w:t xml:space="preserve"> </w:t>
      </w:r>
      <w:r>
        <w:t>wieczyście</w:t>
      </w:r>
      <w:r>
        <w:t xml:space="preserve"> na podstawie Instrukcji Kancelaryjnej </w:t>
      </w:r>
      <w:r>
        <w:t>obowiązującej</w:t>
      </w:r>
      <w:r>
        <w:t xml:space="preserve"> w Ministerstwie Klimatu i </w:t>
      </w:r>
      <w:r>
        <w:t>Środowiska</w:t>
      </w:r>
      <w:r>
        <w:t xml:space="preserve"> (kat. archiwalna A) i przepisów ustawy z dnia 14 lipca 1983 r. o narodowym zasobie archiwalnym i archiwach.</w:t>
      </w:r>
    </w:p>
    <w:p w14:paraId="78DB860A" w14:textId="77777777" w:rsidR="002178E4" w:rsidRDefault="00BB3C0A">
      <w:pPr>
        <w:pStyle w:val="Nagwek1"/>
        <w:numPr>
          <w:ilvl w:val="0"/>
          <w:numId w:val="0"/>
        </w:numPr>
        <w:ind w:left="71"/>
      </w:pPr>
      <w:r>
        <w:t>Przysługujące</w:t>
      </w:r>
      <w:r>
        <w:t xml:space="preserve"> uprawnienia </w:t>
      </w:r>
      <w:r>
        <w:t>związane</w:t>
      </w:r>
      <w:r>
        <w:t xml:space="preserve"> z przetwarzaniem danych osobowych</w:t>
      </w:r>
    </w:p>
    <w:p w14:paraId="18B22B4A" w14:textId="77777777" w:rsidR="002178E4" w:rsidRDefault="00BB3C0A">
      <w:pPr>
        <w:spacing w:line="259" w:lineRule="auto"/>
        <w:ind w:left="71"/>
      </w:pPr>
      <w:r>
        <w:t>Przysługują</w:t>
      </w:r>
      <w:r>
        <w:t xml:space="preserve"> Pani/Panu </w:t>
      </w:r>
      <w:r>
        <w:t>następujące</w:t>
      </w:r>
      <w:r>
        <w:t xml:space="preserve"> uprawnienia:</w:t>
      </w:r>
    </w:p>
    <w:p w14:paraId="063380E4" w14:textId="77777777" w:rsidR="002178E4" w:rsidRDefault="00BB3C0A">
      <w:pPr>
        <w:numPr>
          <w:ilvl w:val="0"/>
          <w:numId w:val="4"/>
        </w:numPr>
        <w:spacing w:after="0" w:line="259" w:lineRule="auto"/>
        <w:ind w:right="1739" w:hanging="360"/>
        <w:jc w:val="left"/>
      </w:pPr>
      <w:r>
        <w:t xml:space="preserve">prawo </w:t>
      </w:r>
      <w:r>
        <w:t>dostępu</w:t>
      </w:r>
      <w:r>
        <w:t xml:space="preserve"> do danych osobowych i uzyskania ich kopii </w:t>
      </w:r>
    </w:p>
    <w:p w14:paraId="00E4577D" w14:textId="77777777" w:rsidR="002178E4" w:rsidRDefault="00BB3C0A">
      <w:pPr>
        <w:numPr>
          <w:ilvl w:val="0"/>
          <w:numId w:val="4"/>
        </w:numPr>
        <w:spacing w:after="241" w:line="240" w:lineRule="auto"/>
        <w:ind w:right="1739" w:hanging="360"/>
        <w:jc w:val="left"/>
      </w:pPr>
      <w:r>
        <w:t>prawo do sprostowania danych osobowych 3)</w:t>
      </w:r>
      <w:r>
        <w:tab/>
        <w:t xml:space="preserve">prawo do </w:t>
      </w:r>
      <w:r>
        <w:t>usunięcia</w:t>
      </w:r>
      <w:r>
        <w:t xml:space="preserve"> danych osobowych 4)</w:t>
      </w:r>
      <w:r>
        <w:tab/>
        <w:t>prawo ograniczenia przetwarzania.</w:t>
      </w:r>
    </w:p>
    <w:p w14:paraId="52FD13C7" w14:textId="77777777" w:rsidR="002178E4" w:rsidRDefault="00BB3C0A">
      <w:pPr>
        <w:spacing w:after="162" w:line="236" w:lineRule="auto"/>
        <w:ind w:left="71"/>
      </w:pPr>
      <w:r>
        <w:t xml:space="preserve">Aby </w:t>
      </w:r>
      <w:r>
        <w:t>skorzystać</w:t>
      </w:r>
      <w:r>
        <w:t xml:space="preserve"> z </w:t>
      </w:r>
      <w:r>
        <w:t>powyższych</w:t>
      </w:r>
      <w:r>
        <w:t xml:space="preserve"> praw </w:t>
      </w:r>
      <w:r>
        <w:t>należy</w:t>
      </w:r>
      <w:r>
        <w:t xml:space="preserve"> </w:t>
      </w:r>
      <w:r>
        <w:t>skontaktować</w:t>
      </w:r>
      <w:r>
        <w:t xml:space="preserve"> </w:t>
      </w:r>
      <w:r>
        <w:t>się</w:t>
      </w:r>
      <w:r>
        <w:t xml:space="preserve"> z nami lub z naszym inspektorem ochrony danych (dane kontaktowe zawarte </w:t>
      </w:r>
      <w:r>
        <w:t>są</w:t>
      </w:r>
      <w:r>
        <w:t xml:space="preserve"> </w:t>
      </w:r>
      <w:r>
        <w:t>powyżej).</w:t>
      </w:r>
    </w:p>
    <w:p w14:paraId="51EC8A11" w14:textId="77777777" w:rsidR="002178E4" w:rsidRDefault="00BB3C0A">
      <w:pPr>
        <w:spacing w:after="116" w:line="240" w:lineRule="auto"/>
        <w:ind w:left="790" w:right="202" w:hanging="357"/>
        <w:jc w:val="left"/>
      </w:pPr>
      <w:r>
        <w:lastRenderedPageBreak/>
        <w:t>5)</w:t>
      </w:r>
      <w:r>
        <w:tab/>
        <w:t xml:space="preserve">prawo do wniesienia skargi do Prezesa </w:t>
      </w:r>
      <w:r>
        <w:t>Urzędu</w:t>
      </w:r>
      <w:r>
        <w:t xml:space="preserve"> Ochrony Danych Osobowych (ul. Stawki 2,  00-193 Warszawa), </w:t>
      </w:r>
      <w:r>
        <w:t>jeśli</w:t>
      </w:r>
      <w:r>
        <w:t xml:space="preserve"> uzna Pani/Pan </w:t>
      </w:r>
      <w:r>
        <w:t>że</w:t>
      </w:r>
      <w:r>
        <w:t xml:space="preserve"> przetwarzamy Pani/Pana dane osobowe niezgodnie z prawem. </w:t>
      </w:r>
    </w:p>
    <w:p w14:paraId="7A798C22" w14:textId="77777777" w:rsidR="002178E4" w:rsidRDefault="00BB3C0A">
      <w:pPr>
        <w:spacing w:after="136" w:line="259" w:lineRule="auto"/>
        <w:ind w:left="71"/>
      </w:pPr>
      <w:r>
        <w:rPr>
          <w:b/>
        </w:rPr>
        <w:t>Informacja o przekazywaniu danych osobowych do państw trzecich</w:t>
      </w:r>
    </w:p>
    <w:p w14:paraId="2401EC04" w14:textId="77777777" w:rsidR="002178E4" w:rsidRDefault="00BB3C0A">
      <w:pPr>
        <w:spacing w:line="259" w:lineRule="auto"/>
        <w:ind w:left="71"/>
      </w:pPr>
      <w:r>
        <w:t xml:space="preserve">Nie przekazujemy Pani/Pana danych osobowych do </w:t>
      </w:r>
      <w:r>
        <w:t>państw</w:t>
      </w:r>
      <w:r>
        <w:t xml:space="preserve"> trzecich.</w:t>
      </w:r>
    </w:p>
    <w:p w14:paraId="78C80C13" w14:textId="77777777" w:rsidR="002178E4" w:rsidRDefault="00BB3C0A">
      <w:pPr>
        <w:pStyle w:val="Nagwek1"/>
        <w:numPr>
          <w:ilvl w:val="0"/>
          <w:numId w:val="0"/>
        </w:numPr>
        <w:ind w:left="71"/>
      </w:pPr>
      <w:r>
        <w:t>Informacja o profilowaniu</w:t>
      </w:r>
    </w:p>
    <w:p w14:paraId="2D841EB4" w14:textId="77777777" w:rsidR="002178E4" w:rsidRDefault="00BB3C0A">
      <w:pPr>
        <w:spacing w:after="160" w:line="236" w:lineRule="auto"/>
        <w:ind w:left="71"/>
      </w:pPr>
      <w:r>
        <w:t xml:space="preserve">Pani/Pana dane osobowe nie </w:t>
      </w:r>
      <w:r>
        <w:t>podlegają</w:t>
      </w:r>
      <w:r>
        <w:t xml:space="preserve"> zautomatyzowanemu przetwarzaniu, w tym profilowaniu.</w:t>
      </w:r>
    </w:p>
    <w:p w14:paraId="409AA526" w14:textId="77777777" w:rsidR="002178E4" w:rsidRDefault="00BB3C0A">
      <w:pPr>
        <w:pStyle w:val="Nagwek1"/>
        <w:numPr>
          <w:ilvl w:val="0"/>
          <w:numId w:val="0"/>
        </w:numPr>
        <w:ind w:left="71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07BE80C5" w14:textId="77777777" w:rsidR="002178E4" w:rsidRDefault="00BB3C0A">
      <w:pPr>
        <w:spacing w:line="236" w:lineRule="auto"/>
        <w:ind w:left="71"/>
      </w:pPr>
      <w:r>
        <w:t xml:space="preserve">Podanie przez </w:t>
      </w:r>
      <w:r>
        <w:t>Panią/Pana</w:t>
      </w:r>
      <w:r>
        <w:t xml:space="preserve"> danych osobowych jest wymogiem ustawowym. Skutkiem niepodania danych osobowych </w:t>
      </w:r>
      <w:r>
        <w:t>będzie</w:t>
      </w:r>
      <w:r>
        <w:t xml:space="preserve"> pozostawienie petycji bez rozpoznania.</w:t>
      </w:r>
      <w:r>
        <w:rPr>
          <w:i/>
        </w:rPr>
        <w:t xml:space="preserve"> </w:t>
      </w:r>
    </w:p>
    <w:sectPr w:rsidR="002178E4">
      <w:footerReference w:type="even" r:id="rId8"/>
      <w:footerReference w:type="default" r:id="rId9"/>
      <w:footerReference w:type="first" r:id="rId10"/>
      <w:pgSz w:w="11906" w:h="16838"/>
      <w:pgMar w:top="588" w:right="1985" w:bottom="709" w:left="190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8F91" w14:textId="77777777" w:rsidR="00BB3C0A" w:rsidRDefault="00BB3C0A">
      <w:pPr>
        <w:spacing w:after="0" w:line="240" w:lineRule="auto"/>
      </w:pPr>
      <w:r>
        <w:separator/>
      </w:r>
    </w:p>
  </w:endnote>
  <w:endnote w:type="continuationSeparator" w:id="0">
    <w:p w14:paraId="7FE4CD29" w14:textId="77777777" w:rsidR="00BB3C0A" w:rsidRDefault="00BB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6FFA" w14:textId="77777777" w:rsidR="002178E4" w:rsidRDefault="00BB3C0A">
    <w:pPr>
      <w:spacing w:after="0" w:line="259" w:lineRule="auto"/>
      <w:ind w:left="7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C28D" w14:textId="77777777" w:rsidR="002178E4" w:rsidRDefault="00BB3C0A">
    <w:pPr>
      <w:spacing w:after="0" w:line="259" w:lineRule="auto"/>
      <w:ind w:left="7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B765" w14:textId="77777777" w:rsidR="002178E4" w:rsidRDefault="002178E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E6A6" w14:textId="77777777" w:rsidR="002178E4" w:rsidRDefault="00BB3C0A">
      <w:pPr>
        <w:spacing w:after="0" w:line="259" w:lineRule="auto"/>
        <w:ind w:left="76" w:firstLine="0"/>
        <w:jc w:val="left"/>
      </w:pPr>
      <w:r>
        <w:separator/>
      </w:r>
    </w:p>
  </w:footnote>
  <w:footnote w:type="continuationSeparator" w:id="0">
    <w:p w14:paraId="7E902BE8" w14:textId="77777777" w:rsidR="002178E4" w:rsidRDefault="00BB3C0A">
      <w:pPr>
        <w:spacing w:after="0" w:line="259" w:lineRule="auto"/>
        <w:ind w:left="76" w:firstLine="0"/>
        <w:jc w:val="left"/>
      </w:pPr>
      <w:r>
        <w:continuationSeparator/>
      </w:r>
    </w:p>
  </w:footnote>
  <w:footnote w:id="1">
    <w:p w14:paraId="55C03F92" w14:textId="77777777" w:rsidR="002178E4" w:rsidRDefault="00BB3C0A">
      <w:pPr>
        <w:pStyle w:val="footnotedescription"/>
      </w:pPr>
      <w:r>
        <w:rPr>
          <w:rStyle w:val="footnotemark"/>
        </w:rPr>
        <w:footnoteRef/>
      </w:r>
      <w:r>
        <w:t xml:space="preserve"> Dz. U. z 2025 r., poz. 647 z </w:t>
      </w:r>
      <w:r>
        <w:t>późn.</w:t>
      </w:r>
      <w:r>
        <w:t xml:space="preserve"> zm.</w:t>
      </w:r>
    </w:p>
  </w:footnote>
  <w:footnote w:id="2">
    <w:p w14:paraId="4B539E2D" w14:textId="77777777" w:rsidR="002178E4" w:rsidRDefault="00BB3C0A">
      <w:pPr>
        <w:pStyle w:val="footnotedescription"/>
      </w:pPr>
      <w:r>
        <w:rPr>
          <w:rStyle w:val="footnotemark"/>
        </w:rPr>
        <w:footnoteRef/>
      </w:r>
      <w:r>
        <w:t xml:space="preserve"> Dz.U. z 2019 r. poz. 1839</w:t>
      </w:r>
    </w:p>
  </w:footnote>
  <w:footnote w:id="3">
    <w:p w14:paraId="61E811E4" w14:textId="77777777" w:rsidR="002178E4" w:rsidRDefault="00BB3C0A">
      <w:pPr>
        <w:pStyle w:val="footnotedescription"/>
      </w:pPr>
      <w:r>
        <w:rPr>
          <w:rStyle w:val="footnotemark"/>
        </w:rPr>
        <w:footnoteRef/>
      </w:r>
      <w:r>
        <w:t xml:space="preserve"> Dz.U. 2019 poz. 2448</w:t>
      </w:r>
    </w:p>
  </w:footnote>
  <w:footnote w:id="4">
    <w:p w14:paraId="1F034719" w14:textId="77777777" w:rsidR="002178E4" w:rsidRDefault="00BB3C0A">
      <w:pPr>
        <w:pStyle w:val="footnotedescription"/>
      </w:pPr>
      <w:r>
        <w:rPr>
          <w:rStyle w:val="footnotemark"/>
        </w:rPr>
        <w:footnoteRef/>
      </w:r>
      <w:r>
        <w:t xml:space="preserve"> Dz. U. z 2025 r. poz. 870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6A8"/>
    <w:multiLevelType w:val="hybridMultilevel"/>
    <w:tmpl w:val="7D56AAAC"/>
    <w:lvl w:ilvl="0" w:tplc="FB626D7C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52250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C1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8F4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3A29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A57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CC7D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F4D8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2EE3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736E1"/>
    <w:multiLevelType w:val="hybridMultilevel"/>
    <w:tmpl w:val="1B96B2D0"/>
    <w:lvl w:ilvl="0" w:tplc="543036CE">
      <w:start w:val="1"/>
      <w:numFmt w:val="bullet"/>
      <w:lvlText w:val=""/>
      <w:lvlJc w:val="left"/>
      <w:pPr>
        <w:ind w:left="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8203BA">
      <w:start w:val="1"/>
      <w:numFmt w:val="bullet"/>
      <w:lvlText w:val="o"/>
      <w:lvlJc w:val="left"/>
      <w:pPr>
        <w:ind w:left="1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C8E012">
      <w:start w:val="1"/>
      <w:numFmt w:val="bullet"/>
      <w:lvlText w:val="▪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C26714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C975C">
      <w:start w:val="1"/>
      <w:numFmt w:val="bullet"/>
      <w:lvlText w:val="o"/>
      <w:lvlJc w:val="left"/>
      <w:pPr>
        <w:ind w:left="3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B496F0">
      <w:start w:val="1"/>
      <w:numFmt w:val="bullet"/>
      <w:lvlText w:val="▪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6D32E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FA78CE">
      <w:start w:val="1"/>
      <w:numFmt w:val="bullet"/>
      <w:lvlText w:val="o"/>
      <w:lvlJc w:val="left"/>
      <w:pPr>
        <w:ind w:left="5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AB5D4">
      <w:start w:val="1"/>
      <w:numFmt w:val="bullet"/>
      <w:lvlText w:val="▪"/>
      <w:lvlJc w:val="left"/>
      <w:pPr>
        <w:ind w:left="6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367561"/>
    <w:multiLevelType w:val="hybridMultilevel"/>
    <w:tmpl w:val="A2C4AA04"/>
    <w:lvl w:ilvl="0" w:tplc="0EC033BC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7E01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ACDD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283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7C12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308B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E6BB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42AC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C86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2852D3"/>
    <w:multiLevelType w:val="hybridMultilevel"/>
    <w:tmpl w:val="47A4BB60"/>
    <w:lvl w:ilvl="0" w:tplc="F9CEE5CA">
      <w:start w:val="1"/>
      <w:numFmt w:val="bullet"/>
      <w:lvlText w:val=""/>
      <w:lvlJc w:val="left"/>
      <w:pPr>
        <w:ind w:left="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68FE7C">
      <w:start w:val="1"/>
      <w:numFmt w:val="bullet"/>
      <w:lvlText w:val="o"/>
      <w:lvlJc w:val="left"/>
      <w:pPr>
        <w:ind w:left="1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8AE6E">
      <w:start w:val="1"/>
      <w:numFmt w:val="bullet"/>
      <w:lvlText w:val="▪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C42664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C7E60">
      <w:start w:val="1"/>
      <w:numFmt w:val="bullet"/>
      <w:lvlText w:val="o"/>
      <w:lvlJc w:val="left"/>
      <w:pPr>
        <w:ind w:left="3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20FD1A">
      <w:start w:val="1"/>
      <w:numFmt w:val="bullet"/>
      <w:lvlText w:val="▪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CC7298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20EA2">
      <w:start w:val="1"/>
      <w:numFmt w:val="bullet"/>
      <w:lvlText w:val="o"/>
      <w:lvlJc w:val="left"/>
      <w:pPr>
        <w:ind w:left="5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E9AA4">
      <w:start w:val="1"/>
      <w:numFmt w:val="bullet"/>
      <w:lvlText w:val="▪"/>
      <w:lvlJc w:val="left"/>
      <w:pPr>
        <w:ind w:left="6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4A0B80"/>
    <w:multiLevelType w:val="hybridMultilevel"/>
    <w:tmpl w:val="A3661C24"/>
    <w:lvl w:ilvl="0" w:tplc="0D306534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A74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1C42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6C67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6022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45C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10E6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AEAC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4236C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59762">
    <w:abstractNumId w:val="3"/>
  </w:num>
  <w:num w:numId="2" w16cid:durableId="325790526">
    <w:abstractNumId w:val="1"/>
  </w:num>
  <w:num w:numId="3" w16cid:durableId="637498028">
    <w:abstractNumId w:val="0"/>
  </w:num>
  <w:num w:numId="4" w16cid:durableId="1970547871">
    <w:abstractNumId w:val="4"/>
  </w:num>
  <w:num w:numId="5" w16cid:durableId="750808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E4"/>
    <w:rsid w:val="002178E4"/>
    <w:rsid w:val="00BB3C0A"/>
    <w:rsid w:val="00C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65EF"/>
  <w15:docId w15:val="{34615EDE-8CDB-4578-852C-B004D809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1" w:line="357" w:lineRule="auto"/>
      <w:ind w:left="86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136" w:line="259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7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2322</Words>
  <Characters>13936</Characters>
  <Application>Microsoft Office Word</Application>
  <DocSecurity>0</DocSecurity>
  <Lines>116</Lines>
  <Paragraphs>32</Paragraphs>
  <ScaleCrop>false</ScaleCrop>
  <Company/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Wierzbicka Sylwia</cp:lastModifiedBy>
  <cp:revision>2</cp:revision>
  <dcterms:created xsi:type="dcterms:W3CDTF">2025-10-06T11:45:00Z</dcterms:created>
  <dcterms:modified xsi:type="dcterms:W3CDTF">2025-10-06T11:45:00Z</dcterms:modified>
</cp:coreProperties>
</file>