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08" w:rsidRPr="004E607A" w:rsidRDefault="000B6490" w:rsidP="00AC2D08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AC2D08" w:rsidRPr="001C7B5F" w:rsidRDefault="000B6490" w:rsidP="00AC2D0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AC2D08" w:rsidRPr="004E65D9" w:rsidRDefault="000B6490" w:rsidP="00AC2D08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AC2D08" w:rsidRPr="00EE75C1" w:rsidRDefault="000B6490" w:rsidP="00AC2D0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AC2D08" w:rsidRPr="00EE75C1" w:rsidRDefault="000B6490" w:rsidP="00AC2D0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C2D08" w:rsidRPr="00EE75C1" w:rsidRDefault="000B6490" w:rsidP="00AC2D08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AC2D08" w:rsidRDefault="000B6490" w:rsidP="00AC2D08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22 lipca 2021 r.</w:t>
      </w:r>
      <w:bookmarkEnd w:id="0"/>
    </w:p>
    <w:p w:rsidR="00AC2D08" w:rsidRDefault="000B6490" w:rsidP="00AC2D08"/>
    <w:p w:rsidR="00AC2D08" w:rsidRDefault="000B6490" w:rsidP="00AC2D08"/>
    <w:p w:rsidR="00AC2D08" w:rsidRDefault="000B6490" w:rsidP="00AC2D08"/>
    <w:p w:rsidR="00AC2D08" w:rsidRDefault="000B6490" w:rsidP="00AC2D08"/>
    <w:p w:rsidR="00AC2D08" w:rsidRPr="00D85864" w:rsidRDefault="000B6490" w:rsidP="00AC2D08">
      <w:pPr>
        <w:spacing w:line="276" w:lineRule="auto"/>
      </w:pPr>
    </w:p>
    <w:p w:rsidR="00AC2D08" w:rsidRPr="00283966" w:rsidRDefault="000B6490" w:rsidP="00AC2D08">
      <w:pPr>
        <w:spacing w:line="276" w:lineRule="auto"/>
        <w:rPr>
          <w:sz w:val="20"/>
        </w:rPr>
      </w:pPr>
      <w:bookmarkStart w:id="1" w:name="_GoBack"/>
      <w:r>
        <w:rPr>
          <w:sz w:val="20"/>
        </w:rPr>
        <w:t xml:space="preserve">          </w:t>
      </w:r>
      <w:r w:rsidRPr="00DA7567">
        <w:rPr>
          <w:sz w:val="20"/>
        </w:rPr>
        <w:t>WNP-I.4131.</w:t>
      </w:r>
      <w:r>
        <w:rPr>
          <w:sz w:val="20"/>
        </w:rPr>
        <w:t>160</w:t>
      </w:r>
      <w:r w:rsidRPr="00DA7567">
        <w:rPr>
          <w:sz w:val="20"/>
        </w:rPr>
        <w:t>.2021</w:t>
      </w:r>
    </w:p>
    <w:bookmarkEnd w:id="1"/>
    <w:p w:rsidR="00AC2D08" w:rsidRPr="00A433E2" w:rsidRDefault="000B6490" w:rsidP="00AC2D08">
      <w:pPr>
        <w:spacing w:line="276" w:lineRule="auto"/>
        <w:rPr>
          <w:sz w:val="20"/>
        </w:rPr>
      </w:pPr>
    </w:p>
    <w:p w:rsidR="00AC2D08" w:rsidRPr="00A433E2" w:rsidRDefault="000B6490" w:rsidP="00AC2D08">
      <w:pPr>
        <w:tabs>
          <w:tab w:val="left" w:pos="4095"/>
        </w:tabs>
        <w:spacing w:line="276" w:lineRule="auto"/>
        <w:rPr>
          <w:sz w:val="20"/>
        </w:rPr>
      </w:pPr>
    </w:p>
    <w:p w:rsidR="00AC2D08" w:rsidRPr="00540B11" w:rsidRDefault="000B6490" w:rsidP="00AC2D08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Gminy Iłów</w:t>
      </w:r>
      <w:r w:rsidRPr="00540B11">
        <w:rPr>
          <w:b/>
          <w:sz w:val="28"/>
          <w:lang w:eastAsia="ar-SA"/>
        </w:rPr>
        <w:t xml:space="preserve">  </w:t>
      </w:r>
    </w:p>
    <w:p w:rsidR="00AC2D08" w:rsidRPr="00540B11" w:rsidRDefault="000B6490" w:rsidP="00AC2D08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ul. Płocka 2</w:t>
      </w:r>
      <w:r w:rsidRPr="00540B11">
        <w:rPr>
          <w:b/>
          <w:sz w:val="28"/>
          <w:lang w:eastAsia="ar-SA"/>
        </w:rPr>
        <w:t xml:space="preserve"> </w:t>
      </w:r>
    </w:p>
    <w:p w:rsidR="00AC2D08" w:rsidRPr="00540B11" w:rsidRDefault="000B6490" w:rsidP="00AC2D08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96-520 Iłów</w:t>
      </w:r>
      <w:r w:rsidRPr="00540B11">
        <w:rPr>
          <w:b/>
          <w:sz w:val="28"/>
          <w:lang w:eastAsia="ar-SA"/>
        </w:rPr>
        <w:t xml:space="preserve"> </w:t>
      </w:r>
    </w:p>
    <w:p w:rsidR="00AC2D08" w:rsidRPr="00D114FC" w:rsidRDefault="000B6490" w:rsidP="00AC2D08">
      <w:pPr>
        <w:spacing w:line="276" w:lineRule="auto"/>
        <w:ind w:left="4678"/>
        <w:jc w:val="both"/>
      </w:pPr>
    </w:p>
    <w:p w:rsidR="00AC2D08" w:rsidRDefault="000B6490" w:rsidP="00AC2D08">
      <w:pPr>
        <w:spacing w:line="276" w:lineRule="auto"/>
        <w:jc w:val="both"/>
        <w:rPr>
          <w:i/>
        </w:rPr>
      </w:pPr>
    </w:p>
    <w:p w:rsidR="00AC2D08" w:rsidRDefault="000B6490" w:rsidP="00AC2D08">
      <w:pPr>
        <w:spacing w:line="276" w:lineRule="auto"/>
        <w:jc w:val="both"/>
        <w:rPr>
          <w:i/>
        </w:rPr>
      </w:pPr>
    </w:p>
    <w:p w:rsidR="00AC2D08" w:rsidRPr="00283966" w:rsidRDefault="000B6490" w:rsidP="00AC2D08">
      <w:pPr>
        <w:spacing w:line="276" w:lineRule="auto"/>
        <w:jc w:val="both"/>
      </w:pPr>
    </w:p>
    <w:p w:rsidR="00AC2D08" w:rsidRPr="00D114FC" w:rsidRDefault="000B6490" w:rsidP="004D0CA5">
      <w:pPr>
        <w:spacing w:line="360" w:lineRule="auto"/>
        <w:ind w:left="142"/>
        <w:jc w:val="center"/>
        <w:rPr>
          <w:b/>
        </w:rPr>
      </w:pPr>
      <w:r w:rsidRPr="00D114FC">
        <w:rPr>
          <w:b/>
        </w:rPr>
        <w:t>Rozstrzygnięcie nadzorcze</w:t>
      </w:r>
    </w:p>
    <w:p w:rsidR="00AC2D08" w:rsidRPr="00D114FC" w:rsidRDefault="000B6490" w:rsidP="004D0CA5">
      <w:pPr>
        <w:spacing w:line="360" w:lineRule="auto"/>
        <w:ind w:left="142"/>
        <w:jc w:val="both"/>
      </w:pPr>
      <w:r w:rsidRPr="00D114FC">
        <w:t xml:space="preserve">Działając na podstawie art. 91 ust. 1, w związku z art. 86 ustawy z dnia 8 marca 1990 r. </w:t>
      </w:r>
      <w:r>
        <w:br/>
      </w:r>
      <w:r>
        <w:t xml:space="preserve">o samorządzie gminnym (Dz. U. z 2020 </w:t>
      </w:r>
      <w:r w:rsidRPr="00D114FC">
        <w:t>r. poz. 713, z późn. zm.)</w:t>
      </w:r>
    </w:p>
    <w:p w:rsidR="00AC2D08" w:rsidRPr="00D114FC" w:rsidRDefault="000B6490" w:rsidP="004D0CA5">
      <w:pPr>
        <w:spacing w:line="360" w:lineRule="auto"/>
        <w:ind w:left="142"/>
        <w:jc w:val="center"/>
        <w:rPr>
          <w:b/>
        </w:rPr>
      </w:pPr>
      <w:r w:rsidRPr="00D114FC">
        <w:rPr>
          <w:b/>
        </w:rPr>
        <w:t>stwierdzam nieważność</w:t>
      </w:r>
    </w:p>
    <w:p w:rsidR="00AC2D08" w:rsidRDefault="000B6490" w:rsidP="004D0CA5">
      <w:pPr>
        <w:spacing w:line="360" w:lineRule="auto"/>
        <w:ind w:left="142"/>
        <w:jc w:val="both"/>
      </w:pPr>
      <w:r>
        <w:t>załącznika n</w:t>
      </w:r>
      <w:r>
        <w:t>r 1 pn. ,,</w:t>
      </w:r>
      <w:r w:rsidRPr="001F0E1B">
        <w:rPr>
          <w:i/>
        </w:rPr>
        <w:t xml:space="preserve">Wniosek o przyznanie dodatku </w:t>
      </w:r>
      <w:r w:rsidRPr="001F0E1B">
        <w:rPr>
          <w:i/>
        </w:rPr>
        <w:t>mieszkaniowego”</w:t>
      </w:r>
      <w:r>
        <w:t xml:space="preserve"> do </w:t>
      </w:r>
      <w:r w:rsidRPr="00A04E25">
        <w:t>uchwał</w:t>
      </w:r>
      <w:r>
        <w:t>y</w:t>
      </w:r>
      <w:r w:rsidRPr="00A04E25">
        <w:t xml:space="preserve"> </w:t>
      </w:r>
      <w:r>
        <w:br/>
        <w:t xml:space="preserve">Nr </w:t>
      </w:r>
      <w:r>
        <w:t>191/XL/2021</w:t>
      </w:r>
      <w:r w:rsidRPr="00540B11">
        <w:t xml:space="preserve"> </w:t>
      </w:r>
      <w:r>
        <w:t xml:space="preserve">Rady Gminy Iłów z dnia 22 czerwca 2021 r. </w:t>
      </w:r>
      <w:r w:rsidRPr="00CE14EE">
        <w:rPr>
          <w:i/>
        </w:rPr>
        <w:t>w sprawie określenia wzoru wniosku o przyznanie dodatku mieszkaniowego oraz wzoru deklaracji o wysokości dochodów gospodarstwa domowego</w:t>
      </w:r>
      <w:r w:rsidRPr="00D44344">
        <w:rPr>
          <w:i/>
        </w:rPr>
        <w:t xml:space="preserve"> </w:t>
      </w:r>
      <w:r w:rsidRPr="00D44344">
        <w:t xml:space="preserve">w </w:t>
      </w:r>
      <w:r>
        <w:t xml:space="preserve">części przypisu </w:t>
      </w:r>
      <w:r>
        <w:t xml:space="preserve">Nr </w:t>
      </w:r>
      <w:r>
        <w:t xml:space="preserve">6 lit. c </w:t>
      </w:r>
      <w:r>
        <w:t>tiret</w:t>
      </w:r>
      <w:r>
        <w:t xml:space="preserve"> trzydzieste trzecie w </w:t>
      </w:r>
      <w:r>
        <w:t xml:space="preserve">odniesieniu </w:t>
      </w:r>
      <w:r>
        <w:br/>
      </w:r>
      <w:r>
        <w:t>do</w:t>
      </w:r>
      <w:r>
        <w:t xml:space="preserve"> sformułowa</w:t>
      </w:r>
      <w:r>
        <w:t xml:space="preserve">nia </w:t>
      </w:r>
      <w:r w:rsidRPr="008F7A1C">
        <w:rPr>
          <w:i/>
        </w:rPr>
        <w:t>,,-stypendia dla bezrobotnych finansowane ze środków Unii Europejskiej”</w:t>
      </w:r>
      <w:r>
        <w:rPr>
          <w:i/>
        </w:rPr>
        <w:t xml:space="preserve"> </w:t>
      </w:r>
      <w:r>
        <w:rPr>
          <w:i/>
        </w:rPr>
        <w:br/>
      </w:r>
      <w:r w:rsidRPr="00671C99">
        <w:t xml:space="preserve">w zakresie w jakim nie obejmuje </w:t>
      </w:r>
      <w:r>
        <w:t xml:space="preserve">obowiązującej od 1 lipca 2021 r. uzupełnionej </w:t>
      </w:r>
      <w:r w:rsidRPr="00671C99">
        <w:t>regulacji</w:t>
      </w:r>
      <w:r>
        <w:t xml:space="preserve"> </w:t>
      </w:r>
      <w:r>
        <w:br/>
        <w:t>w brzmieniu</w:t>
      </w:r>
      <w:r>
        <w:rPr>
          <w:i/>
        </w:rPr>
        <w:t xml:space="preserve"> </w:t>
      </w:r>
      <w:r w:rsidRPr="00C40494">
        <w:rPr>
          <w:i/>
        </w:rPr>
        <w:t>„</w:t>
      </w:r>
      <w:r w:rsidRPr="00671C99">
        <w:rPr>
          <w:rStyle w:val="text-justify"/>
          <w:i/>
        </w:rPr>
        <w:t>stypendia dla bezrobotnych f</w:t>
      </w:r>
      <w:r w:rsidRPr="00671C99">
        <w:rPr>
          <w:rStyle w:val="text-justify"/>
          <w:i/>
        </w:rPr>
        <w:t xml:space="preserve">inansowane ze środków Unii Europejskiej </w:t>
      </w:r>
      <w:r>
        <w:rPr>
          <w:rStyle w:val="text-justify"/>
          <w:i/>
        </w:rPr>
        <w:br/>
      </w:r>
      <w:r w:rsidRPr="00671C99">
        <w:rPr>
          <w:rStyle w:val="text-justify"/>
          <w:i/>
        </w:rPr>
        <w:t>lub Funduszu Pracy, niezależnie od podmiotu, który je wypłaca”</w:t>
      </w:r>
      <w:r>
        <w:t>.</w:t>
      </w:r>
    </w:p>
    <w:p w:rsidR="00AC2D08" w:rsidRPr="00540B11" w:rsidRDefault="000B6490" w:rsidP="004D0CA5">
      <w:pPr>
        <w:spacing w:line="360" w:lineRule="auto"/>
        <w:ind w:left="142"/>
        <w:jc w:val="center"/>
        <w:rPr>
          <w:b/>
        </w:rPr>
      </w:pPr>
      <w:r w:rsidRPr="00540B11">
        <w:rPr>
          <w:b/>
        </w:rPr>
        <w:t>Uzasadnienie</w:t>
      </w:r>
    </w:p>
    <w:p w:rsidR="00AC2D08" w:rsidRPr="00540B11" w:rsidRDefault="000B6490" w:rsidP="004D0CA5">
      <w:pPr>
        <w:spacing w:line="360" w:lineRule="auto"/>
        <w:ind w:left="142" w:firstLine="709"/>
        <w:jc w:val="both"/>
      </w:pPr>
      <w:r w:rsidRPr="00540B11">
        <w:t xml:space="preserve">Na sesji w dniu </w:t>
      </w:r>
      <w:r>
        <w:t>22</w:t>
      </w:r>
      <w:r w:rsidRPr="00540B11">
        <w:t xml:space="preserve"> </w:t>
      </w:r>
      <w:r>
        <w:t>czerwca</w:t>
      </w:r>
      <w:r w:rsidRPr="00540B11">
        <w:t xml:space="preserve"> 202</w:t>
      </w:r>
      <w:r>
        <w:t>1</w:t>
      </w:r>
      <w:r>
        <w:t xml:space="preserve"> r. Rada Gminy Iłów</w:t>
      </w:r>
      <w:r>
        <w:t xml:space="preserve"> podjęła uchwałę </w:t>
      </w:r>
      <w:r>
        <w:br/>
        <w:t>N</w:t>
      </w:r>
      <w:r w:rsidRPr="00540B11">
        <w:t xml:space="preserve">r </w:t>
      </w:r>
      <w:r>
        <w:t>191/XL/2021</w:t>
      </w:r>
      <w:r>
        <w:t xml:space="preserve"> </w:t>
      </w:r>
      <w:r w:rsidRPr="00CE14EE">
        <w:rPr>
          <w:i/>
        </w:rPr>
        <w:t xml:space="preserve">w sprawie określenia wzoru wniosku o przyznanie dodatku mieszkaniowego oraz wzoru deklaracji o wysokości </w:t>
      </w:r>
      <w:r>
        <w:rPr>
          <w:i/>
        </w:rPr>
        <w:t>dochodów gospodarstwa domowego.</w:t>
      </w:r>
    </w:p>
    <w:p w:rsidR="00AC2D08" w:rsidRPr="00540B11" w:rsidRDefault="000B6490" w:rsidP="004D0CA5">
      <w:pPr>
        <w:spacing w:line="360" w:lineRule="auto"/>
        <w:ind w:left="142" w:firstLine="709"/>
        <w:jc w:val="both"/>
      </w:pPr>
      <w:r w:rsidRPr="00540B11">
        <w:t xml:space="preserve">Uchwała została doręczona Wojewodzie Mazowieckiemu w dniu </w:t>
      </w:r>
      <w:r>
        <w:t>2 lipca</w:t>
      </w:r>
      <w:r w:rsidRPr="00540B11">
        <w:t xml:space="preserve"> 202</w:t>
      </w:r>
      <w:r>
        <w:t>1</w:t>
      </w:r>
      <w:r w:rsidRPr="00540B11">
        <w:t xml:space="preserve"> r. </w:t>
      </w:r>
    </w:p>
    <w:p w:rsidR="006D1865" w:rsidRDefault="000B6490" w:rsidP="004D0CA5">
      <w:pPr>
        <w:spacing w:line="360" w:lineRule="auto"/>
        <w:ind w:left="142" w:firstLine="709"/>
        <w:jc w:val="both"/>
      </w:pPr>
      <w:r>
        <w:t>Jako podstawę prawną u</w:t>
      </w:r>
      <w:r w:rsidRPr="00540B11">
        <w:t xml:space="preserve">chwały wskazano </w:t>
      </w:r>
      <w:r>
        <w:t>art. 1</w:t>
      </w:r>
      <w:r>
        <w:t xml:space="preserve">8 ust. 2 pkt 15 ustawy o samorządzie gminnym w związku z </w:t>
      </w:r>
      <w:r w:rsidRPr="00540B11">
        <w:t xml:space="preserve">art. </w:t>
      </w:r>
      <w:r>
        <w:t xml:space="preserve">7 ust. 1e ustawy </w:t>
      </w:r>
      <w:r>
        <w:t xml:space="preserve">z dnia 21 czerwca 2001 r. </w:t>
      </w:r>
      <w:r>
        <w:t>o dodatkach mieszkaniowych (Dz.</w:t>
      </w:r>
      <w:r>
        <w:t xml:space="preserve"> U. z 2019 r. poz. 2133, z późn. zm), </w:t>
      </w:r>
      <w:r>
        <w:t>zwanej dalej „u.d.m.”</w:t>
      </w:r>
      <w:r>
        <w:t xml:space="preserve">. </w:t>
      </w:r>
    </w:p>
    <w:p w:rsidR="008F7A1C" w:rsidRDefault="000B6490" w:rsidP="004D0CA5">
      <w:pPr>
        <w:spacing w:line="360" w:lineRule="auto"/>
        <w:ind w:left="142" w:firstLine="709"/>
        <w:jc w:val="both"/>
      </w:pPr>
      <w:r>
        <w:lastRenderedPageBreak/>
        <w:t xml:space="preserve">Zgodnie z </w:t>
      </w:r>
      <w:r>
        <w:t xml:space="preserve">art. 7 ust. 1e u.d.m. </w:t>
      </w:r>
      <w:r>
        <w:t>r</w:t>
      </w:r>
      <w:r w:rsidRPr="003F39F2">
        <w:t>ada gminy określa, w drod</w:t>
      </w:r>
      <w:r w:rsidRPr="003F39F2">
        <w:t xml:space="preserve">ze uchwały, wzór wniosku </w:t>
      </w:r>
      <w:r>
        <w:br/>
      </w:r>
      <w:r w:rsidRPr="003F39F2">
        <w:t>o przyznanie dodatku mieszkaniowego oraz wzór deklaracji, o której mowa w ust. 1</w:t>
      </w:r>
      <w:r>
        <w:t xml:space="preserve"> (deklaracji o wysokości dochodów gospodarstwa domowego - przyp. własny)</w:t>
      </w:r>
      <w:r w:rsidRPr="003F39F2">
        <w:t>.</w:t>
      </w:r>
      <w:r>
        <w:t xml:space="preserve"> </w:t>
      </w:r>
    </w:p>
    <w:p w:rsidR="00AC2D08" w:rsidRDefault="000B6490" w:rsidP="004D0CA5">
      <w:pPr>
        <w:spacing w:line="360" w:lineRule="auto"/>
        <w:ind w:left="142" w:firstLine="709"/>
        <w:jc w:val="both"/>
      </w:pPr>
      <w:r>
        <w:t xml:space="preserve">W § 1 </w:t>
      </w:r>
      <w:r>
        <w:t>uchwały Rada Gminy Iłów</w:t>
      </w:r>
      <w:r>
        <w:t xml:space="preserve"> okre</w:t>
      </w:r>
      <w:r>
        <w:t xml:space="preserve">śliła wzór wniosku o przyznanie </w:t>
      </w:r>
      <w:r>
        <w:t xml:space="preserve">dodatku </w:t>
      </w:r>
      <w:r>
        <w:t>mieszkanioweg</w:t>
      </w:r>
      <w:r>
        <w:t>o stanowiący załącznik nr 1 do u</w:t>
      </w:r>
      <w:r>
        <w:t xml:space="preserve">chwały (zwany dalej „Wnioskiem”), </w:t>
      </w:r>
      <w:r>
        <w:br/>
      </w:r>
      <w:r>
        <w:t>oraz</w:t>
      </w:r>
      <w:r>
        <w:t xml:space="preserve"> określiła wzór deklaracji stanowiący z</w:t>
      </w:r>
      <w:r>
        <w:t xml:space="preserve">ałącznik nr 2 do uchwały. </w:t>
      </w:r>
    </w:p>
    <w:p w:rsidR="008F7A1C" w:rsidRDefault="000B6490" w:rsidP="004D0CA5">
      <w:pPr>
        <w:spacing w:line="360" w:lineRule="auto"/>
        <w:ind w:left="142" w:firstLine="708"/>
        <w:jc w:val="both"/>
      </w:pPr>
      <w:r>
        <w:t>Na wstępie n</w:t>
      </w:r>
      <w:r>
        <w:t>ależy wskazać, że u</w:t>
      </w:r>
      <w:r w:rsidRPr="0055719D">
        <w:t xml:space="preserve">chwała </w:t>
      </w:r>
      <w:r>
        <w:t xml:space="preserve">będąca </w:t>
      </w:r>
      <w:r w:rsidRPr="0055719D">
        <w:t>akt</w:t>
      </w:r>
      <w:r>
        <w:t>em</w:t>
      </w:r>
      <w:r w:rsidRPr="0055719D">
        <w:t xml:space="preserve"> prawa miejscowego </w:t>
      </w:r>
      <w:r>
        <w:br/>
      </w:r>
      <w:r w:rsidRPr="0055719D">
        <w:t>jest podejmowana na podstawie wyraźn</w:t>
      </w:r>
      <w:r w:rsidRPr="0055719D">
        <w:t>ego upoważnienia ustawowego i w granicach zakreślonych przez to upoważnienie</w:t>
      </w:r>
      <w:r>
        <w:t xml:space="preserve"> (zasada legalizmu </w:t>
      </w:r>
      <w:r>
        <w:t xml:space="preserve">wyrażona w </w:t>
      </w:r>
      <w:r>
        <w:t>art. 7 w zw. z art. 94 Konstytucji RP).</w:t>
      </w:r>
      <w:r w:rsidRPr="0055719D">
        <w:t xml:space="preserve"> Jest więc aktem podustawowym, o charakterze wykonawczym do ustaw, czy też uzupełniającym. </w:t>
      </w:r>
      <w:r>
        <w:t>„</w:t>
      </w:r>
      <w:r w:rsidRPr="0055719D">
        <w:rPr>
          <w:i/>
        </w:rPr>
        <w:t>Decentralizacja</w:t>
      </w:r>
      <w:r w:rsidRPr="003B0266">
        <w:rPr>
          <w:rFonts w:ascii="Calibri" w:hAnsi="Calibri"/>
          <w:i/>
        </w:rPr>
        <w:t xml:space="preserve"> </w:t>
      </w:r>
      <w:r w:rsidRPr="0055719D">
        <w:rPr>
          <w:i/>
        </w:rPr>
        <w:t>pro</w:t>
      </w:r>
      <w:r w:rsidRPr="0055719D">
        <w:rPr>
          <w:i/>
        </w:rPr>
        <w:t xml:space="preserve">cesu tworzenia przepisów wykonawczych do ustaw, w postaci prawa miejscowego, zakłada co prawda zróżnicowanie ich treści, </w:t>
      </w:r>
      <w:r>
        <w:rPr>
          <w:i/>
        </w:rPr>
        <w:br/>
      </w:r>
      <w:r w:rsidRPr="0055719D">
        <w:rPr>
          <w:i/>
        </w:rPr>
        <w:t>ale to zróżnicowanie może sięgnąć do granic wyznaczonych przez prawo. Pomiędzy aktem prawa miejscowego, a aktem prawnym hierarchicznie wyższym powinna istnieć podwójna więź: formalna i materialna. Z pierwszą mamy do czynienia wówczas, gdy występuje postano</w:t>
      </w:r>
      <w:r w:rsidRPr="0055719D">
        <w:rPr>
          <w:i/>
        </w:rPr>
        <w:t xml:space="preserve">wienie w akcie prawnym, o charakterze ustawowym, upoważniające </w:t>
      </w:r>
      <w:r>
        <w:rPr>
          <w:i/>
        </w:rPr>
        <w:br/>
      </w:r>
      <w:r w:rsidRPr="0055719D">
        <w:rPr>
          <w:i/>
        </w:rPr>
        <w:t xml:space="preserve">do normatywizacji danej kwestii w drodze aktu prawa miejscowego. </w:t>
      </w:r>
      <w:r w:rsidRPr="0011224C">
        <w:rPr>
          <w:b/>
          <w:i/>
        </w:rPr>
        <w:t>Natomiast więź materialna to więź treściowa. Istniejąca wtedy, gdy akt podjęty przez organ samorządu terytorialnego, będzie swo</w:t>
      </w:r>
      <w:r w:rsidRPr="0011224C">
        <w:rPr>
          <w:b/>
          <w:i/>
        </w:rPr>
        <w:t xml:space="preserve">istym dopełnieniem materii ustawy, a co z tym związane, będzie </w:t>
      </w:r>
      <w:r>
        <w:rPr>
          <w:b/>
          <w:i/>
        </w:rPr>
        <w:br/>
      </w:r>
      <w:r w:rsidRPr="0011224C">
        <w:rPr>
          <w:b/>
          <w:i/>
        </w:rPr>
        <w:t>w swej</w:t>
      </w:r>
      <w:r w:rsidRPr="0011224C">
        <w:rPr>
          <w:b/>
          <w:i/>
        </w:rPr>
        <w:t xml:space="preserve"> treści zgodny z treścią aktu, </w:t>
      </w:r>
      <w:r w:rsidRPr="0011224C">
        <w:rPr>
          <w:b/>
          <w:i/>
        </w:rPr>
        <w:t>z upoważnienia którego został wydany</w:t>
      </w:r>
      <w:r>
        <w:rPr>
          <w:i/>
        </w:rPr>
        <w:t>”</w:t>
      </w:r>
      <w:r w:rsidRPr="00DC1653">
        <w:t xml:space="preserve"> </w:t>
      </w:r>
      <w:r>
        <w:t xml:space="preserve">(wyrok WSA </w:t>
      </w:r>
      <w:r>
        <w:br/>
      </w:r>
      <w:r>
        <w:t>w Gliw</w:t>
      </w:r>
      <w:r>
        <w:t xml:space="preserve">icach z dnia 25 lutego 2016 r. sygn. akt </w:t>
      </w:r>
      <w:r>
        <w:t>IV SA/G</w:t>
      </w:r>
      <w:r>
        <w:t>l</w:t>
      </w:r>
      <w:r>
        <w:t xml:space="preserve"> 723/15</w:t>
      </w:r>
      <w:r>
        <w:t xml:space="preserve">). </w:t>
      </w:r>
    </w:p>
    <w:p w:rsidR="00543E97" w:rsidRDefault="000B6490" w:rsidP="004D0CA5">
      <w:pPr>
        <w:spacing w:line="360" w:lineRule="auto"/>
        <w:ind w:left="142" w:firstLine="708"/>
        <w:jc w:val="both"/>
      </w:pPr>
      <w:r>
        <w:t>W tym kontekście należy zaznaczyć, iż z</w:t>
      </w:r>
      <w:r>
        <w:t xml:space="preserve">godnie z art. 7 ust. 1 u.d.m. dodatek mieszkaniowy przyznaje się na wniosek osoby uprawnionej do tego dodatku. Ustawodawca </w:t>
      </w:r>
      <w:r>
        <w:br/>
      </w:r>
      <w:r>
        <w:t>w art. 7 ust. 1c u.d.m. określił zawartość wniosku o przyznanie dodatku mieszkaniowego poprzez wskazanie w kolejnych punktach katego</w:t>
      </w:r>
      <w:r>
        <w:t>rii informacji</w:t>
      </w:r>
      <w:r w:rsidRPr="00B7210E">
        <w:t xml:space="preserve"> </w:t>
      </w:r>
      <w:r>
        <w:t xml:space="preserve">wymaganych </w:t>
      </w:r>
      <w:r>
        <w:br/>
      </w:r>
      <w:r>
        <w:t xml:space="preserve">od wnioskodawcy (katalog zamknięty). </w:t>
      </w:r>
    </w:p>
    <w:p w:rsidR="00543E97" w:rsidRDefault="000B6490" w:rsidP="004D0CA5">
      <w:pPr>
        <w:spacing w:line="360" w:lineRule="auto"/>
        <w:ind w:left="142" w:firstLine="709"/>
        <w:jc w:val="both"/>
      </w:pPr>
      <w:r>
        <w:t xml:space="preserve">Tymczasem w przypisie Nr 6 </w:t>
      </w:r>
      <w:r>
        <w:t xml:space="preserve">lit. c tiret trzydzieste trzecie </w:t>
      </w:r>
      <w:r>
        <w:t xml:space="preserve">Wniosku </w:t>
      </w:r>
      <w:r>
        <w:t xml:space="preserve">Rada Gminy </w:t>
      </w:r>
      <w:r>
        <w:t xml:space="preserve">Iłów </w:t>
      </w:r>
      <w:r>
        <w:t>wymieniła</w:t>
      </w:r>
      <w:r>
        <w:t xml:space="preserve"> za art. 3 ust. 3 u.d.m. pozycje składające się na pojęcie dochodu w rozumieniu </w:t>
      </w:r>
      <w:r>
        <w:br/>
      </w:r>
      <w:r>
        <w:t>art. 3 pkt 1 usta</w:t>
      </w:r>
      <w:r>
        <w:t>wy z dnia 28 listopada 2003 r. o świadczeniach rodzinnych (</w:t>
      </w:r>
      <w:r>
        <w:t>D</w:t>
      </w:r>
      <w:r>
        <w:t>z. U. z 2020 r. poz. 111</w:t>
      </w:r>
      <w:r>
        <w:t>, z późn. zm.</w:t>
      </w:r>
      <w:r>
        <w:t xml:space="preserve">), </w:t>
      </w:r>
      <w:r>
        <w:t>wskazując</w:t>
      </w:r>
      <w:r>
        <w:t xml:space="preserve">, że </w:t>
      </w:r>
      <w:r>
        <w:t xml:space="preserve">dochód, po odliczeniu kwot alimentów świadczonych </w:t>
      </w:r>
      <w:r>
        <w:br/>
      </w:r>
      <w:r>
        <w:t>na r</w:t>
      </w:r>
      <w:r>
        <w:t>zecz innych osób, oznacza</w:t>
      </w:r>
      <w:r>
        <w:t xml:space="preserve"> </w:t>
      </w:r>
      <w:r>
        <w:t>przychody podlegające opodatkowaniu na zasadach określonych w</w:t>
      </w:r>
      <w:r>
        <w:t xml:space="preserve"> art. 27, art. 30b, art. 30c, art. 30e i art. 30f ustawy z dnia 26 lipca 1991 r. </w:t>
      </w:r>
      <w:r>
        <w:br/>
      </w:r>
      <w:r>
        <w:t>o podatku dochodowym od osób fizycznych (Dz. U. z 2019 r. poz. 1387, z późn. zm.1), pomniejsz</w:t>
      </w:r>
      <w:r>
        <w:t xml:space="preserve">one </w:t>
      </w:r>
      <w:r>
        <w:t>o koszty uzyskania przychodu, należny podatek dochodo</w:t>
      </w:r>
      <w:r>
        <w:t xml:space="preserve">wy od osób </w:t>
      </w:r>
      <w:r>
        <w:lastRenderedPageBreak/>
        <w:t>fizycznych, s</w:t>
      </w:r>
      <w:r>
        <w:t xml:space="preserve">kładki </w:t>
      </w:r>
      <w:r>
        <w:t>na ubezpieczenia społeczne niezaliczone do kosztów uz</w:t>
      </w:r>
      <w:r>
        <w:t xml:space="preserve">yskania przychodu oraz składki </w:t>
      </w:r>
      <w:r>
        <w:t>na</w:t>
      </w:r>
      <w:r>
        <w:t xml:space="preserve"> ubezpieczenie zdrowotne, oraz </w:t>
      </w:r>
      <w:r>
        <w:t>dochód z działalności podlegającej opodatkowani</w:t>
      </w:r>
      <w:r>
        <w:t xml:space="preserve">u </w:t>
      </w:r>
      <w:r>
        <w:t xml:space="preserve">na podstawie przepisów o zryczałtowanym podatku dochodowym </w:t>
      </w:r>
      <w:r>
        <w:br/>
      </w:r>
      <w:r>
        <w:t xml:space="preserve">od niektórych </w:t>
      </w:r>
      <w:r>
        <w:t>przychodów osiąganych przez osoby fizyczne oraz inne dochody niepodlegające opodatkowaniu na podstawie przepisów o podatku dochodowym od osób fizycznych</w:t>
      </w:r>
      <w:r>
        <w:t>, a także</w:t>
      </w:r>
      <w:r>
        <w:t xml:space="preserve"> </w:t>
      </w:r>
      <w:r>
        <w:t xml:space="preserve">inne dochody niepodlegające opodatkowaniu na podstawie przepisów </w:t>
      </w:r>
      <w:r>
        <w:br/>
      </w:r>
      <w:r>
        <w:t>o podatku dochodowym od osób</w:t>
      </w:r>
      <w:r>
        <w:t xml:space="preserve"> fizycznych, w tym</w:t>
      </w:r>
      <w:r>
        <w:t xml:space="preserve"> </w:t>
      </w:r>
      <w:r w:rsidRPr="00EC70A7">
        <w:rPr>
          <w:b/>
          <w:i/>
        </w:rPr>
        <w:t>,,- stypendia dla bezrobotnych ze środków Unii Europejskiej”</w:t>
      </w:r>
      <w:r>
        <w:t xml:space="preserve">. </w:t>
      </w:r>
    </w:p>
    <w:p w:rsidR="00543E97" w:rsidRDefault="000B6490" w:rsidP="004D0CA5">
      <w:pPr>
        <w:spacing w:line="360" w:lineRule="auto"/>
        <w:ind w:left="142" w:firstLine="709"/>
        <w:jc w:val="both"/>
        <w:rPr>
          <w:b/>
          <w:i/>
        </w:rPr>
      </w:pPr>
      <w:r>
        <w:t xml:space="preserve">Należy </w:t>
      </w:r>
      <w:r>
        <w:t>podkreślić</w:t>
      </w:r>
      <w:r>
        <w:t xml:space="preserve">, że art. 3 pkt 1 lit. c tiret trzydzieste trzecie </w:t>
      </w:r>
      <w:r>
        <w:t xml:space="preserve">ustawy o świadczeniach rodzinnych został zmieniony przez art. 3 pkt 1 ustawy z dnia 24 czerwca 2021 r. </w:t>
      </w:r>
      <w:r>
        <w:t>o z</w:t>
      </w:r>
      <w:r>
        <w:t xml:space="preserve">mianie niektórych ustaw związanych ze świadczeniami na rzecz rodziny </w:t>
      </w:r>
      <w:r>
        <w:t xml:space="preserve">(Dz. U. z 2021 r. poz. 1162) </w:t>
      </w:r>
      <w:r>
        <w:t xml:space="preserve">z dniem 1 lipca 2021 r. i otrzymał brzmienie: </w:t>
      </w:r>
      <w:r w:rsidRPr="00FF0E47">
        <w:rPr>
          <w:b/>
          <w:i/>
        </w:rPr>
        <w:t>,,-stypendia dla bezrobotnych ze środków Unii Europejskiej lub Funduszu Pracy, niezależnie od podmiotu, który je</w:t>
      </w:r>
      <w:r w:rsidRPr="00FF0E47">
        <w:rPr>
          <w:b/>
          <w:i/>
        </w:rPr>
        <w:t xml:space="preserve"> wypłaca”.</w:t>
      </w:r>
    </w:p>
    <w:p w:rsidR="0078617C" w:rsidRDefault="000B6490" w:rsidP="004D0CA5">
      <w:pPr>
        <w:spacing w:line="360" w:lineRule="auto"/>
        <w:ind w:left="142" w:firstLine="709"/>
        <w:jc w:val="both"/>
      </w:pPr>
      <w:r>
        <w:t>Z uwagi na okoliczność</w:t>
      </w:r>
      <w:r w:rsidRPr="00233B39">
        <w:t xml:space="preserve">, że niniejsza uchwała, wchodzi w życie z dniem 1 lipca </w:t>
      </w:r>
      <w:r>
        <w:br/>
      </w:r>
      <w:r w:rsidRPr="00233B39">
        <w:t xml:space="preserve">2021 r. </w:t>
      </w:r>
      <w:r>
        <w:t>(</w:t>
      </w:r>
      <w:r>
        <w:t>§ 3 uchwały</w:t>
      </w:r>
      <w:r>
        <w:t>)</w:t>
      </w:r>
      <w:r>
        <w:t xml:space="preserve"> </w:t>
      </w:r>
      <w:r w:rsidRPr="00233B39">
        <w:t xml:space="preserve">powyższy przypis powinien być zgodny z nowym brzmieniem </w:t>
      </w:r>
      <w:r w:rsidRPr="00233B39">
        <w:t xml:space="preserve">art. 3 </w:t>
      </w:r>
      <w:r>
        <w:br/>
      </w:r>
      <w:r w:rsidRPr="00233B39">
        <w:t>pkt 1 lit. c tiret trzydzieste trzecie us</w:t>
      </w:r>
      <w:r>
        <w:t>tawy o świadczeniach rodzinnych, tj. uw</w:t>
      </w:r>
      <w:r>
        <w:t>zględniać mające wejść w życie zmiany.</w:t>
      </w:r>
    </w:p>
    <w:p w:rsidR="00B57DCF" w:rsidRPr="00B57DCF" w:rsidRDefault="000B6490" w:rsidP="004D0CA5">
      <w:pPr>
        <w:spacing w:line="360" w:lineRule="auto"/>
        <w:ind w:left="142" w:firstLine="708"/>
        <w:jc w:val="both"/>
      </w:pPr>
      <w:r>
        <w:t>Ponadto f</w:t>
      </w:r>
      <w:r w:rsidRPr="00B57DCF">
        <w:t xml:space="preserve">unkcjonowanie w obrocie prawnym przypisu Nr 6 lit. c tiret trzydzieste trzecie Wniosku stwarza stan niepewności po stronie adresatów norm prawnych. Zgodnie </w:t>
      </w:r>
      <w:r>
        <w:br/>
      </w:r>
      <w:r w:rsidRPr="00B57DCF">
        <w:t>z ugruntowaną linią orzeczniczą Trybunału Konstytuc</w:t>
      </w:r>
      <w:r w:rsidRPr="00B57DCF">
        <w:t xml:space="preserve">yjnego oraz sądów administracyjnych stanowienie prawa niejasnego stoi w sprzeczności z </w:t>
      </w:r>
      <w:hyperlink r:id="rId8" w:history="1">
        <w:r w:rsidRPr="00B57DCF">
          <w:rPr>
            <w:rStyle w:val="Hipercze"/>
            <w:color w:val="auto"/>
            <w:u w:val="none"/>
          </w:rPr>
          <w:t>art. 2</w:t>
        </w:r>
      </w:hyperlink>
      <w:r w:rsidRPr="00B57DCF">
        <w:t xml:space="preserve"> Konstytucji RP, w szczególności </w:t>
      </w:r>
      <w:r>
        <w:br/>
      </w:r>
      <w:r w:rsidRPr="00B57DCF">
        <w:t>z wyprowadzaną z tego przepi</w:t>
      </w:r>
      <w:r w:rsidRPr="00B57DCF">
        <w:t xml:space="preserve">su zasadą przyzwoitej legislacji. </w:t>
      </w:r>
      <w:r>
        <w:t>W uzasadnieniu wyroku</w:t>
      </w:r>
      <w:r w:rsidRPr="00B57DCF">
        <w:t xml:space="preserve"> </w:t>
      </w:r>
      <w:r>
        <w:br/>
        <w:t xml:space="preserve">z dnia 22 maja 2002 r. </w:t>
      </w:r>
      <w:r w:rsidRPr="00B57DCF">
        <w:t xml:space="preserve">sygn. akt </w:t>
      </w:r>
      <w:hyperlink r:id="rId9" w:history="1">
        <w:r w:rsidRPr="00B57DCF">
          <w:rPr>
            <w:rStyle w:val="Hipercze"/>
            <w:color w:val="auto"/>
            <w:u w:val="none"/>
          </w:rPr>
          <w:t>K 6/02</w:t>
        </w:r>
      </w:hyperlink>
      <w:r w:rsidRPr="00B57DCF">
        <w:t xml:space="preserve"> Trybunał </w:t>
      </w:r>
      <w:r>
        <w:t xml:space="preserve">Konstytucyjny stwierdził, że przepisy prawne </w:t>
      </w:r>
      <w:r w:rsidRPr="00B57DCF">
        <w:rPr>
          <w:i/>
        </w:rPr>
        <w:t>,,muszą być sfo</w:t>
      </w:r>
      <w:r w:rsidRPr="00B57DCF">
        <w:rPr>
          <w:i/>
        </w:rPr>
        <w:t>rmułowane w sposób poprawny, precyzyjny i jasny. (...). Wymóg jasności oznacza nakaz tworzenia przepisów klarownych i zrozumiałych dla ich adresatów, którzy od racjonalnego ustawodawcy oczekiwać mogą stanowienia norm prawnych niebudzących wątpliwości co do</w:t>
      </w:r>
      <w:r w:rsidRPr="00B57DCF">
        <w:rPr>
          <w:i/>
        </w:rPr>
        <w:t xml:space="preserve"> treści nakładanych obowiązków i przyznawanych praw"</w:t>
      </w:r>
      <w:r w:rsidRPr="00B57DCF">
        <w:t>.</w:t>
      </w:r>
      <w:r>
        <w:br/>
      </w:r>
      <w:r w:rsidRPr="00B57DCF">
        <w:t>Z kolei w uzasadnieniu wyroku WSA we Wrocł</w:t>
      </w:r>
      <w:r>
        <w:t xml:space="preserve">awiu z dnia 19 grudnia 2011 r. </w:t>
      </w:r>
      <w:r w:rsidRPr="00B57DCF">
        <w:t xml:space="preserve">sygn. akt </w:t>
      </w:r>
      <w:r>
        <w:br/>
      </w:r>
      <w:hyperlink r:id="rId10" w:history="1">
        <w:r w:rsidRPr="00B57DCF">
          <w:rPr>
            <w:rStyle w:val="Hipercze"/>
            <w:color w:val="auto"/>
            <w:u w:val="none"/>
          </w:rPr>
          <w:t>III SA/</w:t>
        </w:r>
        <w:proofErr w:type="spellStart"/>
        <w:r w:rsidRPr="00B57DCF">
          <w:rPr>
            <w:rStyle w:val="Hipercze"/>
            <w:color w:val="auto"/>
            <w:u w:val="none"/>
          </w:rPr>
          <w:t>Wr</w:t>
        </w:r>
        <w:proofErr w:type="spellEnd"/>
        <w:r w:rsidRPr="00B57DCF">
          <w:rPr>
            <w:rStyle w:val="Hipercze"/>
            <w:color w:val="auto"/>
            <w:u w:val="none"/>
          </w:rPr>
          <w:t xml:space="preserve"> 568/11</w:t>
        </w:r>
      </w:hyperlink>
      <w:r>
        <w:t xml:space="preserve">, Sąd podkreślił, że </w:t>
      </w:r>
      <w:r w:rsidRPr="00E82EFA">
        <w:rPr>
          <w:i/>
        </w:rPr>
        <w:t xml:space="preserve">,,Z konstytucyjnej zasady demokratycznego państwa prawnego wynika zasada zaufania obywateli do państwa i stanowionego przez nie prawa. Prawodawca powinien zatem stanowić normy sformułowane w sposób jasny, precyzyjny </w:t>
      </w:r>
      <w:r>
        <w:rPr>
          <w:i/>
        </w:rPr>
        <w:br/>
      </w:r>
      <w:r w:rsidRPr="00E82EFA">
        <w:rPr>
          <w:i/>
        </w:rPr>
        <w:t>i jednoznaczny, zg</w:t>
      </w:r>
      <w:r w:rsidRPr="00E82EFA">
        <w:rPr>
          <w:i/>
        </w:rPr>
        <w:t>odnie z regułami poprawnej legislacji. Dotyczy to także aktów prawa miejscowego, będących powszechnie obowiązującym prawem na terenie działanie organów, które je ustanowiły (...)</w:t>
      </w:r>
      <w:r w:rsidRPr="00E82EFA">
        <w:rPr>
          <w:i/>
        </w:rPr>
        <w:t>”</w:t>
      </w:r>
      <w:r w:rsidRPr="00B57DCF">
        <w:t>.</w:t>
      </w:r>
    </w:p>
    <w:p w:rsidR="001C635F" w:rsidRDefault="000B6490" w:rsidP="004D0CA5">
      <w:pPr>
        <w:spacing w:line="360" w:lineRule="auto"/>
        <w:ind w:left="142" w:firstLine="709"/>
        <w:jc w:val="both"/>
      </w:pPr>
      <w:r>
        <w:rPr>
          <w:rFonts w:eastAsiaTheme="minorHAnsi"/>
          <w:shd w:val="clear" w:color="auto" w:fill="FFFFFF"/>
          <w:lang w:eastAsia="en-US"/>
        </w:rPr>
        <w:lastRenderedPageBreak/>
        <w:t>Biorąc pod uwagę</w:t>
      </w:r>
      <w:r w:rsidRPr="001C635F">
        <w:t xml:space="preserve"> </w:t>
      </w:r>
      <w:r>
        <w:t xml:space="preserve">fakt, że Rada Gminy Iłów podejmując uchwałę na podstawie </w:t>
      </w:r>
      <w:r>
        <w:br/>
      </w:r>
      <w:r>
        <w:t>art. 7 ust. 1 e u.d.m., z mocą obowiązującą od dnia 1 lipca 2021 r. nie dokonała precyzyjnej realizacji powyższej normy kompetencyjnej według stanu prawnego na dzień 1 lipca 2021 r</w:t>
      </w:r>
      <w:r>
        <w:t>.</w:t>
      </w:r>
      <w:r>
        <w:t>, należało orzec jak w petitum rozstrzygnięcia.</w:t>
      </w:r>
    </w:p>
    <w:p w:rsidR="001F33C8" w:rsidRPr="00AC22A4" w:rsidRDefault="000B6490" w:rsidP="004D0CA5">
      <w:pPr>
        <w:spacing w:line="360" w:lineRule="auto"/>
        <w:ind w:left="142" w:firstLine="708"/>
        <w:jc w:val="both"/>
      </w:pPr>
      <w:hyperlink r:id="rId11" w:history="1"/>
      <w:r w:rsidRPr="00AC22A4">
        <w:t xml:space="preserve">Na niniejsze </w:t>
      </w:r>
      <w:r>
        <w:t>rozstrzygnięcie nadzorcze Gminie</w:t>
      </w:r>
      <w:r w:rsidRPr="00AC22A4">
        <w:t xml:space="preserve"> przysługuje skarg</w:t>
      </w:r>
      <w:r w:rsidRPr="00AC22A4">
        <w:t>a do Wojewódzkiego Sądu Administracyjnego w Warszawie w terminie 30 dni od daty doręczenia, wnoszona</w:t>
      </w:r>
      <w:r w:rsidRPr="00AC22A4">
        <w:br/>
        <w:t>za pośrednictwem organu, który skarżone orzeczenie wydał.</w:t>
      </w:r>
    </w:p>
    <w:p w:rsidR="001F33C8" w:rsidRPr="00AC22A4" w:rsidRDefault="000B6490" w:rsidP="004D0CA5">
      <w:pPr>
        <w:spacing w:line="360" w:lineRule="auto"/>
        <w:ind w:left="142" w:firstLine="709"/>
        <w:jc w:val="both"/>
      </w:pPr>
      <w:r w:rsidRPr="00AC22A4">
        <w:t>Informuję, że rozstrzygnięcie nadzorcze wstrzymuje wykonanie uchwały z mocy prawa w zakresie okre</w:t>
      </w:r>
      <w:r w:rsidRPr="00AC22A4">
        <w:t>ślonym w petitum rozstrzygnięcia, z dniem jego doręczenia.</w:t>
      </w:r>
    </w:p>
    <w:p w:rsidR="001F33C8" w:rsidRDefault="000B6490" w:rsidP="001F33C8">
      <w:pPr>
        <w:ind w:firstLine="708"/>
        <w:jc w:val="both"/>
      </w:pPr>
    </w:p>
    <w:p w:rsidR="001F33C8" w:rsidRDefault="000B6490" w:rsidP="001F33C8">
      <w:pPr>
        <w:ind w:firstLine="708"/>
        <w:jc w:val="both"/>
      </w:pPr>
    </w:p>
    <w:p w:rsidR="001F33C8" w:rsidRDefault="000B6490" w:rsidP="001F33C8">
      <w:pPr>
        <w:spacing w:line="276" w:lineRule="auto"/>
        <w:ind w:left="2825" w:firstLine="720"/>
        <w:jc w:val="center"/>
        <w:rPr>
          <w:i/>
        </w:rPr>
      </w:pPr>
    </w:p>
    <w:p w:rsidR="001F33C8" w:rsidRDefault="000B6490" w:rsidP="001F33C8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1F33C8" w:rsidRDefault="000B6490" w:rsidP="001F33C8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1F33C8" w:rsidRPr="008D53A2" w:rsidRDefault="000B6490" w:rsidP="001F33C8">
      <w:pPr>
        <w:spacing w:line="276" w:lineRule="auto"/>
        <w:rPr>
          <w:i/>
        </w:rPr>
      </w:pPr>
    </w:p>
    <w:p w:rsidR="001F33C8" w:rsidRPr="007A371C" w:rsidRDefault="000B6490" w:rsidP="001F33C8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8D53A2">
        <w:rPr>
          <w:sz w:val="20"/>
          <w:szCs w:val="20"/>
        </w:rPr>
        <w:t>/</w:t>
      </w:r>
      <w:r w:rsidRPr="007A371C">
        <w:rPr>
          <w:sz w:val="20"/>
          <w:szCs w:val="20"/>
        </w:rPr>
        <w:t>podpisano bezpiecznym podpisem elektronicznym</w:t>
      </w:r>
    </w:p>
    <w:p w:rsidR="004E5FDF" w:rsidRPr="001C635F" w:rsidRDefault="000B6490" w:rsidP="001C635F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7A371C">
        <w:rPr>
          <w:sz w:val="20"/>
          <w:szCs w:val="20"/>
        </w:rPr>
        <w:t>weryfikowanym ważn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kwalifikowan</w:t>
      </w:r>
      <w:r>
        <w:rPr>
          <w:sz w:val="20"/>
          <w:szCs w:val="20"/>
        </w:rPr>
        <w:t>ym</w:t>
      </w:r>
      <w:r w:rsidRPr="007A371C">
        <w:rPr>
          <w:sz w:val="20"/>
          <w:szCs w:val="20"/>
        </w:rPr>
        <w:t xml:space="preserve"> certyfikat</w:t>
      </w:r>
      <w:r>
        <w:rPr>
          <w:sz w:val="20"/>
          <w:szCs w:val="20"/>
        </w:rPr>
        <w:t>em</w:t>
      </w:r>
      <w:r w:rsidRPr="007A371C">
        <w:rPr>
          <w:sz w:val="20"/>
          <w:szCs w:val="20"/>
        </w:rPr>
        <w:t>/</w:t>
      </w:r>
    </w:p>
    <w:sectPr w:rsidR="004E5FDF" w:rsidRPr="001C635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490" w:rsidRDefault="000B6490">
      <w:r>
        <w:separator/>
      </w:r>
    </w:p>
  </w:endnote>
  <w:endnote w:type="continuationSeparator" w:id="0">
    <w:p w:rsidR="000B6490" w:rsidRDefault="000B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CA5" w:rsidRDefault="000B6490" w:rsidP="004D0CA5">
    <w:pPr>
      <w:pStyle w:val="Stopka"/>
      <w:tabs>
        <w:tab w:val="left" w:pos="5362"/>
      </w:tabs>
    </w:pPr>
    <w:r>
      <w:tab/>
    </w:r>
    <w:sdt>
      <w:sdtPr>
        <w:id w:val="1350837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sdtContent>
    </w:sdt>
    <w:r>
      <w:tab/>
    </w:r>
  </w:p>
  <w:p w:rsidR="004D0CA5" w:rsidRDefault="000B6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490" w:rsidRDefault="000B6490">
      <w:r>
        <w:separator/>
      </w:r>
    </w:p>
  </w:footnote>
  <w:footnote w:type="continuationSeparator" w:id="0">
    <w:p w:rsidR="000B6490" w:rsidRDefault="000B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CF"/>
    <w:rsid w:val="000B6490"/>
    <w:rsid w:val="003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985E-6642-45A3-BE13-ED7EFA45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2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qFormat/>
    <w:rsid w:val="00AC2D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7DCF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6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63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63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D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D8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xt-justify">
    <w:name w:val="text-justify"/>
    <w:basedOn w:val="Domylnaczcionkaakapitu"/>
    <w:rsid w:val="00C40494"/>
  </w:style>
  <w:style w:type="paragraph" w:styleId="Nagwek">
    <w:name w:val="header"/>
    <w:basedOn w:val="Normalny"/>
    <w:link w:val="NagwekZnak"/>
    <w:uiPriority w:val="99"/>
    <w:unhideWhenUsed/>
    <w:rsid w:val="004D0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C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0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C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q4tgmjoobqxalrsgu4dmm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galis.pl/urlSearch.seam?HitlistCaption=Orzeczenia%20dla:%20Dz.U.%20z%202017%20r.%20poz.%202136%20t.j.%20Art.%2032%20%C2%A7%203&amp;orz4papaggr=40600043&amp;sortField=document-date&amp;facetField=dectez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rswglrsgiydimjvhay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rswglrugaydinzygq3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41F4-2B1E-4305-99D3-E8CDAA43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2021-07-23T07:32:00Z</dcterms:created>
  <dcterms:modified xsi:type="dcterms:W3CDTF">2021-07-23T07:32:00Z</dcterms:modified>
</cp:coreProperties>
</file>